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56" w:rsidRPr="00884056" w:rsidRDefault="00884056" w:rsidP="00B93CF1">
      <w:pPr>
        <w:tabs>
          <w:tab w:val="center" w:pos="4680"/>
          <w:tab w:val="right" w:pos="9360"/>
        </w:tabs>
        <w:jc w:val="center"/>
        <w:rPr>
          <w:rFonts w:eastAsiaTheme="minorHAnsi" w:cstheme="minorBidi"/>
          <w:szCs w:val="24"/>
          <w:lang w:val="fr-CA" w:eastAsia="en-US"/>
        </w:rPr>
      </w:pPr>
      <w:r w:rsidRPr="00884056">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65124850" r:id="rId8"/>
        </w:object>
      </w:r>
    </w:p>
    <w:p w:rsidR="00884056" w:rsidRPr="00884056" w:rsidRDefault="00884056" w:rsidP="00884056">
      <w:pPr>
        <w:tabs>
          <w:tab w:val="center" w:pos="4680"/>
          <w:tab w:val="right" w:pos="9360"/>
        </w:tabs>
        <w:rPr>
          <w:rFonts w:eastAsiaTheme="minorHAnsi" w:cstheme="minorBidi"/>
          <w:szCs w:val="24"/>
          <w:lang w:val="fr-CA" w:eastAsia="en-US"/>
        </w:rPr>
      </w:pPr>
    </w:p>
    <w:p w:rsidR="00884056" w:rsidRPr="00884056" w:rsidRDefault="00884056" w:rsidP="00884056">
      <w:pPr>
        <w:jc w:val="center"/>
        <w:rPr>
          <w:rFonts w:eastAsiaTheme="minorHAnsi" w:cstheme="minorBidi"/>
          <w:b/>
          <w:szCs w:val="24"/>
          <w:lang w:val="fr-CA" w:eastAsia="en-US"/>
        </w:rPr>
      </w:pPr>
      <w:r w:rsidRPr="00884056">
        <w:rPr>
          <w:rFonts w:eastAsiaTheme="minorHAnsi" w:cstheme="minorBidi"/>
          <w:b/>
          <w:szCs w:val="24"/>
          <w:lang w:val="fr-CA" w:eastAsia="en-US"/>
        </w:rPr>
        <w:t>COUR SUPRÊME DU CANADA</w:t>
      </w:r>
    </w:p>
    <w:p w:rsidR="00884056" w:rsidRPr="00884056" w:rsidRDefault="00884056" w:rsidP="00884056">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84056" w:rsidRPr="00884056" w:rsidTr="008548F6">
        <w:trPr>
          <w:cantSplit/>
        </w:trPr>
        <w:tc>
          <w:tcPr>
            <w:tcW w:w="6768" w:type="dxa"/>
          </w:tcPr>
          <w:p w:rsidR="00884056" w:rsidRPr="00884056" w:rsidRDefault="00884056" w:rsidP="00884056">
            <w:pPr>
              <w:rPr>
                <w:lang w:val="fr-CA"/>
              </w:rPr>
            </w:pPr>
            <w:r w:rsidRPr="00884056">
              <w:rPr>
                <w:b/>
                <w:smallCaps/>
                <w:lang w:val="fr-CA"/>
              </w:rPr>
              <w:t>Référence :</w:t>
            </w:r>
            <w:r w:rsidRPr="00884056">
              <w:rPr>
                <w:lang w:val="fr-CA"/>
              </w:rPr>
              <w:t xml:space="preserve"> </w:t>
            </w:r>
            <w:r w:rsidRPr="00884056">
              <w:rPr>
                <w:iCs/>
                <w:color w:val="000000" w:themeColor="text1"/>
              </w:rPr>
              <w:t xml:space="preserve">R. </w:t>
            </w:r>
            <w:r w:rsidRPr="00884056">
              <w:rPr>
                <w:i/>
                <w:iCs/>
                <w:color w:val="000000" w:themeColor="text1"/>
              </w:rPr>
              <w:t>c</w:t>
            </w:r>
            <w:r w:rsidRPr="00884056">
              <w:rPr>
                <w:iCs/>
                <w:color w:val="000000" w:themeColor="text1"/>
              </w:rPr>
              <w:t xml:space="preserve">. </w:t>
            </w:r>
            <w:r w:rsidRPr="00884056">
              <w:t>MacDonald</w:t>
            </w:r>
            <w:r w:rsidRPr="00884056">
              <w:rPr>
                <w:iCs/>
                <w:color w:val="000000" w:themeColor="text1"/>
              </w:rPr>
              <w:t>,</w:t>
            </w:r>
            <w:r w:rsidRPr="00884056">
              <w:rPr>
                <w:i/>
                <w:lang w:val="fr-CA"/>
              </w:rPr>
              <w:t xml:space="preserve"> </w:t>
            </w:r>
            <w:r w:rsidRPr="00884056">
              <w:rPr>
                <w:lang w:val="fr-CA"/>
              </w:rPr>
              <w:t xml:space="preserve">2014 CSC 3, [2014] 1 R.C.S. 37  </w:t>
            </w:r>
          </w:p>
        </w:tc>
        <w:tc>
          <w:tcPr>
            <w:tcW w:w="2808" w:type="dxa"/>
          </w:tcPr>
          <w:p w:rsidR="00884056" w:rsidRPr="00884056" w:rsidRDefault="00884056" w:rsidP="00884056">
            <w:pPr>
              <w:rPr>
                <w:lang w:val="fr-CA"/>
              </w:rPr>
            </w:pPr>
            <w:r w:rsidRPr="00884056">
              <w:rPr>
                <w:b/>
                <w:smallCaps/>
                <w:lang w:val="fr-CA"/>
              </w:rPr>
              <w:t>Date :</w:t>
            </w:r>
            <w:r w:rsidRPr="00884056">
              <w:rPr>
                <w:lang w:val="fr-CA"/>
              </w:rPr>
              <w:t xml:space="preserve"> 20140117</w:t>
            </w:r>
          </w:p>
          <w:p w:rsidR="00884056" w:rsidRPr="00884056" w:rsidRDefault="00884056" w:rsidP="00884056">
            <w:pPr>
              <w:rPr>
                <w:lang w:val="fr-CA"/>
              </w:rPr>
            </w:pPr>
            <w:r w:rsidRPr="00884056">
              <w:rPr>
                <w:b/>
                <w:smallCaps/>
                <w:lang w:val="fr-CA"/>
              </w:rPr>
              <w:t>Dossier :</w:t>
            </w:r>
            <w:r w:rsidRPr="00884056">
              <w:rPr>
                <w:lang w:val="fr-CA"/>
              </w:rPr>
              <w:t xml:space="preserve"> 34914</w:t>
            </w:r>
          </w:p>
        </w:tc>
      </w:tr>
    </w:tbl>
    <w:p w:rsidR="00884056" w:rsidRPr="00884056" w:rsidRDefault="00884056" w:rsidP="00884056">
      <w:pPr>
        <w:rPr>
          <w:rFonts w:eastAsiaTheme="minorHAnsi" w:cstheme="minorBidi"/>
          <w:szCs w:val="24"/>
          <w:lang w:val="fr-CA" w:eastAsia="en-US"/>
        </w:rPr>
      </w:pPr>
    </w:p>
    <w:p w:rsidR="00884056" w:rsidRPr="00884056" w:rsidRDefault="00884056" w:rsidP="00884056">
      <w:pPr>
        <w:rPr>
          <w:rFonts w:eastAsiaTheme="minorHAnsi" w:cstheme="minorBidi"/>
          <w:b/>
          <w:smallCaps/>
          <w:szCs w:val="24"/>
          <w:lang w:val="fr-CA" w:eastAsia="en-US"/>
        </w:rPr>
      </w:pPr>
      <w:r w:rsidRPr="00884056">
        <w:rPr>
          <w:rFonts w:eastAsiaTheme="minorHAnsi" w:cstheme="minorBidi"/>
          <w:b/>
          <w:smallCaps/>
          <w:szCs w:val="24"/>
          <w:lang w:val="fr-CA" w:eastAsia="en-US"/>
        </w:rPr>
        <w:t>Entre :</w:t>
      </w:r>
    </w:p>
    <w:p w:rsidR="00884056" w:rsidRPr="00884056" w:rsidRDefault="00884056" w:rsidP="00884056">
      <w:pPr>
        <w:jc w:val="center"/>
        <w:rPr>
          <w:rFonts w:eastAsiaTheme="minorHAnsi" w:cstheme="minorBidi"/>
          <w:b/>
          <w:szCs w:val="24"/>
          <w:lang w:val="fr-CA" w:eastAsia="en-US"/>
        </w:rPr>
      </w:pPr>
      <w:r w:rsidRPr="00884056">
        <w:rPr>
          <w:rFonts w:eastAsiaTheme="minorHAnsi" w:cstheme="minorBidi"/>
          <w:b/>
          <w:szCs w:val="24"/>
          <w:lang w:val="fr-CA" w:eastAsia="en-US"/>
        </w:rPr>
        <w:t>Erin Lee MacDonald</w:t>
      </w:r>
    </w:p>
    <w:p w:rsidR="00884056" w:rsidRPr="00884056" w:rsidRDefault="00884056" w:rsidP="00884056">
      <w:pPr>
        <w:jc w:val="center"/>
        <w:rPr>
          <w:rFonts w:eastAsiaTheme="minorHAnsi" w:cstheme="minorBidi"/>
          <w:szCs w:val="24"/>
          <w:lang w:val="fr-CA" w:eastAsia="en-US"/>
        </w:rPr>
      </w:pPr>
      <w:r w:rsidRPr="00884056">
        <w:rPr>
          <w:rFonts w:eastAsiaTheme="minorHAnsi" w:cstheme="minorBidi"/>
          <w:szCs w:val="24"/>
          <w:lang w:val="fr-CA" w:eastAsia="en-US"/>
        </w:rPr>
        <w:t>Appelant</w:t>
      </w:r>
    </w:p>
    <w:p w:rsidR="00884056" w:rsidRPr="00884056" w:rsidRDefault="00884056" w:rsidP="00884056">
      <w:pPr>
        <w:jc w:val="center"/>
        <w:rPr>
          <w:rFonts w:eastAsiaTheme="minorHAnsi" w:cstheme="minorBidi"/>
          <w:szCs w:val="24"/>
          <w:lang w:val="fr-CA" w:eastAsia="en-US"/>
        </w:rPr>
      </w:pPr>
      <w:proofErr w:type="gramStart"/>
      <w:r w:rsidRPr="00884056">
        <w:rPr>
          <w:rFonts w:eastAsiaTheme="minorHAnsi" w:cstheme="minorBidi"/>
          <w:szCs w:val="24"/>
          <w:lang w:val="fr-CA" w:eastAsia="en-US"/>
        </w:rPr>
        <w:t>et</w:t>
      </w:r>
      <w:proofErr w:type="gramEnd"/>
    </w:p>
    <w:p w:rsidR="00884056" w:rsidRPr="00884056" w:rsidRDefault="00884056" w:rsidP="00884056">
      <w:pPr>
        <w:jc w:val="center"/>
        <w:rPr>
          <w:rFonts w:eastAsiaTheme="minorHAnsi" w:cstheme="minorBidi"/>
          <w:b/>
          <w:szCs w:val="24"/>
          <w:lang w:val="fr-CA" w:eastAsia="en-US"/>
        </w:rPr>
      </w:pPr>
      <w:r w:rsidRPr="00884056">
        <w:rPr>
          <w:rFonts w:eastAsiaTheme="minorHAnsi" w:cstheme="minorBidi"/>
          <w:b/>
          <w:szCs w:val="24"/>
          <w:lang w:val="fr-CA" w:eastAsia="en-US"/>
        </w:rPr>
        <w:t>Sa Majesté la Reine</w:t>
      </w:r>
    </w:p>
    <w:p w:rsidR="00884056" w:rsidRPr="00884056" w:rsidRDefault="00884056" w:rsidP="00884056">
      <w:pPr>
        <w:jc w:val="center"/>
        <w:rPr>
          <w:rFonts w:eastAsiaTheme="minorHAnsi" w:cstheme="minorBidi"/>
          <w:szCs w:val="24"/>
          <w:lang w:val="fr-CA" w:eastAsia="en-US"/>
        </w:rPr>
      </w:pPr>
      <w:r w:rsidRPr="00884056">
        <w:rPr>
          <w:rFonts w:eastAsiaTheme="minorHAnsi" w:cstheme="minorBidi"/>
          <w:szCs w:val="24"/>
          <w:lang w:val="fr-CA" w:eastAsia="en-US"/>
        </w:rPr>
        <w:t>Intimée</w:t>
      </w:r>
    </w:p>
    <w:p w:rsidR="00884056" w:rsidRPr="00884056" w:rsidRDefault="00884056" w:rsidP="00884056">
      <w:pPr>
        <w:rPr>
          <w:rFonts w:eastAsiaTheme="minorHAnsi" w:cstheme="minorBidi"/>
          <w:b/>
          <w:smallCaps/>
          <w:szCs w:val="24"/>
          <w:lang w:val="fr-CA" w:eastAsia="en-US"/>
        </w:rPr>
      </w:pPr>
      <w:r w:rsidRPr="00884056">
        <w:rPr>
          <w:rFonts w:eastAsiaTheme="minorHAnsi" w:cstheme="minorBidi"/>
          <w:b/>
          <w:smallCaps/>
          <w:szCs w:val="24"/>
          <w:lang w:val="fr-CA" w:eastAsia="en-US"/>
        </w:rPr>
        <w:t>Et entre :</w:t>
      </w:r>
    </w:p>
    <w:p w:rsidR="00884056" w:rsidRPr="00884056" w:rsidRDefault="00884056" w:rsidP="00884056">
      <w:pPr>
        <w:jc w:val="center"/>
        <w:rPr>
          <w:rFonts w:eastAsiaTheme="minorHAnsi" w:cstheme="minorBidi"/>
          <w:b/>
          <w:szCs w:val="24"/>
          <w:lang w:val="fr-CA" w:eastAsia="en-US"/>
        </w:rPr>
      </w:pPr>
      <w:r w:rsidRPr="00884056">
        <w:rPr>
          <w:rFonts w:eastAsiaTheme="minorHAnsi" w:cstheme="minorBidi"/>
          <w:b/>
          <w:szCs w:val="24"/>
          <w:lang w:val="fr-CA" w:eastAsia="en-US"/>
        </w:rPr>
        <w:t>Sa Majesté la Reine</w:t>
      </w:r>
    </w:p>
    <w:p w:rsidR="00884056" w:rsidRPr="00884056" w:rsidRDefault="00884056" w:rsidP="00884056">
      <w:pPr>
        <w:jc w:val="center"/>
        <w:rPr>
          <w:rFonts w:eastAsiaTheme="minorHAnsi" w:cstheme="minorBidi"/>
          <w:szCs w:val="24"/>
          <w:lang w:val="fr-CA" w:eastAsia="en-US"/>
        </w:rPr>
      </w:pPr>
      <w:r w:rsidRPr="00884056">
        <w:rPr>
          <w:rFonts w:eastAsiaTheme="minorHAnsi" w:cstheme="minorBidi"/>
          <w:szCs w:val="24"/>
          <w:lang w:val="fr-CA" w:eastAsia="en-US"/>
        </w:rPr>
        <w:t>Appelante</w:t>
      </w:r>
    </w:p>
    <w:p w:rsidR="00884056" w:rsidRPr="00884056" w:rsidRDefault="00884056" w:rsidP="00884056">
      <w:pPr>
        <w:jc w:val="center"/>
        <w:rPr>
          <w:rFonts w:eastAsiaTheme="minorHAnsi" w:cstheme="minorBidi"/>
          <w:szCs w:val="24"/>
          <w:lang w:val="fr-CA" w:eastAsia="en-US"/>
        </w:rPr>
      </w:pPr>
      <w:proofErr w:type="gramStart"/>
      <w:r w:rsidRPr="00884056">
        <w:rPr>
          <w:rFonts w:eastAsiaTheme="minorHAnsi" w:cstheme="minorBidi"/>
          <w:szCs w:val="24"/>
          <w:lang w:val="fr-CA" w:eastAsia="en-US"/>
        </w:rPr>
        <w:t>et</w:t>
      </w:r>
      <w:proofErr w:type="gramEnd"/>
    </w:p>
    <w:p w:rsidR="00884056" w:rsidRPr="00884056" w:rsidRDefault="00884056" w:rsidP="00884056">
      <w:pPr>
        <w:jc w:val="center"/>
        <w:rPr>
          <w:rFonts w:eastAsiaTheme="minorHAnsi" w:cstheme="minorBidi"/>
          <w:b/>
          <w:szCs w:val="24"/>
          <w:lang w:val="fr-CA" w:eastAsia="en-US"/>
        </w:rPr>
      </w:pPr>
      <w:r w:rsidRPr="00884056">
        <w:rPr>
          <w:rFonts w:eastAsiaTheme="minorHAnsi" w:cstheme="minorBidi"/>
          <w:b/>
          <w:szCs w:val="24"/>
          <w:lang w:val="fr-CA" w:eastAsia="en-US"/>
        </w:rPr>
        <w:t>Erin Lee MacDonald</w:t>
      </w:r>
    </w:p>
    <w:p w:rsidR="00884056" w:rsidRPr="00884056" w:rsidRDefault="00884056" w:rsidP="00884056">
      <w:pPr>
        <w:jc w:val="center"/>
        <w:rPr>
          <w:rFonts w:eastAsiaTheme="minorHAnsi" w:cstheme="minorBidi"/>
          <w:szCs w:val="24"/>
          <w:lang w:val="fr-CA" w:eastAsia="en-US"/>
        </w:rPr>
      </w:pPr>
      <w:r w:rsidRPr="00884056">
        <w:rPr>
          <w:rFonts w:eastAsiaTheme="minorHAnsi" w:cstheme="minorBidi"/>
          <w:szCs w:val="24"/>
          <w:lang w:val="fr-CA" w:eastAsia="en-US"/>
        </w:rPr>
        <w:t>Intimé</w:t>
      </w:r>
    </w:p>
    <w:p w:rsidR="00884056" w:rsidRPr="00884056" w:rsidRDefault="00884056" w:rsidP="00884056">
      <w:pPr>
        <w:jc w:val="center"/>
        <w:rPr>
          <w:rFonts w:eastAsiaTheme="minorHAnsi" w:cstheme="minorBidi"/>
          <w:szCs w:val="24"/>
          <w:lang w:val="fr-CA" w:eastAsia="en-US"/>
        </w:rPr>
      </w:pPr>
      <w:r w:rsidRPr="00884056">
        <w:rPr>
          <w:rFonts w:eastAsiaTheme="minorHAnsi" w:cstheme="minorBidi"/>
          <w:szCs w:val="24"/>
          <w:lang w:val="fr-CA" w:eastAsia="en-US"/>
        </w:rPr>
        <w:t>- et -</w:t>
      </w:r>
    </w:p>
    <w:p w:rsidR="00884056" w:rsidRPr="00884056" w:rsidRDefault="00884056" w:rsidP="00884056">
      <w:pPr>
        <w:jc w:val="center"/>
        <w:rPr>
          <w:rFonts w:eastAsiaTheme="minorHAnsi" w:cstheme="minorBidi"/>
          <w:b/>
          <w:szCs w:val="24"/>
          <w:lang w:val="fr-CA" w:eastAsia="en-US"/>
        </w:rPr>
      </w:pPr>
      <w:r w:rsidRPr="00884056">
        <w:rPr>
          <w:rFonts w:eastAsiaTheme="minorHAnsi" w:cstheme="minorBidi"/>
          <w:b/>
          <w:szCs w:val="24"/>
          <w:lang w:val="fr-CA" w:eastAsia="en-US"/>
        </w:rPr>
        <w:t>Directeur des poursuites pénales et procureur général de l’Ontario</w:t>
      </w:r>
    </w:p>
    <w:p w:rsidR="00884056" w:rsidRPr="00884056" w:rsidRDefault="00884056" w:rsidP="00884056">
      <w:pPr>
        <w:jc w:val="center"/>
        <w:rPr>
          <w:rFonts w:eastAsiaTheme="minorHAnsi" w:cstheme="minorBidi"/>
          <w:szCs w:val="24"/>
          <w:lang w:val="fr-CA" w:eastAsia="en-US"/>
        </w:rPr>
      </w:pPr>
      <w:r w:rsidRPr="00884056">
        <w:rPr>
          <w:rFonts w:eastAsiaTheme="minorHAnsi" w:cstheme="minorBidi"/>
          <w:szCs w:val="24"/>
          <w:lang w:val="fr-CA" w:eastAsia="en-US"/>
        </w:rPr>
        <w:t>Intervenants</w:t>
      </w:r>
    </w:p>
    <w:p w:rsidR="00884056" w:rsidRPr="00884056" w:rsidRDefault="00884056" w:rsidP="00884056">
      <w:pPr>
        <w:rPr>
          <w:rFonts w:eastAsiaTheme="minorHAnsi" w:cstheme="minorBidi"/>
          <w:szCs w:val="24"/>
          <w:lang w:val="fr-CA" w:eastAsia="en-US"/>
        </w:rPr>
      </w:pPr>
    </w:p>
    <w:p w:rsidR="00884056" w:rsidRPr="00884056" w:rsidRDefault="00884056" w:rsidP="00884056">
      <w:pPr>
        <w:jc w:val="center"/>
        <w:rPr>
          <w:rFonts w:eastAsiaTheme="minorHAnsi" w:cstheme="minorBidi"/>
          <w:b/>
          <w:smallCaps/>
          <w:szCs w:val="24"/>
          <w:lang w:val="fr-CA" w:eastAsia="en-US"/>
        </w:rPr>
      </w:pPr>
      <w:r w:rsidRPr="00884056">
        <w:rPr>
          <w:rFonts w:eastAsiaTheme="minorHAnsi" w:cstheme="minorBidi"/>
          <w:b/>
          <w:smallCaps/>
          <w:szCs w:val="24"/>
          <w:lang w:val="fr-CA" w:eastAsia="en-US"/>
        </w:rPr>
        <w:t>Traduction française officielle</w:t>
      </w:r>
    </w:p>
    <w:p w:rsidR="00884056" w:rsidRPr="00884056" w:rsidRDefault="00884056" w:rsidP="00884056">
      <w:pPr>
        <w:rPr>
          <w:rFonts w:eastAsiaTheme="minorHAnsi" w:cstheme="minorBidi"/>
          <w:szCs w:val="24"/>
          <w:lang w:val="fr-CA" w:eastAsia="en-US"/>
        </w:rPr>
      </w:pPr>
    </w:p>
    <w:p w:rsidR="00884056" w:rsidRPr="00884056" w:rsidRDefault="00884056" w:rsidP="00884056">
      <w:pPr>
        <w:rPr>
          <w:rFonts w:eastAsiaTheme="minorHAnsi" w:cstheme="minorBidi"/>
          <w:szCs w:val="24"/>
          <w:lang w:val="fr-CA" w:eastAsia="en-US"/>
        </w:rPr>
      </w:pPr>
      <w:r w:rsidRPr="00884056">
        <w:rPr>
          <w:rFonts w:eastAsiaTheme="minorHAnsi" w:cstheme="minorBidi"/>
          <w:b/>
          <w:smallCaps/>
          <w:szCs w:val="24"/>
          <w:lang w:val="fr-CA" w:eastAsia="en-US"/>
        </w:rPr>
        <w:t>Coram :</w:t>
      </w:r>
      <w:r w:rsidRPr="00884056">
        <w:rPr>
          <w:rFonts w:eastAsiaTheme="minorHAnsi" w:cstheme="minorBidi"/>
          <w:szCs w:val="24"/>
          <w:lang w:val="fr-CA" w:eastAsia="en-US"/>
        </w:rPr>
        <w:t xml:space="preserve"> La juge en chef </w:t>
      </w:r>
      <w:proofErr w:type="spellStart"/>
      <w:r w:rsidRPr="00884056">
        <w:rPr>
          <w:rFonts w:eastAsiaTheme="minorHAnsi" w:cstheme="minorBidi"/>
          <w:szCs w:val="24"/>
          <w:lang w:val="fr-CA" w:eastAsia="en-US"/>
        </w:rPr>
        <w:t>McLachlin</w:t>
      </w:r>
      <w:proofErr w:type="spellEnd"/>
      <w:r w:rsidRPr="00884056">
        <w:rPr>
          <w:rFonts w:eastAsiaTheme="minorHAnsi" w:cstheme="minorBidi"/>
          <w:szCs w:val="24"/>
          <w:lang w:val="fr-CA" w:eastAsia="en-US"/>
        </w:rPr>
        <w:t xml:space="preserve"> et les juges LeBel, Fish, Abella, </w:t>
      </w:r>
      <w:proofErr w:type="spellStart"/>
      <w:r w:rsidRPr="00884056">
        <w:rPr>
          <w:rFonts w:eastAsiaTheme="minorHAnsi" w:cstheme="minorBidi"/>
          <w:szCs w:val="24"/>
          <w:lang w:val="fr-CA" w:eastAsia="en-US"/>
        </w:rPr>
        <w:t>Rothstein</w:t>
      </w:r>
      <w:proofErr w:type="spellEnd"/>
      <w:r w:rsidRPr="00884056">
        <w:rPr>
          <w:rFonts w:eastAsiaTheme="minorHAnsi" w:cstheme="minorBidi"/>
          <w:szCs w:val="24"/>
          <w:lang w:val="fr-CA" w:eastAsia="en-US"/>
        </w:rPr>
        <w:t xml:space="preserve">, </w:t>
      </w:r>
      <w:proofErr w:type="spellStart"/>
      <w:r w:rsidRPr="00884056">
        <w:rPr>
          <w:rFonts w:eastAsiaTheme="minorHAnsi" w:cstheme="minorBidi"/>
          <w:szCs w:val="24"/>
          <w:lang w:val="fr-CA" w:eastAsia="en-US"/>
        </w:rPr>
        <w:t>Moldaver</w:t>
      </w:r>
      <w:proofErr w:type="spellEnd"/>
      <w:r w:rsidRPr="00884056">
        <w:rPr>
          <w:rFonts w:eastAsiaTheme="minorHAnsi" w:cstheme="minorBidi"/>
          <w:szCs w:val="24"/>
          <w:lang w:val="fr-CA" w:eastAsia="en-US"/>
        </w:rPr>
        <w:t xml:space="preserve"> et Wagner</w:t>
      </w:r>
    </w:p>
    <w:p w:rsidR="00884056" w:rsidRPr="00884056" w:rsidRDefault="00884056" w:rsidP="00884056">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84056" w:rsidRPr="00884056" w:rsidTr="008548F6">
        <w:trPr>
          <w:cantSplit/>
        </w:trPr>
        <w:tc>
          <w:tcPr>
            <w:tcW w:w="3618" w:type="dxa"/>
          </w:tcPr>
          <w:p w:rsidR="00884056" w:rsidRPr="00884056" w:rsidRDefault="00884056" w:rsidP="00884056">
            <w:pPr>
              <w:rPr>
                <w:b/>
                <w:smallCaps/>
                <w:lang w:val="fr-CA"/>
              </w:rPr>
            </w:pPr>
            <w:r w:rsidRPr="00884056">
              <w:rPr>
                <w:b/>
                <w:smallCaps/>
                <w:lang w:val="fr-CA"/>
              </w:rPr>
              <w:t>Motifs de jugement :</w:t>
            </w:r>
          </w:p>
          <w:p w:rsidR="00884056" w:rsidRPr="00884056" w:rsidRDefault="00884056" w:rsidP="00884056">
            <w:pPr>
              <w:rPr>
                <w:lang w:val="fr-CA"/>
              </w:rPr>
            </w:pPr>
            <w:r w:rsidRPr="00884056">
              <w:rPr>
                <w:lang w:val="fr-CA"/>
              </w:rPr>
              <w:t>(par. 1 à 63)</w:t>
            </w:r>
          </w:p>
          <w:p w:rsidR="00884056" w:rsidRPr="00884056" w:rsidRDefault="00884056" w:rsidP="00884056">
            <w:pPr>
              <w:rPr>
                <w:lang w:val="fr-CA"/>
              </w:rPr>
            </w:pPr>
          </w:p>
          <w:p w:rsidR="00884056" w:rsidRPr="00884056" w:rsidRDefault="00884056" w:rsidP="00884056">
            <w:pPr>
              <w:rPr>
                <w:b/>
                <w:smallCaps/>
                <w:lang w:val="fr-CA"/>
              </w:rPr>
            </w:pPr>
            <w:r w:rsidRPr="00884056">
              <w:rPr>
                <w:b/>
                <w:smallCaps/>
                <w:lang w:val="fr-CA"/>
              </w:rPr>
              <w:t>Motifs concordants :</w:t>
            </w:r>
          </w:p>
          <w:p w:rsidR="00884056" w:rsidRPr="00884056" w:rsidRDefault="00884056" w:rsidP="00884056">
            <w:pPr>
              <w:rPr>
                <w:lang w:val="fr-CA"/>
              </w:rPr>
            </w:pPr>
            <w:r w:rsidRPr="00884056">
              <w:rPr>
                <w:lang w:val="fr-CA"/>
              </w:rPr>
              <w:t>(par. 64 à 92)</w:t>
            </w:r>
          </w:p>
        </w:tc>
        <w:tc>
          <w:tcPr>
            <w:tcW w:w="5958" w:type="dxa"/>
          </w:tcPr>
          <w:p w:rsidR="00884056" w:rsidRPr="00884056" w:rsidRDefault="00884056" w:rsidP="00884056">
            <w:pPr>
              <w:rPr>
                <w:lang w:val="fr-CA"/>
              </w:rPr>
            </w:pPr>
            <w:r w:rsidRPr="00884056">
              <w:rPr>
                <w:lang w:val="fr-CA"/>
              </w:rPr>
              <w:t xml:space="preserve">Le juge LeBel (avec l’accord de la juge en chef </w:t>
            </w:r>
            <w:proofErr w:type="spellStart"/>
            <w:r w:rsidRPr="00884056">
              <w:rPr>
                <w:lang w:val="fr-CA"/>
              </w:rPr>
              <w:t>McLachlin</w:t>
            </w:r>
            <w:proofErr w:type="spellEnd"/>
            <w:r w:rsidRPr="00884056">
              <w:rPr>
                <w:lang w:val="fr-CA"/>
              </w:rPr>
              <w:t xml:space="preserve"> et des juges Fish et Abella)</w:t>
            </w:r>
          </w:p>
          <w:p w:rsidR="00884056" w:rsidRPr="00884056" w:rsidRDefault="00884056" w:rsidP="00884056">
            <w:pPr>
              <w:rPr>
                <w:lang w:val="fr-CA"/>
              </w:rPr>
            </w:pPr>
          </w:p>
          <w:p w:rsidR="00884056" w:rsidRPr="00884056" w:rsidRDefault="00884056" w:rsidP="00884056">
            <w:pPr>
              <w:rPr>
                <w:lang w:val="fr-CA"/>
              </w:rPr>
            </w:pPr>
            <w:r w:rsidRPr="00884056">
              <w:rPr>
                <w:lang w:val="fr-CA"/>
              </w:rPr>
              <w:t xml:space="preserve">Les juges </w:t>
            </w:r>
            <w:proofErr w:type="spellStart"/>
            <w:r w:rsidRPr="00884056">
              <w:rPr>
                <w:lang w:val="fr-CA"/>
              </w:rPr>
              <w:t>Moldaver</w:t>
            </w:r>
            <w:proofErr w:type="spellEnd"/>
            <w:r w:rsidRPr="00884056">
              <w:rPr>
                <w:lang w:val="fr-CA"/>
              </w:rPr>
              <w:t xml:space="preserve"> et Wagner (avec l’accord du juge </w:t>
            </w:r>
            <w:proofErr w:type="spellStart"/>
            <w:r w:rsidRPr="00884056">
              <w:rPr>
                <w:lang w:val="fr-CA"/>
              </w:rPr>
              <w:t>Rothstein</w:t>
            </w:r>
            <w:proofErr w:type="spellEnd"/>
            <w:r w:rsidRPr="00884056">
              <w:rPr>
                <w:lang w:val="fr-CA"/>
              </w:rPr>
              <w:t>)</w:t>
            </w:r>
          </w:p>
        </w:tc>
      </w:tr>
    </w:tbl>
    <w:p w:rsidR="00884056" w:rsidRPr="00884056" w:rsidRDefault="00884056" w:rsidP="00884056">
      <w:pPr>
        <w:rPr>
          <w:rFonts w:eastAsiaTheme="minorHAnsi" w:cstheme="minorBidi"/>
          <w:szCs w:val="24"/>
          <w:lang w:val="fr-CA" w:eastAsia="en-US"/>
        </w:rPr>
      </w:pPr>
    </w:p>
    <w:p w:rsidR="00884056" w:rsidRPr="00884056" w:rsidRDefault="00957D10" w:rsidP="00884056">
      <w:pPr>
        <w:rPr>
          <w:rFonts w:eastAsiaTheme="minorHAnsi" w:cstheme="minorBidi"/>
          <w:szCs w:val="24"/>
          <w:lang w:val="fr-CA" w:eastAsia="en-US"/>
        </w:rPr>
      </w:pPr>
      <w:r w:rsidRPr="00957D10">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884056" w:rsidRDefault="00884056" w:rsidP="00884056"/>
    <w:p w:rsidR="004D7D95" w:rsidRDefault="00884056" w:rsidP="00884056">
      <w:pPr>
        <w:rPr>
          <w:rFonts w:eastAsiaTheme="minorHAnsi"/>
        </w:rPr>
      </w:pPr>
      <w:r>
        <w:t>R</w:t>
      </w:r>
      <w:r w:rsidR="00E159BF" w:rsidRPr="00884056">
        <w:t>.</w:t>
      </w:r>
      <w:r w:rsidR="00E159BF" w:rsidRPr="00884056">
        <w:rPr>
          <w:i/>
        </w:rPr>
        <w:t xml:space="preserve"> c</w:t>
      </w:r>
      <w:r w:rsidR="00E159BF" w:rsidRPr="00884056">
        <w:t xml:space="preserve">. </w:t>
      </w:r>
      <w:r>
        <w:t>M</w:t>
      </w:r>
      <w:r w:rsidR="004D7D95" w:rsidRPr="00884056">
        <w:t>ac</w:t>
      </w:r>
      <w:r>
        <w:t>D</w:t>
      </w:r>
      <w:r w:rsidR="004D7D95" w:rsidRPr="00884056">
        <w:t>onald</w:t>
      </w:r>
      <w:r w:rsidRPr="00884056">
        <w:t>,</w:t>
      </w:r>
      <w:r>
        <w:t xml:space="preserve"> </w:t>
      </w:r>
      <w:r w:rsidRPr="00884056">
        <w:rPr>
          <w:rFonts w:eastAsiaTheme="minorHAnsi"/>
        </w:rPr>
        <w:t>2014 CSC 3, [2014] 1 R.C.S. 37</w:t>
      </w:r>
    </w:p>
    <w:p w:rsidR="00884056" w:rsidRPr="00884056" w:rsidRDefault="00884056" w:rsidP="00884056"/>
    <w:p w:rsidR="00E120B6" w:rsidRPr="003D1C80" w:rsidRDefault="00AF77F0" w:rsidP="007A46E5">
      <w:pPr>
        <w:pStyle w:val="SCCLsocLastPartyInRole"/>
        <w:rPr>
          <w:lang w:val="en-US"/>
        </w:rPr>
      </w:pPr>
      <w:r w:rsidRPr="003D1C80">
        <w:rPr>
          <w:lang w:val="en-US"/>
        </w:rPr>
        <w:t>Erin Lee MacDonald</w:t>
      </w:r>
      <w:r w:rsidRPr="003D1C80">
        <w:rPr>
          <w:rStyle w:val="SCCLsocPartyRole"/>
          <w:lang w:val="en-US"/>
        </w:rPr>
        <w:tab/>
      </w:r>
      <w:proofErr w:type="spellStart"/>
      <w:r w:rsidRPr="003D1C80">
        <w:rPr>
          <w:rStyle w:val="SCCLsocPartyRole"/>
          <w:lang w:val="en-US"/>
        </w:rPr>
        <w:t>Appelant</w:t>
      </w:r>
      <w:proofErr w:type="spellEnd"/>
    </w:p>
    <w:p w:rsidR="00E120B6" w:rsidRPr="003D1C80" w:rsidRDefault="00AF77F0" w:rsidP="007A46E5">
      <w:pPr>
        <w:pStyle w:val="SCCLsocVersus"/>
        <w:rPr>
          <w:lang w:val="fr-CA"/>
        </w:rPr>
      </w:pPr>
      <w:proofErr w:type="gramStart"/>
      <w:r w:rsidRPr="003D1C80">
        <w:rPr>
          <w:lang w:val="fr-CA"/>
        </w:rPr>
        <w:t>c</w:t>
      </w:r>
      <w:proofErr w:type="gramEnd"/>
      <w:r w:rsidRPr="003D1C80">
        <w:rPr>
          <w:lang w:val="fr-CA"/>
        </w:rPr>
        <w:t>.</w:t>
      </w:r>
    </w:p>
    <w:p w:rsidR="00E120B6" w:rsidRPr="003D1C80" w:rsidRDefault="00AF77F0" w:rsidP="007A46E5">
      <w:pPr>
        <w:pStyle w:val="SCCLsocLastPartyInRole"/>
        <w:rPr>
          <w:rStyle w:val="SCCLsocPartyRole"/>
          <w:lang w:val="fr-CA"/>
        </w:rPr>
      </w:pPr>
      <w:r w:rsidRPr="003D1C80">
        <w:rPr>
          <w:lang w:val="fr-CA"/>
        </w:rPr>
        <w:lastRenderedPageBreak/>
        <w:t>Sa Majesté la Reine</w:t>
      </w:r>
      <w:r w:rsidR="00E159BF" w:rsidRPr="003D1C80">
        <w:rPr>
          <w:rStyle w:val="SCCLsocPartyRole"/>
          <w:lang w:val="fr-CA"/>
        </w:rPr>
        <w:tab/>
        <w:t>Intimé</w:t>
      </w:r>
      <w:r w:rsidRPr="003D1C80">
        <w:rPr>
          <w:rStyle w:val="SCCLsocPartyRole"/>
          <w:lang w:val="fr-CA"/>
        </w:rPr>
        <w:t>e</w:t>
      </w:r>
    </w:p>
    <w:p w:rsidR="00700C55" w:rsidRPr="003D1C80" w:rsidRDefault="007A46E5" w:rsidP="007A46E5">
      <w:pPr>
        <w:spacing w:after="720"/>
        <w:rPr>
          <w:lang w:val="fr-CA"/>
        </w:rPr>
      </w:pPr>
      <w:r w:rsidRPr="003D1C80">
        <w:rPr>
          <w:lang w:val="fr-CA"/>
        </w:rPr>
        <w:noBreakHyphen/>
      </w:r>
      <w:r w:rsidR="00700C55" w:rsidRPr="003D1C80">
        <w:rPr>
          <w:lang w:val="fr-CA"/>
        </w:rPr>
        <w:t xml:space="preserve"> </w:t>
      </w:r>
      <w:proofErr w:type="gramStart"/>
      <w:r w:rsidR="00700C55" w:rsidRPr="003D1C80">
        <w:rPr>
          <w:lang w:val="fr-CA"/>
        </w:rPr>
        <w:t>et</w:t>
      </w:r>
      <w:proofErr w:type="gramEnd"/>
      <w:r w:rsidR="00700C55" w:rsidRPr="003D1C80">
        <w:rPr>
          <w:lang w:val="fr-CA"/>
        </w:rPr>
        <w:t xml:space="preserve"> </w:t>
      </w:r>
      <w:r w:rsidRPr="003D1C80">
        <w:rPr>
          <w:lang w:val="fr-CA"/>
        </w:rPr>
        <w:noBreakHyphen/>
      </w:r>
    </w:p>
    <w:p w:rsidR="00700C55" w:rsidRPr="003D1C80" w:rsidRDefault="00700C55" w:rsidP="007A46E5">
      <w:pPr>
        <w:pStyle w:val="SCCLsocLastPartyInRole"/>
        <w:rPr>
          <w:lang w:val="fr-CA"/>
        </w:rPr>
      </w:pPr>
      <w:r w:rsidRPr="003D1C80">
        <w:rPr>
          <w:lang w:val="fr-CA"/>
        </w:rPr>
        <w:t>Sa Majesté la Reine</w:t>
      </w:r>
      <w:r w:rsidRPr="003D1C80">
        <w:rPr>
          <w:rStyle w:val="SCCLsocPartyRole"/>
          <w:lang w:val="fr-CA"/>
        </w:rPr>
        <w:tab/>
        <w:t>Appelante</w:t>
      </w:r>
    </w:p>
    <w:p w:rsidR="00700C55" w:rsidRPr="003D1C80" w:rsidRDefault="00700C55" w:rsidP="007A46E5">
      <w:pPr>
        <w:pStyle w:val="SCCLsocVersus"/>
        <w:rPr>
          <w:lang w:val="fr-CA"/>
        </w:rPr>
      </w:pPr>
      <w:proofErr w:type="gramStart"/>
      <w:r w:rsidRPr="003D1C80">
        <w:rPr>
          <w:lang w:val="fr-CA"/>
        </w:rPr>
        <w:t>c</w:t>
      </w:r>
      <w:proofErr w:type="gramEnd"/>
      <w:r w:rsidRPr="003D1C80">
        <w:rPr>
          <w:lang w:val="fr-CA"/>
        </w:rPr>
        <w:t>.</w:t>
      </w:r>
    </w:p>
    <w:p w:rsidR="00700C55" w:rsidRPr="003D1C80" w:rsidRDefault="00700C55" w:rsidP="007A46E5">
      <w:pPr>
        <w:pStyle w:val="SCCLsocLastPartyInRole"/>
        <w:rPr>
          <w:lang w:val="fr-CA"/>
        </w:rPr>
      </w:pPr>
      <w:r w:rsidRPr="003D1C80">
        <w:rPr>
          <w:lang w:val="fr-CA"/>
        </w:rPr>
        <w:t>Erin Lee MacDonald</w:t>
      </w:r>
      <w:r w:rsidRPr="003D1C80">
        <w:rPr>
          <w:rStyle w:val="SCCLsocPartyRole"/>
          <w:lang w:val="fr-CA"/>
        </w:rPr>
        <w:tab/>
        <w:t>Intimé</w:t>
      </w:r>
    </w:p>
    <w:p w:rsidR="00E120B6" w:rsidRPr="003D1C80" w:rsidRDefault="00AF77F0" w:rsidP="007A46E5">
      <w:pPr>
        <w:pStyle w:val="SCCLsocOtherPartySeparator"/>
        <w:rPr>
          <w:lang w:val="fr-CA"/>
        </w:rPr>
      </w:pPr>
      <w:proofErr w:type="gramStart"/>
      <w:r w:rsidRPr="003D1C80">
        <w:rPr>
          <w:lang w:val="fr-CA"/>
        </w:rPr>
        <w:t>et</w:t>
      </w:r>
      <w:proofErr w:type="gramEnd"/>
    </w:p>
    <w:p w:rsidR="00E120B6" w:rsidRPr="003D1C80" w:rsidRDefault="00AF77F0" w:rsidP="007A46E5">
      <w:pPr>
        <w:pStyle w:val="SCCLsocParty"/>
        <w:rPr>
          <w:lang w:val="fr-CA"/>
        </w:rPr>
      </w:pPr>
      <w:r w:rsidRPr="003D1C80">
        <w:rPr>
          <w:lang w:val="fr-CA"/>
        </w:rPr>
        <w:t>Directeur des poursuites pénales</w:t>
      </w:r>
      <w:r w:rsidR="00E159BF" w:rsidRPr="003D1C80">
        <w:rPr>
          <w:lang w:val="fr-CA"/>
        </w:rPr>
        <w:t xml:space="preserve"> et </w:t>
      </w:r>
    </w:p>
    <w:p w:rsidR="00E120B6" w:rsidRPr="003D1C80" w:rsidRDefault="00E159BF" w:rsidP="007A46E5">
      <w:pPr>
        <w:pStyle w:val="SCCLsocLastPartyInRole"/>
        <w:rPr>
          <w:lang w:val="fr-CA"/>
        </w:rPr>
      </w:pPr>
      <w:proofErr w:type="gramStart"/>
      <w:r w:rsidRPr="003D1C80">
        <w:rPr>
          <w:lang w:val="fr-CA"/>
        </w:rPr>
        <w:t>p</w:t>
      </w:r>
      <w:r w:rsidR="00120719" w:rsidRPr="003D1C80">
        <w:rPr>
          <w:lang w:val="fr-CA"/>
        </w:rPr>
        <w:t>rocureur</w:t>
      </w:r>
      <w:proofErr w:type="gramEnd"/>
      <w:r w:rsidR="00120719" w:rsidRPr="003D1C80">
        <w:rPr>
          <w:lang w:val="fr-CA"/>
        </w:rPr>
        <w:t xml:space="preserve"> général de l</w:t>
      </w:r>
      <w:r w:rsidR="00375A6D" w:rsidRPr="003D1C80">
        <w:rPr>
          <w:lang w:val="fr-CA"/>
        </w:rPr>
        <w:t>’</w:t>
      </w:r>
      <w:r w:rsidR="00AF77F0" w:rsidRPr="003D1C80">
        <w:rPr>
          <w:lang w:val="fr-CA"/>
        </w:rPr>
        <w:t>Ontario</w:t>
      </w:r>
      <w:r w:rsidR="00AF77F0" w:rsidRPr="003D1C80">
        <w:rPr>
          <w:rStyle w:val="SCCLsocPartyRole"/>
          <w:lang w:val="fr-CA"/>
        </w:rPr>
        <w:tab/>
        <w:t>Intervenants</w:t>
      </w:r>
    </w:p>
    <w:p w:rsidR="004D7D95" w:rsidRPr="003D1C80" w:rsidRDefault="004D7D95" w:rsidP="007A46E5">
      <w:pPr>
        <w:spacing w:after="720"/>
        <w:jc w:val="both"/>
        <w:rPr>
          <w:b/>
          <w:lang w:val="fr-CA"/>
        </w:rPr>
      </w:pPr>
      <w:r w:rsidRPr="003D1C80">
        <w:rPr>
          <w:b/>
          <w:lang w:val="fr-CA"/>
        </w:rPr>
        <w:t>Répert</w:t>
      </w:r>
      <w:r w:rsidR="00120719" w:rsidRPr="003D1C80">
        <w:rPr>
          <w:b/>
          <w:lang w:val="fr-CA"/>
        </w:rPr>
        <w:t>orié</w:t>
      </w:r>
      <w:r w:rsidR="007A46E5" w:rsidRPr="003D1C80">
        <w:rPr>
          <w:b/>
          <w:lang w:val="fr-CA"/>
        </w:rPr>
        <w:t> :</w:t>
      </w:r>
      <w:r w:rsidR="00120719" w:rsidRPr="003D1C80">
        <w:rPr>
          <w:b/>
          <w:lang w:val="fr-CA"/>
        </w:rPr>
        <w:t xml:space="preserve"> R. </w:t>
      </w:r>
      <w:r w:rsidR="00120719" w:rsidRPr="003D1C80">
        <w:rPr>
          <w:b/>
          <w:i/>
          <w:lang w:val="fr-CA"/>
        </w:rPr>
        <w:t xml:space="preserve">c. </w:t>
      </w:r>
      <w:r w:rsidRPr="003D1C80">
        <w:rPr>
          <w:rStyle w:val="SCCAppellantForIndexChar"/>
          <w:lang w:val="fr-CA"/>
        </w:rPr>
        <w:t>MacDonald</w:t>
      </w:r>
    </w:p>
    <w:p w:rsidR="004D7D95" w:rsidRPr="003D1C80" w:rsidRDefault="00FD2B1C" w:rsidP="007A46E5">
      <w:pPr>
        <w:pStyle w:val="SCCSystemYear"/>
        <w:spacing w:after="720"/>
        <w:jc w:val="both"/>
        <w:rPr>
          <w:lang w:val="fr-CA"/>
        </w:rPr>
      </w:pPr>
      <w:r w:rsidRPr="003D1C80">
        <w:rPr>
          <w:lang w:val="fr-CA"/>
        </w:rPr>
        <w:t>2014</w:t>
      </w:r>
      <w:r w:rsidR="004D7D95" w:rsidRPr="003D1C80">
        <w:rPr>
          <w:lang w:val="fr-CA"/>
        </w:rPr>
        <w:t xml:space="preserve"> CSC </w:t>
      </w:r>
      <w:r w:rsidR="008972D4">
        <w:rPr>
          <w:lang w:val="fr-CA"/>
        </w:rPr>
        <w:t>3</w:t>
      </w:r>
    </w:p>
    <w:p w:rsidR="004D7D95" w:rsidRPr="003D1C80" w:rsidRDefault="004D7D95" w:rsidP="007A46E5">
      <w:pPr>
        <w:spacing w:after="720"/>
        <w:jc w:val="both"/>
        <w:rPr>
          <w:lang w:val="fr-CA"/>
        </w:rPr>
      </w:pPr>
      <w:r w:rsidRPr="003D1C80">
        <w:rPr>
          <w:lang w:val="fr-CA"/>
        </w:rPr>
        <w:t>N</w:t>
      </w:r>
      <w:r w:rsidRPr="003D1C80">
        <w:rPr>
          <w:vertAlign w:val="superscript"/>
          <w:lang w:val="fr-CA"/>
        </w:rPr>
        <w:t>o</w:t>
      </w:r>
      <w:r w:rsidRPr="003D1C80">
        <w:rPr>
          <w:lang w:val="fr-CA"/>
        </w:rPr>
        <w:t xml:space="preserve"> du greffe</w:t>
      </w:r>
      <w:r w:rsidR="007A46E5" w:rsidRPr="003D1C80">
        <w:rPr>
          <w:lang w:val="fr-CA"/>
        </w:rPr>
        <w:t> :</w:t>
      </w:r>
      <w:r w:rsidRPr="003D1C80">
        <w:rPr>
          <w:lang w:val="fr-CA"/>
        </w:rPr>
        <w:t> 34914.</w:t>
      </w:r>
    </w:p>
    <w:p w:rsidR="004D7D95" w:rsidRPr="003D1C80" w:rsidRDefault="007A46E5" w:rsidP="007A46E5">
      <w:pPr>
        <w:spacing w:after="720"/>
        <w:jc w:val="both"/>
        <w:rPr>
          <w:lang w:val="fr-CA"/>
        </w:rPr>
      </w:pPr>
      <w:r w:rsidRPr="003D1C80">
        <w:rPr>
          <w:lang w:val="fr-CA"/>
        </w:rPr>
        <w:t>2013 : </w:t>
      </w:r>
      <w:r w:rsidR="00F62639" w:rsidRPr="003D1C80">
        <w:rPr>
          <w:lang w:val="fr-CA"/>
        </w:rPr>
        <w:t>23 mai</w:t>
      </w:r>
      <w:r w:rsidRPr="003D1C80">
        <w:rPr>
          <w:lang w:val="fr-CA"/>
        </w:rPr>
        <w:t>; 2014 : </w:t>
      </w:r>
      <w:r w:rsidR="00FD2B1C" w:rsidRPr="003D1C80">
        <w:rPr>
          <w:lang w:val="fr-CA"/>
        </w:rPr>
        <w:t>17</w:t>
      </w:r>
      <w:r w:rsidRPr="003D1C80">
        <w:rPr>
          <w:lang w:val="fr-CA"/>
        </w:rPr>
        <w:t> </w:t>
      </w:r>
      <w:r w:rsidR="00FD2B1C" w:rsidRPr="003D1C80">
        <w:rPr>
          <w:lang w:val="fr-CA"/>
        </w:rPr>
        <w:t>janvier</w:t>
      </w:r>
      <w:r w:rsidR="004D7D95" w:rsidRPr="003D1C80">
        <w:rPr>
          <w:lang w:val="fr-CA"/>
        </w:rPr>
        <w:t>.</w:t>
      </w:r>
    </w:p>
    <w:p w:rsidR="004D7D95" w:rsidRPr="003D1C80" w:rsidRDefault="004D7D95" w:rsidP="007A46E5">
      <w:pPr>
        <w:spacing w:after="720"/>
        <w:jc w:val="both"/>
        <w:rPr>
          <w:lang w:val="fr-CA"/>
        </w:rPr>
      </w:pPr>
      <w:r w:rsidRPr="003D1C80">
        <w:rPr>
          <w:lang w:val="fr-CA"/>
        </w:rPr>
        <w:t>Présents</w:t>
      </w:r>
      <w:r w:rsidR="007A46E5" w:rsidRPr="003D1C80">
        <w:rPr>
          <w:lang w:val="fr-CA"/>
        </w:rPr>
        <w:t> :</w:t>
      </w:r>
      <w:r w:rsidRPr="003D1C80">
        <w:rPr>
          <w:lang w:val="fr-CA"/>
        </w:rPr>
        <w:t xml:space="preserve"> La juge en chef </w:t>
      </w:r>
      <w:proofErr w:type="spellStart"/>
      <w:r w:rsidRPr="003D1C80">
        <w:rPr>
          <w:lang w:val="fr-CA"/>
        </w:rPr>
        <w:t>McLachlin</w:t>
      </w:r>
      <w:proofErr w:type="spellEnd"/>
      <w:r w:rsidRPr="003D1C80">
        <w:rPr>
          <w:lang w:val="fr-CA"/>
        </w:rPr>
        <w:t xml:space="preserve"> et les juges LeBel, Fish, Abella, </w:t>
      </w:r>
      <w:proofErr w:type="spellStart"/>
      <w:r w:rsidRPr="003D1C80">
        <w:rPr>
          <w:lang w:val="fr-CA"/>
        </w:rPr>
        <w:t>Rothstein</w:t>
      </w:r>
      <w:proofErr w:type="spellEnd"/>
      <w:r w:rsidRPr="003D1C80">
        <w:rPr>
          <w:lang w:val="fr-CA"/>
        </w:rPr>
        <w:t xml:space="preserve">, </w:t>
      </w:r>
      <w:proofErr w:type="spellStart"/>
      <w:r w:rsidRPr="003D1C80">
        <w:rPr>
          <w:lang w:val="fr-CA"/>
        </w:rPr>
        <w:t>Moldaver</w:t>
      </w:r>
      <w:proofErr w:type="spellEnd"/>
      <w:r w:rsidRPr="003D1C80">
        <w:rPr>
          <w:lang w:val="fr-CA"/>
        </w:rPr>
        <w:t xml:space="preserve"> et Wagner.</w:t>
      </w:r>
    </w:p>
    <w:p w:rsidR="004D7D95" w:rsidRPr="003D1C80" w:rsidRDefault="004D7D95" w:rsidP="007A46E5">
      <w:pPr>
        <w:spacing w:after="720"/>
        <w:jc w:val="both"/>
        <w:rPr>
          <w:smallCaps/>
          <w:lang w:val="fr-CA"/>
        </w:rPr>
      </w:pPr>
      <w:r w:rsidRPr="003D1C80">
        <w:rPr>
          <w:smallCaps/>
          <w:lang w:val="fr-CA"/>
        </w:rPr>
        <w:t>en appel de la cour d</w:t>
      </w:r>
      <w:r w:rsidR="00375A6D" w:rsidRPr="003D1C80">
        <w:rPr>
          <w:smallCaps/>
          <w:lang w:val="fr-CA"/>
        </w:rPr>
        <w:t>’</w:t>
      </w:r>
      <w:r w:rsidRPr="003D1C80">
        <w:rPr>
          <w:smallCaps/>
          <w:lang w:val="fr-CA"/>
        </w:rPr>
        <w:t xml:space="preserve">appel de la </w:t>
      </w:r>
      <w:proofErr w:type="spellStart"/>
      <w:r w:rsidRPr="003D1C80">
        <w:rPr>
          <w:smallCaps/>
          <w:lang w:val="fr-CA"/>
        </w:rPr>
        <w:t>nouvelle</w:t>
      </w:r>
      <w:r w:rsidR="007A46E5" w:rsidRPr="003D1C80">
        <w:rPr>
          <w:smallCaps/>
          <w:lang w:val="fr-CA"/>
        </w:rPr>
        <w:noBreakHyphen/>
      </w:r>
      <w:r w:rsidRPr="003D1C80">
        <w:rPr>
          <w:smallCaps/>
          <w:lang w:val="fr-CA"/>
        </w:rPr>
        <w:t>écosse</w:t>
      </w:r>
      <w:proofErr w:type="spellEnd"/>
    </w:p>
    <w:p w:rsidR="004D7D95" w:rsidRPr="003D1C80" w:rsidRDefault="004D7D95" w:rsidP="007A46E5">
      <w:pPr>
        <w:pStyle w:val="SCCNormalDoubleSpacing"/>
        <w:spacing w:before="480" w:after="480"/>
        <w:rPr>
          <w:i/>
          <w:lang w:val="fr-CA"/>
        </w:rPr>
      </w:pPr>
      <w:r w:rsidRPr="003D1C80">
        <w:rPr>
          <w:lang w:val="fr-CA"/>
        </w:rPr>
        <w:lastRenderedPageBreak/>
        <w:tab/>
      </w:r>
      <w:r w:rsidR="00E25B65" w:rsidRPr="003D1C80">
        <w:rPr>
          <w:i/>
          <w:lang w:val="fr-CA"/>
        </w:rPr>
        <w:t xml:space="preserve">Droit constitutionnel </w:t>
      </w:r>
      <w:r w:rsidR="007A46E5" w:rsidRPr="003D1C80">
        <w:rPr>
          <w:i/>
          <w:lang w:val="fr-CA"/>
        </w:rPr>
        <w:t xml:space="preserve">— </w:t>
      </w:r>
      <w:r w:rsidR="00E25B65" w:rsidRPr="003D1C80">
        <w:rPr>
          <w:i/>
          <w:lang w:val="fr-CA"/>
        </w:rPr>
        <w:t xml:space="preserve">Charte des droits </w:t>
      </w:r>
      <w:r w:rsidR="007A46E5" w:rsidRPr="003D1C80">
        <w:rPr>
          <w:i/>
          <w:lang w:val="fr-CA"/>
        </w:rPr>
        <w:t xml:space="preserve">— </w:t>
      </w:r>
      <w:r w:rsidR="00E25B65" w:rsidRPr="003D1C80">
        <w:rPr>
          <w:i/>
          <w:lang w:val="fr-CA"/>
        </w:rPr>
        <w:t xml:space="preserve">Fouilles, perquisitions et saisies </w:t>
      </w:r>
      <w:r w:rsidR="007A46E5" w:rsidRPr="003D1C80">
        <w:rPr>
          <w:i/>
          <w:lang w:val="fr-CA"/>
        </w:rPr>
        <w:t xml:space="preserve">— </w:t>
      </w:r>
      <w:bookmarkStart w:id="0" w:name="OLE_LINK1"/>
      <w:bookmarkStart w:id="1" w:name="OLE_LINK2"/>
      <w:r w:rsidR="00E25B65" w:rsidRPr="003D1C80">
        <w:rPr>
          <w:i/>
          <w:lang w:val="fr-CA"/>
        </w:rPr>
        <w:t>Policier répondant à une plainte de bruit à la résidence de l</w:t>
      </w:r>
      <w:r w:rsidR="00375A6D" w:rsidRPr="003D1C80">
        <w:rPr>
          <w:i/>
          <w:lang w:val="fr-CA"/>
        </w:rPr>
        <w:t>’</w:t>
      </w:r>
      <w:r w:rsidR="00E25B65" w:rsidRPr="003D1C80">
        <w:rPr>
          <w:i/>
          <w:lang w:val="fr-CA"/>
        </w:rPr>
        <w:t xml:space="preserve">accusé </w:t>
      </w:r>
      <w:r w:rsidR="007A46E5" w:rsidRPr="003D1C80">
        <w:rPr>
          <w:i/>
          <w:lang w:val="fr-CA"/>
        </w:rPr>
        <w:t xml:space="preserve">— </w:t>
      </w:r>
      <w:r w:rsidR="00E25B65" w:rsidRPr="003D1C80">
        <w:rPr>
          <w:i/>
          <w:lang w:val="fr-CA"/>
        </w:rPr>
        <w:t xml:space="preserve">Accusé dissimulant une arme à feu à autorisation restreinte </w:t>
      </w:r>
      <w:r w:rsidR="00CA1E7B">
        <w:rPr>
          <w:i/>
          <w:lang w:val="fr-CA"/>
        </w:rPr>
        <w:t xml:space="preserve">chargée </w:t>
      </w:r>
      <w:r w:rsidR="00E25B65" w:rsidRPr="003D1C80">
        <w:rPr>
          <w:i/>
          <w:lang w:val="fr-CA"/>
        </w:rPr>
        <w:t xml:space="preserve">en ouvrant la porte </w:t>
      </w:r>
      <w:r w:rsidR="007A46E5" w:rsidRPr="003D1C80">
        <w:rPr>
          <w:i/>
          <w:lang w:val="fr-CA"/>
        </w:rPr>
        <w:t xml:space="preserve">— </w:t>
      </w:r>
      <w:bookmarkEnd w:id="0"/>
      <w:bookmarkEnd w:id="1"/>
      <w:r w:rsidR="00DC02F4" w:rsidRPr="003D1C80">
        <w:rPr>
          <w:i/>
          <w:lang w:val="fr-CA"/>
        </w:rPr>
        <w:t>Policier poussant la porte pour l</w:t>
      </w:r>
      <w:r w:rsidR="00375A6D" w:rsidRPr="003D1C80">
        <w:rPr>
          <w:i/>
          <w:lang w:val="fr-CA"/>
        </w:rPr>
        <w:t>’</w:t>
      </w:r>
      <w:r w:rsidR="00DC02F4" w:rsidRPr="003D1C80">
        <w:rPr>
          <w:i/>
          <w:lang w:val="fr-CA"/>
        </w:rPr>
        <w:t>ouvrir un peu plus afin de voir ce que dissimulait l</w:t>
      </w:r>
      <w:r w:rsidR="00375A6D" w:rsidRPr="003D1C80">
        <w:rPr>
          <w:i/>
          <w:lang w:val="fr-CA"/>
        </w:rPr>
        <w:t>’</w:t>
      </w:r>
      <w:r w:rsidR="00DC02F4" w:rsidRPr="003D1C80">
        <w:rPr>
          <w:i/>
          <w:lang w:val="fr-CA"/>
        </w:rPr>
        <w:t xml:space="preserve">accusé </w:t>
      </w:r>
      <w:r w:rsidR="007A46E5" w:rsidRPr="003D1C80">
        <w:rPr>
          <w:i/>
          <w:lang w:val="fr-CA"/>
        </w:rPr>
        <w:t xml:space="preserve">— </w:t>
      </w:r>
      <w:r w:rsidR="00DC02F4" w:rsidRPr="003D1C80">
        <w:rPr>
          <w:i/>
          <w:lang w:val="fr-CA"/>
        </w:rPr>
        <w:t xml:space="preserve">La conduite du policier </w:t>
      </w:r>
      <w:proofErr w:type="spellStart"/>
      <w:r w:rsidR="00DC02F4" w:rsidRPr="003D1C80">
        <w:rPr>
          <w:i/>
          <w:lang w:val="fr-CA"/>
        </w:rPr>
        <w:t>constituait</w:t>
      </w:r>
      <w:r w:rsidR="007A46E5" w:rsidRPr="003D1C80">
        <w:rPr>
          <w:i/>
          <w:lang w:val="fr-CA"/>
        </w:rPr>
        <w:noBreakHyphen/>
      </w:r>
      <w:r w:rsidR="00DC02F4" w:rsidRPr="003D1C80">
        <w:rPr>
          <w:i/>
          <w:lang w:val="fr-CA"/>
        </w:rPr>
        <w:t>elle</w:t>
      </w:r>
      <w:proofErr w:type="spellEnd"/>
      <w:r w:rsidR="00DC02F4" w:rsidRPr="003D1C80">
        <w:rPr>
          <w:i/>
          <w:lang w:val="fr-CA"/>
        </w:rPr>
        <w:t xml:space="preserve"> une fouille et, dans l</w:t>
      </w:r>
      <w:r w:rsidR="00375A6D" w:rsidRPr="003D1C80">
        <w:rPr>
          <w:i/>
          <w:lang w:val="fr-CA"/>
        </w:rPr>
        <w:t>’</w:t>
      </w:r>
      <w:r w:rsidR="00DC02F4" w:rsidRPr="003D1C80">
        <w:rPr>
          <w:i/>
          <w:lang w:val="fr-CA"/>
        </w:rPr>
        <w:t xml:space="preserve">affirmative, la fouille </w:t>
      </w:r>
      <w:proofErr w:type="spellStart"/>
      <w:r w:rsidR="00DC02F4" w:rsidRPr="003D1C80">
        <w:rPr>
          <w:i/>
          <w:lang w:val="fr-CA"/>
        </w:rPr>
        <w:t>était</w:t>
      </w:r>
      <w:r w:rsidR="007A46E5" w:rsidRPr="003D1C80">
        <w:rPr>
          <w:i/>
          <w:lang w:val="fr-CA"/>
        </w:rPr>
        <w:noBreakHyphen/>
      </w:r>
      <w:r w:rsidR="00DC02F4" w:rsidRPr="003D1C80">
        <w:rPr>
          <w:i/>
          <w:lang w:val="fr-CA"/>
        </w:rPr>
        <w:t>elle</w:t>
      </w:r>
      <w:proofErr w:type="spellEnd"/>
      <w:r w:rsidR="00DC02F4" w:rsidRPr="003D1C80">
        <w:rPr>
          <w:i/>
          <w:lang w:val="fr-CA"/>
        </w:rPr>
        <w:t xml:space="preserve"> abusive? </w:t>
      </w:r>
      <w:r w:rsidR="007A46E5" w:rsidRPr="003D1C80">
        <w:rPr>
          <w:i/>
          <w:lang w:val="fr-CA"/>
        </w:rPr>
        <w:t xml:space="preserve">— </w:t>
      </w:r>
      <w:r w:rsidR="00DC02F4" w:rsidRPr="003D1C80">
        <w:rPr>
          <w:i/>
          <w:lang w:val="fr-CA"/>
        </w:rPr>
        <w:t xml:space="preserve">Charte canadienne des droits et libertés, </w:t>
      </w:r>
      <w:r w:rsidR="007A46E5" w:rsidRPr="003D1C80">
        <w:rPr>
          <w:i/>
          <w:lang w:val="fr-CA"/>
        </w:rPr>
        <w:t>art. </w:t>
      </w:r>
      <w:r w:rsidR="00DC02F4" w:rsidRPr="003D1C80">
        <w:rPr>
          <w:i/>
          <w:lang w:val="fr-CA"/>
        </w:rPr>
        <w:t>8.</w:t>
      </w:r>
    </w:p>
    <w:p w:rsidR="00DC02F4" w:rsidRPr="003D1C80" w:rsidRDefault="00DC02F4" w:rsidP="007A46E5">
      <w:pPr>
        <w:pStyle w:val="SCCNormalDoubleSpacing"/>
        <w:spacing w:before="480" w:after="480"/>
        <w:rPr>
          <w:i/>
          <w:lang w:val="fr-CA"/>
        </w:rPr>
      </w:pPr>
      <w:r w:rsidRPr="003D1C80">
        <w:rPr>
          <w:i/>
          <w:lang w:val="fr-CA"/>
        </w:rPr>
        <w:tab/>
        <w:t xml:space="preserve">Droit criminel </w:t>
      </w:r>
      <w:r w:rsidR="007A46E5" w:rsidRPr="003D1C80">
        <w:rPr>
          <w:i/>
          <w:lang w:val="fr-CA"/>
        </w:rPr>
        <w:t xml:space="preserve">— </w:t>
      </w:r>
      <w:r w:rsidRPr="003D1C80">
        <w:rPr>
          <w:i/>
          <w:lang w:val="fr-CA"/>
        </w:rPr>
        <w:t xml:space="preserve">Infractions </w:t>
      </w:r>
      <w:r w:rsidR="007A46E5" w:rsidRPr="003D1C80">
        <w:rPr>
          <w:i/>
          <w:lang w:val="fr-CA"/>
        </w:rPr>
        <w:t xml:space="preserve">— </w:t>
      </w:r>
      <w:r w:rsidRPr="003D1C80">
        <w:rPr>
          <w:i/>
          <w:lang w:val="fr-CA"/>
        </w:rPr>
        <w:t>Éléments de l</w:t>
      </w:r>
      <w:r w:rsidR="00375A6D" w:rsidRPr="003D1C80">
        <w:rPr>
          <w:i/>
          <w:lang w:val="fr-CA"/>
        </w:rPr>
        <w:t>’</w:t>
      </w:r>
      <w:r w:rsidRPr="003D1C80">
        <w:rPr>
          <w:i/>
          <w:lang w:val="fr-CA"/>
        </w:rPr>
        <w:t xml:space="preserve">infraction </w:t>
      </w:r>
      <w:r w:rsidR="007A46E5" w:rsidRPr="003D1C80">
        <w:rPr>
          <w:i/>
          <w:lang w:val="fr-CA"/>
        </w:rPr>
        <w:t xml:space="preserve">— </w:t>
      </w:r>
      <w:r w:rsidRPr="003D1C80">
        <w:rPr>
          <w:i/>
          <w:lang w:val="fr-CA"/>
        </w:rPr>
        <w:t xml:space="preserve">Mens </w:t>
      </w:r>
      <w:proofErr w:type="spellStart"/>
      <w:r w:rsidRPr="003D1C80">
        <w:rPr>
          <w:i/>
          <w:lang w:val="fr-CA"/>
        </w:rPr>
        <w:t>rea</w:t>
      </w:r>
      <w:proofErr w:type="spellEnd"/>
      <w:r w:rsidRPr="003D1C80">
        <w:rPr>
          <w:i/>
          <w:lang w:val="fr-CA"/>
        </w:rPr>
        <w:t xml:space="preserve"> </w:t>
      </w:r>
      <w:r w:rsidR="007A46E5" w:rsidRPr="003D1C80">
        <w:rPr>
          <w:i/>
          <w:lang w:val="fr-CA"/>
        </w:rPr>
        <w:t xml:space="preserve">— </w:t>
      </w:r>
      <w:r w:rsidRPr="003D1C80">
        <w:rPr>
          <w:i/>
          <w:lang w:val="fr-CA"/>
        </w:rPr>
        <w:t>Possession d</w:t>
      </w:r>
      <w:r w:rsidR="00375A6D" w:rsidRPr="003D1C80">
        <w:rPr>
          <w:i/>
          <w:lang w:val="fr-CA"/>
        </w:rPr>
        <w:t>’</w:t>
      </w:r>
      <w:r w:rsidRPr="003D1C80">
        <w:rPr>
          <w:i/>
          <w:lang w:val="fr-CA"/>
        </w:rPr>
        <w:t xml:space="preserve">une arme à feu à autorisation restreinte chargée </w:t>
      </w:r>
      <w:r w:rsidR="00CA1E7B">
        <w:rPr>
          <w:i/>
          <w:lang w:val="fr-CA"/>
        </w:rPr>
        <w:t>—</w:t>
      </w:r>
      <w:r w:rsidRPr="003D1C80">
        <w:rPr>
          <w:i/>
          <w:lang w:val="fr-CA"/>
        </w:rPr>
        <w:t xml:space="preserve"> </w:t>
      </w:r>
      <w:r w:rsidR="00EF343D" w:rsidRPr="003D1C80">
        <w:rPr>
          <w:i/>
          <w:lang w:val="fr-CA"/>
        </w:rPr>
        <w:t>Policier répondant à une plainte de bruit à la résidence de l</w:t>
      </w:r>
      <w:r w:rsidR="00375A6D" w:rsidRPr="003D1C80">
        <w:rPr>
          <w:i/>
          <w:lang w:val="fr-CA"/>
        </w:rPr>
        <w:t>’</w:t>
      </w:r>
      <w:r w:rsidR="00EF343D" w:rsidRPr="003D1C80">
        <w:rPr>
          <w:i/>
          <w:lang w:val="fr-CA"/>
        </w:rPr>
        <w:t xml:space="preserve">accusé </w:t>
      </w:r>
      <w:r w:rsidR="007A46E5" w:rsidRPr="003D1C80">
        <w:rPr>
          <w:i/>
          <w:lang w:val="fr-CA"/>
        </w:rPr>
        <w:t xml:space="preserve">— </w:t>
      </w:r>
      <w:r w:rsidR="00EF343D" w:rsidRPr="003D1C80">
        <w:rPr>
          <w:i/>
          <w:lang w:val="fr-CA"/>
        </w:rPr>
        <w:t xml:space="preserve">Accusé dissimulant une arme à feu à autorisation restreinte </w:t>
      </w:r>
      <w:r w:rsidR="00CA1E7B">
        <w:rPr>
          <w:i/>
          <w:lang w:val="fr-CA"/>
        </w:rPr>
        <w:t xml:space="preserve">chargée </w:t>
      </w:r>
      <w:r w:rsidR="00EF343D" w:rsidRPr="003D1C80">
        <w:rPr>
          <w:i/>
          <w:lang w:val="fr-CA"/>
        </w:rPr>
        <w:t xml:space="preserve">en ouvrant la porte </w:t>
      </w:r>
      <w:r w:rsidR="007A46E5" w:rsidRPr="003D1C80">
        <w:rPr>
          <w:i/>
          <w:lang w:val="fr-CA"/>
        </w:rPr>
        <w:t xml:space="preserve">— </w:t>
      </w:r>
      <w:r w:rsidR="00EF343D" w:rsidRPr="003D1C80">
        <w:rPr>
          <w:i/>
          <w:lang w:val="fr-CA"/>
        </w:rPr>
        <w:t>Accusé croyant à tort que son permis de possession d</w:t>
      </w:r>
      <w:r w:rsidR="00375A6D" w:rsidRPr="003D1C80">
        <w:rPr>
          <w:i/>
          <w:lang w:val="fr-CA"/>
        </w:rPr>
        <w:t>’</w:t>
      </w:r>
      <w:r w:rsidR="00EF343D" w:rsidRPr="003D1C80">
        <w:rPr>
          <w:i/>
          <w:lang w:val="fr-CA"/>
        </w:rPr>
        <w:t xml:space="preserve">une arme à feu en Alberta était valide en </w:t>
      </w:r>
      <w:proofErr w:type="spellStart"/>
      <w:r w:rsidR="00EF343D" w:rsidRPr="003D1C80">
        <w:rPr>
          <w:i/>
          <w:lang w:val="fr-CA"/>
        </w:rPr>
        <w:t>Nouvelle</w:t>
      </w:r>
      <w:r w:rsidR="007A46E5" w:rsidRPr="003D1C80">
        <w:rPr>
          <w:i/>
          <w:lang w:val="fr-CA"/>
        </w:rPr>
        <w:noBreakHyphen/>
      </w:r>
      <w:r w:rsidR="00EF343D" w:rsidRPr="003D1C80">
        <w:rPr>
          <w:i/>
          <w:lang w:val="fr-CA"/>
        </w:rPr>
        <w:t>Écosse</w:t>
      </w:r>
      <w:proofErr w:type="spellEnd"/>
      <w:r w:rsidR="00EF343D" w:rsidRPr="003D1C80">
        <w:rPr>
          <w:i/>
          <w:lang w:val="fr-CA"/>
        </w:rPr>
        <w:t xml:space="preserve"> </w:t>
      </w:r>
      <w:r w:rsidR="007A46E5" w:rsidRPr="003D1C80">
        <w:rPr>
          <w:i/>
          <w:lang w:val="fr-CA"/>
        </w:rPr>
        <w:t xml:space="preserve">— </w:t>
      </w:r>
      <w:r w:rsidR="00EF343D" w:rsidRPr="003D1C80">
        <w:rPr>
          <w:i/>
          <w:lang w:val="fr-CA"/>
        </w:rPr>
        <w:t xml:space="preserve">Le ministère public </w:t>
      </w:r>
      <w:proofErr w:type="spellStart"/>
      <w:r w:rsidR="00EF343D" w:rsidRPr="003D1C80">
        <w:rPr>
          <w:i/>
          <w:lang w:val="fr-CA"/>
        </w:rPr>
        <w:t>devait</w:t>
      </w:r>
      <w:r w:rsidR="007A46E5" w:rsidRPr="003D1C80">
        <w:rPr>
          <w:i/>
          <w:lang w:val="fr-CA"/>
        </w:rPr>
        <w:noBreakHyphen/>
      </w:r>
      <w:r w:rsidR="00EF343D" w:rsidRPr="003D1C80">
        <w:rPr>
          <w:i/>
          <w:lang w:val="fr-CA"/>
        </w:rPr>
        <w:t>il</w:t>
      </w:r>
      <w:proofErr w:type="spellEnd"/>
      <w:r w:rsidR="00EF343D" w:rsidRPr="003D1C80">
        <w:rPr>
          <w:i/>
          <w:lang w:val="fr-CA"/>
        </w:rPr>
        <w:t xml:space="preserve"> prouver que l</w:t>
      </w:r>
      <w:r w:rsidR="00375A6D" w:rsidRPr="003D1C80">
        <w:rPr>
          <w:i/>
          <w:lang w:val="fr-CA"/>
        </w:rPr>
        <w:t>’</w:t>
      </w:r>
      <w:r w:rsidR="00EF343D" w:rsidRPr="003D1C80">
        <w:rPr>
          <w:i/>
          <w:lang w:val="fr-CA"/>
        </w:rPr>
        <w:t>accusé savait ou avait ignoré volontairement que sa possession de l</w:t>
      </w:r>
      <w:r w:rsidR="00375A6D" w:rsidRPr="003D1C80">
        <w:rPr>
          <w:i/>
          <w:lang w:val="fr-CA"/>
        </w:rPr>
        <w:t>’</w:t>
      </w:r>
      <w:r w:rsidR="00EF343D" w:rsidRPr="003D1C80">
        <w:rPr>
          <w:i/>
          <w:lang w:val="fr-CA"/>
        </w:rPr>
        <w:t>arme à feu n</w:t>
      </w:r>
      <w:r w:rsidR="00375A6D" w:rsidRPr="003D1C80">
        <w:rPr>
          <w:i/>
          <w:lang w:val="fr-CA"/>
        </w:rPr>
        <w:t>’</w:t>
      </w:r>
      <w:r w:rsidR="00EF343D" w:rsidRPr="003D1C80">
        <w:rPr>
          <w:i/>
          <w:lang w:val="fr-CA"/>
        </w:rPr>
        <w:t xml:space="preserve">était pas autorisée? </w:t>
      </w:r>
      <w:r w:rsidR="007A46E5" w:rsidRPr="003D1C80">
        <w:rPr>
          <w:i/>
          <w:lang w:val="fr-CA"/>
        </w:rPr>
        <w:t xml:space="preserve">— </w:t>
      </w:r>
      <w:r w:rsidR="00EF343D" w:rsidRPr="003D1C80">
        <w:rPr>
          <w:i/>
          <w:lang w:val="fr-CA"/>
        </w:rPr>
        <w:t xml:space="preserve">Code criminel, L.R.C. 1985, </w:t>
      </w:r>
      <w:r w:rsidR="007A46E5" w:rsidRPr="003D1C80">
        <w:rPr>
          <w:i/>
          <w:lang w:val="fr-CA"/>
        </w:rPr>
        <w:t>ch. </w:t>
      </w:r>
      <w:r w:rsidR="00EF343D" w:rsidRPr="003D1C80">
        <w:rPr>
          <w:i/>
          <w:lang w:val="fr-CA"/>
        </w:rPr>
        <w:t>C</w:t>
      </w:r>
      <w:r w:rsidR="007A46E5" w:rsidRPr="003D1C80">
        <w:rPr>
          <w:i/>
          <w:lang w:val="fr-CA"/>
        </w:rPr>
        <w:noBreakHyphen/>
      </w:r>
      <w:r w:rsidR="00EF343D" w:rsidRPr="003D1C80">
        <w:rPr>
          <w:i/>
          <w:lang w:val="fr-CA"/>
        </w:rPr>
        <w:t xml:space="preserve">46, </w:t>
      </w:r>
      <w:r w:rsidR="007A46E5" w:rsidRPr="003D1C80">
        <w:rPr>
          <w:i/>
          <w:lang w:val="fr-CA"/>
        </w:rPr>
        <w:t>art. </w:t>
      </w:r>
      <w:r w:rsidR="00EF343D" w:rsidRPr="003D1C80">
        <w:rPr>
          <w:i/>
          <w:lang w:val="fr-CA"/>
        </w:rPr>
        <w:t>95</w:t>
      </w:r>
      <w:r w:rsidR="00E0404A">
        <w:rPr>
          <w:i/>
          <w:lang w:val="fr-CA"/>
        </w:rPr>
        <w:t>.</w:t>
      </w:r>
    </w:p>
    <w:p w:rsidR="004D7D95" w:rsidRPr="003D1C80" w:rsidRDefault="00EF343D" w:rsidP="007A46E5">
      <w:pPr>
        <w:pStyle w:val="SCCNormalDoubleSpacing"/>
        <w:spacing w:before="480" w:after="480"/>
        <w:rPr>
          <w:lang w:val="fr-CA"/>
        </w:rPr>
      </w:pPr>
      <w:r w:rsidRPr="003D1C80">
        <w:rPr>
          <w:lang w:val="fr-CA"/>
        </w:rPr>
        <w:tab/>
      </w:r>
      <w:r w:rsidR="00224729" w:rsidRPr="003D1C80">
        <w:rPr>
          <w:lang w:val="fr-CA"/>
        </w:rPr>
        <w:t>L</w:t>
      </w:r>
      <w:r w:rsidR="00C3138E" w:rsidRPr="003D1C80">
        <w:rPr>
          <w:lang w:val="fr-CA"/>
        </w:rPr>
        <w:t>a</w:t>
      </w:r>
      <w:r w:rsidR="00224729" w:rsidRPr="003D1C80">
        <w:rPr>
          <w:lang w:val="fr-CA"/>
        </w:rPr>
        <w:t xml:space="preserve"> police </w:t>
      </w:r>
      <w:r w:rsidR="00C3138E" w:rsidRPr="003D1C80">
        <w:rPr>
          <w:lang w:val="fr-CA"/>
        </w:rPr>
        <w:t>a</w:t>
      </w:r>
      <w:r w:rsidR="00224729" w:rsidRPr="003D1C80">
        <w:rPr>
          <w:lang w:val="fr-CA"/>
        </w:rPr>
        <w:t xml:space="preserve"> répondu à une plainte de bruit à la résidence de M à Halifax.  Lorsque M a ouvert la porte, un policier </w:t>
      </w:r>
      <w:r w:rsidR="00106AF2" w:rsidRPr="003D1C80">
        <w:rPr>
          <w:lang w:val="fr-CA"/>
        </w:rPr>
        <w:t>a remarqué que M tenait un objet dans sa main, dissimulé derrière sa jambe.  Le policier a demandé deux fois à M ce qu</w:t>
      </w:r>
      <w:r w:rsidR="00375A6D" w:rsidRPr="003D1C80">
        <w:rPr>
          <w:lang w:val="fr-CA"/>
        </w:rPr>
        <w:t>’</w:t>
      </w:r>
      <w:r w:rsidR="00106AF2" w:rsidRPr="003D1C80">
        <w:rPr>
          <w:lang w:val="fr-CA"/>
        </w:rPr>
        <w:t>il tenait dans sa main.  Comme M ne répondait pas, le policier a poussé la porte pour l</w:t>
      </w:r>
      <w:r w:rsidR="00375A6D" w:rsidRPr="003D1C80">
        <w:rPr>
          <w:lang w:val="fr-CA"/>
        </w:rPr>
        <w:t>’</w:t>
      </w:r>
      <w:r w:rsidR="00106AF2" w:rsidRPr="003D1C80">
        <w:rPr>
          <w:lang w:val="fr-CA"/>
        </w:rPr>
        <w:t>ouvrir quelques pouces de plus pour mieux voir.  Après un bref corps à corps, le policier a enlevé à M l</w:t>
      </w:r>
      <w:r w:rsidR="00375A6D" w:rsidRPr="003D1C80">
        <w:rPr>
          <w:lang w:val="fr-CA"/>
        </w:rPr>
        <w:t>’</w:t>
      </w:r>
      <w:r w:rsidR="00106AF2" w:rsidRPr="003D1C80">
        <w:rPr>
          <w:lang w:val="fr-CA"/>
        </w:rPr>
        <w:t xml:space="preserve">arme de poing </w:t>
      </w:r>
      <w:r w:rsidR="00E66BCE" w:rsidRPr="003D1C80">
        <w:rPr>
          <w:lang w:val="fr-CA"/>
        </w:rPr>
        <w:t xml:space="preserve">chargée </w:t>
      </w:r>
      <w:r w:rsidR="00106AF2" w:rsidRPr="003D1C80">
        <w:rPr>
          <w:lang w:val="fr-CA"/>
        </w:rPr>
        <w:t>qu</w:t>
      </w:r>
      <w:r w:rsidR="00375A6D" w:rsidRPr="003D1C80">
        <w:rPr>
          <w:lang w:val="fr-CA"/>
        </w:rPr>
        <w:t>’</w:t>
      </w:r>
      <w:r w:rsidR="00106AF2" w:rsidRPr="003D1C80">
        <w:rPr>
          <w:lang w:val="fr-CA"/>
        </w:rPr>
        <w:t>il tenait.  M était titulaire d</w:t>
      </w:r>
      <w:r w:rsidR="00375A6D" w:rsidRPr="003D1C80">
        <w:rPr>
          <w:lang w:val="fr-CA"/>
        </w:rPr>
        <w:t>’</w:t>
      </w:r>
      <w:r w:rsidR="00106AF2" w:rsidRPr="003D1C80">
        <w:rPr>
          <w:lang w:val="fr-CA"/>
        </w:rPr>
        <w:t>un permis de possession et de transport de l</w:t>
      </w:r>
      <w:r w:rsidR="00375A6D" w:rsidRPr="003D1C80">
        <w:rPr>
          <w:lang w:val="fr-CA"/>
        </w:rPr>
        <w:t>’</w:t>
      </w:r>
      <w:r w:rsidR="00106AF2" w:rsidRPr="003D1C80">
        <w:rPr>
          <w:lang w:val="fr-CA"/>
        </w:rPr>
        <w:t>arme de poing valide en Alberta mais</w:t>
      </w:r>
      <w:r w:rsidR="008768A3" w:rsidRPr="003D1C80">
        <w:rPr>
          <w:lang w:val="fr-CA"/>
        </w:rPr>
        <w:t xml:space="preserve">, </w:t>
      </w:r>
      <w:r w:rsidR="008768A3" w:rsidRPr="003D1C80">
        <w:rPr>
          <w:lang w:val="fr-CA"/>
        </w:rPr>
        <w:lastRenderedPageBreak/>
        <w:t>contrairement à ce qu</w:t>
      </w:r>
      <w:r w:rsidR="00375A6D" w:rsidRPr="003D1C80">
        <w:rPr>
          <w:lang w:val="fr-CA"/>
        </w:rPr>
        <w:t>’</w:t>
      </w:r>
      <w:r w:rsidR="008768A3" w:rsidRPr="003D1C80">
        <w:rPr>
          <w:lang w:val="fr-CA"/>
        </w:rPr>
        <w:t xml:space="preserve">il croyait, </w:t>
      </w:r>
      <w:r w:rsidR="00106AF2" w:rsidRPr="003D1C80">
        <w:rPr>
          <w:lang w:val="fr-CA"/>
        </w:rPr>
        <w:t>non</w:t>
      </w:r>
      <w:r w:rsidR="008768A3" w:rsidRPr="003D1C80">
        <w:rPr>
          <w:lang w:val="fr-CA"/>
        </w:rPr>
        <w:t xml:space="preserve"> valide</w:t>
      </w:r>
      <w:r w:rsidR="00106AF2" w:rsidRPr="003D1C80">
        <w:rPr>
          <w:lang w:val="fr-CA"/>
        </w:rPr>
        <w:t xml:space="preserve"> en </w:t>
      </w:r>
      <w:proofErr w:type="spellStart"/>
      <w:r w:rsidR="00106AF2" w:rsidRPr="003D1C80">
        <w:rPr>
          <w:lang w:val="fr-CA"/>
        </w:rPr>
        <w:t>Nouvelle</w:t>
      </w:r>
      <w:r w:rsidR="007A46E5" w:rsidRPr="003D1C80">
        <w:rPr>
          <w:lang w:val="fr-CA"/>
        </w:rPr>
        <w:noBreakHyphen/>
      </w:r>
      <w:r w:rsidR="00106AF2" w:rsidRPr="003D1C80">
        <w:rPr>
          <w:lang w:val="fr-CA"/>
        </w:rPr>
        <w:t>Écosse</w:t>
      </w:r>
      <w:proofErr w:type="spellEnd"/>
      <w:r w:rsidR="008768A3" w:rsidRPr="003D1C80">
        <w:rPr>
          <w:lang w:val="fr-CA"/>
        </w:rPr>
        <w:t xml:space="preserve">. </w:t>
      </w:r>
      <w:r w:rsidR="00A74E49" w:rsidRPr="003D1C80">
        <w:rPr>
          <w:lang w:val="fr-CA"/>
        </w:rPr>
        <w:t xml:space="preserve"> Le juge du procès a conclu que M n</w:t>
      </w:r>
      <w:r w:rsidR="00375A6D" w:rsidRPr="003D1C80">
        <w:rPr>
          <w:lang w:val="fr-CA"/>
        </w:rPr>
        <w:t>’</w:t>
      </w:r>
      <w:r w:rsidR="00A74E49" w:rsidRPr="003D1C80">
        <w:rPr>
          <w:lang w:val="fr-CA"/>
        </w:rPr>
        <w:t>était pas autorisé à posséder l</w:t>
      </w:r>
      <w:r w:rsidR="00375A6D" w:rsidRPr="003D1C80">
        <w:rPr>
          <w:lang w:val="fr-CA"/>
        </w:rPr>
        <w:t>’</w:t>
      </w:r>
      <w:r w:rsidR="00A74E49" w:rsidRPr="003D1C80">
        <w:rPr>
          <w:lang w:val="fr-CA"/>
        </w:rPr>
        <w:t xml:space="preserve">arme à feu.  Il a </w:t>
      </w:r>
      <w:r w:rsidR="00C3138E" w:rsidRPr="003D1C80">
        <w:rPr>
          <w:lang w:val="fr-CA"/>
        </w:rPr>
        <w:t xml:space="preserve">aussi </w:t>
      </w:r>
      <w:r w:rsidR="00A74E49" w:rsidRPr="003D1C80">
        <w:rPr>
          <w:lang w:val="fr-CA"/>
        </w:rPr>
        <w:t>conclu qu</w:t>
      </w:r>
      <w:r w:rsidR="00375A6D" w:rsidRPr="003D1C80">
        <w:rPr>
          <w:lang w:val="fr-CA"/>
        </w:rPr>
        <w:t>’</w:t>
      </w:r>
      <w:r w:rsidR="00A74E49" w:rsidRPr="003D1C80">
        <w:rPr>
          <w:lang w:val="fr-CA"/>
        </w:rPr>
        <w:t>en poussant la porte pour l</w:t>
      </w:r>
      <w:r w:rsidR="00375A6D" w:rsidRPr="003D1C80">
        <w:rPr>
          <w:lang w:val="fr-CA"/>
        </w:rPr>
        <w:t>’</w:t>
      </w:r>
      <w:r w:rsidR="00A74E49" w:rsidRPr="003D1C80">
        <w:rPr>
          <w:lang w:val="fr-CA"/>
        </w:rPr>
        <w:t>ouvrir un peu plus, le policier n</w:t>
      </w:r>
      <w:r w:rsidR="00375A6D" w:rsidRPr="003D1C80">
        <w:rPr>
          <w:lang w:val="fr-CA"/>
        </w:rPr>
        <w:t>’</w:t>
      </w:r>
      <w:r w:rsidR="00A74E49" w:rsidRPr="003D1C80">
        <w:rPr>
          <w:lang w:val="fr-CA"/>
        </w:rPr>
        <w:t xml:space="preserve">avait pas </w:t>
      </w:r>
      <w:r w:rsidR="00304F92" w:rsidRPr="003D1C80">
        <w:rPr>
          <w:lang w:val="fr-CA"/>
        </w:rPr>
        <w:t xml:space="preserve">violé le </w:t>
      </w:r>
      <w:r w:rsidR="00A74E49" w:rsidRPr="003D1C80">
        <w:rPr>
          <w:lang w:val="fr-CA"/>
        </w:rPr>
        <w:t>droit de M à la protection contre les fouilles abusives garanti par l</w:t>
      </w:r>
      <w:r w:rsidR="00375A6D" w:rsidRPr="003D1C80">
        <w:rPr>
          <w:lang w:val="fr-CA"/>
        </w:rPr>
        <w:t>’</w:t>
      </w:r>
      <w:r w:rsidR="007A46E5" w:rsidRPr="003D1C80">
        <w:rPr>
          <w:lang w:val="fr-CA"/>
        </w:rPr>
        <w:t>art. </w:t>
      </w:r>
      <w:r w:rsidR="00A74E49" w:rsidRPr="003D1C80">
        <w:rPr>
          <w:lang w:val="fr-CA"/>
        </w:rPr>
        <w:t xml:space="preserve">8 de la </w:t>
      </w:r>
      <w:r w:rsidR="00A74E49" w:rsidRPr="003D1C80">
        <w:rPr>
          <w:i/>
          <w:lang w:val="fr-CA"/>
        </w:rPr>
        <w:t>Charte</w:t>
      </w:r>
      <w:r w:rsidR="00A74E49" w:rsidRPr="003D1C80">
        <w:rPr>
          <w:lang w:val="fr-CA"/>
        </w:rPr>
        <w:t>.  Le juge du procès a déclaré M coupable d</w:t>
      </w:r>
      <w:r w:rsidR="00375A6D" w:rsidRPr="003D1C80">
        <w:rPr>
          <w:lang w:val="fr-CA"/>
        </w:rPr>
        <w:t>’</w:t>
      </w:r>
      <w:r w:rsidR="00A74E49" w:rsidRPr="003D1C80">
        <w:rPr>
          <w:lang w:val="fr-CA"/>
        </w:rPr>
        <w:t>avoir manipulé une arme à feu d</w:t>
      </w:r>
      <w:r w:rsidR="00375A6D" w:rsidRPr="003D1C80">
        <w:rPr>
          <w:lang w:val="fr-CA"/>
        </w:rPr>
        <w:t>’</w:t>
      </w:r>
      <w:r w:rsidR="00A74E49" w:rsidRPr="003D1C80">
        <w:rPr>
          <w:lang w:val="fr-CA"/>
        </w:rPr>
        <w:t>une manière négligente (au</w:t>
      </w:r>
      <w:r w:rsidR="00304F92" w:rsidRPr="003D1C80">
        <w:rPr>
          <w:lang w:val="fr-CA"/>
        </w:rPr>
        <w:t>x</w:t>
      </w:r>
      <w:r w:rsidR="00A74E49" w:rsidRPr="003D1C80">
        <w:rPr>
          <w:lang w:val="fr-CA"/>
        </w:rPr>
        <w:t xml:space="preserve"> termes de l</w:t>
      </w:r>
      <w:r w:rsidR="00375A6D" w:rsidRPr="003D1C80">
        <w:rPr>
          <w:lang w:val="fr-CA"/>
        </w:rPr>
        <w:t>’</w:t>
      </w:r>
      <w:r w:rsidR="007A46E5" w:rsidRPr="003D1C80">
        <w:rPr>
          <w:lang w:val="fr-CA"/>
        </w:rPr>
        <w:t>art. </w:t>
      </w:r>
      <w:r w:rsidR="00A74E49" w:rsidRPr="003D1C80">
        <w:rPr>
          <w:lang w:val="fr-CA"/>
        </w:rPr>
        <w:t xml:space="preserve">86 du </w:t>
      </w:r>
      <w:r w:rsidR="00A74E49" w:rsidRPr="003D1C80">
        <w:rPr>
          <w:i/>
          <w:lang w:val="fr-CA"/>
        </w:rPr>
        <w:t>Code</w:t>
      </w:r>
      <w:r w:rsidR="00E66BCE" w:rsidRPr="003D1C80">
        <w:rPr>
          <w:i/>
          <w:lang w:val="fr-CA"/>
        </w:rPr>
        <w:t xml:space="preserve"> criminel</w:t>
      </w:r>
      <w:r w:rsidR="00A74E49" w:rsidRPr="003D1C80">
        <w:rPr>
          <w:lang w:val="fr-CA"/>
        </w:rPr>
        <w:t>), d</w:t>
      </w:r>
      <w:r w:rsidR="00375A6D" w:rsidRPr="003D1C80">
        <w:rPr>
          <w:lang w:val="fr-CA"/>
        </w:rPr>
        <w:t>’</w:t>
      </w:r>
      <w:r w:rsidR="00A74E49" w:rsidRPr="003D1C80">
        <w:rPr>
          <w:lang w:val="fr-CA"/>
        </w:rPr>
        <w:t>avoir eu en sa possession une arme dans un dessein dangereux</w:t>
      </w:r>
      <w:r w:rsidR="00304F92" w:rsidRPr="003D1C80">
        <w:rPr>
          <w:lang w:val="fr-CA"/>
        </w:rPr>
        <w:t xml:space="preserve"> (</w:t>
      </w:r>
      <w:r w:rsidR="007A46E5" w:rsidRPr="003D1C80">
        <w:rPr>
          <w:lang w:val="fr-CA"/>
        </w:rPr>
        <w:t>art. </w:t>
      </w:r>
      <w:r w:rsidR="00304F92" w:rsidRPr="003D1C80">
        <w:rPr>
          <w:lang w:val="fr-CA"/>
        </w:rPr>
        <w:t>88) et d</w:t>
      </w:r>
      <w:r w:rsidR="00375A6D" w:rsidRPr="003D1C80">
        <w:rPr>
          <w:lang w:val="fr-CA"/>
        </w:rPr>
        <w:t>’</w:t>
      </w:r>
      <w:r w:rsidR="00304F92" w:rsidRPr="003D1C80">
        <w:rPr>
          <w:lang w:val="fr-CA"/>
        </w:rPr>
        <w:t>avoir eu en sa possession une arme à feu à autorisation restreinte chargée (</w:t>
      </w:r>
      <w:r w:rsidR="007A46E5" w:rsidRPr="003D1C80">
        <w:rPr>
          <w:lang w:val="fr-CA"/>
        </w:rPr>
        <w:t>art. </w:t>
      </w:r>
      <w:r w:rsidR="00304F92" w:rsidRPr="003D1C80">
        <w:rPr>
          <w:lang w:val="fr-CA"/>
        </w:rPr>
        <w:t>95).  Il a condamné M à trois ans d</w:t>
      </w:r>
      <w:r w:rsidR="00375A6D" w:rsidRPr="003D1C80">
        <w:rPr>
          <w:lang w:val="fr-CA"/>
        </w:rPr>
        <w:t>’</w:t>
      </w:r>
      <w:r w:rsidR="00304F92" w:rsidRPr="003D1C80">
        <w:rPr>
          <w:lang w:val="fr-CA"/>
        </w:rPr>
        <w:t>emprisonnement et lui a interdit de posséder une</w:t>
      </w:r>
      <w:r w:rsidR="00E0404A">
        <w:rPr>
          <w:lang w:val="fr-CA"/>
        </w:rPr>
        <w:t xml:space="preserve"> arme à feu pendant dix</w:t>
      </w:r>
      <w:r w:rsidR="00304F92" w:rsidRPr="003D1C80">
        <w:rPr>
          <w:lang w:val="fr-CA"/>
        </w:rPr>
        <w:t xml:space="preserve"> ans.  La Cour d</w:t>
      </w:r>
      <w:r w:rsidR="00375A6D" w:rsidRPr="003D1C80">
        <w:rPr>
          <w:lang w:val="fr-CA"/>
        </w:rPr>
        <w:t>’</w:t>
      </w:r>
      <w:r w:rsidR="00304F92" w:rsidRPr="003D1C80">
        <w:rPr>
          <w:lang w:val="fr-CA"/>
        </w:rPr>
        <w:t>appel</w:t>
      </w:r>
      <w:r w:rsidR="00C3138E" w:rsidRPr="003D1C80">
        <w:rPr>
          <w:lang w:val="fr-CA"/>
        </w:rPr>
        <w:t>,</w:t>
      </w:r>
      <w:r w:rsidR="00304F92" w:rsidRPr="003D1C80">
        <w:rPr>
          <w:lang w:val="fr-CA"/>
        </w:rPr>
        <w:t xml:space="preserve"> à la majorité</w:t>
      </w:r>
      <w:r w:rsidR="00C3138E" w:rsidRPr="003D1C80">
        <w:rPr>
          <w:lang w:val="fr-CA"/>
        </w:rPr>
        <w:t>,</w:t>
      </w:r>
      <w:r w:rsidR="00304F92" w:rsidRPr="003D1C80">
        <w:rPr>
          <w:lang w:val="fr-CA"/>
        </w:rPr>
        <w:t xml:space="preserve"> a maintenu la décision du premier juge selon laquelle le policier n</w:t>
      </w:r>
      <w:r w:rsidR="00375A6D" w:rsidRPr="003D1C80">
        <w:rPr>
          <w:lang w:val="fr-CA"/>
        </w:rPr>
        <w:t>’</w:t>
      </w:r>
      <w:r w:rsidR="00304F92" w:rsidRPr="003D1C80">
        <w:rPr>
          <w:lang w:val="fr-CA"/>
        </w:rPr>
        <w:t>avait pas violé le droit que l</w:t>
      </w:r>
      <w:r w:rsidR="00375A6D" w:rsidRPr="003D1C80">
        <w:rPr>
          <w:lang w:val="fr-CA"/>
        </w:rPr>
        <w:t>’</w:t>
      </w:r>
      <w:r w:rsidR="007A46E5" w:rsidRPr="003D1C80">
        <w:rPr>
          <w:lang w:val="fr-CA"/>
        </w:rPr>
        <w:t>art. </w:t>
      </w:r>
      <w:r w:rsidR="00304F92" w:rsidRPr="003D1C80">
        <w:rPr>
          <w:lang w:val="fr-CA"/>
        </w:rPr>
        <w:t xml:space="preserve">8 de la </w:t>
      </w:r>
      <w:r w:rsidR="00304F92" w:rsidRPr="003D1C80">
        <w:rPr>
          <w:i/>
          <w:lang w:val="fr-CA"/>
        </w:rPr>
        <w:t>Charte</w:t>
      </w:r>
      <w:r w:rsidR="00304F92" w:rsidRPr="003D1C80">
        <w:rPr>
          <w:lang w:val="fr-CA"/>
        </w:rPr>
        <w:t xml:space="preserve"> garantit à M.  </w:t>
      </w:r>
      <w:r w:rsidR="001E2F0A" w:rsidRPr="003D1C80">
        <w:rPr>
          <w:lang w:val="fr-CA"/>
        </w:rPr>
        <w:t xml:space="preserve">Elle a maintenu les déclarations de culpabilité fondées sur </w:t>
      </w:r>
      <w:proofErr w:type="gramStart"/>
      <w:r w:rsidR="001E2F0A" w:rsidRPr="003D1C80">
        <w:rPr>
          <w:lang w:val="fr-CA"/>
        </w:rPr>
        <w:t xml:space="preserve">les </w:t>
      </w:r>
      <w:r w:rsidR="007A46E5" w:rsidRPr="003D1C80">
        <w:rPr>
          <w:lang w:val="fr-CA"/>
        </w:rPr>
        <w:t>art</w:t>
      </w:r>
      <w:proofErr w:type="gramEnd"/>
      <w:r w:rsidR="007A46E5" w:rsidRPr="003D1C80">
        <w:rPr>
          <w:lang w:val="fr-CA"/>
        </w:rPr>
        <w:t>. </w:t>
      </w:r>
      <w:r w:rsidR="001E2F0A" w:rsidRPr="003D1C80">
        <w:rPr>
          <w:lang w:val="fr-CA"/>
        </w:rPr>
        <w:t xml:space="preserve">86 et 88 du </w:t>
      </w:r>
      <w:r w:rsidR="001E2F0A" w:rsidRPr="003D1C80">
        <w:rPr>
          <w:i/>
          <w:lang w:val="fr-CA"/>
        </w:rPr>
        <w:t>Code</w:t>
      </w:r>
      <w:r w:rsidR="00E66BCE" w:rsidRPr="003D1C80">
        <w:rPr>
          <w:i/>
          <w:lang w:val="fr-CA"/>
        </w:rPr>
        <w:t xml:space="preserve"> </w:t>
      </w:r>
      <w:r w:rsidR="0091350F" w:rsidRPr="003D1C80">
        <w:rPr>
          <w:i/>
          <w:lang w:val="fr-CA"/>
        </w:rPr>
        <w:t>criminel</w:t>
      </w:r>
      <w:r w:rsidR="001E2F0A" w:rsidRPr="003D1C80">
        <w:rPr>
          <w:lang w:val="fr-CA"/>
        </w:rPr>
        <w:t xml:space="preserve"> mais a atténué considérablement les peines.  Cependant, la Cour d</w:t>
      </w:r>
      <w:r w:rsidR="00375A6D" w:rsidRPr="003D1C80">
        <w:rPr>
          <w:lang w:val="fr-CA"/>
        </w:rPr>
        <w:t>’</w:t>
      </w:r>
      <w:r w:rsidR="001E2F0A" w:rsidRPr="003D1C80">
        <w:rPr>
          <w:lang w:val="fr-CA"/>
        </w:rPr>
        <w:t>appel a accueilli l</w:t>
      </w:r>
      <w:r w:rsidR="00375A6D" w:rsidRPr="003D1C80">
        <w:rPr>
          <w:lang w:val="fr-CA"/>
        </w:rPr>
        <w:t>’</w:t>
      </w:r>
      <w:r w:rsidR="001E2F0A" w:rsidRPr="003D1C80">
        <w:rPr>
          <w:lang w:val="fr-CA"/>
        </w:rPr>
        <w:t xml:space="preserve">appel de M </w:t>
      </w:r>
      <w:r w:rsidR="00E0404A">
        <w:rPr>
          <w:lang w:val="fr-CA"/>
        </w:rPr>
        <w:t xml:space="preserve">interjeté </w:t>
      </w:r>
      <w:r w:rsidR="001E2F0A" w:rsidRPr="003D1C80">
        <w:rPr>
          <w:lang w:val="fr-CA"/>
        </w:rPr>
        <w:t>à l</w:t>
      </w:r>
      <w:r w:rsidR="00375A6D" w:rsidRPr="003D1C80">
        <w:rPr>
          <w:lang w:val="fr-CA"/>
        </w:rPr>
        <w:t>’</w:t>
      </w:r>
      <w:r w:rsidR="001E2F0A" w:rsidRPr="003D1C80">
        <w:rPr>
          <w:lang w:val="fr-CA"/>
        </w:rPr>
        <w:t>encontre de la déclaration de culpabilité fondée sur l</w:t>
      </w:r>
      <w:r w:rsidR="00375A6D" w:rsidRPr="003D1C80">
        <w:rPr>
          <w:lang w:val="fr-CA"/>
        </w:rPr>
        <w:t>’</w:t>
      </w:r>
      <w:r w:rsidR="007A46E5" w:rsidRPr="003D1C80">
        <w:rPr>
          <w:lang w:val="fr-CA"/>
        </w:rPr>
        <w:t>art. </w:t>
      </w:r>
      <w:r w:rsidR="001E2F0A" w:rsidRPr="003D1C80">
        <w:rPr>
          <w:lang w:val="fr-CA"/>
        </w:rPr>
        <w:t>95 et a ordonné un acquittement.</w:t>
      </w:r>
    </w:p>
    <w:p w:rsidR="004D7D95" w:rsidRPr="003D1C80" w:rsidRDefault="00F30FCE" w:rsidP="007A46E5">
      <w:pPr>
        <w:pStyle w:val="SCCNormalDoubleSpacing"/>
        <w:spacing w:before="480" w:after="480"/>
        <w:rPr>
          <w:lang w:val="fr-CA"/>
        </w:rPr>
      </w:pPr>
      <w:r w:rsidRPr="003D1C80">
        <w:rPr>
          <w:lang w:val="fr-CA"/>
        </w:rPr>
        <w:tab/>
      </w:r>
      <w:r w:rsidR="004D7D95" w:rsidRPr="003D1C80">
        <w:rPr>
          <w:i/>
          <w:lang w:val="fr-CA"/>
        </w:rPr>
        <w:t>Arrêt</w:t>
      </w:r>
      <w:r w:rsidR="007A46E5" w:rsidRPr="003D1C80">
        <w:rPr>
          <w:lang w:val="fr-CA"/>
        </w:rPr>
        <w:t> :</w:t>
      </w:r>
      <w:r w:rsidR="004D7D95" w:rsidRPr="003D1C80">
        <w:rPr>
          <w:lang w:val="fr-CA"/>
        </w:rPr>
        <w:t xml:space="preserve"> Le pourvoi est</w:t>
      </w:r>
      <w:r w:rsidRPr="003D1C80">
        <w:rPr>
          <w:lang w:val="fr-CA"/>
        </w:rPr>
        <w:t xml:space="preserve"> rejeté sur la question relative à l</w:t>
      </w:r>
      <w:r w:rsidR="00375A6D" w:rsidRPr="003D1C80">
        <w:rPr>
          <w:lang w:val="fr-CA"/>
        </w:rPr>
        <w:t>’</w:t>
      </w:r>
      <w:r w:rsidR="00E0404A">
        <w:rPr>
          <w:lang w:val="fr-CA"/>
        </w:rPr>
        <w:t xml:space="preserve">art. </w:t>
      </w:r>
      <w:r w:rsidRPr="003D1C80">
        <w:rPr>
          <w:lang w:val="fr-CA"/>
        </w:rPr>
        <w:t xml:space="preserve">8 de la </w:t>
      </w:r>
      <w:r w:rsidRPr="003D1C80">
        <w:rPr>
          <w:i/>
          <w:lang w:val="fr-CA"/>
        </w:rPr>
        <w:t>Charte</w:t>
      </w:r>
      <w:r w:rsidRPr="003D1C80">
        <w:rPr>
          <w:lang w:val="fr-CA"/>
        </w:rPr>
        <w:t xml:space="preserve"> et le pourvoi du ministère public </w:t>
      </w:r>
      <w:r w:rsidR="00E0404A">
        <w:rPr>
          <w:lang w:val="fr-CA"/>
        </w:rPr>
        <w:t>contre l’acquittement relatif</w:t>
      </w:r>
      <w:r w:rsidRPr="003D1C80">
        <w:rPr>
          <w:lang w:val="fr-CA"/>
        </w:rPr>
        <w:t xml:space="preserve"> à l</w:t>
      </w:r>
      <w:r w:rsidR="00375A6D" w:rsidRPr="003D1C80">
        <w:rPr>
          <w:lang w:val="fr-CA"/>
        </w:rPr>
        <w:t>’</w:t>
      </w:r>
      <w:r w:rsidRPr="003D1C80">
        <w:rPr>
          <w:lang w:val="fr-CA"/>
        </w:rPr>
        <w:t>accusation portée en vertu d</w:t>
      </w:r>
      <w:r w:rsidR="00C3138E" w:rsidRPr="003D1C80">
        <w:rPr>
          <w:lang w:val="fr-CA"/>
        </w:rPr>
        <w:t>e</w:t>
      </w:r>
      <w:r w:rsidRPr="003D1C80">
        <w:rPr>
          <w:lang w:val="fr-CA"/>
        </w:rPr>
        <w:t xml:space="preserve"> </w:t>
      </w:r>
      <w:r w:rsidR="00C3138E" w:rsidRPr="003D1C80">
        <w:rPr>
          <w:lang w:val="fr-CA"/>
        </w:rPr>
        <w:t>l</w:t>
      </w:r>
      <w:r w:rsidR="00375A6D" w:rsidRPr="003D1C80">
        <w:rPr>
          <w:lang w:val="fr-CA"/>
        </w:rPr>
        <w:t>’</w:t>
      </w:r>
      <w:r w:rsidR="00E0404A">
        <w:rPr>
          <w:lang w:val="fr-CA"/>
        </w:rPr>
        <w:t xml:space="preserve">art. </w:t>
      </w:r>
      <w:r w:rsidRPr="003D1C80">
        <w:rPr>
          <w:lang w:val="fr-CA"/>
        </w:rPr>
        <w:t xml:space="preserve">95 </w:t>
      </w:r>
      <w:r w:rsidR="00E66BCE" w:rsidRPr="003D1C80">
        <w:rPr>
          <w:lang w:val="fr-CA"/>
        </w:rPr>
        <w:t xml:space="preserve">du </w:t>
      </w:r>
      <w:r w:rsidR="00E66BCE" w:rsidRPr="003D1C80">
        <w:rPr>
          <w:i/>
          <w:lang w:val="fr-CA"/>
        </w:rPr>
        <w:t xml:space="preserve">Code </w:t>
      </w:r>
      <w:r w:rsidR="0091350F" w:rsidRPr="003D1C80">
        <w:rPr>
          <w:i/>
          <w:lang w:val="fr-CA"/>
        </w:rPr>
        <w:t>criminel</w:t>
      </w:r>
      <w:r w:rsidR="00E66BCE" w:rsidRPr="003D1C80">
        <w:rPr>
          <w:lang w:val="fr-CA"/>
        </w:rPr>
        <w:t xml:space="preserve"> </w:t>
      </w:r>
      <w:r w:rsidRPr="003D1C80">
        <w:rPr>
          <w:lang w:val="fr-CA"/>
        </w:rPr>
        <w:t>est accueilli.  L</w:t>
      </w:r>
      <w:r w:rsidR="00375A6D" w:rsidRPr="003D1C80">
        <w:rPr>
          <w:lang w:val="fr-CA"/>
        </w:rPr>
        <w:t>’</w:t>
      </w:r>
      <w:r w:rsidRPr="003D1C80">
        <w:rPr>
          <w:lang w:val="fr-CA"/>
        </w:rPr>
        <w:t>affaire est renvoyée à la Cour d</w:t>
      </w:r>
      <w:r w:rsidR="00375A6D" w:rsidRPr="003D1C80">
        <w:rPr>
          <w:lang w:val="fr-CA"/>
        </w:rPr>
        <w:t>’</w:t>
      </w:r>
      <w:r w:rsidRPr="003D1C80">
        <w:rPr>
          <w:lang w:val="fr-CA"/>
        </w:rPr>
        <w:t>appel pour la détermination de la peine.</w:t>
      </w:r>
    </w:p>
    <w:p w:rsidR="004D7D95" w:rsidRPr="003D1C80" w:rsidRDefault="004D7D95" w:rsidP="007A46E5">
      <w:pPr>
        <w:pStyle w:val="SCCNormalDoubleSpacing"/>
        <w:spacing w:before="480" w:after="480"/>
        <w:rPr>
          <w:lang w:val="fr-CA"/>
        </w:rPr>
      </w:pPr>
      <w:r w:rsidRPr="003D1C80">
        <w:rPr>
          <w:lang w:val="fr-CA"/>
        </w:rPr>
        <w:tab/>
      </w:r>
      <w:r w:rsidR="00F30FCE" w:rsidRPr="003D1C80">
        <w:rPr>
          <w:i/>
          <w:lang w:val="fr-CA"/>
        </w:rPr>
        <w:t>La</w:t>
      </w:r>
      <w:r w:rsidR="00F30FCE" w:rsidRPr="003D1C80">
        <w:rPr>
          <w:lang w:val="fr-CA"/>
        </w:rPr>
        <w:t xml:space="preserve"> juge en chef </w:t>
      </w:r>
      <w:proofErr w:type="spellStart"/>
      <w:r w:rsidR="00F30FCE" w:rsidRPr="003D1C80">
        <w:rPr>
          <w:lang w:val="fr-CA"/>
        </w:rPr>
        <w:t>McLachlin</w:t>
      </w:r>
      <w:proofErr w:type="spellEnd"/>
      <w:r w:rsidR="00F30FCE" w:rsidRPr="003D1C80">
        <w:rPr>
          <w:lang w:val="fr-CA"/>
        </w:rPr>
        <w:t xml:space="preserve"> et les juges </w:t>
      </w:r>
      <w:r w:rsidR="00F30FCE" w:rsidRPr="00E0404A">
        <w:rPr>
          <w:lang w:val="fr-CA"/>
        </w:rPr>
        <w:t>LeBel</w:t>
      </w:r>
      <w:r w:rsidR="000E60F2" w:rsidRPr="003D1C80">
        <w:rPr>
          <w:lang w:val="fr-CA"/>
        </w:rPr>
        <w:t>, Fish et Abella</w:t>
      </w:r>
      <w:r w:rsidR="007A46E5" w:rsidRPr="003D1C80">
        <w:rPr>
          <w:lang w:val="fr-CA"/>
        </w:rPr>
        <w:t> :</w:t>
      </w:r>
      <w:r w:rsidR="000E60F2" w:rsidRPr="003D1C80">
        <w:rPr>
          <w:lang w:val="fr-CA"/>
        </w:rPr>
        <w:t xml:space="preserve"> </w:t>
      </w:r>
      <w:r w:rsidR="00011FBC" w:rsidRPr="003D1C80">
        <w:rPr>
          <w:lang w:val="fr-CA"/>
        </w:rPr>
        <w:t>L</w:t>
      </w:r>
      <w:r w:rsidR="00375A6D" w:rsidRPr="003D1C80">
        <w:rPr>
          <w:lang w:val="fr-CA"/>
        </w:rPr>
        <w:t>’</w:t>
      </w:r>
      <w:r w:rsidR="00D22C8E" w:rsidRPr="003D1C80">
        <w:rPr>
          <w:lang w:val="fr-CA"/>
        </w:rPr>
        <w:t>intervention</w:t>
      </w:r>
      <w:r w:rsidR="00011FBC" w:rsidRPr="003D1C80">
        <w:rPr>
          <w:lang w:val="fr-CA"/>
        </w:rPr>
        <w:t xml:space="preserve"> du policier, lorsqu</w:t>
      </w:r>
      <w:r w:rsidR="00375A6D" w:rsidRPr="003D1C80">
        <w:rPr>
          <w:lang w:val="fr-CA"/>
        </w:rPr>
        <w:t>’</w:t>
      </w:r>
      <w:r w:rsidR="00011FBC" w:rsidRPr="003D1C80">
        <w:rPr>
          <w:lang w:val="fr-CA"/>
        </w:rPr>
        <w:t>il a poussé la porte un peu plus loin, constituait une « fouille » au sens de l</w:t>
      </w:r>
      <w:r w:rsidR="00375A6D" w:rsidRPr="003D1C80">
        <w:rPr>
          <w:lang w:val="fr-CA"/>
        </w:rPr>
        <w:t>’</w:t>
      </w:r>
      <w:r w:rsidR="007A46E5" w:rsidRPr="003D1C80">
        <w:rPr>
          <w:lang w:val="fr-CA"/>
        </w:rPr>
        <w:t>art. </w:t>
      </w:r>
      <w:r w:rsidR="00011FBC" w:rsidRPr="003D1C80">
        <w:rPr>
          <w:lang w:val="fr-CA"/>
        </w:rPr>
        <w:t xml:space="preserve">8 de la </w:t>
      </w:r>
      <w:r w:rsidR="00011FBC" w:rsidRPr="003D1C80">
        <w:rPr>
          <w:i/>
          <w:lang w:val="fr-CA"/>
        </w:rPr>
        <w:t>Charte</w:t>
      </w:r>
      <w:r w:rsidR="00011FBC" w:rsidRPr="003D1C80">
        <w:rPr>
          <w:lang w:val="fr-CA"/>
        </w:rPr>
        <w:t xml:space="preserve">.  Ce geste allait </w:t>
      </w:r>
      <w:proofErr w:type="spellStart"/>
      <w:r w:rsidR="00011FBC" w:rsidRPr="003D1C80">
        <w:rPr>
          <w:lang w:val="fr-CA"/>
        </w:rPr>
        <w:t>au</w:t>
      </w:r>
      <w:r w:rsidR="007A46E5" w:rsidRPr="003D1C80">
        <w:rPr>
          <w:lang w:val="fr-CA"/>
        </w:rPr>
        <w:noBreakHyphen/>
      </w:r>
      <w:r w:rsidR="00011FBC" w:rsidRPr="003D1C80">
        <w:rPr>
          <w:lang w:val="fr-CA"/>
        </w:rPr>
        <w:t>delà</w:t>
      </w:r>
      <w:proofErr w:type="spellEnd"/>
      <w:r w:rsidR="00011FBC" w:rsidRPr="003D1C80">
        <w:rPr>
          <w:lang w:val="fr-CA"/>
        </w:rPr>
        <w:t xml:space="preserve"> de l</w:t>
      </w:r>
      <w:r w:rsidR="00375A6D" w:rsidRPr="003D1C80">
        <w:rPr>
          <w:lang w:val="fr-CA"/>
        </w:rPr>
        <w:t>’</w:t>
      </w:r>
      <w:r w:rsidR="00011FBC" w:rsidRPr="003D1C80">
        <w:rPr>
          <w:lang w:val="fr-CA"/>
        </w:rPr>
        <w:t xml:space="preserve">autorisation </w:t>
      </w:r>
      <w:r w:rsidR="00011FBC" w:rsidRPr="003D1C80">
        <w:rPr>
          <w:lang w:val="fr-CA"/>
        </w:rPr>
        <w:lastRenderedPageBreak/>
        <w:t xml:space="preserve">implicite de frapper à la porte et constituait une atteinte à une attente raisonnable de M en matière de </w:t>
      </w:r>
      <w:r w:rsidR="007A56C5" w:rsidRPr="003D1C80">
        <w:rPr>
          <w:lang w:val="fr-CA"/>
        </w:rPr>
        <w:t xml:space="preserve">respect de la </w:t>
      </w:r>
      <w:r w:rsidR="00011FBC" w:rsidRPr="003D1C80">
        <w:rPr>
          <w:lang w:val="fr-CA"/>
        </w:rPr>
        <w:t>vie privée dans sa demeure.  Même si l</w:t>
      </w:r>
      <w:r w:rsidR="00375A6D" w:rsidRPr="003D1C80">
        <w:rPr>
          <w:lang w:val="fr-CA"/>
        </w:rPr>
        <w:t>’</w:t>
      </w:r>
      <w:r w:rsidR="00011FBC" w:rsidRPr="003D1C80">
        <w:rPr>
          <w:lang w:val="fr-CA"/>
        </w:rPr>
        <w:t xml:space="preserve">intervention du </w:t>
      </w:r>
      <w:r w:rsidR="00D22C8E" w:rsidRPr="003D1C80">
        <w:rPr>
          <w:lang w:val="fr-CA"/>
        </w:rPr>
        <w:t>policier</w:t>
      </w:r>
      <w:r w:rsidR="00011FBC" w:rsidRPr="003D1C80">
        <w:rPr>
          <w:lang w:val="fr-CA"/>
        </w:rPr>
        <w:t xml:space="preserve"> constituait une fouille au sens de l</w:t>
      </w:r>
      <w:r w:rsidR="00375A6D" w:rsidRPr="003D1C80">
        <w:rPr>
          <w:lang w:val="fr-CA"/>
        </w:rPr>
        <w:t>’</w:t>
      </w:r>
      <w:r w:rsidR="007A46E5" w:rsidRPr="003D1C80">
        <w:rPr>
          <w:lang w:val="fr-CA"/>
        </w:rPr>
        <w:t>art. </w:t>
      </w:r>
      <w:r w:rsidR="00011FBC" w:rsidRPr="003D1C80">
        <w:rPr>
          <w:lang w:val="fr-CA"/>
        </w:rPr>
        <w:t>8, cette fouille n</w:t>
      </w:r>
      <w:r w:rsidR="00375A6D" w:rsidRPr="003D1C80">
        <w:rPr>
          <w:lang w:val="fr-CA"/>
        </w:rPr>
        <w:t>’</w:t>
      </w:r>
      <w:r w:rsidR="00011FBC" w:rsidRPr="003D1C80">
        <w:rPr>
          <w:lang w:val="fr-CA"/>
        </w:rPr>
        <w:t>était pas abusive</w:t>
      </w:r>
      <w:r w:rsidR="00D22C8E" w:rsidRPr="003D1C80">
        <w:rPr>
          <w:lang w:val="fr-CA"/>
        </w:rPr>
        <w:t xml:space="preserve"> parce que les deux volets du critère de l</w:t>
      </w:r>
      <w:r w:rsidR="00375A6D" w:rsidRPr="003D1C80">
        <w:rPr>
          <w:lang w:val="fr-CA"/>
        </w:rPr>
        <w:t>’</w:t>
      </w:r>
      <w:r w:rsidR="00D22C8E" w:rsidRPr="003D1C80">
        <w:rPr>
          <w:lang w:val="fr-CA"/>
        </w:rPr>
        <w:t xml:space="preserve">arrêt </w:t>
      </w:r>
      <w:proofErr w:type="spellStart"/>
      <w:r w:rsidR="00D22C8E" w:rsidRPr="003D1C80">
        <w:rPr>
          <w:i/>
          <w:lang w:val="fr-CA"/>
        </w:rPr>
        <w:t>Waterfield</w:t>
      </w:r>
      <w:proofErr w:type="spellEnd"/>
      <w:r w:rsidR="00D22C8E" w:rsidRPr="003D1C80">
        <w:rPr>
          <w:lang w:val="fr-CA"/>
        </w:rPr>
        <w:t xml:space="preserve"> étaient respectés.  Le premier volet était respecté puisque la fouille sans mandat s</w:t>
      </w:r>
      <w:r w:rsidR="00375A6D" w:rsidRPr="003D1C80">
        <w:rPr>
          <w:lang w:val="fr-CA"/>
        </w:rPr>
        <w:t>’</w:t>
      </w:r>
      <w:r w:rsidR="00D22C8E" w:rsidRPr="003D1C80">
        <w:rPr>
          <w:lang w:val="fr-CA"/>
        </w:rPr>
        <w:t>inscrivait dans le cadre du devoir qu</w:t>
      </w:r>
      <w:r w:rsidR="00375A6D" w:rsidRPr="003D1C80">
        <w:rPr>
          <w:lang w:val="fr-CA"/>
        </w:rPr>
        <w:t>’</w:t>
      </w:r>
      <w:r w:rsidR="00D22C8E" w:rsidRPr="003D1C80">
        <w:rPr>
          <w:lang w:val="fr-CA"/>
        </w:rPr>
        <w:t xml:space="preserve">ont les policiers en </w:t>
      </w:r>
      <w:proofErr w:type="spellStart"/>
      <w:r w:rsidR="00D22C8E" w:rsidRPr="003D1C80">
        <w:rPr>
          <w:lang w:val="fr-CA"/>
        </w:rPr>
        <w:t>common</w:t>
      </w:r>
      <w:proofErr w:type="spellEnd"/>
      <w:r w:rsidR="00D22C8E" w:rsidRPr="003D1C80">
        <w:rPr>
          <w:lang w:val="fr-CA"/>
        </w:rPr>
        <w:t xml:space="preserve"> </w:t>
      </w:r>
      <w:proofErr w:type="spellStart"/>
      <w:r w:rsidR="00D22C8E" w:rsidRPr="003D1C80">
        <w:rPr>
          <w:lang w:val="fr-CA"/>
        </w:rPr>
        <w:t>law</w:t>
      </w:r>
      <w:proofErr w:type="spellEnd"/>
      <w:r w:rsidR="00D22C8E" w:rsidRPr="003D1C80">
        <w:rPr>
          <w:lang w:val="fr-CA"/>
        </w:rPr>
        <w:t xml:space="preserve"> de protéger la vie et la sécurité</w:t>
      </w:r>
      <w:r w:rsidR="00E0404A">
        <w:rPr>
          <w:lang w:val="fr-CA"/>
        </w:rPr>
        <w:t>,</w:t>
      </w:r>
      <w:r w:rsidR="00D22C8E" w:rsidRPr="003D1C80">
        <w:rPr>
          <w:lang w:val="fr-CA"/>
        </w:rPr>
        <w:t xml:space="preserve"> et le second, puisque la fouille constituait un exercice justifiable des pouvoirs afférents à ce devoir.  </w:t>
      </w:r>
    </w:p>
    <w:p w:rsidR="00D22C8E" w:rsidRPr="003D1C80" w:rsidRDefault="00D22C8E" w:rsidP="007A46E5">
      <w:pPr>
        <w:pStyle w:val="SCCNormalDoubleSpacing"/>
        <w:spacing w:before="480" w:after="480"/>
        <w:rPr>
          <w:lang w:val="fr-CA"/>
        </w:rPr>
      </w:pPr>
      <w:r w:rsidRPr="003D1C80">
        <w:rPr>
          <w:lang w:val="fr-CA"/>
        </w:rPr>
        <w:tab/>
      </w:r>
      <w:r w:rsidR="009B7C73" w:rsidRPr="003D1C80">
        <w:rPr>
          <w:lang w:val="fr-CA"/>
        </w:rPr>
        <w:t xml:space="preserve">Pour déterminer si une fouille de sécurité est raisonnablement nécessaire, et donc justifiable, un certain nombre de facteurs </w:t>
      </w:r>
      <w:r w:rsidR="007A56C5" w:rsidRPr="003D1C80">
        <w:rPr>
          <w:lang w:val="fr-CA"/>
        </w:rPr>
        <w:t>doive</w:t>
      </w:r>
      <w:r w:rsidR="009B7C73" w:rsidRPr="003D1C80">
        <w:rPr>
          <w:lang w:val="fr-CA"/>
        </w:rPr>
        <w:t xml:space="preserve">nt </w:t>
      </w:r>
      <w:r w:rsidR="007A56C5" w:rsidRPr="003D1C80">
        <w:rPr>
          <w:lang w:val="fr-CA"/>
        </w:rPr>
        <w:t xml:space="preserve">être </w:t>
      </w:r>
      <w:r w:rsidR="009B7C73" w:rsidRPr="003D1C80">
        <w:rPr>
          <w:lang w:val="fr-CA"/>
        </w:rPr>
        <w:t>pris en considération pour mettre en équilibre le devoir des policiers et le droit à la liberté en cause.  Ces facteurs englobent l</w:t>
      </w:r>
      <w:r w:rsidR="00375A6D" w:rsidRPr="003D1C80">
        <w:rPr>
          <w:lang w:val="fr-CA"/>
        </w:rPr>
        <w:t>’</w:t>
      </w:r>
      <w:r w:rsidR="009B7C73" w:rsidRPr="003D1C80">
        <w:rPr>
          <w:lang w:val="fr-CA"/>
        </w:rPr>
        <w:t>importance de ce devoir pour l</w:t>
      </w:r>
      <w:r w:rsidR="00375A6D" w:rsidRPr="003D1C80">
        <w:rPr>
          <w:lang w:val="fr-CA"/>
        </w:rPr>
        <w:t>’</w:t>
      </w:r>
      <w:r w:rsidR="009B7C73" w:rsidRPr="003D1C80">
        <w:rPr>
          <w:lang w:val="fr-CA"/>
        </w:rPr>
        <w:t>intérêt public, la nécessité de l</w:t>
      </w:r>
      <w:r w:rsidR="00375A6D" w:rsidRPr="003D1C80">
        <w:rPr>
          <w:lang w:val="fr-CA"/>
        </w:rPr>
        <w:t>’</w:t>
      </w:r>
      <w:r w:rsidR="009B7C73" w:rsidRPr="003D1C80">
        <w:rPr>
          <w:lang w:val="fr-CA"/>
        </w:rPr>
        <w:t>atteinte pour l</w:t>
      </w:r>
      <w:r w:rsidR="00375A6D" w:rsidRPr="003D1C80">
        <w:rPr>
          <w:lang w:val="fr-CA"/>
        </w:rPr>
        <w:t>’</w:t>
      </w:r>
      <w:r w:rsidR="009B7C73" w:rsidRPr="003D1C80">
        <w:rPr>
          <w:lang w:val="fr-CA"/>
        </w:rPr>
        <w:t>accomplissement de ce devoir et l</w:t>
      </w:r>
      <w:r w:rsidR="00375A6D" w:rsidRPr="003D1C80">
        <w:rPr>
          <w:lang w:val="fr-CA"/>
        </w:rPr>
        <w:t>’</w:t>
      </w:r>
      <w:r w:rsidR="009B7C73" w:rsidRPr="003D1C80">
        <w:rPr>
          <w:lang w:val="fr-CA"/>
        </w:rPr>
        <w:t>ampleur de l</w:t>
      </w:r>
      <w:r w:rsidR="00375A6D" w:rsidRPr="003D1C80">
        <w:rPr>
          <w:lang w:val="fr-CA"/>
        </w:rPr>
        <w:t>’</w:t>
      </w:r>
      <w:r w:rsidR="009B7C73" w:rsidRPr="003D1C80">
        <w:rPr>
          <w:lang w:val="fr-CA"/>
        </w:rPr>
        <w:t xml:space="preserve">atteinte.  </w:t>
      </w:r>
      <w:r w:rsidR="00FA3D87" w:rsidRPr="003D1C80">
        <w:rPr>
          <w:lang w:val="fr-CA"/>
        </w:rPr>
        <w:t>Le devoir de protéger la vie et la sécurité est de la plus haute importance pour l</w:t>
      </w:r>
      <w:r w:rsidR="00375A6D" w:rsidRPr="003D1C80">
        <w:rPr>
          <w:lang w:val="fr-CA"/>
        </w:rPr>
        <w:t>’</w:t>
      </w:r>
      <w:r w:rsidR="00FA3D87" w:rsidRPr="003D1C80">
        <w:rPr>
          <w:lang w:val="fr-CA"/>
        </w:rPr>
        <w:t>intérêt public, mais une atteinte à la liberté d</w:t>
      </w:r>
      <w:r w:rsidR="00375A6D" w:rsidRPr="003D1C80">
        <w:rPr>
          <w:lang w:val="fr-CA"/>
        </w:rPr>
        <w:t>’</w:t>
      </w:r>
      <w:r w:rsidR="00FA3D87" w:rsidRPr="003D1C80">
        <w:rPr>
          <w:lang w:val="fr-CA"/>
        </w:rPr>
        <w:t xml:space="preserve">une personne peut être nécessaire lorsque, par exemple, le policier a des motifs raisonnables de croire que cette personne est armée et </w:t>
      </w:r>
      <w:proofErr w:type="gramStart"/>
      <w:r w:rsidR="00FA3D87" w:rsidRPr="003D1C80">
        <w:rPr>
          <w:lang w:val="fr-CA"/>
        </w:rPr>
        <w:t>dangereuse</w:t>
      </w:r>
      <w:proofErr w:type="gramEnd"/>
      <w:r w:rsidR="00FA3D87" w:rsidRPr="003D1C80">
        <w:rPr>
          <w:lang w:val="fr-CA"/>
        </w:rPr>
        <w:t>.  Cette atteinte à la liberté ne sera justifiée que dans la mesure où il est nécessaire que le policier vérifie la présence d</w:t>
      </w:r>
      <w:r w:rsidR="00375A6D" w:rsidRPr="003D1C80">
        <w:rPr>
          <w:lang w:val="fr-CA"/>
        </w:rPr>
        <w:t>’</w:t>
      </w:r>
      <w:r w:rsidR="00FA3D87" w:rsidRPr="003D1C80">
        <w:rPr>
          <w:lang w:val="fr-CA"/>
        </w:rPr>
        <w:t xml:space="preserve">armes.  </w:t>
      </w:r>
      <w:r w:rsidR="0092087B" w:rsidRPr="003D1C80">
        <w:rPr>
          <w:lang w:val="fr-CA"/>
        </w:rPr>
        <w:t>En d</w:t>
      </w:r>
      <w:r w:rsidR="00375A6D" w:rsidRPr="003D1C80">
        <w:rPr>
          <w:lang w:val="fr-CA"/>
        </w:rPr>
        <w:t>’</w:t>
      </w:r>
      <w:r w:rsidR="0092087B" w:rsidRPr="003D1C80">
        <w:rPr>
          <w:lang w:val="fr-CA"/>
        </w:rPr>
        <w:t>autres mots, et comme notre Cour l</w:t>
      </w:r>
      <w:r w:rsidR="00375A6D" w:rsidRPr="003D1C80">
        <w:rPr>
          <w:lang w:val="fr-CA"/>
        </w:rPr>
        <w:t>’</w:t>
      </w:r>
      <w:r w:rsidR="0092087B" w:rsidRPr="003D1C80">
        <w:rPr>
          <w:lang w:val="fr-CA"/>
        </w:rPr>
        <w:t xml:space="preserve">a reconnu dans </w:t>
      </w:r>
      <w:r w:rsidR="0092087B" w:rsidRPr="003D1C80">
        <w:rPr>
          <w:i/>
          <w:szCs w:val="24"/>
          <w:lang w:val="fr-CA"/>
        </w:rPr>
        <w:t>R. c. Mann</w:t>
      </w:r>
      <w:r w:rsidR="0092087B" w:rsidRPr="003D1C80">
        <w:rPr>
          <w:szCs w:val="24"/>
          <w:lang w:val="fr-CA"/>
        </w:rPr>
        <w:t>, 2004 CSC 52, [2004] 3 R.C.S. 59</w:t>
      </w:r>
      <w:r w:rsidR="0092087B" w:rsidRPr="003D1C80">
        <w:rPr>
          <w:lang w:val="fr-CA"/>
        </w:rPr>
        <w:t>, les pouvoirs des policiers sont limités.  Les tribunaux doivent prendre en compte non seulement l</w:t>
      </w:r>
      <w:r w:rsidR="00375A6D" w:rsidRPr="003D1C80">
        <w:rPr>
          <w:lang w:val="fr-CA"/>
        </w:rPr>
        <w:t>’</w:t>
      </w:r>
      <w:r w:rsidR="0092087B" w:rsidRPr="003D1C80">
        <w:rPr>
          <w:lang w:val="fr-CA"/>
        </w:rPr>
        <w:t>ampleur de l</w:t>
      </w:r>
      <w:r w:rsidR="00375A6D" w:rsidRPr="003D1C80">
        <w:rPr>
          <w:lang w:val="fr-CA"/>
        </w:rPr>
        <w:t>’</w:t>
      </w:r>
      <w:r w:rsidR="0092087B" w:rsidRPr="003D1C80">
        <w:rPr>
          <w:lang w:val="fr-CA"/>
        </w:rPr>
        <w:t xml:space="preserve">atteinte, </w:t>
      </w:r>
      <w:r w:rsidR="0092087B" w:rsidRPr="003D1C80">
        <w:rPr>
          <w:szCs w:val="24"/>
          <w:lang w:val="fr-CA"/>
        </w:rPr>
        <w:t xml:space="preserve">mais </w:t>
      </w:r>
      <w:r w:rsidR="00E66BCE" w:rsidRPr="003D1C80">
        <w:rPr>
          <w:szCs w:val="24"/>
          <w:lang w:val="fr-CA"/>
        </w:rPr>
        <w:t>aussi</w:t>
      </w:r>
      <w:r w:rsidR="0092087B" w:rsidRPr="003D1C80">
        <w:rPr>
          <w:szCs w:val="24"/>
          <w:lang w:val="fr-CA"/>
        </w:rPr>
        <w:t xml:space="preserve"> la façon dont la fouille a été effectuée.  </w:t>
      </w:r>
      <w:r w:rsidR="00AB0D59" w:rsidRPr="003D1C80">
        <w:rPr>
          <w:lang w:val="fr-CA"/>
        </w:rPr>
        <w:t>Des limites à l</w:t>
      </w:r>
      <w:r w:rsidR="00375A6D" w:rsidRPr="003D1C80">
        <w:rPr>
          <w:lang w:val="fr-CA"/>
        </w:rPr>
        <w:t>’</w:t>
      </w:r>
      <w:r w:rsidR="00AB0D59" w:rsidRPr="003D1C80">
        <w:rPr>
          <w:lang w:val="fr-CA"/>
        </w:rPr>
        <w:t>égard des fouilles de sécurité effectuée</w:t>
      </w:r>
      <w:r w:rsidR="00E66BCE" w:rsidRPr="003D1C80">
        <w:rPr>
          <w:lang w:val="fr-CA"/>
        </w:rPr>
        <w:t>s</w:t>
      </w:r>
      <w:r w:rsidR="00AB0D59" w:rsidRPr="003D1C80">
        <w:rPr>
          <w:lang w:val="fr-CA"/>
        </w:rPr>
        <w:t xml:space="preserve"> dans une résidence privée sont particulièrement importantes car ces fouilles peu</w:t>
      </w:r>
      <w:r w:rsidR="0091350F">
        <w:rPr>
          <w:lang w:val="fr-CA"/>
        </w:rPr>
        <w:t>ven</w:t>
      </w:r>
      <w:r w:rsidR="00AB0D59" w:rsidRPr="003D1C80">
        <w:rPr>
          <w:lang w:val="fr-CA"/>
        </w:rPr>
        <w:t>t souvent permettre à la police d</w:t>
      </w:r>
      <w:r w:rsidR="00375A6D" w:rsidRPr="003D1C80">
        <w:rPr>
          <w:lang w:val="fr-CA"/>
        </w:rPr>
        <w:t>’</w:t>
      </w:r>
      <w:r w:rsidR="00AB0D59" w:rsidRPr="003D1C80">
        <w:rPr>
          <w:lang w:val="fr-CA"/>
        </w:rPr>
        <w:t>obtenir de nombreux renseignements personnels très délicats.</w:t>
      </w:r>
    </w:p>
    <w:p w:rsidR="00AB0D59" w:rsidRPr="003D1C80" w:rsidRDefault="00AB0D59" w:rsidP="007A46E5">
      <w:pPr>
        <w:pStyle w:val="SCCNormalDoubleSpacing"/>
        <w:spacing w:before="480" w:after="480"/>
        <w:rPr>
          <w:lang w:val="fr-CA"/>
        </w:rPr>
      </w:pPr>
      <w:r w:rsidRPr="003D1C80">
        <w:rPr>
          <w:lang w:val="fr-CA"/>
        </w:rPr>
        <w:lastRenderedPageBreak/>
        <w:tab/>
        <w:t>En l</w:t>
      </w:r>
      <w:r w:rsidR="00375A6D" w:rsidRPr="003D1C80">
        <w:rPr>
          <w:lang w:val="fr-CA"/>
        </w:rPr>
        <w:t>’</w:t>
      </w:r>
      <w:r w:rsidRPr="003D1C80">
        <w:rPr>
          <w:lang w:val="fr-CA"/>
        </w:rPr>
        <w:t>espèce, le policier avait des motifs raisonnables de croire à l</w:t>
      </w:r>
      <w:r w:rsidR="00375A6D" w:rsidRPr="003D1C80">
        <w:rPr>
          <w:lang w:val="fr-CA"/>
        </w:rPr>
        <w:t>’</w:t>
      </w:r>
      <w:r w:rsidRPr="003D1C80">
        <w:rPr>
          <w:lang w:val="fr-CA"/>
        </w:rPr>
        <w:t>existence d</w:t>
      </w:r>
      <w:r w:rsidR="00375A6D" w:rsidRPr="003D1C80">
        <w:rPr>
          <w:lang w:val="fr-CA"/>
        </w:rPr>
        <w:t>’</w:t>
      </w:r>
      <w:r w:rsidRPr="003D1C80">
        <w:rPr>
          <w:lang w:val="fr-CA"/>
        </w:rPr>
        <w:t xml:space="preserve">une menace imminente pour la sécurité du public </w:t>
      </w:r>
      <w:r w:rsidR="00D21BC5" w:rsidRPr="003D1C80">
        <w:rPr>
          <w:lang w:val="fr-CA"/>
        </w:rPr>
        <w:t>et</w:t>
      </w:r>
      <w:r w:rsidRPr="003D1C80">
        <w:rPr>
          <w:lang w:val="fr-CA"/>
        </w:rPr>
        <w:t xml:space="preserve"> celle des policiers et que la fouille était nécessaire pour é</w:t>
      </w:r>
      <w:r w:rsidR="00D21BC5" w:rsidRPr="003D1C80">
        <w:rPr>
          <w:lang w:val="fr-CA"/>
        </w:rPr>
        <w:t>limin</w:t>
      </w:r>
      <w:r w:rsidRPr="003D1C80">
        <w:rPr>
          <w:lang w:val="fr-CA"/>
        </w:rPr>
        <w:t xml:space="preserve">er cette menace.  La façon dont </w:t>
      </w:r>
      <w:r w:rsidR="00AE11F0" w:rsidRPr="003D1C80">
        <w:rPr>
          <w:lang w:val="fr-CA"/>
        </w:rPr>
        <w:t>i</w:t>
      </w:r>
      <w:r w:rsidRPr="003D1C80">
        <w:rPr>
          <w:lang w:val="fr-CA"/>
        </w:rPr>
        <w:t>l a effectué la fouille n</w:t>
      </w:r>
      <w:r w:rsidR="00375A6D" w:rsidRPr="003D1C80">
        <w:rPr>
          <w:lang w:val="fr-CA"/>
        </w:rPr>
        <w:t>’</w:t>
      </w:r>
      <w:r w:rsidRPr="003D1C80">
        <w:rPr>
          <w:lang w:val="fr-CA"/>
        </w:rPr>
        <w:t>était pas non plus abusive.</w:t>
      </w:r>
      <w:r w:rsidR="00AE11F0" w:rsidRPr="003D1C80">
        <w:rPr>
          <w:lang w:val="fr-CA"/>
        </w:rPr>
        <w:t xml:space="preserve">  </w:t>
      </w:r>
      <w:r w:rsidR="00AE11F0" w:rsidRPr="003D1C80">
        <w:rPr>
          <w:szCs w:val="24"/>
          <w:lang w:val="fr-CA"/>
        </w:rPr>
        <w:t>Le juge du procès a conclu que le policier n</w:t>
      </w:r>
      <w:r w:rsidR="00375A6D" w:rsidRPr="003D1C80">
        <w:rPr>
          <w:szCs w:val="24"/>
          <w:lang w:val="fr-CA"/>
        </w:rPr>
        <w:t>’</w:t>
      </w:r>
      <w:r w:rsidR="00AE11F0" w:rsidRPr="003D1C80">
        <w:rPr>
          <w:szCs w:val="24"/>
          <w:lang w:val="fr-CA"/>
        </w:rPr>
        <w:t xml:space="preserve">a </w:t>
      </w:r>
      <w:r w:rsidR="00D21BC5" w:rsidRPr="003D1C80">
        <w:rPr>
          <w:szCs w:val="24"/>
          <w:lang w:val="fr-CA"/>
        </w:rPr>
        <w:t xml:space="preserve">pas </w:t>
      </w:r>
      <w:r w:rsidR="00AE11F0" w:rsidRPr="003D1C80">
        <w:rPr>
          <w:szCs w:val="24"/>
          <w:lang w:val="fr-CA"/>
        </w:rPr>
        <w:t>ouvert la porte plus qu</w:t>
      </w:r>
      <w:r w:rsidR="00375A6D" w:rsidRPr="003D1C80">
        <w:rPr>
          <w:szCs w:val="24"/>
          <w:lang w:val="fr-CA"/>
        </w:rPr>
        <w:t>’</w:t>
      </w:r>
      <w:r w:rsidR="00D21BC5" w:rsidRPr="003D1C80">
        <w:rPr>
          <w:szCs w:val="24"/>
          <w:lang w:val="fr-CA"/>
        </w:rPr>
        <w:t>il</w:t>
      </w:r>
      <w:r w:rsidR="00AE11F0" w:rsidRPr="003D1C80">
        <w:rPr>
          <w:szCs w:val="24"/>
          <w:lang w:val="fr-CA"/>
        </w:rPr>
        <w:t xml:space="preserve"> </w:t>
      </w:r>
      <w:r w:rsidR="00D21BC5" w:rsidRPr="003D1C80">
        <w:rPr>
          <w:szCs w:val="24"/>
          <w:lang w:val="fr-CA"/>
        </w:rPr>
        <w:t>n</w:t>
      </w:r>
      <w:r w:rsidR="00375A6D" w:rsidRPr="003D1C80">
        <w:rPr>
          <w:szCs w:val="24"/>
          <w:lang w:val="fr-CA"/>
        </w:rPr>
        <w:t>’</w:t>
      </w:r>
      <w:r w:rsidR="00D21BC5" w:rsidRPr="003D1C80">
        <w:rPr>
          <w:szCs w:val="24"/>
          <w:lang w:val="fr-CA"/>
        </w:rPr>
        <w:t xml:space="preserve">était </w:t>
      </w:r>
      <w:r w:rsidR="00AE11F0" w:rsidRPr="003D1C80">
        <w:rPr>
          <w:szCs w:val="24"/>
          <w:lang w:val="fr-CA"/>
        </w:rPr>
        <w:t>nécessaire pour découvrir ce qui se trouvait derrière la jambe de M.  Le policier a demandé deux fois à M ce qu</w:t>
      </w:r>
      <w:r w:rsidR="00375A6D" w:rsidRPr="003D1C80">
        <w:rPr>
          <w:szCs w:val="24"/>
          <w:lang w:val="fr-CA"/>
        </w:rPr>
        <w:t>’</w:t>
      </w:r>
      <w:r w:rsidR="00AE11F0" w:rsidRPr="003D1C80">
        <w:rPr>
          <w:szCs w:val="24"/>
          <w:lang w:val="fr-CA"/>
        </w:rPr>
        <w:t xml:space="preserve">il tenait dans sa main, sans obtenir de réponse.  </w:t>
      </w:r>
      <w:r w:rsidR="00AE11F0" w:rsidRPr="003D1C80">
        <w:rPr>
          <w:lang w:val="fr-CA"/>
        </w:rPr>
        <w:t>Dans de telles circonstances, il est difficile d</w:t>
      </w:r>
      <w:r w:rsidR="00375A6D" w:rsidRPr="003D1C80">
        <w:rPr>
          <w:lang w:val="fr-CA"/>
        </w:rPr>
        <w:t>’</w:t>
      </w:r>
      <w:r w:rsidR="00AE11F0" w:rsidRPr="003D1C80">
        <w:rPr>
          <w:lang w:val="fr-CA"/>
        </w:rPr>
        <w:t xml:space="preserve">imaginer une façon moins envahissante de déterminer si </w:t>
      </w:r>
      <w:r w:rsidR="008E4E4C" w:rsidRPr="003D1C80">
        <w:rPr>
          <w:lang w:val="fr-CA"/>
        </w:rPr>
        <w:t>M</w:t>
      </w:r>
      <w:r w:rsidR="00AE11F0" w:rsidRPr="003D1C80">
        <w:rPr>
          <w:lang w:val="fr-CA"/>
        </w:rPr>
        <w:t xml:space="preserve"> cachait une arme et, par le fait même, d</w:t>
      </w:r>
      <w:r w:rsidR="00375A6D" w:rsidRPr="003D1C80">
        <w:rPr>
          <w:lang w:val="fr-CA"/>
        </w:rPr>
        <w:t>’</w:t>
      </w:r>
      <w:r w:rsidR="00AE11F0" w:rsidRPr="003D1C80">
        <w:rPr>
          <w:lang w:val="fr-CA"/>
        </w:rPr>
        <w:t>éliminer toute menace</w:t>
      </w:r>
      <w:r w:rsidR="008E4E4C" w:rsidRPr="003D1C80">
        <w:rPr>
          <w:lang w:val="fr-CA"/>
        </w:rPr>
        <w:t>.  Par conséquent, il n</w:t>
      </w:r>
      <w:r w:rsidR="00375A6D" w:rsidRPr="003D1C80">
        <w:rPr>
          <w:lang w:val="fr-CA"/>
        </w:rPr>
        <w:t>’</w:t>
      </w:r>
      <w:r w:rsidR="008E4E4C" w:rsidRPr="003D1C80">
        <w:rPr>
          <w:lang w:val="fr-CA"/>
        </w:rPr>
        <w:t>y a pas eu violation des droits que l</w:t>
      </w:r>
      <w:r w:rsidR="00375A6D" w:rsidRPr="003D1C80">
        <w:rPr>
          <w:lang w:val="fr-CA"/>
        </w:rPr>
        <w:t>’</w:t>
      </w:r>
      <w:r w:rsidR="007A46E5" w:rsidRPr="003D1C80">
        <w:rPr>
          <w:lang w:val="fr-CA"/>
        </w:rPr>
        <w:t>art. </w:t>
      </w:r>
      <w:r w:rsidR="008E4E4C" w:rsidRPr="003D1C80">
        <w:rPr>
          <w:lang w:val="fr-CA"/>
        </w:rPr>
        <w:t xml:space="preserve">8 de la </w:t>
      </w:r>
      <w:r w:rsidR="008E4E4C" w:rsidRPr="003D1C80">
        <w:rPr>
          <w:i/>
          <w:lang w:val="fr-CA"/>
        </w:rPr>
        <w:t>Charte</w:t>
      </w:r>
      <w:r w:rsidR="008E4E4C" w:rsidRPr="003D1C80">
        <w:rPr>
          <w:lang w:val="fr-CA"/>
        </w:rPr>
        <w:t xml:space="preserve"> confère à M.</w:t>
      </w:r>
    </w:p>
    <w:p w:rsidR="00225926" w:rsidRPr="003D1C80" w:rsidRDefault="00225926" w:rsidP="007A46E5">
      <w:pPr>
        <w:pStyle w:val="SCCNormalDoubleSpacing"/>
        <w:spacing w:before="480" w:after="480"/>
        <w:rPr>
          <w:lang w:val="fr-CA"/>
        </w:rPr>
      </w:pPr>
      <w:r w:rsidRPr="003D1C80">
        <w:rPr>
          <w:lang w:val="fr-CA"/>
        </w:rPr>
        <w:tab/>
        <w:t>Pour ce qui est de la déclaration de culpabilité fondée sur l</w:t>
      </w:r>
      <w:r w:rsidR="00375A6D" w:rsidRPr="003D1C80">
        <w:rPr>
          <w:lang w:val="fr-CA"/>
        </w:rPr>
        <w:t>’</w:t>
      </w:r>
      <w:r w:rsidR="007A46E5" w:rsidRPr="003D1C80">
        <w:rPr>
          <w:lang w:val="fr-CA"/>
        </w:rPr>
        <w:t>art. </w:t>
      </w:r>
      <w:r w:rsidRPr="003D1C80">
        <w:rPr>
          <w:lang w:val="fr-CA"/>
        </w:rPr>
        <w:t xml:space="preserve">95 du </w:t>
      </w:r>
      <w:r w:rsidR="00FD4495" w:rsidRPr="003D1C80">
        <w:rPr>
          <w:i/>
          <w:lang w:val="fr-CA"/>
        </w:rPr>
        <w:t>Code</w:t>
      </w:r>
      <w:r w:rsidR="00E66BCE" w:rsidRPr="003D1C80">
        <w:rPr>
          <w:i/>
          <w:lang w:val="fr-CA"/>
        </w:rPr>
        <w:t xml:space="preserve"> criminel</w:t>
      </w:r>
      <w:r w:rsidRPr="003D1C80">
        <w:rPr>
          <w:lang w:val="fr-CA"/>
        </w:rPr>
        <w:t xml:space="preserve">, </w:t>
      </w:r>
      <w:r w:rsidR="001778E6" w:rsidRPr="003D1C80">
        <w:rPr>
          <w:lang w:val="fr-CA"/>
        </w:rPr>
        <w:t>la Cour d</w:t>
      </w:r>
      <w:r w:rsidR="00375A6D" w:rsidRPr="003D1C80">
        <w:rPr>
          <w:lang w:val="fr-CA"/>
        </w:rPr>
        <w:t>’</w:t>
      </w:r>
      <w:r w:rsidR="001778E6" w:rsidRPr="003D1C80">
        <w:rPr>
          <w:lang w:val="fr-CA"/>
        </w:rPr>
        <w:t>appel a commis une erreur en obligeant le ministère public à prouver que M savait que son permis de possession et d</w:t>
      </w:r>
      <w:r w:rsidR="00375A6D" w:rsidRPr="003D1C80">
        <w:rPr>
          <w:lang w:val="fr-CA"/>
        </w:rPr>
        <w:t>’</w:t>
      </w:r>
      <w:r w:rsidR="001778E6" w:rsidRPr="003D1C80">
        <w:rPr>
          <w:lang w:val="fr-CA"/>
        </w:rPr>
        <w:t>acquisition de l</w:t>
      </w:r>
      <w:r w:rsidR="00375A6D" w:rsidRPr="003D1C80">
        <w:rPr>
          <w:lang w:val="fr-CA"/>
        </w:rPr>
        <w:t>’</w:t>
      </w:r>
      <w:r w:rsidR="001778E6" w:rsidRPr="003D1C80">
        <w:rPr>
          <w:lang w:val="fr-CA"/>
        </w:rPr>
        <w:t>arme à feu et son autorisation de transporter l</w:t>
      </w:r>
      <w:r w:rsidR="00375A6D" w:rsidRPr="003D1C80">
        <w:rPr>
          <w:lang w:val="fr-CA"/>
        </w:rPr>
        <w:t>’</w:t>
      </w:r>
      <w:r w:rsidR="001778E6" w:rsidRPr="003D1C80">
        <w:rPr>
          <w:lang w:val="fr-CA"/>
        </w:rPr>
        <w:t>arme n</w:t>
      </w:r>
      <w:r w:rsidR="00375A6D" w:rsidRPr="003D1C80">
        <w:rPr>
          <w:lang w:val="fr-CA"/>
        </w:rPr>
        <w:t>’</w:t>
      </w:r>
      <w:r w:rsidR="001778E6" w:rsidRPr="003D1C80">
        <w:rPr>
          <w:lang w:val="fr-CA"/>
        </w:rPr>
        <w:t xml:space="preserve">étaient pas valides </w:t>
      </w:r>
      <w:r w:rsidR="00FD4495" w:rsidRPr="003D1C80">
        <w:rPr>
          <w:lang w:val="fr-CA"/>
        </w:rPr>
        <w:t>à</w:t>
      </w:r>
      <w:r w:rsidR="001778E6" w:rsidRPr="003D1C80">
        <w:rPr>
          <w:lang w:val="fr-CA"/>
        </w:rPr>
        <w:t xml:space="preserve"> sa résidence de Halifax.  Cette exigence contrevient à la règle, codifiée à l</w:t>
      </w:r>
      <w:r w:rsidR="00375A6D" w:rsidRPr="003D1C80">
        <w:rPr>
          <w:lang w:val="fr-CA"/>
        </w:rPr>
        <w:t>’</w:t>
      </w:r>
      <w:r w:rsidR="007A46E5" w:rsidRPr="003D1C80">
        <w:rPr>
          <w:lang w:val="fr-CA"/>
        </w:rPr>
        <w:t>art. </w:t>
      </w:r>
      <w:r w:rsidR="001778E6" w:rsidRPr="003D1C80">
        <w:rPr>
          <w:lang w:val="fr-CA"/>
        </w:rPr>
        <w:t xml:space="preserve">19 du </w:t>
      </w:r>
      <w:r w:rsidR="001778E6" w:rsidRPr="003D1C80">
        <w:rPr>
          <w:i/>
          <w:lang w:val="fr-CA"/>
        </w:rPr>
        <w:t>Code</w:t>
      </w:r>
      <w:r w:rsidR="001778E6" w:rsidRPr="003D1C80">
        <w:rPr>
          <w:lang w:val="fr-CA"/>
        </w:rPr>
        <w:t>, selon laquelle l</w:t>
      </w:r>
      <w:r w:rsidR="00375A6D" w:rsidRPr="003D1C80">
        <w:rPr>
          <w:lang w:val="fr-CA"/>
        </w:rPr>
        <w:t>’</w:t>
      </w:r>
      <w:r w:rsidR="001778E6" w:rsidRPr="003D1C80">
        <w:rPr>
          <w:lang w:val="fr-CA"/>
        </w:rPr>
        <w:t>ignorance de la loi n</w:t>
      </w:r>
      <w:r w:rsidR="00375A6D" w:rsidRPr="003D1C80">
        <w:rPr>
          <w:lang w:val="fr-CA"/>
        </w:rPr>
        <w:t>’</w:t>
      </w:r>
      <w:r w:rsidR="001778E6" w:rsidRPr="003D1C80">
        <w:rPr>
          <w:lang w:val="fr-CA"/>
        </w:rPr>
        <w:t>est pas une excuse.  L</w:t>
      </w:r>
      <w:r w:rsidR="00375A6D" w:rsidRPr="003D1C80">
        <w:rPr>
          <w:lang w:val="fr-CA"/>
        </w:rPr>
        <w:t>’article </w:t>
      </w:r>
      <w:r w:rsidR="001778E6" w:rsidRPr="003D1C80">
        <w:rPr>
          <w:lang w:val="fr-CA"/>
        </w:rPr>
        <w:t xml:space="preserve">95 crée une infraction exigeant la </w:t>
      </w:r>
      <w:r w:rsidR="001778E6" w:rsidRPr="003D1C80">
        <w:rPr>
          <w:i/>
          <w:lang w:val="fr-CA"/>
        </w:rPr>
        <w:t xml:space="preserve">mens </w:t>
      </w:r>
      <w:proofErr w:type="spellStart"/>
      <w:r w:rsidR="001778E6" w:rsidRPr="003D1C80">
        <w:rPr>
          <w:i/>
          <w:lang w:val="fr-CA"/>
        </w:rPr>
        <w:t>rea</w:t>
      </w:r>
      <w:proofErr w:type="spellEnd"/>
      <w:r w:rsidR="00E6242D" w:rsidRPr="003D1C80">
        <w:rPr>
          <w:lang w:val="fr-CA"/>
        </w:rPr>
        <w:t>,</w:t>
      </w:r>
      <w:r w:rsidR="001778E6" w:rsidRPr="003D1C80">
        <w:rPr>
          <w:lang w:val="fr-CA"/>
        </w:rPr>
        <w:t xml:space="preserve"> </w:t>
      </w:r>
      <w:r w:rsidR="00E6242D" w:rsidRPr="003D1C80">
        <w:rPr>
          <w:lang w:val="fr-CA"/>
        </w:rPr>
        <w:t xml:space="preserve">mais il ne comporte pas comme élément </w:t>
      </w:r>
      <w:r w:rsidR="001778E6" w:rsidRPr="003D1C80">
        <w:rPr>
          <w:lang w:val="fr-CA"/>
        </w:rPr>
        <w:t>la connaissance que la possession de l</w:t>
      </w:r>
      <w:r w:rsidR="00375A6D" w:rsidRPr="003D1C80">
        <w:rPr>
          <w:lang w:val="fr-CA"/>
        </w:rPr>
        <w:t>’</w:t>
      </w:r>
      <w:r w:rsidR="001778E6" w:rsidRPr="003D1C80">
        <w:rPr>
          <w:lang w:val="fr-CA"/>
        </w:rPr>
        <w:t xml:space="preserve">arme </w:t>
      </w:r>
      <w:r w:rsidR="001778E6" w:rsidRPr="003D1C80">
        <w:rPr>
          <w:i/>
          <w:lang w:val="fr-CA"/>
        </w:rPr>
        <w:t>n</w:t>
      </w:r>
      <w:r w:rsidR="00375A6D" w:rsidRPr="003D1C80">
        <w:rPr>
          <w:i/>
          <w:lang w:val="fr-CA"/>
        </w:rPr>
        <w:t>’</w:t>
      </w:r>
      <w:r w:rsidR="001778E6" w:rsidRPr="003D1C80">
        <w:rPr>
          <w:i/>
          <w:lang w:val="fr-CA"/>
        </w:rPr>
        <w:t>est pas</w:t>
      </w:r>
      <w:r w:rsidR="001778E6" w:rsidRPr="003D1C80">
        <w:rPr>
          <w:lang w:val="fr-CA"/>
        </w:rPr>
        <w:t xml:space="preserve"> </w:t>
      </w:r>
      <w:r w:rsidR="001778E6" w:rsidRPr="003D1C80">
        <w:rPr>
          <w:i/>
          <w:lang w:val="fr-CA"/>
        </w:rPr>
        <w:t>autorisée</w:t>
      </w:r>
      <w:r w:rsidR="001778E6" w:rsidRPr="003D1C80">
        <w:rPr>
          <w:lang w:val="fr-CA"/>
        </w:rPr>
        <w:t xml:space="preserve">.  </w:t>
      </w:r>
      <w:r w:rsidR="00E6242D" w:rsidRPr="003D1C80">
        <w:rPr>
          <w:lang w:val="fr-CA"/>
        </w:rPr>
        <w:t xml:space="preserve">Il suffit plutôt de prouver </w:t>
      </w:r>
      <w:r w:rsidR="00E66BCE" w:rsidRPr="003D1C80">
        <w:rPr>
          <w:lang w:val="fr-CA"/>
        </w:rPr>
        <w:t xml:space="preserve">que </w:t>
      </w:r>
      <w:r w:rsidR="00E6242D" w:rsidRPr="003D1C80">
        <w:rPr>
          <w:lang w:val="fr-CA"/>
        </w:rPr>
        <w:t xml:space="preserve">la </w:t>
      </w:r>
      <w:r w:rsidR="00E66BCE" w:rsidRPr="003D1C80">
        <w:rPr>
          <w:lang w:val="fr-CA"/>
        </w:rPr>
        <w:t>personne sait qu</w:t>
      </w:r>
      <w:r w:rsidR="00375A6D" w:rsidRPr="003D1C80">
        <w:rPr>
          <w:lang w:val="fr-CA"/>
        </w:rPr>
        <w:t>’</w:t>
      </w:r>
      <w:r w:rsidR="00E66BCE" w:rsidRPr="003D1C80">
        <w:rPr>
          <w:lang w:val="fr-CA"/>
        </w:rPr>
        <w:t>elle a l</w:t>
      </w:r>
      <w:r w:rsidR="00375A6D" w:rsidRPr="003D1C80">
        <w:rPr>
          <w:lang w:val="fr-CA"/>
        </w:rPr>
        <w:t>’</w:t>
      </w:r>
      <w:r w:rsidR="00E66BCE" w:rsidRPr="003D1C80">
        <w:rPr>
          <w:lang w:val="fr-CA"/>
        </w:rPr>
        <w:t xml:space="preserve">arme en sa </w:t>
      </w:r>
      <w:r w:rsidR="00E6242D" w:rsidRPr="003D1C80">
        <w:rPr>
          <w:lang w:val="fr-CA"/>
        </w:rPr>
        <w:t xml:space="preserve">possession </w:t>
      </w:r>
      <w:r w:rsidR="00E66BCE" w:rsidRPr="003D1C80">
        <w:rPr>
          <w:lang w:val="fr-CA"/>
        </w:rPr>
        <w:t>et</w:t>
      </w:r>
      <w:r w:rsidR="00FD4495" w:rsidRPr="003D1C80">
        <w:rPr>
          <w:lang w:val="fr-CA"/>
        </w:rPr>
        <w:t xml:space="preserve"> q</w:t>
      </w:r>
      <w:r w:rsidR="00E6242D" w:rsidRPr="003D1C80">
        <w:rPr>
          <w:lang w:val="fr-CA"/>
        </w:rPr>
        <w:t>u</w:t>
      </w:r>
      <w:r w:rsidR="00375A6D" w:rsidRPr="003D1C80">
        <w:rPr>
          <w:lang w:val="fr-CA"/>
        </w:rPr>
        <w:t>’</w:t>
      </w:r>
      <w:r w:rsidR="00FD4495" w:rsidRPr="003D1C80">
        <w:rPr>
          <w:lang w:val="fr-CA"/>
        </w:rPr>
        <w:t>e</w:t>
      </w:r>
      <w:r w:rsidR="00E66BCE" w:rsidRPr="003D1C80">
        <w:rPr>
          <w:lang w:val="fr-CA"/>
        </w:rPr>
        <w:t>lle a</w:t>
      </w:r>
      <w:r w:rsidR="00E6242D" w:rsidRPr="003D1C80">
        <w:rPr>
          <w:lang w:val="fr-CA"/>
        </w:rPr>
        <w:t xml:space="preserve"> l</w:t>
      </w:r>
      <w:r w:rsidR="00375A6D" w:rsidRPr="003D1C80">
        <w:rPr>
          <w:lang w:val="fr-CA"/>
        </w:rPr>
        <w:t>’</w:t>
      </w:r>
      <w:r w:rsidR="00E6242D" w:rsidRPr="003D1C80">
        <w:rPr>
          <w:lang w:val="fr-CA"/>
        </w:rPr>
        <w:t xml:space="preserve">intention de </w:t>
      </w:r>
      <w:r w:rsidR="00FD4495" w:rsidRPr="003D1C80">
        <w:rPr>
          <w:lang w:val="fr-CA"/>
        </w:rPr>
        <w:t xml:space="preserve">la </w:t>
      </w:r>
      <w:r w:rsidR="00E6242D" w:rsidRPr="003D1C80">
        <w:rPr>
          <w:lang w:val="fr-CA"/>
        </w:rPr>
        <w:t>posséder dans un lieu donné.</w:t>
      </w:r>
    </w:p>
    <w:p w:rsidR="00E6242D" w:rsidRPr="003D1C80" w:rsidRDefault="00E6242D" w:rsidP="007A46E5">
      <w:pPr>
        <w:pStyle w:val="SCCNormalDoubleSpacing"/>
        <w:spacing w:before="480" w:after="480"/>
        <w:rPr>
          <w:lang w:val="fr-CA"/>
        </w:rPr>
      </w:pPr>
      <w:r w:rsidRPr="003D1C80">
        <w:rPr>
          <w:lang w:val="fr-CA"/>
        </w:rPr>
        <w:tab/>
        <w:t>En l</w:t>
      </w:r>
      <w:r w:rsidR="00375A6D" w:rsidRPr="003D1C80">
        <w:rPr>
          <w:lang w:val="fr-CA"/>
        </w:rPr>
        <w:t>’</w:t>
      </w:r>
      <w:r w:rsidRPr="003D1C80">
        <w:rPr>
          <w:lang w:val="fr-CA"/>
        </w:rPr>
        <w:t>espèce, la croyance subjective de M qu</w:t>
      </w:r>
      <w:r w:rsidR="00375A6D" w:rsidRPr="003D1C80">
        <w:rPr>
          <w:lang w:val="fr-CA"/>
        </w:rPr>
        <w:t>’</w:t>
      </w:r>
      <w:r w:rsidRPr="003D1C80">
        <w:rPr>
          <w:lang w:val="fr-CA"/>
        </w:rPr>
        <w:t>il pouvait avoir l</w:t>
      </w:r>
      <w:r w:rsidR="00375A6D" w:rsidRPr="003D1C80">
        <w:rPr>
          <w:lang w:val="fr-CA"/>
        </w:rPr>
        <w:t>’</w:t>
      </w:r>
      <w:r w:rsidRPr="003D1C80">
        <w:rPr>
          <w:lang w:val="fr-CA"/>
        </w:rPr>
        <w:t xml:space="preserve">arme à feu en sa possession </w:t>
      </w:r>
      <w:r w:rsidR="00FD4495" w:rsidRPr="003D1C80">
        <w:rPr>
          <w:lang w:val="fr-CA"/>
        </w:rPr>
        <w:t xml:space="preserve">dans </w:t>
      </w:r>
      <w:r w:rsidRPr="003D1C80">
        <w:rPr>
          <w:lang w:val="fr-CA"/>
        </w:rPr>
        <w:t xml:space="preserve">sa résidence de Halifax est une erreur de droit et cette erreur ne constitue pas un moyen de défense.  Par conséquent, la déclaration de culpabilité de </w:t>
      </w:r>
      <w:r w:rsidRPr="003D1C80">
        <w:rPr>
          <w:lang w:val="fr-CA"/>
        </w:rPr>
        <w:lastRenderedPageBreak/>
        <w:t>M fondée sur l</w:t>
      </w:r>
      <w:r w:rsidR="00375A6D" w:rsidRPr="003D1C80">
        <w:rPr>
          <w:lang w:val="fr-CA"/>
        </w:rPr>
        <w:t>’</w:t>
      </w:r>
      <w:r w:rsidR="007A46E5" w:rsidRPr="003D1C80">
        <w:rPr>
          <w:lang w:val="fr-CA"/>
        </w:rPr>
        <w:t>art. </w:t>
      </w:r>
      <w:r w:rsidRPr="003D1C80">
        <w:rPr>
          <w:lang w:val="fr-CA"/>
        </w:rPr>
        <w:t>95 doit être rétablie et l</w:t>
      </w:r>
      <w:r w:rsidR="00375A6D" w:rsidRPr="003D1C80">
        <w:rPr>
          <w:lang w:val="fr-CA"/>
        </w:rPr>
        <w:t>’</w:t>
      </w:r>
      <w:r w:rsidRPr="003D1C80">
        <w:rPr>
          <w:lang w:val="fr-CA"/>
        </w:rPr>
        <w:t xml:space="preserve">affaire doit être renvoyée </w:t>
      </w:r>
      <w:r w:rsidR="00FD4495" w:rsidRPr="003D1C80">
        <w:rPr>
          <w:lang w:val="fr-CA"/>
        </w:rPr>
        <w:t>à</w:t>
      </w:r>
      <w:r w:rsidRPr="003D1C80">
        <w:rPr>
          <w:lang w:val="fr-CA"/>
        </w:rPr>
        <w:t xml:space="preserve"> la Cour d</w:t>
      </w:r>
      <w:r w:rsidR="00375A6D" w:rsidRPr="003D1C80">
        <w:rPr>
          <w:lang w:val="fr-CA"/>
        </w:rPr>
        <w:t>’</w:t>
      </w:r>
      <w:r w:rsidRPr="003D1C80">
        <w:rPr>
          <w:lang w:val="fr-CA"/>
        </w:rPr>
        <w:t xml:space="preserve">appel </w:t>
      </w:r>
      <w:r w:rsidR="00E819F3" w:rsidRPr="003D1C80">
        <w:rPr>
          <w:lang w:val="fr-CA"/>
        </w:rPr>
        <w:t>pour la détermination de la peine et pour qu</w:t>
      </w:r>
      <w:r w:rsidR="00375A6D" w:rsidRPr="003D1C80">
        <w:rPr>
          <w:lang w:val="fr-CA"/>
        </w:rPr>
        <w:t>’</w:t>
      </w:r>
      <w:r w:rsidR="00E819F3" w:rsidRPr="003D1C80">
        <w:rPr>
          <w:lang w:val="fr-CA"/>
        </w:rPr>
        <w:t>elle détermine la validité constitutionnelle de la peine minimale obligatoire applicable aux termes de l</w:t>
      </w:r>
      <w:r w:rsidR="00375A6D" w:rsidRPr="003D1C80">
        <w:rPr>
          <w:lang w:val="fr-CA"/>
        </w:rPr>
        <w:t>’</w:t>
      </w:r>
      <w:r w:rsidR="007A46E5" w:rsidRPr="003D1C80">
        <w:rPr>
          <w:lang w:val="fr-CA"/>
        </w:rPr>
        <w:t>art. </w:t>
      </w:r>
      <w:r w:rsidR="00E819F3" w:rsidRPr="003D1C80">
        <w:rPr>
          <w:lang w:val="fr-CA"/>
        </w:rPr>
        <w:t>95.</w:t>
      </w:r>
    </w:p>
    <w:p w:rsidR="00E819F3" w:rsidRPr="003D1C80" w:rsidRDefault="00E819F3" w:rsidP="007A46E5">
      <w:pPr>
        <w:pStyle w:val="SCCNormalDoubleSpacing"/>
        <w:spacing w:before="480" w:after="480"/>
        <w:rPr>
          <w:lang w:val="fr-CA"/>
        </w:rPr>
      </w:pPr>
      <w:r w:rsidRPr="003D1C80">
        <w:rPr>
          <w:lang w:val="fr-CA"/>
        </w:rPr>
        <w:tab/>
      </w:r>
      <w:r w:rsidRPr="003D1C80">
        <w:rPr>
          <w:i/>
          <w:lang w:val="fr-CA"/>
        </w:rPr>
        <w:t>Les</w:t>
      </w:r>
      <w:r w:rsidRPr="003D1C80">
        <w:rPr>
          <w:lang w:val="fr-CA"/>
        </w:rPr>
        <w:t xml:space="preserve"> juges </w:t>
      </w:r>
      <w:proofErr w:type="spellStart"/>
      <w:r w:rsidRPr="003D1C80">
        <w:rPr>
          <w:lang w:val="fr-CA"/>
        </w:rPr>
        <w:t>Rothstein</w:t>
      </w:r>
      <w:proofErr w:type="spellEnd"/>
      <w:r w:rsidRPr="003D1C80">
        <w:rPr>
          <w:lang w:val="fr-CA"/>
        </w:rPr>
        <w:t xml:space="preserve">, </w:t>
      </w:r>
      <w:proofErr w:type="spellStart"/>
      <w:r w:rsidRPr="00E0404A">
        <w:rPr>
          <w:lang w:val="fr-CA"/>
        </w:rPr>
        <w:t>Moldaver</w:t>
      </w:r>
      <w:proofErr w:type="spellEnd"/>
      <w:r w:rsidRPr="003D1C80">
        <w:rPr>
          <w:lang w:val="fr-CA"/>
        </w:rPr>
        <w:t xml:space="preserve"> et </w:t>
      </w:r>
      <w:r w:rsidRPr="00E0404A">
        <w:rPr>
          <w:lang w:val="fr-CA"/>
        </w:rPr>
        <w:t>Wagner</w:t>
      </w:r>
      <w:r w:rsidR="007A46E5" w:rsidRPr="003D1C80">
        <w:rPr>
          <w:lang w:val="fr-CA"/>
        </w:rPr>
        <w:t> :</w:t>
      </w:r>
      <w:r w:rsidRPr="003D1C80">
        <w:rPr>
          <w:lang w:val="fr-CA"/>
        </w:rPr>
        <w:t xml:space="preserve"> Selon les juges majoritaires, la conduite du policier en l</w:t>
      </w:r>
      <w:r w:rsidR="00375A6D" w:rsidRPr="003D1C80">
        <w:rPr>
          <w:lang w:val="fr-CA"/>
        </w:rPr>
        <w:t>’</w:t>
      </w:r>
      <w:r w:rsidRPr="003D1C80">
        <w:rPr>
          <w:lang w:val="fr-CA"/>
        </w:rPr>
        <w:t>espèce était justifiée uniquement parce qu</w:t>
      </w:r>
      <w:r w:rsidR="00375A6D" w:rsidRPr="003D1C80">
        <w:rPr>
          <w:lang w:val="fr-CA"/>
        </w:rPr>
        <w:t>’</w:t>
      </w:r>
      <w:r w:rsidRPr="003D1C80">
        <w:rPr>
          <w:lang w:val="fr-CA"/>
        </w:rPr>
        <w:t>il avait des motifs raisonnables de croire que M était armé et dangereux.  De ce fait, ils infirment effectivement le pouvoir de</w:t>
      </w:r>
      <w:r w:rsidR="00B036F3" w:rsidRPr="003D1C80">
        <w:rPr>
          <w:lang w:val="fr-CA"/>
        </w:rPr>
        <w:t xml:space="preserve"> procéder à une</w:t>
      </w:r>
      <w:r w:rsidRPr="003D1C80">
        <w:rPr>
          <w:lang w:val="fr-CA"/>
        </w:rPr>
        <w:t xml:space="preserve"> </w:t>
      </w:r>
      <w:r w:rsidR="00B036F3" w:rsidRPr="003D1C80">
        <w:rPr>
          <w:lang w:val="fr-CA"/>
        </w:rPr>
        <w:t>« </w:t>
      </w:r>
      <w:r w:rsidRPr="003D1C80">
        <w:rPr>
          <w:lang w:val="fr-CA"/>
        </w:rPr>
        <w:t>fouille de sécurité</w:t>
      </w:r>
      <w:r w:rsidR="00B036F3" w:rsidRPr="003D1C80">
        <w:rPr>
          <w:lang w:val="fr-CA"/>
        </w:rPr>
        <w:t> »</w:t>
      </w:r>
      <w:r w:rsidRPr="003D1C80">
        <w:rPr>
          <w:lang w:val="fr-CA"/>
        </w:rPr>
        <w:t xml:space="preserve"> reconnu dans </w:t>
      </w:r>
      <w:r w:rsidRPr="003D1C80">
        <w:rPr>
          <w:i/>
          <w:lang w:val="fr-CA"/>
        </w:rPr>
        <w:t>Mann</w:t>
      </w:r>
      <w:r w:rsidRPr="003D1C80">
        <w:rPr>
          <w:lang w:val="fr-CA"/>
        </w:rPr>
        <w:t xml:space="preserve"> et </w:t>
      </w:r>
      <w:r w:rsidR="00B036F3" w:rsidRPr="003D1C80">
        <w:rPr>
          <w:lang w:val="fr-CA"/>
        </w:rPr>
        <w:t>dans</w:t>
      </w:r>
      <w:r w:rsidRPr="003D1C80">
        <w:rPr>
          <w:lang w:val="fr-CA"/>
        </w:rPr>
        <w:t xml:space="preserve"> la jurisprudence des </w:t>
      </w:r>
      <w:r w:rsidR="00880796">
        <w:rPr>
          <w:lang w:val="fr-CA"/>
        </w:rPr>
        <w:t>10</w:t>
      </w:r>
      <w:r w:rsidRPr="003D1C80">
        <w:rPr>
          <w:lang w:val="fr-CA"/>
        </w:rPr>
        <w:t xml:space="preserve"> années qui ont suivi. </w:t>
      </w:r>
    </w:p>
    <w:p w:rsidR="00B036F3" w:rsidRPr="003D1C80" w:rsidRDefault="00B036F3" w:rsidP="007A46E5">
      <w:pPr>
        <w:pStyle w:val="SCCNormalDoubleSpacing"/>
        <w:spacing w:before="480" w:after="480"/>
        <w:rPr>
          <w:lang w:val="fr-CA"/>
        </w:rPr>
      </w:pPr>
      <w:r w:rsidRPr="003D1C80">
        <w:rPr>
          <w:lang w:val="fr-CA"/>
        </w:rPr>
        <w:tab/>
        <w:t>Dans l</w:t>
      </w:r>
      <w:r w:rsidR="00375A6D" w:rsidRPr="003D1C80">
        <w:rPr>
          <w:lang w:val="fr-CA"/>
        </w:rPr>
        <w:t>’</w:t>
      </w:r>
      <w:r w:rsidRPr="003D1C80">
        <w:rPr>
          <w:lang w:val="fr-CA"/>
        </w:rPr>
        <w:t xml:space="preserve">arrêt </w:t>
      </w:r>
      <w:r w:rsidRPr="003D1C80">
        <w:rPr>
          <w:i/>
          <w:lang w:val="fr-CA"/>
        </w:rPr>
        <w:t>Mann</w:t>
      </w:r>
      <w:r w:rsidRPr="003D1C80">
        <w:rPr>
          <w:lang w:val="fr-CA"/>
        </w:rPr>
        <w:t xml:space="preserve">, </w:t>
      </w:r>
      <w:r w:rsidR="00E0404A">
        <w:rPr>
          <w:lang w:val="fr-CA"/>
        </w:rPr>
        <w:t>notre</w:t>
      </w:r>
      <w:r w:rsidRPr="003D1C80">
        <w:rPr>
          <w:lang w:val="fr-CA"/>
        </w:rPr>
        <w:t xml:space="preserve"> Cour a statué que les policiers peuvent procéder à des fouilles préventives lorsqu</w:t>
      </w:r>
      <w:r w:rsidR="00375A6D" w:rsidRPr="003D1C80">
        <w:rPr>
          <w:lang w:val="fr-CA"/>
        </w:rPr>
        <w:t>’</w:t>
      </w:r>
      <w:r w:rsidRPr="003D1C80">
        <w:rPr>
          <w:lang w:val="fr-CA"/>
        </w:rPr>
        <w:t xml:space="preserve">ils ont des motifs raisonnables de </w:t>
      </w:r>
      <w:r w:rsidRPr="003D1C80">
        <w:rPr>
          <w:i/>
          <w:lang w:val="fr-CA"/>
        </w:rPr>
        <w:t>soupçonner</w:t>
      </w:r>
      <w:r w:rsidRPr="003D1C80">
        <w:rPr>
          <w:lang w:val="fr-CA"/>
        </w:rPr>
        <w:t xml:space="preserve"> qu</w:t>
      </w:r>
      <w:r w:rsidR="00375A6D" w:rsidRPr="003D1C80">
        <w:rPr>
          <w:lang w:val="fr-CA"/>
        </w:rPr>
        <w:t>’</w:t>
      </w:r>
      <w:r w:rsidRPr="003D1C80">
        <w:rPr>
          <w:lang w:val="fr-CA"/>
        </w:rPr>
        <w:t>une personne est armée et dangereuse.  Et c</w:t>
      </w:r>
      <w:r w:rsidR="00375A6D" w:rsidRPr="003D1C80">
        <w:rPr>
          <w:lang w:val="fr-CA"/>
        </w:rPr>
        <w:t>’</w:t>
      </w:r>
      <w:r w:rsidRPr="003D1C80">
        <w:rPr>
          <w:lang w:val="fr-CA"/>
        </w:rPr>
        <w:t xml:space="preserve">est pourquoi </w:t>
      </w:r>
      <w:r w:rsidR="006F1DAD" w:rsidRPr="003D1C80">
        <w:rPr>
          <w:lang w:val="fr-CA"/>
        </w:rPr>
        <w:t>la fouille était justifiée en l</w:t>
      </w:r>
      <w:r w:rsidR="00375A6D" w:rsidRPr="003D1C80">
        <w:rPr>
          <w:lang w:val="fr-CA"/>
        </w:rPr>
        <w:t>’</w:t>
      </w:r>
      <w:r w:rsidR="006F1DAD" w:rsidRPr="003D1C80">
        <w:rPr>
          <w:lang w:val="fr-CA"/>
        </w:rPr>
        <w:t>espèce.  Cinq raisons confirment cette conclusion.</w:t>
      </w:r>
    </w:p>
    <w:p w:rsidR="006F1DAD" w:rsidRPr="003D1C80" w:rsidRDefault="006F1DAD" w:rsidP="007A46E5">
      <w:pPr>
        <w:pStyle w:val="SCCNormalDoubleSpacing"/>
        <w:spacing w:before="480" w:after="480"/>
        <w:rPr>
          <w:lang w:val="fr-CA"/>
        </w:rPr>
      </w:pPr>
      <w:r w:rsidRPr="003D1C80">
        <w:rPr>
          <w:lang w:val="fr-CA"/>
        </w:rPr>
        <w:tab/>
        <w:t xml:space="preserve">Premièrement, le libellé de </w:t>
      </w:r>
      <w:r w:rsidRPr="003D1C80">
        <w:rPr>
          <w:i/>
          <w:lang w:val="fr-CA"/>
        </w:rPr>
        <w:t>Mann</w:t>
      </w:r>
      <w:r w:rsidRPr="003D1C80">
        <w:rPr>
          <w:lang w:val="fr-CA"/>
        </w:rPr>
        <w:t xml:space="preserve"> indique clairement que cet arrêt reconnaît un pouvoir de fouille préventive fondé sur des soupçons raisonnables.</w:t>
      </w:r>
      <w:r w:rsidR="00113ECA" w:rsidRPr="003D1C80">
        <w:rPr>
          <w:lang w:val="fr-CA"/>
        </w:rPr>
        <w:t xml:space="preserve">  Deuxièmement, </w:t>
      </w:r>
      <w:r w:rsidR="000C2E93" w:rsidRPr="003D1C80">
        <w:rPr>
          <w:lang w:val="fr-CA"/>
        </w:rPr>
        <w:t xml:space="preserve">la Cour dans </w:t>
      </w:r>
      <w:r w:rsidR="000C2E93" w:rsidRPr="003D1C80">
        <w:rPr>
          <w:i/>
          <w:lang w:val="fr-CA"/>
        </w:rPr>
        <w:t xml:space="preserve">Mann </w:t>
      </w:r>
      <w:r w:rsidR="000C2E93" w:rsidRPr="003D1C80">
        <w:rPr>
          <w:lang w:val="fr-CA"/>
        </w:rPr>
        <w:t>s</w:t>
      </w:r>
      <w:r w:rsidR="00375A6D" w:rsidRPr="003D1C80">
        <w:rPr>
          <w:lang w:val="fr-CA"/>
        </w:rPr>
        <w:t>’</w:t>
      </w:r>
      <w:r w:rsidR="000C2E93" w:rsidRPr="003D1C80">
        <w:rPr>
          <w:lang w:val="fr-CA"/>
        </w:rPr>
        <w:t>appuie sur l</w:t>
      </w:r>
      <w:r w:rsidR="00375A6D" w:rsidRPr="003D1C80">
        <w:rPr>
          <w:lang w:val="fr-CA"/>
        </w:rPr>
        <w:t>’</w:t>
      </w:r>
      <w:r w:rsidR="000C2E93" w:rsidRPr="003D1C80">
        <w:rPr>
          <w:lang w:val="fr-CA"/>
        </w:rPr>
        <w:t xml:space="preserve">arrêt de principe </w:t>
      </w:r>
      <w:r w:rsidR="000C2E93" w:rsidRPr="003D1C80">
        <w:rPr>
          <w:i/>
          <w:lang w:val="fr-CA"/>
        </w:rPr>
        <w:t>Terry c. Ohio</w:t>
      </w:r>
      <w:r w:rsidR="000C2E93" w:rsidRPr="003D1C80">
        <w:rPr>
          <w:lang w:val="fr-CA"/>
        </w:rPr>
        <w:t xml:space="preserve">, 392 U.S. 1 (1968), rendu par la Cour suprême des </w:t>
      </w:r>
      <w:proofErr w:type="spellStart"/>
      <w:r w:rsidR="000C2E93" w:rsidRPr="003D1C80">
        <w:rPr>
          <w:lang w:val="fr-CA"/>
        </w:rPr>
        <w:t>États</w:t>
      </w:r>
      <w:r w:rsidR="007A46E5" w:rsidRPr="003D1C80">
        <w:rPr>
          <w:lang w:val="fr-CA"/>
        </w:rPr>
        <w:noBreakHyphen/>
      </w:r>
      <w:r w:rsidR="000C2E93" w:rsidRPr="003D1C80">
        <w:rPr>
          <w:lang w:val="fr-CA"/>
        </w:rPr>
        <w:t>Unis</w:t>
      </w:r>
      <w:proofErr w:type="spellEnd"/>
      <w:r w:rsidR="000C2E93" w:rsidRPr="003D1C80">
        <w:rPr>
          <w:lang w:val="fr-CA"/>
        </w:rPr>
        <w:t xml:space="preserve">, une décision qui a reconnu un pouvoir de fouilles préventives </w:t>
      </w:r>
      <w:r w:rsidR="004B253D" w:rsidRPr="003D1C80">
        <w:rPr>
          <w:lang w:val="fr-CA"/>
        </w:rPr>
        <w:t xml:space="preserve">directement analogue fondé sur une norme de soupçons raisonnables. </w:t>
      </w:r>
      <w:r w:rsidR="000C2E93" w:rsidRPr="003D1C80">
        <w:rPr>
          <w:lang w:val="fr-CA"/>
        </w:rPr>
        <w:t xml:space="preserve"> </w:t>
      </w:r>
      <w:r w:rsidR="004B253D" w:rsidRPr="003D1C80">
        <w:rPr>
          <w:lang w:val="fr-CA"/>
        </w:rPr>
        <w:t>Troisièmement, les décisions subséquentes de notre Cour et des cours d</w:t>
      </w:r>
      <w:r w:rsidR="00375A6D" w:rsidRPr="003D1C80">
        <w:rPr>
          <w:lang w:val="fr-CA"/>
        </w:rPr>
        <w:t>’</w:t>
      </w:r>
      <w:r w:rsidR="004B253D" w:rsidRPr="003D1C80">
        <w:rPr>
          <w:lang w:val="fr-CA"/>
        </w:rPr>
        <w:t>appel ont confirmé que l</w:t>
      </w:r>
      <w:r w:rsidR="00375A6D" w:rsidRPr="003D1C80">
        <w:rPr>
          <w:lang w:val="fr-CA"/>
        </w:rPr>
        <w:t>’</w:t>
      </w:r>
      <w:r w:rsidR="004B253D" w:rsidRPr="003D1C80">
        <w:rPr>
          <w:lang w:val="fr-CA"/>
        </w:rPr>
        <w:t xml:space="preserve">arrêt </w:t>
      </w:r>
      <w:r w:rsidR="004B253D" w:rsidRPr="0091350F">
        <w:rPr>
          <w:i/>
          <w:lang w:val="fr-CA"/>
        </w:rPr>
        <w:t>Mann</w:t>
      </w:r>
      <w:r w:rsidR="004B253D" w:rsidRPr="003D1C80">
        <w:rPr>
          <w:lang w:val="fr-CA"/>
        </w:rPr>
        <w:t xml:space="preserve"> avait adopté la norme des soupçons raisonnables.  Quatrièmement, il n</w:t>
      </w:r>
      <w:r w:rsidR="00375A6D" w:rsidRPr="003D1C80">
        <w:rPr>
          <w:lang w:val="fr-CA"/>
        </w:rPr>
        <w:t>’</w:t>
      </w:r>
      <w:r w:rsidR="004B253D" w:rsidRPr="003D1C80">
        <w:rPr>
          <w:lang w:val="fr-CA"/>
        </w:rPr>
        <w:t>est guère logique d</w:t>
      </w:r>
      <w:r w:rsidR="00375A6D" w:rsidRPr="003D1C80">
        <w:rPr>
          <w:lang w:val="fr-CA"/>
        </w:rPr>
        <w:t>’</w:t>
      </w:r>
      <w:r w:rsidR="004B253D" w:rsidRPr="003D1C80">
        <w:rPr>
          <w:lang w:val="fr-CA"/>
        </w:rPr>
        <w:t xml:space="preserve">appliquer la norme des motifs raisonnables de croire dans ce contexte; </w:t>
      </w:r>
      <w:r w:rsidR="00C65D3B" w:rsidRPr="003D1C80">
        <w:rPr>
          <w:lang w:val="fr-CA"/>
        </w:rPr>
        <w:t>s</w:t>
      </w:r>
      <w:r w:rsidR="00375A6D" w:rsidRPr="003D1C80">
        <w:rPr>
          <w:lang w:val="fr-CA"/>
        </w:rPr>
        <w:t>’</w:t>
      </w:r>
      <w:r w:rsidR="00C65D3B" w:rsidRPr="003D1C80">
        <w:rPr>
          <w:lang w:val="fr-CA"/>
        </w:rPr>
        <w:t xml:space="preserve">il établit que des motifs raisonnables de </w:t>
      </w:r>
      <w:r w:rsidR="00C65D3B" w:rsidRPr="003D1C80">
        <w:rPr>
          <w:lang w:val="fr-CA"/>
        </w:rPr>
        <w:lastRenderedPageBreak/>
        <w:t>croire sont exigés pour justifier une fouille par palpation, l</w:t>
      </w:r>
      <w:r w:rsidR="00375A6D" w:rsidRPr="003D1C80">
        <w:rPr>
          <w:lang w:val="fr-CA"/>
        </w:rPr>
        <w:t>’</w:t>
      </w:r>
      <w:r w:rsidR="00C65D3B" w:rsidRPr="003D1C80">
        <w:rPr>
          <w:lang w:val="fr-CA"/>
        </w:rPr>
        <w:t xml:space="preserve">arrêt </w:t>
      </w:r>
      <w:r w:rsidR="00C65D3B" w:rsidRPr="003D1C80">
        <w:rPr>
          <w:i/>
          <w:lang w:val="fr-CA"/>
        </w:rPr>
        <w:t>Mann</w:t>
      </w:r>
      <w:r w:rsidR="00C65D3B" w:rsidRPr="003D1C80">
        <w:rPr>
          <w:lang w:val="fr-CA"/>
        </w:rPr>
        <w:t xml:space="preserve"> ne fait donc apparemment que reconnaître un pouvoir de </w:t>
      </w:r>
      <w:r w:rsidR="00C65D3B" w:rsidRPr="003D1C80">
        <w:rPr>
          <w:i/>
          <w:lang w:val="fr-CA"/>
        </w:rPr>
        <w:t>fouille</w:t>
      </w:r>
      <w:r w:rsidR="00C65D3B" w:rsidRPr="003D1C80">
        <w:rPr>
          <w:lang w:val="fr-CA"/>
        </w:rPr>
        <w:t xml:space="preserve"> lorsqu</w:t>
      </w:r>
      <w:r w:rsidR="00375A6D" w:rsidRPr="003D1C80">
        <w:rPr>
          <w:lang w:val="fr-CA"/>
        </w:rPr>
        <w:t>’</w:t>
      </w:r>
      <w:r w:rsidR="00C65D3B" w:rsidRPr="003D1C80">
        <w:rPr>
          <w:lang w:val="fr-CA"/>
        </w:rPr>
        <w:t xml:space="preserve">il existe déjà des motifs de procéder à une </w:t>
      </w:r>
      <w:r w:rsidR="00C65D3B" w:rsidRPr="003D1C80">
        <w:rPr>
          <w:i/>
          <w:lang w:val="fr-CA"/>
        </w:rPr>
        <w:t>arrestation</w:t>
      </w:r>
      <w:r w:rsidR="00C65D3B" w:rsidRPr="003D1C80">
        <w:rPr>
          <w:lang w:val="fr-CA"/>
        </w:rPr>
        <w:t>.  Cinquièmement, les faits de l</w:t>
      </w:r>
      <w:r w:rsidR="00375A6D" w:rsidRPr="003D1C80">
        <w:rPr>
          <w:lang w:val="fr-CA"/>
        </w:rPr>
        <w:t>’</w:t>
      </w:r>
      <w:r w:rsidR="00C65D3B" w:rsidRPr="003D1C80">
        <w:rPr>
          <w:lang w:val="fr-CA"/>
        </w:rPr>
        <w:t xml:space="preserve">espèce ne permettent pas de conclure que le policier </w:t>
      </w:r>
      <w:r w:rsidR="00C65D3B" w:rsidRPr="003D1C80">
        <w:rPr>
          <w:szCs w:val="24"/>
          <w:lang w:val="fr-CA"/>
        </w:rPr>
        <w:t>avait des motifs raisonnables de croire que M était armé et dangereux.</w:t>
      </w:r>
    </w:p>
    <w:p w:rsidR="00CC773F" w:rsidRPr="003D1C80" w:rsidRDefault="00CC773F" w:rsidP="007A46E5">
      <w:pPr>
        <w:pStyle w:val="SCCNormalDoubleSpacing"/>
        <w:spacing w:before="480" w:after="480"/>
        <w:rPr>
          <w:lang w:val="fr-CA"/>
        </w:rPr>
      </w:pPr>
      <w:r w:rsidRPr="003D1C80">
        <w:rPr>
          <w:lang w:val="fr-CA"/>
        </w:rPr>
        <w:tab/>
        <w:t xml:space="preserve">À la lumière de ces cinq motifs </w:t>
      </w:r>
      <w:r w:rsidR="007A46E5" w:rsidRPr="003D1C80">
        <w:rPr>
          <w:lang w:val="fr-CA"/>
        </w:rPr>
        <w:t xml:space="preserve">— </w:t>
      </w:r>
      <w:r w:rsidRPr="003D1C80">
        <w:rPr>
          <w:lang w:val="fr-CA"/>
        </w:rPr>
        <w:t xml:space="preserve">le libellé de </w:t>
      </w:r>
      <w:r w:rsidRPr="003D1C80">
        <w:rPr>
          <w:i/>
          <w:lang w:val="fr-CA"/>
        </w:rPr>
        <w:t>Mann</w:t>
      </w:r>
      <w:r w:rsidRPr="003D1C80">
        <w:rPr>
          <w:lang w:val="fr-CA"/>
        </w:rPr>
        <w:t>, le contexte historique ayant mené à cet arrêt, les conséquences de l</w:t>
      </w:r>
      <w:r w:rsidR="00375A6D" w:rsidRPr="003D1C80">
        <w:rPr>
          <w:lang w:val="fr-CA"/>
        </w:rPr>
        <w:t>’</w:t>
      </w:r>
      <w:r w:rsidRPr="003D1C80">
        <w:rPr>
          <w:lang w:val="fr-CA"/>
        </w:rPr>
        <w:t>interprétation selon laquelle l</w:t>
      </w:r>
      <w:r w:rsidR="00375A6D" w:rsidRPr="003D1C80">
        <w:rPr>
          <w:lang w:val="fr-CA"/>
        </w:rPr>
        <w:t>’</w:t>
      </w:r>
      <w:r w:rsidRPr="003D1C80">
        <w:rPr>
          <w:lang w:val="fr-CA"/>
        </w:rPr>
        <w:t xml:space="preserve">arrêt </w:t>
      </w:r>
      <w:r w:rsidRPr="003D1C80">
        <w:rPr>
          <w:i/>
          <w:lang w:val="fr-CA"/>
        </w:rPr>
        <w:t>Mann</w:t>
      </w:r>
      <w:r w:rsidRPr="003D1C80">
        <w:rPr>
          <w:lang w:val="fr-CA"/>
        </w:rPr>
        <w:t xml:space="preserve"> exige des motifs raisonnables de croire, la jurisprudence qui a interprété ce précédent, et les faits de l</w:t>
      </w:r>
      <w:r w:rsidR="00375A6D" w:rsidRPr="003D1C80">
        <w:rPr>
          <w:lang w:val="fr-CA"/>
        </w:rPr>
        <w:t>’</w:t>
      </w:r>
      <w:r w:rsidRPr="003D1C80">
        <w:rPr>
          <w:lang w:val="fr-CA"/>
        </w:rPr>
        <w:t xml:space="preserve">espèce </w:t>
      </w:r>
      <w:r w:rsidR="007A46E5" w:rsidRPr="003D1C80">
        <w:rPr>
          <w:lang w:val="fr-CA"/>
        </w:rPr>
        <w:t xml:space="preserve">— </w:t>
      </w:r>
      <w:r w:rsidRPr="003D1C80">
        <w:rPr>
          <w:lang w:val="fr-CA"/>
        </w:rPr>
        <w:t>une seule conclusion s</w:t>
      </w:r>
      <w:r w:rsidR="00375A6D" w:rsidRPr="003D1C80">
        <w:rPr>
          <w:lang w:val="fr-CA"/>
        </w:rPr>
        <w:t>’</w:t>
      </w:r>
      <w:r w:rsidRPr="003D1C80">
        <w:rPr>
          <w:lang w:val="fr-CA"/>
        </w:rPr>
        <w:t>impose</w:t>
      </w:r>
      <w:r w:rsidR="007A46E5" w:rsidRPr="003D1C80">
        <w:rPr>
          <w:lang w:val="fr-CA"/>
        </w:rPr>
        <w:t> :</w:t>
      </w:r>
      <w:r w:rsidRPr="003D1C80">
        <w:rPr>
          <w:lang w:val="fr-CA"/>
        </w:rPr>
        <w:t xml:space="preserve"> l</w:t>
      </w:r>
      <w:r w:rsidR="00375A6D" w:rsidRPr="003D1C80">
        <w:rPr>
          <w:lang w:val="fr-CA"/>
        </w:rPr>
        <w:t>’</w:t>
      </w:r>
      <w:r w:rsidRPr="003D1C80">
        <w:rPr>
          <w:lang w:val="fr-CA"/>
        </w:rPr>
        <w:t xml:space="preserve">arrêt </w:t>
      </w:r>
      <w:r w:rsidRPr="003D1C80">
        <w:rPr>
          <w:i/>
          <w:lang w:val="fr-CA"/>
        </w:rPr>
        <w:t xml:space="preserve">Mann </w:t>
      </w:r>
      <w:r w:rsidRPr="003D1C80">
        <w:rPr>
          <w:lang w:val="fr-CA"/>
        </w:rPr>
        <w:t>reconnaît un pouvoir de fouille préventive fondé sur des soupçons raisonnables.</w:t>
      </w:r>
    </w:p>
    <w:p w:rsidR="00CC773F" w:rsidRPr="003D1C80" w:rsidRDefault="00CC773F" w:rsidP="007A46E5">
      <w:pPr>
        <w:pStyle w:val="SCCNormalDoubleSpacing"/>
        <w:spacing w:before="480" w:after="480"/>
        <w:rPr>
          <w:lang w:val="fr-CA"/>
        </w:rPr>
      </w:pPr>
      <w:r w:rsidRPr="003D1C80">
        <w:rPr>
          <w:lang w:val="fr-CA"/>
        </w:rPr>
        <w:tab/>
        <w:t xml:space="preserve">Il aurait fallu résoudre la présente affaire suivant la logique de </w:t>
      </w:r>
      <w:r w:rsidRPr="003D1C80">
        <w:rPr>
          <w:i/>
          <w:lang w:val="fr-CA"/>
        </w:rPr>
        <w:t>Mann</w:t>
      </w:r>
      <w:r w:rsidRPr="003D1C80">
        <w:rPr>
          <w:lang w:val="fr-CA"/>
        </w:rPr>
        <w:t>.  Premièrement, le policier, dans l</w:t>
      </w:r>
      <w:r w:rsidR="00375A6D" w:rsidRPr="003D1C80">
        <w:rPr>
          <w:lang w:val="fr-CA"/>
        </w:rPr>
        <w:t>’</w:t>
      </w:r>
      <w:r w:rsidRPr="003D1C80">
        <w:rPr>
          <w:lang w:val="fr-CA"/>
        </w:rPr>
        <w:t>exercice légitime de ses fonctions, soupçonnait raisonnablement que M était armé et dangereux.  Deuxièmement, à cause de ces soupçons raisonnables, l</w:t>
      </w:r>
      <w:r w:rsidR="00375A6D" w:rsidRPr="003D1C80">
        <w:rPr>
          <w:lang w:val="fr-CA"/>
        </w:rPr>
        <w:t>’</w:t>
      </w:r>
      <w:r w:rsidR="00CF1A53" w:rsidRPr="003D1C80">
        <w:rPr>
          <w:lang w:val="fr-CA"/>
        </w:rPr>
        <w:t>intervention</w:t>
      </w:r>
      <w:r w:rsidRPr="003D1C80">
        <w:rPr>
          <w:lang w:val="fr-CA"/>
        </w:rPr>
        <w:t xml:space="preserve"> du policier </w:t>
      </w:r>
      <w:r w:rsidR="007A46E5" w:rsidRPr="003D1C80">
        <w:rPr>
          <w:lang w:val="fr-CA"/>
        </w:rPr>
        <w:t xml:space="preserve">— </w:t>
      </w:r>
      <w:r w:rsidR="00CF1A53" w:rsidRPr="003D1C80">
        <w:rPr>
          <w:lang w:val="fr-CA"/>
        </w:rPr>
        <w:t xml:space="preserve">en </w:t>
      </w:r>
      <w:r w:rsidRPr="003D1C80">
        <w:rPr>
          <w:lang w:val="fr-CA"/>
        </w:rPr>
        <w:t>pouss</w:t>
      </w:r>
      <w:r w:rsidR="00CF1A53" w:rsidRPr="003D1C80">
        <w:rPr>
          <w:lang w:val="fr-CA"/>
        </w:rPr>
        <w:t>ant</w:t>
      </w:r>
      <w:r w:rsidRPr="003D1C80">
        <w:rPr>
          <w:lang w:val="fr-CA"/>
        </w:rPr>
        <w:t xml:space="preserve"> la porte de M pour l</w:t>
      </w:r>
      <w:r w:rsidR="00375A6D" w:rsidRPr="003D1C80">
        <w:rPr>
          <w:lang w:val="fr-CA"/>
        </w:rPr>
        <w:t>’</w:t>
      </w:r>
      <w:r w:rsidRPr="003D1C80">
        <w:rPr>
          <w:lang w:val="fr-CA"/>
        </w:rPr>
        <w:t xml:space="preserve">ouvrir quelques pouces de plus </w:t>
      </w:r>
      <w:r w:rsidR="007A46E5" w:rsidRPr="003D1C80">
        <w:rPr>
          <w:lang w:val="fr-CA"/>
        </w:rPr>
        <w:t xml:space="preserve">— </w:t>
      </w:r>
      <w:r w:rsidRPr="003D1C80">
        <w:rPr>
          <w:lang w:val="fr-CA"/>
        </w:rPr>
        <w:t>n</w:t>
      </w:r>
      <w:r w:rsidR="00375A6D" w:rsidRPr="003D1C80">
        <w:rPr>
          <w:lang w:val="fr-CA"/>
        </w:rPr>
        <w:t>’</w:t>
      </w:r>
      <w:r w:rsidRPr="003D1C80">
        <w:rPr>
          <w:lang w:val="fr-CA"/>
        </w:rPr>
        <w:t>a porté atteinte au droit de M au re</w:t>
      </w:r>
      <w:r w:rsidR="00C444BC" w:rsidRPr="003D1C80">
        <w:rPr>
          <w:lang w:val="fr-CA"/>
        </w:rPr>
        <w:t xml:space="preserve">spect de sa vie privée </w:t>
      </w:r>
      <w:r w:rsidRPr="003D1C80">
        <w:rPr>
          <w:lang w:val="fr-CA"/>
        </w:rPr>
        <w:t xml:space="preserve">que dans la mesure raisonnablement nécessaire pour faire face </w:t>
      </w:r>
      <w:r w:rsidR="00C444BC" w:rsidRPr="003D1C80">
        <w:rPr>
          <w:lang w:val="fr-CA"/>
        </w:rPr>
        <w:t>à l</w:t>
      </w:r>
      <w:r w:rsidRPr="003D1C80">
        <w:rPr>
          <w:lang w:val="fr-CA"/>
        </w:rPr>
        <w:t xml:space="preserve">a </w:t>
      </w:r>
      <w:r w:rsidR="00C444BC" w:rsidRPr="003D1C80">
        <w:rPr>
          <w:lang w:val="fr-CA"/>
        </w:rPr>
        <w:t>menace</w:t>
      </w:r>
      <w:r w:rsidRPr="003D1C80">
        <w:rPr>
          <w:lang w:val="fr-CA"/>
        </w:rPr>
        <w:t xml:space="preserve">.  En conséquence, la fouille </w:t>
      </w:r>
      <w:r w:rsidR="00CF1A53" w:rsidRPr="003D1C80">
        <w:rPr>
          <w:lang w:val="fr-CA"/>
        </w:rPr>
        <w:t>n</w:t>
      </w:r>
      <w:r w:rsidR="00375A6D" w:rsidRPr="003D1C80">
        <w:rPr>
          <w:lang w:val="fr-CA"/>
        </w:rPr>
        <w:t>’</w:t>
      </w:r>
      <w:r w:rsidRPr="003D1C80">
        <w:rPr>
          <w:lang w:val="fr-CA"/>
        </w:rPr>
        <w:t xml:space="preserve">était </w:t>
      </w:r>
      <w:r w:rsidR="00CF1A53" w:rsidRPr="003D1C80">
        <w:rPr>
          <w:lang w:val="fr-CA"/>
        </w:rPr>
        <w:t>pas</w:t>
      </w:r>
      <w:r w:rsidRPr="003D1C80">
        <w:rPr>
          <w:lang w:val="fr-CA"/>
        </w:rPr>
        <w:t xml:space="preserve"> abusive </w:t>
      </w:r>
      <w:r w:rsidR="00CF1A53" w:rsidRPr="003D1C80">
        <w:rPr>
          <w:lang w:val="fr-CA"/>
        </w:rPr>
        <w:t>au sens</w:t>
      </w:r>
      <w:r w:rsidRPr="003D1C80">
        <w:rPr>
          <w:lang w:val="fr-CA"/>
        </w:rPr>
        <w:t xml:space="preserve"> de l</w:t>
      </w:r>
      <w:r w:rsidR="00375A6D" w:rsidRPr="003D1C80">
        <w:rPr>
          <w:lang w:val="fr-CA"/>
        </w:rPr>
        <w:t>’</w:t>
      </w:r>
      <w:r w:rsidR="007A46E5" w:rsidRPr="003D1C80">
        <w:rPr>
          <w:lang w:val="fr-CA"/>
        </w:rPr>
        <w:t>art. </w:t>
      </w:r>
      <w:r w:rsidRPr="003D1C80">
        <w:rPr>
          <w:lang w:val="fr-CA"/>
        </w:rPr>
        <w:t>8.</w:t>
      </w:r>
    </w:p>
    <w:p w:rsidR="00C444BC" w:rsidRPr="003D1C80" w:rsidRDefault="00C444BC" w:rsidP="007A46E5">
      <w:pPr>
        <w:pStyle w:val="SCCNormalDoubleSpacing"/>
        <w:spacing w:before="480" w:after="480"/>
        <w:rPr>
          <w:lang w:val="fr-CA"/>
        </w:rPr>
      </w:pPr>
      <w:r w:rsidRPr="003D1C80">
        <w:rPr>
          <w:lang w:val="fr-CA"/>
        </w:rPr>
        <w:tab/>
        <w:t>La décision rendue par les juges majoritaires a pour conséquence de priver les policiers du pouvoir d</w:t>
      </w:r>
      <w:r w:rsidR="00375A6D" w:rsidRPr="003D1C80">
        <w:rPr>
          <w:lang w:val="fr-CA"/>
        </w:rPr>
        <w:t>’</w:t>
      </w:r>
      <w:r w:rsidRPr="003D1C80">
        <w:rPr>
          <w:lang w:val="fr-CA"/>
        </w:rPr>
        <w:t>effectuer une fouille préve</w:t>
      </w:r>
      <w:r w:rsidR="00CF1A53" w:rsidRPr="003D1C80">
        <w:rPr>
          <w:lang w:val="fr-CA"/>
        </w:rPr>
        <w:t>n</w:t>
      </w:r>
      <w:r w:rsidRPr="003D1C80">
        <w:rPr>
          <w:lang w:val="fr-CA"/>
        </w:rPr>
        <w:t>tive, sauf s</w:t>
      </w:r>
      <w:r w:rsidR="00375A6D" w:rsidRPr="003D1C80">
        <w:rPr>
          <w:lang w:val="fr-CA"/>
        </w:rPr>
        <w:t>’</w:t>
      </w:r>
      <w:r w:rsidRPr="003D1C80">
        <w:rPr>
          <w:lang w:val="fr-CA"/>
        </w:rPr>
        <w:t>ils ont déjà des motifs de procéder à une arrestation.  À partir d</w:t>
      </w:r>
      <w:r w:rsidR="00375A6D" w:rsidRPr="003D1C80">
        <w:rPr>
          <w:lang w:val="fr-CA"/>
        </w:rPr>
        <w:t>’</w:t>
      </w:r>
      <w:r w:rsidRPr="003D1C80">
        <w:rPr>
          <w:lang w:val="fr-CA"/>
        </w:rPr>
        <w:t>aujourd</w:t>
      </w:r>
      <w:r w:rsidR="00375A6D" w:rsidRPr="003D1C80">
        <w:rPr>
          <w:lang w:val="fr-CA"/>
        </w:rPr>
        <w:t>’</w:t>
      </w:r>
      <w:r w:rsidRPr="003D1C80">
        <w:rPr>
          <w:lang w:val="fr-CA"/>
        </w:rPr>
        <w:t>hui, les policiers peuvent détenir à des fins d</w:t>
      </w:r>
      <w:r w:rsidR="00375A6D" w:rsidRPr="003D1C80">
        <w:rPr>
          <w:lang w:val="fr-CA"/>
        </w:rPr>
        <w:t>’</w:t>
      </w:r>
      <w:r w:rsidRPr="003D1C80">
        <w:rPr>
          <w:lang w:val="fr-CA"/>
        </w:rPr>
        <w:t xml:space="preserve">enquête les personnes </w:t>
      </w:r>
      <w:r w:rsidRPr="003D1C80">
        <w:rPr>
          <w:i/>
          <w:lang w:val="fr-CA"/>
        </w:rPr>
        <w:t>soupçonnées</w:t>
      </w:r>
      <w:r w:rsidRPr="003D1C80">
        <w:rPr>
          <w:lang w:val="fr-CA"/>
        </w:rPr>
        <w:t xml:space="preserve"> d</w:t>
      </w:r>
      <w:r w:rsidR="00375A6D" w:rsidRPr="003D1C80">
        <w:rPr>
          <w:lang w:val="fr-CA"/>
        </w:rPr>
        <w:t>’</w:t>
      </w:r>
      <w:r w:rsidRPr="003D1C80">
        <w:rPr>
          <w:lang w:val="fr-CA"/>
        </w:rPr>
        <w:t xml:space="preserve">être armées et dangereuses, </w:t>
      </w:r>
      <w:r w:rsidRPr="003D1C80">
        <w:rPr>
          <w:lang w:val="fr-CA"/>
        </w:rPr>
        <w:lastRenderedPageBreak/>
        <w:t>mais ne sont pas autorisés à effectuer des fouilles par palpation pour assurer leur sécurité ou celle du public dans le cadre d</w:t>
      </w:r>
      <w:r w:rsidR="00375A6D" w:rsidRPr="003D1C80">
        <w:rPr>
          <w:lang w:val="fr-CA"/>
        </w:rPr>
        <w:t>’</w:t>
      </w:r>
      <w:r w:rsidRPr="003D1C80">
        <w:rPr>
          <w:lang w:val="fr-CA"/>
        </w:rPr>
        <w:t>une enquête.  Toutefois, un policier sur le terrain</w:t>
      </w:r>
      <w:r w:rsidR="00E66BCE" w:rsidRPr="003D1C80">
        <w:rPr>
          <w:lang w:val="fr-CA"/>
        </w:rPr>
        <w:t>,</w:t>
      </w:r>
      <w:r w:rsidRPr="003D1C80">
        <w:rPr>
          <w:lang w:val="fr-CA"/>
        </w:rPr>
        <w:t xml:space="preserve"> exposé à un risque réaliste de préjudice imminent</w:t>
      </w:r>
      <w:r w:rsidR="00E66BCE" w:rsidRPr="003D1C80">
        <w:rPr>
          <w:lang w:val="fr-CA"/>
        </w:rPr>
        <w:t>,</w:t>
      </w:r>
      <w:r w:rsidRPr="003D1C80">
        <w:rPr>
          <w:lang w:val="fr-CA"/>
        </w:rPr>
        <w:t xml:space="preserve"> devrait pouvoir agir immédiatement et prendre des mesures raisonnables, sous la forme d</w:t>
      </w:r>
      <w:r w:rsidR="00375A6D" w:rsidRPr="003D1C80">
        <w:rPr>
          <w:lang w:val="fr-CA"/>
        </w:rPr>
        <w:t>’</w:t>
      </w:r>
      <w:r w:rsidRPr="003D1C80">
        <w:rPr>
          <w:lang w:val="fr-CA"/>
        </w:rPr>
        <w:t>une fouille de sécurité peu envahissante, pour atténuer ce risque.</w:t>
      </w:r>
    </w:p>
    <w:p w:rsidR="004D7D95" w:rsidRPr="003D1C80" w:rsidRDefault="004D7D95" w:rsidP="007A46E5">
      <w:pPr>
        <w:pStyle w:val="SCCNormalDoubleSpacing"/>
        <w:keepNext/>
        <w:spacing w:after="720" w:line="240" w:lineRule="auto"/>
        <w:rPr>
          <w:b/>
          <w:lang w:val="fr-CA"/>
        </w:rPr>
      </w:pPr>
      <w:r w:rsidRPr="003D1C80">
        <w:rPr>
          <w:b/>
          <w:lang w:val="fr-CA"/>
        </w:rPr>
        <w:t>Jurisprudence</w:t>
      </w:r>
    </w:p>
    <w:p w:rsidR="00B364CB" w:rsidRPr="003D1C80" w:rsidRDefault="00B364CB" w:rsidP="007A46E5">
      <w:pPr>
        <w:pStyle w:val="SCCNormalDoubleSpacing"/>
        <w:keepNext/>
        <w:spacing w:after="720" w:line="240" w:lineRule="auto"/>
        <w:rPr>
          <w:lang w:val="fr-CA"/>
        </w:rPr>
      </w:pPr>
      <w:r w:rsidRPr="003D1C80">
        <w:rPr>
          <w:lang w:val="fr-CA"/>
        </w:rPr>
        <w:t>Citée par le juge LeBel</w:t>
      </w:r>
    </w:p>
    <w:p w:rsidR="00AE6A3F" w:rsidRPr="003D1C80" w:rsidRDefault="004D7D95" w:rsidP="007A46E5">
      <w:pPr>
        <w:pStyle w:val="SCCNormalDoubleSpacing"/>
        <w:spacing w:before="480" w:after="480"/>
        <w:rPr>
          <w:lang w:val="fr-CA"/>
        </w:rPr>
      </w:pPr>
      <w:r w:rsidRPr="003D1C80">
        <w:rPr>
          <w:lang w:val="fr-CA"/>
        </w:rPr>
        <w:tab/>
      </w:r>
      <w:r w:rsidR="0045459E" w:rsidRPr="003D1C80">
        <w:rPr>
          <w:b/>
          <w:lang w:val="fr-CA"/>
        </w:rPr>
        <w:t>Arrêts appliqués :</w:t>
      </w:r>
      <w:r w:rsidR="0045459E" w:rsidRPr="00E0404A">
        <w:rPr>
          <w:lang w:val="fr-CA"/>
        </w:rPr>
        <w:t xml:space="preserve"> </w:t>
      </w:r>
      <w:r w:rsidR="0045459E" w:rsidRPr="003D1C80">
        <w:rPr>
          <w:i/>
          <w:szCs w:val="24"/>
          <w:lang w:val="fr-CA"/>
        </w:rPr>
        <w:t>R. c. Mann</w:t>
      </w:r>
      <w:r w:rsidR="0045459E" w:rsidRPr="003D1C80">
        <w:rPr>
          <w:szCs w:val="24"/>
          <w:lang w:val="fr-CA"/>
        </w:rPr>
        <w:t>, 2004 CSC 52, [2004] 3 R.C.S. 59</w:t>
      </w:r>
      <w:r w:rsidR="0045459E" w:rsidRPr="003D1C80">
        <w:rPr>
          <w:lang w:val="fr-CA"/>
        </w:rPr>
        <w:t xml:space="preserve">; </w:t>
      </w:r>
      <w:r w:rsidR="0045459E" w:rsidRPr="003D1C80">
        <w:rPr>
          <w:i/>
          <w:lang w:val="fr-CA"/>
        </w:rPr>
        <w:t>R. c. Evans</w:t>
      </w:r>
      <w:r w:rsidR="0045459E" w:rsidRPr="003D1C80">
        <w:rPr>
          <w:lang w:val="fr-CA"/>
        </w:rPr>
        <w:t>, [1996] 1 R.C.S. 8;</w:t>
      </w:r>
      <w:r w:rsidR="0045459E" w:rsidRPr="003D1C80">
        <w:rPr>
          <w:i/>
          <w:szCs w:val="24"/>
          <w:lang w:val="fr-CA"/>
        </w:rPr>
        <w:t xml:space="preserve"> R. c. Collins</w:t>
      </w:r>
      <w:r w:rsidR="0045459E" w:rsidRPr="003D1C80">
        <w:rPr>
          <w:szCs w:val="24"/>
          <w:lang w:val="fr-CA"/>
        </w:rPr>
        <w:t xml:space="preserve">, [1987] 1 R.C.S. 265; </w:t>
      </w:r>
      <w:r w:rsidR="0045459E" w:rsidRPr="003D1C80">
        <w:rPr>
          <w:i/>
          <w:lang w:val="fr-CA"/>
        </w:rPr>
        <w:t xml:space="preserve">R. c. </w:t>
      </w:r>
      <w:proofErr w:type="spellStart"/>
      <w:r w:rsidR="0045459E" w:rsidRPr="003D1C80">
        <w:rPr>
          <w:i/>
          <w:lang w:val="fr-CA"/>
        </w:rPr>
        <w:t>Waterfield</w:t>
      </w:r>
      <w:proofErr w:type="spellEnd"/>
      <w:r w:rsidR="0045459E" w:rsidRPr="003D1C80">
        <w:rPr>
          <w:lang w:val="fr-CA"/>
        </w:rPr>
        <w:t xml:space="preserve">, [1963] 3 All E.R. 659; </w:t>
      </w:r>
      <w:proofErr w:type="spellStart"/>
      <w:r w:rsidR="0045459E" w:rsidRPr="003D1C80">
        <w:rPr>
          <w:i/>
          <w:lang w:val="fr-CA"/>
        </w:rPr>
        <w:t>Dedman</w:t>
      </w:r>
      <w:proofErr w:type="spellEnd"/>
      <w:r w:rsidR="0045459E" w:rsidRPr="003D1C80">
        <w:rPr>
          <w:i/>
          <w:lang w:val="fr-CA"/>
        </w:rPr>
        <w:t xml:space="preserve"> c. La Reine</w:t>
      </w:r>
      <w:r w:rsidR="0045459E" w:rsidRPr="003D1C80">
        <w:rPr>
          <w:lang w:val="fr-CA"/>
        </w:rPr>
        <w:t>, [1985] 2 R.C.S. 2</w:t>
      </w:r>
      <w:r w:rsidR="0045459E" w:rsidRPr="003D1C80">
        <w:rPr>
          <w:szCs w:val="24"/>
          <w:lang w:val="fr-CA"/>
        </w:rPr>
        <w:t xml:space="preserve">; </w:t>
      </w:r>
      <w:r w:rsidR="0045459E" w:rsidRPr="003D1C80">
        <w:rPr>
          <w:i/>
          <w:szCs w:val="24"/>
          <w:lang w:val="fr-CA"/>
        </w:rPr>
        <w:t>R. c. Clayton</w:t>
      </w:r>
      <w:r w:rsidR="0045459E" w:rsidRPr="003D1C80">
        <w:rPr>
          <w:szCs w:val="24"/>
          <w:lang w:val="fr-CA"/>
        </w:rPr>
        <w:t>, 2007 CSC 32, [2007] 2 R.C.S. 725</w:t>
      </w:r>
      <w:r w:rsidR="0045459E" w:rsidRPr="003D1C80">
        <w:rPr>
          <w:lang w:val="fr-CA"/>
        </w:rPr>
        <w:t xml:space="preserve">; </w:t>
      </w:r>
      <w:r w:rsidR="0045459E" w:rsidRPr="003D1C80">
        <w:rPr>
          <w:i/>
          <w:lang w:val="fr-CA"/>
        </w:rPr>
        <w:t>R. c. Forster</w:t>
      </w:r>
      <w:r w:rsidR="0045459E" w:rsidRPr="003D1C80">
        <w:rPr>
          <w:lang w:val="fr-CA"/>
        </w:rPr>
        <w:t>, [1992] 1 R.C.S. 339</w:t>
      </w:r>
      <w:r w:rsidR="0045459E" w:rsidRPr="003D1C80">
        <w:rPr>
          <w:szCs w:val="24"/>
          <w:lang w:val="fr-CA"/>
        </w:rPr>
        <w:t xml:space="preserve">; </w:t>
      </w:r>
      <w:r w:rsidR="0045459E" w:rsidRPr="003D1C80">
        <w:rPr>
          <w:b/>
          <w:lang w:val="fr-CA"/>
        </w:rPr>
        <w:t>a</w:t>
      </w:r>
      <w:r w:rsidRPr="003D1C80">
        <w:rPr>
          <w:b/>
          <w:lang w:val="fr-CA"/>
        </w:rPr>
        <w:t>rrêts mentionnés</w:t>
      </w:r>
      <w:r w:rsidR="007A46E5" w:rsidRPr="003D1C80">
        <w:rPr>
          <w:b/>
          <w:lang w:val="fr-CA"/>
        </w:rPr>
        <w:t> :</w:t>
      </w:r>
      <w:r w:rsidRPr="003D1C80">
        <w:rPr>
          <w:lang w:val="fr-CA"/>
        </w:rPr>
        <w:t xml:space="preserve"> </w:t>
      </w:r>
      <w:r w:rsidR="00F05E01" w:rsidRPr="003D1C80">
        <w:rPr>
          <w:i/>
          <w:lang w:val="fr-CA"/>
        </w:rPr>
        <w:t>R. c. A.M.</w:t>
      </w:r>
      <w:r w:rsidR="00F05E01" w:rsidRPr="003D1C80">
        <w:rPr>
          <w:lang w:val="fr-CA"/>
        </w:rPr>
        <w:t xml:space="preserve">, 2008 CSC 19, [2008] 1 R.C.S. 569; </w:t>
      </w:r>
      <w:r w:rsidR="00F05E01" w:rsidRPr="003D1C80">
        <w:rPr>
          <w:i/>
          <w:lang w:val="fr-CA"/>
        </w:rPr>
        <w:t>R. c. Godoy</w:t>
      </w:r>
      <w:r w:rsidR="00F05E01" w:rsidRPr="003D1C80">
        <w:rPr>
          <w:lang w:val="fr-CA"/>
        </w:rPr>
        <w:t xml:space="preserve">, [1999] 1 R.C.S. 311; </w:t>
      </w:r>
      <w:r w:rsidR="00F05E01" w:rsidRPr="003D1C80">
        <w:rPr>
          <w:i/>
          <w:lang w:val="fr-CA"/>
        </w:rPr>
        <w:t xml:space="preserve">R. c. </w:t>
      </w:r>
      <w:proofErr w:type="spellStart"/>
      <w:r w:rsidR="00F05E01" w:rsidRPr="003D1C80">
        <w:rPr>
          <w:i/>
          <w:lang w:val="fr-CA"/>
        </w:rPr>
        <w:t>Feeney</w:t>
      </w:r>
      <w:proofErr w:type="spellEnd"/>
      <w:r w:rsidR="00F05E01" w:rsidRPr="003D1C80">
        <w:rPr>
          <w:lang w:val="fr-CA"/>
        </w:rPr>
        <w:t xml:space="preserve">, [1997] 2 R.C.S. 13; </w:t>
      </w:r>
      <w:r w:rsidR="00F05E01" w:rsidRPr="003D1C80">
        <w:rPr>
          <w:i/>
          <w:lang w:val="fr-CA"/>
        </w:rPr>
        <w:t>R. c. Silveira</w:t>
      </w:r>
      <w:r w:rsidR="00F05E01" w:rsidRPr="003D1C80">
        <w:rPr>
          <w:lang w:val="fr-CA"/>
        </w:rPr>
        <w:t>, [1995] 2 R.C.S. 297</w:t>
      </w:r>
      <w:r w:rsidR="000B2B1A" w:rsidRPr="003D1C80">
        <w:rPr>
          <w:lang w:val="fr-CA"/>
        </w:rPr>
        <w:t xml:space="preserve">; </w:t>
      </w:r>
      <w:r w:rsidR="000B2B1A" w:rsidRPr="003D1C80">
        <w:rPr>
          <w:i/>
          <w:lang w:val="fr-CA"/>
        </w:rPr>
        <w:t xml:space="preserve">R. c. </w:t>
      </w:r>
      <w:proofErr w:type="spellStart"/>
      <w:r w:rsidR="000B2B1A" w:rsidRPr="003D1C80">
        <w:rPr>
          <w:i/>
          <w:lang w:val="fr-CA"/>
        </w:rPr>
        <w:t>Stenning</w:t>
      </w:r>
      <w:proofErr w:type="spellEnd"/>
      <w:r w:rsidR="000B2B1A" w:rsidRPr="003D1C80">
        <w:rPr>
          <w:lang w:val="fr-CA"/>
        </w:rPr>
        <w:t xml:space="preserve">, [1970] R.C.S. 631; </w:t>
      </w:r>
      <w:proofErr w:type="spellStart"/>
      <w:r w:rsidR="000B2B1A" w:rsidRPr="003D1C80">
        <w:rPr>
          <w:i/>
          <w:lang w:val="fr-CA"/>
        </w:rPr>
        <w:t>Knowlton</w:t>
      </w:r>
      <w:proofErr w:type="spellEnd"/>
      <w:r w:rsidR="000B2B1A" w:rsidRPr="003D1C80">
        <w:rPr>
          <w:i/>
          <w:lang w:val="fr-CA"/>
        </w:rPr>
        <w:t xml:space="preserve"> c. La Reine</w:t>
      </w:r>
      <w:r w:rsidR="000B2B1A" w:rsidRPr="003D1C80">
        <w:rPr>
          <w:lang w:val="fr-CA"/>
        </w:rPr>
        <w:t>, [1974] R.C.S. 443</w:t>
      </w:r>
      <w:r w:rsidR="00015F9B" w:rsidRPr="003D1C80">
        <w:rPr>
          <w:lang w:val="fr-CA"/>
        </w:rPr>
        <w:t xml:space="preserve">; </w:t>
      </w:r>
      <w:r w:rsidR="00015F9B" w:rsidRPr="003D1C80">
        <w:rPr>
          <w:i/>
          <w:lang w:val="fr-CA"/>
        </w:rPr>
        <w:t>Renvoi sur l</w:t>
      </w:r>
      <w:r w:rsidR="00375A6D" w:rsidRPr="003D1C80">
        <w:rPr>
          <w:i/>
          <w:lang w:val="fr-CA"/>
        </w:rPr>
        <w:t>’</w:t>
      </w:r>
      <w:r w:rsidR="00015F9B" w:rsidRPr="003D1C80">
        <w:rPr>
          <w:i/>
          <w:lang w:val="fr-CA"/>
        </w:rPr>
        <w:t>écoute électronique</w:t>
      </w:r>
      <w:r w:rsidR="00015F9B" w:rsidRPr="003D1C80">
        <w:rPr>
          <w:lang w:val="fr-CA"/>
        </w:rPr>
        <w:t>, [1984] 2 R.C.S. 697</w:t>
      </w:r>
      <w:r w:rsidR="00805571" w:rsidRPr="003D1C80">
        <w:rPr>
          <w:lang w:val="fr-CA"/>
        </w:rPr>
        <w:t>;</w:t>
      </w:r>
      <w:r w:rsidR="00D93122" w:rsidRPr="003D1C80">
        <w:rPr>
          <w:i/>
          <w:lang w:val="fr-CA"/>
        </w:rPr>
        <w:t xml:space="preserve"> R. c. Tse</w:t>
      </w:r>
      <w:r w:rsidR="00D93122" w:rsidRPr="003D1C80">
        <w:rPr>
          <w:lang w:val="fr-CA"/>
        </w:rPr>
        <w:t>,</w:t>
      </w:r>
      <w:r w:rsidR="00D93122" w:rsidRPr="003D1C80">
        <w:rPr>
          <w:i/>
          <w:lang w:val="fr-CA"/>
        </w:rPr>
        <w:t xml:space="preserve"> </w:t>
      </w:r>
      <w:r w:rsidR="00D93122" w:rsidRPr="003D1C80">
        <w:rPr>
          <w:lang w:val="fr-CA"/>
        </w:rPr>
        <w:t>2012 CSC 16,</w:t>
      </w:r>
      <w:r w:rsidR="00D93122" w:rsidRPr="003D1C80">
        <w:rPr>
          <w:i/>
          <w:lang w:val="fr-CA"/>
        </w:rPr>
        <w:t xml:space="preserve"> </w:t>
      </w:r>
      <w:r w:rsidR="00D93122" w:rsidRPr="003D1C80">
        <w:rPr>
          <w:lang w:val="fr-CA"/>
        </w:rPr>
        <w:t>[2012] 1 R.C.S. 531;</w:t>
      </w:r>
      <w:r w:rsidR="00805571" w:rsidRPr="003D1C80">
        <w:rPr>
          <w:lang w:val="fr-CA"/>
        </w:rPr>
        <w:t xml:space="preserve"> </w:t>
      </w:r>
      <w:r w:rsidR="00805571" w:rsidRPr="003D1C80">
        <w:rPr>
          <w:i/>
          <w:lang w:val="fr-CA"/>
        </w:rPr>
        <w:t xml:space="preserve">Lévis (Ville) c. </w:t>
      </w:r>
      <w:proofErr w:type="spellStart"/>
      <w:r w:rsidR="00805571" w:rsidRPr="003D1C80">
        <w:rPr>
          <w:i/>
          <w:lang w:val="fr-CA"/>
        </w:rPr>
        <w:t>Tétreault</w:t>
      </w:r>
      <w:proofErr w:type="spellEnd"/>
      <w:r w:rsidR="00805571" w:rsidRPr="003D1C80">
        <w:rPr>
          <w:lang w:val="fr-CA"/>
        </w:rPr>
        <w:t xml:space="preserve">, 2006 CSC 12, [2006] 1 R.C.S. 420; </w:t>
      </w:r>
      <w:r w:rsidR="00805571" w:rsidRPr="003D1C80">
        <w:rPr>
          <w:i/>
          <w:lang w:val="fr-CA"/>
        </w:rPr>
        <w:t xml:space="preserve">La Reine c. Sault </w:t>
      </w:r>
      <w:proofErr w:type="spellStart"/>
      <w:r w:rsidR="00805571" w:rsidRPr="003D1C80">
        <w:rPr>
          <w:i/>
          <w:lang w:val="fr-CA"/>
        </w:rPr>
        <w:t>Ste</w:t>
      </w:r>
      <w:r w:rsidR="007A46E5" w:rsidRPr="003D1C80">
        <w:rPr>
          <w:i/>
          <w:lang w:val="fr-CA"/>
        </w:rPr>
        <w:noBreakHyphen/>
      </w:r>
      <w:r w:rsidR="00805571" w:rsidRPr="003D1C80">
        <w:rPr>
          <w:i/>
          <w:lang w:val="fr-CA"/>
        </w:rPr>
        <w:t>Marie</w:t>
      </w:r>
      <w:proofErr w:type="spellEnd"/>
      <w:r w:rsidR="00805571" w:rsidRPr="003D1C80">
        <w:rPr>
          <w:lang w:val="fr-CA"/>
        </w:rPr>
        <w:t xml:space="preserve">, [1978] 2 R.C.S. 1299; </w:t>
      </w:r>
      <w:r w:rsidR="00805571" w:rsidRPr="003D1C80">
        <w:rPr>
          <w:i/>
          <w:lang w:val="fr-CA"/>
        </w:rPr>
        <w:t xml:space="preserve">Beaver c. The </w:t>
      </w:r>
      <w:proofErr w:type="spellStart"/>
      <w:r w:rsidR="00805571" w:rsidRPr="003D1C80">
        <w:rPr>
          <w:i/>
          <w:lang w:val="fr-CA"/>
        </w:rPr>
        <w:t>Queen</w:t>
      </w:r>
      <w:proofErr w:type="spellEnd"/>
      <w:r w:rsidR="00805571" w:rsidRPr="003D1C80">
        <w:rPr>
          <w:lang w:val="fr-CA"/>
        </w:rPr>
        <w:t>, [1957] R.C.S. 531</w:t>
      </w:r>
      <w:r w:rsidR="00AE6A3F" w:rsidRPr="003D1C80">
        <w:rPr>
          <w:lang w:val="fr-CA"/>
        </w:rPr>
        <w:t>.</w:t>
      </w:r>
    </w:p>
    <w:p w:rsidR="00B364CB" w:rsidRPr="003D1C80" w:rsidRDefault="00B364CB" w:rsidP="007A46E5">
      <w:pPr>
        <w:pStyle w:val="SCCNormalDoubleSpacing"/>
        <w:keepNext/>
        <w:spacing w:after="720" w:line="240" w:lineRule="auto"/>
        <w:rPr>
          <w:lang w:val="fr-CA"/>
        </w:rPr>
      </w:pPr>
      <w:r w:rsidRPr="003D1C80">
        <w:rPr>
          <w:lang w:val="fr-CA"/>
        </w:rPr>
        <w:lastRenderedPageBreak/>
        <w:t xml:space="preserve">Citée par les juges </w:t>
      </w:r>
      <w:proofErr w:type="spellStart"/>
      <w:r w:rsidRPr="003D1C80">
        <w:rPr>
          <w:lang w:val="fr-CA"/>
        </w:rPr>
        <w:t>Moldaver</w:t>
      </w:r>
      <w:proofErr w:type="spellEnd"/>
      <w:r w:rsidRPr="003D1C80">
        <w:rPr>
          <w:lang w:val="fr-CA"/>
        </w:rPr>
        <w:t xml:space="preserve"> et Wagner</w:t>
      </w:r>
    </w:p>
    <w:p w:rsidR="00B364CB" w:rsidRPr="003D1C80" w:rsidRDefault="00B364CB" w:rsidP="007A46E5">
      <w:pPr>
        <w:pStyle w:val="SCCNormalDoubleSpacing"/>
        <w:spacing w:before="480" w:after="480"/>
        <w:rPr>
          <w:szCs w:val="24"/>
          <w:lang w:val="fr-CA"/>
        </w:rPr>
      </w:pPr>
      <w:r w:rsidRPr="003D1C80">
        <w:rPr>
          <w:lang w:val="fr-CA"/>
        </w:rPr>
        <w:tab/>
      </w:r>
      <w:r w:rsidRPr="003D1C80">
        <w:rPr>
          <w:b/>
          <w:lang w:val="fr-CA"/>
        </w:rPr>
        <w:t>A</w:t>
      </w:r>
      <w:r w:rsidR="0045459E" w:rsidRPr="003D1C80">
        <w:rPr>
          <w:b/>
          <w:lang w:val="fr-CA"/>
        </w:rPr>
        <w:t>rrêt appliqué :</w:t>
      </w:r>
      <w:r w:rsidR="0045459E" w:rsidRPr="00E0404A">
        <w:rPr>
          <w:lang w:val="fr-CA"/>
        </w:rPr>
        <w:t xml:space="preserve"> </w:t>
      </w:r>
      <w:r w:rsidR="0045459E" w:rsidRPr="003D1C80">
        <w:rPr>
          <w:i/>
          <w:szCs w:val="24"/>
          <w:lang w:val="fr-CA"/>
        </w:rPr>
        <w:t>R. c. Mann</w:t>
      </w:r>
      <w:r w:rsidR="0045459E" w:rsidRPr="003D1C80">
        <w:rPr>
          <w:szCs w:val="24"/>
          <w:lang w:val="fr-CA"/>
        </w:rPr>
        <w:t>, 2004 CSC 52, [2004] 3 R.C.S. 59</w:t>
      </w:r>
      <w:r w:rsidR="0045459E" w:rsidRPr="003D1C80">
        <w:rPr>
          <w:lang w:val="fr-CA"/>
        </w:rPr>
        <w:t xml:space="preserve">; </w:t>
      </w:r>
      <w:r w:rsidR="0045459E" w:rsidRPr="003D1C80">
        <w:rPr>
          <w:b/>
          <w:lang w:val="fr-CA"/>
        </w:rPr>
        <w:t>ar</w:t>
      </w:r>
      <w:r w:rsidRPr="003D1C80">
        <w:rPr>
          <w:b/>
          <w:lang w:val="fr-CA"/>
        </w:rPr>
        <w:t>rêts mentionnés</w:t>
      </w:r>
      <w:r w:rsidR="007A46E5" w:rsidRPr="003D1C80">
        <w:rPr>
          <w:b/>
          <w:lang w:val="fr-CA"/>
        </w:rPr>
        <w:t> :</w:t>
      </w:r>
      <w:r w:rsidRPr="003D1C80">
        <w:rPr>
          <w:lang w:val="fr-CA"/>
        </w:rPr>
        <w:t xml:space="preserve"> </w:t>
      </w:r>
      <w:r w:rsidR="004D0436" w:rsidRPr="003D1C80">
        <w:rPr>
          <w:i/>
          <w:lang w:val="fr-CA"/>
        </w:rPr>
        <w:t>Baron c. Canada</w:t>
      </w:r>
      <w:r w:rsidR="004D0436" w:rsidRPr="003D1C80">
        <w:rPr>
          <w:lang w:val="fr-CA"/>
        </w:rPr>
        <w:t>, [1993] 1 R.C.S. 4</w:t>
      </w:r>
      <w:r w:rsidR="00E0404A">
        <w:rPr>
          <w:lang w:val="fr-CA"/>
        </w:rPr>
        <w:t>1</w:t>
      </w:r>
      <w:r w:rsidR="004D0436" w:rsidRPr="003D1C80">
        <w:rPr>
          <w:lang w:val="fr-CA"/>
        </w:rPr>
        <w:t>6</w:t>
      </w:r>
      <w:r w:rsidR="00954629" w:rsidRPr="003D1C80">
        <w:rPr>
          <w:lang w:val="fr-CA"/>
        </w:rPr>
        <w:t xml:space="preserve">; </w:t>
      </w:r>
      <w:r w:rsidR="00954629" w:rsidRPr="003D1C80">
        <w:rPr>
          <w:i/>
          <w:lang w:val="fr-CA"/>
        </w:rPr>
        <w:t>R. c. MacKenzie</w:t>
      </w:r>
      <w:r w:rsidR="00954629" w:rsidRPr="003D1C80">
        <w:rPr>
          <w:lang w:val="fr-CA"/>
        </w:rPr>
        <w:t>, 2013 CSC 50</w:t>
      </w:r>
      <w:r w:rsidR="00E0404A">
        <w:rPr>
          <w:lang w:val="fr-CA"/>
        </w:rPr>
        <w:t>, [2013] 3 R.C.S. 250</w:t>
      </w:r>
      <w:r w:rsidR="0075481E" w:rsidRPr="003D1C80">
        <w:rPr>
          <w:lang w:val="fr-CA"/>
        </w:rPr>
        <w:t xml:space="preserve">; </w:t>
      </w:r>
      <w:r w:rsidR="0075481E" w:rsidRPr="003D1C80">
        <w:rPr>
          <w:i/>
          <w:lang w:val="fr-CA"/>
        </w:rPr>
        <w:t xml:space="preserve">R. c. </w:t>
      </w:r>
      <w:proofErr w:type="spellStart"/>
      <w:r w:rsidR="0075481E" w:rsidRPr="003D1C80">
        <w:rPr>
          <w:i/>
          <w:lang w:val="fr-CA"/>
        </w:rPr>
        <w:t>Chehil</w:t>
      </w:r>
      <w:proofErr w:type="spellEnd"/>
      <w:r w:rsidR="0075481E" w:rsidRPr="003D1C80">
        <w:rPr>
          <w:lang w:val="fr-CA"/>
        </w:rPr>
        <w:t>, 2013 CSC 49</w:t>
      </w:r>
      <w:r w:rsidR="00E0404A">
        <w:rPr>
          <w:lang w:val="fr-CA"/>
        </w:rPr>
        <w:t>, [2013] 3 R.C.S. 220</w:t>
      </w:r>
      <w:r w:rsidR="00500654" w:rsidRPr="003D1C80">
        <w:rPr>
          <w:lang w:val="fr-CA"/>
        </w:rPr>
        <w:t xml:space="preserve">; </w:t>
      </w:r>
      <w:r w:rsidR="00500654" w:rsidRPr="003D1C80">
        <w:rPr>
          <w:i/>
          <w:lang w:val="fr-CA"/>
        </w:rPr>
        <w:t xml:space="preserve">Hunter c. </w:t>
      </w:r>
      <w:proofErr w:type="spellStart"/>
      <w:r w:rsidR="00500654" w:rsidRPr="003D1C80">
        <w:rPr>
          <w:i/>
          <w:lang w:val="fr-CA"/>
        </w:rPr>
        <w:t>Southam</w:t>
      </w:r>
      <w:proofErr w:type="spellEnd"/>
      <w:r w:rsidR="00500654" w:rsidRPr="003D1C80">
        <w:rPr>
          <w:i/>
          <w:lang w:val="fr-CA"/>
        </w:rPr>
        <w:t xml:space="preserve"> Inc.</w:t>
      </w:r>
      <w:r w:rsidR="00500654" w:rsidRPr="003D1C80">
        <w:rPr>
          <w:lang w:val="fr-CA"/>
        </w:rPr>
        <w:t>, [1984] 2 R.C.S. 145</w:t>
      </w:r>
      <w:r w:rsidR="00A624CD" w:rsidRPr="003D1C80">
        <w:rPr>
          <w:szCs w:val="24"/>
          <w:lang w:val="fr-CA"/>
        </w:rPr>
        <w:t xml:space="preserve">; </w:t>
      </w:r>
      <w:r w:rsidR="00A624CD" w:rsidRPr="003D1C80">
        <w:rPr>
          <w:i/>
          <w:lang w:val="fr-CA"/>
        </w:rPr>
        <w:t xml:space="preserve">R. c. </w:t>
      </w:r>
      <w:proofErr w:type="spellStart"/>
      <w:r w:rsidR="00A624CD" w:rsidRPr="003D1C80">
        <w:rPr>
          <w:i/>
          <w:lang w:val="fr-CA"/>
        </w:rPr>
        <w:t>Kang</w:t>
      </w:r>
      <w:r w:rsidR="007A46E5" w:rsidRPr="003D1C80">
        <w:rPr>
          <w:i/>
          <w:lang w:val="fr-CA"/>
        </w:rPr>
        <w:noBreakHyphen/>
      </w:r>
      <w:r w:rsidR="00A624CD" w:rsidRPr="003D1C80">
        <w:rPr>
          <w:i/>
          <w:lang w:val="fr-CA"/>
        </w:rPr>
        <w:t>Brown</w:t>
      </w:r>
      <w:proofErr w:type="spellEnd"/>
      <w:r w:rsidR="00A624CD" w:rsidRPr="003D1C80">
        <w:rPr>
          <w:lang w:val="fr-CA"/>
        </w:rPr>
        <w:t xml:space="preserve">, 2008 CSC 18, [2008] 1 R.C.S. 456; </w:t>
      </w:r>
      <w:r w:rsidR="00A624CD" w:rsidRPr="003D1C80">
        <w:rPr>
          <w:i/>
          <w:lang w:val="fr-CA"/>
        </w:rPr>
        <w:t>R. c. A.M.</w:t>
      </w:r>
      <w:r w:rsidR="00A624CD" w:rsidRPr="003D1C80">
        <w:rPr>
          <w:lang w:val="fr-CA"/>
        </w:rPr>
        <w:t>, 2008 CSC 19, [2008] 1 R.C.S. 569</w:t>
      </w:r>
      <w:r w:rsidR="00954629" w:rsidRPr="003D1C80">
        <w:rPr>
          <w:lang w:val="fr-CA"/>
        </w:rPr>
        <w:t>;</w:t>
      </w:r>
      <w:r w:rsidR="00601926" w:rsidRPr="003D1C80">
        <w:rPr>
          <w:lang w:val="fr-CA"/>
        </w:rPr>
        <w:t xml:space="preserve"> </w:t>
      </w:r>
      <w:r w:rsidR="00601926" w:rsidRPr="003D1C80">
        <w:rPr>
          <w:i/>
          <w:lang w:val="fr-CA"/>
        </w:rPr>
        <w:t>Terry c. Ohio</w:t>
      </w:r>
      <w:r w:rsidR="00601926" w:rsidRPr="003D1C80">
        <w:rPr>
          <w:lang w:val="fr-CA"/>
        </w:rPr>
        <w:t>, 392 U.S. 1 (1968)</w:t>
      </w:r>
      <w:r w:rsidR="000D6232" w:rsidRPr="003D1C80">
        <w:rPr>
          <w:lang w:val="fr-CA"/>
        </w:rPr>
        <w:t xml:space="preserve">; </w:t>
      </w:r>
      <w:r w:rsidR="000D6232" w:rsidRPr="003D1C80">
        <w:rPr>
          <w:i/>
          <w:lang w:val="fr-CA"/>
        </w:rPr>
        <w:t>Arizona c. Johnson</w:t>
      </w:r>
      <w:r w:rsidR="000D6232" w:rsidRPr="003D1C80">
        <w:rPr>
          <w:lang w:val="fr-CA"/>
        </w:rPr>
        <w:t xml:space="preserve">, </w:t>
      </w:r>
      <w:r w:rsidR="00E0404A">
        <w:rPr>
          <w:lang w:val="fr-CA"/>
        </w:rPr>
        <w:t>129 S. Ct. 781</w:t>
      </w:r>
      <w:r w:rsidR="000D6232" w:rsidRPr="003D1C80">
        <w:rPr>
          <w:lang w:val="fr-CA"/>
        </w:rPr>
        <w:t xml:space="preserve"> (2009)</w:t>
      </w:r>
      <w:r w:rsidR="003E3F52" w:rsidRPr="003D1C80">
        <w:rPr>
          <w:szCs w:val="24"/>
          <w:lang w:val="fr-CA"/>
        </w:rPr>
        <w:t xml:space="preserve">; </w:t>
      </w:r>
      <w:r w:rsidR="003E3F52" w:rsidRPr="003D1C80">
        <w:rPr>
          <w:i/>
          <w:szCs w:val="24"/>
          <w:lang w:val="fr-CA"/>
        </w:rPr>
        <w:t>R. c. Clayton</w:t>
      </w:r>
      <w:r w:rsidR="003E3F52" w:rsidRPr="003D1C80">
        <w:rPr>
          <w:szCs w:val="24"/>
          <w:lang w:val="fr-CA"/>
        </w:rPr>
        <w:t>, 2007 CSC 32, [2007] 2 R.C.S. 725</w:t>
      </w:r>
      <w:r w:rsidR="00203647" w:rsidRPr="003D1C80">
        <w:rPr>
          <w:lang w:val="fr-CA"/>
        </w:rPr>
        <w:t xml:space="preserve">; </w:t>
      </w:r>
      <w:r w:rsidR="00203647" w:rsidRPr="003D1C80">
        <w:rPr>
          <w:i/>
          <w:lang w:val="fr-CA"/>
        </w:rPr>
        <w:t>R. c.</w:t>
      </w:r>
      <w:r w:rsidR="00203647" w:rsidRPr="003D1C80">
        <w:rPr>
          <w:lang w:val="fr-CA"/>
        </w:rPr>
        <w:t xml:space="preserve"> </w:t>
      </w:r>
      <w:r w:rsidR="00203647" w:rsidRPr="003D1C80">
        <w:rPr>
          <w:i/>
          <w:lang w:val="fr-CA"/>
        </w:rPr>
        <w:t>Aucoin</w:t>
      </w:r>
      <w:r w:rsidR="00203647" w:rsidRPr="003D1C80">
        <w:rPr>
          <w:lang w:val="fr-CA"/>
        </w:rPr>
        <w:t>, 2012 CSC 66, [2012] 3 R.C.S. 408</w:t>
      </w:r>
      <w:r w:rsidR="00CF0FE7" w:rsidRPr="003D1C80">
        <w:rPr>
          <w:lang w:val="fr-CA"/>
        </w:rPr>
        <w:t xml:space="preserve">; </w:t>
      </w:r>
      <w:r w:rsidR="00CF0FE7" w:rsidRPr="003D1C80">
        <w:rPr>
          <w:i/>
          <w:lang w:val="fr-CA"/>
        </w:rPr>
        <w:t xml:space="preserve">R. c. </w:t>
      </w:r>
      <w:proofErr w:type="spellStart"/>
      <w:r w:rsidR="00CF0FE7" w:rsidRPr="003D1C80">
        <w:rPr>
          <w:i/>
          <w:lang w:val="fr-CA"/>
        </w:rPr>
        <w:t>Crocker</w:t>
      </w:r>
      <w:proofErr w:type="spellEnd"/>
      <w:r w:rsidR="00CF0FE7" w:rsidRPr="003D1C80">
        <w:rPr>
          <w:lang w:val="fr-CA"/>
        </w:rPr>
        <w:t>, 2009 BCCA 388, 275 B.C.A.C. 190, autorisation d</w:t>
      </w:r>
      <w:r w:rsidR="00375A6D" w:rsidRPr="003D1C80">
        <w:rPr>
          <w:lang w:val="fr-CA"/>
        </w:rPr>
        <w:t>’</w:t>
      </w:r>
      <w:r w:rsidR="00CF0FE7" w:rsidRPr="003D1C80">
        <w:rPr>
          <w:lang w:val="fr-CA"/>
        </w:rPr>
        <w:t>appel refusée, [2010] 1 R.C.S. viii</w:t>
      </w:r>
      <w:r w:rsidR="002C7C2A" w:rsidRPr="003D1C80">
        <w:rPr>
          <w:lang w:val="fr-CA"/>
        </w:rPr>
        <w:t xml:space="preserve">; </w:t>
      </w:r>
      <w:r w:rsidR="002C7C2A" w:rsidRPr="003D1C80">
        <w:rPr>
          <w:i/>
          <w:lang w:val="fr-CA"/>
        </w:rPr>
        <w:t>R. c. Atkins</w:t>
      </w:r>
      <w:r w:rsidR="002C7C2A" w:rsidRPr="003D1C80">
        <w:rPr>
          <w:lang w:val="fr-CA"/>
        </w:rPr>
        <w:t>, 2013 ONCA 586, 310 O.A.C. 397</w:t>
      </w:r>
      <w:r w:rsidR="00915DBD" w:rsidRPr="003D1C80">
        <w:rPr>
          <w:lang w:val="fr-CA"/>
        </w:rPr>
        <w:t xml:space="preserve">; </w:t>
      </w:r>
      <w:r w:rsidR="00915DBD" w:rsidRPr="003D1C80">
        <w:rPr>
          <w:i/>
          <w:lang w:val="fr-CA"/>
        </w:rPr>
        <w:t xml:space="preserve">R. c. </w:t>
      </w:r>
      <w:proofErr w:type="spellStart"/>
      <w:r w:rsidR="00915DBD" w:rsidRPr="003D1C80">
        <w:rPr>
          <w:i/>
          <w:lang w:val="fr-CA"/>
        </w:rPr>
        <w:t>Caslake</w:t>
      </w:r>
      <w:proofErr w:type="spellEnd"/>
      <w:r w:rsidR="00915DBD" w:rsidRPr="003D1C80">
        <w:rPr>
          <w:lang w:val="fr-CA"/>
        </w:rPr>
        <w:t>, [1998] 1 R.C.S. 51;</w:t>
      </w:r>
      <w:r w:rsidR="005C487C" w:rsidRPr="003D1C80">
        <w:rPr>
          <w:lang w:val="fr-CA"/>
        </w:rPr>
        <w:t xml:space="preserve"> </w:t>
      </w:r>
      <w:r w:rsidR="005C487C" w:rsidRPr="003D1C80">
        <w:rPr>
          <w:i/>
          <w:lang w:val="fr-CA"/>
        </w:rPr>
        <w:t xml:space="preserve">R. c. </w:t>
      </w:r>
      <w:proofErr w:type="spellStart"/>
      <w:r w:rsidR="005C487C" w:rsidRPr="003D1C80">
        <w:rPr>
          <w:i/>
          <w:lang w:val="fr-CA"/>
        </w:rPr>
        <w:t>Storrey</w:t>
      </w:r>
      <w:proofErr w:type="spellEnd"/>
      <w:r w:rsidR="005C487C" w:rsidRPr="003D1C80">
        <w:rPr>
          <w:lang w:val="fr-CA"/>
        </w:rPr>
        <w:t>, [1990] 1 R.C.S. 241</w:t>
      </w:r>
      <w:r w:rsidR="00254F2E" w:rsidRPr="003D1C80">
        <w:rPr>
          <w:lang w:val="fr-CA"/>
        </w:rPr>
        <w:t xml:space="preserve">; </w:t>
      </w:r>
      <w:r w:rsidR="00254F2E" w:rsidRPr="003D1C80">
        <w:rPr>
          <w:i/>
          <w:lang w:val="fr-CA"/>
        </w:rPr>
        <w:t xml:space="preserve">R. c. </w:t>
      </w:r>
      <w:proofErr w:type="spellStart"/>
      <w:r w:rsidR="00254F2E" w:rsidRPr="003D1C80">
        <w:rPr>
          <w:i/>
          <w:lang w:val="fr-CA"/>
        </w:rPr>
        <w:t>Feeney</w:t>
      </w:r>
      <w:proofErr w:type="spellEnd"/>
      <w:r w:rsidR="00254F2E" w:rsidRPr="003D1C80">
        <w:rPr>
          <w:lang w:val="fr-CA"/>
        </w:rPr>
        <w:t>, [1997] 2 R.C.S. 13</w:t>
      </w:r>
      <w:r w:rsidR="005A430D" w:rsidRPr="003D1C80">
        <w:rPr>
          <w:lang w:val="fr-CA"/>
        </w:rPr>
        <w:t xml:space="preserve">; </w:t>
      </w:r>
      <w:r w:rsidR="005A430D" w:rsidRPr="003D1C80">
        <w:rPr>
          <w:i/>
          <w:lang w:val="fr-CA"/>
        </w:rPr>
        <w:t>R. c. Godoy</w:t>
      </w:r>
      <w:r w:rsidR="005A430D" w:rsidRPr="003D1C80">
        <w:rPr>
          <w:lang w:val="fr-CA"/>
        </w:rPr>
        <w:t>, [1999] 1 R.C.S. 311</w:t>
      </w:r>
      <w:r w:rsidR="00D23616" w:rsidRPr="003D1C80">
        <w:rPr>
          <w:lang w:val="fr-CA"/>
        </w:rPr>
        <w:t xml:space="preserve">; </w:t>
      </w:r>
      <w:r w:rsidR="00D23616" w:rsidRPr="003D1C80">
        <w:rPr>
          <w:i/>
          <w:lang w:val="fr-CA"/>
        </w:rPr>
        <w:t xml:space="preserve">R. c. </w:t>
      </w:r>
      <w:proofErr w:type="spellStart"/>
      <w:r w:rsidR="00D23616" w:rsidRPr="003D1C80">
        <w:rPr>
          <w:i/>
          <w:lang w:val="fr-CA"/>
        </w:rPr>
        <w:t>Golub</w:t>
      </w:r>
      <w:proofErr w:type="spellEnd"/>
      <w:r w:rsidR="00D23616" w:rsidRPr="003D1C80">
        <w:rPr>
          <w:i/>
          <w:lang w:val="fr-CA"/>
        </w:rPr>
        <w:t xml:space="preserve"> </w:t>
      </w:r>
      <w:r w:rsidR="00D23616" w:rsidRPr="003D1C80">
        <w:rPr>
          <w:lang w:val="fr-CA"/>
        </w:rPr>
        <w:t xml:space="preserve">(1997), </w:t>
      </w:r>
      <w:r w:rsidR="00E0404A">
        <w:rPr>
          <w:lang w:val="fr-CA"/>
        </w:rPr>
        <w:t>34 O.R. (3d) 743</w:t>
      </w:r>
      <w:r w:rsidR="00D23616" w:rsidRPr="003D1C80">
        <w:rPr>
          <w:lang w:val="fr-CA"/>
        </w:rPr>
        <w:t xml:space="preserve">, autorisation </w:t>
      </w:r>
      <w:r w:rsidR="00042109" w:rsidRPr="003C2BF2">
        <w:rPr>
          <w:lang w:val="fr-CA"/>
        </w:rPr>
        <w:t>de pourvoi</w:t>
      </w:r>
      <w:r w:rsidR="00D23616" w:rsidRPr="003D1C80">
        <w:rPr>
          <w:lang w:val="fr-CA"/>
        </w:rPr>
        <w:t xml:space="preserve"> refusée, [1998] 1 R.C.S. ix</w:t>
      </w:r>
      <w:r w:rsidR="0026142B" w:rsidRPr="003D1C80">
        <w:rPr>
          <w:szCs w:val="24"/>
          <w:lang w:val="fr-CA"/>
        </w:rPr>
        <w:t>.</w:t>
      </w:r>
    </w:p>
    <w:p w:rsidR="004D7D95" w:rsidRPr="003D1C80" w:rsidRDefault="004D7D95" w:rsidP="007A46E5">
      <w:pPr>
        <w:pStyle w:val="SCCNormalDoubleSpacing"/>
        <w:keepNext/>
        <w:spacing w:after="720" w:line="240" w:lineRule="auto"/>
        <w:rPr>
          <w:b/>
          <w:lang w:val="fr-CA"/>
        </w:rPr>
      </w:pPr>
      <w:r w:rsidRPr="003D1C80">
        <w:rPr>
          <w:b/>
          <w:lang w:val="fr-CA"/>
        </w:rPr>
        <w:t>Lois et règlements cités</w:t>
      </w:r>
    </w:p>
    <w:p w:rsidR="005F7BDD" w:rsidRPr="003D1C80" w:rsidRDefault="005F7BDD" w:rsidP="007A46E5">
      <w:pPr>
        <w:pStyle w:val="SCCNormalDoubleSpacing"/>
        <w:spacing w:after="240" w:line="240" w:lineRule="auto"/>
        <w:ind w:left="547" w:hanging="547"/>
        <w:rPr>
          <w:lang w:val="fr-CA"/>
        </w:rPr>
      </w:pPr>
      <w:r w:rsidRPr="003D1C80">
        <w:rPr>
          <w:i/>
          <w:lang w:val="fr-CA"/>
        </w:rPr>
        <w:t>Charte canadienne des droits et libertés</w:t>
      </w:r>
      <w:r w:rsidRPr="003D1C80">
        <w:rPr>
          <w:lang w:val="fr-CA"/>
        </w:rPr>
        <w:t xml:space="preserve">, </w:t>
      </w:r>
      <w:r w:rsidR="007A46E5" w:rsidRPr="003D1C80">
        <w:rPr>
          <w:lang w:val="fr-CA"/>
        </w:rPr>
        <w:t>art. </w:t>
      </w:r>
      <w:r w:rsidRPr="003D1C80">
        <w:rPr>
          <w:lang w:val="fr-CA"/>
        </w:rPr>
        <w:t>8</w:t>
      </w:r>
      <w:r w:rsidR="00ED57BE" w:rsidRPr="003D1C80">
        <w:rPr>
          <w:lang w:val="fr-CA"/>
        </w:rPr>
        <w:t>, 12, 24(2)</w:t>
      </w:r>
      <w:r w:rsidRPr="003D1C80">
        <w:rPr>
          <w:lang w:val="fr-CA"/>
        </w:rPr>
        <w:t>.</w:t>
      </w:r>
      <w:r w:rsidRPr="003D1C80">
        <w:rPr>
          <w:i/>
          <w:lang w:val="fr-CA"/>
        </w:rPr>
        <w:t>Code criminel</w:t>
      </w:r>
      <w:r w:rsidRPr="003D1C80">
        <w:rPr>
          <w:lang w:val="fr-CA"/>
        </w:rPr>
        <w:t xml:space="preserve">, L.R.C. 1985, </w:t>
      </w:r>
      <w:r w:rsidR="007A46E5" w:rsidRPr="003D1C80">
        <w:rPr>
          <w:lang w:val="fr-CA"/>
        </w:rPr>
        <w:t>ch. </w:t>
      </w:r>
      <w:r w:rsidRPr="003D1C80">
        <w:rPr>
          <w:lang w:val="fr-CA"/>
        </w:rPr>
        <w:t>C</w:t>
      </w:r>
      <w:r w:rsidR="007A46E5" w:rsidRPr="003D1C80">
        <w:rPr>
          <w:lang w:val="fr-CA"/>
        </w:rPr>
        <w:noBreakHyphen/>
      </w:r>
      <w:r w:rsidRPr="003D1C80">
        <w:rPr>
          <w:lang w:val="fr-CA"/>
        </w:rPr>
        <w:t xml:space="preserve">46, </w:t>
      </w:r>
      <w:r w:rsidR="007A46E5" w:rsidRPr="003D1C80">
        <w:rPr>
          <w:lang w:val="fr-CA"/>
        </w:rPr>
        <w:t>art. </w:t>
      </w:r>
      <w:r w:rsidR="00BB7A15" w:rsidRPr="003D1C80">
        <w:rPr>
          <w:lang w:val="fr-CA"/>
        </w:rPr>
        <w:t>19, 86, 88</w:t>
      </w:r>
      <w:r w:rsidR="00072416" w:rsidRPr="003D1C80">
        <w:rPr>
          <w:lang w:val="fr-CA"/>
        </w:rPr>
        <w:t xml:space="preserve">, </w:t>
      </w:r>
      <w:r w:rsidR="00BB7A15" w:rsidRPr="003D1C80">
        <w:rPr>
          <w:lang w:val="fr-CA"/>
        </w:rPr>
        <w:t>95</w:t>
      </w:r>
      <w:r w:rsidR="00D6090A" w:rsidRPr="003D1C80">
        <w:rPr>
          <w:lang w:val="fr-CA"/>
        </w:rPr>
        <w:t xml:space="preserve">, </w:t>
      </w:r>
      <w:r w:rsidR="00254F2E" w:rsidRPr="003D1C80">
        <w:rPr>
          <w:lang w:val="fr-CA"/>
        </w:rPr>
        <w:t xml:space="preserve">487.11, </w:t>
      </w:r>
      <w:r w:rsidR="009222FA" w:rsidRPr="003D1C80">
        <w:rPr>
          <w:lang w:val="fr-CA"/>
        </w:rPr>
        <w:t>529.3</w:t>
      </w:r>
      <w:r w:rsidR="00E0404A">
        <w:rPr>
          <w:lang w:val="fr-CA"/>
        </w:rPr>
        <w:t>(2)</w:t>
      </w:r>
      <w:r w:rsidRPr="003D1C80">
        <w:rPr>
          <w:lang w:val="fr-CA"/>
        </w:rPr>
        <w:t>.</w:t>
      </w:r>
    </w:p>
    <w:p w:rsidR="001A5883" w:rsidRPr="003D1C80" w:rsidRDefault="001A5883" w:rsidP="007A46E5">
      <w:pPr>
        <w:pStyle w:val="SCCNormalDoubleSpacing"/>
        <w:spacing w:after="720" w:line="240" w:lineRule="auto"/>
        <w:ind w:left="547" w:hanging="547"/>
        <w:rPr>
          <w:lang w:val="fr-CA"/>
        </w:rPr>
      </w:pPr>
      <w:r w:rsidRPr="003D1C80">
        <w:rPr>
          <w:i/>
          <w:lang w:val="fr-CA"/>
        </w:rPr>
        <w:t>Loi sur les armes à feu</w:t>
      </w:r>
      <w:r w:rsidRPr="003D1C80">
        <w:rPr>
          <w:lang w:val="fr-CA"/>
        </w:rPr>
        <w:t xml:space="preserve">, L.C. 1995, </w:t>
      </w:r>
      <w:r w:rsidR="007A46E5" w:rsidRPr="003D1C80">
        <w:rPr>
          <w:lang w:val="fr-CA"/>
        </w:rPr>
        <w:t>ch. </w:t>
      </w:r>
      <w:r w:rsidRPr="003D1C80">
        <w:rPr>
          <w:lang w:val="fr-CA"/>
        </w:rPr>
        <w:t xml:space="preserve">39, </w:t>
      </w:r>
      <w:r w:rsidR="007A46E5" w:rsidRPr="003D1C80">
        <w:rPr>
          <w:lang w:val="fr-CA"/>
        </w:rPr>
        <w:t>art. </w:t>
      </w:r>
      <w:r w:rsidRPr="003D1C80">
        <w:rPr>
          <w:lang w:val="fr-CA"/>
        </w:rPr>
        <w:t>17.</w:t>
      </w:r>
    </w:p>
    <w:p w:rsidR="004D7D95" w:rsidRPr="003D1C80" w:rsidRDefault="004D7D95" w:rsidP="007A46E5">
      <w:pPr>
        <w:pStyle w:val="SCCNormalDoubleSpacing"/>
        <w:keepNext/>
        <w:spacing w:after="720" w:line="240" w:lineRule="auto"/>
        <w:rPr>
          <w:b/>
          <w:lang w:val="fr-CA"/>
        </w:rPr>
      </w:pPr>
      <w:r w:rsidRPr="003D1C80">
        <w:rPr>
          <w:b/>
          <w:lang w:val="fr-CA"/>
        </w:rPr>
        <w:t>Doctrine et autres documents cités</w:t>
      </w:r>
    </w:p>
    <w:p w:rsidR="000B2EA7" w:rsidRPr="003D1C80" w:rsidRDefault="000B2EA7" w:rsidP="007A46E5">
      <w:pPr>
        <w:pStyle w:val="SCCNormalDoubleSpacing"/>
        <w:spacing w:after="240" w:line="240" w:lineRule="auto"/>
        <w:ind w:left="547" w:hanging="547"/>
      </w:pPr>
      <w:proofErr w:type="spellStart"/>
      <w:r w:rsidRPr="003D1C80">
        <w:rPr>
          <w:lang w:val="fr-CA"/>
        </w:rPr>
        <w:t>Healy</w:t>
      </w:r>
      <w:proofErr w:type="spellEnd"/>
      <w:r w:rsidRPr="003D1C80">
        <w:rPr>
          <w:lang w:val="fr-CA"/>
        </w:rPr>
        <w:t xml:space="preserve">, Patrick.  </w:t>
      </w:r>
      <w:r w:rsidRPr="003D1C80">
        <w:t xml:space="preserve">« Investigative Detention in Canada », [2005] </w:t>
      </w:r>
      <w:r w:rsidRPr="003D1C80">
        <w:rPr>
          <w:i/>
        </w:rPr>
        <w:t>Crim. L.R.</w:t>
      </w:r>
      <w:r w:rsidRPr="003D1C80">
        <w:t xml:space="preserve"> 98.</w:t>
      </w:r>
    </w:p>
    <w:p w:rsidR="00206D62" w:rsidRPr="003D1C80" w:rsidRDefault="007A46E5" w:rsidP="007A46E5">
      <w:pPr>
        <w:pStyle w:val="SCCNormalDoubleSpacing"/>
        <w:spacing w:after="240" w:line="240" w:lineRule="auto"/>
        <w:ind w:left="547" w:hanging="547"/>
      </w:pPr>
      <w:proofErr w:type="spellStart"/>
      <w:r w:rsidRPr="003D1C80">
        <w:t>LaFave</w:t>
      </w:r>
      <w:proofErr w:type="spellEnd"/>
      <w:r w:rsidRPr="003D1C80">
        <w:t>, Wayne </w:t>
      </w:r>
      <w:r w:rsidR="00206D62" w:rsidRPr="003D1C80">
        <w:t xml:space="preserve">R.  </w:t>
      </w:r>
      <w:r w:rsidR="00206D62" w:rsidRPr="003D1C80">
        <w:rPr>
          <w:i/>
        </w:rPr>
        <w:t xml:space="preserve">Search and </w:t>
      </w:r>
      <w:proofErr w:type="gramStart"/>
      <w:r w:rsidR="00206D62" w:rsidRPr="003D1C80">
        <w:rPr>
          <w:i/>
        </w:rPr>
        <w:t>Seizure</w:t>
      </w:r>
      <w:r w:rsidRPr="003D1C80">
        <w:rPr>
          <w:i/>
        </w:rPr>
        <w:t> :</w:t>
      </w:r>
      <w:proofErr w:type="gramEnd"/>
      <w:r w:rsidR="00206D62" w:rsidRPr="003D1C80">
        <w:rPr>
          <w:i/>
        </w:rPr>
        <w:t xml:space="preserve"> A Treatise on the Fourth Amendment</w:t>
      </w:r>
      <w:r w:rsidR="00206D62" w:rsidRPr="003D1C80">
        <w:t>, 5</w:t>
      </w:r>
      <w:r w:rsidRPr="003D1C80">
        <w:t>th </w:t>
      </w:r>
      <w:r w:rsidR="00206D62" w:rsidRPr="003D1C80">
        <w:t xml:space="preserve">ed., </w:t>
      </w:r>
      <w:r w:rsidRPr="003D1C80">
        <w:t>vol. </w:t>
      </w:r>
      <w:r w:rsidR="000A1020" w:rsidRPr="003D1C80">
        <w:t>4</w:t>
      </w:r>
      <w:r w:rsidR="00206D62" w:rsidRPr="003D1C80">
        <w:t>.  St.</w:t>
      </w:r>
      <w:r w:rsidRPr="003D1C80">
        <w:t> </w:t>
      </w:r>
      <w:r w:rsidR="00206D62" w:rsidRPr="003D1C80">
        <w:t>Paul, Minn</w:t>
      </w:r>
      <w:proofErr w:type="gramStart"/>
      <w:r w:rsidR="00206D62" w:rsidRPr="003D1C80">
        <w:t>.</w:t>
      </w:r>
      <w:r w:rsidRPr="003D1C80">
        <w:t> :</w:t>
      </w:r>
      <w:proofErr w:type="gramEnd"/>
      <w:r w:rsidR="00206D62" w:rsidRPr="003D1C80">
        <w:t xml:space="preserve"> West, 2012.</w:t>
      </w:r>
    </w:p>
    <w:p w:rsidR="000B2EA7" w:rsidRPr="003D1C80" w:rsidRDefault="00EF1CC9" w:rsidP="007A46E5">
      <w:pPr>
        <w:pStyle w:val="SCCNormalDoubleSpacing"/>
        <w:spacing w:after="240" w:line="240" w:lineRule="auto"/>
        <w:ind w:left="547" w:hanging="547"/>
      </w:pPr>
      <w:r w:rsidRPr="003D1C80">
        <w:rPr>
          <w:i/>
        </w:rPr>
        <w:lastRenderedPageBreak/>
        <w:t>Oxford English Dictionary</w:t>
      </w:r>
      <w:r w:rsidRPr="003D1C80">
        <w:t xml:space="preserve"> (</w:t>
      </w:r>
      <w:proofErr w:type="gramStart"/>
      <w:r w:rsidR="002B47BA" w:rsidRPr="003D1C80">
        <w:t>online</w:t>
      </w:r>
      <w:r w:rsidR="007A46E5" w:rsidRPr="003D1C80">
        <w:t> :</w:t>
      </w:r>
      <w:proofErr w:type="gramEnd"/>
      <w:r w:rsidRPr="003D1C80">
        <w:t xml:space="preserve"> www.oed.com), </w:t>
      </w:r>
      <w:r w:rsidR="00CF1A53" w:rsidRPr="003D1C80">
        <w:t>« </w:t>
      </w:r>
      <w:r w:rsidR="00CF1A53" w:rsidRPr="003D1C80">
        <w:rPr>
          <w:i/>
        </w:rPr>
        <w:t>risk </w:t>
      </w:r>
      <w:r w:rsidR="00CF1A53" w:rsidRPr="003D1C80">
        <w:t>»</w:t>
      </w:r>
      <w:r w:rsidRPr="003D1C80">
        <w:t>.</w:t>
      </w:r>
      <w:r w:rsidR="00B56E2F" w:rsidRPr="003D1C80">
        <w:t xml:space="preserve">  </w:t>
      </w:r>
    </w:p>
    <w:p w:rsidR="00694F33" w:rsidRPr="003D1C80" w:rsidRDefault="007A46E5" w:rsidP="007A46E5">
      <w:pPr>
        <w:pStyle w:val="SCCNormalDoubleSpacing"/>
        <w:spacing w:after="240" w:line="240" w:lineRule="auto"/>
        <w:ind w:left="547" w:hanging="547"/>
      </w:pPr>
      <w:proofErr w:type="gramStart"/>
      <w:r w:rsidRPr="003D1C80">
        <w:t>Ruby, Clayton C., Gerald J. Chan and Nader </w:t>
      </w:r>
      <w:r w:rsidR="00694F33" w:rsidRPr="003D1C80">
        <w:t xml:space="preserve">R. </w:t>
      </w:r>
      <w:proofErr w:type="spellStart"/>
      <w:r w:rsidR="00694F33" w:rsidRPr="003D1C80">
        <w:t>Hasan</w:t>
      </w:r>
      <w:proofErr w:type="spellEnd"/>
      <w:r w:rsidR="00694F33" w:rsidRPr="003D1C80">
        <w:t>.</w:t>
      </w:r>
      <w:proofErr w:type="gramEnd"/>
      <w:r w:rsidR="00694F33" w:rsidRPr="003D1C80">
        <w:t xml:space="preserve">  </w:t>
      </w:r>
      <w:r w:rsidR="00694F33" w:rsidRPr="003D1C80">
        <w:rPr>
          <w:i/>
        </w:rPr>
        <w:t>Sentencing</w:t>
      </w:r>
      <w:r w:rsidRPr="003D1C80">
        <w:t>, 8th </w:t>
      </w:r>
      <w:proofErr w:type="gramStart"/>
      <w:r w:rsidR="00694F33" w:rsidRPr="003D1C80">
        <w:t>ed</w:t>
      </w:r>
      <w:proofErr w:type="gramEnd"/>
      <w:r w:rsidR="00694F33" w:rsidRPr="003D1C80">
        <w:t>.  Markham, Ont</w:t>
      </w:r>
      <w:proofErr w:type="gramStart"/>
      <w:r w:rsidR="00694F33" w:rsidRPr="003D1C80">
        <w:t>.</w:t>
      </w:r>
      <w:r w:rsidRPr="003D1C80">
        <w:t> :</w:t>
      </w:r>
      <w:proofErr w:type="gramEnd"/>
      <w:r w:rsidR="00694F33" w:rsidRPr="003D1C80">
        <w:t xml:space="preserve"> LexisNexis, 2012.</w:t>
      </w:r>
    </w:p>
    <w:p w:rsidR="00864F06" w:rsidRPr="003D1C80" w:rsidRDefault="005F24B1" w:rsidP="007A46E5">
      <w:pPr>
        <w:pStyle w:val="SCCNormalDoubleSpacing"/>
        <w:spacing w:after="720" w:line="240" w:lineRule="auto"/>
        <w:ind w:left="547" w:hanging="547"/>
        <w:rPr>
          <w:lang w:val="en-US"/>
        </w:rPr>
      </w:pPr>
      <w:proofErr w:type="spellStart"/>
      <w:r w:rsidRPr="003D1C80">
        <w:t>Stribopoulos</w:t>
      </w:r>
      <w:proofErr w:type="spellEnd"/>
      <w:r w:rsidRPr="003D1C80">
        <w:t xml:space="preserve">, James.  « The Limits of Judicially Created Police </w:t>
      </w:r>
      <w:proofErr w:type="gramStart"/>
      <w:r w:rsidRPr="003D1C80">
        <w:t>Powers</w:t>
      </w:r>
      <w:r w:rsidR="007A46E5" w:rsidRPr="003D1C80">
        <w:t> :</w:t>
      </w:r>
      <w:proofErr w:type="gramEnd"/>
      <w:r w:rsidRPr="003D1C80">
        <w:t xml:space="preserve"> Investigative Detention after </w:t>
      </w:r>
      <w:r w:rsidRPr="003D1C80">
        <w:rPr>
          <w:i/>
        </w:rPr>
        <w:t>Mann </w:t>
      </w:r>
      <w:r w:rsidRPr="003D1C80">
        <w:t>» (2007)</w:t>
      </w:r>
      <w:r w:rsidR="00E0404A">
        <w:t>,</w:t>
      </w:r>
      <w:r w:rsidRPr="003D1C80">
        <w:t xml:space="preserve"> 52 </w:t>
      </w:r>
      <w:r w:rsidRPr="003D1C80">
        <w:rPr>
          <w:i/>
        </w:rPr>
        <w:t>Crim. L.Q.</w:t>
      </w:r>
      <w:r w:rsidRPr="003D1C80">
        <w:t xml:space="preserve"> 299.</w:t>
      </w:r>
    </w:p>
    <w:p w:rsidR="007C455D" w:rsidRPr="003D1C80" w:rsidRDefault="004D7D95" w:rsidP="007A46E5">
      <w:pPr>
        <w:pStyle w:val="SCCNormalDoubleSpacing"/>
        <w:spacing w:before="480" w:after="480"/>
        <w:rPr>
          <w:lang w:val="fr-CA"/>
        </w:rPr>
      </w:pPr>
      <w:r w:rsidRPr="003D1C80">
        <w:rPr>
          <w:lang w:val="en-US"/>
        </w:rPr>
        <w:tab/>
      </w:r>
      <w:r w:rsidRPr="003D1C80">
        <w:rPr>
          <w:lang w:val="fr-CA"/>
        </w:rPr>
        <w:t>POURVOI</w:t>
      </w:r>
      <w:r w:rsidR="00700C55" w:rsidRPr="003D1C80">
        <w:rPr>
          <w:lang w:val="fr-CA"/>
        </w:rPr>
        <w:t xml:space="preserve">S </w:t>
      </w:r>
      <w:r w:rsidRPr="003D1C80">
        <w:rPr>
          <w:lang w:val="fr-CA"/>
        </w:rPr>
        <w:t>contre un arrêt de la Cour d</w:t>
      </w:r>
      <w:r w:rsidR="00375A6D" w:rsidRPr="003D1C80">
        <w:rPr>
          <w:lang w:val="fr-CA"/>
        </w:rPr>
        <w:t>’</w:t>
      </w:r>
      <w:r w:rsidRPr="003D1C80">
        <w:rPr>
          <w:lang w:val="fr-CA"/>
        </w:rPr>
        <w:t xml:space="preserve">appel de la </w:t>
      </w:r>
      <w:proofErr w:type="spellStart"/>
      <w:r w:rsidRPr="003D1C80">
        <w:rPr>
          <w:lang w:val="fr-CA"/>
        </w:rPr>
        <w:t>Nouvelle</w:t>
      </w:r>
      <w:r w:rsidR="007A46E5" w:rsidRPr="003D1C80">
        <w:rPr>
          <w:lang w:val="fr-CA"/>
        </w:rPr>
        <w:noBreakHyphen/>
      </w:r>
      <w:r w:rsidRPr="003D1C80">
        <w:rPr>
          <w:lang w:val="fr-CA"/>
        </w:rPr>
        <w:t>Écosse</w:t>
      </w:r>
      <w:proofErr w:type="spellEnd"/>
      <w:r w:rsidR="007C455D" w:rsidRPr="003D1C80">
        <w:rPr>
          <w:lang w:val="fr-CA"/>
        </w:rPr>
        <w:t xml:space="preserve"> (le juge en chef MacDonald et les juges </w:t>
      </w:r>
      <w:proofErr w:type="spellStart"/>
      <w:r w:rsidR="007C455D" w:rsidRPr="003D1C80">
        <w:rPr>
          <w:lang w:val="fr-CA"/>
        </w:rPr>
        <w:t>Saunders</w:t>
      </w:r>
      <w:proofErr w:type="spellEnd"/>
      <w:r w:rsidR="007C455D" w:rsidRPr="003D1C80">
        <w:rPr>
          <w:lang w:val="fr-CA"/>
        </w:rPr>
        <w:t xml:space="preserve"> et Beveridge), 2012 NSCA 50, 317 N.S.R. (2d) 90, 1003 A.P.R. 90, 283 C.C.C. (3d) 308, 261 C.R.R. (2d) 303, [2012] N.S.J. </w:t>
      </w:r>
      <w:r w:rsidR="007A46E5" w:rsidRPr="003D1C80">
        <w:rPr>
          <w:lang w:val="fr-CA"/>
        </w:rPr>
        <w:t>No. </w:t>
      </w:r>
      <w:r w:rsidR="007C455D" w:rsidRPr="003D1C80">
        <w:rPr>
          <w:lang w:val="fr-CA"/>
        </w:rPr>
        <w:t xml:space="preserve">252 (QL), 2012 </w:t>
      </w:r>
      <w:proofErr w:type="spellStart"/>
      <w:r w:rsidR="007C455D" w:rsidRPr="003D1C80">
        <w:rPr>
          <w:lang w:val="fr-CA"/>
        </w:rPr>
        <w:t>CarswellNS</w:t>
      </w:r>
      <w:proofErr w:type="spellEnd"/>
      <w:r w:rsidR="007C455D" w:rsidRPr="003D1C80">
        <w:rPr>
          <w:lang w:val="fr-CA"/>
        </w:rPr>
        <w:t xml:space="preserve"> 328, </w:t>
      </w:r>
      <w:r w:rsidR="005B427A" w:rsidRPr="003D1C80">
        <w:rPr>
          <w:lang w:val="fr-CA"/>
        </w:rPr>
        <w:t>qui a annulé la déclaration de culpabilité de l</w:t>
      </w:r>
      <w:r w:rsidR="00375A6D" w:rsidRPr="003D1C80">
        <w:rPr>
          <w:lang w:val="fr-CA"/>
        </w:rPr>
        <w:t>’</w:t>
      </w:r>
      <w:r w:rsidR="005B427A" w:rsidRPr="003D1C80">
        <w:rPr>
          <w:lang w:val="fr-CA"/>
        </w:rPr>
        <w:t xml:space="preserve">accusé de </w:t>
      </w:r>
      <w:r w:rsidR="0045459E" w:rsidRPr="003D1C80">
        <w:rPr>
          <w:lang w:val="fr-CA"/>
        </w:rPr>
        <w:t xml:space="preserve">possession </w:t>
      </w:r>
      <w:r w:rsidR="005B427A" w:rsidRPr="003D1C80">
        <w:rPr>
          <w:lang w:val="fr-CA"/>
        </w:rPr>
        <w:t>d</w:t>
      </w:r>
      <w:r w:rsidR="00375A6D" w:rsidRPr="003D1C80">
        <w:rPr>
          <w:lang w:val="fr-CA"/>
        </w:rPr>
        <w:t>’</w:t>
      </w:r>
      <w:r w:rsidR="005B427A" w:rsidRPr="003D1C80">
        <w:rPr>
          <w:lang w:val="fr-CA"/>
        </w:rPr>
        <w:t>une</w:t>
      </w:r>
      <w:r w:rsidR="0045459E" w:rsidRPr="003D1C80">
        <w:rPr>
          <w:lang w:val="fr-CA"/>
        </w:rPr>
        <w:t xml:space="preserve"> </w:t>
      </w:r>
      <w:r w:rsidR="005B427A" w:rsidRPr="003D1C80">
        <w:rPr>
          <w:lang w:val="fr-CA"/>
        </w:rPr>
        <w:t>arme à feu à autorisation restreinte</w:t>
      </w:r>
      <w:r w:rsidR="009C0F92" w:rsidRPr="003D1C80">
        <w:rPr>
          <w:lang w:val="fr-CA"/>
        </w:rPr>
        <w:t xml:space="preserve"> chargée</w:t>
      </w:r>
      <w:r w:rsidR="007C455D" w:rsidRPr="003D1C80">
        <w:rPr>
          <w:lang w:val="fr-CA"/>
        </w:rPr>
        <w:t xml:space="preserve">.  Pourvoi </w:t>
      </w:r>
      <w:r w:rsidR="00700C55" w:rsidRPr="003D1C80">
        <w:rPr>
          <w:lang w:val="fr-CA"/>
        </w:rPr>
        <w:t>d</w:t>
      </w:r>
      <w:r w:rsidR="00375A6D" w:rsidRPr="003D1C80">
        <w:rPr>
          <w:lang w:val="fr-CA"/>
        </w:rPr>
        <w:t>’</w:t>
      </w:r>
      <w:r w:rsidR="00700C55" w:rsidRPr="003D1C80">
        <w:rPr>
          <w:lang w:val="fr-CA"/>
        </w:rPr>
        <w:t xml:space="preserve">Erin Lee MacDonald </w:t>
      </w:r>
      <w:r w:rsidR="007C455D" w:rsidRPr="003D1C80">
        <w:rPr>
          <w:lang w:val="fr-CA"/>
        </w:rPr>
        <w:t xml:space="preserve">rejeté et </w:t>
      </w:r>
      <w:r w:rsidR="00700C55" w:rsidRPr="003D1C80">
        <w:rPr>
          <w:lang w:val="fr-CA"/>
        </w:rPr>
        <w:t xml:space="preserve">pourvoi de Sa Majesté la Reine </w:t>
      </w:r>
      <w:r w:rsidR="007C455D" w:rsidRPr="003D1C80">
        <w:rPr>
          <w:lang w:val="fr-CA"/>
        </w:rPr>
        <w:t xml:space="preserve">accueilli. </w:t>
      </w:r>
    </w:p>
    <w:p w:rsidR="00E120B6" w:rsidRPr="003D1C80" w:rsidRDefault="00AF77F0" w:rsidP="007A46E5">
      <w:pPr>
        <w:pStyle w:val="SCCNormalDoubleSpacing"/>
        <w:spacing w:before="480" w:after="480"/>
        <w:rPr>
          <w:lang w:val="fr-CA"/>
        </w:rPr>
      </w:pPr>
      <w:r w:rsidRPr="003D1C80">
        <w:rPr>
          <w:rStyle w:val="SCCCounselNameChar"/>
          <w:lang w:val="fr-CA"/>
        </w:rPr>
        <w:tab/>
        <w:t xml:space="preserve">Hersh </w:t>
      </w:r>
      <w:proofErr w:type="spellStart"/>
      <w:r w:rsidRPr="003D1C80">
        <w:rPr>
          <w:rStyle w:val="SCCCounselNameChar"/>
          <w:lang w:val="fr-CA"/>
        </w:rPr>
        <w:t>Wolch</w:t>
      </w:r>
      <w:proofErr w:type="spellEnd"/>
      <w:r w:rsidRPr="003D1C80">
        <w:rPr>
          <w:rStyle w:val="SCCCounselNameChar"/>
          <w:i w:val="0"/>
          <w:lang w:val="fr-CA"/>
        </w:rPr>
        <w:t xml:space="preserve">, </w:t>
      </w:r>
      <w:proofErr w:type="gramStart"/>
      <w:r w:rsidR="00DF7217" w:rsidRPr="003D1C80">
        <w:rPr>
          <w:rStyle w:val="SCCCounselNameChar"/>
          <w:lang w:val="fr-CA"/>
        </w:rPr>
        <w:t>c</w:t>
      </w:r>
      <w:r w:rsidRPr="003D1C80">
        <w:rPr>
          <w:rStyle w:val="SCCCounselNameChar"/>
          <w:lang w:val="fr-CA"/>
        </w:rPr>
        <w:t>.</w:t>
      </w:r>
      <w:r w:rsidR="00DF7217" w:rsidRPr="003D1C80">
        <w:rPr>
          <w:rStyle w:val="SCCCounselNameChar"/>
          <w:lang w:val="fr-CA"/>
        </w:rPr>
        <w:t>r</w:t>
      </w:r>
      <w:r w:rsidRPr="003D1C80">
        <w:rPr>
          <w:rStyle w:val="SCCCounselNameChar"/>
          <w:lang w:val="fr-CA"/>
        </w:rPr>
        <w:t>.</w:t>
      </w:r>
      <w:r w:rsidR="00DF7217" w:rsidRPr="003D1C80">
        <w:rPr>
          <w:rStyle w:val="SCCCounselNameChar"/>
          <w:i w:val="0"/>
          <w:lang w:val="fr-CA"/>
        </w:rPr>
        <w:t>,</w:t>
      </w:r>
      <w:proofErr w:type="gramEnd"/>
      <w:r w:rsidRPr="003D1C80">
        <w:rPr>
          <w:rStyle w:val="SCCCounselSeparatorChar"/>
          <w:lang w:val="fr-CA"/>
        </w:rPr>
        <w:t xml:space="preserve"> et </w:t>
      </w:r>
      <w:r w:rsidRPr="003D1C80">
        <w:rPr>
          <w:rStyle w:val="SCCCounselNameChar"/>
          <w:lang w:val="fr-CA"/>
        </w:rPr>
        <w:t>Janna Watts</w:t>
      </w:r>
      <w:r w:rsidRPr="003D1C80">
        <w:rPr>
          <w:rStyle w:val="SCCCounselPartyRoleChar"/>
          <w:lang w:val="fr-CA"/>
        </w:rPr>
        <w:t>, pour l</w:t>
      </w:r>
      <w:r w:rsidR="00375A6D" w:rsidRPr="003D1C80">
        <w:rPr>
          <w:rStyle w:val="SCCCounselPartyRoleChar"/>
          <w:lang w:val="fr-CA"/>
        </w:rPr>
        <w:t>’</w:t>
      </w:r>
      <w:r w:rsidRPr="003D1C80">
        <w:rPr>
          <w:rStyle w:val="SCCCounselPartyRoleChar"/>
          <w:lang w:val="fr-CA"/>
        </w:rPr>
        <w:t>appelant</w:t>
      </w:r>
      <w:r w:rsidR="00DF7217" w:rsidRPr="003D1C80">
        <w:rPr>
          <w:rStyle w:val="SCCCounselPartyRoleChar"/>
          <w:lang w:val="fr-CA"/>
        </w:rPr>
        <w:t>/</w:t>
      </w:r>
      <w:r w:rsidR="00700C55" w:rsidRPr="003D1C80">
        <w:rPr>
          <w:rStyle w:val="SCCCounselPartyRoleChar"/>
          <w:lang w:val="fr-CA"/>
        </w:rPr>
        <w:t>intimé</w:t>
      </w:r>
      <w:r w:rsidRPr="003D1C80">
        <w:rPr>
          <w:rStyle w:val="SCCCounselPartyRoleChar"/>
          <w:lang w:val="fr-CA"/>
        </w:rPr>
        <w:t>.</w:t>
      </w:r>
    </w:p>
    <w:p w:rsidR="00E120B6" w:rsidRPr="003D1C80" w:rsidRDefault="007A46E5" w:rsidP="004810A1">
      <w:pPr>
        <w:pStyle w:val="SCCNormalDoubleSpacing"/>
        <w:spacing w:before="480" w:after="480"/>
        <w:rPr>
          <w:lang w:val="fr-CA"/>
        </w:rPr>
      </w:pPr>
      <w:r w:rsidRPr="003D1C80">
        <w:rPr>
          <w:rStyle w:val="SCCCounselNameChar"/>
          <w:lang w:val="fr-CA"/>
        </w:rPr>
        <w:tab/>
        <w:t>William </w:t>
      </w:r>
      <w:r w:rsidR="00AF77F0" w:rsidRPr="003D1C80">
        <w:rPr>
          <w:rStyle w:val="SCCCounselNameChar"/>
          <w:lang w:val="fr-CA"/>
        </w:rPr>
        <w:t>D. Delaney</w:t>
      </w:r>
      <w:r w:rsidR="00AF77F0" w:rsidRPr="003D1C80">
        <w:rPr>
          <w:rStyle w:val="SCCCounselNameChar"/>
          <w:i w:val="0"/>
          <w:lang w:val="fr-CA"/>
        </w:rPr>
        <w:t xml:space="preserve">, </w:t>
      </w:r>
      <w:proofErr w:type="gramStart"/>
      <w:r w:rsidR="00DF7217" w:rsidRPr="003D1C80">
        <w:rPr>
          <w:rStyle w:val="SCCCounselNameChar"/>
          <w:lang w:val="fr-CA"/>
        </w:rPr>
        <w:t>c.r</w:t>
      </w:r>
      <w:r w:rsidR="00AF77F0" w:rsidRPr="003D1C80">
        <w:rPr>
          <w:rStyle w:val="SCCCounselNameChar"/>
          <w:lang w:val="fr-CA"/>
        </w:rPr>
        <w:t>.</w:t>
      </w:r>
      <w:r w:rsidR="00DF7217" w:rsidRPr="003D1C80">
        <w:rPr>
          <w:rStyle w:val="SCCCounselNameChar"/>
          <w:i w:val="0"/>
          <w:lang w:val="fr-CA"/>
        </w:rPr>
        <w:t>,</w:t>
      </w:r>
      <w:proofErr w:type="gramEnd"/>
      <w:r w:rsidR="00AF77F0" w:rsidRPr="003D1C80">
        <w:rPr>
          <w:rStyle w:val="SCCCounselSeparatorChar"/>
          <w:lang w:val="fr-CA"/>
        </w:rPr>
        <w:t xml:space="preserve"> et </w:t>
      </w:r>
      <w:r w:rsidR="000A49B8" w:rsidRPr="003D1C80">
        <w:rPr>
          <w:rStyle w:val="SCCCounselNameChar"/>
          <w:lang w:val="fr-CA"/>
        </w:rPr>
        <w:t xml:space="preserve">Timothy S. </w:t>
      </w:r>
      <w:proofErr w:type="spellStart"/>
      <w:r w:rsidR="000A49B8" w:rsidRPr="003D1C80">
        <w:rPr>
          <w:rStyle w:val="SCCCounselNameChar"/>
          <w:lang w:val="fr-CA"/>
        </w:rPr>
        <w:t>O</w:t>
      </w:r>
      <w:r w:rsidR="00375A6D" w:rsidRPr="003D1C80">
        <w:rPr>
          <w:rStyle w:val="SCCCounselNameChar"/>
          <w:lang w:val="fr-CA"/>
        </w:rPr>
        <w:t>’</w:t>
      </w:r>
      <w:r w:rsidR="000A49B8" w:rsidRPr="003D1C80">
        <w:rPr>
          <w:rStyle w:val="SCCCounselNameChar"/>
          <w:lang w:val="fr-CA"/>
        </w:rPr>
        <w:t>Leary</w:t>
      </w:r>
      <w:proofErr w:type="spellEnd"/>
      <w:r w:rsidR="00AF77F0" w:rsidRPr="003D1C80">
        <w:rPr>
          <w:rStyle w:val="SCCCounselPartyRoleChar"/>
          <w:lang w:val="fr-CA"/>
        </w:rPr>
        <w:t>, pour l</w:t>
      </w:r>
      <w:r w:rsidR="00375A6D" w:rsidRPr="003D1C80">
        <w:rPr>
          <w:rStyle w:val="SCCCounselPartyRoleChar"/>
          <w:lang w:val="fr-CA"/>
        </w:rPr>
        <w:t>’</w:t>
      </w:r>
      <w:r w:rsidR="00AF77F0" w:rsidRPr="003D1C80">
        <w:rPr>
          <w:rStyle w:val="SCCCounselPartyRoleChar"/>
          <w:lang w:val="fr-CA"/>
        </w:rPr>
        <w:t>intimée</w:t>
      </w:r>
      <w:r w:rsidR="00DF7217" w:rsidRPr="003D1C80">
        <w:rPr>
          <w:rStyle w:val="SCCCounselPartyRoleChar"/>
          <w:lang w:val="fr-CA"/>
        </w:rPr>
        <w:t>/appelante</w:t>
      </w:r>
      <w:r w:rsidR="00AF77F0" w:rsidRPr="003D1C80">
        <w:rPr>
          <w:rStyle w:val="SCCCounselPartyRoleChar"/>
          <w:lang w:val="fr-CA"/>
        </w:rPr>
        <w:t>.</w:t>
      </w:r>
    </w:p>
    <w:p w:rsidR="00E120B6" w:rsidRPr="003D1C80" w:rsidRDefault="00AF77F0" w:rsidP="007A46E5">
      <w:pPr>
        <w:pStyle w:val="SCCNormalDoubleSpacing"/>
        <w:spacing w:before="480" w:after="480"/>
        <w:rPr>
          <w:lang w:val="fr-CA"/>
        </w:rPr>
      </w:pPr>
      <w:r w:rsidRPr="003D1C80">
        <w:rPr>
          <w:rStyle w:val="SCCCounselNameChar"/>
          <w:lang w:val="fr-CA"/>
        </w:rPr>
        <w:tab/>
        <w:t>James</w:t>
      </w:r>
      <w:r w:rsidR="007A46E5" w:rsidRPr="003D1C80">
        <w:rPr>
          <w:rStyle w:val="SCCCounselNameChar"/>
          <w:lang w:val="fr-CA"/>
        </w:rPr>
        <w:t> </w:t>
      </w:r>
      <w:r w:rsidRPr="003D1C80">
        <w:rPr>
          <w:rStyle w:val="SCCCounselNameChar"/>
          <w:lang w:val="fr-CA"/>
        </w:rPr>
        <w:t>C. Martin</w:t>
      </w:r>
      <w:r w:rsidR="00DF7217" w:rsidRPr="003D1C80">
        <w:rPr>
          <w:rStyle w:val="SCCCounselPartyRoleChar"/>
          <w:lang w:val="fr-CA"/>
        </w:rPr>
        <w:t xml:space="preserve"> et </w:t>
      </w:r>
      <w:r w:rsidR="00DF7217" w:rsidRPr="003D1C80">
        <w:rPr>
          <w:rStyle w:val="SCCCounselNameChar"/>
          <w:lang w:val="fr-CA"/>
        </w:rPr>
        <w:t>Ann Marie Simmon</w:t>
      </w:r>
      <w:r w:rsidR="00BD3E6C">
        <w:rPr>
          <w:rStyle w:val="SCCCounselNameChar"/>
          <w:lang w:val="fr-CA"/>
        </w:rPr>
        <w:t>s</w:t>
      </w:r>
      <w:r w:rsidR="00DF7217" w:rsidRPr="003D1C80">
        <w:rPr>
          <w:rStyle w:val="SCCCounselSeparatorChar"/>
          <w:lang w:val="fr-CA"/>
        </w:rPr>
        <w:t>,</w:t>
      </w:r>
      <w:r w:rsidR="00DF7217" w:rsidRPr="003D1C80">
        <w:rPr>
          <w:rStyle w:val="SCCCounselPartyRoleChar"/>
          <w:lang w:val="fr-CA"/>
        </w:rPr>
        <w:t xml:space="preserve"> pour l</w:t>
      </w:r>
      <w:r w:rsidR="00375A6D" w:rsidRPr="003D1C80">
        <w:rPr>
          <w:rStyle w:val="SCCCounselPartyRoleChar"/>
          <w:lang w:val="fr-CA"/>
        </w:rPr>
        <w:t>’</w:t>
      </w:r>
      <w:r w:rsidRPr="003D1C80">
        <w:rPr>
          <w:rStyle w:val="SCCCounselPartyRoleChar"/>
          <w:lang w:val="fr-CA"/>
        </w:rPr>
        <w:t>intervenant</w:t>
      </w:r>
      <w:r w:rsidR="00CD1ED2" w:rsidRPr="003D1C80">
        <w:rPr>
          <w:rStyle w:val="SCCCounselPartyRoleChar"/>
          <w:lang w:val="fr-CA"/>
        </w:rPr>
        <w:t xml:space="preserve"> le d</w:t>
      </w:r>
      <w:r w:rsidRPr="003D1C80">
        <w:rPr>
          <w:rStyle w:val="SCCCounselPartyRoleChar"/>
          <w:lang w:val="fr-CA"/>
        </w:rPr>
        <w:t>irecteur des poursuites pénales.</w:t>
      </w:r>
    </w:p>
    <w:p w:rsidR="00CD1ED2" w:rsidRPr="003D1C80" w:rsidRDefault="00CD1ED2" w:rsidP="007A46E5">
      <w:pPr>
        <w:pStyle w:val="SCCNormalDoubleSpacing"/>
        <w:spacing w:before="480" w:after="480"/>
        <w:rPr>
          <w:lang w:val="fr-CA"/>
        </w:rPr>
      </w:pPr>
      <w:r w:rsidRPr="003D1C80">
        <w:rPr>
          <w:rStyle w:val="SCCCounselNameChar"/>
          <w:lang w:val="fr-CA"/>
        </w:rPr>
        <w:tab/>
        <w:t>John</w:t>
      </w:r>
      <w:r w:rsidR="007A46E5" w:rsidRPr="003D1C80">
        <w:rPr>
          <w:rStyle w:val="SCCCounselNameChar"/>
          <w:lang w:val="fr-CA"/>
        </w:rPr>
        <w:t> </w:t>
      </w:r>
      <w:r w:rsidRPr="003D1C80">
        <w:rPr>
          <w:rStyle w:val="SCCCounselNameChar"/>
          <w:lang w:val="fr-CA"/>
        </w:rPr>
        <w:t>C. Pearson</w:t>
      </w:r>
      <w:r w:rsidRPr="003D1C80">
        <w:rPr>
          <w:rStyle w:val="SCCCounselSeparatorChar"/>
          <w:lang w:val="fr-CA"/>
        </w:rPr>
        <w:t xml:space="preserve"> et </w:t>
      </w:r>
      <w:r w:rsidRPr="003D1C80">
        <w:rPr>
          <w:rStyle w:val="SCCCounselNameChar"/>
          <w:lang w:val="fr-CA"/>
        </w:rPr>
        <w:t>Michelle Campbell</w:t>
      </w:r>
      <w:r w:rsidRPr="003D1C80">
        <w:rPr>
          <w:rStyle w:val="SCCCounselPartyRoleChar"/>
          <w:lang w:val="fr-CA"/>
        </w:rPr>
        <w:t>, pour l</w:t>
      </w:r>
      <w:r w:rsidR="00375A6D" w:rsidRPr="003D1C80">
        <w:rPr>
          <w:rStyle w:val="SCCCounselPartyRoleChar"/>
          <w:lang w:val="fr-CA"/>
        </w:rPr>
        <w:t>’</w:t>
      </w:r>
      <w:r w:rsidRPr="003D1C80">
        <w:rPr>
          <w:rStyle w:val="SCCCounselPartyRoleChar"/>
          <w:lang w:val="fr-CA"/>
        </w:rPr>
        <w:t>intervenant le procureur général de l</w:t>
      </w:r>
      <w:r w:rsidR="00375A6D" w:rsidRPr="003D1C80">
        <w:rPr>
          <w:rStyle w:val="SCCCounselPartyRoleChar"/>
          <w:lang w:val="fr-CA"/>
        </w:rPr>
        <w:t>’</w:t>
      </w:r>
      <w:r w:rsidRPr="003D1C80">
        <w:rPr>
          <w:rStyle w:val="SCCCounselPartyRoleChar"/>
          <w:lang w:val="fr-CA"/>
        </w:rPr>
        <w:t>Ontario.</w:t>
      </w:r>
    </w:p>
    <w:p w:rsidR="00BF4088" w:rsidRPr="00BD3E6C" w:rsidRDefault="00BD3E6C" w:rsidP="00BF4088">
      <w:pPr>
        <w:pStyle w:val="JudgeJuge"/>
        <w:spacing w:before="480"/>
        <w:rPr>
          <w:smallCaps w:val="0"/>
          <w:lang w:val="fr-CA"/>
        </w:rPr>
      </w:pPr>
      <w:r w:rsidRPr="00BD3E6C">
        <w:rPr>
          <w:smallCaps w:val="0"/>
          <w:lang w:val="fr-CA"/>
        </w:rPr>
        <w:tab/>
        <w:t xml:space="preserve">Version française du jugement </w:t>
      </w:r>
      <w:r>
        <w:rPr>
          <w:smallCaps w:val="0"/>
          <w:lang w:val="fr-CA"/>
        </w:rPr>
        <w:t xml:space="preserve">de la juge en chef </w:t>
      </w:r>
      <w:proofErr w:type="spellStart"/>
      <w:r>
        <w:rPr>
          <w:smallCaps w:val="0"/>
          <w:lang w:val="fr-CA"/>
        </w:rPr>
        <w:t>McLachlin</w:t>
      </w:r>
      <w:proofErr w:type="spellEnd"/>
      <w:r>
        <w:rPr>
          <w:smallCaps w:val="0"/>
          <w:lang w:val="fr-CA"/>
        </w:rPr>
        <w:t xml:space="preserve"> et </w:t>
      </w:r>
      <w:r w:rsidRPr="00BD3E6C">
        <w:rPr>
          <w:smallCaps w:val="0"/>
          <w:lang w:val="fr-CA"/>
        </w:rPr>
        <w:t xml:space="preserve">des juges </w:t>
      </w:r>
      <w:r>
        <w:rPr>
          <w:smallCaps w:val="0"/>
          <w:lang w:val="fr-CA"/>
        </w:rPr>
        <w:t>LeBel, Fish et Abella</w:t>
      </w:r>
      <w:r w:rsidRPr="00BD3E6C">
        <w:rPr>
          <w:smallCaps w:val="0"/>
          <w:lang w:val="fr-CA"/>
        </w:rPr>
        <w:t xml:space="preserve"> rendu par</w:t>
      </w:r>
    </w:p>
    <w:p w:rsidR="00BF4088" w:rsidRPr="00367521" w:rsidRDefault="00BF4088" w:rsidP="00BF4088">
      <w:pPr>
        <w:pStyle w:val="JudgeJuge"/>
        <w:spacing w:before="480"/>
        <w:rPr>
          <w:lang w:val="fr-CA"/>
        </w:rPr>
      </w:pPr>
      <w:r w:rsidRPr="00BD3E6C">
        <w:rPr>
          <w:smallCaps w:val="0"/>
          <w:lang w:val="fr-CA"/>
        </w:rPr>
        <w:lastRenderedPageBreak/>
        <w:tab/>
      </w:r>
      <w:r w:rsidRPr="00367521">
        <w:rPr>
          <w:lang w:val="fr-CA"/>
        </w:rPr>
        <w:t xml:space="preserve">Le juge LeBel — </w:t>
      </w:r>
    </w:p>
    <w:p w:rsidR="00BF4088" w:rsidRPr="00367521" w:rsidRDefault="00BF4088" w:rsidP="00BF4088">
      <w:pPr>
        <w:pStyle w:val="TitleTitre-AltT"/>
        <w:rPr>
          <w:rFonts w:cs="Times New Roman"/>
          <w:lang w:val="fr-CA"/>
        </w:rPr>
      </w:pPr>
      <w:r w:rsidRPr="00367521">
        <w:rPr>
          <w:rFonts w:cs="Times New Roman"/>
          <w:lang w:val="fr-CA"/>
        </w:rPr>
        <w:t>I.</w:t>
      </w:r>
      <w:r w:rsidRPr="00367521">
        <w:rPr>
          <w:rFonts w:cs="Times New Roman"/>
          <w:lang w:val="fr-CA"/>
        </w:rPr>
        <w:tab/>
      </w:r>
      <w:r w:rsidRPr="00367521">
        <w:rPr>
          <w:rFonts w:cs="Times New Roman"/>
          <w:u w:val="single"/>
          <w:lang w:val="fr-CA"/>
        </w:rPr>
        <w:t>Introduction</w:t>
      </w:r>
    </w:p>
    <w:p w:rsidR="00BF4088" w:rsidRPr="00367521" w:rsidRDefault="00BF4088" w:rsidP="00BF4088">
      <w:pPr>
        <w:pStyle w:val="ParaNoNdepar-AltN"/>
        <w:rPr>
          <w:rFonts w:cs="Times New Roman"/>
          <w:lang w:val="fr-CA"/>
        </w:rPr>
      </w:pPr>
      <w:r w:rsidRPr="00367521">
        <w:rPr>
          <w:rFonts w:cs="Times New Roman"/>
          <w:lang w:val="fr-CA"/>
        </w:rPr>
        <w:t xml:space="preserve">Dans la présente affaire, il nous faut examiner l’étendue des pouvoirs en matière de fouille dont disposent les policiers dans leurs interactions quotidiennes avec des citoyens lorsqu’ils se présentent à leur porte.  En l’espèce, les policiers ont répondu à une plainte de bruit.  Sans s’y attendre, ils se sont trouvés dans une situation dangereuse mettant, selon eux, leur sécurité et celle d’autrui en péril.  Les accusations portées à la suite de cet incident nous donnent l’occasion d’examiner l’application de l’art. 8 de la </w:t>
      </w:r>
      <w:r w:rsidRPr="00367521">
        <w:rPr>
          <w:rFonts w:cs="Times New Roman"/>
          <w:i/>
          <w:lang w:val="fr-CA"/>
        </w:rPr>
        <w:t>Charte canadienne des droits et libertés</w:t>
      </w:r>
      <w:r w:rsidRPr="00367521">
        <w:rPr>
          <w:rFonts w:cs="Times New Roman"/>
          <w:lang w:val="fr-CA"/>
        </w:rPr>
        <w:t xml:space="preserve"> dans ce contexte,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requise pour une déclaration de culpabilité fondée sur le par. 95(1) du </w:t>
      </w:r>
      <w:r w:rsidRPr="00367521">
        <w:rPr>
          <w:rFonts w:cs="Times New Roman"/>
          <w:i/>
          <w:lang w:val="fr-CA"/>
        </w:rPr>
        <w:t>Code criminel</w:t>
      </w:r>
      <w:r w:rsidRPr="00367521">
        <w:rPr>
          <w:rFonts w:cs="Times New Roman"/>
          <w:lang w:val="fr-CA"/>
        </w:rPr>
        <w:t>, L.R.C. 1985, ch. C</w:t>
      </w:r>
      <w:r w:rsidRPr="00367521">
        <w:rPr>
          <w:rFonts w:cs="Times New Roman"/>
          <w:lang w:val="fr-CA"/>
        </w:rPr>
        <w:noBreakHyphen/>
        <w:t>46, ainsi que certaines questions accessoires liées à la détermination de la peine.</w:t>
      </w:r>
    </w:p>
    <w:p w:rsidR="00BF4088" w:rsidRPr="00367521" w:rsidRDefault="00BF4088" w:rsidP="00BF4088">
      <w:pPr>
        <w:pStyle w:val="TitleTitre-AltT"/>
        <w:keepNext/>
        <w:rPr>
          <w:rFonts w:cs="Times New Roman"/>
          <w:lang w:val="fr-CA"/>
        </w:rPr>
      </w:pPr>
      <w:r w:rsidRPr="00367521">
        <w:rPr>
          <w:rFonts w:cs="Times New Roman"/>
          <w:lang w:val="fr-CA"/>
        </w:rPr>
        <w:t>II.</w:t>
      </w:r>
      <w:r w:rsidRPr="00367521">
        <w:rPr>
          <w:rFonts w:cs="Times New Roman"/>
          <w:lang w:val="fr-CA"/>
        </w:rPr>
        <w:tab/>
      </w:r>
      <w:r w:rsidRPr="00367521">
        <w:rPr>
          <w:rFonts w:cs="Times New Roman"/>
          <w:u w:val="single"/>
          <w:lang w:val="fr-CA"/>
        </w:rPr>
        <w:t>Contexte factuel</w:t>
      </w:r>
    </w:p>
    <w:p w:rsidR="00BF4088" w:rsidRPr="00367521" w:rsidRDefault="00BF4088" w:rsidP="00BF4088">
      <w:pPr>
        <w:pStyle w:val="ParaNoNdepar-AltN"/>
        <w:rPr>
          <w:rFonts w:cs="Times New Roman"/>
          <w:lang w:val="fr-CA"/>
        </w:rPr>
      </w:pPr>
      <w:r w:rsidRPr="00367521">
        <w:rPr>
          <w:rFonts w:cs="Times New Roman"/>
          <w:lang w:val="fr-CA"/>
        </w:rPr>
        <w:t xml:space="preserve">En 2009, M. MacDonald travaillait dans l’industrie pétrolière et gazière.  Son travail l’amenait à partager son temps entre Calgary et Halifax.  Le soir du 28 décembre 2009, il recevait un collègue et l’amie de </w:t>
      </w:r>
      <w:proofErr w:type="spellStart"/>
      <w:r w:rsidRPr="00367521">
        <w:rPr>
          <w:rFonts w:cs="Times New Roman"/>
          <w:lang w:val="fr-CA"/>
        </w:rPr>
        <w:t>celui</w:t>
      </w:r>
      <w:r w:rsidRPr="00367521">
        <w:rPr>
          <w:rFonts w:cs="Times New Roman"/>
          <w:lang w:val="fr-CA"/>
        </w:rPr>
        <w:noBreakHyphen/>
        <w:t>ci</w:t>
      </w:r>
      <w:proofErr w:type="spellEnd"/>
      <w:r w:rsidRPr="00367521">
        <w:rPr>
          <w:rFonts w:cs="Times New Roman"/>
          <w:lang w:val="fr-CA"/>
        </w:rPr>
        <w:t xml:space="preserve"> à son condominium de Halifax (l’« unité »).  Ils ont consommé une certaine quantité d’alcool pendant la soirée, alors que M. MacDonald et son collègue — qui devait prendre le poste de M. MacDonald à Halifax — discutaient de leur travail.</w:t>
      </w:r>
    </w:p>
    <w:p w:rsidR="00BF4088" w:rsidRPr="00367521" w:rsidRDefault="00BF4088" w:rsidP="00BF4088">
      <w:pPr>
        <w:pStyle w:val="ParaNoNdepar-AltN"/>
        <w:rPr>
          <w:rFonts w:cs="Times New Roman"/>
          <w:lang w:val="fr-CA"/>
        </w:rPr>
      </w:pPr>
      <w:r w:rsidRPr="00367521">
        <w:rPr>
          <w:rFonts w:cs="Times New Roman"/>
          <w:lang w:val="fr-CA"/>
        </w:rPr>
        <w:lastRenderedPageBreak/>
        <w:t xml:space="preserve">Plus tard dans la soirée, le concierge de l’immeuble, M. Sears, a reçu une plainte de bruit causé par la force de la musique qui résonnait de l’unité de M. MacDonald.  Monsieur Sears s’est alors rendu chez ce dernier, a entendu cette musique et a frappé à la porte de l’unité.  Personne n’a répondu.  Alors que M. Sears s’apprêtait à partir, il a vu les invités de M. MacDonald sortir de l’unité et s’en aller.  À ce moment, M. Sears a demandé à ce dernier de baisser le son de la musique.  </w:t>
      </w:r>
      <w:proofErr w:type="spellStart"/>
      <w:r w:rsidRPr="00367521">
        <w:rPr>
          <w:rFonts w:cs="Times New Roman"/>
          <w:lang w:val="fr-CA"/>
        </w:rPr>
        <w:t>Celui</w:t>
      </w:r>
      <w:r w:rsidRPr="00367521">
        <w:rPr>
          <w:rFonts w:cs="Times New Roman"/>
          <w:lang w:val="fr-CA"/>
        </w:rPr>
        <w:noBreakHyphen/>
        <w:t>ci</w:t>
      </w:r>
      <w:proofErr w:type="spellEnd"/>
      <w:r w:rsidRPr="00367521">
        <w:rPr>
          <w:rFonts w:cs="Times New Roman"/>
          <w:lang w:val="fr-CA"/>
        </w:rPr>
        <w:t xml:space="preserve"> a refusé en l’injuriant.</w:t>
      </w:r>
    </w:p>
    <w:p w:rsidR="00BF4088" w:rsidRPr="00367521" w:rsidRDefault="00BF4088" w:rsidP="00BF4088">
      <w:pPr>
        <w:pStyle w:val="ParaNoNdepar-AltN"/>
        <w:rPr>
          <w:rFonts w:cs="Times New Roman"/>
          <w:lang w:val="fr-CA"/>
        </w:rPr>
      </w:pPr>
      <w:r w:rsidRPr="00367521">
        <w:rPr>
          <w:rFonts w:cs="Times New Roman"/>
          <w:lang w:val="fr-CA"/>
        </w:rPr>
        <w:t xml:space="preserve">Monsieur Sears a communiqué avec la police régionale de Halifax et lui a demandé de s’occuper du problème de bruit.  L’agente Pierce s’est donc présentée à l’immeuble et, accompagnée de M. Sears, s’est rendue à l’unité de M. MacDonald.  Elle a frappé à sa porte et lui a demandé de baisser le son ou d’arrêter sa musique.  </w:t>
      </w:r>
      <w:proofErr w:type="spellStart"/>
      <w:r w:rsidRPr="00367521">
        <w:rPr>
          <w:rFonts w:cs="Times New Roman"/>
          <w:lang w:val="fr-CA"/>
        </w:rPr>
        <w:t>Celui</w:t>
      </w:r>
      <w:r w:rsidRPr="00367521">
        <w:rPr>
          <w:rFonts w:cs="Times New Roman"/>
          <w:lang w:val="fr-CA"/>
        </w:rPr>
        <w:noBreakHyphen/>
        <w:t>ci</w:t>
      </w:r>
      <w:proofErr w:type="spellEnd"/>
      <w:r w:rsidRPr="00367521">
        <w:rPr>
          <w:rFonts w:cs="Times New Roman"/>
          <w:lang w:val="fr-CA"/>
        </w:rPr>
        <w:t xml:space="preserve"> l’a injuriée en claquant la porte.</w:t>
      </w:r>
    </w:p>
    <w:p w:rsidR="00BF4088" w:rsidRPr="00367521" w:rsidRDefault="00BF4088" w:rsidP="00BF4088">
      <w:pPr>
        <w:pStyle w:val="ParaNoNdepar-AltN"/>
        <w:rPr>
          <w:rFonts w:cs="Times New Roman"/>
          <w:lang w:val="fr-CA"/>
        </w:rPr>
      </w:pPr>
      <w:r w:rsidRPr="00367521">
        <w:rPr>
          <w:rFonts w:cs="Times New Roman"/>
          <w:lang w:val="fr-CA"/>
        </w:rPr>
        <w:t>L’agente Pierce a appelé son superviseur, le sergent</w:t>
      </w:r>
      <w:r w:rsidR="00171D45">
        <w:rPr>
          <w:rFonts w:cs="Times New Roman"/>
          <w:lang w:val="fr-CA"/>
        </w:rPr>
        <w:t xml:space="preserve"> Boyd, qui est arrivé environ 30</w:t>
      </w:r>
      <w:r w:rsidRPr="00367521">
        <w:rPr>
          <w:rFonts w:cs="Times New Roman"/>
          <w:lang w:val="fr-CA"/>
        </w:rPr>
        <w:t xml:space="preserve"> minutes plus tard.  Le sergent Boyd, l’agente Pierce et M. Sears se sont rendus à l’unité de M. MacDonald.  Pour l’amener à ouvrir, le sergent Boyd a frappé à la porte et y a donné un coup de pied, tout en annonçant d’une voix forte que la police régionale de Halifax était à la porte.</w:t>
      </w:r>
    </w:p>
    <w:p w:rsidR="00BF4088" w:rsidRPr="00367521" w:rsidRDefault="00BF4088" w:rsidP="00BF4088">
      <w:pPr>
        <w:pStyle w:val="ParaNoNdepar-AltN"/>
        <w:rPr>
          <w:rFonts w:cs="Times New Roman"/>
          <w:lang w:val="fr-CA"/>
        </w:rPr>
      </w:pPr>
      <w:r w:rsidRPr="00367521">
        <w:rPr>
          <w:rFonts w:cs="Times New Roman"/>
          <w:lang w:val="fr-CA"/>
        </w:rPr>
        <w:t>Environ cinq minutes plus tard, M. MacDonald a ouvert la porte, mais seulement d’environ 16 pouces — assez pour montrer le côté droit de son corps et de son visage.  Le sergent Boyd a remarqué quelque chose de [</w:t>
      </w:r>
      <w:r w:rsidRPr="00367521">
        <w:rPr>
          <w:rFonts w:cs="Times New Roman"/>
          <w:smallCaps/>
          <w:lang w:val="fr-CA"/>
        </w:rPr>
        <w:t>traduction</w:t>
      </w:r>
      <w:r w:rsidRPr="00367521">
        <w:rPr>
          <w:rFonts w:cs="Times New Roman"/>
          <w:lang w:val="fr-CA"/>
        </w:rPr>
        <w:t>]</w:t>
      </w:r>
      <w:r w:rsidR="00BD3E6C">
        <w:rPr>
          <w:rFonts w:cs="Times New Roman"/>
          <w:lang w:val="fr-CA"/>
        </w:rPr>
        <w:t xml:space="preserve"> </w:t>
      </w:r>
      <w:r w:rsidRPr="00367521">
        <w:rPr>
          <w:rFonts w:cs="Times New Roman"/>
          <w:lang w:val="fr-CA"/>
        </w:rPr>
        <w:t xml:space="preserve">« noir et brillant » dans la main droite de M. MacDonald, dans la pénombre et dissimulé en </w:t>
      </w:r>
      <w:r w:rsidRPr="00367521">
        <w:rPr>
          <w:rFonts w:cs="Times New Roman"/>
          <w:lang w:val="fr-CA"/>
        </w:rPr>
        <w:lastRenderedPageBreak/>
        <w:t>partie derrière sa jambe droite (</w:t>
      </w:r>
      <w:proofErr w:type="gramStart"/>
      <w:r w:rsidRPr="00367521">
        <w:rPr>
          <w:rFonts w:cs="Times New Roman"/>
          <w:lang w:val="fr-CA"/>
        </w:rPr>
        <w:t>d.a.,</w:t>
      </w:r>
      <w:proofErr w:type="gramEnd"/>
      <w:r w:rsidRPr="00367521">
        <w:rPr>
          <w:rFonts w:cs="Times New Roman"/>
          <w:lang w:val="fr-CA"/>
        </w:rPr>
        <w:t xml:space="preserve"> p. 167).  Croyant qu’il puisse s’agir d’un couteau, il a demandé à deux reprises à M. MacDonald ce qui se trouvait derrière sa jambe, en indiquant sa main droite.  Ce dernier n’a pas répondu. </w:t>
      </w:r>
    </w:p>
    <w:p w:rsidR="00BF4088" w:rsidRPr="00367521" w:rsidRDefault="00BF4088" w:rsidP="00BF4088">
      <w:pPr>
        <w:pStyle w:val="ParaNoNdepar-AltN"/>
        <w:rPr>
          <w:rFonts w:cs="Times New Roman"/>
          <w:lang w:val="fr-CA"/>
        </w:rPr>
      </w:pPr>
      <w:r w:rsidRPr="00367521">
        <w:rPr>
          <w:rFonts w:cs="Times New Roman"/>
          <w:lang w:val="fr-CA"/>
        </w:rPr>
        <w:t>Afin de mieux voir l’objet qui se trouvait dans la main de M. MacDonald, le sergent Boyd a poussé la porte pour l’ouvrir de quelques pouces de plus.  Un meilleur éclairage lui a permis de constater qu’il s’agissait d’une arme de poing.  Il a crié [</w:t>
      </w:r>
      <w:r w:rsidRPr="00367521">
        <w:rPr>
          <w:rFonts w:cs="Times New Roman"/>
          <w:smallCaps/>
          <w:lang w:val="fr-CA"/>
        </w:rPr>
        <w:t>traduction</w:t>
      </w:r>
      <w:r w:rsidRPr="00367521">
        <w:rPr>
          <w:rFonts w:cs="Times New Roman"/>
          <w:lang w:val="fr-CA"/>
        </w:rPr>
        <w:t>]</w:t>
      </w:r>
      <w:r w:rsidR="00BD3E6C">
        <w:rPr>
          <w:rFonts w:cs="Times New Roman"/>
          <w:lang w:val="fr-CA"/>
        </w:rPr>
        <w:t xml:space="preserve"> </w:t>
      </w:r>
      <w:r w:rsidRPr="00367521">
        <w:rPr>
          <w:rFonts w:cs="Times New Roman"/>
          <w:lang w:val="fr-CA"/>
        </w:rPr>
        <w:t>« arme! » et est rapidement entré de force dans l’unité de M. MacDonald.  Il est parvenu à le désarmer</w:t>
      </w:r>
      <w:r>
        <w:rPr>
          <w:rFonts w:cs="Times New Roman"/>
          <w:lang w:val="fr-CA"/>
        </w:rPr>
        <w:t xml:space="preserve"> </w:t>
      </w:r>
      <w:r w:rsidRPr="00367521">
        <w:rPr>
          <w:rFonts w:cs="Times New Roman"/>
          <w:lang w:val="fr-CA"/>
        </w:rPr>
        <w:t>après un bref corps à corps.</w:t>
      </w:r>
    </w:p>
    <w:p w:rsidR="00BF4088" w:rsidRPr="00367521" w:rsidRDefault="00BF4088" w:rsidP="00BF4088">
      <w:pPr>
        <w:pStyle w:val="ParaNoNdepar-AltN"/>
        <w:rPr>
          <w:rFonts w:cs="Times New Roman"/>
          <w:lang w:val="fr-CA"/>
        </w:rPr>
      </w:pPr>
      <w:r w:rsidRPr="00367521">
        <w:rPr>
          <w:rFonts w:cs="Times New Roman"/>
          <w:lang w:val="fr-CA"/>
        </w:rPr>
        <w:t>La suite de l’enquête a révélé que l’arme à feu que tenait M. MacDonald lorsqu’il a ouvert la porte était un pistolet Beretta de calibre 9 mm — une arme à autorisation restreinte — enregistrée à son nom.  L’arme était chargée.</w:t>
      </w:r>
    </w:p>
    <w:p w:rsidR="00BF4088" w:rsidRPr="00367521" w:rsidRDefault="00BF4088" w:rsidP="00BF4088">
      <w:pPr>
        <w:pStyle w:val="ParaNoNdepar-AltN"/>
        <w:rPr>
          <w:rFonts w:cs="Times New Roman"/>
          <w:lang w:val="fr-CA"/>
        </w:rPr>
      </w:pPr>
      <w:r w:rsidRPr="00367521">
        <w:rPr>
          <w:rFonts w:cs="Times New Roman"/>
          <w:lang w:val="fr-CA"/>
        </w:rPr>
        <w:t>M</w:t>
      </w:r>
      <w:r w:rsidR="00BD3E6C">
        <w:rPr>
          <w:rFonts w:cs="Times New Roman"/>
          <w:lang w:val="fr-CA"/>
        </w:rPr>
        <w:t xml:space="preserve">onsieur </w:t>
      </w:r>
      <w:r w:rsidRPr="00367521">
        <w:rPr>
          <w:rFonts w:cs="Times New Roman"/>
          <w:lang w:val="fr-CA"/>
        </w:rPr>
        <w:t xml:space="preserve">MacDonald a été accusé de nombreuses infractions, dont trois sont pertinentes dans le cadre du présent pourvoi : avoir manipulé une arme à feu d’une manière négligente ou sans prendre suffisamment de précautions pour la sécurité d’autrui, contrairement au par. 86(1) du </w:t>
      </w:r>
      <w:r w:rsidRPr="00367521">
        <w:rPr>
          <w:rFonts w:cs="Times New Roman"/>
          <w:i/>
          <w:lang w:val="fr-CA"/>
        </w:rPr>
        <w:t>Code</w:t>
      </w:r>
      <w:r w:rsidRPr="00367521">
        <w:rPr>
          <w:rFonts w:cs="Times New Roman"/>
          <w:lang w:val="fr-CA"/>
        </w:rPr>
        <w:t>; avoir eu illégalement en sa possession une arme dans un dessein dangereux pour la paix publique, contrairement au par. 88(1); et avoir eu en sa possession une arme à feu à autorisation restreinte chargée, sans être titulaire d’une autorisation ou d’un permis qui l’y autorisait dans ce lieu, contrairement au par. 95(1).</w:t>
      </w:r>
    </w:p>
    <w:p w:rsidR="00BF4088" w:rsidRPr="00367521" w:rsidRDefault="00BF4088" w:rsidP="00BF4088">
      <w:pPr>
        <w:pStyle w:val="TitleTitre-AltT"/>
        <w:keepNext/>
        <w:rPr>
          <w:rFonts w:cs="Times New Roman"/>
          <w:lang w:val="fr-CA"/>
        </w:rPr>
      </w:pPr>
      <w:r w:rsidRPr="00367521">
        <w:rPr>
          <w:rFonts w:cs="Times New Roman"/>
          <w:lang w:val="fr-CA"/>
        </w:rPr>
        <w:lastRenderedPageBreak/>
        <w:t>III.</w:t>
      </w:r>
      <w:r w:rsidRPr="00367521">
        <w:rPr>
          <w:rFonts w:cs="Times New Roman"/>
          <w:lang w:val="fr-CA"/>
        </w:rPr>
        <w:tab/>
      </w:r>
      <w:r w:rsidRPr="00367521">
        <w:rPr>
          <w:rFonts w:cs="Times New Roman"/>
          <w:u w:val="single"/>
          <w:lang w:val="fr-CA"/>
        </w:rPr>
        <w:t xml:space="preserve">Historique judiciaire </w:t>
      </w:r>
    </w:p>
    <w:p w:rsidR="00BF4088" w:rsidRPr="00367521" w:rsidRDefault="00BF4088" w:rsidP="00BF4088">
      <w:pPr>
        <w:pStyle w:val="TitleTitre-AltT"/>
        <w:keepNext/>
        <w:numPr>
          <w:ilvl w:val="0"/>
          <w:numId w:val="7"/>
        </w:numPr>
        <w:tabs>
          <w:tab w:val="clear" w:pos="360"/>
          <w:tab w:val="left" w:pos="0"/>
        </w:tabs>
        <w:ind w:left="360"/>
        <w:rPr>
          <w:rFonts w:cs="Times New Roman"/>
          <w:lang w:val="fr-CA"/>
        </w:rPr>
      </w:pPr>
      <w:r w:rsidRPr="00367521">
        <w:rPr>
          <w:rFonts w:cs="Times New Roman"/>
          <w:i/>
          <w:lang w:val="fr-CA"/>
        </w:rPr>
        <w:t xml:space="preserve">Cour provinciale de la </w:t>
      </w:r>
      <w:proofErr w:type="spellStart"/>
      <w:r w:rsidRPr="00367521">
        <w:rPr>
          <w:rFonts w:cs="Times New Roman"/>
          <w:i/>
          <w:lang w:val="fr-CA"/>
        </w:rPr>
        <w:t>Nouvelle</w:t>
      </w:r>
      <w:r w:rsidRPr="00367521">
        <w:rPr>
          <w:rFonts w:cs="Times New Roman"/>
          <w:i/>
          <w:lang w:val="fr-CA"/>
        </w:rPr>
        <w:noBreakHyphen/>
        <w:t>Écosse</w:t>
      </w:r>
      <w:proofErr w:type="spellEnd"/>
      <w:r w:rsidRPr="00367521">
        <w:rPr>
          <w:rFonts w:cs="Times New Roman"/>
          <w:i/>
          <w:lang w:val="fr-CA"/>
        </w:rPr>
        <w:t xml:space="preserve"> </w:t>
      </w:r>
    </w:p>
    <w:p w:rsidR="00BF4088" w:rsidRPr="00367521" w:rsidRDefault="00BF4088" w:rsidP="00BF4088">
      <w:pPr>
        <w:pStyle w:val="ParaNoNdepar-AltN"/>
        <w:rPr>
          <w:rFonts w:cs="Times New Roman"/>
          <w:lang w:val="fr-CA"/>
        </w:rPr>
      </w:pPr>
      <w:r w:rsidRPr="00367521">
        <w:rPr>
          <w:rFonts w:cs="Times New Roman"/>
          <w:lang w:val="fr-CA"/>
        </w:rPr>
        <w:t xml:space="preserve">Au procès, le juge a tenu un </w:t>
      </w:r>
      <w:proofErr w:type="spellStart"/>
      <w:r w:rsidRPr="00367521">
        <w:rPr>
          <w:rFonts w:cs="Times New Roman"/>
          <w:lang w:val="fr-CA"/>
        </w:rPr>
        <w:t>voir</w:t>
      </w:r>
      <w:r w:rsidRPr="00367521">
        <w:rPr>
          <w:rFonts w:cs="Times New Roman"/>
          <w:lang w:val="fr-CA"/>
        </w:rPr>
        <w:noBreakHyphen/>
        <w:t>dire</w:t>
      </w:r>
      <w:proofErr w:type="spellEnd"/>
      <w:r w:rsidRPr="00367521">
        <w:rPr>
          <w:rFonts w:cs="Times New Roman"/>
          <w:lang w:val="fr-CA"/>
        </w:rPr>
        <w:t xml:space="preserve"> pour déterminer si le droit de M. MacDonald à la protection contre une fouille abusive garanti par l’art. 8 de la </w:t>
      </w:r>
      <w:r w:rsidRPr="00367521">
        <w:rPr>
          <w:rFonts w:cs="Times New Roman"/>
          <w:i/>
          <w:lang w:val="fr-CA"/>
        </w:rPr>
        <w:t>Charte</w:t>
      </w:r>
      <w:r w:rsidRPr="00367521">
        <w:rPr>
          <w:rFonts w:cs="Times New Roman"/>
          <w:lang w:val="fr-CA"/>
        </w:rPr>
        <w:t xml:space="preserve"> avait été violé lorsque le sergent Boyd avait poussé la porte de l’unité pour l’ouvrir quelques pouces de plus afin de vérifier ce que M. MacDonald tenait dans sa main.  Le juge </w:t>
      </w:r>
      <w:proofErr w:type="spellStart"/>
      <w:r w:rsidRPr="00367521">
        <w:rPr>
          <w:rFonts w:cs="Times New Roman"/>
          <w:lang w:val="fr-CA"/>
        </w:rPr>
        <w:t>Digby</w:t>
      </w:r>
      <w:proofErr w:type="spellEnd"/>
      <w:r w:rsidRPr="00367521">
        <w:rPr>
          <w:rFonts w:cs="Times New Roman"/>
          <w:lang w:val="fr-CA"/>
        </w:rPr>
        <w:t xml:space="preserve"> a conclu à l’existence d’une exception permettant à un policier d’entrer dans une résidence pour assurer sa sécurité, en particulier si, comme en l’espèce, l’intrusion est mineure.  Selon lui, [</w:t>
      </w:r>
      <w:r w:rsidRPr="00367521">
        <w:rPr>
          <w:rFonts w:cs="Times New Roman"/>
          <w:smallCaps/>
          <w:lang w:val="fr-CA"/>
        </w:rPr>
        <w:t>traduction</w:t>
      </w:r>
      <w:r w:rsidRPr="00367521">
        <w:rPr>
          <w:rFonts w:cs="Times New Roman"/>
          <w:lang w:val="fr-CA"/>
        </w:rPr>
        <w:t xml:space="preserve">] « il n’y a pas eu violation de la </w:t>
      </w:r>
      <w:r w:rsidRPr="00367521">
        <w:rPr>
          <w:rFonts w:cs="Times New Roman"/>
          <w:i/>
          <w:lang w:val="fr-CA"/>
        </w:rPr>
        <w:t>Charte</w:t>
      </w:r>
      <w:r w:rsidRPr="00367521">
        <w:rPr>
          <w:rFonts w:cs="Times New Roman"/>
          <w:lang w:val="fr-CA"/>
        </w:rPr>
        <w:t xml:space="preserve"> et il incombe à l’accusé de prouver selon la prépondérance des probabilités qu’une telle violation a été commise » (</w:t>
      </w:r>
      <w:proofErr w:type="gramStart"/>
      <w:r w:rsidRPr="00367521">
        <w:rPr>
          <w:rFonts w:cs="Times New Roman"/>
          <w:lang w:val="fr-CA"/>
        </w:rPr>
        <w:t>d.a.,</w:t>
      </w:r>
      <w:proofErr w:type="gramEnd"/>
      <w:r w:rsidRPr="00367521">
        <w:rPr>
          <w:rFonts w:cs="Times New Roman"/>
          <w:lang w:val="fr-CA"/>
        </w:rPr>
        <w:t xml:space="preserve"> p. 250).</w:t>
      </w:r>
    </w:p>
    <w:p w:rsidR="00BF4088" w:rsidRPr="00367521" w:rsidRDefault="00BF4088" w:rsidP="00BF4088">
      <w:pPr>
        <w:pStyle w:val="ParaNoNdepar-AltN"/>
        <w:rPr>
          <w:rFonts w:cs="Times New Roman"/>
          <w:lang w:val="fr-CA"/>
        </w:rPr>
      </w:pPr>
      <w:r w:rsidRPr="00367521">
        <w:rPr>
          <w:rFonts w:cs="Times New Roman"/>
          <w:lang w:val="fr-CA"/>
        </w:rPr>
        <w:t xml:space="preserve">Après avoir évalué l’ensemble des circonstances, le juge </w:t>
      </w:r>
      <w:proofErr w:type="spellStart"/>
      <w:r w:rsidRPr="00367521">
        <w:rPr>
          <w:rFonts w:cs="Times New Roman"/>
          <w:lang w:val="fr-CA"/>
        </w:rPr>
        <w:t>Digby</w:t>
      </w:r>
      <w:proofErr w:type="spellEnd"/>
      <w:r w:rsidRPr="00367521">
        <w:rPr>
          <w:rFonts w:cs="Times New Roman"/>
          <w:lang w:val="fr-CA"/>
        </w:rPr>
        <w:t xml:space="preserve"> a déclaré M. MacDonald coupable des infractions prévues aux par. 86(1) et 88(1).  Le comportement de ce dernier aurait pu causer des blessures à autrui et était disproportionné par rapport à une menace, réelle ou raisonnablement perçue, dont il pouvait faire l’objet.  Avant d’ouvrir, M. MacDonald savait que des policiers ou des personnes prétendant l’être se trouvaient à sa porte.  Il savait aussi que, si ces personnes appartenaient effectivement à la police, elles réagiraient à la vue d’une arme de poing, ce qui mettrait sa sécurité, celle des policiers et celle du public en péril.</w:t>
      </w:r>
    </w:p>
    <w:p w:rsidR="00BF4088" w:rsidRPr="00367521" w:rsidRDefault="00BF4088" w:rsidP="00BF4088">
      <w:pPr>
        <w:pStyle w:val="ParaNoNdepar-AltN"/>
        <w:rPr>
          <w:rFonts w:cs="Times New Roman"/>
          <w:lang w:val="fr-CA"/>
        </w:rPr>
      </w:pPr>
      <w:r w:rsidRPr="00367521">
        <w:rPr>
          <w:rFonts w:cs="Times New Roman"/>
          <w:lang w:val="fr-CA"/>
        </w:rPr>
        <w:lastRenderedPageBreak/>
        <w:t xml:space="preserve">Le juge </w:t>
      </w:r>
      <w:proofErr w:type="spellStart"/>
      <w:r w:rsidRPr="00367521">
        <w:rPr>
          <w:rFonts w:cs="Times New Roman"/>
          <w:lang w:val="fr-CA"/>
        </w:rPr>
        <w:t>Digby</w:t>
      </w:r>
      <w:proofErr w:type="spellEnd"/>
      <w:r w:rsidRPr="00367521">
        <w:rPr>
          <w:rFonts w:cs="Times New Roman"/>
          <w:lang w:val="fr-CA"/>
        </w:rPr>
        <w:t xml:space="preserve"> a aussi déclaré M. MacDonald coupable de l’infraction prévue au par. 95(1).  Ce faisant, il a souligné que ce dernier et le ministère public s’entendaient sur les faits suivants :  </w:t>
      </w:r>
    </w:p>
    <w:p w:rsidR="00BF4088" w:rsidRPr="00367521" w:rsidRDefault="00BF4088" w:rsidP="00BF4088">
      <w:pPr>
        <w:pStyle w:val="Citation-AltC"/>
        <w:spacing w:after="240"/>
        <w:ind w:hanging="1166"/>
        <w:contextualSpacing w:val="0"/>
        <w:rPr>
          <w:lang w:val="fr-CA"/>
        </w:rPr>
      </w:pPr>
      <w:r w:rsidRPr="00367521">
        <w:rPr>
          <w:lang w:val="fr-CA"/>
        </w:rPr>
        <w:tab/>
        <w:t>[</w:t>
      </w:r>
      <w:r w:rsidRPr="00367521">
        <w:rPr>
          <w:smallCaps/>
          <w:lang w:val="fr-CA"/>
        </w:rPr>
        <w:t>traduction</w:t>
      </w:r>
      <w:proofErr w:type="gramStart"/>
      <w:r w:rsidRPr="00367521">
        <w:rPr>
          <w:lang w:val="fr-CA"/>
        </w:rPr>
        <w:t>]  .</w:t>
      </w:r>
      <w:proofErr w:type="gramEnd"/>
      <w:r w:rsidRPr="00367521">
        <w:rPr>
          <w:lang w:val="fr-CA"/>
        </w:rPr>
        <w:t xml:space="preserve"> . . il est admis que M. MacDonald détenait un permis de possession et d’acquisition, que le pistolet Beretta était dûment enregistré au nom de M. MacDonald et que ce dernier avait le droit de l’avoir en sa possession dans sa résidence.  Le pistolet en question était enregistré auprès du Centre canadien des armes à feu ou d’un autre endroit approuvé pour l’entreposage par le contrôleur des armes à feu.  </w:t>
      </w:r>
    </w:p>
    <w:p w:rsidR="00BF4088" w:rsidRPr="00367521" w:rsidRDefault="00BF4088" w:rsidP="00BF4088">
      <w:pPr>
        <w:pStyle w:val="Citation-AltC"/>
        <w:spacing w:after="240"/>
        <w:contextualSpacing w:val="0"/>
        <w:jc w:val="center"/>
        <w:rPr>
          <w:lang w:val="fr-CA"/>
        </w:rPr>
      </w:pPr>
      <w:r w:rsidRPr="00367521">
        <w:rPr>
          <w:lang w:val="fr-CA"/>
        </w:rPr>
        <w:t>. . .</w:t>
      </w:r>
    </w:p>
    <w:p w:rsidR="00BF4088" w:rsidRPr="00367521" w:rsidRDefault="00BF4088" w:rsidP="00BF4088">
      <w:pPr>
        <w:pStyle w:val="Citation-AltC"/>
        <w:tabs>
          <w:tab w:val="left" w:pos="1560"/>
        </w:tabs>
        <w:ind w:hanging="1166"/>
        <w:rPr>
          <w:lang w:val="fr-CA"/>
        </w:rPr>
      </w:pPr>
      <w:r w:rsidRPr="00367521">
        <w:rPr>
          <w:lang w:val="fr-CA"/>
        </w:rPr>
        <w:tab/>
      </w:r>
      <w:r w:rsidRPr="00367521">
        <w:rPr>
          <w:lang w:val="fr-CA"/>
        </w:rPr>
        <w:tab/>
        <w:t xml:space="preserve">Il est admis qu’il [M. MacDonald] possédait une arme à feu à autorisation restreinte chargée dans sa résidence de </w:t>
      </w:r>
      <w:proofErr w:type="spellStart"/>
      <w:r w:rsidRPr="00367521">
        <w:rPr>
          <w:lang w:val="fr-CA"/>
        </w:rPr>
        <w:t>Bishop’s</w:t>
      </w:r>
      <w:proofErr w:type="spellEnd"/>
      <w:r w:rsidRPr="00367521">
        <w:rPr>
          <w:lang w:val="fr-CA"/>
        </w:rPr>
        <w:t xml:space="preserve"> Landing.  [. . .] Il possédait, et a présenté en preuve, des documents de la Nova </w:t>
      </w:r>
      <w:proofErr w:type="spellStart"/>
      <w:r w:rsidRPr="00367521">
        <w:rPr>
          <w:lang w:val="fr-CA"/>
        </w:rPr>
        <w:t>Scotia</w:t>
      </w:r>
      <w:proofErr w:type="spellEnd"/>
      <w:r w:rsidRPr="00367521">
        <w:rPr>
          <w:lang w:val="fr-CA"/>
        </w:rPr>
        <w:t xml:space="preserve"> Rifle Association indiquant qu’il était membre de cette association et qu’il pouvait utiliser ses installations.  Il est à mon avis admis, et il a certainement été tenu pour avéré, que la Nova </w:t>
      </w:r>
      <w:proofErr w:type="spellStart"/>
      <w:r w:rsidRPr="00367521">
        <w:rPr>
          <w:lang w:val="fr-CA"/>
        </w:rPr>
        <w:t>Scotia</w:t>
      </w:r>
      <w:proofErr w:type="spellEnd"/>
      <w:r w:rsidRPr="00367521">
        <w:rPr>
          <w:lang w:val="fr-CA"/>
        </w:rPr>
        <w:t xml:space="preserve"> Rifle Association est une organisation visée par l’al. 19(1)</w:t>
      </w:r>
      <w:r w:rsidRPr="00367521">
        <w:rPr>
          <w:i/>
          <w:lang w:val="fr-CA"/>
        </w:rPr>
        <w:t>a</w:t>
      </w:r>
      <w:r w:rsidRPr="00367521">
        <w:rPr>
          <w:lang w:val="fr-CA"/>
        </w:rPr>
        <w:t xml:space="preserve">) de la </w:t>
      </w:r>
      <w:r w:rsidRPr="00367521">
        <w:rPr>
          <w:i/>
          <w:lang w:val="fr-CA"/>
        </w:rPr>
        <w:t>Loi sur les armes à feu</w:t>
      </w:r>
      <w:r w:rsidRPr="00367521">
        <w:rPr>
          <w:lang w:val="fr-CA"/>
        </w:rPr>
        <w:t>.  [</w:t>
      </w:r>
      <w:proofErr w:type="gramStart"/>
      <w:r w:rsidRPr="00367521">
        <w:rPr>
          <w:lang w:val="fr-CA"/>
        </w:rPr>
        <w:t>d.a.,</w:t>
      </w:r>
      <w:proofErr w:type="gramEnd"/>
      <w:r w:rsidRPr="00367521">
        <w:rPr>
          <w:lang w:val="fr-CA"/>
        </w:rPr>
        <w:t xml:space="preserve"> p. 19 et 21]</w:t>
      </w:r>
    </w:p>
    <w:p w:rsidR="00BF4088" w:rsidRPr="00367521" w:rsidRDefault="00AC7FE3" w:rsidP="00BF4088">
      <w:pPr>
        <w:pStyle w:val="ParaNoNdepar-AltN"/>
        <w:rPr>
          <w:rFonts w:cs="Times New Roman"/>
          <w:lang w:val="fr-CA"/>
        </w:rPr>
      </w:pPr>
      <w:r>
        <w:rPr>
          <w:rFonts w:cs="Times New Roman"/>
          <w:lang w:val="fr-CA"/>
        </w:rPr>
        <w:t>Monsieur</w:t>
      </w:r>
      <w:r w:rsidR="00BF4088" w:rsidRPr="00367521">
        <w:rPr>
          <w:rFonts w:cs="Times New Roman"/>
          <w:lang w:val="fr-CA"/>
        </w:rPr>
        <w:t> MacDonald était autorisé à transporter l’arme à feu, mais le savant juge du procès a conclu que cette autorisation lui permettait seulement de transporter l’arme de sa résidence de Calgary aux champs de tir et aux postes frontaliers de l’Alberta.  Il n’avait donc pas le dr</w:t>
      </w:r>
      <w:r>
        <w:rPr>
          <w:rFonts w:cs="Times New Roman"/>
          <w:lang w:val="fr-CA"/>
        </w:rPr>
        <w:t>oit de l’apporter à Halifax.  Monsieur</w:t>
      </w:r>
      <w:r w:rsidR="00BF4088" w:rsidRPr="00367521">
        <w:rPr>
          <w:rFonts w:cs="Times New Roman"/>
          <w:lang w:val="fr-CA"/>
        </w:rPr>
        <w:t xml:space="preserve"> MacDonald a été déclaré coupable de l’infraction prévue au par. 95(1) parce qu’il avait l’arme à feu en sa possession dans l’unité sans être titulaire d’un permis l’autorisant à posséder cette arme dans ce lieu. </w:t>
      </w:r>
    </w:p>
    <w:p w:rsidR="00BF4088" w:rsidRPr="00367521" w:rsidRDefault="00BF4088" w:rsidP="00BF4088">
      <w:pPr>
        <w:pStyle w:val="ParaNoNdepar-AltN"/>
        <w:rPr>
          <w:rFonts w:cs="Times New Roman"/>
          <w:lang w:val="fr-CA"/>
        </w:rPr>
      </w:pPr>
      <w:r w:rsidRPr="00367521">
        <w:rPr>
          <w:rFonts w:cs="Times New Roman"/>
          <w:lang w:val="fr-CA"/>
        </w:rPr>
        <w:t xml:space="preserve">Le juge </w:t>
      </w:r>
      <w:proofErr w:type="spellStart"/>
      <w:r w:rsidRPr="00367521">
        <w:rPr>
          <w:rFonts w:cs="Times New Roman"/>
          <w:lang w:val="fr-CA"/>
        </w:rPr>
        <w:t>Digby</w:t>
      </w:r>
      <w:proofErr w:type="spellEnd"/>
      <w:r w:rsidRPr="00367521">
        <w:rPr>
          <w:rFonts w:cs="Times New Roman"/>
          <w:lang w:val="fr-CA"/>
        </w:rPr>
        <w:t xml:space="preserve"> a condamné M. MacDonald à trois ans d’emprisonnement.  Il a estimé qu’il convenait d’infliger une peine d’emprisonnement de deux ans dans </w:t>
      </w:r>
      <w:r w:rsidRPr="00367521">
        <w:rPr>
          <w:rFonts w:cs="Times New Roman"/>
          <w:lang w:val="fr-CA"/>
        </w:rPr>
        <w:lastRenderedPageBreak/>
        <w:t xml:space="preserve">un pénitencier fédéral pour l’infraction prévue au par. 86(1).  Pour celle prévue au par. 88(1), il y avait lieu d’infliger une peine d’emprisonnement de trois ans dans un pénitencier fédéral, concurrente à la première peine.  Quant à l’infraction prévue au par. 95(1), il a jugé appropriée la peine minimale de trois ans d’emprisonnement dans un pénitencier fédéral, et il a ordonné qu’elle soit purgée concurremment avec les deux autres peines.  Le juge </w:t>
      </w:r>
      <w:proofErr w:type="spellStart"/>
      <w:r w:rsidRPr="00367521">
        <w:rPr>
          <w:rFonts w:cs="Times New Roman"/>
          <w:lang w:val="fr-CA"/>
        </w:rPr>
        <w:t>Digby</w:t>
      </w:r>
      <w:proofErr w:type="spellEnd"/>
      <w:r w:rsidRPr="00367521">
        <w:rPr>
          <w:rFonts w:cs="Times New Roman"/>
          <w:lang w:val="fr-CA"/>
        </w:rPr>
        <w:t xml:space="preserve"> a rejeté l’argument de M. MacDonald selon lequel la peine minimale de trois ans d’emprisonnement violait le droit à la protection contre tou</w:t>
      </w:r>
      <w:r w:rsidR="00BD3E6C">
        <w:rPr>
          <w:rFonts w:cs="Times New Roman"/>
          <w:lang w:val="fr-CA"/>
        </w:rPr>
        <w:t>tes</w:t>
      </w:r>
      <w:r w:rsidRPr="00367521">
        <w:rPr>
          <w:rFonts w:cs="Times New Roman"/>
          <w:lang w:val="fr-CA"/>
        </w:rPr>
        <w:t xml:space="preserve"> peines cruel</w:t>
      </w:r>
      <w:r w:rsidR="00BD3E6C">
        <w:rPr>
          <w:rFonts w:cs="Times New Roman"/>
          <w:lang w:val="fr-CA"/>
        </w:rPr>
        <w:t>le</w:t>
      </w:r>
      <w:r w:rsidRPr="00367521">
        <w:rPr>
          <w:rFonts w:cs="Times New Roman"/>
          <w:lang w:val="fr-CA"/>
        </w:rPr>
        <w:t>s et inusité</w:t>
      </w:r>
      <w:r w:rsidR="00BD3E6C">
        <w:rPr>
          <w:rFonts w:cs="Times New Roman"/>
          <w:lang w:val="fr-CA"/>
        </w:rPr>
        <w:t>e</w:t>
      </w:r>
      <w:r w:rsidRPr="00367521">
        <w:rPr>
          <w:rFonts w:cs="Times New Roman"/>
          <w:lang w:val="fr-CA"/>
        </w:rPr>
        <w:t xml:space="preserve">s garanti par l’art. 12 de la </w:t>
      </w:r>
      <w:r w:rsidRPr="00367521">
        <w:rPr>
          <w:rFonts w:cs="Times New Roman"/>
          <w:i/>
          <w:lang w:val="fr-CA"/>
        </w:rPr>
        <w:t>Charte</w:t>
      </w:r>
      <w:r w:rsidRPr="00367521">
        <w:rPr>
          <w:rFonts w:cs="Times New Roman"/>
          <w:lang w:val="fr-CA"/>
        </w:rPr>
        <w:t xml:space="preserve">, et il a estimé qu’elle n’était pas exagérément disproportionnée, en dépit des conséquences pour M. MacDonald et malgré certains scénarios hypothétiques.  Le juge a ordonné la confiscation de l’arme à feu, a interdit à M. MacDonald de posséder des armes pendant une période de </w:t>
      </w:r>
      <w:r w:rsidR="004D28C9">
        <w:rPr>
          <w:rFonts w:cs="Times New Roman"/>
          <w:lang w:val="fr-CA"/>
        </w:rPr>
        <w:t>10</w:t>
      </w:r>
      <w:r w:rsidRPr="00367521">
        <w:rPr>
          <w:rFonts w:cs="Times New Roman"/>
          <w:lang w:val="fr-CA"/>
        </w:rPr>
        <w:t xml:space="preserve"> ans et lui a infligé une interdiction perpétuelle de posséder des armes à autorisation restreinte.</w:t>
      </w:r>
    </w:p>
    <w:p w:rsidR="00BF4088" w:rsidRPr="00367521" w:rsidRDefault="00BF4088" w:rsidP="00BF4088">
      <w:pPr>
        <w:pStyle w:val="TitleTitre-AltT"/>
        <w:keepNext/>
        <w:numPr>
          <w:ilvl w:val="0"/>
          <w:numId w:val="7"/>
        </w:numPr>
        <w:tabs>
          <w:tab w:val="clear" w:pos="360"/>
          <w:tab w:val="left" w:pos="0"/>
        </w:tabs>
        <w:ind w:left="360"/>
        <w:rPr>
          <w:rFonts w:cs="Times New Roman"/>
          <w:lang w:val="fr-CA"/>
        </w:rPr>
      </w:pPr>
      <w:r w:rsidRPr="00367521">
        <w:rPr>
          <w:rFonts w:cs="Times New Roman"/>
          <w:i/>
          <w:lang w:val="fr-CA"/>
        </w:rPr>
        <w:t xml:space="preserve">Cour d’appel de la </w:t>
      </w:r>
      <w:proofErr w:type="spellStart"/>
      <w:r w:rsidRPr="00367521">
        <w:rPr>
          <w:rFonts w:cs="Times New Roman"/>
          <w:i/>
          <w:lang w:val="fr-CA"/>
        </w:rPr>
        <w:t>Nouvelle</w:t>
      </w:r>
      <w:r w:rsidRPr="00367521">
        <w:rPr>
          <w:rFonts w:cs="Times New Roman"/>
          <w:i/>
          <w:lang w:val="fr-CA"/>
        </w:rPr>
        <w:noBreakHyphen/>
        <w:t>Écosse</w:t>
      </w:r>
      <w:proofErr w:type="spellEnd"/>
      <w:r w:rsidRPr="00367521">
        <w:rPr>
          <w:rFonts w:cs="Times New Roman"/>
          <w:i/>
          <w:lang w:val="fr-CA"/>
        </w:rPr>
        <w:t>, 2012 NSCA 50, 317 N.S.R. (2d) 90</w:t>
      </w:r>
    </w:p>
    <w:p w:rsidR="00BF4088" w:rsidRPr="00367521" w:rsidRDefault="00BF4088" w:rsidP="00BF4088">
      <w:pPr>
        <w:pStyle w:val="ParaNoNdepar-AltN"/>
        <w:rPr>
          <w:rFonts w:cs="Times New Roman"/>
          <w:lang w:val="fr-CA"/>
        </w:rPr>
      </w:pPr>
      <w:r w:rsidRPr="00367521">
        <w:rPr>
          <w:rFonts w:cs="Times New Roman"/>
          <w:lang w:val="fr-CA"/>
        </w:rPr>
        <w:t xml:space="preserve">Le juge en chef MacDonald (avec l’accord du juge </w:t>
      </w:r>
      <w:proofErr w:type="spellStart"/>
      <w:r w:rsidRPr="00367521">
        <w:rPr>
          <w:rFonts w:cs="Times New Roman"/>
          <w:lang w:val="fr-CA"/>
        </w:rPr>
        <w:t>Saunders</w:t>
      </w:r>
      <w:proofErr w:type="spellEnd"/>
      <w:r w:rsidRPr="00367521">
        <w:rPr>
          <w:rFonts w:cs="Times New Roman"/>
          <w:lang w:val="fr-CA"/>
        </w:rPr>
        <w:t xml:space="preserve">) a conclu que la </w:t>
      </w:r>
      <w:r w:rsidRPr="00367521">
        <w:rPr>
          <w:rFonts w:cs="Times New Roman"/>
          <w:i/>
          <w:lang w:val="fr-CA"/>
        </w:rPr>
        <w:t>Charte</w:t>
      </w:r>
      <w:r w:rsidRPr="00367521">
        <w:rPr>
          <w:rFonts w:cs="Times New Roman"/>
          <w:lang w:val="fr-CA"/>
        </w:rPr>
        <w:t xml:space="preserve"> n’avait aucunement été violée le soir où est survenu l’incident.  Il a fait remarquer qu’une entrée sans mandat dans une résidence est à première vue illégale et qu’il incombe au ministère public de justifier l’entrée.  S’appuyant sur la décision de notre Cour dans </w:t>
      </w:r>
      <w:r w:rsidRPr="00367521">
        <w:rPr>
          <w:rFonts w:cs="Times New Roman"/>
          <w:i/>
          <w:szCs w:val="24"/>
          <w:lang w:val="fr-CA"/>
        </w:rPr>
        <w:t>R. c. Mann</w:t>
      </w:r>
      <w:r w:rsidRPr="00367521">
        <w:rPr>
          <w:rFonts w:cs="Times New Roman"/>
          <w:szCs w:val="24"/>
          <w:lang w:val="fr-CA"/>
        </w:rPr>
        <w:t>, 2004 CSC 52, [2004] 3 R.C.S. 59</w:t>
      </w:r>
      <w:r w:rsidRPr="00367521">
        <w:rPr>
          <w:rFonts w:cs="Times New Roman"/>
          <w:lang w:val="fr-CA"/>
        </w:rPr>
        <w:t xml:space="preserve">, il a conclu que la </w:t>
      </w:r>
      <w:proofErr w:type="spellStart"/>
      <w:r w:rsidRPr="00367521">
        <w:rPr>
          <w:rFonts w:cs="Times New Roman"/>
          <w:lang w:val="fr-CA"/>
        </w:rPr>
        <w:t>common</w:t>
      </w:r>
      <w:proofErr w:type="spellEnd"/>
      <w:r w:rsidRPr="00367521">
        <w:rPr>
          <w:rFonts w:cs="Times New Roman"/>
          <w:lang w:val="fr-CA"/>
        </w:rPr>
        <w:t xml:space="preserve"> </w:t>
      </w:r>
      <w:proofErr w:type="spellStart"/>
      <w:r w:rsidRPr="00367521">
        <w:rPr>
          <w:rFonts w:cs="Times New Roman"/>
          <w:lang w:val="fr-CA"/>
        </w:rPr>
        <w:t>law</w:t>
      </w:r>
      <w:proofErr w:type="spellEnd"/>
      <w:r w:rsidRPr="00367521">
        <w:rPr>
          <w:rFonts w:cs="Times New Roman"/>
          <w:lang w:val="fr-CA"/>
        </w:rPr>
        <w:t xml:space="preserve"> reconnaît aux policiers le pouvoir de procéder à une fouille sans mandat lorsque la sécurité du public ou des policiers est en jeu.  Il a toutefois reconnu que les policiers ne peuvent exercer ce pouvoir que dans les situations où, [</w:t>
      </w:r>
      <w:r w:rsidRPr="00367521">
        <w:rPr>
          <w:rFonts w:cs="Times New Roman"/>
          <w:smallCaps/>
          <w:lang w:val="fr-CA"/>
        </w:rPr>
        <w:t>traduction</w:t>
      </w:r>
      <w:r w:rsidR="00BD3E6C">
        <w:rPr>
          <w:rFonts w:cs="Times New Roman"/>
          <w:lang w:val="fr-CA"/>
        </w:rPr>
        <w:t xml:space="preserve">] </w:t>
      </w:r>
      <w:r w:rsidRPr="00367521">
        <w:rPr>
          <w:rFonts w:cs="Times New Roman"/>
          <w:lang w:val="fr-CA"/>
        </w:rPr>
        <w:t xml:space="preserve">« en </w:t>
      </w:r>
      <w:r w:rsidRPr="00367521">
        <w:rPr>
          <w:rFonts w:cs="Times New Roman"/>
          <w:lang w:val="fr-CA"/>
        </w:rPr>
        <w:lastRenderedPageBreak/>
        <w:t>plus d’agir dans le cadre général de leurs pouvoirs, [ils] ne disposent d’aucune autre solution pratique moins envahissante », ajoutant que « la façon de mener l’activité reprochée ne doit pas être abusive » (par. 31).  Il a estimé que, en l’espèce, le sergent Boyd avait validement exercé son pouvoir.  Les policiers agissaient dans le cadre général de leurs pouvoirs en se rendant chez M. MacDonald pour répondre à une plainte de bruit.  Dans les circonstances, le sergent Boyd n’avait pas agi de manière abusive en ouvrant la porte un peu plus pour voir ce que cachait M. MacDonald.  En outre, aucune autre mesure n’aurait été appropriée car il était trop tard pour que le policier puisse simplement se retirer ou donner une contravention pour bruit excessif.</w:t>
      </w:r>
    </w:p>
    <w:p w:rsidR="00BF4088" w:rsidRPr="00367521" w:rsidRDefault="00BF4088" w:rsidP="00BF4088">
      <w:pPr>
        <w:pStyle w:val="ParaNoNdepar-AltN"/>
        <w:rPr>
          <w:rFonts w:cs="Times New Roman"/>
          <w:lang w:val="fr-CA"/>
        </w:rPr>
      </w:pPr>
      <w:r w:rsidRPr="00367521">
        <w:rPr>
          <w:rFonts w:cs="Times New Roman"/>
          <w:lang w:val="fr-CA"/>
        </w:rPr>
        <w:t xml:space="preserve">Toutefois, le juge en chef MacDonald a maintenu les déclarations de culpabilité fondées sur </w:t>
      </w:r>
      <w:proofErr w:type="gramStart"/>
      <w:r w:rsidRPr="00367521">
        <w:rPr>
          <w:rFonts w:cs="Times New Roman"/>
          <w:lang w:val="fr-CA"/>
        </w:rPr>
        <w:t>les art</w:t>
      </w:r>
      <w:proofErr w:type="gramEnd"/>
      <w:r w:rsidRPr="00367521">
        <w:rPr>
          <w:rFonts w:cs="Times New Roman"/>
          <w:lang w:val="fr-CA"/>
        </w:rPr>
        <w:t xml:space="preserve">. 86 et 88, mais a annulé celle fondée sur l’art. 95.  En ce qui a trait à cette dernière déclaration de culpabilité, il a reconnu qu’aux termes de l’art. 17 de la </w:t>
      </w:r>
      <w:r w:rsidRPr="00367521">
        <w:rPr>
          <w:rFonts w:cs="Times New Roman"/>
          <w:i/>
          <w:lang w:val="fr-CA"/>
        </w:rPr>
        <w:t>Loi sur les armes à feu</w:t>
      </w:r>
      <w:r w:rsidRPr="00367521">
        <w:rPr>
          <w:rFonts w:cs="Times New Roman"/>
          <w:lang w:val="fr-CA"/>
        </w:rPr>
        <w:t xml:space="preserve">, L.C. 1995, ch. 39, le permis de M. MacDonald n’était pas valide à sa résidence de Halifax.  Les juges majoritaires ont toutefois conclu que M. MacDonald devait être acquitté au motif qu’il croyait honnêtement, quoiqu’à tort, que son permis était valide à son unité.  Selon les juges majoritaires, cette croyance constituait une erreur de </w:t>
      </w:r>
      <w:r w:rsidRPr="00367521">
        <w:rPr>
          <w:rFonts w:cs="Times New Roman"/>
          <w:i/>
          <w:lang w:val="fr-CA"/>
        </w:rPr>
        <w:t>fait</w:t>
      </w:r>
      <w:r w:rsidRPr="00367521">
        <w:rPr>
          <w:rFonts w:cs="Times New Roman"/>
          <w:lang w:val="fr-CA"/>
        </w:rPr>
        <w:t xml:space="preserve"> annulant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de l’infraction prévue à l’art. 95.  Le ministère public devait prouver que M. MacDonald savait — ou avait ignoré volontairement le fait — qu’il n’était pas autorisé à garder son arme dans ce lieu.  Il n’y était pas parvenu puisque M. MacDonald croyait sincèrement être autorisé à posséder l’arme à feu dans l’unité.  Par conséquent, les juges majoritaires ont annulé le verdict et ordonné un acquittement relativement à l’accusation fondée sur l’art. 95.</w:t>
      </w:r>
    </w:p>
    <w:p w:rsidR="00BF4088" w:rsidRPr="00367521" w:rsidRDefault="00BF4088" w:rsidP="00BF4088">
      <w:pPr>
        <w:pStyle w:val="ParaNoNdepar-AltN"/>
        <w:rPr>
          <w:rFonts w:cs="Times New Roman"/>
          <w:lang w:val="fr-CA"/>
        </w:rPr>
      </w:pPr>
      <w:r w:rsidRPr="00367521">
        <w:rPr>
          <w:rFonts w:cs="Times New Roman"/>
          <w:lang w:val="fr-CA"/>
        </w:rPr>
        <w:lastRenderedPageBreak/>
        <w:t xml:space="preserve">Enfin, les juges majoritaires ont réexaminé la justesse des peines imposées à M. MacDonald pour les infractions prévues </w:t>
      </w:r>
      <w:proofErr w:type="gramStart"/>
      <w:r w:rsidRPr="00367521">
        <w:rPr>
          <w:rFonts w:cs="Times New Roman"/>
          <w:lang w:val="fr-CA"/>
        </w:rPr>
        <w:t>aux art</w:t>
      </w:r>
      <w:proofErr w:type="gramEnd"/>
      <w:r w:rsidRPr="00367521">
        <w:rPr>
          <w:rFonts w:cs="Times New Roman"/>
          <w:lang w:val="fr-CA"/>
        </w:rPr>
        <w:t>. 86 et 88.  Selon eux, l’examen de ces peines s’imposait parce que le juge du procès n’avait pas analysé séparément chaque infraction mais avait plutôt considéré l’incident globalement.  Puisqu’ils avaient annulé la déclaration de culpabilité fondée sur l’art. 95, il devenait nécessaire à leur avis d’examiner de plus près les décisions relatives aux autres déclarations de culpabilité.</w:t>
      </w:r>
    </w:p>
    <w:p w:rsidR="00BF4088" w:rsidRPr="00367521" w:rsidRDefault="00BF4088" w:rsidP="00BF4088">
      <w:pPr>
        <w:pStyle w:val="ParaNoNdepar-AltN"/>
        <w:rPr>
          <w:rFonts w:cs="Times New Roman"/>
          <w:lang w:val="fr-CA"/>
        </w:rPr>
      </w:pPr>
      <w:r w:rsidRPr="00367521">
        <w:rPr>
          <w:rFonts w:cs="Times New Roman"/>
          <w:lang w:val="fr-CA"/>
        </w:rPr>
        <w:t xml:space="preserve">Le </w:t>
      </w:r>
      <w:r w:rsidR="00BD3E6C">
        <w:rPr>
          <w:rFonts w:cs="Times New Roman"/>
          <w:lang w:val="fr-CA"/>
        </w:rPr>
        <w:t>j</w:t>
      </w:r>
      <w:r w:rsidRPr="00367521">
        <w:rPr>
          <w:rFonts w:cs="Times New Roman"/>
          <w:lang w:val="fr-CA"/>
        </w:rPr>
        <w:t xml:space="preserve">uge en chef </w:t>
      </w:r>
      <w:proofErr w:type="gramStart"/>
      <w:r w:rsidR="00BD3E6C">
        <w:rPr>
          <w:rFonts w:cs="Times New Roman"/>
          <w:lang w:val="fr-CA"/>
        </w:rPr>
        <w:t xml:space="preserve">MacDonald </w:t>
      </w:r>
      <w:r w:rsidRPr="00367521">
        <w:rPr>
          <w:rFonts w:cs="Times New Roman"/>
          <w:lang w:val="fr-CA"/>
        </w:rPr>
        <w:t>a</w:t>
      </w:r>
      <w:proofErr w:type="gramEnd"/>
      <w:r w:rsidRPr="00367521">
        <w:rPr>
          <w:rFonts w:cs="Times New Roman"/>
          <w:lang w:val="fr-CA"/>
        </w:rPr>
        <w:t xml:space="preserve"> estimé que la peine de trois ans d’emprisonnement relative à la déclaration de culpabilité fondée sur l’art. 88 était trop sévère car les actes de M. MacDonald [</w:t>
      </w:r>
      <w:r w:rsidRPr="00367521">
        <w:rPr>
          <w:rFonts w:cs="Times New Roman"/>
          <w:smallCaps/>
          <w:lang w:val="fr-CA"/>
        </w:rPr>
        <w:t>traduction</w:t>
      </w:r>
      <w:r w:rsidRPr="00367521">
        <w:rPr>
          <w:rFonts w:cs="Times New Roman"/>
          <w:lang w:val="fr-CA"/>
        </w:rPr>
        <w:t xml:space="preserve">] « ne comportaient pas un scénario plus typique, par exemple un affrontement public explosif ou une querelle conjugale dangereuse », et que « [ce dernier] </w:t>
      </w:r>
      <w:proofErr w:type="gramStart"/>
      <w:r w:rsidRPr="00367521">
        <w:rPr>
          <w:rFonts w:cs="Times New Roman"/>
          <w:lang w:val="fr-CA"/>
        </w:rPr>
        <w:t>n’a[</w:t>
      </w:r>
      <w:proofErr w:type="spellStart"/>
      <w:proofErr w:type="gramEnd"/>
      <w:r w:rsidRPr="00367521">
        <w:rPr>
          <w:rFonts w:cs="Times New Roman"/>
          <w:lang w:val="fr-CA"/>
        </w:rPr>
        <w:t>vait</w:t>
      </w:r>
      <w:proofErr w:type="spellEnd"/>
      <w:r w:rsidRPr="00367521">
        <w:rPr>
          <w:rFonts w:cs="Times New Roman"/>
          <w:lang w:val="fr-CA"/>
        </w:rPr>
        <w:t xml:space="preserve">] tiré aucun coup de feu ni [. . .] intentionnellement pointé l’arme » (par. 117).  Le juge en chef a examiné un certain nombre de décisions indiquant qu’une peine de trois ans d’emprisonnement excédait la gamme des peines infligées pour cette infraction.  Estimant que la peine était manifestement inappropriée, il a conclu en ces termes :  </w:t>
      </w:r>
    </w:p>
    <w:p w:rsidR="00BF4088" w:rsidRPr="00367521" w:rsidRDefault="00BF4088" w:rsidP="00BF4088">
      <w:pPr>
        <w:pStyle w:val="Citation-AltC"/>
        <w:tabs>
          <w:tab w:val="left" w:pos="1560"/>
        </w:tabs>
        <w:ind w:hanging="1166"/>
        <w:rPr>
          <w:lang w:val="fr-CA"/>
        </w:rPr>
      </w:pPr>
      <w:r w:rsidRPr="00367521">
        <w:rPr>
          <w:lang w:val="fr-CA"/>
        </w:rPr>
        <w:tab/>
      </w:r>
      <w:r w:rsidRPr="00367521">
        <w:rPr>
          <w:lang w:val="fr-CA"/>
        </w:rPr>
        <w:tab/>
        <w:t>[</w:t>
      </w:r>
      <w:r w:rsidRPr="00367521">
        <w:rPr>
          <w:smallCaps/>
          <w:lang w:val="fr-CA"/>
        </w:rPr>
        <w:t>traduction</w:t>
      </w:r>
      <w:r w:rsidRPr="00367521">
        <w:rPr>
          <w:lang w:val="fr-CA"/>
        </w:rPr>
        <w:t xml:space="preserve">]  Compte tenu des principes de détermination de la peine, des circonstances liées à la perpétration de l’infraction et de la situation de M. MacDonald, en particulier son rapport </w:t>
      </w:r>
      <w:proofErr w:type="spellStart"/>
      <w:r w:rsidRPr="00367521">
        <w:rPr>
          <w:lang w:val="fr-CA"/>
        </w:rPr>
        <w:t>présentenciel</w:t>
      </w:r>
      <w:proofErr w:type="spellEnd"/>
      <w:r w:rsidRPr="00367521">
        <w:rPr>
          <w:lang w:val="fr-CA"/>
        </w:rPr>
        <w:t xml:space="preserve"> favorable et son casier judiciaire vierge, j’estime qu’une peine correspondant à la période de détention purgée serait appropriée.  Cela représenterait 18 jours de détention (vu les 2 jours passés en détention suivant son arrestation, sa mise en liberté sur son propre engagement et les 16 jours passés en détention entre la détermination de sa peine et sa mise en liberté sous caution en attendant l’issue de l’appel).  [</w:t>
      </w:r>
      <w:proofErr w:type="gramStart"/>
      <w:r w:rsidRPr="00367521">
        <w:rPr>
          <w:lang w:val="fr-CA"/>
        </w:rPr>
        <w:t>par</w:t>
      </w:r>
      <w:proofErr w:type="gramEnd"/>
      <w:r w:rsidRPr="00367521">
        <w:rPr>
          <w:lang w:val="fr-CA"/>
        </w:rPr>
        <w:t>. 123]</w:t>
      </w:r>
    </w:p>
    <w:p w:rsidR="00BF4088" w:rsidRPr="00367521" w:rsidRDefault="00BF4088" w:rsidP="00BF4088">
      <w:pPr>
        <w:pStyle w:val="ParaNoNdepar-AltN"/>
        <w:rPr>
          <w:rFonts w:cs="Times New Roman"/>
          <w:lang w:val="fr-CA"/>
        </w:rPr>
      </w:pPr>
      <w:r w:rsidRPr="00367521">
        <w:rPr>
          <w:rFonts w:cs="Times New Roman"/>
          <w:lang w:val="fr-CA"/>
        </w:rPr>
        <w:lastRenderedPageBreak/>
        <w:t>Au sujet de la peine relative à la déclaration de culpabilité fondée sur l’art. 86, les juges majoritaires ont conclu que la peine maximale de deux ans d’emprisonnement était trop sévère par rapport aux peines infligées dans les cas semblables.  À leur avis, la peine de deux ans d’emprisonnement était manifestement inappropriée.  La cour a alors imposé une peine de 14 jours, concurrente à la peine relative à l’infraction prévue à l’art. 88.</w:t>
      </w:r>
    </w:p>
    <w:p w:rsidR="00BF4088" w:rsidRPr="00367521" w:rsidRDefault="00BF4088" w:rsidP="00BF4088">
      <w:pPr>
        <w:pStyle w:val="ParaNoNdepar-AltN"/>
        <w:rPr>
          <w:rFonts w:cs="Times New Roman"/>
          <w:lang w:val="fr-CA"/>
        </w:rPr>
      </w:pPr>
      <w:r w:rsidRPr="00367521">
        <w:rPr>
          <w:rFonts w:cs="Times New Roman"/>
          <w:lang w:val="fr-CA"/>
        </w:rPr>
        <w:t xml:space="preserve">Enfin, le juge en chef MacDonald a ordonné une période de probation de deux ans, une interdiction de posséder des armes pendant une période de cinq ans et la confiscation de l’arme à feu.  </w:t>
      </w:r>
    </w:p>
    <w:p w:rsidR="00BF4088" w:rsidRPr="00367521" w:rsidRDefault="00BF4088" w:rsidP="00BF4088">
      <w:pPr>
        <w:pStyle w:val="ParaNoNdepar-AltN"/>
        <w:rPr>
          <w:rFonts w:cs="Times New Roman"/>
          <w:lang w:val="fr-CA"/>
        </w:rPr>
      </w:pPr>
      <w:r w:rsidRPr="00367521">
        <w:rPr>
          <w:rFonts w:cs="Times New Roman"/>
          <w:lang w:val="fr-CA"/>
        </w:rPr>
        <w:t xml:space="preserve">Le juge Beveridge, dissident, a conclu qu’en ouvrant un peu plus la porte de l’unité et en passant sa main dans l’ouverture, le sergent Boyd avait violé le droit garanti à M. MacDonald par l’art. 8 de la </w:t>
      </w:r>
      <w:r w:rsidRPr="00367521">
        <w:rPr>
          <w:rFonts w:cs="Times New Roman"/>
          <w:i/>
          <w:lang w:val="fr-CA"/>
        </w:rPr>
        <w:t>Charte</w:t>
      </w:r>
      <w:r w:rsidRPr="00367521">
        <w:rPr>
          <w:rFonts w:cs="Times New Roman"/>
          <w:lang w:val="fr-CA"/>
        </w:rPr>
        <w:t>.  À son avis, les policiers ne détenaient pas, dans les circonstances, le pouvoir d’entrer dans la résidence d’un particulier pour assurer leur sécurité :</w:t>
      </w:r>
    </w:p>
    <w:p w:rsidR="00BF4088" w:rsidRPr="00367521" w:rsidRDefault="00BF4088" w:rsidP="00BF4088">
      <w:pPr>
        <w:pStyle w:val="Citation-AltC"/>
        <w:spacing w:after="240"/>
        <w:ind w:hanging="1166"/>
        <w:contextualSpacing w:val="0"/>
        <w:rPr>
          <w:lang w:val="fr-CA"/>
        </w:rPr>
      </w:pPr>
      <w:r w:rsidRPr="00367521">
        <w:rPr>
          <w:lang w:val="fr-CA"/>
        </w:rPr>
        <w:tab/>
        <w:t>[</w:t>
      </w:r>
      <w:r w:rsidRPr="00367521">
        <w:rPr>
          <w:smallCaps/>
          <w:lang w:val="fr-CA"/>
        </w:rPr>
        <w:t>traduction</w:t>
      </w:r>
      <w:r w:rsidRPr="00367521">
        <w:rPr>
          <w:lang w:val="fr-CA"/>
        </w:rPr>
        <w:t>]  Bien que j’accepte sans difficulté la prémisse selon laquelle les policiers se trouvaient sur les lieux légalement et accomplissaient leur devoir, cela ne leur donnait pas le pouvoir d’entrer chez [M. MacDonald] parce que le sergent Boyd craignait que [</w:t>
      </w:r>
      <w:proofErr w:type="spellStart"/>
      <w:r w:rsidRPr="00367521">
        <w:rPr>
          <w:lang w:val="fr-CA"/>
        </w:rPr>
        <w:t>celui</w:t>
      </w:r>
      <w:r w:rsidRPr="00367521">
        <w:rPr>
          <w:lang w:val="fr-CA"/>
        </w:rPr>
        <w:noBreakHyphen/>
        <w:t>ci</w:t>
      </w:r>
      <w:proofErr w:type="spellEnd"/>
      <w:r w:rsidRPr="00367521">
        <w:rPr>
          <w:lang w:val="fr-CA"/>
        </w:rPr>
        <w:t>] dissimule quelque chose.  Le sergent Boyd n’a jamais laissé entendre qu’il soupçonnait, et encore moins qu’il avait des motifs raisonnables de croire, qu’il s’agissait d’une arme à feu.  Il a dit avoir vu quelque chose de noir et brillant.  Tout au plus, il a dit qu’il « pensait qu’il pouvait tenir une arme à la main ».  À mon avis, cela ressemble davantage à une intuition ou à un soupçon qu’à des motifs raisonnables de croire.  En fait, le juge du procès n’a aucunement conclu à l’existence de motifs raisonnables.  Même s’il a eu amplement l’occasion de le faire, le sergent Boyd n’a pas témoigné qu’il avait des motifs raisonnables de croire que [M. MacDonald] tenait une arme.</w:t>
      </w:r>
    </w:p>
    <w:p w:rsidR="00BF4088" w:rsidRPr="00367521" w:rsidRDefault="00BF4088" w:rsidP="00BF4088">
      <w:pPr>
        <w:pStyle w:val="Citation-AltC"/>
        <w:spacing w:after="240"/>
        <w:contextualSpacing w:val="0"/>
        <w:jc w:val="center"/>
        <w:rPr>
          <w:lang w:val="fr-CA"/>
        </w:rPr>
      </w:pPr>
      <w:r w:rsidRPr="00367521">
        <w:rPr>
          <w:lang w:val="fr-CA"/>
        </w:rPr>
        <w:lastRenderedPageBreak/>
        <w:t>. . .</w:t>
      </w:r>
    </w:p>
    <w:p w:rsidR="00BF4088" w:rsidRPr="00367521" w:rsidRDefault="00BF4088" w:rsidP="00BF4088">
      <w:pPr>
        <w:pStyle w:val="Citation-AltC"/>
        <w:tabs>
          <w:tab w:val="left" w:pos="1560"/>
        </w:tabs>
        <w:spacing w:after="240"/>
        <w:ind w:hanging="1166"/>
        <w:contextualSpacing w:val="0"/>
        <w:rPr>
          <w:lang w:val="fr-CA"/>
        </w:rPr>
      </w:pPr>
      <w:r w:rsidRPr="00367521">
        <w:rPr>
          <w:lang w:val="fr-CA"/>
        </w:rPr>
        <w:tab/>
      </w:r>
      <w:r w:rsidRPr="00367521">
        <w:rPr>
          <w:lang w:val="fr-CA"/>
        </w:rPr>
        <w:tab/>
        <w:t xml:space="preserve">La question n’est pas de savoir si le sergent Boyd a agi raisonnablement en poussant la porte, mais s’il était légalement autorisé à le faire.  Ce serait le cas seulement s’il avait des motifs raisonnables de croire que sa sécurité, ou celle d’autrui, était menacée, et si la fouille qu’il a effectuée en poussant la porte était raisonnablement nécessaire dans les circonstances.  </w:t>
      </w:r>
    </w:p>
    <w:p w:rsidR="00BF4088" w:rsidRPr="00367521" w:rsidRDefault="00BF4088" w:rsidP="00BF4088">
      <w:pPr>
        <w:pStyle w:val="Citation-AltC"/>
        <w:tabs>
          <w:tab w:val="left" w:pos="1560"/>
        </w:tabs>
        <w:ind w:hanging="1166"/>
        <w:rPr>
          <w:lang w:val="fr-CA"/>
        </w:rPr>
      </w:pPr>
      <w:r w:rsidRPr="00367521">
        <w:rPr>
          <w:lang w:val="fr-CA"/>
        </w:rPr>
        <w:tab/>
      </w:r>
      <w:r w:rsidRPr="00367521">
        <w:rPr>
          <w:lang w:val="fr-CA"/>
        </w:rPr>
        <w:tab/>
        <w:t xml:space="preserve">En l’absence d’un nouveau pouvoir d’entrer dans une habitation privée sur le fondement de soupçons que la sécurité du policier soit menacée, il faut inévitablement conclure qu’il y a eu violation de l’attente raisonnable de [M. MacDonald] en matière de vie privée garantie par l’art. 8 de la </w:t>
      </w:r>
      <w:r w:rsidRPr="00367521">
        <w:rPr>
          <w:i/>
          <w:iCs/>
          <w:lang w:val="fr-CA"/>
        </w:rPr>
        <w:t>Charte</w:t>
      </w:r>
      <w:r w:rsidRPr="00367521">
        <w:rPr>
          <w:lang w:val="fr-CA"/>
        </w:rPr>
        <w:t>.  [par. 156 et 173</w:t>
      </w:r>
      <w:r w:rsidRPr="00367521">
        <w:rPr>
          <w:lang w:val="fr-CA"/>
        </w:rPr>
        <w:noBreakHyphen/>
        <w:t>174]</w:t>
      </w:r>
    </w:p>
    <w:p w:rsidR="00BF4088" w:rsidRPr="00367521" w:rsidRDefault="00BF4088" w:rsidP="00BF4088">
      <w:pPr>
        <w:pStyle w:val="ParaNoNdepar-AltN"/>
        <w:rPr>
          <w:rFonts w:cs="Times New Roman"/>
          <w:lang w:val="fr-CA"/>
        </w:rPr>
      </w:pPr>
      <w:r w:rsidRPr="00367521">
        <w:rPr>
          <w:rFonts w:cs="Times New Roman"/>
          <w:lang w:val="fr-CA"/>
        </w:rPr>
        <w:t>Compte tenu de l’ensemble des circonstances, le juge Beveridge aurait exclu l’arme à feu de la preuve au procès au motif que son utilisation serait susceptible de déconsidérer l’administration de la justice.  Par conséquent, il aurait annulé les déclarations de culpabilité et ordonné l’acquittement relativement aux trois chefs d’accusation.</w:t>
      </w:r>
    </w:p>
    <w:p w:rsidR="00BF4088" w:rsidRPr="00367521" w:rsidRDefault="00BF4088" w:rsidP="00BF4088">
      <w:pPr>
        <w:pStyle w:val="TitleTitre-AltT"/>
        <w:keepNext/>
        <w:rPr>
          <w:rFonts w:cs="Times New Roman"/>
          <w:lang w:val="fr-CA"/>
        </w:rPr>
      </w:pPr>
      <w:r w:rsidRPr="00367521">
        <w:rPr>
          <w:rFonts w:cs="Times New Roman"/>
          <w:lang w:val="fr-CA"/>
        </w:rPr>
        <w:t>IV.</w:t>
      </w:r>
      <w:r w:rsidRPr="00367521">
        <w:rPr>
          <w:rFonts w:cs="Times New Roman"/>
          <w:lang w:val="fr-CA"/>
        </w:rPr>
        <w:tab/>
      </w:r>
      <w:r w:rsidRPr="00367521">
        <w:rPr>
          <w:rFonts w:cs="Times New Roman"/>
          <w:u w:val="single"/>
          <w:lang w:val="fr-CA"/>
        </w:rPr>
        <w:t>Analyse</w:t>
      </w:r>
    </w:p>
    <w:p w:rsidR="00BF4088" w:rsidRPr="00367521" w:rsidRDefault="00BF4088" w:rsidP="00BF4088">
      <w:pPr>
        <w:pStyle w:val="TitleTitre-AltT"/>
        <w:keepNext/>
        <w:rPr>
          <w:rFonts w:cs="Times New Roman"/>
          <w:lang w:val="fr-CA"/>
        </w:rPr>
      </w:pPr>
      <w:r w:rsidRPr="00367521">
        <w:rPr>
          <w:rFonts w:cs="Times New Roman"/>
          <w:lang w:val="fr-CA"/>
        </w:rPr>
        <w:t>A.</w:t>
      </w:r>
      <w:r w:rsidRPr="00367521">
        <w:rPr>
          <w:rFonts w:cs="Times New Roman"/>
          <w:lang w:val="fr-CA"/>
        </w:rPr>
        <w:tab/>
      </w:r>
      <w:r w:rsidRPr="00367521">
        <w:rPr>
          <w:rFonts w:cs="Times New Roman"/>
          <w:i/>
          <w:lang w:val="fr-CA"/>
        </w:rPr>
        <w:t>Questions en litige</w:t>
      </w:r>
    </w:p>
    <w:p w:rsidR="00BF4088" w:rsidRPr="00367521" w:rsidRDefault="00BF4088" w:rsidP="00BF4088">
      <w:pPr>
        <w:pStyle w:val="ParaNoNdepar-AltN"/>
        <w:rPr>
          <w:rFonts w:cs="Times New Roman"/>
          <w:lang w:val="fr-CA"/>
        </w:rPr>
      </w:pPr>
      <w:r w:rsidRPr="00367521">
        <w:rPr>
          <w:rFonts w:cs="Times New Roman"/>
          <w:lang w:val="fr-CA"/>
        </w:rPr>
        <w:t>La présente affaire soulève trois questions que j’examinerai successivement :</w:t>
      </w:r>
    </w:p>
    <w:p w:rsidR="00BF4088" w:rsidRPr="00367521" w:rsidRDefault="00BF4088" w:rsidP="00BD3E6C">
      <w:pPr>
        <w:pStyle w:val="ContinueParaSuitedupar-AltP"/>
        <w:ind w:left="720" w:hanging="720"/>
        <w:rPr>
          <w:rFonts w:cs="Times New Roman"/>
          <w:lang w:val="fr-CA"/>
        </w:rPr>
      </w:pPr>
      <w:r w:rsidRPr="00367521">
        <w:rPr>
          <w:rFonts w:cs="Times New Roman"/>
          <w:lang w:val="fr-CA"/>
        </w:rPr>
        <w:t>1</w:t>
      </w:r>
      <w:r w:rsidR="00BD3E6C">
        <w:rPr>
          <w:rFonts w:cs="Times New Roman"/>
          <w:lang w:val="fr-CA"/>
        </w:rPr>
        <w:t>.</w:t>
      </w:r>
      <w:r w:rsidRPr="00367521">
        <w:rPr>
          <w:rFonts w:cs="Times New Roman"/>
          <w:lang w:val="fr-CA"/>
        </w:rPr>
        <w:tab/>
        <w:t xml:space="preserve">Le droit à la protection contre les fouilles, perquisitions et saisies abusives garanti à M. MacDonald par l’art. 8 de la </w:t>
      </w:r>
      <w:r w:rsidRPr="00367521">
        <w:rPr>
          <w:rFonts w:cs="Times New Roman"/>
          <w:i/>
          <w:lang w:val="fr-CA"/>
        </w:rPr>
        <w:t>Charte</w:t>
      </w:r>
      <w:r w:rsidRPr="00367521">
        <w:rPr>
          <w:rFonts w:cs="Times New Roman"/>
          <w:lang w:val="fr-CA"/>
        </w:rPr>
        <w:t xml:space="preserve"> </w:t>
      </w:r>
      <w:proofErr w:type="spellStart"/>
      <w:r w:rsidRPr="00367521">
        <w:rPr>
          <w:rFonts w:cs="Times New Roman"/>
          <w:lang w:val="fr-CA"/>
        </w:rPr>
        <w:t>a</w:t>
      </w:r>
      <w:r w:rsidRPr="00367521">
        <w:rPr>
          <w:rFonts w:cs="Times New Roman"/>
          <w:lang w:val="fr-CA"/>
        </w:rPr>
        <w:noBreakHyphen/>
        <w:t>t</w:t>
      </w:r>
      <w:r w:rsidRPr="00367521">
        <w:rPr>
          <w:rFonts w:cs="Times New Roman"/>
          <w:lang w:val="fr-CA"/>
        </w:rPr>
        <w:noBreakHyphen/>
        <w:t>il</w:t>
      </w:r>
      <w:proofErr w:type="spellEnd"/>
      <w:r w:rsidRPr="00367521">
        <w:rPr>
          <w:rFonts w:cs="Times New Roman"/>
          <w:lang w:val="fr-CA"/>
        </w:rPr>
        <w:t xml:space="preserve"> été violé et, dans l’affirmative, quelle réparation </w:t>
      </w:r>
      <w:proofErr w:type="spellStart"/>
      <w:r w:rsidRPr="00367521">
        <w:rPr>
          <w:rFonts w:cs="Times New Roman"/>
          <w:lang w:val="fr-CA"/>
        </w:rPr>
        <w:t>convient</w:t>
      </w:r>
      <w:r w:rsidRPr="00367521">
        <w:rPr>
          <w:rFonts w:cs="Times New Roman"/>
          <w:lang w:val="fr-CA"/>
        </w:rPr>
        <w:noBreakHyphen/>
        <w:t>il</w:t>
      </w:r>
      <w:proofErr w:type="spellEnd"/>
      <w:r w:rsidRPr="00367521">
        <w:rPr>
          <w:rFonts w:cs="Times New Roman"/>
          <w:lang w:val="fr-CA"/>
        </w:rPr>
        <w:t xml:space="preserve"> d’accorder?</w:t>
      </w:r>
    </w:p>
    <w:p w:rsidR="00BF4088" w:rsidRPr="00367521" w:rsidRDefault="00BF4088" w:rsidP="00BD3E6C">
      <w:pPr>
        <w:pStyle w:val="ContinueParaSuitedupar-AltP"/>
        <w:ind w:left="720" w:hanging="720"/>
        <w:rPr>
          <w:rFonts w:cs="Times New Roman"/>
          <w:lang w:val="fr-CA"/>
        </w:rPr>
      </w:pPr>
      <w:r w:rsidRPr="00367521">
        <w:rPr>
          <w:rFonts w:cs="Times New Roman"/>
          <w:lang w:val="fr-CA"/>
        </w:rPr>
        <w:lastRenderedPageBreak/>
        <w:t>2</w:t>
      </w:r>
      <w:r w:rsidR="00BD3E6C">
        <w:rPr>
          <w:rFonts w:cs="Times New Roman"/>
          <w:lang w:val="fr-CA"/>
        </w:rPr>
        <w:t>.</w:t>
      </w:r>
      <w:r w:rsidRPr="00367521">
        <w:rPr>
          <w:rFonts w:cs="Times New Roman"/>
          <w:lang w:val="fr-CA"/>
        </w:rPr>
        <w:tab/>
        <w:t xml:space="preserve">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de l’infraction prévue au par. 95(1) du </w:t>
      </w:r>
      <w:r w:rsidRPr="00367521">
        <w:rPr>
          <w:rFonts w:cs="Times New Roman"/>
          <w:i/>
          <w:lang w:val="fr-CA"/>
        </w:rPr>
        <w:t>Code</w:t>
      </w:r>
      <w:r w:rsidRPr="00367521">
        <w:rPr>
          <w:rFonts w:cs="Times New Roman"/>
          <w:lang w:val="fr-CA"/>
        </w:rPr>
        <w:t xml:space="preserve"> </w:t>
      </w:r>
      <w:proofErr w:type="spellStart"/>
      <w:r w:rsidRPr="00367521">
        <w:rPr>
          <w:rFonts w:cs="Times New Roman"/>
          <w:lang w:val="fr-CA"/>
        </w:rPr>
        <w:t>comporte</w:t>
      </w:r>
      <w:r w:rsidRPr="00367521">
        <w:rPr>
          <w:rFonts w:cs="Times New Roman"/>
          <w:lang w:val="fr-CA"/>
        </w:rPr>
        <w:noBreakHyphen/>
        <w:t>t</w:t>
      </w:r>
      <w:r w:rsidRPr="00367521">
        <w:rPr>
          <w:rFonts w:cs="Times New Roman"/>
          <w:lang w:val="fr-CA"/>
        </w:rPr>
        <w:noBreakHyphen/>
        <w:t>elle</w:t>
      </w:r>
      <w:proofErr w:type="spellEnd"/>
      <w:r w:rsidRPr="00367521">
        <w:rPr>
          <w:rFonts w:cs="Times New Roman"/>
          <w:lang w:val="fr-CA"/>
        </w:rPr>
        <w:t xml:space="preserve"> la connaissance du caractère inapplicable du permis dans le lieu où l’accusé possède l’arme à feu?</w:t>
      </w:r>
    </w:p>
    <w:p w:rsidR="00BF4088" w:rsidRPr="00367521" w:rsidRDefault="00BF4088" w:rsidP="00BD3E6C">
      <w:pPr>
        <w:pStyle w:val="ContinueParaSuitedupar-AltP"/>
        <w:ind w:left="720" w:hanging="720"/>
        <w:rPr>
          <w:rFonts w:cs="Times New Roman"/>
          <w:lang w:val="fr-CA"/>
        </w:rPr>
      </w:pPr>
      <w:r w:rsidRPr="00367521">
        <w:rPr>
          <w:rFonts w:cs="Times New Roman"/>
          <w:lang w:val="fr-CA"/>
        </w:rPr>
        <w:t>3</w:t>
      </w:r>
      <w:r w:rsidR="00BD3E6C">
        <w:rPr>
          <w:rFonts w:cs="Times New Roman"/>
          <w:lang w:val="fr-CA"/>
        </w:rPr>
        <w:t>.</w:t>
      </w:r>
      <w:r w:rsidRPr="00367521">
        <w:rPr>
          <w:rFonts w:cs="Times New Roman"/>
          <w:lang w:val="fr-CA"/>
        </w:rPr>
        <w:tab/>
        <w:t xml:space="preserve">Les peines infligées par la Cour d’appel relativement aux infractions visées aux par. 86(1) et 88(1) </w:t>
      </w:r>
      <w:proofErr w:type="spellStart"/>
      <w:r w:rsidRPr="00367521">
        <w:rPr>
          <w:rFonts w:cs="Times New Roman"/>
          <w:lang w:val="fr-CA"/>
        </w:rPr>
        <w:t>devraient</w:t>
      </w:r>
      <w:r w:rsidRPr="00367521">
        <w:rPr>
          <w:rFonts w:cs="Times New Roman"/>
          <w:lang w:val="fr-CA"/>
        </w:rPr>
        <w:noBreakHyphen/>
        <w:t>elles</w:t>
      </w:r>
      <w:proofErr w:type="spellEnd"/>
      <w:r w:rsidRPr="00367521">
        <w:rPr>
          <w:rFonts w:cs="Times New Roman"/>
          <w:lang w:val="fr-CA"/>
        </w:rPr>
        <w:t xml:space="preserve"> être modifiées?</w:t>
      </w:r>
    </w:p>
    <w:p w:rsidR="00BF4088" w:rsidRPr="00367521" w:rsidRDefault="00BF4088" w:rsidP="00BF4088">
      <w:pPr>
        <w:pStyle w:val="TitleTitre-AltT"/>
        <w:keepNext/>
        <w:rPr>
          <w:rFonts w:cs="Times New Roman"/>
          <w:lang w:val="fr-CA"/>
        </w:rPr>
      </w:pPr>
      <w:r w:rsidRPr="00367521">
        <w:rPr>
          <w:rFonts w:cs="Times New Roman"/>
          <w:lang w:val="fr-CA"/>
        </w:rPr>
        <w:t>B.</w:t>
      </w:r>
      <w:r w:rsidRPr="00367521">
        <w:rPr>
          <w:rFonts w:cs="Times New Roman"/>
          <w:lang w:val="fr-CA"/>
        </w:rPr>
        <w:tab/>
      </w:r>
      <w:r w:rsidRPr="00367521">
        <w:rPr>
          <w:rFonts w:cs="Times New Roman"/>
          <w:i/>
          <w:lang w:val="fr-CA"/>
        </w:rPr>
        <w:t xml:space="preserve">La contestation de </w:t>
      </w:r>
      <w:r w:rsidRPr="00780A12">
        <w:rPr>
          <w:rFonts w:cs="Times New Roman"/>
          <w:i/>
          <w:lang w:val="fr-CA"/>
        </w:rPr>
        <w:t>M. MacDonald</w:t>
      </w:r>
      <w:r w:rsidRPr="00367521">
        <w:rPr>
          <w:rFonts w:cs="Times New Roman"/>
          <w:i/>
          <w:lang w:val="fr-CA"/>
        </w:rPr>
        <w:t xml:space="preserve"> fondée sur la Charte</w:t>
      </w:r>
    </w:p>
    <w:p w:rsidR="00BF4088" w:rsidRPr="00367521" w:rsidRDefault="00BF4088" w:rsidP="00BF4088">
      <w:pPr>
        <w:pStyle w:val="ParaNoNdepar-AltN"/>
        <w:rPr>
          <w:rFonts w:cs="Times New Roman"/>
          <w:lang w:val="fr-CA"/>
        </w:rPr>
      </w:pPr>
      <w:r w:rsidRPr="00367521">
        <w:rPr>
          <w:rFonts w:cs="Times New Roman"/>
          <w:lang w:val="fr-CA"/>
        </w:rPr>
        <w:t>M</w:t>
      </w:r>
      <w:r w:rsidR="00BD3E6C">
        <w:rPr>
          <w:rFonts w:cs="Times New Roman"/>
          <w:lang w:val="fr-CA"/>
        </w:rPr>
        <w:t xml:space="preserve">onsieur </w:t>
      </w:r>
      <w:r w:rsidRPr="00367521">
        <w:rPr>
          <w:rFonts w:cs="Times New Roman"/>
          <w:lang w:val="fr-CA"/>
        </w:rPr>
        <w:t xml:space="preserve">MacDonald plaide principalement que le fait que le sergent Boyd ait poussé la porte un peu plus loin avec sa main constitue une fouille abusive contraire à l’art. 8 de la </w:t>
      </w:r>
      <w:r w:rsidRPr="00367521">
        <w:rPr>
          <w:rFonts w:cs="Times New Roman"/>
          <w:i/>
          <w:lang w:val="fr-CA"/>
        </w:rPr>
        <w:t>Charte</w:t>
      </w:r>
      <w:r w:rsidRPr="00367521">
        <w:rPr>
          <w:rFonts w:cs="Times New Roman"/>
          <w:lang w:val="fr-CA"/>
        </w:rPr>
        <w:t xml:space="preserve">.  Il prétend que la preuve ultérieurement obtenue par la police — en l’occurrence l’arme à feu — devrait être exclue en application du par. 24(2) de la </w:t>
      </w:r>
      <w:r w:rsidRPr="00367521">
        <w:rPr>
          <w:rFonts w:cs="Times New Roman"/>
          <w:i/>
          <w:lang w:val="fr-CA"/>
        </w:rPr>
        <w:t>Charte</w:t>
      </w:r>
      <w:r w:rsidRPr="00367521">
        <w:rPr>
          <w:rFonts w:cs="Times New Roman"/>
          <w:lang w:val="fr-CA"/>
        </w:rPr>
        <w:t xml:space="preserve">, puisque son utilisation serait susceptible de déconsidérer l’administration de la justice.  Je ne puis accepter cet argument.  Comme je l’expliquerai, même si l’intervention du sergent Boyd constituait une « fouille » au sens de l’art. 8 de la </w:t>
      </w:r>
      <w:r w:rsidRPr="00367521">
        <w:rPr>
          <w:rFonts w:cs="Times New Roman"/>
          <w:i/>
          <w:lang w:val="fr-CA"/>
        </w:rPr>
        <w:t>Charte</w:t>
      </w:r>
      <w:r w:rsidRPr="00367521">
        <w:rPr>
          <w:rFonts w:cs="Times New Roman"/>
          <w:lang w:val="fr-CA"/>
        </w:rPr>
        <w:t>, cette fouille n’était pas abusive.</w:t>
      </w:r>
    </w:p>
    <w:p w:rsidR="00BF4088" w:rsidRPr="00367521" w:rsidRDefault="00BF4088" w:rsidP="00BF4088">
      <w:pPr>
        <w:pStyle w:val="TitleTitre-AltT"/>
        <w:keepNext/>
        <w:tabs>
          <w:tab w:val="clear" w:pos="360"/>
          <w:tab w:val="left" w:pos="1200"/>
        </w:tabs>
        <w:spacing w:before="0"/>
        <w:ind w:left="1680" w:hanging="1680"/>
        <w:rPr>
          <w:rFonts w:cs="Times New Roman"/>
          <w:lang w:val="fr-CA"/>
        </w:rPr>
      </w:pPr>
      <w:r w:rsidRPr="00367521">
        <w:rPr>
          <w:rFonts w:cs="Times New Roman"/>
          <w:lang w:val="fr-CA"/>
        </w:rPr>
        <w:tab/>
        <w:t>(1)</w:t>
      </w:r>
      <w:r w:rsidRPr="00367521">
        <w:rPr>
          <w:rFonts w:cs="Times New Roman"/>
          <w:lang w:val="fr-CA"/>
        </w:rPr>
        <w:tab/>
      </w:r>
      <w:r w:rsidRPr="00367521">
        <w:rPr>
          <w:rFonts w:cs="Times New Roman"/>
          <w:u w:val="single"/>
          <w:lang w:val="fr-CA"/>
        </w:rPr>
        <w:t xml:space="preserve">L’intervention du sergent Boyd </w:t>
      </w:r>
      <w:proofErr w:type="spellStart"/>
      <w:r w:rsidRPr="00367521">
        <w:rPr>
          <w:rFonts w:cs="Times New Roman"/>
          <w:u w:val="single"/>
          <w:lang w:val="fr-CA"/>
        </w:rPr>
        <w:t>constituait</w:t>
      </w:r>
      <w:r w:rsidRPr="00367521">
        <w:rPr>
          <w:rFonts w:cs="Times New Roman"/>
          <w:u w:val="single"/>
          <w:lang w:val="fr-CA"/>
        </w:rPr>
        <w:noBreakHyphen/>
        <w:t>elle</w:t>
      </w:r>
      <w:proofErr w:type="spellEnd"/>
      <w:r w:rsidRPr="00367521">
        <w:rPr>
          <w:rFonts w:cs="Times New Roman"/>
          <w:u w:val="single"/>
          <w:lang w:val="fr-CA"/>
        </w:rPr>
        <w:t xml:space="preserve"> une fouille?</w:t>
      </w:r>
    </w:p>
    <w:p w:rsidR="00BF4088" w:rsidRPr="00367521" w:rsidRDefault="00BF4088" w:rsidP="00BF4088">
      <w:pPr>
        <w:pStyle w:val="ParaNoNdepar-AltN"/>
        <w:rPr>
          <w:rFonts w:cs="Times New Roman"/>
          <w:lang w:val="fr-CA"/>
        </w:rPr>
      </w:pPr>
      <w:r w:rsidRPr="00367521">
        <w:rPr>
          <w:rFonts w:cs="Times New Roman"/>
          <w:lang w:val="fr-CA"/>
        </w:rPr>
        <w:t xml:space="preserve">L’arrêt </w:t>
      </w:r>
      <w:r w:rsidRPr="00367521">
        <w:rPr>
          <w:rFonts w:cs="Times New Roman"/>
          <w:i/>
          <w:lang w:val="fr-CA"/>
        </w:rPr>
        <w:t>R. c. Evans</w:t>
      </w:r>
      <w:r w:rsidRPr="00367521">
        <w:rPr>
          <w:rFonts w:cs="Times New Roman"/>
          <w:lang w:val="fr-CA"/>
        </w:rPr>
        <w:t xml:space="preserve">, [1996] 1 R.C.S. 8, est un arrêt de principe relativement à ce qui constitue une « fouille » au sens de l’art. 8.  Cet arrêt présentait des faits similaires à ceux de l’espèce dans la mesure où la fouille avait été effectuée par un policier à la porte de la maison de l’accusé.  À cette occasion, le juge </w:t>
      </w:r>
      <w:proofErr w:type="spellStart"/>
      <w:r w:rsidRPr="00367521">
        <w:rPr>
          <w:rFonts w:cs="Times New Roman"/>
          <w:lang w:val="fr-CA"/>
        </w:rPr>
        <w:t>Sopinka</w:t>
      </w:r>
      <w:proofErr w:type="spellEnd"/>
      <w:r w:rsidRPr="00367521">
        <w:rPr>
          <w:rFonts w:cs="Times New Roman"/>
          <w:lang w:val="fr-CA"/>
        </w:rPr>
        <w:t xml:space="preserve"> </w:t>
      </w:r>
      <w:r w:rsidRPr="00367521">
        <w:rPr>
          <w:rFonts w:cs="Times New Roman"/>
          <w:lang w:val="fr-CA"/>
        </w:rPr>
        <w:lastRenderedPageBreak/>
        <w:t xml:space="preserve">a énoncé le critère suivant pour déterminer si une intervention policière constitue une « fouille » :  </w:t>
      </w:r>
    </w:p>
    <w:p w:rsidR="00BF4088" w:rsidRPr="00367521" w:rsidRDefault="00BD3E6C" w:rsidP="00BF4088">
      <w:pPr>
        <w:pStyle w:val="Citation-AltC"/>
        <w:ind w:hanging="1166"/>
        <w:rPr>
          <w:lang w:val="fr-CA"/>
        </w:rPr>
      </w:pPr>
      <w:r>
        <w:rPr>
          <w:lang w:val="fr-CA"/>
        </w:rPr>
        <w:tab/>
      </w:r>
      <w:r w:rsidR="00BF4088" w:rsidRPr="00367521">
        <w:rPr>
          <w:lang w:val="fr-CA"/>
        </w:rPr>
        <w:t xml:space="preserve">. . . ce n’est que lorsque les attentes raisonnables d’une personne en matière de vie privée sont affectées d’une manière ou d’une autre par une technique d’enquête que l’art. 8 de la </w:t>
      </w:r>
      <w:r w:rsidR="00BF4088" w:rsidRPr="00367521">
        <w:rPr>
          <w:i/>
          <w:iCs/>
          <w:lang w:val="fr-CA"/>
        </w:rPr>
        <w:t xml:space="preserve">Charte </w:t>
      </w:r>
      <w:r w:rsidR="00BF4088" w:rsidRPr="00367521">
        <w:rPr>
          <w:lang w:val="fr-CA"/>
        </w:rPr>
        <w:t xml:space="preserve">entre en jeu.  Par conséquent, tout type d’enquête gouvernementale ne constituera pas forcément, sur le plan constitutionnel, une « fouille ou perquisition ».  Au contraire, </w:t>
      </w:r>
      <w:r w:rsidR="00BF4088" w:rsidRPr="00367521">
        <w:rPr>
          <w:u w:val="single"/>
          <w:lang w:val="fr-CA"/>
        </w:rPr>
        <w:t>ce n’est que lorsque les enquêtes de l’État empiètent sur un droit raisonnable des particuliers à la vie privée que l’action gouvernementale en cause constitue une « fouille ou perquisition » au sens de l’art. 8</w:t>
      </w:r>
      <w:r w:rsidR="00BF4088" w:rsidRPr="00367521">
        <w:rPr>
          <w:lang w:val="fr-CA"/>
        </w:rPr>
        <w:t>.  [Je souligne; par. 11.]</w:t>
      </w:r>
    </w:p>
    <w:p w:rsidR="00BF4088" w:rsidRPr="00367521" w:rsidRDefault="00BF4088" w:rsidP="00BF4088">
      <w:pPr>
        <w:pStyle w:val="ContinueParaSuitedupar-AltP"/>
        <w:rPr>
          <w:rFonts w:cs="Times New Roman"/>
          <w:lang w:val="fr-CA"/>
        </w:rPr>
      </w:pPr>
      <w:r w:rsidRPr="00367521">
        <w:rPr>
          <w:rFonts w:cs="Times New Roman"/>
          <w:lang w:val="fr-CA"/>
        </w:rPr>
        <w:t>Autrement dit, une fouille au sens de l’art. 8 est « une atteinte de l’État à une attente raisonnable en matière de vie privée » (</w:t>
      </w:r>
      <w:r w:rsidRPr="00367521">
        <w:rPr>
          <w:rFonts w:cs="Times New Roman"/>
          <w:i/>
          <w:lang w:val="fr-CA"/>
        </w:rPr>
        <w:t>R. c. A.M.</w:t>
      </w:r>
      <w:r w:rsidR="000316EF">
        <w:rPr>
          <w:rFonts w:cs="Times New Roman"/>
          <w:lang w:val="fr-CA"/>
        </w:rPr>
        <w:t xml:space="preserve">, 2008 CSC 19, [2008] 1 R.C.S. </w:t>
      </w:r>
      <w:r w:rsidRPr="00367521">
        <w:rPr>
          <w:rFonts w:cs="Times New Roman"/>
          <w:lang w:val="fr-CA"/>
        </w:rPr>
        <w:t>569, par. 8).</w:t>
      </w:r>
    </w:p>
    <w:p w:rsidR="00BF4088" w:rsidRPr="00367521" w:rsidRDefault="00BF4088" w:rsidP="00BF4088">
      <w:pPr>
        <w:pStyle w:val="ParaNoNdepar-AltN"/>
        <w:rPr>
          <w:rFonts w:cs="Times New Roman"/>
          <w:lang w:val="fr-CA"/>
        </w:rPr>
      </w:pPr>
      <w:r w:rsidRPr="00367521">
        <w:rPr>
          <w:rFonts w:cs="Times New Roman"/>
          <w:lang w:val="fr-CA"/>
        </w:rPr>
        <w:t>Il ne fait aucun doute qu’un particulier a, dans sa résidence, une attente raisonnable, voire considérable, en matière de vie privée (</w:t>
      </w:r>
      <w:r w:rsidRPr="00367521">
        <w:rPr>
          <w:rFonts w:cs="Times New Roman"/>
          <w:i/>
          <w:lang w:val="fr-CA"/>
        </w:rPr>
        <w:t>R. c. Godoy</w:t>
      </w:r>
      <w:r w:rsidRPr="00367521">
        <w:rPr>
          <w:rFonts w:cs="Times New Roman"/>
          <w:lang w:val="fr-CA"/>
        </w:rPr>
        <w:t xml:space="preserve">, [1999] 1 R.C.S. 311, par. 19; </w:t>
      </w:r>
      <w:r w:rsidRPr="00367521">
        <w:rPr>
          <w:rFonts w:cs="Times New Roman"/>
          <w:i/>
          <w:lang w:val="fr-CA"/>
        </w:rPr>
        <w:t xml:space="preserve">R. c. </w:t>
      </w:r>
      <w:proofErr w:type="spellStart"/>
      <w:r w:rsidRPr="00367521">
        <w:rPr>
          <w:rFonts w:cs="Times New Roman"/>
          <w:i/>
          <w:lang w:val="fr-CA"/>
        </w:rPr>
        <w:t>Feeney</w:t>
      </w:r>
      <w:proofErr w:type="spellEnd"/>
      <w:r w:rsidRPr="00367521">
        <w:rPr>
          <w:rFonts w:cs="Times New Roman"/>
          <w:lang w:val="fr-CA"/>
        </w:rPr>
        <w:t xml:space="preserve">, [1997] 2 R.C.S. 13; </w:t>
      </w:r>
      <w:r w:rsidRPr="00367521">
        <w:rPr>
          <w:rFonts w:cs="Times New Roman"/>
          <w:i/>
          <w:lang w:val="fr-CA"/>
        </w:rPr>
        <w:t>R. c. Silveira</w:t>
      </w:r>
      <w:r w:rsidRPr="00367521">
        <w:rPr>
          <w:rFonts w:cs="Times New Roman"/>
          <w:lang w:val="fr-CA"/>
        </w:rPr>
        <w:t>, [1995] 2 R.C.S. 297), ainsi qu’aux abords de sa résidence (</w:t>
      </w:r>
      <w:r w:rsidRPr="00367521">
        <w:rPr>
          <w:rFonts w:cs="Times New Roman"/>
          <w:i/>
          <w:lang w:val="fr-CA"/>
        </w:rPr>
        <w:t>Evans</w:t>
      </w:r>
      <w:r w:rsidRPr="00367521">
        <w:rPr>
          <w:rFonts w:cs="Times New Roman"/>
          <w:lang w:val="fr-CA"/>
        </w:rPr>
        <w:t xml:space="preserve">, par. 21).  Cependant, l’arrêt </w:t>
      </w:r>
      <w:r w:rsidRPr="00367521">
        <w:rPr>
          <w:rFonts w:cs="Times New Roman"/>
          <w:i/>
          <w:lang w:val="fr-CA"/>
        </w:rPr>
        <w:t>Evans</w:t>
      </w:r>
      <w:r w:rsidRPr="00367521">
        <w:rPr>
          <w:rFonts w:cs="Times New Roman"/>
          <w:lang w:val="fr-CA"/>
        </w:rPr>
        <w:t xml:space="preserve"> a aussi établi que les policiers sont implicitement autorisés à s’approcher de la porte d’une résidence et à y frapper.  L’intervention des policiers ne sera pas considérée comme une atteinte à la vie privée assimilable à une fouille si leur but demeure de communiquer avec l’occupant.  Toutefois, « [l]</w:t>
      </w:r>
      <w:proofErr w:type="spellStart"/>
      <w:r w:rsidRPr="00367521">
        <w:rPr>
          <w:rFonts w:cs="Times New Roman"/>
          <w:lang w:val="fr-CA"/>
        </w:rPr>
        <w:t>orsque</w:t>
      </w:r>
      <w:proofErr w:type="spellEnd"/>
      <w:r w:rsidRPr="00367521">
        <w:rPr>
          <w:rFonts w:cs="Times New Roman"/>
          <w:lang w:val="fr-CA"/>
        </w:rPr>
        <w:t xml:space="preserve"> la conduite des policiers [. . .] va </w:t>
      </w:r>
      <w:proofErr w:type="spellStart"/>
      <w:r w:rsidRPr="00367521">
        <w:rPr>
          <w:rFonts w:cs="Times New Roman"/>
          <w:lang w:val="fr-CA"/>
        </w:rPr>
        <w:t>au</w:t>
      </w:r>
      <w:r w:rsidRPr="00367521">
        <w:rPr>
          <w:rFonts w:cs="Times New Roman"/>
          <w:lang w:val="fr-CA"/>
        </w:rPr>
        <w:noBreakHyphen/>
        <w:t>delà</w:t>
      </w:r>
      <w:proofErr w:type="spellEnd"/>
      <w:r w:rsidRPr="00367521">
        <w:rPr>
          <w:rFonts w:cs="Times New Roman"/>
          <w:lang w:val="fr-CA"/>
        </w:rPr>
        <w:t xml:space="preserve"> de ce qui est permis en vertu de l’autorisation implic</w:t>
      </w:r>
      <w:r w:rsidR="000316EF">
        <w:rPr>
          <w:rFonts w:cs="Times New Roman"/>
          <w:lang w:val="fr-CA"/>
        </w:rPr>
        <w:t xml:space="preserve">ite de frapper à la porte, les </w:t>
      </w:r>
      <w:r w:rsidR="000316EF" w:rsidRPr="00302203">
        <w:rPr>
          <w:rFonts w:cs="Times New Roman"/>
          <w:lang w:val="fr-CA"/>
        </w:rPr>
        <w:t>“</w:t>
      </w:r>
      <w:r w:rsidRPr="00367521">
        <w:rPr>
          <w:rFonts w:cs="Times New Roman"/>
          <w:lang w:val="fr-CA"/>
        </w:rPr>
        <w:t>conditions</w:t>
      </w:r>
      <w:r w:rsidR="000316EF" w:rsidRPr="00302203">
        <w:rPr>
          <w:rFonts w:cs="Times New Roman"/>
          <w:lang w:val="fr-CA"/>
        </w:rPr>
        <w:t>”</w:t>
      </w:r>
      <w:r w:rsidRPr="00367521">
        <w:rPr>
          <w:rFonts w:cs="Times New Roman"/>
          <w:lang w:val="fr-CA"/>
        </w:rPr>
        <w:t xml:space="preserve"> implicites de cette autorisation sont effectivement violées et l’auteur de l’activité non autorisée qui s’approche de la maison devient un intrus » </w:t>
      </w:r>
      <w:r w:rsidRPr="00367521">
        <w:rPr>
          <w:rFonts w:cs="Times New Roman"/>
          <w:lang w:val="fr-CA"/>
        </w:rPr>
        <w:lastRenderedPageBreak/>
        <w:t>(</w:t>
      </w:r>
      <w:r w:rsidRPr="00367521">
        <w:rPr>
          <w:rFonts w:cs="Times New Roman"/>
          <w:i/>
          <w:lang w:val="fr-CA"/>
        </w:rPr>
        <w:t>Evans</w:t>
      </w:r>
      <w:r w:rsidRPr="00367521">
        <w:rPr>
          <w:rFonts w:cs="Times New Roman"/>
          <w:lang w:val="fr-CA"/>
        </w:rPr>
        <w:t xml:space="preserve">, par. 15).  Dans une telle situation, l’intervention policière constitue une « fouille ».  </w:t>
      </w:r>
    </w:p>
    <w:p w:rsidR="00BF4088" w:rsidRPr="00367521" w:rsidRDefault="00BF4088" w:rsidP="00BF4088">
      <w:pPr>
        <w:pStyle w:val="ParaNoNdepar-AltN"/>
        <w:rPr>
          <w:rFonts w:cs="Times New Roman"/>
          <w:lang w:val="fr-CA"/>
        </w:rPr>
      </w:pPr>
      <w:r w:rsidRPr="00367521">
        <w:rPr>
          <w:rFonts w:cs="Times New Roman"/>
          <w:lang w:val="fr-CA"/>
        </w:rPr>
        <w:t xml:space="preserve">Au départ, la conduite du sergent Boyd était conforme à l’autorisation implicite de frapper à la porte.  Il s’est approché de la porte de M. MacDonald, a frappé et a donné un coup de pied dans </w:t>
      </w:r>
      <w:proofErr w:type="spellStart"/>
      <w:r w:rsidRPr="00367521">
        <w:rPr>
          <w:rFonts w:cs="Times New Roman"/>
          <w:lang w:val="fr-CA"/>
        </w:rPr>
        <w:t>celle</w:t>
      </w:r>
      <w:r w:rsidRPr="00367521">
        <w:rPr>
          <w:rFonts w:cs="Times New Roman"/>
          <w:lang w:val="fr-CA"/>
        </w:rPr>
        <w:noBreakHyphen/>
        <w:t>ci</w:t>
      </w:r>
      <w:proofErr w:type="spellEnd"/>
      <w:r w:rsidRPr="00367521">
        <w:rPr>
          <w:rFonts w:cs="Times New Roman"/>
          <w:lang w:val="fr-CA"/>
        </w:rPr>
        <w:t xml:space="preserve"> dans le but d’informer l’occupant qu’il devait baisser le son de sa musique.  Toutefois, après que M. MacDonald e</w:t>
      </w:r>
      <w:r w:rsidR="000316EF">
        <w:rPr>
          <w:rFonts w:cs="Times New Roman"/>
          <w:lang w:val="fr-CA"/>
        </w:rPr>
        <w:t>u</w:t>
      </w:r>
      <w:r w:rsidRPr="00367521">
        <w:rPr>
          <w:rFonts w:cs="Times New Roman"/>
          <w:lang w:val="fr-CA"/>
        </w:rPr>
        <w:t>t ouvert la porte, le sergent Boyd voulait, en ouvrant la porte un peu plus, voir mieux ce que M. MacDonald tenait dans sa main (</w:t>
      </w:r>
      <w:proofErr w:type="gramStart"/>
      <w:r w:rsidRPr="00367521">
        <w:rPr>
          <w:rFonts w:cs="Times New Roman"/>
          <w:lang w:val="fr-CA"/>
        </w:rPr>
        <w:t>d.a.,</w:t>
      </w:r>
      <w:proofErr w:type="gramEnd"/>
      <w:r w:rsidRPr="00367521">
        <w:rPr>
          <w:rFonts w:cs="Times New Roman"/>
          <w:lang w:val="fr-CA"/>
        </w:rPr>
        <w:t xml:space="preserve"> p. 168</w:t>
      </w:r>
      <w:r w:rsidRPr="00367521">
        <w:rPr>
          <w:rFonts w:cs="Times New Roman"/>
          <w:lang w:val="fr-CA"/>
        </w:rPr>
        <w:noBreakHyphen/>
        <w:t xml:space="preserve">169).  Plus simplement, la renonciation implicite de M. MacDonald à son droit au respect de sa vie privée n’allait pas </w:t>
      </w:r>
      <w:proofErr w:type="spellStart"/>
      <w:r w:rsidRPr="00367521">
        <w:rPr>
          <w:rFonts w:cs="Times New Roman"/>
          <w:lang w:val="fr-CA"/>
        </w:rPr>
        <w:t>jusque</w:t>
      </w:r>
      <w:r w:rsidRPr="00367521">
        <w:rPr>
          <w:rFonts w:cs="Times New Roman"/>
          <w:lang w:val="fr-CA"/>
        </w:rPr>
        <w:noBreakHyphen/>
        <w:t>là</w:t>
      </w:r>
      <w:proofErr w:type="spellEnd"/>
      <w:r w:rsidRPr="00367521">
        <w:rPr>
          <w:rFonts w:cs="Times New Roman"/>
          <w:lang w:val="fr-CA"/>
        </w:rPr>
        <w:t>.  Cette renonciation permet au policier de parler ou de crier à travers la porte, ou même d’y frapper, mais pas de la pousser pour l’ouvrir.  En poussant la porte pour l’ouvrir davantage, le sergent Boyd a porté atteinte à l’attente raisonnable en matière de respect de la vie privée de M. MacDonald dans sa demeure.</w:t>
      </w:r>
    </w:p>
    <w:p w:rsidR="00BF4088" w:rsidRPr="00367521" w:rsidRDefault="00BF4088" w:rsidP="00BF4088">
      <w:pPr>
        <w:pStyle w:val="ParaNoNdepar-AltN"/>
        <w:rPr>
          <w:rFonts w:cs="Times New Roman"/>
          <w:lang w:val="fr-CA"/>
        </w:rPr>
      </w:pPr>
      <w:r w:rsidRPr="00367521">
        <w:rPr>
          <w:rFonts w:cs="Times New Roman"/>
          <w:lang w:val="fr-CA"/>
        </w:rPr>
        <w:t xml:space="preserve">Ayant conclu que l’action policière constituait une fouille de la demeure de M. MacDonald, je dois maintenant examiner si cette fouille était abusive et contraire à l’art. 8 de la </w:t>
      </w:r>
      <w:r w:rsidRPr="00367521">
        <w:rPr>
          <w:rFonts w:cs="Times New Roman"/>
          <w:i/>
          <w:lang w:val="fr-CA"/>
        </w:rPr>
        <w:t>Charte</w:t>
      </w:r>
      <w:r w:rsidRPr="00367521">
        <w:rPr>
          <w:rFonts w:cs="Times New Roman"/>
          <w:lang w:val="fr-CA"/>
        </w:rPr>
        <w:t>.  À cette étape, parce que la fouille n’était pas autorisée par un mandat, le ministère public doit démontrer qu’elle n’était pas abusive (</w:t>
      </w:r>
      <w:r w:rsidRPr="00367521">
        <w:rPr>
          <w:rFonts w:cs="Times New Roman"/>
          <w:i/>
          <w:szCs w:val="24"/>
          <w:lang w:val="fr-CA"/>
        </w:rPr>
        <w:t>R. c. Collins</w:t>
      </w:r>
      <w:r w:rsidRPr="00367521">
        <w:rPr>
          <w:rFonts w:cs="Times New Roman"/>
          <w:szCs w:val="24"/>
          <w:lang w:val="fr-CA"/>
        </w:rPr>
        <w:t>, [1987] 1 R.C.S. 265, p. 278)</w:t>
      </w:r>
      <w:r w:rsidRPr="00367521">
        <w:rPr>
          <w:rFonts w:cs="Times New Roman"/>
          <w:lang w:val="fr-CA"/>
        </w:rPr>
        <w:t>.</w:t>
      </w:r>
    </w:p>
    <w:p w:rsidR="00BF4088" w:rsidRPr="00367521" w:rsidRDefault="00BF4088" w:rsidP="00BF4088">
      <w:pPr>
        <w:pStyle w:val="TitleTitre-AltT"/>
        <w:keepNext/>
        <w:tabs>
          <w:tab w:val="clear" w:pos="360"/>
          <w:tab w:val="left" w:pos="1200"/>
        </w:tabs>
        <w:spacing w:before="0"/>
        <w:ind w:left="1680" w:hanging="1680"/>
        <w:rPr>
          <w:rFonts w:cs="Times New Roman"/>
          <w:lang w:val="fr-CA"/>
        </w:rPr>
      </w:pPr>
      <w:r w:rsidRPr="00367521">
        <w:rPr>
          <w:rFonts w:cs="Times New Roman"/>
          <w:lang w:val="fr-CA"/>
        </w:rPr>
        <w:lastRenderedPageBreak/>
        <w:tab/>
        <w:t>(2)</w:t>
      </w:r>
      <w:r w:rsidRPr="00367521">
        <w:rPr>
          <w:rFonts w:cs="Times New Roman"/>
          <w:lang w:val="fr-CA"/>
        </w:rPr>
        <w:tab/>
      </w:r>
      <w:r w:rsidRPr="00367521">
        <w:rPr>
          <w:rFonts w:cs="Times New Roman"/>
          <w:u w:val="single"/>
          <w:lang w:val="fr-CA"/>
        </w:rPr>
        <w:t xml:space="preserve">La fouille </w:t>
      </w:r>
      <w:proofErr w:type="spellStart"/>
      <w:r w:rsidRPr="00367521">
        <w:rPr>
          <w:rFonts w:cs="Times New Roman"/>
          <w:u w:val="single"/>
          <w:lang w:val="fr-CA"/>
        </w:rPr>
        <w:t>était</w:t>
      </w:r>
      <w:r w:rsidRPr="00367521">
        <w:rPr>
          <w:rFonts w:cs="Times New Roman"/>
          <w:u w:val="single"/>
          <w:lang w:val="fr-CA"/>
        </w:rPr>
        <w:noBreakHyphen/>
        <w:t>elle</w:t>
      </w:r>
      <w:proofErr w:type="spellEnd"/>
      <w:r w:rsidRPr="00367521">
        <w:rPr>
          <w:rFonts w:cs="Times New Roman"/>
          <w:u w:val="single"/>
          <w:lang w:val="fr-CA"/>
        </w:rPr>
        <w:t xml:space="preserve"> abusive?</w:t>
      </w:r>
    </w:p>
    <w:p w:rsidR="00BF4088" w:rsidRPr="00367521" w:rsidRDefault="00BF4088" w:rsidP="00BF4088">
      <w:pPr>
        <w:pStyle w:val="ParaNoNdepar-AltN"/>
        <w:rPr>
          <w:rFonts w:cs="Times New Roman"/>
          <w:szCs w:val="24"/>
          <w:lang w:val="fr-CA"/>
        </w:rPr>
      </w:pPr>
      <w:r w:rsidRPr="00367521">
        <w:rPr>
          <w:rFonts w:cs="Times New Roman"/>
          <w:lang w:val="fr-CA"/>
        </w:rPr>
        <w:t xml:space="preserve">Dans l’arrêt </w:t>
      </w:r>
      <w:r w:rsidRPr="00367521">
        <w:rPr>
          <w:rFonts w:cs="Times New Roman"/>
          <w:i/>
          <w:lang w:val="fr-CA"/>
        </w:rPr>
        <w:t>Mann</w:t>
      </w:r>
      <w:r w:rsidRPr="00367521">
        <w:rPr>
          <w:rFonts w:cs="Times New Roman"/>
          <w:lang w:val="fr-CA"/>
        </w:rPr>
        <w:t xml:space="preserve">, la Cour a résumé le cadre permettant de déterminer si les fouilles sans mandat sont conformes à la </w:t>
      </w:r>
      <w:r w:rsidRPr="00367521">
        <w:rPr>
          <w:rFonts w:cs="Times New Roman"/>
          <w:i/>
          <w:lang w:val="fr-CA"/>
        </w:rPr>
        <w:t>Charte</w:t>
      </w:r>
      <w:r w:rsidRPr="000316EF">
        <w:rPr>
          <w:rFonts w:cs="Times New Roman"/>
          <w:lang w:val="fr-CA"/>
        </w:rPr>
        <w:t> :</w:t>
      </w:r>
      <w:r w:rsidR="000316EF">
        <w:rPr>
          <w:rFonts w:cs="Times New Roman"/>
          <w:lang w:val="fr-CA"/>
        </w:rPr>
        <w:t xml:space="preserve"> </w:t>
      </w:r>
    </w:p>
    <w:p w:rsidR="00BF4088" w:rsidRPr="00367521" w:rsidRDefault="00BF4088" w:rsidP="00BF4088">
      <w:pPr>
        <w:pStyle w:val="Citation-AltC"/>
        <w:ind w:hanging="1166"/>
        <w:rPr>
          <w:szCs w:val="24"/>
          <w:lang w:val="fr-CA"/>
        </w:rPr>
      </w:pPr>
      <w:r w:rsidRPr="00367521">
        <w:rPr>
          <w:szCs w:val="24"/>
          <w:lang w:val="fr-CA"/>
        </w:rPr>
        <w:tab/>
        <w:t xml:space="preserve">[Les] fouilles [sans mandat] sont présumées abusives à moins qu’elles puissent être justifiées et, partant, jugées non abusives conformément au critère établi dans l’arrêt </w:t>
      </w:r>
      <w:r w:rsidRPr="00367521">
        <w:rPr>
          <w:i/>
          <w:szCs w:val="24"/>
          <w:lang w:val="fr-CA"/>
        </w:rPr>
        <w:t>R. c. Collins</w:t>
      </w:r>
      <w:r w:rsidRPr="00367521">
        <w:rPr>
          <w:szCs w:val="24"/>
          <w:lang w:val="fr-CA"/>
        </w:rPr>
        <w:t xml:space="preserve">, [1987] 1 R.C.S. 265.  D’après cet arrêt, une fouille sans mandat est réputée non abusive lorsque les conditions suivantes sont réunies : a) elle est autorisée par la loi; b) la loi </w:t>
      </w:r>
      <w:proofErr w:type="spellStart"/>
      <w:r w:rsidRPr="00367521">
        <w:rPr>
          <w:szCs w:val="24"/>
          <w:lang w:val="fr-CA"/>
        </w:rPr>
        <w:t>elle</w:t>
      </w:r>
      <w:r w:rsidRPr="00367521">
        <w:rPr>
          <w:szCs w:val="24"/>
          <w:lang w:val="fr-CA"/>
        </w:rPr>
        <w:noBreakHyphen/>
        <w:t>même</w:t>
      </w:r>
      <w:proofErr w:type="spellEnd"/>
      <w:r w:rsidRPr="00367521">
        <w:rPr>
          <w:szCs w:val="24"/>
          <w:lang w:val="fr-CA"/>
        </w:rPr>
        <w:t xml:space="preserve"> n’a rien d’abusif; c) la fouille n’a pas non plus été effectuée de manière abusive (p. 278).  Il incombe au ministère public d’établir, selon la prépondérance des probabilités, que la fouille effectuée sans mandat était autorisée par une loi non abusive et qu’elle n’a pas été effectuée de manière abusive : </w:t>
      </w:r>
      <w:r w:rsidRPr="00367521">
        <w:rPr>
          <w:i/>
          <w:iCs/>
          <w:szCs w:val="24"/>
          <w:lang w:val="fr-CA"/>
        </w:rPr>
        <w:t xml:space="preserve">R. c. </w:t>
      </w:r>
      <w:proofErr w:type="spellStart"/>
      <w:r w:rsidRPr="00367521">
        <w:rPr>
          <w:i/>
          <w:iCs/>
          <w:szCs w:val="24"/>
          <w:lang w:val="fr-CA"/>
        </w:rPr>
        <w:t>Buhay</w:t>
      </w:r>
      <w:proofErr w:type="spellEnd"/>
      <w:r w:rsidRPr="00367521">
        <w:rPr>
          <w:szCs w:val="24"/>
          <w:lang w:val="fr-CA"/>
        </w:rPr>
        <w:t>, [2003] 1 R.C.S. 631, 2003 CSC 30, par. 32.  [par. 36]</w:t>
      </w:r>
    </w:p>
    <w:p w:rsidR="00BF4088" w:rsidRPr="00367521" w:rsidRDefault="00BF4088" w:rsidP="00BF4088">
      <w:pPr>
        <w:pStyle w:val="ParaNoNdepar-AltN"/>
        <w:rPr>
          <w:rFonts w:cs="Times New Roman"/>
          <w:lang w:val="fr-CA"/>
        </w:rPr>
      </w:pPr>
      <w:r w:rsidRPr="00367521">
        <w:rPr>
          <w:rFonts w:cs="Times New Roman"/>
          <w:lang w:val="fr-CA"/>
        </w:rPr>
        <w:t xml:space="preserve">En appliquant le critère énoncé dans l’arrêt </w:t>
      </w:r>
      <w:r w:rsidRPr="00367521">
        <w:rPr>
          <w:rFonts w:cs="Times New Roman"/>
          <w:i/>
          <w:lang w:val="fr-CA"/>
        </w:rPr>
        <w:t>Collins</w:t>
      </w:r>
      <w:r w:rsidRPr="00367521">
        <w:rPr>
          <w:rFonts w:cs="Times New Roman"/>
          <w:lang w:val="fr-CA"/>
        </w:rPr>
        <w:t xml:space="preserve"> aux faits de l’espèce, j’estime que la fouille effectuée par le sergent Boyd n’était pas abusive.</w:t>
      </w:r>
    </w:p>
    <w:p w:rsidR="00BF4088" w:rsidRPr="00367521" w:rsidRDefault="00CA787B" w:rsidP="00BF4088">
      <w:pPr>
        <w:pStyle w:val="TitleTitre-AltT"/>
        <w:keepNext/>
        <w:tabs>
          <w:tab w:val="clear" w:pos="360"/>
          <w:tab w:val="left" w:pos="1200"/>
        </w:tabs>
        <w:spacing w:before="0"/>
        <w:ind w:left="1680" w:hanging="1680"/>
        <w:rPr>
          <w:rFonts w:cs="Times New Roman"/>
          <w:lang w:val="fr-CA"/>
        </w:rPr>
      </w:pPr>
      <w:r>
        <w:rPr>
          <w:rFonts w:cs="Times New Roman"/>
          <w:lang w:val="fr-CA"/>
        </w:rPr>
        <w:tab/>
      </w:r>
      <w:r w:rsidR="00BF4088" w:rsidRPr="00367521">
        <w:rPr>
          <w:rFonts w:cs="Times New Roman"/>
          <w:lang w:val="fr-CA"/>
        </w:rPr>
        <w:t>a)</w:t>
      </w:r>
      <w:r w:rsidR="00BF4088" w:rsidRPr="00367521">
        <w:rPr>
          <w:rFonts w:cs="Times New Roman"/>
          <w:lang w:val="fr-CA"/>
        </w:rPr>
        <w:tab/>
      </w:r>
      <w:r w:rsidR="00BF4088" w:rsidRPr="00367521">
        <w:rPr>
          <w:rFonts w:cs="Times New Roman"/>
          <w:i/>
          <w:lang w:val="fr-CA"/>
        </w:rPr>
        <w:t xml:space="preserve">La fouille était autorisée par une règle de droit qui n’avait </w:t>
      </w:r>
      <w:proofErr w:type="spellStart"/>
      <w:r w:rsidR="00BF4088" w:rsidRPr="00367521">
        <w:rPr>
          <w:rFonts w:cs="Times New Roman"/>
          <w:i/>
          <w:lang w:val="fr-CA"/>
        </w:rPr>
        <w:t>elle</w:t>
      </w:r>
      <w:r w:rsidR="00BF4088" w:rsidRPr="00367521">
        <w:rPr>
          <w:rFonts w:cs="Times New Roman"/>
          <w:i/>
          <w:lang w:val="fr-CA"/>
        </w:rPr>
        <w:noBreakHyphen/>
        <w:t>même</w:t>
      </w:r>
      <w:proofErr w:type="spellEnd"/>
      <w:r w:rsidR="00BF4088" w:rsidRPr="00367521">
        <w:rPr>
          <w:rFonts w:cs="Times New Roman"/>
          <w:i/>
          <w:lang w:val="fr-CA"/>
        </w:rPr>
        <w:t xml:space="preserve"> rien d’abusif </w:t>
      </w:r>
    </w:p>
    <w:p w:rsidR="00BF4088" w:rsidRPr="00367521" w:rsidRDefault="00BF4088" w:rsidP="00BF4088">
      <w:pPr>
        <w:pStyle w:val="ParaNoNdepar-AltN"/>
        <w:rPr>
          <w:rFonts w:cs="Times New Roman"/>
          <w:lang w:val="fr-CA"/>
        </w:rPr>
      </w:pPr>
      <w:r w:rsidRPr="00367521">
        <w:rPr>
          <w:rFonts w:cs="Times New Roman"/>
          <w:lang w:val="fr-CA"/>
        </w:rPr>
        <w:t xml:space="preserve">Suivant le premier volet du critère énoncé dans </w:t>
      </w:r>
      <w:r w:rsidRPr="00367521">
        <w:rPr>
          <w:rFonts w:cs="Times New Roman"/>
          <w:i/>
          <w:lang w:val="fr-CA"/>
        </w:rPr>
        <w:t>Collins</w:t>
      </w:r>
      <w:r w:rsidRPr="00367521">
        <w:rPr>
          <w:rFonts w:cs="Times New Roman"/>
          <w:lang w:val="fr-CA"/>
        </w:rPr>
        <w:t xml:space="preserve">, la fouille est autorisée par une règle de droit si l’exercice d’un pouvoir policier valide le permet.  Dans </w:t>
      </w:r>
      <w:r w:rsidRPr="00367521">
        <w:rPr>
          <w:rFonts w:cs="Times New Roman"/>
          <w:i/>
          <w:lang w:val="fr-CA"/>
        </w:rPr>
        <w:t>Godoy</w:t>
      </w:r>
      <w:r w:rsidRPr="00367521">
        <w:rPr>
          <w:rFonts w:cs="Times New Roman"/>
          <w:lang w:val="fr-CA"/>
        </w:rPr>
        <w:t xml:space="preserve">, le juge en chef Lamer a confirmé que la </w:t>
      </w:r>
      <w:proofErr w:type="spellStart"/>
      <w:r w:rsidRPr="00367521">
        <w:rPr>
          <w:rFonts w:cs="Times New Roman"/>
          <w:lang w:val="fr-CA"/>
        </w:rPr>
        <w:t>common</w:t>
      </w:r>
      <w:proofErr w:type="spellEnd"/>
      <w:r w:rsidRPr="00367521">
        <w:rPr>
          <w:rFonts w:cs="Times New Roman"/>
          <w:lang w:val="fr-CA"/>
        </w:rPr>
        <w:t xml:space="preserve"> </w:t>
      </w:r>
      <w:proofErr w:type="spellStart"/>
      <w:r w:rsidRPr="00367521">
        <w:rPr>
          <w:rFonts w:cs="Times New Roman"/>
          <w:lang w:val="fr-CA"/>
        </w:rPr>
        <w:t>law</w:t>
      </w:r>
      <w:proofErr w:type="spellEnd"/>
      <w:r w:rsidRPr="00367521">
        <w:rPr>
          <w:rFonts w:cs="Times New Roman"/>
          <w:lang w:val="fr-CA"/>
        </w:rPr>
        <w:t xml:space="preserve"> imposait au policier un devoir de protéger la vie et la sécurité.  Cependant, « [i]l n’y a pas nécessairement correspondance entre les pouvoirs dont disposent les policiers et les devoirs qui leur incombent » (</w:t>
      </w:r>
      <w:r w:rsidRPr="00367521">
        <w:rPr>
          <w:rFonts w:cs="Times New Roman"/>
          <w:i/>
          <w:lang w:val="fr-CA"/>
        </w:rPr>
        <w:t>Mann</w:t>
      </w:r>
      <w:r w:rsidRPr="00367521">
        <w:rPr>
          <w:rFonts w:cs="Times New Roman"/>
          <w:lang w:val="fr-CA"/>
        </w:rPr>
        <w:t xml:space="preserve">, par. 35).  En fait, le pouvoir des policiers de procéder à une fouille n’est pas absolu.  Il ne peut être exercé qu’en cas de nécessité </w:t>
      </w:r>
      <w:r w:rsidRPr="00367521">
        <w:rPr>
          <w:rFonts w:cs="Times New Roman"/>
          <w:lang w:val="fr-CA"/>
        </w:rPr>
        <w:lastRenderedPageBreak/>
        <w:t xml:space="preserve">objectivement vérifiable (par. 26).  Dans </w:t>
      </w:r>
      <w:r w:rsidRPr="00367521">
        <w:rPr>
          <w:rFonts w:cs="Times New Roman"/>
          <w:i/>
          <w:lang w:val="fr-CA"/>
        </w:rPr>
        <w:t>Mann</w:t>
      </w:r>
      <w:r w:rsidRPr="00367521">
        <w:rPr>
          <w:rFonts w:cs="Times New Roman"/>
          <w:lang w:val="fr-CA"/>
        </w:rPr>
        <w:t xml:space="preserve">, le juge </w:t>
      </w:r>
      <w:proofErr w:type="spellStart"/>
      <w:r w:rsidRPr="00367521">
        <w:rPr>
          <w:rFonts w:cs="Times New Roman"/>
          <w:lang w:val="fr-CA"/>
        </w:rPr>
        <w:t>Iacobucci</w:t>
      </w:r>
      <w:proofErr w:type="spellEnd"/>
      <w:r w:rsidRPr="00367521">
        <w:rPr>
          <w:rFonts w:cs="Times New Roman"/>
          <w:lang w:val="fr-CA"/>
        </w:rPr>
        <w:t xml:space="preserve"> a reconnu la nécessité d’un pouvoir général des policiers de procéder à des fouilles par palpation, mais seulement si les circonstances le justifient.  Il est demeuré conscient des risques d’abus de ce pouvoir.  Il a d’ailleurs fa</w:t>
      </w:r>
      <w:r w:rsidR="000316EF">
        <w:rPr>
          <w:rFonts w:cs="Times New Roman"/>
          <w:lang w:val="fr-CA"/>
        </w:rPr>
        <w:t>it les remarques suivantes : « U</w:t>
      </w:r>
      <w:r w:rsidRPr="00367521">
        <w:rPr>
          <w:rFonts w:cs="Times New Roman"/>
          <w:lang w:val="fr-CA"/>
        </w:rPr>
        <w:t>n tel pouvoir de fouille n’existe pas de manière autonome; le policier doit croire, pour des motifs raisonnables, que sa propre sécurité ou celle d’autrui est menacée » (par. 40).</w:t>
      </w:r>
    </w:p>
    <w:p w:rsidR="00BF4088" w:rsidRPr="00367521" w:rsidRDefault="00BF4088" w:rsidP="00BF4088">
      <w:pPr>
        <w:pStyle w:val="ParaNoNdepar-AltN"/>
        <w:rPr>
          <w:rFonts w:cs="Times New Roman"/>
          <w:lang w:val="fr-CA"/>
        </w:rPr>
      </w:pPr>
      <w:r w:rsidRPr="00367521">
        <w:rPr>
          <w:rFonts w:cs="Times New Roman"/>
          <w:lang w:val="fr-CA"/>
        </w:rPr>
        <w:t>Une fouille policière raisonnablement nécessaire pour éliminer les menaces à la sécurité du public ou du policier — que j’appellerai une « fouille de sécurité » — est généralement menée en réaction à une menace.  C’est</w:t>
      </w:r>
      <w:r w:rsidR="000316EF">
        <w:rPr>
          <w:rFonts w:cs="Times New Roman"/>
          <w:lang w:val="fr-CA"/>
        </w:rPr>
        <w:t>-</w:t>
      </w:r>
      <w:r w:rsidRPr="00367521">
        <w:rPr>
          <w:rFonts w:cs="Times New Roman"/>
          <w:lang w:val="fr-CA"/>
        </w:rPr>
        <w:t>à</w:t>
      </w:r>
      <w:r w:rsidR="000316EF">
        <w:rPr>
          <w:rFonts w:cs="Times New Roman"/>
          <w:lang w:val="fr-CA"/>
        </w:rPr>
        <w:t>-</w:t>
      </w:r>
      <w:r w:rsidRPr="00367521">
        <w:rPr>
          <w:rFonts w:cs="Times New Roman"/>
          <w:lang w:val="fr-CA"/>
        </w:rPr>
        <w:t>dire que, même si de telles fouille</w:t>
      </w:r>
      <w:r>
        <w:rPr>
          <w:rFonts w:cs="Times New Roman"/>
          <w:lang w:val="fr-CA"/>
        </w:rPr>
        <w:t>s</w:t>
      </w:r>
      <w:r w:rsidRPr="00367521">
        <w:rPr>
          <w:rFonts w:cs="Times New Roman"/>
          <w:lang w:val="fr-CA"/>
        </w:rPr>
        <w:t xml:space="preserve"> peuvent être effectuées dans toutes sortes de situations, elles sont généralement imprévues parce qu’elles constituent une réponse à une situation dangereuse créée par une personne, situation à laquelle les policiers doivent réagir « sous l’impulsion du moment ».  Le propos du juge Binnie dans l’arrêt </w:t>
      </w:r>
      <w:r w:rsidRPr="00367521">
        <w:rPr>
          <w:rFonts w:cs="Times New Roman"/>
          <w:i/>
          <w:lang w:val="fr-CA"/>
        </w:rPr>
        <w:t xml:space="preserve">A.M. </w:t>
      </w:r>
      <w:r w:rsidRPr="00367521">
        <w:rPr>
          <w:rFonts w:cs="Times New Roman"/>
          <w:lang w:val="fr-CA"/>
        </w:rPr>
        <w:t>relativement aux fouilles effectuées avec des chiens renifleurs, selon lequel « les policiers sont généralement obligés de prendre rapidement des mesures en fonction des observations faites sur place » (par. 90), s’applique également aux fouilles de sécurité.  Ces fouilles sont donc habituellement effectuées sans mandat, car les policiers n’ont généralement pas le temps d’obtenir une autorisation judiciaire préalable.  Elles procèdent en quelque sorte d’une situation d’urgence.  Malgré cette situation d’urgence, les « fouilles de sécurité » doivent néanmoins être autorisées par une règle de droit.</w:t>
      </w:r>
    </w:p>
    <w:p w:rsidR="00BF4088" w:rsidRPr="00367521" w:rsidRDefault="00BF4088" w:rsidP="00BF4088">
      <w:pPr>
        <w:pStyle w:val="ParaNoNdepar-AltN"/>
        <w:rPr>
          <w:rFonts w:cs="Times New Roman"/>
          <w:lang w:val="fr-CA"/>
        </w:rPr>
      </w:pPr>
      <w:r w:rsidRPr="00367521">
        <w:rPr>
          <w:rFonts w:cs="Times New Roman"/>
          <w:lang w:val="fr-CA"/>
        </w:rPr>
        <w:lastRenderedPageBreak/>
        <w:t xml:space="preserve">En plaidant que la fouille effectuée par le sergent Boyd était autorisée par une règle de droit, le ministère public s’appuie sur le critère établi dans l’arrêt </w:t>
      </w:r>
      <w:r w:rsidRPr="00367521">
        <w:rPr>
          <w:rFonts w:cs="Times New Roman"/>
          <w:i/>
          <w:lang w:val="fr-CA"/>
        </w:rPr>
        <w:t>R. c.</w:t>
      </w:r>
      <w:r w:rsidRPr="00367521">
        <w:rPr>
          <w:rFonts w:cs="Times New Roman"/>
          <w:lang w:val="fr-CA"/>
        </w:rPr>
        <w:t xml:space="preserve"> </w:t>
      </w:r>
      <w:proofErr w:type="spellStart"/>
      <w:r w:rsidRPr="00367521">
        <w:rPr>
          <w:rFonts w:cs="Times New Roman"/>
          <w:i/>
          <w:lang w:val="fr-CA"/>
        </w:rPr>
        <w:t>Waterfield</w:t>
      </w:r>
      <w:proofErr w:type="spellEnd"/>
      <w:r w:rsidRPr="00367521">
        <w:rPr>
          <w:rFonts w:cs="Times New Roman"/>
          <w:lang w:val="fr-CA"/>
        </w:rPr>
        <w:t>, [1963] 3 All E.R. 659 (C.</w:t>
      </w:r>
      <w:r w:rsidR="000316EF">
        <w:rPr>
          <w:rFonts w:cs="Times New Roman"/>
          <w:lang w:val="fr-CA"/>
        </w:rPr>
        <w:t>A.</w:t>
      </w:r>
      <w:r w:rsidRPr="00367521">
        <w:rPr>
          <w:rFonts w:cs="Times New Roman"/>
          <w:lang w:val="fr-CA"/>
        </w:rPr>
        <w:t>C.)</w:t>
      </w:r>
      <w:r w:rsidR="00BE5C39">
        <w:rPr>
          <w:rFonts w:cs="Times New Roman"/>
          <w:lang w:val="fr-CA"/>
        </w:rPr>
        <w:t>,</w:t>
      </w:r>
      <w:r w:rsidRPr="00367521">
        <w:rPr>
          <w:rFonts w:cs="Times New Roman"/>
          <w:lang w:val="fr-CA"/>
        </w:rPr>
        <w:t xml:space="preserve"> et énoncé par notre Cour dans </w:t>
      </w:r>
      <w:proofErr w:type="spellStart"/>
      <w:r w:rsidRPr="00367521">
        <w:rPr>
          <w:rFonts w:cs="Times New Roman"/>
          <w:i/>
          <w:lang w:val="fr-CA"/>
        </w:rPr>
        <w:t>Dedman</w:t>
      </w:r>
      <w:proofErr w:type="spellEnd"/>
      <w:r w:rsidRPr="00367521">
        <w:rPr>
          <w:rFonts w:cs="Times New Roman"/>
          <w:i/>
          <w:lang w:val="fr-CA"/>
        </w:rPr>
        <w:t xml:space="preserve"> c. La Reine</w:t>
      </w:r>
      <w:r w:rsidRPr="00367521">
        <w:rPr>
          <w:rFonts w:cs="Times New Roman"/>
          <w:lang w:val="fr-CA"/>
        </w:rPr>
        <w:t xml:space="preserve">, [1985] 2 R.C.S. 2.  Il convient de rappeler que dans </w:t>
      </w:r>
      <w:proofErr w:type="spellStart"/>
      <w:r w:rsidRPr="00367521">
        <w:rPr>
          <w:rFonts w:cs="Times New Roman"/>
          <w:i/>
          <w:lang w:val="fr-CA"/>
        </w:rPr>
        <w:t>Waterfield</w:t>
      </w:r>
      <w:proofErr w:type="spellEnd"/>
      <w:r w:rsidRPr="00367521">
        <w:rPr>
          <w:rFonts w:cs="Times New Roman"/>
          <w:lang w:val="fr-CA"/>
        </w:rPr>
        <w:t xml:space="preserve">, deux policiers avaient essayé de détenir un </w:t>
      </w:r>
      <w:r w:rsidRPr="00367521">
        <w:rPr>
          <w:rFonts w:cs="Times New Roman"/>
          <w:i/>
          <w:lang w:val="fr-CA"/>
        </w:rPr>
        <w:t>bien personnel</w:t>
      </w:r>
      <w:r w:rsidRPr="00367521">
        <w:rPr>
          <w:rFonts w:cs="Times New Roman"/>
          <w:lang w:val="fr-CA"/>
        </w:rPr>
        <w:t xml:space="preserve"> (une automobile) appartenant à l’accusé.  La cour a établi un critère à deux volets pour déterminer si les policiers </w:t>
      </w:r>
      <w:r w:rsidRPr="00367521">
        <w:rPr>
          <w:rFonts w:cs="Times New Roman"/>
          <w:i/>
          <w:lang w:val="fr-CA"/>
        </w:rPr>
        <w:t>agissaient dans l’exercice de leurs fonctions</w:t>
      </w:r>
      <w:r w:rsidRPr="00367521">
        <w:rPr>
          <w:rFonts w:cs="Times New Roman"/>
          <w:lang w:val="fr-CA"/>
        </w:rPr>
        <w:t xml:space="preserve"> lorsqu’ils avaient tenté d’empêcher l’accusé de déplacer le bien lui appartenant.  Comme le souligne le professeur P. </w:t>
      </w:r>
      <w:proofErr w:type="spellStart"/>
      <w:r w:rsidRPr="00367521">
        <w:rPr>
          <w:rFonts w:cs="Times New Roman"/>
          <w:lang w:val="fr-CA"/>
        </w:rPr>
        <w:t>Healy</w:t>
      </w:r>
      <w:proofErr w:type="spellEnd"/>
      <w:r w:rsidRPr="00367521">
        <w:rPr>
          <w:rFonts w:cs="Times New Roman"/>
          <w:lang w:val="fr-CA"/>
        </w:rPr>
        <w:t xml:space="preserve">, le critère proposé dans </w:t>
      </w:r>
      <w:proofErr w:type="spellStart"/>
      <w:r w:rsidRPr="00367521">
        <w:rPr>
          <w:rFonts w:cs="Times New Roman"/>
          <w:i/>
          <w:lang w:val="fr-CA"/>
        </w:rPr>
        <w:t>Waterfield</w:t>
      </w:r>
      <w:proofErr w:type="spellEnd"/>
      <w:r w:rsidRPr="00367521">
        <w:rPr>
          <w:rFonts w:cs="Times New Roman"/>
          <w:i/>
          <w:lang w:val="fr-CA"/>
        </w:rPr>
        <w:t xml:space="preserve"> </w:t>
      </w:r>
      <w:r w:rsidRPr="00367521">
        <w:rPr>
          <w:rFonts w:cs="Times New Roman"/>
          <w:lang w:val="fr-CA"/>
        </w:rPr>
        <w:t xml:space="preserve">a servi, dans </w:t>
      </w:r>
      <w:proofErr w:type="spellStart"/>
      <w:r w:rsidRPr="00367521">
        <w:rPr>
          <w:rFonts w:cs="Times New Roman"/>
          <w:i/>
          <w:lang w:val="fr-CA"/>
        </w:rPr>
        <w:t>Dedman</w:t>
      </w:r>
      <w:proofErr w:type="spellEnd"/>
      <w:r w:rsidRPr="00367521">
        <w:rPr>
          <w:rFonts w:cs="Times New Roman"/>
          <w:lang w:val="fr-CA"/>
        </w:rPr>
        <w:t xml:space="preserve"> et dans les premières décisions canadiennes l’ayant appliqué (</w:t>
      </w:r>
      <w:r w:rsidRPr="00367521">
        <w:rPr>
          <w:rFonts w:cs="Times New Roman"/>
          <w:i/>
          <w:lang w:val="fr-CA"/>
        </w:rPr>
        <w:t xml:space="preserve">R. c. </w:t>
      </w:r>
      <w:proofErr w:type="spellStart"/>
      <w:r w:rsidRPr="00367521">
        <w:rPr>
          <w:rFonts w:cs="Times New Roman"/>
          <w:i/>
          <w:lang w:val="fr-CA"/>
        </w:rPr>
        <w:t>Stenning</w:t>
      </w:r>
      <w:proofErr w:type="spellEnd"/>
      <w:r w:rsidRPr="00367521">
        <w:rPr>
          <w:rFonts w:cs="Times New Roman"/>
          <w:lang w:val="fr-CA"/>
        </w:rPr>
        <w:t xml:space="preserve">, [1970] R.C.S. 631, et </w:t>
      </w:r>
      <w:proofErr w:type="spellStart"/>
      <w:r w:rsidRPr="00367521">
        <w:rPr>
          <w:rFonts w:cs="Times New Roman"/>
          <w:i/>
          <w:lang w:val="fr-CA"/>
        </w:rPr>
        <w:t>Knowlton</w:t>
      </w:r>
      <w:proofErr w:type="spellEnd"/>
      <w:r w:rsidRPr="00367521">
        <w:rPr>
          <w:rFonts w:cs="Times New Roman"/>
          <w:i/>
          <w:lang w:val="fr-CA"/>
        </w:rPr>
        <w:t xml:space="preserve"> c. La Reine</w:t>
      </w:r>
      <w:r w:rsidRPr="00367521">
        <w:rPr>
          <w:rFonts w:cs="Times New Roman"/>
          <w:lang w:val="fr-CA"/>
        </w:rPr>
        <w:t>, [1974] R.C.S. 443), à établir [</w:t>
      </w:r>
      <w:r w:rsidRPr="00367521">
        <w:rPr>
          <w:rFonts w:cs="Times New Roman"/>
          <w:smallCaps/>
          <w:lang w:val="fr-CA"/>
        </w:rPr>
        <w:t>traduction</w:t>
      </w:r>
      <w:r w:rsidR="000316EF">
        <w:rPr>
          <w:rFonts w:cs="Times New Roman"/>
          <w:lang w:val="fr-CA"/>
        </w:rPr>
        <w:t xml:space="preserve">] </w:t>
      </w:r>
      <w:r w:rsidRPr="00367521">
        <w:rPr>
          <w:rFonts w:cs="Times New Roman"/>
          <w:lang w:val="fr-CA"/>
        </w:rPr>
        <w:t xml:space="preserve">« le cadre de la responsabilité applicable lorsqu’il </w:t>
      </w:r>
      <w:proofErr w:type="gramStart"/>
      <w:r w:rsidRPr="00367521">
        <w:rPr>
          <w:rFonts w:cs="Times New Roman"/>
          <w:lang w:val="fr-CA"/>
        </w:rPr>
        <w:t>s’agi[</w:t>
      </w:r>
      <w:proofErr w:type="spellStart"/>
      <w:proofErr w:type="gramEnd"/>
      <w:r w:rsidRPr="00367521">
        <w:rPr>
          <w:rFonts w:cs="Times New Roman"/>
          <w:lang w:val="fr-CA"/>
        </w:rPr>
        <w:t>ssait</w:t>
      </w:r>
      <w:proofErr w:type="spellEnd"/>
      <w:r w:rsidRPr="00367521">
        <w:rPr>
          <w:rFonts w:cs="Times New Roman"/>
          <w:lang w:val="fr-CA"/>
        </w:rPr>
        <w:t>] de déterminer si un policier a[</w:t>
      </w:r>
      <w:proofErr w:type="spellStart"/>
      <w:r w:rsidRPr="00367521">
        <w:rPr>
          <w:rFonts w:cs="Times New Roman"/>
          <w:lang w:val="fr-CA"/>
        </w:rPr>
        <w:t>vait</w:t>
      </w:r>
      <w:proofErr w:type="spellEnd"/>
      <w:r w:rsidRPr="00367521">
        <w:rPr>
          <w:rFonts w:cs="Times New Roman"/>
          <w:lang w:val="fr-CA"/>
        </w:rPr>
        <w:t>] agi dans l’exercice de ses fonctions » : « </w:t>
      </w:r>
      <w:proofErr w:type="spellStart"/>
      <w:r w:rsidRPr="00367521">
        <w:rPr>
          <w:rFonts w:cs="Times New Roman"/>
          <w:lang w:val="fr-CA"/>
        </w:rPr>
        <w:t>Investigative</w:t>
      </w:r>
      <w:proofErr w:type="spellEnd"/>
      <w:r w:rsidRPr="00367521">
        <w:rPr>
          <w:rFonts w:cs="Times New Roman"/>
          <w:lang w:val="fr-CA"/>
        </w:rPr>
        <w:t xml:space="preserve"> </w:t>
      </w:r>
      <w:proofErr w:type="spellStart"/>
      <w:r w:rsidRPr="00367521">
        <w:rPr>
          <w:rFonts w:cs="Times New Roman"/>
          <w:lang w:val="fr-CA"/>
        </w:rPr>
        <w:t>Detention</w:t>
      </w:r>
      <w:proofErr w:type="spellEnd"/>
      <w:r w:rsidRPr="00367521">
        <w:rPr>
          <w:rFonts w:cs="Times New Roman"/>
          <w:lang w:val="fr-CA"/>
        </w:rPr>
        <w:t xml:space="preserve"> in Canada », </w:t>
      </w:r>
      <w:r w:rsidR="000316EF">
        <w:rPr>
          <w:rFonts w:cs="Times New Roman"/>
          <w:lang w:val="fr-CA"/>
        </w:rPr>
        <w:t>[</w:t>
      </w:r>
      <w:r w:rsidRPr="00367521">
        <w:rPr>
          <w:rFonts w:cs="Times New Roman"/>
          <w:lang w:val="fr-CA"/>
        </w:rPr>
        <w:t>2005</w:t>
      </w:r>
      <w:r w:rsidR="000316EF">
        <w:rPr>
          <w:rFonts w:cs="Times New Roman"/>
          <w:lang w:val="fr-CA"/>
        </w:rPr>
        <w:t>]</w:t>
      </w:r>
      <w:r w:rsidRPr="00367521">
        <w:rPr>
          <w:rFonts w:cs="Times New Roman"/>
          <w:lang w:val="fr-CA"/>
        </w:rPr>
        <w:t xml:space="preserve"> </w:t>
      </w:r>
      <w:proofErr w:type="spellStart"/>
      <w:r w:rsidRPr="00367521">
        <w:rPr>
          <w:rFonts w:cs="Times New Roman"/>
          <w:i/>
          <w:lang w:val="fr-CA"/>
        </w:rPr>
        <w:t>Crim</w:t>
      </w:r>
      <w:proofErr w:type="spellEnd"/>
      <w:r w:rsidRPr="00367521">
        <w:rPr>
          <w:rFonts w:cs="Times New Roman"/>
          <w:i/>
          <w:lang w:val="fr-CA"/>
        </w:rPr>
        <w:t>. L.R.</w:t>
      </w:r>
      <w:r w:rsidRPr="00367521">
        <w:rPr>
          <w:rFonts w:cs="Times New Roman"/>
          <w:lang w:val="fr-CA"/>
        </w:rPr>
        <w:t xml:space="preserve"> 98, p. 102.  Ce critère aidait à déterminer si un policier victime d’une agression agissait, au moment de l’agression, à titre de policier, et si l’accusé s’était donc rendu coupable de voies de fait à l’endroit d’un policier plutôt qu’à l’endroit d’un citoyen ordinaire.  L’arrêt </w:t>
      </w:r>
      <w:proofErr w:type="spellStart"/>
      <w:r w:rsidRPr="00367521">
        <w:rPr>
          <w:rFonts w:cs="Times New Roman"/>
          <w:i/>
          <w:lang w:val="fr-CA"/>
        </w:rPr>
        <w:t>Waterfield</w:t>
      </w:r>
      <w:proofErr w:type="spellEnd"/>
      <w:r w:rsidRPr="00367521">
        <w:rPr>
          <w:rFonts w:cs="Times New Roman"/>
          <w:lang w:val="fr-CA"/>
        </w:rPr>
        <w:t xml:space="preserve"> ne répond donc pas parfaitement à la question de savoir si les policiers ont le </w:t>
      </w:r>
      <w:r w:rsidRPr="00367521">
        <w:rPr>
          <w:rFonts w:cs="Times New Roman"/>
          <w:i/>
          <w:lang w:val="fr-CA"/>
        </w:rPr>
        <w:t xml:space="preserve">pouvoir en </w:t>
      </w:r>
      <w:proofErr w:type="spellStart"/>
      <w:r w:rsidRPr="00367521">
        <w:rPr>
          <w:rFonts w:cs="Times New Roman"/>
          <w:i/>
          <w:lang w:val="fr-CA"/>
        </w:rPr>
        <w:t>common</w:t>
      </w:r>
      <w:proofErr w:type="spellEnd"/>
      <w:r w:rsidRPr="00367521">
        <w:rPr>
          <w:rFonts w:cs="Times New Roman"/>
          <w:i/>
          <w:lang w:val="fr-CA"/>
        </w:rPr>
        <w:t xml:space="preserve"> </w:t>
      </w:r>
      <w:proofErr w:type="spellStart"/>
      <w:r w:rsidRPr="00367521">
        <w:rPr>
          <w:rFonts w:cs="Times New Roman"/>
          <w:i/>
          <w:lang w:val="fr-CA"/>
        </w:rPr>
        <w:t>law</w:t>
      </w:r>
      <w:proofErr w:type="spellEnd"/>
      <w:r w:rsidRPr="00367521">
        <w:rPr>
          <w:rFonts w:cs="Times New Roman"/>
          <w:lang w:val="fr-CA"/>
        </w:rPr>
        <w:t xml:space="preserve"> d’effectuer des fouilles de sécurité touchant des </w:t>
      </w:r>
      <w:r w:rsidRPr="00367521">
        <w:rPr>
          <w:rFonts w:cs="Times New Roman"/>
          <w:i/>
          <w:lang w:val="fr-CA"/>
        </w:rPr>
        <w:t>personnes</w:t>
      </w:r>
      <w:r w:rsidRPr="00367521">
        <w:rPr>
          <w:rFonts w:cs="Times New Roman"/>
          <w:lang w:val="fr-CA"/>
        </w:rPr>
        <w:t>.</w:t>
      </w:r>
    </w:p>
    <w:p w:rsidR="00BF4088" w:rsidRPr="00367521" w:rsidRDefault="00B50048" w:rsidP="00BF4088">
      <w:pPr>
        <w:pStyle w:val="ParaNoNdepar-AltN"/>
        <w:rPr>
          <w:rFonts w:cs="Times New Roman"/>
          <w:lang w:val="fr-CA"/>
        </w:rPr>
      </w:pPr>
      <w:r>
        <w:rPr>
          <w:rFonts w:cs="Times New Roman"/>
          <w:lang w:val="fr-CA"/>
        </w:rPr>
        <w:t>Tournons-</w:t>
      </w:r>
      <w:r w:rsidR="00BF4088" w:rsidRPr="00367521">
        <w:rPr>
          <w:rFonts w:cs="Times New Roman"/>
          <w:lang w:val="fr-CA"/>
        </w:rPr>
        <w:t xml:space="preserve">nous plutôt vers notre jurisprudence.  Notre Cour a précisé et appliqué le critère à deux volets de l’arrêt </w:t>
      </w:r>
      <w:proofErr w:type="spellStart"/>
      <w:r w:rsidR="00BF4088" w:rsidRPr="00367521">
        <w:rPr>
          <w:rFonts w:cs="Times New Roman"/>
          <w:i/>
          <w:lang w:val="fr-CA"/>
        </w:rPr>
        <w:t>Waterfield</w:t>
      </w:r>
      <w:proofErr w:type="spellEnd"/>
      <w:r w:rsidR="00BF4088" w:rsidRPr="00367521">
        <w:rPr>
          <w:rFonts w:cs="Times New Roman"/>
          <w:lang w:val="fr-CA"/>
        </w:rPr>
        <w:t xml:space="preserve"> dans des contextes divers, comparables à celui des fouilles de sécurité, afin de déterminer si le pouvoir des </w:t>
      </w:r>
      <w:r w:rsidR="00BF4088" w:rsidRPr="00367521">
        <w:rPr>
          <w:rFonts w:cs="Times New Roman"/>
          <w:lang w:val="fr-CA"/>
        </w:rPr>
        <w:lastRenderedPageBreak/>
        <w:t>policiers englobait une conduite constituant à première vue une atteinte à la liberté d’une personne (</w:t>
      </w:r>
      <w:proofErr w:type="spellStart"/>
      <w:r w:rsidR="00BF4088" w:rsidRPr="00367521">
        <w:rPr>
          <w:rFonts w:cs="Times New Roman"/>
          <w:i/>
          <w:lang w:val="fr-CA"/>
        </w:rPr>
        <w:t>Dedman</w:t>
      </w:r>
      <w:proofErr w:type="spellEnd"/>
      <w:r w:rsidR="00BF4088" w:rsidRPr="00367521">
        <w:rPr>
          <w:rFonts w:cs="Times New Roman"/>
          <w:lang w:val="fr-CA"/>
        </w:rPr>
        <w:t xml:space="preserve"> et </w:t>
      </w:r>
      <w:r w:rsidR="00BF4088" w:rsidRPr="00367521">
        <w:rPr>
          <w:rFonts w:cs="Times New Roman"/>
          <w:i/>
          <w:lang w:val="fr-CA"/>
        </w:rPr>
        <w:t>Mann</w:t>
      </w:r>
      <w:r w:rsidR="00BF4088" w:rsidRPr="00367521">
        <w:rPr>
          <w:rFonts w:cs="Times New Roman"/>
          <w:lang w:val="fr-CA"/>
        </w:rPr>
        <w:t>).</w:t>
      </w:r>
    </w:p>
    <w:p w:rsidR="00BF4088" w:rsidRPr="00367521" w:rsidRDefault="00BF4088" w:rsidP="00BF4088">
      <w:pPr>
        <w:pStyle w:val="ParaNoNdepar-AltN"/>
        <w:rPr>
          <w:rFonts w:cs="Times New Roman"/>
          <w:lang w:val="fr-CA"/>
        </w:rPr>
      </w:pPr>
      <w:r w:rsidRPr="00367521">
        <w:rPr>
          <w:rFonts w:cs="Times New Roman"/>
          <w:lang w:val="fr-CA"/>
        </w:rPr>
        <w:t xml:space="preserve">Pour satisfaire au premier volet du critère établi dans l’arrêt </w:t>
      </w:r>
      <w:proofErr w:type="spellStart"/>
      <w:r w:rsidRPr="00367521">
        <w:rPr>
          <w:rFonts w:cs="Times New Roman"/>
          <w:i/>
          <w:lang w:val="fr-CA"/>
        </w:rPr>
        <w:t>Waterfield</w:t>
      </w:r>
      <w:proofErr w:type="spellEnd"/>
      <w:r w:rsidRPr="00367521">
        <w:rPr>
          <w:rFonts w:cs="Times New Roman"/>
          <w:lang w:val="fr-CA"/>
        </w:rPr>
        <w:t xml:space="preserve">, le tribunal doit se demander si la conduite s’inscrit dans le cadre général d’un devoir incombant aux policiers aux termes d’un texte de loi ou de la </w:t>
      </w:r>
      <w:proofErr w:type="spellStart"/>
      <w:r w:rsidRPr="00367521">
        <w:rPr>
          <w:rFonts w:cs="Times New Roman"/>
          <w:lang w:val="fr-CA"/>
        </w:rPr>
        <w:t>common</w:t>
      </w:r>
      <w:proofErr w:type="spellEnd"/>
      <w:r w:rsidRPr="00367521">
        <w:rPr>
          <w:rFonts w:cs="Times New Roman"/>
          <w:lang w:val="fr-CA"/>
        </w:rPr>
        <w:t xml:space="preserve"> </w:t>
      </w:r>
      <w:proofErr w:type="spellStart"/>
      <w:r w:rsidRPr="00367521">
        <w:rPr>
          <w:rFonts w:cs="Times New Roman"/>
          <w:lang w:val="fr-CA"/>
        </w:rPr>
        <w:t>law</w:t>
      </w:r>
      <w:proofErr w:type="spellEnd"/>
      <w:r w:rsidRPr="00367521">
        <w:rPr>
          <w:rFonts w:cs="Times New Roman"/>
          <w:lang w:val="fr-CA"/>
        </w:rPr>
        <w:t xml:space="preserve">.  Dans le cas des fouilles de sécurité, il est facile de satisfaire à ce premier volet du critère.  Comme nous l’avons vu, la conduite des policiers en l’espèce s’inscrit dans le cadre général du devoir qu’ont les policiers en </w:t>
      </w:r>
      <w:proofErr w:type="spellStart"/>
      <w:r w:rsidRPr="00367521">
        <w:rPr>
          <w:rFonts w:cs="Times New Roman"/>
          <w:lang w:val="fr-CA"/>
        </w:rPr>
        <w:t>common</w:t>
      </w:r>
      <w:proofErr w:type="spellEnd"/>
      <w:r w:rsidRPr="00367521">
        <w:rPr>
          <w:rFonts w:cs="Times New Roman"/>
          <w:lang w:val="fr-CA"/>
        </w:rPr>
        <w:t xml:space="preserve"> </w:t>
      </w:r>
      <w:proofErr w:type="spellStart"/>
      <w:r w:rsidRPr="00367521">
        <w:rPr>
          <w:rFonts w:cs="Times New Roman"/>
          <w:lang w:val="fr-CA"/>
        </w:rPr>
        <w:t>law</w:t>
      </w:r>
      <w:proofErr w:type="spellEnd"/>
      <w:r w:rsidRPr="00367521">
        <w:rPr>
          <w:rFonts w:cs="Times New Roman"/>
          <w:lang w:val="fr-CA"/>
        </w:rPr>
        <w:t xml:space="preserve"> de protéger la vie et la sécurité.  Ce devoir est bien établi (</w:t>
      </w:r>
      <w:r w:rsidRPr="00367521">
        <w:rPr>
          <w:rFonts w:cs="Times New Roman"/>
          <w:i/>
          <w:lang w:val="fr-CA"/>
        </w:rPr>
        <w:t>Mann</w:t>
      </w:r>
      <w:r w:rsidRPr="00367521">
        <w:rPr>
          <w:rFonts w:cs="Times New Roman"/>
          <w:lang w:val="fr-CA"/>
        </w:rPr>
        <w:t xml:space="preserve">, par. 38; </w:t>
      </w:r>
      <w:r w:rsidRPr="00367521">
        <w:rPr>
          <w:rFonts w:cs="Times New Roman"/>
          <w:i/>
          <w:lang w:val="fr-CA"/>
        </w:rPr>
        <w:t>R. c. Clayton</w:t>
      </w:r>
      <w:r w:rsidRPr="00367521">
        <w:rPr>
          <w:rFonts w:cs="Times New Roman"/>
          <w:lang w:val="fr-CA"/>
        </w:rPr>
        <w:t>, 2007 CSC 32, [2007]</w:t>
      </w:r>
      <w:r>
        <w:rPr>
          <w:rFonts w:cs="Times New Roman"/>
          <w:lang w:val="fr-CA"/>
        </w:rPr>
        <w:t xml:space="preserve"> </w:t>
      </w:r>
      <w:r w:rsidRPr="00367521">
        <w:rPr>
          <w:rFonts w:cs="Times New Roman"/>
          <w:lang w:val="fr-CA"/>
        </w:rPr>
        <w:t>2 R.C.S. 725, par. 20</w:t>
      </w:r>
      <w:r w:rsidRPr="00367521">
        <w:rPr>
          <w:rFonts w:cs="Times New Roman"/>
          <w:lang w:val="fr-CA"/>
        </w:rPr>
        <w:noBreakHyphen/>
        <w:t xml:space="preserve">21; </w:t>
      </w:r>
      <w:proofErr w:type="spellStart"/>
      <w:r w:rsidRPr="00367521">
        <w:rPr>
          <w:rFonts w:cs="Times New Roman"/>
          <w:i/>
          <w:lang w:val="fr-CA"/>
        </w:rPr>
        <w:t>Dedman</w:t>
      </w:r>
      <w:proofErr w:type="spellEnd"/>
      <w:r w:rsidRPr="00367521">
        <w:rPr>
          <w:rFonts w:cs="Times New Roman"/>
          <w:lang w:val="fr-CA"/>
        </w:rPr>
        <w:t>).</w:t>
      </w:r>
    </w:p>
    <w:p w:rsidR="00BF4088" w:rsidRPr="00367521" w:rsidRDefault="00B50048" w:rsidP="00BF4088">
      <w:pPr>
        <w:pStyle w:val="ParaNoNdepar-AltN"/>
        <w:rPr>
          <w:rFonts w:cs="Times New Roman"/>
          <w:lang w:val="fr-CA"/>
        </w:rPr>
      </w:pPr>
      <w:r>
        <w:rPr>
          <w:rFonts w:cs="Times New Roman"/>
          <w:lang w:val="fr-CA"/>
        </w:rPr>
        <w:t>Ensuite</w:t>
      </w:r>
      <w:r w:rsidR="00BF4088" w:rsidRPr="00367521">
        <w:rPr>
          <w:rFonts w:cs="Times New Roman"/>
          <w:lang w:val="fr-CA"/>
        </w:rPr>
        <w:t xml:space="preserve">, si la réponse à la première question est affirmative, comme en l’espèce, le tribunal doit se demander si la conduite constitue un exercice justifiable des pouvoirs afférents à ce devoir.  Comme la Cour l’a affirmé dans </w:t>
      </w:r>
      <w:proofErr w:type="spellStart"/>
      <w:r w:rsidR="00BF4088" w:rsidRPr="00367521">
        <w:rPr>
          <w:rFonts w:cs="Times New Roman"/>
          <w:i/>
          <w:lang w:val="fr-CA"/>
        </w:rPr>
        <w:t>Dedman</w:t>
      </w:r>
      <w:proofErr w:type="spellEnd"/>
      <w:r w:rsidR="00BF4088" w:rsidRPr="00367521">
        <w:rPr>
          <w:rFonts w:cs="Times New Roman"/>
          <w:lang w:val="fr-CA"/>
        </w:rPr>
        <w:t> :</w:t>
      </w:r>
    </w:p>
    <w:p w:rsidR="00BF4088" w:rsidRPr="00367521" w:rsidRDefault="00BF4088" w:rsidP="00BF4088">
      <w:pPr>
        <w:pStyle w:val="Citation-AltC"/>
        <w:rPr>
          <w:lang w:val="fr-CA"/>
        </w:rPr>
      </w:pPr>
      <w:r w:rsidRPr="00367521">
        <w:rPr>
          <w:lang w:val="fr-CA"/>
        </w:rPr>
        <w:t xml:space="preserve">L’atteinte à la liberté doit être </w:t>
      </w:r>
      <w:r w:rsidRPr="00367521">
        <w:rPr>
          <w:u w:val="single"/>
          <w:lang w:val="fr-CA"/>
        </w:rPr>
        <w:t>nécessaire</w:t>
      </w:r>
      <w:r w:rsidRPr="00367521">
        <w:rPr>
          <w:lang w:val="fr-CA"/>
        </w:rPr>
        <w:t xml:space="preserve"> à l’accomplissement du devoir particulier de la police et elle doit être </w:t>
      </w:r>
      <w:r w:rsidRPr="00367521">
        <w:rPr>
          <w:u w:val="single"/>
          <w:lang w:val="fr-CA"/>
        </w:rPr>
        <w:t>raisonnable</w:t>
      </w:r>
      <w:r w:rsidRPr="00367521">
        <w:rPr>
          <w:lang w:val="fr-CA"/>
        </w:rPr>
        <w:t>, compte tenu de la nature de la liberté entravée et de l’importance de l’objet public poursuivi par cette atteinte.  [Je souligne; p. 35.]</w:t>
      </w:r>
    </w:p>
    <w:p w:rsidR="00BF4088" w:rsidRPr="00367521" w:rsidRDefault="00BF4088" w:rsidP="00BF4088">
      <w:pPr>
        <w:pStyle w:val="ParaNoNdepar-AltN"/>
        <w:numPr>
          <w:ilvl w:val="0"/>
          <w:numId w:val="0"/>
        </w:numPr>
        <w:spacing w:before="0" w:after="720"/>
        <w:rPr>
          <w:rFonts w:cs="Times New Roman"/>
          <w:lang w:val="fr-CA"/>
        </w:rPr>
      </w:pPr>
      <w:r w:rsidRPr="00367521">
        <w:rPr>
          <w:rFonts w:cs="Times New Roman"/>
          <w:lang w:val="fr-CA"/>
        </w:rPr>
        <w:t xml:space="preserve">Ainsi, pour que l’atteinte soit justifiable, la conduite des policiers doit, eu égard à l’ensemble des circonstances, être </w:t>
      </w:r>
      <w:r w:rsidRPr="00367521">
        <w:rPr>
          <w:rFonts w:cs="Times New Roman"/>
          <w:i/>
          <w:lang w:val="fr-CA"/>
        </w:rPr>
        <w:t xml:space="preserve">raisonnablement nécessaire </w:t>
      </w:r>
      <w:r w:rsidRPr="00367521">
        <w:rPr>
          <w:rFonts w:cs="Times New Roman"/>
          <w:lang w:val="fr-CA"/>
        </w:rPr>
        <w:t>à l’accomplissement du devoir en question (</w:t>
      </w:r>
      <w:r w:rsidRPr="00367521">
        <w:rPr>
          <w:rFonts w:cs="Times New Roman"/>
          <w:i/>
          <w:lang w:val="fr-CA"/>
        </w:rPr>
        <w:t>Mann</w:t>
      </w:r>
      <w:r w:rsidRPr="00367521">
        <w:rPr>
          <w:rFonts w:cs="Times New Roman"/>
          <w:lang w:val="fr-CA"/>
        </w:rPr>
        <w:t xml:space="preserve">, par. 39; </w:t>
      </w:r>
      <w:r w:rsidRPr="00367521">
        <w:rPr>
          <w:rFonts w:cs="Times New Roman"/>
          <w:i/>
          <w:lang w:val="fr-CA"/>
        </w:rPr>
        <w:t>Clayton</w:t>
      </w:r>
      <w:r w:rsidRPr="00367521">
        <w:rPr>
          <w:rFonts w:cs="Times New Roman"/>
          <w:lang w:val="fr-CA"/>
        </w:rPr>
        <w:t>, par. 21 et 29).</w:t>
      </w:r>
    </w:p>
    <w:p w:rsidR="00BF4088" w:rsidRPr="00367521" w:rsidRDefault="00BF4088" w:rsidP="00BF4088">
      <w:pPr>
        <w:pStyle w:val="ParaNoNdepar-AltN"/>
        <w:rPr>
          <w:rFonts w:cs="Times New Roman"/>
          <w:lang w:val="fr-CA"/>
        </w:rPr>
      </w:pPr>
      <w:r w:rsidRPr="00367521">
        <w:rPr>
          <w:rFonts w:cs="Times New Roman"/>
          <w:lang w:val="fr-CA"/>
        </w:rPr>
        <w:lastRenderedPageBreak/>
        <w:t>Pour déterminer si une fouille de sécurité est raisonnablement nécessaire, et donc justifiable, un certain nombre de facteurs sont pris en considération pour mettre en équilibre le devoir des policiers et le droit à la liberté en cause.  Ces facteurs englobent les suivants :</w:t>
      </w:r>
    </w:p>
    <w:p w:rsidR="00BF4088" w:rsidRPr="00367521" w:rsidRDefault="00BF4088" w:rsidP="00BF4088">
      <w:pPr>
        <w:pStyle w:val="ContinueParaSuitedupar-AltP"/>
        <w:ind w:left="720" w:hanging="720"/>
        <w:rPr>
          <w:rFonts w:cs="Times New Roman"/>
          <w:lang w:val="fr-CA"/>
        </w:rPr>
      </w:pPr>
      <w:r w:rsidRPr="00367521">
        <w:rPr>
          <w:rFonts w:cs="Times New Roman"/>
          <w:lang w:val="fr-CA"/>
        </w:rPr>
        <w:t>1.</w:t>
      </w:r>
      <w:r w:rsidRPr="00367521">
        <w:rPr>
          <w:rFonts w:cs="Times New Roman"/>
          <w:lang w:val="fr-CA"/>
        </w:rPr>
        <w:tab/>
        <w:t>l’importance que présente l’accomplissement de ce devoir pour l’intérêt public (</w:t>
      </w:r>
      <w:r w:rsidRPr="00367521">
        <w:rPr>
          <w:rFonts w:cs="Times New Roman"/>
          <w:i/>
          <w:lang w:val="fr-CA"/>
        </w:rPr>
        <w:t>Mann</w:t>
      </w:r>
      <w:r w:rsidRPr="00367521">
        <w:rPr>
          <w:rFonts w:cs="Times New Roman"/>
          <w:lang w:val="fr-CA"/>
        </w:rPr>
        <w:t>, par. 39);</w:t>
      </w:r>
    </w:p>
    <w:p w:rsidR="00BF4088" w:rsidRPr="00367521" w:rsidRDefault="00BF4088" w:rsidP="00BF4088">
      <w:pPr>
        <w:pStyle w:val="ContinueParaSuitedupar-AltP"/>
        <w:ind w:left="720" w:hanging="720"/>
        <w:rPr>
          <w:rFonts w:cs="Times New Roman"/>
          <w:lang w:val="fr-CA"/>
        </w:rPr>
      </w:pPr>
      <w:r w:rsidRPr="00367521">
        <w:rPr>
          <w:rFonts w:cs="Times New Roman"/>
          <w:lang w:val="fr-CA"/>
        </w:rPr>
        <w:t>2.</w:t>
      </w:r>
      <w:r w:rsidRPr="00367521">
        <w:rPr>
          <w:rFonts w:cs="Times New Roman"/>
          <w:lang w:val="fr-CA"/>
        </w:rPr>
        <w:tab/>
        <w:t>la nécessité de l’atteinte à la liberté individuelle pour l’accomplissement de ce devoir (</w:t>
      </w:r>
      <w:proofErr w:type="spellStart"/>
      <w:r w:rsidRPr="00367521">
        <w:rPr>
          <w:rFonts w:cs="Times New Roman"/>
          <w:i/>
          <w:lang w:val="fr-CA"/>
        </w:rPr>
        <w:t>Dedman</w:t>
      </w:r>
      <w:proofErr w:type="spellEnd"/>
      <w:r w:rsidRPr="00367521">
        <w:rPr>
          <w:rFonts w:cs="Times New Roman"/>
          <w:lang w:val="fr-CA"/>
        </w:rPr>
        <w:t xml:space="preserve">, p. 35; </w:t>
      </w:r>
      <w:r w:rsidRPr="00367521">
        <w:rPr>
          <w:rFonts w:cs="Times New Roman"/>
          <w:i/>
          <w:lang w:val="fr-CA"/>
        </w:rPr>
        <w:t>Clayton</w:t>
      </w:r>
      <w:r w:rsidRPr="00367521">
        <w:rPr>
          <w:rFonts w:cs="Times New Roman"/>
          <w:lang w:val="fr-CA"/>
        </w:rPr>
        <w:t>, par. 21, 26 et 31);</w:t>
      </w:r>
    </w:p>
    <w:p w:rsidR="00BF4088" w:rsidRPr="00367521" w:rsidRDefault="00BF4088" w:rsidP="00BF4088">
      <w:pPr>
        <w:pStyle w:val="ContinueParaSuitedupar-AltP"/>
        <w:rPr>
          <w:rFonts w:cs="Times New Roman"/>
          <w:lang w:val="fr-CA"/>
        </w:rPr>
      </w:pPr>
      <w:r w:rsidRPr="00367521">
        <w:rPr>
          <w:rFonts w:cs="Times New Roman"/>
          <w:lang w:val="fr-CA"/>
        </w:rPr>
        <w:t>3.</w:t>
      </w:r>
      <w:r w:rsidRPr="00367521">
        <w:rPr>
          <w:rFonts w:cs="Times New Roman"/>
          <w:lang w:val="fr-CA"/>
        </w:rPr>
        <w:tab/>
        <w:t>l’ampleur de l’atteinte à la liberté individuelle (</w:t>
      </w:r>
      <w:proofErr w:type="spellStart"/>
      <w:r w:rsidRPr="00367521">
        <w:rPr>
          <w:rFonts w:cs="Times New Roman"/>
          <w:i/>
          <w:lang w:val="fr-CA"/>
        </w:rPr>
        <w:t>Dedman</w:t>
      </w:r>
      <w:proofErr w:type="spellEnd"/>
      <w:r w:rsidRPr="00367521">
        <w:rPr>
          <w:rFonts w:cs="Times New Roman"/>
          <w:lang w:val="fr-CA"/>
        </w:rPr>
        <w:t>, p. 35).</w:t>
      </w:r>
    </w:p>
    <w:p w:rsidR="00BF4088" w:rsidRPr="00367521" w:rsidRDefault="00BF4088" w:rsidP="00BF4088">
      <w:pPr>
        <w:pStyle w:val="ContinueParaSuitedupar-AltP"/>
        <w:rPr>
          <w:rFonts w:cs="Times New Roman"/>
          <w:lang w:val="fr-CA"/>
        </w:rPr>
      </w:pPr>
      <w:r w:rsidRPr="00367521">
        <w:rPr>
          <w:rFonts w:cs="Times New Roman"/>
          <w:lang w:val="fr-CA"/>
        </w:rPr>
        <w:t>Si ces trois facteurs, examinés globalement, indiquent que l’intervention policière en cause était raisonnablement nécessaire, la conduite en question ne constituera pas un « emploi injustifiable</w:t>
      </w:r>
      <w:r w:rsidR="00B50048" w:rsidRPr="00367521">
        <w:rPr>
          <w:rFonts w:cs="Times New Roman"/>
          <w:lang w:val="fr-CA"/>
        </w:rPr>
        <w:t> »</w:t>
      </w:r>
      <w:r w:rsidRPr="00367521">
        <w:rPr>
          <w:rFonts w:cs="Times New Roman"/>
          <w:lang w:val="fr-CA"/>
        </w:rPr>
        <w:t xml:space="preserve"> d’un pouvoir de la police (</w:t>
      </w:r>
      <w:proofErr w:type="spellStart"/>
      <w:r w:rsidRPr="00367521">
        <w:rPr>
          <w:rFonts w:cs="Times New Roman"/>
          <w:i/>
          <w:lang w:val="fr-CA"/>
        </w:rPr>
        <w:t>Dedman</w:t>
      </w:r>
      <w:proofErr w:type="spellEnd"/>
      <w:r w:rsidRPr="00367521">
        <w:rPr>
          <w:rFonts w:cs="Times New Roman"/>
          <w:lang w:val="fr-CA"/>
        </w:rPr>
        <w:t xml:space="preserve">, p. 36).  Si les deux volets du critère de l’arrêt </w:t>
      </w:r>
      <w:proofErr w:type="spellStart"/>
      <w:r w:rsidRPr="00367521">
        <w:rPr>
          <w:rFonts w:cs="Times New Roman"/>
          <w:i/>
          <w:lang w:val="fr-CA"/>
        </w:rPr>
        <w:t>Waterfield</w:t>
      </w:r>
      <w:proofErr w:type="spellEnd"/>
      <w:r w:rsidRPr="00367521">
        <w:rPr>
          <w:rFonts w:cs="Times New Roman"/>
          <w:lang w:val="fr-CA"/>
        </w:rPr>
        <w:t xml:space="preserve"> sont respectés, le tribunal sera alors en mesure de conclure que la fouille en cause était autorisée par une règle de droit.</w:t>
      </w:r>
    </w:p>
    <w:p w:rsidR="00BF4088" w:rsidRPr="00367521" w:rsidRDefault="00BF4088" w:rsidP="00BF4088">
      <w:pPr>
        <w:pStyle w:val="ParaNoNdepar-AltN"/>
        <w:tabs>
          <w:tab w:val="clear" w:pos="1152"/>
          <w:tab w:val="left" w:pos="1166"/>
        </w:tabs>
        <w:rPr>
          <w:rFonts w:cs="Times New Roman"/>
          <w:lang w:val="fr-CA"/>
        </w:rPr>
      </w:pPr>
      <w:r w:rsidRPr="00367521">
        <w:rPr>
          <w:rFonts w:cs="Times New Roman"/>
          <w:lang w:val="fr-CA"/>
        </w:rPr>
        <w:t xml:space="preserve">Ainsi, le courant jurisprudentiel découlant des arrêts </w:t>
      </w:r>
      <w:proofErr w:type="spellStart"/>
      <w:r w:rsidRPr="00367521">
        <w:rPr>
          <w:rFonts w:cs="Times New Roman"/>
          <w:i/>
          <w:lang w:val="fr-CA"/>
        </w:rPr>
        <w:t>Dedman</w:t>
      </w:r>
      <w:proofErr w:type="spellEnd"/>
      <w:r w:rsidRPr="00367521">
        <w:rPr>
          <w:rFonts w:cs="Times New Roman"/>
          <w:i/>
          <w:lang w:val="fr-CA"/>
        </w:rPr>
        <w:t xml:space="preserve"> </w:t>
      </w:r>
      <w:r w:rsidRPr="00367521">
        <w:rPr>
          <w:rFonts w:cs="Times New Roman"/>
          <w:lang w:val="fr-CA"/>
        </w:rPr>
        <w:t xml:space="preserve">et </w:t>
      </w:r>
      <w:r w:rsidRPr="00367521">
        <w:rPr>
          <w:rFonts w:cs="Times New Roman"/>
          <w:i/>
          <w:lang w:val="fr-CA"/>
        </w:rPr>
        <w:t>Mann</w:t>
      </w:r>
      <w:r w:rsidRPr="00367521">
        <w:rPr>
          <w:rFonts w:cs="Times New Roman"/>
          <w:lang w:val="fr-CA"/>
        </w:rPr>
        <w:t xml:space="preserve"> ne permet pas d’affirmer que toute conduite découlant de l’accomplissement des devoirs d’un policier est autorisée par une règle de droit.  Bien au contraire, seuls les actes raisonnablement nécessaires à l’accomplissement de tels devoirs peuvent être </w:t>
      </w:r>
      <w:r>
        <w:rPr>
          <w:rFonts w:cs="Times New Roman"/>
          <w:lang w:val="fr-CA"/>
        </w:rPr>
        <w:t>considéré</w:t>
      </w:r>
      <w:r w:rsidRPr="00367521">
        <w:rPr>
          <w:rFonts w:cs="Times New Roman"/>
          <w:lang w:val="fr-CA"/>
        </w:rPr>
        <w:t xml:space="preserve">s, si les circonstances s’y prêtent, comme étant autorisés par une règle de </w:t>
      </w:r>
      <w:r w:rsidRPr="00367521">
        <w:rPr>
          <w:rFonts w:cs="Times New Roman"/>
          <w:lang w:val="fr-CA"/>
        </w:rPr>
        <w:lastRenderedPageBreak/>
        <w:t xml:space="preserve">droit.  La Cour d’appel d’Angleterre a été claire sur ce point dans </w:t>
      </w:r>
      <w:proofErr w:type="spellStart"/>
      <w:r w:rsidRPr="00367521">
        <w:rPr>
          <w:rFonts w:cs="Times New Roman"/>
          <w:i/>
          <w:lang w:val="fr-CA"/>
        </w:rPr>
        <w:t>Waterfield</w:t>
      </w:r>
      <w:proofErr w:type="spellEnd"/>
      <w:r w:rsidRPr="00367521">
        <w:rPr>
          <w:rFonts w:cs="Times New Roman"/>
          <w:lang w:val="fr-CA"/>
        </w:rPr>
        <w:t xml:space="preserve">, dans </w:t>
      </w:r>
      <w:r w:rsidR="00B50048">
        <w:rPr>
          <w:rFonts w:cs="Times New Roman"/>
          <w:lang w:val="fr-CA"/>
        </w:rPr>
        <w:t xml:space="preserve">un </w:t>
      </w:r>
      <w:r w:rsidRPr="00367521">
        <w:rPr>
          <w:rFonts w:cs="Times New Roman"/>
          <w:lang w:val="fr-CA"/>
        </w:rPr>
        <w:t>passage cité par notre Cour dans l’arrêt </w:t>
      </w:r>
      <w:proofErr w:type="spellStart"/>
      <w:r w:rsidRPr="00367521">
        <w:rPr>
          <w:rFonts w:cs="Times New Roman"/>
          <w:i/>
          <w:lang w:val="fr-CA"/>
        </w:rPr>
        <w:t>Dedman</w:t>
      </w:r>
      <w:proofErr w:type="spellEnd"/>
      <w:r w:rsidRPr="00367521">
        <w:rPr>
          <w:rFonts w:cs="Times New Roman"/>
          <w:lang w:val="fr-CA"/>
        </w:rPr>
        <w:t> :</w:t>
      </w:r>
    </w:p>
    <w:p w:rsidR="00BF4088" w:rsidRPr="00367521" w:rsidRDefault="00BF4088" w:rsidP="00BF4088">
      <w:pPr>
        <w:pStyle w:val="Citation-AltC"/>
        <w:rPr>
          <w:lang w:val="fr-CA"/>
        </w:rPr>
      </w:pPr>
      <w:r w:rsidRPr="00367521">
        <w:rPr>
          <w:lang w:val="fr-CA"/>
        </w:rPr>
        <w:t>[</w:t>
      </w:r>
      <w:r w:rsidRPr="00367521">
        <w:rPr>
          <w:smallCaps/>
          <w:lang w:val="fr-CA"/>
        </w:rPr>
        <w:t>traduction</w:t>
      </w:r>
      <w:r w:rsidRPr="00367521">
        <w:rPr>
          <w:lang w:val="fr-CA"/>
        </w:rPr>
        <w:t>]  Ainsi, comme on peut affirmer en termes généraux que les agents de police ont le devoir d’empêcher le crime et le devoir, lorsqu</w:t>
      </w:r>
      <w:r w:rsidR="00B50048">
        <w:rPr>
          <w:lang w:val="fr-CA"/>
        </w:rPr>
        <w:t>e le</w:t>
      </w:r>
      <w:r w:rsidRPr="00367521">
        <w:rPr>
          <w:lang w:val="fr-CA"/>
        </w:rPr>
        <w:t xml:space="preserve"> crime a été perpétré, de traduire le délinquant en justice, </w:t>
      </w:r>
      <w:r w:rsidRPr="00367521">
        <w:rPr>
          <w:u w:val="single"/>
          <w:lang w:val="fr-CA"/>
        </w:rPr>
        <w:t>il est également évident, selon la jurisprudence, que</w:t>
      </w:r>
      <w:r w:rsidR="00CA787B">
        <w:rPr>
          <w:u w:val="single"/>
          <w:lang w:val="fr-CA"/>
        </w:rPr>
        <w:t>,</w:t>
      </w:r>
      <w:r w:rsidRPr="00367521">
        <w:rPr>
          <w:u w:val="single"/>
          <w:lang w:val="fr-CA"/>
        </w:rPr>
        <w:t xml:space="preserve"> lorsque l’accomplissement de ces devoirs généraux comporte des atteintes à la personne ou aux biens d’un particulier, les pouvoirs des policiers ne sont pas illimités</w:t>
      </w:r>
      <w:r w:rsidRPr="00367521">
        <w:rPr>
          <w:lang w:val="fr-CA"/>
        </w:rPr>
        <w:t>.  [Je souligne; p. 33.]</w:t>
      </w:r>
    </w:p>
    <w:p w:rsidR="00BF4088" w:rsidRPr="00367521" w:rsidRDefault="00BF4088" w:rsidP="00BF4088">
      <w:pPr>
        <w:pStyle w:val="ParaNoNdepar-AltN"/>
        <w:numPr>
          <w:ilvl w:val="0"/>
          <w:numId w:val="0"/>
        </w:numPr>
        <w:rPr>
          <w:rFonts w:cs="Times New Roman"/>
          <w:lang w:val="fr-CA"/>
        </w:rPr>
      </w:pPr>
      <w:r w:rsidRPr="00367521">
        <w:rPr>
          <w:rFonts w:cs="Times New Roman"/>
          <w:lang w:val="fr-CA"/>
        </w:rPr>
        <w:t xml:space="preserve">De même, dans la forte dissidence qu’il a exprimée dans le </w:t>
      </w:r>
      <w:r w:rsidRPr="00367521">
        <w:rPr>
          <w:rFonts w:cs="Times New Roman"/>
          <w:i/>
          <w:lang w:val="fr-CA"/>
        </w:rPr>
        <w:t>Renvoi sur l’écoute électronique</w:t>
      </w:r>
      <w:r w:rsidRPr="00367521">
        <w:rPr>
          <w:rFonts w:cs="Times New Roman"/>
          <w:lang w:val="fr-CA"/>
        </w:rPr>
        <w:t xml:space="preserve">, [1984] 2 R.C.S. 697, le juge Dickson a insisté sur l’importance cruciale d’interpréter restrictivement le critère de l’arrêt </w:t>
      </w:r>
      <w:proofErr w:type="spellStart"/>
      <w:r w:rsidRPr="00367521">
        <w:rPr>
          <w:rFonts w:cs="Times New Roman"/>
          <w:i/>
          <w:lang w:val="fr-CA"/>
        </w:rPr>
        <w:t>Waterfield</w:t>
      </w:r>
      <w:proofErr w:type="spellEnd"/>
      <w:r w:rsidRPr="00367521">
        <w:rPr>
          <w:rFonts w:cs="Times New Roman"/>
          <w:lang w:val="fr-CA"/>
        </w:rPr>
        <w:t> :</w:t>
      </w:r>
    </w:p>
    <w:p w:rsidR="00BF4088" w:rsidRPr="00367521" w:rsidRDefault="00BF4088" w:rsidP="00BF4088">
      <w:pPr>
        <w:pStyle w:val="Citation-AltC"/>
        <w:rPr>
          <w:lang w:val="fr-CA"/>
        </w:rPr>
      </w:pPr>
      <w:r w:rsidRPr="00367521">
        <w:rPr>
          <w:lang w:val="fr-CA"/>
        </w:rPr>
        <w:tab/>
        <w:t>Même si on peut prétendre qu’un policier agit dans le cadre général de son devoir d’enquêter sur le crime, cela ne l’autorise pas à violer la loi chaque fois que cela pourrait se justifier par l’intérêt public à ce que la loi soit appliquée.  Tout principe de ce genre ne constituerait rien de moins qu’une autorisation donnée à la police de commettre des actes illégaux dès lors que les avantages de ces actes semblent l’emporter sur les inconvénients qu’entraînerait la violation des droits d’une personne. [p. 718</w:t>
      </w:r>
      <w:r w:rsidRPr="00367521">
        <w:rPr>
          <w:lang w:val="fr-CA"/>
        </w:rPr>
        <w:noBreakHyphen/>
        <w:t>719]</w:t>
      </w:r>
    </w:p>
    <w:p w:rsidR="00BF4088" w:rsidRPr="00367521" w:rsidRDefault="00BF4088" w:rsidP="00BF4088">
      <w:pPr>
        <w:pStyle w:val="ContinueParaSuitedupar-AltP"/>
        <w:rPr>
          <w:rFonts w:cs="Times New Roman"/>
          <w:lang w:val="fr-CA"/>
        </w:rPr>
      </w:pPr>
      <w:r w:rsidRPr="00367521">
        <w:rPr>
          <w:rFonts w:cs="Times New Roman"/>
          <w:lang w:val="fr-CA"/>
        </w:rPr>
        <w:t>De telles limites à l’égard des fouilles de sécurité sont particulièrement importantes lorsque la fouille est effectuée dans une résidence privée, comme en l’espèce, où est survenue une atteinte grave à l’intimité du foyer de M. MacDonald.  De plus, de telles fouilles peuvent souvent permettre à la police d’obtenir de nombreux renseignements personnels très délicats.</w:t>
      </w:r>
    </w:p>
    <w:p w:rsidR="00BF4088" w:rsidRPr="00367521" w:rsidRDefault="00BF4088" w:rsidP="00BF4088">
      <w:pPr>
        <w:pStyle w:val="ParaNoNdepar-AltN"/>
        <w:rPr>
          <w:rFonts w:cs="Times New Roman"/>
          <w:lang w:val="fr-CA"/>
        </w:rPr>
      </w:pPr>
      <w:r w:rsidRPr="00367521">
        <w:rPr>
          <w:rFonts w:cs="Times New Roman"/>
          <w:lang w:val="fr-CA"/>
        </w:rPr>
        <w:lastRenderedPageBreak/>
        <w:t xml:space="preserve">En gardant ces éclaircissements à l’esprit, nous devons soupeser judicieusement les facteurs à prendre en considération pour l’application du deuxième volet du critère des arrêts </w:t>
      </w:r>
      <w:proofErr w:type="spellStart"/>
      <w:r w:rsidRPr="00367521">
        <w:rPr>
          <w:rFonts w:cs="Times New Roman"/>
          <w:i/>
          <w:lang w:val="fr-CA"/>
        </w:rPr>
        <w:t>Dedman</w:t>
      </w:r>
      <w:proofErr w:type="spellEnd"/>
      <w:r w:rsidRPr="00367521">
        <w:rPr>
          <w:rFonts w:cs="Times New Roman"/>
          <w:i/>
          <w:lang w:val="fr-CA"/>
        </w:rPr>
        <w:t xml:space="preserve"> </w:t>
      </w:r>
      <w:r w:rsidRPr="00367521">
        <w:rPr>
          <w:rFonts w:cs="Times New Roman"/>
          <w:lang w:val="fr-CA"/>
        </w:rPr>
        <w:t xml:space="preserve">et </w:t>
      </w:r>
      <w:r w:rsidRPr="00367521">
        <w:rPr>
          <w:rFonts w:cs="Times New Roman"/>
          <w:i/>
          <w:lang w:val="fr-CA"/>
        </w:rPr>
        <w:t>Mann</w:t>
      </w:r>
      <w:r w:rsidRPr="00367521">
        <w:rPr>
          <w:rFonts w:cs="Times New Roman"/>
          <w:lang w:val="fr-CA"/>
        </w:rPr>
        <w:t xml:space="preserve">.  </w:t>
      </w:r>
      <w:r w:rsidR="00CA787B">
        <w:rPr>
          <w:rFonts w:cs="Times New Roman"/>
          <w:lang w:val="fr-CA"/>
        </w:rPr>
        <w:t>C</w:t>
      </w:r>
      <w:r w:rsidRPr="00367521">
        <w:rPr>
          <w:rFonts w:cs="Times New Roman"/>
          <w:lang w:val="fr-CA"/>
        </w:rPr>
        <w:t xml:space="preserve">es facteurs aident non seulement à déterminer s’il existe un pouvoir policier, mais aussi à définir les limites </w:t>
      </w:r>
      <w:r w:rsidR="00CA787B">
        <w:rPr>
          <w:rFonts w:cs="Times New Roman"/>
          <w:lang w:val="fr-CA"/>
        </w:rPr>
        <w:t xml:space="preserve">de </w:t>
      </w:r>
      <w:r w:rsidR="00350D5C">
        <w:rPr>
          <w:rFonts w:cs="Times New Roman"/>
          <w:lang w:val="fr-CA"/>
        </w:rPr>
        <w:t>ce pouvoir :</w:t>
      </w:r>
    </w:p>
    <w:p w:rsidR="00BF4088" w:rsidRPr="00367521" w:rsidRDefault="00BF4088" w:rsidP="00BF4088">
      <w:pPr>
        <w:pStyle w:val="ContinueParaSuitedupar-AltP"/>
        <w:ind w:left="720" w:hanging="720"/>
        <w:rPr>
          <w:rFonts w:cs="Times New Roman"/>
          <w:lang w:val="fr-CA"/>
        </w:rPr>
      </w:pPr>
      <w:r w:rsidRPr="00367521">
        <w:rPr>
          <w:rFonts w:cs="Times New Roman"/>
          <w:lang w:val="fr-CA"/>
        </w:rPr>
        <w:t>1.</w:t>
      </w:r>
      <w:r w:rsidRPr="00367521">
        <w:rPr>
          <w:rFonts w:cs="Times New Roman"/>
          <w:lang w:val="fr-CA"/>
        </w:rPr>
        <w:tab/>
        <w:t xml:space="preserve">Importance du devoir : Nul ne peut raisonnablement contester que le devoir de protéger la vie et la sécurité </w:t>
      </w:r>
      <w:proofErr w:type="gramStart"/>
      <w:r w:rsidRPr="00367521">
        <w:rPr>
          <w:rFonts w:cs="Times New Roman"/>
          <w:lang w:val="fr-CA"/>
        </w:rPr>
        <w:t>est</w:t>
      </w:r>
      <w:proofErr w:type="gramEnd"/>
      <w:r w:rsidRPr="00367521">
        <w:rPr>
          <w:rFonts w:cs="Times New Roman"/>
          <w:lang w:val="fr-CA"/>
        </w:rPr>
        <w:t xml:space="preserve"> de la plus haute importance pour l’intérêt public, et qu’il peut être nécessaire que le policier, dans certaines circonstances, porte atteinte à la liberté individuelle pour s’acquitter de ce devoir.</w:t>
      </w:r>
    </w:p>
    <w:p w:rsidR="00BF4088" w:rsidRPr="00367521" w:rsidRDefault="00BF4088" w:rsidP="00BF4088">
      <w:pPr>
        <w:pStyle w:val="ContinueParaSuitedupar-AltP"/>
        <w:ind w:left="720" w:hanging="720"/>
        <w:rPr>
          <w:rFonts w:cs="Times New Roman"/>
          <w:lang w:val="fr-CA"/>
        </w:rPr>
      </w:pPr>
      <w:r w:rsidRPr="00367521">
        <w:rPr>
          <w:rFonts w:cs="Times New Roman"/>
          <w:lang w:val="fr-CA"/>
        </w:rPr>
        <w:t>2.</w:t>
      </w:r>
      <w:r w:rsidRPr="00367521">
        <w:rPr>
          <w:rFonts w:cs="Times New Roman"/>
          <w:lang w:val="fr-CA"/>
        </w:rPr>
        <w:tab/>
        <w:t>Nécessité de l’atteinte pour l’accomplissement d</w:t>
      </w:r>
      <w:r w:rsidR="00CA787B">
        <w:rPr>
          <w:rFonts w:cs="Times New Roman"/>
          <w:lang w:val="fr-CA"/>
        </w:rPr>
        <w:t>u</w:t>
      </w:r>
      <w:r w:rsidRPr="00367521">
        <w:rPr>
          <w:rFonts w:cs="Times New Roman"/>
          <w:lang w:val="fr-CA"/>
        </w:rPr>
        <w:t xml:space="preserve"> devoir : Lorsque l’accomplissement d’un devoir exige d’un policier qu’il traite avec une personne dont il a des motifs raisonnables de croire qu’elle est armée et </w:t>
      </w:r>
      <w:proofErr w:type="gramStart"/>
      <w:r w:rsidRPr="00367521">
        <w:rPr>
          <w:rFonts w:cs="Times New Roman"/>
          <w:lang w:val="fr-CA"/>
        </w:rPr>
        <w:t>dangereuse</w:t>
      </w:r>
      <w:proofErr w:type="gramEnd"/>
      <w:r w:rsidRPr="00367521">
        <w:rPr>
          <w:rFonts w:cs="Times New Roman"/>
          <w:lang w:val="fr-CA"/>
        </w:rPr>
        <w:t>, une atteinte à la liberté de cette personne peut être nécessaire.</w:t>
      </w:r>
    </w:p>
    <w:p w:rsidR="00BF4088" w:rsidRPr="00367521" w:rsidRDefault="00BF4088" w:rsidP="00BF4088">
      <w:pPr>
        <w:pStyle w:val="ContinueParaSuitedupar-AltP"/>
        <w:ind w:left="720" w:hanging="720"/>
        <w:rPr>
          <w:rFonts w:cs="Times New Roman"/>
          <w:lang w:val="fr-CA"/>
        </w:rPr>
      </w:pPr>
      <w:r w:rsidRPr="00367521">
        <w:rPr>
          <w:rFonts w:cs="Times New Roman"/>
          <w:lang w:val="fr-CA"/>
        </w:rPr>
        <w:t>3.</w:t>
      </w:r>
      <w:r w:rsidRPr="00367521">
        <w:rPr>
          <w:rFonts w:cs="Times New Roman"/>
          <w:lang w:val="fr-CA"/>
        </w:rPr>
        <w:tab/>
        <w:t xml:space="preserve">Ampleur de l’atteinte : L’atteinte à la liberté d’une personne ne sera justifiée que dans la mesure où elle est nécessaire pour vérifier la présence d’armes.  Bien que la manière précise dont la fouille de sécurité est effectuée </w:t>
      </w:r>
      <w:proofErr w:type="gramStart"/>
      <w:r w:rsidRPr="00367521">
        <w:rPr>
          <w:rFonts w:cs="Times New Roman"/>
          <w:lang w:val="fr-CA"/>
        </w:rPr>
        <w:t>variera</w:t>
      </w:r>
      <w:proofErr w:type="gramEnd"/>
      <w:r w:rsidRPr="00367521">
        <w:rPr>
          <w:rFonts w:cs="Times New Roman"/>
          <w:lang w:val="fr-CA"/>
        </w:rPr>
        <w:t xml:space="preserve"> d’une affaire à l’autre (fouille par palpation, utilisation d’une lampe de poche ou, comme en l’espèce, ouverture plus grande d’une porte), une telle fouille ne sera légale que si, sous tous ses aspects, elle exerce une fonction protectrice.  Autrement dit, le pouvoir autorisant la fouille s’arrête à partir du </w:t>
      </w:r>
      <w:r w:rsidRPr="00367521">
        <w:rPr>
          <w:rFonts w:cs="Times New Roman"/>
          <w:lang w:val="fr-CA"/>
        </w:rPr>
        <w:lastRenderedPageBreak/>
        <w:t xml:space="preserve">moment où l’on ne cherche plus à vérifier la présence d’armes.  Dans l’évaluation du caractère raisonnable de l’atteinte à la liberté individuelle dans le cas d’une fouille de sécurité, il faut garder à l’esprit la prémisse sur laquelle repose le critère de l’arrêt </w:t>
      </w:r>
      <w:r w:rsidRPr="00367521">
        <w:rPr>
          <w:rFonts w:cs="Times New Roman"/>
          <w:i/>
          <w:lang w:val="fr-CA"/>
        </w:rPr>
        <w:t xml:space="preserve">Collins </w:t>
      </w:r>
      <w:r w:rsidRPr="00367521">
        <w:rPr>
          <w:rFonts w:cs="Times New Roman"/>
          <w:lang w:val="fr-CA"/>
        </w:rPr>
        <w:t>— une fouille sans mandat est présumée abusive à moins qu’elle puisse être justifiée.</w:t>
      </w:r>
    </w:p>
    <w:p w:rsidR="00BF4088" w:rsidRPr="00367521" w:rsidRDefault="00BF4088" w:rsidP="00BF4088">
      <w:pPr>
        <w:pStyle w:val="ParaNoNdepar-AltN"/>
        <w:rPr>
          <w:rFonts w:cs="Times New Roman"/>
          <w:lang w:val="fr-CA"/>
        </w:rPr>
      </w:pPr>
      <w:r w:rsidRPr="00367521">
        <w:rPr>
          <w:rFonts w:cs="Times New Roman"/>
          <w:lang w:val="fr-CA"/>
        </w:rPr>
        <w:t>Après avoir soupesé ces facteurs, je suis convaincu que le devoir qu’ont les policiers de protéger la vie et la sécurité peut justifier l’exercice du pouvoir d’effectuer une fouille de sécurité dans certaines circonstances.  À tout le moins, lorsqu’une fouille est raisonnablement nécessaire pour éliminer une menace imminente à leur sécurité ou à celle du public, les policiers devraient pouvoir effectuer une telle fouille.</w:t>
      </w:r>
    </w:p>
    <w:p w:rsidR="00BF4088" w:rsidRPr="00367521" w:rsidRDefault="00BF4088" w:rsidP="00BF4088">
      <w:pPr>
        <w:pStyle w:val="ParaNoNdepar-AltN"/>
        <w:rPr>
          <w:rFonts w:cs="Times New Roman"/>
          <w:lang w:val="fr-CA"/>
        </w:rPr>
      </w:pPr>
      <w:r w:rsidRPr="00367521">
        <w:rPr>
          <w:rFonts w:cs="Times New Roman"/>
          <w:lang w:val="fr-CA"/>
        </w:rPr>
        <w:t xml:space="preserve">Bien que je reconnaisse l’importance des fouilles de sécurité, je tiens toutefois à répéter que le pouvoir d’effectuer ces fouilles n’est pas absolu.  À mon avis, suivant les principes établis dans </w:t>
      </w:r>
      <w:r w:rsidRPr="00367521">
        <w:rPr>
          <w:rFonts w:cs="Times New Roman"/>
          <w:i/>
          <w:lang w:val="fr-CA"/>
        </w:rPr>
        <w:t>Mann</w:t>
      </w:r>
      <w:r w:rsidRPr="00367521">
        <w:rPr>
          <w:rFonts w:cs="Times New Roman"/>
          <w:lang w:val="fr-CA"/>
        </w:rPr>
        <w:t xml:space="preserve"> et confirmés dans </w:t>
      </w:r>
      <w:r w:rsidRPr="00367521">
        <w:rPr>
          <w:rFonts w:cs="Times New Roman"/>
          <w:i/>
          <w:lang w:val="fr-CA"/>
        </w:rPr>
        <w:t>Clayton</w:t>
      </w:r>
      <w:r w:rsidRPr="00367521">
        <w:rPr>
          <w:rFonts w:cs="Times New Roman"/>
          <w:lang w:val="fr-CA"/>
        </w:rPr>
        <w:t>, les circonstances doivent établir qu’une telle fouille est raisonnablement et objectivement nécessaire pour écarter une menace imminente à la sécurité du public ou des policiers.  En raison de l’importance des droits au respect de la vie privée qui sont en jeu, pour être légalement autorisés à effectuer une fouille de sécurité, les policiers doivent croire pour des motifs raisonnables que leur sécurité est menacée et qu’il est donc nécessaire de procéder à une fouille (</w:t>
      </w:r>
      <w:r w:rsidRPr="00367521">
        <w:rPr>
          <w:rFonts w:cs="Times New Roman"/>
          <w:i/>
          <w:lang w:val="fr-CA"/>
        </w:rPr>
        <w:t>Mann</w:t>
      </w:r>
      <w:r w:rsidR="00CA787B">
        <w:rPr>
          <w:rFonts w:cs="Times New Roman"/>
          <w:lang w:val="fr-CA"/>
        </w:rPr>
        <w:t>, par. 40;</w:t>
      </w:r>
      <w:r w:rsidRPr="00367521">
        <w:rPr>
          <w:rFonts w:cs="Times New Roman"/>
          <w:lang w:val="fr-CA"/>
        </w:rPr>
        <w:t xml:space="preserve"> voir aussi par. 45).  Pour déterminer si une fouille est légale, il faut donc se demander si elle est raisonnablement nécessaire et si cette nécessité est objectivement vérifiable dans les </w:t>
      </w:r>
      <w:r w:rsidRPr="00367521">
        <w:rPr>
          <w:rFonts w:cs="Times New Roman"/>
          <w:lang w:val="fr-CA"/>
        </w:rPr>
        <w:lastRenderedPageBreak/>
        <w:t xml:space="preserve">circonstances (voir </w:t>
      </w:r>
      <w:r w:rsidRPr="00367521">
        <w:rPr>
          <w:rFonts w:cs="Times New Roman"/>
          <w:i/>
          <w:lang w:val="fr-CA"/>
        </w:rPr>
        <w:t>R. c. Tse</w:t>
      </w:r>
      <w:r w:rsidRPr="00367521">
        <w:rPr>
          <w:rFonts w:cs="Times New Roman"/>
          <w:lang w:val="fr-CA"/>
        </w:rPr>
        <w:t xml:space="preserve">, 2012 CSC 16, [2012] 1 R.C.S. 531, par. 33).  Comme la Cour l’a affirmé dans </w:t>
      </w:r>
      <w:r w:rsidRPr="00367521">
        <w:rPr>
          <w:rFonts w:cs="Times New Roman"/>
          <w:i/>
          <w:lang w:val="fr-CA"/>
        </w:rPr>
        <w:t>Mann</w:t>
      </w:r>
      <w:r w:rsidRPr="00367521">
        <w:rPr>
          <w:rFonts w:cs="Times New Roman"/>
          <w:lang w:val="fr-CA"/>
        </w:rPr>
        <w:t xml:space="preserve">, de vagues inquiétudes en matière de sécurité ne sauraient justifier une fouille.  Pour effectuer une fouille de sécurité légale, le policier doit plutôt agir à partir </w:t>
      </w:r>
      <w:r w:rsidR="00CA787B">
        <w:rPr>
          <w:rFonts w:cs="Times New Roman"/>
          <w:lang w:val="fr-CA"/>
        </w:rPr>
        <w:t>d’</w:t>
      </w:r>
      <w:r w:rsidRPr="00367521">
        <w:rPr>
          <w:rFonts w:cs="Times New Roman"/>
          <w:lang w:val="fr-CA"/>
        </w:rPr>
        <w:t>« inférences raisonnables et précises fondées sur les faits connus se rapportant à la situation » (</w:t>
      </w:r>
      <w:r w:rsidRPr="00367521">
        <w:rPr>
          <w:rFonts w:cs="Times New Roman"/>
          <w:i/>
          <w:lang w:val="fr-CA"/>
        </w:rPr>
        <w:t>Mann</w:t>
      </w:r>
      <w:r w:rsidRPr="00367521">
        <w:rPr>
          <w:rFonts w:cs="Times New Roman"/>
          <w:lang w:val="fr-CA"/>
        </w:rPr>
        <w:t>, par. 41).</w:t>
      </w:r>
    </w:p>
    <w:p w:rsidR="00BF4088" w:rsidRPr="00367521" w:rsidRDefault="00BF4088" w:rsidP="00BF4088">
      <w:pPr>
        <w:pStyle w:val="ParaNoNdepar-AltN"/>
        <w:rPr>
          <w:rFonts w:cs="Times New Roman"/>
          <w:lang w:val="fr-CA"/>
        </w:rPr>
      </w:pPr>
      <w:r w:rsidRPr="00367521">
        <w:rPr>
          <w:rFonts w:cs="Times New Roman"/>
          <w:lang w:val="fr-CA"/>
        </w:rPr>
        <w:t xml:space="preserve">Les fouilles de sécurité sont des fouilles physiques susceptibles de révéler un large éventail de renseignements sur une personne.  En l’espèce, même si le sergent Boyd n’a fait qu’ouvrir la porte un peu plus, ce geste risquait de révéler aux policiers un certain nombre de choses à propos de M. MacDonald, car ils pouvaient alors mieux voir l’intérieur de l’unité.  Cependant, comme le sergent Boyd avait des motifs raisonnables de croire que M. MacDonald était armé et dangereux, il était légalement autorisé à ouvrir la porte un peu plus.  </w:t>
      </w:r>
    </w:p>
    <w:p w:rsidR="00BF4088" w:rsidRPr="00367521" w:rsidRDefault="00BF4088" w:rsidP="00BF4088">
      <w:pPr>
        <w:pStyle w:val="ParaNoNdepar-AltN"/>
        <w:rPr>
          <w:rFonts w:cs="Times New Roman"/>
          <w:lang w:val="fr-CA"/>
        </w:rPr>
      </w:pPr>
      <w:r w:rsidRPr="00367521">
        <w:rPr>
          <w:rFonts w:cs="Times New Roman"/>
          <w:lang w:val="fr-CA"/>
        </w:rPr>
        <w:t xml:space="preserve">Suivant le deuxième volet du critère énoncé dans l’arrêt </w:t>
      </w:r>
      <w:r w:rsidRPr="00367521">
        <w:rPr>
          <w:rFonts w:cs="Times New Roman"/>
          <w:i/>
          <w:lang w:val="fr-CA"/>
        </w:rPr>
        <w:t>Collins</w:t>
      </w:r>
      <w:r w:rsidRPr="00367521">
        <w:rPr>
          <w:rFonts w:cs="Times New Roman"/>
          <w:lang w:val="fr-CA"/>
        </w:rPr>
        <w:t xml:space="preserve">, nul ne peut contester que l’autorisation légale de procéder à une fouille de sécurité </w:t>
      </w:r>
      <w:proofErr w:type="gramStart"/>
      <w:r w:rsidRPr="00367521">
        <w:rPr>
          <w:rFonts w:cs="Times New Roman"/>
          <w:lang w:val="fr-CA"/>
        </w:rPr>
        <w:t>n’a</w:t>
      </w:r>
      <w:proofErr w:type="gramEnd"/>
      <w:r w:rsidRPr="00367521">
        <w:rPr>
          <w:rFonts w:cs="Times New Roman"/>
          <w:lang w:val="fr-CA"/>
        </w:rPr>
        <w:t xml:space="preserve"> rien d’abusif.  En fait, l’accomplissement du devoir incombant aux policiers de protéger la vie et la sécurité est au cœur même de l’existence de la police en tant qu’entité sociale.  De plus, le droit ne justifie l’accomplissement de ce devoir policier que dans le cas où il est </w:t>
      </w:r>
      <w:r w:rsidRPr="00367521">
        <w:rPr>
          <w:rFonts w:cs="Times New Roman"/>
          <w:i/>
          <w:lang w:val="fr-CA"/>
        </w:rPr>
        <w:t>raisonnablement nécessaire</w:t>
      </w:r>
      <w:r w:rsidRPr="00367521">
        <w:rPr>
          <w:rFonts w:cs="Times New Roman"/>
          <w:lang w:val="fr-CA"/>
        </w:rPr>
        <w:t xml:space="preserve"> pour la police d’effectuer la fouille de sécurité en question (</w:t>
      </w:r>
      <w:r w:rsidRPr="00367521">
        <w:rPr>
          <w:rFonts w:cs="Times New Roman"/>
          <w:i/>
          <w:lang w:val="fr-CA"/>
        </w:rPr>
        <w:t>Clayton</w:t>
      </w:r>
      <w:r w:rsidRPr="00367521">
        <w:rPr>
          <w:rFonts w:cs="Times New Roman"/>
          <w:lang w:val="fr-CA"/>
        </w:rPr>
        <w:t xml:space="preserve">, par. 21, 26 et 31).  Comme je l’ai expliqué précédemment, il ne sera raisonnablement nécessaire pour les policiers d’effectuer une telle fouille que s’ils ont des motifs raisonnables de croire à l’existence d’une menace imminente pour leur sécurité.  Cette restriction garantit que le droit n’étend </w:t>
      </w:r>
      <w:r w:rsidRPr="00367521">
        <w:rPr>
          <w:rFonts w:cs="Times New Roman"/>
          <w:lang w:val="fr-CA"/>
        </w:rPr>
        <w:lastRenderedPageBreak/>
        <w:t xml:space="preserve">pas de manière excessive les pouvoirs des policiers.  Elle fournit ainsi l’assurance que le droit </w:t>
      </w:r>
      <w:proofErr w:type="spellStart"/>
      <w:r w:rsidRPr="00367521">
        <w:rPr>
          <w:rFonts w:cs="Times New Roman"/>
          <w:lang w:val="fr-CA"/>
        </w:rPr>
        <w:t>lui</w:t>
      </w:r>
      <w:r w:rsidRPr="00367521">
        <w:rPr>
          <w:rFonts w:cs="Times New Roman"/>
          <w:lang w:val="fr-CA"/>
        </w:rPr>
        <w:noBreakHyphen/>
        <w:t>même</w:t>
      </w:r>
      <w:proofErr w:type="spellEnd"/>
      <w:r w:rsidRPr="00367521">
        <w:rPr>
          <w:rFonts w:cs="Times New Roman"/>
          <w:lang w:val="fr-CA"/>
        </w:rPr>
        <w:t xml:space="preserve"> n’a rien d’abusif et peut être raisonnablement circonscrit.</w:t>
      </w:r>
    </w:p>
    <w:p w:rsidR="00BF4088" w:rsidRPr="00367521" w:rsidRDefault="00BF4088" w:rsidP="00BF4088">
      <w:pPr>
        <w:pStyle w:val="ParaNoNdepar-AltN"/>
        <w:rPr>
          <w:rFonts w:cs="Times New Roman"/>
          <w:lang w:val="fr-CA"/>
        </w:rPr>
      </w:pPr>
      <w:r w:rsidRPr="00367521">
        <w:rPr>
          <w:rFonts w:cs="Times New Roman"/>
          <w:lang w:val="fr-CA"/>
        </w:rPr>
        <w:t xml:space="preserve">Ce pouvoir de </w:t>
      </w:r>
      <w:proofErr w:type="spellStart"/>
      <w:r w:rsidRPr="00367521">
        <w:rPr>
          <w:rFonts w:cs="Times New Roman"/>
          <w:lang w:val="fr-CA"/>
        </w:rPr>
        <w:t>common</w:t>
      </w:r>
      <w:proofErr w:type="spellEnd"/>
      <w:r w:rsidRPr="00367521">
        <w:rPr>
          <w:rFonts w:cs="Times New Roman"/>
          <w:lang w:val="fr-CA"/>
        </w:rPr>
        <w:t xml:space="preserve"> </w:t>
      </w:r>
      <w:proofErr w:type="spellStart"/>
      <w:r w:rsidRPr="00367521">
        <w:rPr>
          <w:rFonts w:cs="Times New Roman"/>
          <w:lang w:val="fr-CA"/>
        </w:rPr>
        <w:t>law</w:t>
      </w:r>
      <w:proofErr w:type="spellEnd"/>
      <w:r w:rsidRPr="00367521">
        <w:rPr>
          <w:rFonts w:cs="Times New Roman"/>
          <w:lang w:val="fr-CA"/>
        </w:rPr>
        <w:t xml:space="preserve"> d’effectuer une fouille de sécurité constitue l’autorisation légale non abusive justifiant la fouille effectuée par le sergent Boyd.  Ce pouvoir est en cause parce que le sergent Boyd avait des motifs raisonnables de croire à l’existence d’une menace imminente pour la sécurité du public ou pour celle des policiers et que la fouille était nécessaire pour écarter cette menace.  Plus particulièrement, le juge du procès a conclu que le sergent Boyd avait fait les observations suivantes quand M. MacDonald avait ouvert la porte :</w:t>
      </w:r>
    </w:p>
    <w:p w:rsidR="00BF4088" w:rsidRPr="00367521" w:rsidRDefault="00CA787B" w:rsidP="00CA787B">
      <w:pPr>
        <w:pStyle w:val="ContinueParaSuitedupar-AltP"/>
        <w:ind w:left="720" w:hanging="720"/>
        <w:rPr>
          <w:lang w:val="fr-CA"/>
        </w:rPr>
      </w:pPr>
      <w:r>
        <w:rPr>
          <w:lang w:val="fr-CA"/>
        </w:rPr>
        <w:t>1.</w:t>
      </w:r>
      <w:r w:rsidR="00BF4088" w:rsidRPr="00367521">
        <w:rPr>
          <w:lang w:val="fr-CA"/>
        </w:rPr>
        <w:tab/>
        <w:t>M. MacDonald cachait sa main derrière sa jambe et, de toute évidence, il tenait un objet;</w:t>
      </w:r>
    </w:p>
    <w:p w:rsidR="00BF4088" w:rsidRPr="00367521" w:rsidRDefault="00CA787B" w:rsidP="00CA787B">
      <w:pPr>
        <w:pStyle w:val="ContinueParaSuitedupar-AltP"/>
        <w:ind w:left="720" w:hanging="720"/>
        <w:rPr>
          <w:lang w:val="fr-CA"/>
        </w:rPr>
      </w:pPr>
      <w:r>
        <w:rPr>
          <w:lang w:val="fr-CA"/>
        </w:rPr>
        <w:t>2.</w:t>
      </w:r>
      <w:r w:rsidR="00BF4088" w:rsidRPr="00367521">
        <w:rPr>
          <w:lang w:val="fr-CA"/>
        </w:rPr>
        <w:tab/>
        <w:t xml:space="preserve">il s’agissait d’un objet « noir et brillant », donc possiblement d’une arme; </w:t>
      </w:r>
    </w:p>
    <w:p w:rsidR="00BF4088" w:rsidRPr="00367521" w:rsidRDefault="00CA787B" w:rsidP="00CA787B">
      <w:pPr>
        <w:pStyle w:val="ContinueParaSuitedupar-AltP"/>
        <w:ind w:left="720" w:hanging="720"/>
        <w:rPr>
          <w:lang w:val="fr-CA"/>
        </w:rPr>
      </w:pPr>
      <w:r>
        <w:rPr>
          <w:lang w:val="fr-CA"/>
        </w:rPr>
        <w:t>3.</w:t>
      </w:r>
      <w:r w:rsidR="00BF4088" w:rsidRPr="00367521">
        <w:rPr>
          <w:lang w:val="fr-CA"/>
        </w:rPr>
        <w:tab/>
        <w:t>lorsqu’on lui a demandé à deux reprises ce qu’il tenait derrière son dos, M. MacDonald a refusé de répondre ou de fournir toute autre explication.</w:t>
      </w:r>
    </w:p>
    <w:p w:rsidR="00BF4088" w:rsidRPr="00367521" w:rsidRDefault="00BF4088" w:rsidP="00BF4088">
      <w:pPr>
        <w:pStyle w:val="ParaNoNdepar-AltN"/>
        <w:rPr>
          <w:rFonts w:cs="Times New Roman"/>
          <w:lang w:val="fr-CA"/>
        </w:rPr>
      </w:pPr>
      <w:r w:rsidRPr="00367521">
        <w:rPr>
          <w:rFonts w:cs="Times New Roman"/>
          <w:lang w:val="fr-CA"/>
        </w:rPr>
        <w:t xml:space="preserve">À mon avis, la fouille effectuée par le sergent Boyd était autorisée par une règle de droit, en l’occurrence une règle de </w:t>
      </w:r>
      <w:proofErr w:type="spellStart"/>
      <w:r w:rsidRPr="00367521">
        <w:rPr>
          <w:rFonts w:cs="Times New Roman"/>
          <w:lang w:val="fr-CA"/>
        </w:rPr>
        <w:t>common</w:t>
      </w:r>
      <w:proofErr w:type="spellEnd"/>
      <w:r w:rsidRPr="00367521">
        <w:rPr>
          <w:rFonts w:cs="Times New Roman"/>
          <w:lang w:val="fr-CA"/>
        </w:rPr>
        <w:t xml:space="preserve"> </w:t>
      </w:r>
      <w:proofErr w:type="spellStart"/>
      <w:r w:rsidRPr="00367521">
        <w:rPr>
          <w:rFonts w:cs="Times New Roman"/>
          <w:lang w:val="fr-CA"/>
        </w:rPr>
        <w:t>law</w:t>
      </w:r>
      <w:proofErr w:type="spellEnd"/>
      <w:r w:rsidRPr="00367521">
        <w:rPr>
          <w:rFonts w:cs="Times New Roman"/>
          <w:lang w:val="fr-CA"/>
        </w:rPr>
        <w:t xml:space="preserve"> maintenant bien établie</w:t>
      </w:r>
      <w:r w:rsidR="00CA787B">
        <w:rPr>
          <w:rFonts w:cs="Times New Roman"/>
          <w:lang w:val="fr-CA"/>
        </w:rPr>
        <w:t>,</w:t>
      </w:r>
      <w:r w:rsidRPr="00367521">
        <w:rPr>
          <w:rFonts w:cs="Times New Roman"/>
          <w:lang w:val="fr-CA"/>
        </w:rPr>
        <w:t xml:space="preserve"> et cette règle de droit n’a rien d’abusif.  Comme je l’explique </w:t>
      </w:r>
      <w:proofErr w:type="spellStart"/>
      <w:r w:rsidRPr="00367521">
        <w:rPr>
          <w:rFonts w:cs="Times New Roman"/>
          <w:lang w:val="fr-CA"/>
        </w:rPr>
        <w:t>ci</w:t>
      </w:r>
      <w:r w:rsidRPr="00367521">
        <w:rPr>
          <w:rFonts w:cs="Times New Roman"/>
          <w:lang w:val="fr-CA"/>
        </w:rPr>
        <w:noBreakHyphen/>
        <w:t>après</w:t>
      </w:r>
      <w:proofErr w:type="spellEnd"/>
      <w:r w:rsidRPr="00367521">
        <w:rPr>
          <w:rFonts w:cs="Times New Roman"/>
          <w:lang w:val="fr-CA"/>
        </w:rPr>
        <w:t xml:space="preserve">, la façon dont </w:t>
      </w:r>
      <w:proofErr w:type="spellStart"/>
      <w:r w:rsidRPr="00367521">
        <w:rPr>
          <w:rFonts w:cs="Times New Roman"/>
          <w:lang w:val="fr-CA"/>
        </w:rPr>
        <w:t>celui</w:t>
      </w:r>
      <w:r w:rsidRPr="00367521">
        <w:rPr>
          <w:rFonts w:cs="Times New Roman"/>
          <w:lang w:val="fr-CA"/>
        </w:rPr>
        <w:noBreakHyphen/>
        <w:t>ci</w:t>
      </w:r>
      <w:proofErr w:type="spellEnd"/>
      <w:r w:rsidRPr="00367521">
        <w:rPr>
          <w:rFonts w:cs="Times New Roman"/>
          <w:lang w:val="fr-CA"/>
        </w:rPr>
        <w:t xml:space="preserve"> a effectué la fouille n’était pas non plus abusive.</w:t>
      </w:r>
    </w:p>
    <w:p w:rsidR="00BF4088" w:rsidRPr="00367521" w:rsidRDefault="00CA787B" w:rsidP="00BF4088">
      <w:pPr>
        <w:pStyle w:val="TitleTitre-AltT"/>
        <w:keepNext/>
        <w:tabs>
          <w:tab w:val="clear" w:pos="360"/>
          <w:tab w:val="left" w:pos="1200"/>
        </w:tabs>
        <w:spacing w:before="0"/>
        <w:ind w:left="1680" w:hanging="1680"/>
        <w:rPr>
          <w:rFonts w:cs="Times New Roman"/>
          <w:lang w:val="fr-CA"/>
        </w:rPr>
      </w:pPr>
      <w:r>
        <w:rPr>
          <w:rFonts w:cs="Times New Roman"/>
          <w:lang w:val="fr-CA"/>
        </w:rPr>
        <w:lastRenderedPageBreak/>
        <w:tab/>
      </w:r>
      <w:r w:rsidR="00BF4088" w:rsidRPr="00367521">
        <w:rPr>
          <w:rFonts w:cs="Times New Roman"/>
          <w:lang w:val="fr-CA"/>
        </w:rPr>
        <w:t>b)</w:t>
      </w:r>
      <w:r w:rsidR="00BF4088" w:rsidRPr="00367521">
        <w:rPr>
          <w:rFonts w:cs="Times New Roman"/>
          <w:lang w:val="fr-CA"/>
        </w:rPr>
        <w:tab/>
      </w:r>
      <w:r w:rsidR="00BF4088" w:rsidRPr="00367521">
        <w:rPr>
          <w:rFonts w:cs="Times New Roman"/>
          <w:i/>
          <w:lang w:val="fr-CA"/>
        </w:rPr>
        <w:t>La façon dont la fouille a été effectuée n’avait rien d’abusif</w:t>
      </w:r>
      <w:r w:rsidR="00BF4088" w:rsidRPr="00367521">
        <w:rPr>
          <w:rFonts w:cs="Times New Roman"/>
          <w:lang w:val="fr-CA"/>
        </w:rPr>
        <w:t xml:space="preserve"> </w:t>
      </w:r>
    </w:p>
    <w:p w:rsidR="00BF4088" w:rsidRPr="00367521" w:rsidRDefault="00BF4088" w:rsidP="00BF4088">
      <w:pPr>
        <w:pStyle w:val="ParaNoNdepar-AltN"/>
        <w:rPr>
          <w:rFonts w:cs="Times New Roman"/>
          <w:lang w:val="fr-CA"/>
        </w:rPr>
      </w:pPr>
      <w:r w:rsidRPr="00367521">
        <w:rPr>
          <w:rFonts w:cs="Times New Roman"/>
          <w:lang w:val="fr-CA"/>
        </w:rPr>
        <w:t xml:space="preserve">Ce volet du critère établi dans l’arrêt </w:t>
      </w:r>
      <w:r w:rsidRPr="00367521">
        <w:rPr>
          <w:rFonts w:cs="Times New Roman"/>
          <w:i/>
          <w:lang w:val="fr-CA"/>
        </w:rPr>
        <w:t>Collins</w:t>
      </w:r>
      <w:r w:rsidRPr="00367521">
        <w:rPr>
          <w:rFonts w:cs="Times New Roman"/>
          <w:lang w:val="fr-CA"/>
        </w:rPr>
        <w:t xml:space="preserve"> comporte deux aspects. Premièrement, nous avons vu que l’agent doit avoir des motifs raisonnables de croire à l’existence d’une menace imminente pour sa sécurité ou celle du public avant que l’on puisse conclure au caractère non abusif d’une fouille de sécurité.  J’estime que le sergent Boyd avait de tels motifs dans les circonstances de l’espèce.</w:t>
      </w:r>
    </w:p>
    <w:p w:rsidR="00BF4088" w:rsidRPr="00367521" w:rsidRDefault="00BF4088" w:rsidP="00BF4088">
      <w:pPr>
        <w:pStyle w:val="ParaNoNdepar-AltN"/>
        <w:rPr>
          <w:rFonts w:cs="Times New Roman"/>
          <w:lang w:val="fr-CA"/>
        </w:rPr>
      </w:pPr>
      <w:r w:rsidRPr="00367521">
        <w:rPr>
          <w:rFonts w:cs="Times New Roman"/>
          <w:lang w:val="fr-CA"/>
        </w:rPr>
        <w:t xml:space="preserve">Deuxièmement, les actes accomplis par les policiers lors de la fouille doivent être attentivement examinés pour déterminer si </w:t>
      </w:r>
      <w:r w:rsidRPr="00367521">
        <w:rPr>
          <w:rFonts w:cs="Times New Roman"/>
          <w:szCs w:val="24"/>
          <w:lang w:val="fr-CA"/>
        </w:rPr>
        <w:t xml:space="preserve">la fouille a été effectuée de manière non abusive.  Dans une certaine mesure, cette analyse concerne le deuxième volet du critère de l’arrêt </w:t>
      </w:r>
      <w:proofErr w:type="spellStart"/>
      <w:r w:rsidRPr="00367521">
        <w:rPr>
          <w:rFonts w:cs="Times New Roman"/>
          <w:i/>
          <w:szCs w:val="24"/>
          <w:lang w:val="fr-CA"/>
        </w:rPr>
        <w:t>Waterfield</w:t>
      </w:r>
      <w:proofErr w:type="spellEnd"/>
      <w:r w:rsidRPr="00367521">
        <w:rPr>
          <w:rFonts w:cs="Times New Roman"/>
          <w:szCs w:val="24"/>
          <w:lang w:val="fr-CA"/>
        </w:rPr>
        <w:t>.  Si l’atteinte est plus importante que ce qui est nécessaire pour vérifier la présence d’armes, la fouille ne sera pas autorisée en droit.  À ce stade cependant, il faut examiner le caractère globalement non abusif de la fouille eu égard à l’ensemble des circonstances (</w:t>
      </w:r>
      <w:r w:rsidRPr="00367521">
        <w:rPr>
          <w:rFonts w:cs="Times New Roman"/>
          <w:i/>
          <w:szCs w:val="24"/>
          <w:lang w:val="fr-CA"/>
        </w:rPr>
        <w:t>Mann</w:t>
      </w:r>
      <w:r w:rsidRPr="00367521">
        <w:rPr>
          <w:rFonts w:cs="Times New Roman"/>
          <w:szCs w:val="24"/>
          <w:lang w:val="fr-CA"/>
        </w:rPr>
        <w:t>, par. 44).  Il est nécessaire d’examiner non seulement l’</w:t>
      </w:r>
      <w:r w:rsidRPr="00367521">
        <w:rPr>
          <w:rFonts w:cs="Times New Roman"/>
          <w:i/>
          <w:szCs w:val="24"/>
          <w:lang w:val="fr-CA"/>
        </w:rPr>
        <w:t>ampleur</w:t>
      </w:r>
      <w:r w:rsidRPr="00367521">
        <w:rPr>
          <w:rFonts w:cs="Times New Roman"/>
          <w:szCs w:val="24"/>
          <w:lang w:val="fr-CA"/>
        </w:rPr>
        <w:t xml:space="preserve"> de l’atteinte, mais également </w:t>
      </w:r>
      <w:r w:rsidRPr="00BA650C">
        <w:rPr>
          <w:rFonts w:cs="Times New Roman"/>
          <w:i/>
          <w:szCs w:val="24"/>
          <w:lang w:val="fr-CA"/>
        </w:rPr>
        <w:t>de quelle</w:t>
      </w:r>
      <w:r w:rsidRPr="00367521">
        <w:rPr>
          <w:rFonts w:cs="Times New Roman"/>
          <w:szCs w:val="24"/>
          <w:lang w:val="fr-CA"/>
        </w:rPr>
        <w:t xml:space="preserve"> </w:t>
      </w:r>
      <w:r w:rsidRPr="00367521">
        <w:rPr>
          <w:rFonts w:cs="Times New Roman"/>
          <w:i/>
          <w:szCs w:val="24"/>
          <w:lang w:val="fr-CA"/>
        </w:rPr>
        <w:t>façon</w:t>
      </w:r>
      <w:r w:rsidRPr="00367521">
        <w:rPr>
          <w:rFonts w:cs="Times New Roman"/>
          <w:szCs w:val="24"/>
          <w:lang w:val="fr-CA"/>
        </w:rPr>
        <w:t xml:space="preserve"> la fouille a été effectuée.  La question est de savoir si la fouille constitue une atteinte minimale au droit à la protection de la vie privée en jeu.  Autrement dit, la façon dont la fouille de sécurité a été effectuée devait être raisonnablement </w:t>
      </w:r>
      <w:r w:rsidRPr="00367521">
        <w:rPr>
          <w:rFonts w:cs="Times New Roman"/>
          <w:i/>
          <w:szCs w:val="24"/>
          <w:lang w:val="fr-CA"/>
        </w:rPr>
        <w:t>nécessaire</w:t>
      </w:r>
      <w:r w:rsidRPr="00367521">
        <w:rPr>
          <w:rFonts w:cs="Times New Roman"/>
          <w:szCs w:val="24"/>
          <w:lang w:val="fr-CA"/>
        </w:rPr>
        <w:t xml:space="preserve"> pour éliminer la menace.  </w:t>
      </w:r>
    </w:p>
    <w:p w:rsidR="00BF4088" w:rsidRPr="00367521" w:rsidRDefault="00BF4088" w:rsidP="00BF4088">
      <w:pPr>
        <w:pStyle w:val="ParaNoNdepar-AltN"/>
        <w:rPr>
          <w:rFonts w:cs="Times New Roman"/>
          <w:lang w:val="fr-CA"/>
        </w:rPr>
      </w:pPr>
      <w:r w:rsidRPr="00367521">
        <w:rPr>
          <w:rFonts w:cs="Times New Roman"/>
          <w:szCs w:val="24"/>
          <w:lang w:val="fr-CA"/>
        </w:rPr>
        <w:t xml:space="preserve">En l’espèce, le juge du procès a conclu qu’en poussant la porte un peu plus loin, le sergent Boyd n’avait fait que ce qui était nécessaire pour trouver ce que </w:t>
      </w:r>
      <w:r w:rsidRPr="00367521">
        <w:rPr>
          <w:rFonts w:cs="Times New Roman"/>
          <w:lang w:val="fr-CA"/>
        </w:rPr>
        <w:t>M. MacDonald</w:t>
      </w:r>
      <w:r w:rsidRPr="00367521">
        <w:rPr>
          <w:rFonts w:cs="Times New Roman"/>
          <w:szCs w:val="24"/>
          <w:lang w:val="fr-CA"/>
        </w:rPr>
        <w:t xml:space="preserve"> dissimulait derrière sa jambe.  Ce geste était donc raisonnablement </w:t>
      </w:r>
      <w:r w:rsidRPr="00367521">
        <w:rPr>
          <w:rFonts w:cs="Times New Roman"/>
          <w:szCs w:val="24"/>
          <w:lang w:val="fr-CA"/>
        </w:rPr>
        <w:lastRenderedPageBreak/>
        <w:t xml:space="preserve">nécessaire pour découvrir ce qui se trouvait derrière la jambe de </w:t>
      </w:r>
      <w:r w:rsidRPr="00367521">
        <w:rPr>
          <w:rFonts w:cs="Times New Roman"/>
          <w:lang w:val="fr-CA"/>
        </w:rPr>
        <w:t>M. MacDonald</w:t>
      </w:r>
      <w:r w:rsidRPr="00367521">
        <w:rPr>
          <w:rFonts w:cs="Times New Roman"/>
          <w:szCs w:val="24"/>
          <w:lang w:val="fr-CA"/>
        </w:rPr>
        <w:t xml:space="preserve"> et, partant, éliminer toute menace pour la sécurité du public ou des policiers.  En fait, on pourrait même dire qu’il n’y avait pas de façon moins envahissante de le faire.  Le sergent Boyd a demandé deux fois à </w:t>
      </w:r>
      <w:r w:rsidRPr="00367521">
        <w:rPr>
          <w:rFonts w:cs="Times New Roman"/>
          <w:lang w:val="fr-CA"/>
        </w:rPr>
        <w:t>M. MacDonald</w:t>
      </w:r>
      <w:r w:rsidRPr="00367521">
        <w:rPr>
          <w:rFonts w:cs="Times New Roman"/>
          <w:szCs w:val="24"/>
          <w:lang w:val="fr-CA"/>
        </w:rPr>
        <w:t xml:space="preserve"> ce qu’il tenait dans sa main, sans obtenir de réponse.  </w:t>
      </w:r>
      <w:r w:rsidRPr="00367521">
        <w:rPr>
          <w:rFonts w:cs="Times New Roman"/>
          <w:lang w:val="fr-CA"/>
        </w:rPr>
        <w:t>Dans de telles circonstances, il est difficile d’imaginer une façon moins envahissante de déterminer si M. MacDonald cachait une arme (et, par le fait même, d’éliminer toute menace à cet égard).</w:t>
      </w:r>
    </w:p>
    <w:p w:rsidR="00BF4088" w:rsidRPr="00367521" w:rsidRDefault="00BF4088" w:rsidP="00BF4088">
      <w:pPr>
        <w:pStyle w:val="ParaNoNdepar-AltN"/>
        <w:rPr>
          <w:rFonts w:cs="Times New Roman"/>
          <w:lang w:val="fr-CA"/>
        </w:rPr>
      </w:pPr>
      <w:r w:rsidRPr="00367521">
        <w:rPr>
          <w:rFonts w:cs="Times New Roman"/>
          <w:lang w:val="fr-CA"/>
        </w:rPr>
        <w:t xml:space="preserve">En fait, si l’on considère l’ensemble du témoignage du policier, il apparaît évident que ce dernier possédait des motifs raisonnables de croire que M. MacDonald tenait une arme dans sa main.  Il ne savait tout simplement pas de quel type d’arme il s’agissait (voir, par exemple, </w:t>
      </w:r>
      <w:proofErr w:type="gramStart"/>
      <w:r w:rsidRPr="00367521">
        <w:rPr>
          <w:rFonts w:cs="Times New Roman"/>
          <w:lang w:val="fr-CA"/>
        </w:rPr>
        <w:t>d.a.,</w:t>
      </w:r>
      <w:proofErr w:type="gramEnd"/>
      <w:r w:rsidRPr="00367521">
        <w:rPr>
          <w:rFonts w:cs="Times New Roman"/>
          <w:lang w:val="fr-CA"/>
        </w:rPr>
        <w:t xml:space="preserve"> p. 180).</w:t>
      </w:r>
    </w:p>
    <w:p w:rsidR="00BF4088" w:rsidRPr="00367521" w:rsidRDefault="00BF4088" w:rsidP="00BF4088">
      <w:pPr>
        <w:pStyle w:val="ParaNoNdepar-AltN"/>
        <w:rPr>
          <w:rFonts w:cs="Times New Roman"/>
          <w:lang w:val="fr-CA"/>
        </w:rPr>
      </w:pPr>
      <w:r w:rsidRPr="00367521">
        <w:rPr>
          <w:rFonts w:cs="Times New Roman"/>
          <w:lang w:val="fr-CA"/>
        </w:rPr>
        <w:t xml:space="preserve">Dans ce contexte, la fouille effectuée dans la résidence de M. MacDonald lorsque le sergent Boyd a poussé la porte un peu plus loin n’était pas abusive.  Elle était autorisée par une règle de droit non abusive et a été effectuée de manière non abusive.  Par conséquent, il n’y a pas eu violation des droits conférés à M. MacDonald par l’art. 8 de la </w:t>
      </w:r>
      <w:r w:rsidRPr="00367521">
        <w:rPr>
          <w:rFonts w:cs="Times New Roman"/>
          <w:i/>
          <w:lang w:val="fr-CA"/>
        </w:rPr>
        <w:t>Charte</w:t>
      </w:r>
      <w:r w:rsidRPr="00367521">
        <w:rPr>
          <w:rFonts w:cs="Times New Roman"/>
          <w:lang w:val="fr-CA"/>
        </w:rPr>
        <w:t xml:space="preserve">.  Il n’est donc pas nécessaire que je me penche sur la question de la réparation fondée sur le par. 24(2) de la </w:t>
      </w:r>
      <w:r w:rsidRPr="00367521">
        <w:rPr>
          <w:rFonts w:cs="Times New Roman"/>
          <w:i/>
          <w:lang w:val="fr-CA"/>
        </w:rPr>
        <w:t>Charte</w:t>
      </w:r>
      <w:r w:rsidRPr="00367521">
        <w:rPr>
          <w:rFonts w:cs="Times New Roman"/>
          <w:lang w:val="fr-CA"/>
        </w:rPr>
        <w:t>.</w:t>
      </w:r>
    </w:p>
    <w:p w:rsidR="00BF4088" w:rsidRPr="00367521" w:rsidRDefault="00BF4088" w:rsidP="00BF4088">
      <w:pPr>
        <w:pStyle w:val="TitleTitre-AltT"/>
        <w:keepNext/>
        <w:spacing w:before="0"/>
        <w:rPr>
          <w:rFonts w:cs="Times New Roman"/>
          <w:i/>
          <w:lang w:val="fr-CA"/>
        </w:rPr>
      </w:pPr>
      <w:r w:rsidRPr="00367521">
        <w:rPr>
          <w:rFonts w:cs="Times New Roman"/>
          <w:lang w:val="fr-CA"/>
        </w:rPr>
        <w:t>C.</w:t>
      </w:r>
      <w:r w:rsidRPr="00367521">
        <w:rPr>
          <w:rFonts w:cs="Times New Roman"/>
          <w:lang w:val="fr-CA"/>
        </w:rPr>
        <w:tab/>
      </w:r>
      <w:r w:rsidRPr="00367521">
        <w:rPr>
          <w:rFonts w:cs="Times New Roman"/>
          <w:i/>
          <w:lang w:val="fr-CA"/>
        </w:rPr>
        <w:t xml:space="preserve">Appel </w:t>
      </w:r>
      <w:r w:rsidR="00CA787B">
        <w:rPr>
          <w:rFonts w:cs="Times New Roman"/>
          <w:i/>
          <w:lang w:val="fr-CA"/>
        </w:rPr>
        <w:t xml:space="preserve">interjeté </w:t>
      </w:r>
      <w:r w:rsidRPr="00367521">
        <w:rPr>
          <w:rFonts w:cs="Times New Roman"/>
          <w:i/>
          <w:lang w:val="fr-CA"/>
        </w:rPr>
        <w:t>à l’encontre de l’acquittement sur l’accusation portée en vertu de l’art</w:t>
      </w:r>
      <w:r w:rsidR="00CA787B">
        <w:rPr>
          <w:rFonts w:cs="Times New Roman"/>
          <w:i/>
          <w:lang w:val="fr-CA"/>
        </w:rPr>
        <w:t xml:space="preserve">. </w:t>
      </w:r>
      <w:r w:rsidRPr="00367521">
        <w:rPr>
          <w:rFonts w:cs="Times New Roman"/>
          <w:i/>
          <w:lang w:val="fr-CA"/>
        </w:rPr>
        <w:t xml:space="preserve">95 du Code </w:t>
      </w:r>
    </w:p>
    <w:p w:rsidR="00BF4088" w:rsidRPr="00367521" w:rsidRDefault="00BF4088" w:rsidP="00BF4088">
      <w:pPr>
        <w:pStyle w:val="ParaNoNdepar-AltN"/>
        <w:rPr>
          <w:rFonts w:cs="Times New Roman"/>
          <w:lang w:val="fr-CA"/>
        </w:rPr>
      </w:pPr>
      <w:r w:rsidRPr="00367521">
        <w:rPr>
          <w:rFonts w:cs="Times New Roman"/>
          <w:lang w:val="fr-CA"/>
        </w:rPr>
        <w:t xml:space="preserve">Le ministère public interjette appel </w:t>
      </w:r>
      <w:r w:rsidR="00CA787B">
        <w:rPr>
          <w:rFonts w:cs="Times New Roman"/>
          <w:lang w:val="fr-CA"/>
        </w:rPr>
        <w:t>de</w:t>
      </w:r>
      <w:r w:rsidRPr="00367521">
        <w:rPr>
          <w:rFonts w:cs="Times New Roman"/>
          <w:lang w:val="fr-CA"/>
        </w:rPr>
        <w:t xml:space="preserve"> l’acquittement de M. MacDonald sur l’accusation portée en vertu de l’art. 95 du </w:t>
      </w:r>
      <w:r w:rsidRPr="00367521">
        <w:rPr>
          <w:rFonts w:cs="Times New Roman"/>
          <w:i/>
          <w:lang w:val="fr-CA"/>
        </w:rPr>
        <w:t>Code</w:t>
      </w:r>
      <w:r w:rsidRPr="00367521">
        <w:rPr>
          <w:rFonts w:cs="Times New Roman"/>
          <w:lang w:val="fr-CA"/>
        </w:rPr>
        <w:t xml:space="preserve">.  Il plaide que la Cour d’appel a </w:t>
      </w:r>
      <w:r w:rsidRPr="00367521">
        <w:rPr>
          <w:rFonts w:cs="Times New Roman"/>
          <w:lang w:val="fr-CA"/>
        </w:rPr>
        <w:lastRenderedPageBreak/>
        <w:t xml:space="preserve">commis une erreur dans son interprétation de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i/>
          <w:lang w:val="fr-CA"/>
        </w:rPr>
        <w:t xml:space="preserve"> </w:t>
      </w:r>
      <w:r w:rsidRPr="00367521">
        <w:rPr>
          <w:rFonts w:cs="Times New Roman"/>
          <w:lang w:val="fr-CA"/>
        </w:rPr>
        <w:t xml:space="preserve">qu’exige l’infraction de possession d’une arme à feu à autorisation restreinte chargée prévue à l’art. 95 et qu’elle lui a imposé un fardeau quasi insurmontable, incompatible avec le principe selon lequel l’ignorance de la loi n’est pas une excuse.  Pour sa part, M. MacDonald plaide que la Cour d’appel a correctement interprété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applicable à l’infraction, et qu’elle a eu raison de conclure à l’absence de preuve de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Je suis d’accord avec le ministère public pour conclure que la Cour d’appel a commis une erreur en l’obligeant à prouver, pour obtenir une déclaration de culpabilité sous le régime de l’art. 95, que l’accusé savait que le permis de possession et d’acquisition de l’arme à feu et l’autorisation de transporter l’arme à feu n’étaient pas valides dans le lieu où il possédait illégalement cette arme.  Comme je vais l’expliquer, l’imposition d’une telle exigence contrevient à la règle, codifiée à l’art. 19 du </w:t>
      </w:r>
      <w:r w:rsidRPr="00367521">
        <w:rPr>
          <w:rFonts w:cs="Times New Roman"/>
          <w:i/>
          <w:lang w:val="fr-CA"/>
        </w:rPr>
        <w:t>Code</w:t>
      </w:r>
      <w:r w:rsidRPr="00367521">
        <w:rPr>
          <w:rFonts w:cs="Times New Roman"/>
          <w:lang w:val="fr-CA"/>
        </w:rPr>
        <w:t>, selon laquelle l’ignorance de la loi n’est pas une excuse.</w:t>
      </w:r>
    </w:p>
    <w:p w:rsidR="00BF4088" w:rsidRPr="00367521" w:rsidRDefault="00BF4088" w:rsidP="00BF4088">
      <w:pPr>
        <w:pStyle w:val="ParaNoNdepar-AltN"/>
        <w:rPr>
          <w:rFonts w:cs="Times New Roman"/>
          <w:lang w:val="fr-CA"/>
        </w:rPr>
      </w:pPr>
      <w:r w:rsidRPr="00367521">
        <w:rPr>
          <w:rFonts w:cs="Times New Roman"/>
          <w:lang w:val="fr-CA"/>
        </w:rPr>
        <w:t xml:space="preserve">Le paragraphe 95(1) du </w:t>
      </w:r>
      <w:r w:rsidRPr="00367521">
        <w:rPr>
          <w:rFonts w:cs="Times New Roman"/>
          <w:i/>
          <w:lang w:val="fr-CA"/>
        </w:rPr>
        <w:t>Code</w:t>
      </w:r>
      <w:r w:rsidRPr="00367521">
        <w:rPr>
          <w:rFonts w:cs="Times New Roman"/>
          <w:lang w:val="fr-CA"/>
        </w:rPr>
        <w:t xml:space="preserve"> prévoit ce qui suit :</w:t>
      </w:r>
    </w:p>
    <w:p w:rsidR="00BF4088" w:rsidRDefault="00BF4088" w:rsidP="00BF4088">
      <w:pPr>
        <w:pStyle w:val="Citation-AltC"/>
        <w:ind w:hanging="1166"/>
        <w:rPr>
          <w:lang w:val="fr-CA"/>
        </w:rPr>
      </w:pPr>
      <w:r w:rsidRPr="00367521">
        <w:rPr>
          <w:lang w:val="fr-CA"/>
        </w:rPr>
        <w:tab/>
      </w:r>
      <w:r w:rsidRPr="00367521">
        <w:rPr>
          <w:lang w:val="fr-CA"/>
        </w:rPr>
        <w:tab/>
      </w:r>
      <w:r w:rsidRPr="00367521">
        <w:rPr>
          <w:b/>
          <w:lang w:val="fr-CA"/>
        </w:rPr>
        <w:t>95.</w:t>
      </w:r>
      <w:r w:rsidRPr="00367521">
        <w:rPr>
          <w:lang w:val="fr-CA"/>
        </w:rPr>
        <w:t xml:space="preserve"> (1)  Sous réserve du paragraphe (3), commet une infraction quiconque </w:t>
      </w:r>
      <w:r w:rsidRPr="00367521">
        <w:rPr>
          <w:u w:val="single"/>
          <w:lang w:val="fr-CA"/>
        </w:rPr>
        <w:t>a en sa possession dans un lieu quelconque</w:t>
      </w:r>
      <w:r w:rsidRPr="00367521">
        <w:rPr>
          <w:lang w:val="fr-CA"/>
        </w:rPr>
        <w:t xml:space="preserve"> soit une arme à feu prohibée ou </w:t>
      </w:r>
      <w:r w:rsidRPr="00367521">
        <w:rPr>
          <w:u w:val="single"/>
          <w:lang w:val="fr-CA"/>
        </w:rPr>
        <w:t>une arme à feu à autorisation restreinte chargée</w:t>
      </w:r>
      <w:r w:rsidR="00CA787B">
        <w:rPr>
          <w:u w:val="single"/>
          <w:lang w:val="fr-CA"/>
        </w:rPr>
        <w:t>s</w:t>
      </w:r>
      <w:r w:rsidRPr="00367521">
        <w:rPr>
          <w:lang w:val="fr-CA"/>
        </w:rPr>
        <w:t xml:space="preserve">, soit une telle arme non chargée avec des munitions facilement accessibles qui peuvent être utilisées avec </w:t>
      </w:r>
      <w:proofErr w:type="spellStart"/>
      <w:r w:rsidRPr="00367521">
        <w:rPr>
          <w:lang w:val="fr-CA"/>
        </w:rPr>
        <w:t>celle</w:t>
      </w:r>
      <w:r w:rsidRPr="00367521">
        <w:rPr>
          <w:lang w:val="fr-CA"/>
        </w:rPr>
        <w:noBreakHyphen/>
        <w:t>ci</w:t>
      </w:r>
      <w:proofErr w:type="spellEnd"/>
      <w:r w:rsidRPr="00367521">
        <w:rPr>
          <w:lang w:val="fr-CA"/>
        </w:rPr>
        <w:t xml:space="preserve">, </w:t>
      </w:r>
      <w:r w:rsidRPr="00367521">
        <w:rPr>
          <w:u w:val="single"/>
          <w:lang w:val="fr-CA"/>
        </w:rPr>
        <w:t>sans être titulaire à la fois</w:t>
      </w:r>
      <w:r w:rsidRPr="00367521">
        <w:rPr>
          <w:lang w:val="fr-CA"/>
        </w:rPr>
        <w:t xml:space="preserve"> : </w:t>
      </w:r>
    </w:p>
    <w:p w:rsidR="00CA787B" w:rsidRPr="00367521" w:rsidRDefault="00CA787B" w:rsidP="00BF4088">
      <w:pPr>
        <w:pStyle w:val="Citation-AltC"/>
        <w:ind w:hanging="1166"/>
        <w:rPr>
          <w:lang w:val="fr-CA"/>
        </w:rPr>
      </w:pPr>
    </w:p>
    <w:p w:rsidR="00BF4088" w:rsidRDefault="00BF4088" w:rsidP="00BF4088">
      <w:pPr>
        <w:pStyle w:val="Citation-AltC"/>
        <w:tabs>
          <w:tab w:val="left" w:pos="1440"/>
        </w:tabs>
        <w:ind w:left="1843" w:hanging="1843"/>
        <w:rPr>
          <w:lang w:val="fr-CA"/>
        </w:rPr>
      </w:pPr>
      <w:r w:rsidRPr="00367521">
        <w:rPr>
          <w:i/>
          <w:lang w:val="fr-CA"/>
        </w:rPr>
        <w:tab/>
        <w:t>a</w:t>
      </w:r>
      <w:r w:rsidRPr="00367521">
        <w:rPr>
          <w:lang w:val="fr-CA"/>
        </w:rPr>
        <w:t>)</w:t>
      </w:r>
      <w:r w:rsidRPr="00367521">
        <w:rPr>
          <w:lang w:val="fr-CA"/>
        </w:rPr>
        <w:tab/>
      </w:r>
      <w:r w:rsidRPr="00367521">
        <w:rPr>
          <w:u w:val="single"/>
          <w:lang w:val="fr-CA"/>
        </w:rPr>
        <w:t>d’une autorisation ou d’un permis qui l’y autorise dans ce lieu</w:t>
      </w:r>
      <w:r w:rsidRPr="00DD6735">
        <w:rPr>
          <w:lang w:val="fr-CA"/>
        </w:rPr>
        <w:t>;</w:t>
      </w:r>
      <w:r w:rsidRPr="00367521">
        <w:rPr>
          <w:lang w:val="fr-CA"/>
        </w:rPr>
        <w:t xml:space="preserve"> </w:t>
      </w:r>
    </w:p>
    <w:p w:rsidR="00CA787B" w:rsidRPr="00367521" w:rsidRDefault="00CA787B" w:rsidP="00BF4088">
      <w:pPr>
        <w:pStyle w:val="Citation-AltC"/>
        <w:tabs>
          <w:tab w:val="left" w:pos="1440"/>
        </w:tabs>
        <w:ind w:left="1843" w:hanging="1843"/>
        <w:rPr>
          <w:lang w:val="fr-CA"/>
        </w:rPr>
      </w:pPr>
    </w:p>
    <w:p w:rsidR="00BF4088" w:rsidRPr="00367521" w:rsidRDefault="00BF4088" w:rsidP="00BF4088">
      <w:pPr>
        <w:pStyle w:val="Citation-AltC"/>
        <w:tabs>
          <w:tab w:val="left" w:pos="1440"/>
        </w:tabs>
        <w:ind w:left="1843" w:hanging="1843"/>
        <w:contextualSpacing w:val="0"/>
        <w:rPr>
          <w:lang w:val="fr-CA"/>
        </w:rPr>
      </w:pPr>
      <w:r w:rsidRPr="00367521">
        <w:rPr>
          <w:i/>
          <w:lang w:val="fr-CA"/>
        </w:rPr>
        <w:tab/>
        <w:t>b</w:t>
      </w:r>
      <w:r w:rsidRPr="00367521">
        <w:rPr>
          <w:lang w:val="fr-CA"/>
        </w:rPr>
        <w:t>)</w:t>
      </w:r>
      <w:r w:rsidRPr="00367521">
        <w:rPr>
          <w:lang w:val="fr-CA"/>
        </w:rPr>
        <w:tab/>
        <w:t xml:space="preserve">du certificat d’enregistrement de l’arme. </w:t>
      </w:r>
    </w:p>
    <w:p w:rsidR="00BF4088" w:rsidRPr="00367521" w:rsidRDefault="00BF4088" w:rsidP="00BF4088">
      <w:pPr>
        <w:pStyle w:val="ParaNoNdepar-AltN"/>
        <w:rPr>
          <w:rFonts w:cs="Times New Roman"/>
          <w:lang w:val="fr-CA"/>
        </w:rPr>
      </w:pPr>
      <w:r w:rsidRPr="00367521">
        <w:rPr>
          <w:rFonts w:cs="Times New Roman"/>
          <w:lang w:val="fr-CA"/>
        </w:rPr>
        <w:t xml:space="preserve">L’argument invoqué par M. MacDonald devant la Cour à propos de sa déclaration de culpabilité fondée sur l’art. 95 porte sur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de l’infraction.  Il </w:t>
      </w:r>
      <w:r w:rsidRPr="00367521">
        <w:rPr>
          <w:rFonts w:cs="Times New Roman"/>
          <w:lang w:val="fr-CA"/>
        </w:rPr>
        <w:lastRenderedPageBreak/>
        <w:t xml:space="preserve">ne conteste pas avoir eu en sa possession dans son unité une arme à feu à autorisation restreinte chargée.  Il ne nie pas non plus qu’il </w:t>
      </w:r>
      <w:proofErr w:type="gramStart"/>
      <w:r w:rsidRPr="00367521">
        <w:rPr>
          <w:rFonts w:cs="Times New Roman"/>
          <w:lang w:val="fr-CA"/>
        </w:rPr>
        <w:t>avait</w:t>
      </w:r>
      <w:proofErr w:type="gramEnd"/>
      <w:r w:rsidRPr="00367521">
        <w:rPr>
          <w:rFonts w:cs="Times New Roman"/>
          <w:lang w:val="fr-CA"/>
        </w:rPr>
        <w:t xml:space="preserve"> l’arme en sa possession dans ce lieu sans être titulaire d’une autorisation ou d’un permis l’autorisant à la posséder dans ce lieu.  Il plaide plutôt que l’art. 95 crée une infraction exigeant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et que, pour obtenir une déclaration de culpabilité, le ministère public doit prouver qu’il savait qu’il n’était pas autorisé à posséder l’arme à feu dans son unité.  Selon lui, le ministère public n’a pas prouvé ce fait car M. MacDonald a affirmé au procès qu’il croyait subjectivement que le permis obtenu en Alberta était aussi valide à son condominium à Halifax.</w:t>
      </w:r>
    </w:p>
    <w:p w:rsidR="00BF4088" w:rsidRPr="00367521" w:rsidRDefault="00BF4088" w:rsidP="00BF4088">
      <w:pPr>
        <w:pStyle w:val="ParaNoNdepar-AltN"/>
        <w:rPr>
          <w:rFonts w:cs="Times New Roman"/>
          <w:lang w:val="fr-CA"/>
        </w:rPr>
      </w:pPr>
      <w:r w:rsidRPr="00367521">
        <w:rPr>
          <w:rFonts w:cs="Times New Roman"/>
          <w:lang w:val="fr-CA"/>
        </w:rPr>
        <w:t xml:space="preserve">À mon avis, l’art. 95 crée une infraction exigeant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Comme la Cour l’a reconnu dans </w:t>
      </w:r>
      <w:r w:rsidRPr="00367521">
        <w:rPr>
          <w:rFonts w:cs="Times New Roman"/>
          <w:i/>
          <w:lang w:val="fr-CA"/>
        </w:rPr>
        <w:t xml:space="preserve">Lévis (Ville) c. </w:t>
      </w:r>
      <w:proofErr w:type="spellStart"/>
      <w:r w:rsidRPr="00367521">
        <w:rPr>
          <w:rFonts w:cs="Times New Roman"/>
          <w:i/>
          <w:lang w:val="fr-CA"/>
        </w:rPr>
        <w:t>Tétreault</w:t>
      </w:r>
      <w:proofErr w:type="spellEnd"/>
      <w:r w:rsidRPr="00367521">
        <w:rPr>
          <w:rFonts w:cs="Times New Roman"/>
          <w:lang w:val="fr-CA"/>
        </w:rPr>
        <w:t>, 2006 CSC 12,</w:t>
      </w:r>
      <w:r w:rsidRPr="00367521">
        <w:rPr>
          <w:rFonts w:cs="Times New Roman"/>
          <w:i/>
          <w:lang w:val="fr-CA"/>
        </w:rPr>
        <w:t xml:space="preserve"> </w:t>
      </w:r>
      <w:r w:rsidRPr="00367521">
        <w:rPr>
          <w:rFonts w:cs="Times New Roman"/>
          <w:lang w:val="fr-CA"/>
        </w:rPr>
        <w:t xml:space="preserve">[2006] 1 R.C.S. 420, par. 16, le classement d’une infraction dans la catégorie des infractions exigeant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des infractions de responsabilité stricte ou des infractions de responsabilité absolue, est une question d’interprétation législative.  À l’audience, le ministère public a reconnu qu’il s’agit d’une infraction exigeant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et, de toute façon, nous pouvons valablement nous fonder sur la présomption selon laquelle les infractions appartiennent à la catégorie des infractions exigeant 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si, tout comme en l’espèce, le texte de loi n’indique pas une intention contraire (</w:t>
      </w:r>
      <w:r w:rsidRPr="00367521">
        <w:rPr>
          <w:rFonts w:cs="Times New Roman"/>
          <w:i/>
          <w:lang w:val="fr-CA"/>
        </w:rPr>
        <w:t xml:space="preserve">La Reine c. Sault </w:t>
      </w:r>
      <w:proofErr w:type="spellStart"/>
      <w:r w:rsidRPr="00367521">
        <w:rPr>
          <w:rFonts w:cs="Times New Roman"/>
          <w:i/>
          <w:lang w:val="fr-CA"/>
        </w:rPr>
        <w:t>Ste</w:t>
      </w:r>
      <w:r w:rsidRPr="00367521">
        <w:rPr>
          <w:rFonts w:cs="Times New Roman"/>
          <w:i/>
          <w:lang w:val="fr-CA"/>
        </w:rPr>
        <w:noBreakHyphen/>
        <w:t>Marie</w:t>
      </w:r>
      <w:proofErr w:type="spellEnd"/>
      <w:r w:rsidRPr="00367521">
        <w:rPr>
          <w:rFonts w:cs="Times New Roman"/>
          <w:lang w:val="fr-CA"/>
        </w:rPr>
        <w:t>, [1978] 2 R.C.S. 1299, p. 1309</w:t>
      </w:r>
      <w:r w:rsidRPr="00367521">
        <w:rPr>
          <w:rFonts w:cs="Times New Roman"/>
          <w:lang w:val="fr-CA"/>
        </w:rPr>
        <w:noBreakHyphen/>
        <w:t xml:space="preserve">1310; </w:t>
      </w:r>
      <w:r w:rsidRPr="00367521">
        <w:rPr>
          <w:rFonts w:cs="Times New Roman"/>
          <w:i/>
          <w:lang w:val="fr-CA"/>
        </w:rPr>
        <w:t>Beaver</w:t>
      </w:r>
      <w:r w:rsidRPr="00367521">
        <w:rPr>
          <w:rFonts w:cs="Times New Roman"/>
          <w:lang w:val="fr-CA"/>
        </w:rPr>
        <w:t xml:space="preserve"> </w:t>
      </w:r>
      <w:r w:rsidRPr="00367521">
        <w:rPr>
          <w:rFonts w:cs="Times New Roman"/>
          <w:i/>
          <w:lang w:val="fr-CA"/>
        </w:rPr>
        <w:t xml:space="preserve">c. The </w:t>
      </w:r>
      <w:proofErr w:type="spellStart"/>
      <w:r w:rsidRPr="00367521">
        <w:rPr>
          <w:rFonts w:cs="Times New Roman"/>
          <w:i/>
          <w:lang w:val="fr-CA"/>
        </w:rPr>
        <w:t>Queen</w:t>
      </w:r>
      <w:proofErr w:type="spellEnd"/>
      <w:r w:rsidRPr="00367521">
        <w:rPr>
          <w:rFonts w:cs="Times New Roman"/>
          <w:lang w:val="fr-CA"/>
        </w:rPr>
        <w:t>,</w:t>
      </w:r>
      <w:r w:rsidRPr="00367521">
        <w:rPr>
          <w:rFonts w:cs="Times New Roman"/>
          <w:i/>
          <w:lang w:val="fr-CA"/>
        </w:rPr>
        <w:t xml:space="preserve"> </w:t>
      </w:r>
      <w:r w:rsidRPr="00367521">
        <w:rPr>
          <w:rFonts w:cs="Times New Roman"/>
          <w:lang w:val="fr-CA"/>
        </w:rPr>
        <w:t>[1957] R.C.S. 531).</w:t>
      </w:r>
    </w:p>
    <w:p w:rsidR="00BF4088" w:rsidRPr="00367521" w:rsidRDefault="00BF4088" w:rsidP="00BF4088">
      <w:pPr>
        <w:pStyle w:val="ParaNoNdepar-AltN"/>
        <w:rPr>
          <w:rFonts w:cs="Times New Roman"/>
          <w:lang w:val="fr-CA"/>
        </w:rPr>
      </w:pPr>
      <w:r w:rsidRPr="00367521">
        <w:rPr>
          <w:rFonts w:cs="Times New Roman"/>
          <w:lang w:val="fr-CA"/>
        </w:rPr>
        <w:t xml:space="preserve">La </w:t>
      </w:r>
      <w:r w:rsidRPr="00367521">
        <w:rPr>
          <w:rFonts w:cs="Times New Roman"/>
          <w:i/>
          <w:lang w:val="fr-CA"/>
        </w:rPr>
        <w:t xml:space="preserve">mens </w:t>
      </w:r>
      <w:proofErr w:type="spellStart"/>
      <w:r w:rsidRPr="00367521">
        <w:rPr>
          <w:rFonts w:cs="Times New Roman"/>
          <w:i/>
          <w:lang w:val="fr-CA"/>
        </w:rPr>
        <w:t>rea</w:t>
      </w:r>
      <w:proofErr w:type="spellEnd"/>
      <w:r w:rsidRPr="00367521">
        <w:rPr>
          <w:rFonts w:cs="Times New Roman"/>
          <w:lang w:val="fr-CA"/>
        </w:rPr>
        <w:t xml:space="preserve"> que doit prouver le ministère public sous le régime du par. 95(1) ne comporte cependant pas comme élément la connaissance que la </w:t>
      </w:r>
      <w:r w:rsidRPr="00367521">
        <w:rPr>
          <w:rFonts w:cs="Times New Roman"/>
          <w:lang w:val="fr-CA"/>
        </w:rPr>
        <w:lastRenderedPageBreak/>
        <w:t xml:space="preserve">possession de l’arme au lieu en question </w:t>
      </w:r>
      <w:r w:rsidRPr="00367521">
        <w:rPr>
          <w:rFonts w:cs="Times New Roman"/>
          <w:i/>
          <w:lang w:val="fr-CA"/>
        </w:rPr>
        <w:t>n’</w:t>
      </w:r>
      <w:r w:rsidRPr="00BA650C">
        <w:rPr>
          <w:rFonts w:cs="Times New Roman"/>
          <w:lang w:val="fr-CA"/>
        </w:rPr>
        <w:t>est</w:t>
      </w:r>
      <w:r w:rsidRPr="00367521">
        <w:rPr>
          <w:rFonts w:cs="Times New Roman"/>
          <w:i/>
          <w:lang w:val="fr-CA"/>
        </w:rPr>
        <w:t xml:space="preserve"> pas</w:t>
      </w:r>
      <w:r w:rsidRPr="00367521">
        <w:rPr>
          <w:rFonts w:cs="Times New Roman"/>
          <w:lang w:val="fr-CA"/>
        </w:rPr>
        <w:t xml:space="preserve"> </w:t>
      </w:r>
      <w:r w:rsidRPr="00367521">
        <w:rPr>
          <w:rFonts w:cs="Times New Roman"/>
          <w:i/>
          <w:lang w:val="fr-CA"/>
        </w:rPr>
        <w:t>autorisée</w:t>
      </w:r>
      <w:r w:rsidRPr="00367521">
        <w:rPr>
          <w:rFonts w:cs="Times New Roman"/>
          <w:lang w:val="fr-CA"/>
        </w:rPr>
        <w:t>.  Il suffit de prouver la connaissance de la possession d’une arme à feu à autorisation restreinte chargée et l’intention de posséder l’arme chargée dans ce lieu.  Si une personne, intentionnellement et en toute connaissance de cause, a en sa possession dans un lieu donné une arme à feu à autorisation restreinte chargée, elle sera passible d’une peine pour l’infraction prévue au par. 95(1) si elle n’est pas titulaire d’une autorisation ou d’un permis qui autorise la possession de cette arme dans ce lieu.  Ainsi</w:t>
      </w:r>
      <w:r w:rsidR="00BA650C">
        <w:rPr>
          <w:rFonts w:cs="Times New Roman"/>
          <w:lang w:val="fr-CA"/>
        </w:rPr>
        <w:t>,</w:t>
      </w:r>
      <w:r w:rsidRPr="00367521">
        <w:rPr>
          <w:rFonts w:cs="Times New Roman"/>
          <w:lang w:val="fr-CA"/>
        </w:rPr>
        <w:t xml:space="preserve"> l’autorisation ou le permis de possession valide vient annuler </w:t>
      </w:r>
      <w:proofErr w:type="gramStart"/>
      <w:r w:rsidRPr="00367521">
        <w:rPr>
          <w:rFonts w:cs="Times New Roman"/>
          <w:lang w:val="fr-CA"/>
        </w:rPr>
        <w:t>l’</w:t>
      </w:r>
      <w:r w:rsidRPr="00367521">
        <w:rPr>
          <w:rFonts w:cs="Times New Roman"/>
          <w:i/>
          <w:lang w:val="fr-CA"/>
        </w:rPr>
        <w:t>actus</w:t>
      </w:r>
      <w:proofErr w:type="gramEnd"/>
      <w:r w:rsidRPr="00367521">
        <w:rPr>
          <w:rFonts w:cs="Times New Roman"/>
          <w:i/>
          <w:lang w:val="fr-CA"/>
        </w:rPr>
        <w:t xml:space="preserve"> </w:t>
      </w:r>
      <w:proofErr w:type="spellStart"/>
      <w:r w:rsidRPr="00367521">
        <w:rPr>
          <w:rFonts w:cs="Times New Roman"/>
          <w:i/>
          <w:lang w:val="fr-CA"/>
        </w:rPr>
        <w:t>reus</w:t>
      </w:r>
      <w:proofErr w:type="spellEnd"/>
      <w:r w:rsidRPr="00367521">
        <w:rPr>
          <w:rFonts w:cs="Times New Roman"/>
          <w:i/>
          <w:lang w:val="fr-CA"/>
        </w:rPr>
        <w:t xml:space="preserve"> </w:t>
      </w:r>
      <w:r w:rsidRPr="00367521">
        <w:rPr>
          <w:rFonts w:cs="Times New Roman"/>
          <w:lang w:val="fr-CA"/>
        </w:rPr>
        <w:t>de l’infraction, ce qui permet à quiconque a la possession légitime d’</w:t>
      </w:r>
      <w:r w:rsidR="0009315C">
        <w:rPr>
          <w:rFonts w:cs="Times New Roman"/>
          <w:lang w:val="fr-CA"/>
        </w:rPr>
        <w:t xml:space="preserve">une </w:t>
      </w:r>
      <w:r w:rsidRPr="00367521">
        <w:rPr>
          <w:rFonts w:cs="Times New Roman"/>
          <w:lang w:val="fr-CA"/>
        </w:rPr>
        <w:t>arme à feu à autorisation restreinte d’échapper à toute responsabilité.</w:t>
      </w:r>
    </w:p>
    <w:p w:rsidR="00BF4088" w:rsidRPr="00367521" w:rsidRDefault="00BF4088" w:rsidP="00BF4088">
      <w:pPr>
        <w:pStyle w:val="ParaNoNdepar-AltN"/>
        <w:rPr>
          <w:rFonts w:cs="Times New Roman"/>
          <w:lang w:val="fr-CA"/>
        </w:rPr>
      </w:pPr>
      <w:r w:rsidRPr="00367521">
        <w:rPr>
          <w:rFonts w:cs="Times New Roman"/>
          <w:lang w:val="fr-CA"/>
        </w:rPr>
        <w:t xml:space="preserve">En toute déférence, la Cour d’appel a commis une erreur de droit en considérant à tort que le par. 95(1) renferme implicitement un moyen de défense fondé sur l’ignorance de la loi.  Les juges majoritaires ont conclu que le ministère public devait prouver que M. MacDonald savait que sa possession n’était pas autorisée ou qu’il avait ignoré volontairement ce fait.  L’imposition d’un tel fardeau au ministère public obligerait </w:t>
      </w:r>
      <w:r w:rsidR="0009315C">
        <w:rPr>
          <w:rFonts w:cs="Times New Roman"/>
          <w:lang w:val="fr-CA"/>
        </w:rPr>
        <w:t>celui-ci</w:t>
      </w:r>
      <w:r w:rsidRPr="00367521">
        <w:rPr>
          <w:rFonts w:cs="Times New Roman"/>
          <w:lang w:val="fr-CA"/>
        </w:rPr>
        <w:t xml:space="preserve"> à prouver qu</w:t>
      </w:r>
      <w:r w:rsidR="0009315C">
        <w:rPr>
          <w:rFonts w:cs="Times New Roman"/>
          <w:lang w:val="fr-CA"/>
        </w:rPr>
        <w:t>e l’accusé</w:t>
      </w:r>
      <w:r w:rsidRPr="00367521">
        <w:rPr>
          <w:rFonts w:cs="Times New Roman"/>
          <w:lang w:val="fr-CA"/>
        </w:rPr>
        <w:t xml:space="preserve"> connaissait les conditions de son autorisation ou son permis.  Cela reviendrait à dire que le ministère public doit prouver que l’accusé connaissait la loi.</w:t>
      </w:r>
    </w:p>
    <w:p w:rsidR="00BF4088" w:rsidRPr="00367521" w:rsidRDefault="00BF4088" w:rsidP="00BF4088">
      <w:pPr>
        <w:pStyle w:val="ParaNoNdepar-AltN"/>
        <w:rPr>
          <w:rFonts w:cs="Times New Roman"/>
          <w:lang w:val="fr-CA"/>
        </w:rPr>
      </w:pPr>
      <w:r w:rsidRPr="00367521">
        <w:rPr>
          <w:rFonts w:cs="Times New Roman"/>
          <w:lang w:val="fr-CA"/>
        </w:rPr>
        <w:t xml:space="preserve">L’exemple suivant montre que l’erreur que commet un accusé en interprétant son autorisation ou son permis constitue une erreur de droit et non une erreur de fait.  Supposons que le </w:t>
      </w:r>
      <w:r w:rsidRPr="00367521">
        <w:rPr>
          <w:rFonts w:cs="Times New Roman"/>
          <w:i/>
          <w:lang w:val="fr-CA"/>
        </w:rPr>
        <w:t>Code</w:t>
      </w:r>
      <w:r w:rsidRPr="00367521">
        <w:rPr>
          <w:rFonts w:cs="Times New Roman"/>
          <w:lang w:val="fr-CA"/>
        </w:rPr>
        <w:t xml:space="preserve"> ne permette la possession d’armes à feu à autorisation restreinte qu’en Alberta et nulle part ailleurs au Canada.  Certes, si tel </w:t>
      </w:r>
      <w:r w:rsidRPr="00367521">
        <w:rPr>
          <w:rFonts w:cs="Times New Roman"/>
          <w:lang w:val="fr-CA"/>
        </w:rPr>
        <w:lastRenderedPageBreak/>
        <w:t xml:space="preserve">était le cas, nul ne pourrait contester que la possession d’une telle arme par M. MacDonald à Halifax </w:t>
      </w:r>
      <w:proofErr w:type="gramStart"/>
      <w:r w:rsidRPr="00367521">
        <w:rPr>
          <w:rFonts w:cs="Times New Roman"/>
          <w:lang w:val="fr-CA"/>
        </w:rPr>
        <w:t>contreviendrait</w:t>
      </w:r>
      <w:proofErr w:type="gramEnd"/>
      <w:r w:rsidRPr="00367521">
        <w:rPr>
          <w:rFonts w:cs="Times New Roman"/>
          <w:lang w:val="fr-CA"/>
        </w:rPr>
        <w:t xml:space="preserve"> à cette règle.  L’allégation selon laquelle il croyait pouvoir posséder l’arme légalement dans cette ville devrait être considérée comme une erreur de droit et ne pourrait servir comme moyen de défense à une accusation de possession illégale.  Quant à moi, je ne vois aucune différence lorsqu’une telle règle est étendue à l’autorisation accordée à une personne et que la disposition applicable du </w:t>
      </w:r>
      <w:r w:rsidRPr="00367521">
        <w:rPr>
          <w:rFonts w:cs="Times New Roman"/>
          <w:i/>
          <w:lang w:val="fr-CA"/>
        </w:rPr>
        <w:t>Code</w:t>
      </w:r>
      <w:r w:rsidRPr="00367521">
        <w:rPr>
          <w:rFonts w:cs="Times New Roman"/>
          <w:lang w:val="fr-CA"/>
        </w:rPr>
        <w:t xml:space="preserve"> renvoie simplement à cette autorisation.  Par conséquent, la croyance subjective de M. MacDonald qu’il pouvait avoir l’arme à feu en sa possession à Halifax n’est rien d’autre qu’une erreur de droit.</w:t>
      </w:r>
    </w:p>
    <w:p w:rsidR="00BF4088" w:rsidRPr="00367521" w:rsidRDefault="00BF4088" w:rsidP="00BF4088">
      <w:pPr>
        <w:pStyle w:val="ParaNoNdepar-AltN"/>
        <w:rPr>
          <w:rFonts w:cs="Times New Roman"/>
          <w:lang w:val="fr-CA"/>
        </w:rPr>
      </w:pPr>
      <w:r w:rsidRPr="00367521">
        <w:rPr>
          <w:rFonts w:cs="Times New Roman"/>
          <w:lang w:val="fr-CA"/>
        </w:rPr>
        <w:t xml:space="preserve">J’estime par conséquent qu’en exigeant la preuve que l’accusé savait, ou ignorait volontairement, que sa possession n’était pas autorisée, on accepterait l’erreur de droit comme moyen de défense à une accusation fondée sur le par. 95(1).  Il est bien établi en droit que, sauf dans le cas d’une erreur provoquée par une personne en autorité, une erreur de droit ne constitue pas un moyen de défense dans notre système de justice criminelle.  L’article 19 du </w:t>
      </w:r>
      <w:r w:rsidRPr="00367521">
        <w:rPr>
          <w:rFonts w:cs="Times New Roman"/>
          <w:i/>
          <w:lang w:val="fr-CA"/>
        </w:rPr>
        <w:t xml:space="preserve">Code </w:t>
      </w:r>
      <w:r w:rsidRPr="00367521">
        <w:rPr>
          <w:rFonts w:cs="Times New Roman"/>
          <w:lang w:val="fr-CA"/>
        </w:rPr>
        <w:t>prévoit ce qui suit :</w:t>
      </w:r>
    </w:p>
    <w:p w:rsidR="00BF4088" w:rsidRPr="00367521" w:rsidRDefault="00BF4088" w:rsidP="00BF4088">
      <w:pPr>
        <w:pStyle w:val="Citation-AltC"/>
        <w:ind w:hanging="1166"/>
        <w:contextualSpacing w:val="0"/>
        <w:rPr>
          <w:lang w:val="fr-CA"/>
        </w:rPr>
      </w:pPr>
      <w:r w:rsidRPr="00367521">
        <w:rPr>
          <w:lang w:val="fr-CA"/>
        </w:rPr>
        <w:tab/>
      </w:r>
      <w:r w:rsidR="0009315C">
        <w:rPr>
          <w:lang w:val="fr-CA"/>
        </w:rPr>
        <w:tab/>
      </w:r>
      <w:r w:rsidRPr="00367521">
        <w:rPr>
          <w:b/>
          <w:lang w:val="fr-CA"/>
        </w:rPr>
        <w:t>19.</w:t>
      </w:r>
      <w:r w:rsidRPr="00367521">
        <w:rPr>
          <w:lang w:val="fr-CA"/>
        </w:rPr>
        <w:t xml:space="preserve">  L’ignorance de la loi chez une personne qui commet une infraction n’excuse pas la perpétration de l’infraction.</w:t>
      </w:r>
    </w:p>
    <w:p w:rsidR="00BF4088" w:rsidRPr="00367521" w:rsidRDefault="00BF4088" w:rsidP="00BF4088">
      <w:pPr>
        <w:pStyle w:val="ParaNoNdepar-AltN"/>
        <w:rPr>
          <w:rFonts w:cs="Times New Roman"/>
          <w:lang w:val="fr-CA"/>
        </w:rPr>
      </w:pPr>
      <w:r w:rsidRPr="00367521">
        <w:rPr>
          <w:rFonts w:cs="Times New Roman"/>
          <w:lang w:val="fr-CA"/>
        </w:rPr>
        <w:t xml:space="preserve">Dans l’arrêt </w:t>
      </w:r>
      <w:r w:rsidRPr="00367521">
        <w:rPr>
          <w:rFonts w:cs="Times New Roman"/>
          <w:i/>
          <w:lang w:val="fr-CA"/>
        </w:rPr>
        <w:t>R. c. Forster</w:t>
      </w:r>
      <w:r w:rsidRPr="00367521">
        <w:rPr>
          <w:rFonts w:cs="Times New Roman"/>
          <w:lang w:val="fr-CA"/>
        </w:rPr>
        <w:t>, [1992] 1 R.C.S. 339, le juge en chef Lamer a ainsi exprimé sa pensée de façon exacte et succincte :</w:t>
      </w:r>
    </w:p>
    <w:p w:rsidR="00BF4088" w:rsidRPr="00367521" w:rsidRDefault="00BF4088" w:rsidP="00BF4088">
      <w:pPr>
        <w:pStyle w:val="Citation-AltC"/>
        <w:tabs>
          <w:tab w:val="left" w:pos="1560"/>
        </w:tabs>
        <w:ind w:hanging="1166"/>
        <w:rPr>
          <w:lang w:val="fr-CA"/>
        </w:rPr>
      </w:pPr>
      <w:r w:rsidRPr="00367521">
        <w:rPr>
          <w:lang w:val="fr-CA"/>
        </w:rPr>
        <w:tab/>
      </w:r>
      <w:r w:rsidRPr="00367521">
        <w:rPr>
          <w:lang w:val="fr-CA"/>
        </w:rPr>
        <w:tab/>
        <w:t xml:space="preserve">Un principe de notre droit criminel veut qu’une croyance honnête mais erronée quant aux conséquences juridiques d’actes délibérés ne constitue pas un moyen de défense opposable à une accusation criminelle, </w:t>
      </w:r>
      <w:r w:rsidRPr="00367521">
        <w:rPr>
          <w:lang w:val="fr-CA"/>
        </w:rPr>
        <w:lastRenderedPageBreak/>
        <w:t xml:space="preserve">même si l’erreur ne peut être attribuée à la négligence de l’accusé : </w:t>
      </w:r>
      <w:proofErr w:type="spellStart"/>
      <w:r w:rsidRPr="00367521">
        <w:rPr>
          <w:i/>
          <w:lang w:val="fr-CA"/>
        </w:rPr>
        <w:t>Molis</w:t>
      </w:r>
      <w:proofErr w:type="spellEnd"/>
      <w:r w:rsidRPr="00367521">
        <w:rPr>
          <w:i/>
          <w:lang w:val="fr-CA"/>
        </w:rPr>
        <w:t xml:space="preserve"> c. La Reine</w:t>
      </w:r>
      <w:r w:rsidRPr="00367521">
        <w:rPr>
          <w:lang w:val="fr-CA"/>
        </w:rPr>
        <w:t xml:space="preserve">, [1980] 2 R.C.S. 356.  Récemment, dans l’arrêt </w:t>
      </w:r>
      <w:r w:rsidRPr="00367521">
        <w:rPr>
          <w:i/>
          <w:lang w:val="fr-CA"/>
        </w:rPr>
        <w:t xml:space="preserve">R. c. </w:t>
      </w:r>
      <w:proofErr w:type="spellStart"/>
      <w:r w:rsidRPr="00367521">
        <w:rPr>
          <w:i/>
          <w:lang w:val="fr-CA"/>
        </w:rPr>
        <w:t>Docherty</w:t>
      </w:r>
      <w:proofErr w:type="spellEnd"/>
      <w:r w:rsidRPr="00367521">
        <w:rPr>
          <w:lang w:val="fr-CA"/>
        </w:rPr>
        <w:t xml:space="preserve">, [1989] 2 R.C.S. 941, à la p. 960, notre Cour a réaffirmé le principe que le fait de savoir que les actes qu’on accomplit sont contraires à la loi ne constitue pas un élément de la </w:t>
      </w:r>
      <w:r w:rsidRPr="00367521">
        <w:rPr>
          <w:i/>
          <w:lang w:val="fr-CA"/>
        </w:rPr>
        <w:t xml:space="preserve">mens </w:t>
      </w:r>
      <w:proofErr w:type="spellStart"/>
      <w:r w:rsidRPr="00367521">
        <w:rPr>
          <w:i/>
          <w:lang w:val="fr-CA"/>
        </w:rPr>
        <w:t>rea</w:t>
      </w:r>
      <w:proofErr w:type="spellEnd"/>
      <w:r w:rsidRPr="00367521">
        <w:rPr>
          <w:lang w:val="fr-CA"/>
        </w:rPr>
        <w:t xml:space="preserve"> d’une infraction et ne peut donc pas servir de moyen de défense.  [p. 346]</w:t>
      </w:r>
    </w:p>
    <w:p w:rsidR="00BF4088" w:rsidRPr="00367521" w:rsidRDefault="00BF4088" w:rsidP="00BF4088">
      <w:pPr>
        <w:pStyle w:val="ParaNoNdepar-AltN"/>
        <w:rPr>
          <w:rFonts w:cs="Times New Roman"/>
          <w:lang w:val="fr-CA"/>
        </w:rPr>
      </w:pPr>
      <w:r w:rsidRPr="00367521">
        <w:rPr>
          <w:rFonts w:cs="Times New Roman"/>
          <w:lang w:val="fr-CA"/>
        </w:rPr>
        <w:t>En résumé, la Cour d’appel a commis une erreur en considérant l’erreur de droit de M. MacDonald comme une erreur de fait qui l’exonérait de l’accusation résultant de son geste.  Je suis d’avis d’accueillir le pourvoi du ministère public sur ce point et de rétablir la déclaration de culpabilité fondée sur le par. 95(1).</w:t>
      </w:r>
    </w:p>
    <w:p w:rsidR="00BF4088" w:rsidRPr="00367521" w:rsidRDefault="00BF4088" w:rsidP="00BF4088">
      <w:pPr>
        <w:pStyle w:val="ParaNoNdepar-AltN"/>
        <w:rPr>
          <w:rFonts w:cs="Times New Roman"/>
          <w:lang w:val="fr-CA"/>
        </w:rPr>
      </w:pPr>
      <w:r w:rsidRPr="00367521">
        <w:rPr>
          <w:rFonts w:cs="Times New Roman"/>
          <w:lang w:val="fr-CA"/>
        </w:rPr>
        <w:t xml:space="preserve">Même si j’estime qu’il faut rétablir la déclaration de culpabilité, je comprends néanmoins la réserve de la Cour d’appel selon laquelle M. MacDonald peut, en raison de cette déclaration de culpabilité, être condamné à la peine obligatoire de trois ans d’emprisonnement, en dépit du fait que son erreur de droit constituerait, dans des circonstances ordinaires, un facteur atténuant au moment de déterminer une peine proportionnelle à la gravité de son crime (C. C. Ruby, G. J. Chan et N. R. Hasan, </w:t>
      </w:r>
      <w:proofErr w:type="spellStart"/>
      <w:r w:rsidRPr="00367521">
        <w:rPr>
          <w:rFonts w:cs="Times New Roman"/>
          <w:i/>
          <w:lang w:val="fr-CA"/>
        </w:rPr>
        <w:t>Sentencing</w:t>
      </w:r>
      <w:proofErr w:type="spellEnd"/>
      <w:r w:rsidRPr="00367521">
        <w:rPr>
          <w:rFonts w:cs="Times New Roman"/>
          <w:lang w:val="fr-CA"/>
        </w:rPr>
        <w:t xml:space="preserve"> (8</w:t>
      </w:r>
      <w:r w:rsidRPr="00367521">
        <w:rPr>
          <w:rFonts w:cs="Times New Roman"/>
          <w:vertAlign w:val="superscript"/>
          <w:lang w:val="fr-CA"/>
        </w:rPr>
        <w:t>e</w:t>
      </w:r>
      <w:r w:rsidRPr="00367521">
        <w:rPr>
          <w:rFonts w:cs="Times New Roman"/>
          <w:lang w:val="fr-CA"/>
        </w:rPr>
        <w:t> éd. 2012), p. 319</w:t>
      </w:r>
      <w:r w:rsidRPr="00367521">
        <w:rPr>
          <w:rFonts w:cs="Times New Roman"/>
          <w:lang w:val="fr-CA"/>
        </w:rPr>
        <w:noBreakHyphen/>
        <w:t xml:space="preserve">321).  La constitutionnalité de la peine minimale obligatoire de trois ans d’emprisonnement prévue au </w:t>
      </w:r>
      <w:proofErr w:type="spellStart"/>
      <w:r w:rsidRPr="00367521">
        <w:rPr>
          <w:rFonts w:cs="Times New Roman"/>
          <w:lang w:val="fr-CA"/>
        </w:rPr>
        <w:t>sous</w:t>
      </w:r>
      <w:r w:rsidRPr="00367521">
        <w:rPr>
          <w:rFonts w:cs="Times New Roman"/>
          <w:lang w:val="fr-CA"/>
        </w:rPr>
        <w:noBreakHyphen/>
        <w:t>al</w:t>
      </w:r>
      <w:proofErr w:type="spellEnd"/>
      <w:r w:rsidRPr="00367521">
        <w:rPr>
          <w:rFonts w:cs="Times New Roman"/>
          <w:lang w:val="fr-CA"/>
        </w:rPr>
        <w:t>. 95(2)</w:t>
      </w:r>
      <w:r w:rsidRPr="00367521">
        <w:rPr>
          <w:rFonts w:cs="Times New Roman"/>
          <w:i/>
          <w:lang w:val="fr-CA"/>
        </w:rPr>
        <w:t>a</w:t>
      </w:r>
      <w:r w:rsidRPr="00367521">
        <w:rPr>
          <w:rFonts w:cs="Times New Roman"/>
          <w:lang w:val="fr-CA"/>
        </w:rPr>
        <w:t xml:space="preserve">)(i) est désormais une question que la Cour d’appel devra trancher.  </w:t>
      </w:r>
    </w:p>
    <w:p w:rsidR="00BF4088" w:rsidRPr="00367521" w:rsidRDefault="00BF4088" w:rsidP="00BF4088">
      <w:pPr>
        <w:pStyle w:val="TitleTitre-AltT"/>
        <w:keepNext/>
        <w:spacing w:before="0"/>
        <w:rPr>
          <w:rFonts w:cs="Times New Roman"/>
          <w:lang w:val="fr-CA"/>
        </w:rPr>
      </w:pPr>
      <w:r w:rsidRPr="00367521">
        <w:rPr>
          <w:rFonts w:cs="Times New Roman"/>
          <w:lang w:val="fr-CA"/>
        </w:rPr>
        <w:t>D.</w:t>
      </w:r>
      <w:r w:rsidRPr="00367521">
        <w:rPr>
          <w:rFonts w:cs="Times New Roman"/>
          <w:lang w:val="fr-CA"/>
        </w:rPr>
        <w:tab/>
      </w:r>
      <w:r w:rsidRPr="00367521">
        <w:rPr>
          <w:rFonts w:cs="Times New Roman"/>
          <w:i/>
          <w:lang w:val="fr-CA"/>
        </w:rPr>
        <w:t>Appel de la peine imposée par la Cour d’appel</w:t>
      </w:r>
    </w:p>
    <w:p w:rsidR="00BF4088" w:rsidRPr="00367521" w:rsidRDefault="00BF4088" w:rsidP="00BF4088">
      <w:pPr>
        <w:pStyle w:val="ParaNoNdepar-AltN"/>
        <w:rPr>
          <w:rFonts w:cs="Times New Roman"/>
          <w:lang w:val="fr-CA"/>
        </w:rPr>
      </w:pPr>
      <w:r w:rsidRPr="00367521">
        <w:rPr>
          <w:rFonts w:cs="Times New Roman"/>
          <w:lang w:val="fr-CA"/>
        </w:rPr>
        <w:t xml:space="preserve">Ayant rétabli la déclaration de culpabilité de M. MacDonald fondée sur le par. 95(1), </w:t>
      </w:r>
      <w:r w:rsidR="0009315C">
        <w:rPr>
          <w:rFonts w:cs="Times New Roman"/>
          <w:lang w:val="fr-CA"/>
        </w:rPr>
        <w:t>la</w:t>
      </w:r>
      <w:r w:rsidRPr="00367521">
        <w:rPr>
          <w:rFonts w:cs="Times New Roman"/>
          <w:lang w:val="fr-CA"/>
        </w:rPr>
        <w:t xml:space="preserve"> Cour n’est pas en mesure d’examiner l’appel que le ministère public a </w:t>
      </w:r>
      <w:r w:rsidRPr="00367521">
        <w:rPr>
          <w:rFonts w:cs="Times New Roman"/>
          <w:lang w:val="fr-CA"/>
        </w:rPr>
        <w:lastRenderedPageBreak/>
        <w:t xml:space="preserve">interjeté contre les peines imposées par la Cour d’appel relativement aux accusations portées en vertu des par. 86(1) et 88(1).  Étant donné qu’elle a acquitté M. MacDonald de l’accusation fondée sur le par. 95(1), la Cour d’appel n’a pas examiné l’argument soulevé par </w:t>
      </w:r>
      <w:proofErr w:type="spellStart"/>
      <w:r w:rsidRPr="00367521">
        <w:rPr>
          <w:rFonts w:cs="Times New Roman"/>
          <w:lang w:val="fr-CA"/>
        </w:rPr>
        <w:t>celui</w:t>
      </w:r>
      <w:r w:rsidRPr="00367521">
        <w:rPr>
          <w:rFonts w:cs="Times New Roman"/>
          <w:lang w:val="fr-CA"/>
        </w:rPr>
        <w:noBreakHyphen/>
        <w:t>ci</w:t>
      </w:r>
      <w:proofErr w:type="spellEnd"/>
      <w:r w:rsidRPr="00367521">
        <w:rPr>
          <w:rFonts w:cs="Times New Roman"/>
          <w:lang w:val="fr-CA"/>
        </w:rPr>
        <w:t xml:space="preserve"> selon lequel la peine minimale obligatoire de trois ans prévue par le </w:t>
      </w:r>
      <w:proofErr w:type="spellStart"/>
      <w:r w:rsidRPr="00367521">
        <w:rPr>
          <w:rFonts w:cs="Times New Roman"/>
          <w:lang w:val="fr-CA"/>
        </w:rPr>
        <w:t>sous</w:t>
      </w:r>
      <w:r w:rsidRPr="00367521">
        <w:rPr>
          <w:rFonts w:cs="Times New Roman"/>
          <w:lang w:val="fr-CA"/>
        </w:rPr>
        <w:noBreakHyphen/>
        <w:t>al</w:t>
      </w:r>
      <w:proofErr w:type="spellEnd"/>
      <w:r w:rsidRPr="00367521">
        <w:rPr>
          <w:rFonts w:cs="Times New Roman"/>
          <w:lang w:val="fr-CA"/>
        </w:rPr>
        <w:t>. 95(2)</w:t>
      </w:r>
      <w:r w:rsidRPr="00367521">
        <w:rPr>
          <w:rFonts w:cs="Times New Roman"/>
          <w:i/>
          <w:lang w:val="fr-CA"/>
        </w:rPr>
        <w:t>a</w:t>
      </w:r>
      <w:r w:rsidRPr="00367521">
        <w:rPr>
          <w:rFonts w:cs="Times New Roman"/>
          <w:lang w:val="fr-CA"/>
        </w:rPr>
        <w:t xml:space="preserve">)(i) est inconstitutionnelle.  En raison de la décision de rétablir la déclaration de culpabilité de M. MacDonald à l’égard de ce chef d’accusation, l’affaire doit être renvoyée à la Cour d’appel pour qu’elle puisse examiner cet argument.  Étant donné que les peines imposées pour les déclarations de culpabilité fondées sur </w:t>
      </w:r>
      <w:proofErr w:type="gramStart"/>
      <w:r w:rsidRPr="00367521">
        <w:rPr>
          <w:rFonts w:cs="Times New Roman"/>
          <w:lang w:val="fr-CA"/>
        </w:rPr>
        <w:t>les art</w:t>
      </w:r>
      <w:proofErr w:type="gramEnd"/>
      <w:r w:rsidRPr="00367521">
        <w:rPr>
          <w:rFonts w:cs="Times New Roman"/>
          <w:lang w:val="fr-CA"/>
        </w:rPr>
        <w:t xml:space="preserve">. 86 et 88 sont, dans les faits, étroitement liées à la peine imposée pour la déclaration de culpabilité fondée sur l’art. 95, toutes les peines devraient être réexaminées ensemble par la Cour d’appel une fois qu’elle se sera prononcée sur la validité constitutionnelle du </w:t>
      </w:r>
      <w:proofErr w:type="spellStart"/>
      <w:r w:rsidRPr="00367521">
        <w:rPr>
          <w:rFonts w:cs="Times New Roman"/>
          <w:lang w:val="fr-CA"/>
        </w:rPr>
        <w:t>sous</w:t>
      </w:r>
      <w:r w:rsidRPr="00367521">
        <w:rPr>
          <w:rFonts w:cs="Times New Roman"/>
          <w:lang w:val="fr-CA"/>
        </w:rPr>
        <w:noBreakHyphen/>
        <w:t>al</w:t>
      </w:r>
      <w:proofErr w:type="spellEnd"/>
      <w:r w:rsidRPr="00367521">
        <w:rPr>
          <w:rFonts w:cs="Times New Roman"/>
          <w:lang w:val="fr-CA"/>
        </w:rPr>
        <w:t>. 95(2)</w:t>
      </w:r>
      <w:r w:rsidRPr="00367521">
        <w:rPr>
          <w:rFonts w:cs="Times New Roman"/>
          <w:i/>
          <w:lang w:val="fr-CA"/>
        </w:rPr>
        <w:t>a</w:t>
      </w:r>
      <w:r w:rsidRPr="00367521">
        <w:rPr>
          <w:rFonts w:cs="Times New Roman"/>
          <w:lang w:val="fr-CA"/>
        </w:rPr>
        <w:t xml:space="preserve">)(i).  </w:t>
      </w:r>
    </w:p>
    <w:p w:rsidR="00BF4088" w:rsidRPr="00367521" w:rsidRDefault="00BF4088" w:rsidP="00BF4088">
      <w:pPr>
        <w:pStyle w:val="TitleTitre-AltT"/>
        <w:keepNext/>
        <w:spacing w:before="0"/>
        <w:rPr>
          <w:rFonts w:cs="Times New Roman"/>
          <w:lang w:val="fr-CA"/>
        </w:rPr>
      </w:pPr>
      <w:r w:rsidRPr="00367521">
        <w:rPr>
          <w:rFonts w:cs="Times New Roman"/>
          <w:lang w:val="fr-CA"/>
        </w:rPr>
        <w:t>V.</w:t>
      </w:r>
      <w:r w:rsidRPr="00367521">
        <w:rPr>
          <w:rFonts w:cs="Times New Roman"/>
          <w:lang w:val="fr-CA"/>
        </w:rPr>
        <w:tab/>
      </w:r>
      <w:r w:rsidRPr="00367521">
        <w:rPr>
          <w:rFonts w:cs="Times New Roman"/>
          <w:u w:val="single"/>
          <w:lang w:val="fr-CA"/>
        </w:rPr>
        <w:t>Dispositif</w:t>
      </w:r>
    </w:p>
    <w:p w:rsidR="00BF4088" w:rsidRPr="00367521" w:rsidRDefault="00BF4088" w:rsidP="00BF4088">
      <w:pPr>
        <w:pStyle w:val="ParaNoNdepar-AltN"/>
        <w:rPr>
          <w:rFonts w:cs="Times New Roman"/>
          <w:lang w:val="fr-CA"/>
        </w:rPr>
      </w:pPr>
      <w:r w:rsidRPr="00367521">
        <w:rPr>
          <w:rFonts w:cs="Times New Roman"/>
          <w:lang w:val="fr-CA"/>
        </w:rPr>
        <w:t xml:space="preserve">Pour les motifs </w:t>
      </w:r>
      <w:proofErr w:type="spellStart"/>
      <w:r w:rsidRPr="00367521">
        <w:rPr>
          <w:rFonts w:cs="Times New Roman"/>
          <w:lang w:val="fr-CA"/>
        </w:rPr>
        <w:t>ci</w:t>
      </w:r>
      <w:r w:rsidRPr="00367521">
        <w:rPr>
          <w:rFonts w:cs="Times New Roman"/>
          <w:lang w:val="fr-CA"/>
        </w:rPr>
        <w:noBreakHyphen/>
        <w:t>dessus</w:t>
      </w:r>
      <w:proofErr w:type="spellEnd"/>
      <w:r w:rsidRPr="00367521">
        <w:rPr>
          <w:rFonts w:cs="Times New Roman"/>
          <w:lang w:val="fr-CA"/>
        </w:rPr>
        <w:t xml:space="preserve">, je suis d’avis de rejeter le pourvoi de M. MacDonald sur la question relative à l’art. 8 et d’accueillir le pourvoi du ministère public relativement à l’accusation portée en vertu du par. 95(1).  L’acquittement de M. MacDonald à l’égard de cette accusation est annulé et la déclaration de culpabilité est rétablie.  La présente affaire sera renvoyée à la Cour d’appel pour la détermination de la peine, et cette cour devra déterminer si la peine minimale obligatoire applicable aux termes du </w:t>
      </w:r>
      <w:proofErr w:type="spellStart"/>
      <w:r w:rsidRPr="00367521">
        <w:rPr>
          <w:rFonts w:cs="Times New Roman"/>
          <w:lang w:val="fr-CA"/>
        </w:rPr>
        <w:t>sous</w:t>
      </w:r>
      <w:r w:rsidRPr="00367521">
        <w:rPr>
          <w:rFonts w:cs="Times New Roman"/>
          <w:lang w:val="fr-CA"/>
        </w:rPr>
        <w:noBreakHyphen/>
        <w:t>al</w:t>
      </w:r>
      <w:proofErr w:type="spellEnd"/>
      <w:r w:rsidRPr="00367521">
        <w:rPr>
          <w:rFonts w:cs="Times New Roman"/>
          <w:lang w:val="fr-CA"/>
        </w:rPr>
        <w:t>. 95(2)</w:t>
      </w:r>
      <w:r w:rsidRPr="00367521">
        <w:rPr>
          <w:rFonts w:cs="Times New Roman"/>
          <w:i/>
          <w:lang w:val="fr-CA"/>
        </w:rPr>
        <w:t>a</w:t>
      </w:r>
      <w:r w:rsidRPr="00367521">
        <w:rPr>
          <w:rFonts w:cs="Times New Roman"/>
          <w:lang w:val="fr-CA"/>
        </w:rPr>
        <w:t xml:space="preserve">)(i) du </w:t>
      </w:r>
      <w:r w:rsidRPr="00367521">
        <w:rPr>
          <w:rFonts w:cs="Times New Roman"/>
          <w:i/>
          <w:lang w:val="fr-CA"/>
        </w:rPr>
        <w:t>Code</w:t>
      </w:r>
      <w:r w:rsidRPr="00367521">
        <w:rPr>
          <w:rFonts w:cs="Times New Roman"/>
          <w:lang w:val="fr-CA"/>
        </w:rPr>
        <w:t xml:space="preserve"> est constitutionnellement valide.  </w:t>
      </w:r>
    </w:p>
    <w:p w:rsidR="00BF4088" w:rsidRPr="0009315C" w:rsidRDefault="0009315C" w:rsidP="00BF4088">
      <w:pPr>
        <w:pStyle w:val="JudgeJuge"/>
        <w:spacing w:before="480"/>
        <w:rPr>
          <w:smallCaps w:val="0"/>
          <w:lang w:val="fr-CA"/>
        </w:rPr>
      </w:pPr>
      <w:r w:rsidRPr="0009315C">
        <w:rPr>
          <w:smallCaps w:val="0"/>
          <w:lang w:val="fr-CA"/>
        </w:rPr>
        <w:lastRenderedPageBreak/>
        <w:tab/>
        <w:t xml:space="preserve">Version française des motifs des juges </w:t>
      </w:r>
      <w:proofErr w:type="spellStart"/>
      <w:r>
        <w:rPr>
          <w:smallCaps w:val="0"/>
          <w:lang w:val="fr-CA"/>
        </w:rPr>
        <w:t>Rothstein</w:t>
      </w:r>
      <w:proofErr w:type="spellEnd"/>
      <w:r>
        <w:rPr>
          <w:smallCaps w:val="0"/>
          <w:lang w:val="fr-CA"/>
        </w:rPr>
        <w:t xml:space="preserve">, </w:t>
      </w:r>
      <w:proofErr w:type="spellStart"/>
      <w:r>
        <w:rPr>
          <w:smallCaps w:val="0"/>
          <w:lang w:val="fr-CA"/>
        </w:rPr>
        <w:t>Moldaver</w:t>
      </w:r>
      <w:proofErr w:type="spellEnd"/>
      <w:r>
        <w:rPr>
          <w:smallCaps w:val="0"/>
          <w:lang w:val="fr-CA"/>
        </w:rPr>
        <w:t xml:space="preserve"> et Wagner</w:t>
      </w:r>
      <w:r w:rsidRPr="0009315C">
        <w:rPr>
          <w:smallCaps w:val="0"/>
          <w:lang w:val="fr-CA"/>
        </w:rPr>
        <w:t xml:space="preserve"> rendus par</w:t>
      </w:r>
    </w:p>
    <w:p w:rsidR="00BF4088" w:rsidRPr="003C2BF2" w:rsidRDefault="0009315C" w:rsidP="00BF4088">
      <w:pPr>
        <w:pStyle w:val="ParaNoNdepar-AltN"/>
        <w:rPr>
          <w:lang w:val="fr-CA"/>
        </w:rPr>
      </w:pPr>
      <w:r w:rsidRPr="0009315C">
        <w:rPr>
          <w:smallCaps/>
          <w:lang w:val="fr-CA"/>
        </w:rPr>
        <w:t xml:space="preserve">Les juges </w:t>
      </w:r>
      <w:proofErr w:type="spellStart"/>
      <w:r w:rsidRPr="0009315C">
        <w:rPr>
          <w:smallCaps/>
          <w:lang w:val="fr-CA"/>
        </w:rPr>
        <w:t>Moldaver</w:t>
      </w:r>
      <w:proofErr w:type="spellEnd"/>
      <w:r w:rsidRPr="0009315C">
        <w:rPr>
          <w:smallCaps/>
          <w:lang w:val="fr-CA"/>
        </w:rPr>
        <w:t xml:space="preserve"> et Wagner</w:t>
      </w:r>
      <w:r w:rsidRPr="003C2BF2">
        <w:rPr>
          <w:lang w:val="fr-CA"/>
        </w:rPr>
        <w:t xml:space="preserve"> — </w:t>
      </w:r>
      <w:r w:rsidR="00BF4088" w:rsidRPr="003C2BF2">
        <w:rPr>
          <w:lang w:val="fr-CA"/>
        </w:rPr>
        <w:t>Tous les jours, partout au pays, des policiers mettent leur vie et leur sécurité en péril pour protéger la vie et la sécurité d</w:t>
      </w:r>
      <w:r w:rsidR="00BF4088">
        <w:rPr>
          <w:lang w:val="fr-CA"/>
        </w:rPr>
        <w:t>’</w:t>
      </w:r>
      <w:r w:rsidR="00BF4088" w:rsidRPr="003C2BF2">
        <w:rPr>
          <w:lang w:val="fr-CA"/>
        </w:rPr>
        <w:t>autrui.  En retour, ils ont le droit de savoir que, si une situation potentiellement dangereuse se présente, ils sont légalement autorisés à effectuer des fouilles de sécurité peu envahissantes pour atténuer les risques auxquels ils s</w:t>
      </w:r>
      <w:r w:rsidR="00BF4088">
        <w:rPr>
          <w:lang w:val="fr-CA"/>
        </w:rPr>
        <w:t>’</w:t>
      </w:r>
      <w:r w:rsidR="00BF4088" w:rsidRPr="003C2BF2">
        <w:rPr>
          <w:lang w:val="fr-CA"/>
        </w:rPr>
        <w:t>exposent.  C</w:t>
      </w:r>
      <w:r w:rsidR="00BF4088">
        <w:rPr>
          <w:lang w:val="fr-CA"/>
        </w:rPr>
        <w:t>’</w:t>
      </w:r>
      <w:r w:rsidR="00BF4088" w:rsidRPr="003C2BF2">
        <w:rPr>
          <w:lang w:val="fr-CA"/>
        </w:rPr>
        <w:t>est là le marché fondamental que nous avons conclu, en tant que société, avec la police, et il s</w:t>
      </w:r>
      <w:r w:rsidR="00BF4088">
        <w:rPr>
          <w:lang w:val="fr-CA"/>
        </w:rPr>
        <w:t>’</w:t>
      </w:r>
      <w:r w:rsidR="00BF4088" w:rsidRPr="003C2BF2">
        <w:rPr>
          <w:lang w:val="fr-CA"/>
        </w:rPr>
        <w:t>agit d</w:t>
      </w:r>
      <w:r w:rsidR="00BF4088">
        <w:rPr>
          <w:lang w:val="fr-CA"/>
        </w:rPr>
        <w:t>’</w:t>
      </w:r>
      <w:r w:rsidR="00BF4088" w:rsidRPr="003C2BF2">
        <w:rPr>
          <w:lang w:val="fr-CA"/>
        </w:rPr>
        <w:t xml:space="preserve">un engagement important sur lequel la police peut compter.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L</w:t>
      </w:r>
      <w:r>
        <w:rPr>
          <w:rFonts w:cs="Times New Roman"/>
          <w:lang w:val="fr-CA"/>
        </w:rPr>
        <w:t>’</w:t>
      </w:r>
      <w:r w:rsidRPr="003C2BF2">
        <w:rPr>
          <w:rFonts w:cs="Times New Roman"/>
          <w:lang w:val="fr-CA"/>
        </w:rPr>
        <w:t xml:space="preserve">engagement auquel nous référons a été reconnu par la Cour dans </w:t>
      </w:r>
      <w:r w:rsidRPr="003C2BF2">
        <w:rPr>
          <w:rFonts w:cs="Times New Roman"/>
          <w:i/>
          <w:lang w:val="fr-CA"/>
        </w:rPr>
        <w:t>R. c. Mann</w:t>
      </w:r>
      <w:r w:rsidRPr="003C2BF2">
        <w:rPr>
          <w:rFonts w:cs="Times New Roman"/>
          <w:lang w:val="fr-CA"/>
        </w:rPr>
        <w:t xml:space="preserve">, 2004 CSC 52, </w:t>
      </w:r>
      <w:r w:rsidRPr="003C2BF2">
        <w:rPr>
          <w:rFonts w:cs="Times New Roman"/>
          <w:szCs w:val="24"/>
          <w:lang w:val="fr-CA"/>
        </w:rPr>
        <w:t>[2004] 3 R.C.S. 59</w:t>
      </w:r>
      <w:r w:rsidRPr="003C2BF2">
        <w:rPr>
          <w:rFonts w:cs="Times New Roman"/>
          <w:lang w:val="fr-CA"/>
        </w:rPr>
        <w:t>.  Cet arrêt reconnaît aux policie</w:t>
      </w:r>
      <w:r w:rsidR="00516187">
        <w:rPr>
          <w:rFonts w:cs="Times New Roman"/>
          <w:lang w:val="fr-CA"/>
        </w:rPr>
        <w:t>rs un pouvoir de fouille limité</w:t>
      </w:r>
      <w:r w:rsidRPr="003C2BF2">
        <w:rPr>
          <w:rFonts w:cs="Times New Roman"/>
          <w:lang w:val="fr-CA"/>
        </w:rPr>
        <w:t xml:space="preserve"> sans mandat, à des fins uniquement préventives, lorsqu</w:t>
      </w:r>
      <w:r>
        <w:rPr>
          <w:rFonts w:cs="Times New Roman"/>
          <w:lang w:val="fr-CA"/>
        </w:rPr>
        <w:t>’</w:t>
      </w:r>
      <w:r w:rsidRPr="003C2BF2">
        <w:rPr>
          <w:rFonts w:cs="Times New Roman"/>
          <w:lang w:val="fr-CA"/>
        </w:rPr>
        <w:t>ils ont des motifs raisonnables de soupçonner que leur sécurité ou celle d</w:t>
      </w:r>
      <w:r>
        <w:rPr>
          <w:rFonts w:cs="Times New Roman"/>
          <w:lang w:val="fr-CA"/>
        </w:rPr>
        <w:t>’</w:t>
      </w:r>
      <w:r w:rsidRPr="003C2BF2">
        <w:rPr>
          <w:rFonts w:cs="Times New Roman"/>
          <w:lang w:val="fr-CA"/>
        </w:rPr>
        <w:t xml:space="preserve">autrui </w:t>
      </w:r>
      <w:proofErr w:type="gramStart"/>
      <w:r w:rsidRPr="003C2BF2">
        <w:rPr>
          <w:rFonts w:cs="Times New Roman"/>
          <w:lang w:val="fr-CA"/>
        </w:rPr>
        <w:t>est</w:t>
      </w:r>
      <w:proofErr w:type="gramEnd"/>
      <w:r w:rsidRPr="003C2BF2">
        <w:rPr>
          <w:rFonts w:cs="Times New Roman"/>
          <w:lang w:val="fr-CA"/>
        </w:rPr>
        <w:t xml:space="preserve"> menacée.  Les juges majoritaires en l</w:t>
      </w:r>
      <w:r>
        <w:rPr>
          <w:rFonts w:cs="Times New Roman"/>
          <w:lang w:val="fr-CA"/>
        </w:rPr>
        <w:t>’</w:t>
      </w:r>
      <w:r w:rsidRPr="003C2BF2">
        <w:rPr>
          <w:rFonts w:cs="Times New Roman"/>
          <w:lang w:val="fr-CA"/>
        </w:rPr>
        <w:t>espèce disent appliquer les enseignements de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Avec égard, toutefois, ce n</w:t>
      </w:r>
      <w:r>
        <w:rPr>
          <w:rFonts w:cs="Times New Roman"/>
          <w:lang w:val="fr-CA"/>
        </w:rPr>
        <w:t>’</w:t>
      </w:r>
      <w:r w:rsidRPr="003C2BF2">
        <w:rPr>
          <w:rFonts w:cs="Times New Roman"/>
          <w:lang w:val="fr-CA"/>
        </w:rPr>
        <w:t xml:space="preserve">est pas le cas.  Ils rendent plutôt superflue cette décision et privent les policiers des pouvoirs de fouille limités dont ils ont besoin pour se protéger et protéger le public dans des situations potentiellement dangereuses, nébuleuses et souvent imprévisibles.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Bien que nous partagions la décision des juges majoritaires relativement aux trois questions soulevées en l</w:t>
      </w:r>
      <w:r>
        <w:rPr>
          <w:rFonts w:cs="Times New Roman"/>
          <w:lang w:val="fr-CA"/>
        </w:rPr>
        <w:t>’</w:t>
      </w:r>
      <w:r w:rsidRPr="003C2BF2">
        <w:rPr>
          <w:rFonts w:cs="Times New Roman"/>
          <w:lang w:val="fr-CA"/>
        </w:rPr>
        <w:t>espèce, notamment en ce qui concerne l</w:t>
      </w:r>
      <w:r>
        <w:rPr>
          <w:rFonts w:cs="Times New Roman"/>
          <w:lang w:val="fr-CA"/>
        </w:rPr>
        <w:t>’</w:t>
      </w:r>
      <w:r w:rsidRPr="003C2BF2">
        <w:rPr>
          <w:rFonts w:cs="Times New Roman"/>
          <w:lang w:val="fr-CA"/>
        </w:rPr>
        <w:t>argument de M. MacDonald fondé sur l</w:t>
      </w:r>
      <w:r>
        <w:rPr>
          <w:rFonts w:cs="Times New Roman"/>
          <w:lang w:val="fr-CA"/>
        </w:rPr>
        <w:t>’</w:t>
      </w:r>
      <w:r w:rsidRPr="003C2BF2">
        <w:rPr>
          <w:rFonts w:cs="Times New Roman"/>
          <w:lang w:val="fr-CA"/>
        </w:rPr>
        <w:t xml:space="preserve">art. 8 de la </w:t>
      </w:r>
      <w:r w:rsidRPr="003C2BF2">
        <w:rPr>
          <w:rFonts w:cs="Times New Roman"/>
          <w:i/>
          <w:lang w:val="fr-CA"/>
        </w:rPr>
        <w:t>Charte canadienne des droits et libertés</w:t>
      </w:r>
      <w:r w:rsidRPr="003C2BF2">
        <w:rPr>
          <w:rFonts w:cs="Times New Roman"/>
          <w:lang w:val="fr-CA"/>
        </w:rPr>
        <w:t xml:space="preserve">, </w:t>
      </w:r>
      <w:r w:rsidRPr="003C2BF2">
        <w:rPr>
          <w:rFonts w:cs="Times New Roman"/>
          <w:lang w:val="fr-CA"/>
        </w:rPr>
        <w:lastRenderedPageBreak/>
        <w:t>nous divergeons d</w:t>
      </w:r>
      <w:r>
        <w:rPr>
          <w:rFonts w:cs="Times New Roman"/>
          <w:lang w:val="fr-CA"/>
        </w:rPr>
        <w:t>’</w:t>
      </w:r>
      <w:r w:rsidRPr="003C2BF2">
        <w:rPr>
          <w:rFonts w:cs="Times New Roman"/>
          <w:lang w:val="fr-CA"/>
        </w:rPr>
        <w:t>opinion avec nos collègues sur l</w:t>
      </w:r>
      <w:r>
        <w:rPr>
          <w:rFonts w:cs="Times New Roman"/>
          <w:lang w:val="fr-CA"/>
        </w:rPr>
        <w:t>’</w:t>
      </w:r>
      <w:r w:rsidRPr="003C2BF2">
        <w:rPr>
          <w:rFonts w:cs="Times New Roman"/>
          <w:lang w:val="fr-CA"/>
        </w:rPr>
        <w:t>interprétation qu</w:t>
      </w:r>
      <w:r>
        <w:rPr>
          <w:rFonts w:cs="Times New Roman"/>
          <w:lang w:val="fr-CA"/>
        </w:rPr>
        <w:t>’</w:t>
      </w:r>
      <w:r w:rsidRPr="003C2BF2">
        <w:rPr>
          <w:rFonts w:cs="Times New Roman"/>
          <w:lang w:val="fr-CA"/>
        </w:rPr>
        <w:t>il convient de donner à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Se fondant sur cette décision, nos collègues affirment que les policiers ne sont autorisés à effectuer des « fouilles de sécurité » que s</w:t>
      </w:r>
      <w:r>
        <w:rPr>
          <w:rFonts w:cs="Times New Roman"/>
          <w:lang w:val="fr-CA"/>
        </w:rPr>
        <w:t>’</w:t>
      </w:r>
      <w:r w:rsidRPr="003C2BF2">
        <w:rPr>
          <w:rFonts w:cs="Times New Roman"/>
          <w:lang w:val="fr-CA"/>
        </w:rPr>
        <w:t xml:space="preserve">ils ont des motifs raisonnables de </w:t>
      </w:r>
      <w:r w:rsidRPr="003C2BF2">
        <w:rPr>
          <w:rFonts w:cs="Times New Roman"/>
          <w:i/>
          <w:lang w:val="fr-CA"/>
        </w:rPr>
        <w:t xml:space="preserve">croire </w:t>
      </w:r>
      <w:r w:rsidRPr="003C2BF2">
        <w:rPr>
          <w:rFonts w:cs="Times New Roman"/>
          <w:lang w:val="fr-CA"/>
        </w:rPr>
        <w:t>qu</w:t>
      </w:r>
      <w:r>
        <w:rPr>
          <w:rFonts w:cs="Times New Roman"/>
          <w:lang w:val="fr-CA"/>
        </w:rPr>
        <w:t>’</w:t>
      </w:r>
      <w:r w:rsidRPr="003C2BF2">
        <w:rPr>
          <w:rFonts w:cs="Times New Roman"/>
          <w:lang w:val="fr-CA"/>
        </w:rPr>
        <w:t xml:space="preserve">une personne est armée et </w:t>
      </w:r>
      <w:proofErr w:type="gramStart"/>
      <w:r w:rsidRPr="003C2BF2">
        <w:rPr>
          <w:rFonts w:cs="Times New Roman"/>
          <w:lang w:val="fr-CA"/>
        </w:rPr>
        <w:t>dangereuse</w:t>
      </w:r>
      <w:proofErr w:type="gramEnd"/>
      <w:r w:rsidRPr="003C2BF2">
        <w:rPr>
          <w:rFonts w:cs="Times New Roman"/>
          <w:lang w:val="fr-CA"/>
        </w:rPr>
        <w:t xml:space="preserve"> (par. 39 et 44).  En toute déférence, nous ne souscrivons pas à cette conclusion.  À notre avis, la Cour a décidé dans </w:t>
      </w:r>
      <w:r w:rsidRPr="003C2BF2">
        <w:rPr>
          <w:rFonts w:cs="Times New Roman"/>
          <w:i/>
          <w:lang w:val="fr-CA"/>
        </w:rPr>
        <w:t>Mann</w:t>
      </w:r>
      <w:r w:rsidRPr="003C2BF2">
        <w:rPr>
          <w:rFonts w:cs="Times New Roman"/>
          <w:lang w:val="fr-CA"/>
        </w:rPr>
        <w:t xml:space="preserve"> que les policiers peuvent procéder à des fouilles de sécurité lorsqu</w:t>
      </w:r>
      <w:r>
        <w:rPr>
          <w:rFonts w:cs="Times New Roman"/>
          <w:lang w:val="fr-CA"/>
        </w:rPr>
        <w:t>’</w:t>
      </w:r>
      <w:r w:rsidRPr="003C2BF2">
        <w:rPr>
          <w:rFonts w:cs="Times New Roman"/>
          <w:lang w:val="fr-CA"/>
        </w:rPr>
        <w:t xml:space="preserve">ils ont des motifs raisonnables de </w:t>
      </w:r>
      <w:r w:rsidRPr="003C2BF2">
        <w:rPr>
          <w:rFonts w:cs="Times New Roman"/>
          <w:i/>
          <w:lang w:val="fr-CA"/>
        </w:rPr>
        <w:t>soupçonner</w:t>
      </w:r>
      <w:r w:rsidRPr="003C2BF2">
        <w:rPr>
          <w:rFonts w:cs="Times New Roman"/>
          <w:lang w:val="fr-CA"/>
        </w:rPr>
        <w:t xml:space="preserve"> qu</w:t>
      </w:r>
      <w:r>
        <w:rPr>
          <w:rFonts w:cs="Times New Roman"/>
          <w:lang w:val="fr-CA"/>
        </w:rPr>
        <w:t>’</w:t>
      </w:r>
      <w:r w:rsidRPr="003C2BF2">
        <w:rPr>
          <w:rFonts w:cs="Times New Roman"/>
          <w:lang w:val="fr-CA"/>
        </w:rPr>
        <w:t xml:space="preserve">une personne est armée et </w:t>
      </w:r>
      <w:proofErr w:type="gramStart"/>
      <w:r w:rsidRPr="003C2BF2">
        <w:rPr>
          <w:rFonts w:cs="Times New Roman"/>
          <w:lang w:val="fr-CA"/>
        </w:rPr>
        <w:t>dangereuse</w:t>
      </w:r>
      <w:proofErr w:type="gramEnd"/>
      <w:r w:rsidRPr="003C2BF2">
        <w:rPr>
          <w:rFonts w:cs="Times New Roman"/>
          <w:lang w:val="fr-CA"/>
        </w:rPr>
        <w:t>.  C</w:t>
      </w:r>
      <w:r>
        <w:rPr>
          <w:rFonts w:cs="Times New Roman"/>
          <w:lang w:val="fr-CA"/>
        </w:rPr>
        <w:t>’</w:t>
      </w:r>
      <w:r w:rsidRPr="003C2BF2">
        <w:rPr>
          <w:rFonts w:cs="Times New Roman"/>
          <w:lang w:val="fr-CA"/>
        </w:rPr>
        <w:t>est ce que nous tâcherons d</w:t>
      </w:r>
      <w:r>
        <w:rPr>
          <w:rFonts w:cs="Times New Roman"/>
          <w:lang w:val="fr-CA"/>
        </w:rPr>
        <w:t>’</w:t>
      </w:r>
      <w:r w:rsidRPr="003C2BF2">
        <w:rPr>
          <w:rFonts w:cs="Times New Roman"/>
          <w:lang w:val="fr-CA"/>
        </w:rPr>
        <w:t xml:space="preserve">expliquer </w:t>
      </w:r>
      <w:proofErr w:type="spellStart"/>
      <w:r w:rsidRPr="003C2BF2">
        <w:rPr>
          <w:rFonts w:cs="Times New Roman"/>
          <w:lang w:val="fr-CA"/>
        </w:rPr>
        <w:t>ci</w:t>
      </w:r>
      <w:r w:rsidRPr="003C2BF2">
        <w:rPr>
          <w:rFonts w:cs="Times New Roman"/>
          <w:lang w:val="fr-CA"/>
        </w:rPr>
        <w:noBreakHyphen/>
        <w:t>après</w:t>
      </w:r>
      <w:proofErr w:type="spellEnd"/>
      <w:r w:rsidRPr="003C2BF2">
        <w:rPr>
          <w:rFonts w:cs="Times New Roman"/>
          <w:lang w:val="fr-CA"/>
        </w:rPr>
        <w:t>.</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 xml:space="preserve">Selon la jurisprudence, la protection du public ou la sécurité des policiers constitue le </w:t>
      </w:r>
      <w:r w:rsidRPr="003C2BF2">
        <w:rPr>
          <w:rFonts w:cs="Times New Roman"/>
          <w:i/>
          <w:lang w:val="fr-CA"/>
        </w:rPr>
        <w:t xml:space="preserve">fondement </w:t>
      </w:r>
      <w:r w:rsidRPr="003C2BF2">
        <w:rPr>
          <w:rFonts w:cs="Times New Roman"/>
          <w:lang w:val="fr-CA"/>
        </w:rPr>
        <w:t>du pouvoir de fouille préventive conféré à ces derniers.  À notre avis, ce pouvoir est le corollaire nécessaire des obligations imposées aux policiers, dont les deux suivantes : maintenir la paix et protéger la vie des gens et les biens.  On ne peut demander aux policiers d</w:t>
      </w:r>
      <w:r>
        <w:rPr>
          <w:rFonts w:cs="Times New Roman"/>
          <w:lang w:val="fr-CA"/>
        </w:rPr>
        <w:t>’</w:t>
      </w:r>
      <w:r w:rsidRPr="003C2BF2">
        <w:rPr>
          <w:rFonts w:cs="Times New Roman"/>
          <w:lang w:val="fr-CA"/>
        </w:rPr>
        <w:t>intervenir dans des situations dangereuses ou nébuleuses et, en même temps, les priver du pouvoir de prendre des mesures de protection lorsqu</w:t>
      </w:r>
      <w:r>
        <w:rPr>
          <w:rFonts w:cs="Times New Roman"/>
          <w:lang w:val="fr-CA"/>
        </w:rPr>
        <w:t>’</w:t>
      </w:r>
      <w:r w:rsidRPr="003C2BF2">
        <w:rPr>
          <w:rFonts w:cs="Times New Roman"/>
          <w:lang w:val="fr-CA"/>
        </w:rPr>
        <w:t>ils soupçonnent raisonnablement que leur propre sécurité est menacée, notamment lorsqu</w:t>
      </w:r>
      <w:r>
        <w:rPr>
          <w:rFonts w:cs="Times New Roman"/>
          <w:lang w:val="fr-CA"/>
        </w:rPr>
        <w:t>’</w:t>
      </w:r>
      <w:r w:rsidRPr="003C2BF2">
        <w:rPr>
          <w:rFonts w:cs="Times New Roman"/>
          <w:lang w:val="fr-CA"/>
        </w:rPr>
        <w:t>ils soupçonnent la présence d</w:t>
      </w:r>
      <w:r>
        <w:rPr>
          <w:rFonts w:cs="Times New Roman"/>
          <w:lang w:val="fr-CA"/>
        </w:rPr>
        <w:t>’</w:t>
      </w:r>
      <w:r w:rsidRPr="003C2BF2">
        <w:rPr>
          <w:rFonts w:cs="Times New Roman"/>
          <w:lang w:val="fr-CA"/>
        </w:rPr>
        <w:t>armes.</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C</w:t>
      </w:r>
      <w:r>
        <w:rPr>
          <w:rFonts w:cs="Times New Roman"/>
          <w:lang w:val="fr-CA"/>
        </w:rPr>
        <w:t>’</w:t>
      </w:r>
      <w:r w:rsidRPr="003C2BF2">
        <w:rPr>
          <w:rFonts w:cs="Times New Roman"/>
          <w:lang w:val="fr-CA"/>
        </w:rPr>
        <w:t xml:space="preserve">est ce que la Cour a affirmé dans </w:t>
      </w:r>
      <w:r w:rsidRPr="003C2BF2">
        <w:rPr>
          <w:rFonts w:cs="Times New Roman"/>
          <w:i/>
          <w:lang w:val="fr-CA"/>
        </w:rPr>
        <w:t>Mann</w:t>
      </w:r>
      <w:r w:rsidRPr="003C2BF2">
        <w:rPr>
          <w:rFonts w:cs="Times New Roman"/>
          <w:lang w:val="fr-CA"/>
        </w:rPr>
        <w:t xml:space="preserve">.  Prenons donc comme point de départ le libellé de cet arrêt </w:t>
      </w:r>
      <w:proofErr w:type="spellStart"/>
      <w:r w:rsidRPr="003C2BF2">
        <w:rPr>
          <w:rFonts w:cs="Times New Roman"/>
          <w:lang w:val="fr-CA"/>
        </w:rPr>
        <w:t>lui</w:t>
      </w:r>
      <w:r w:rsidRPr="003C2BF2">
        <w:rPr>
          <w:rFonts w:cs="Times New Roman"/>
          <w:lang w:val="fr-CA"/>
        </w:rPr>
        <w:noBreakHyphen/>
        <w:t>même</w:t>
      </w:r>
      <w:proofErr w:type="spellEnd"/>
      <w:r w:rsidRPr="003C2BF2">
        <w:rPr>
          <w:rFonts w:cs="Times New Roman"/>
          <w:lang w:val="fr-CA"/>
        </w:rPr>
        <w:t xml:space="preserve"> : </w:t>
      </w:r>
    </w:p>
    <w:p w:rsidR="00BF4088" w:rsidRPr="003C2BF2" w:rsidRDefault="007A2553" w:rsidP="00BF4088">
      <w:pPr>
        <w:pStyle w:val="Citation-AltC"/>
        <w:ind w:hanging="1166"/>
        <w:rPr>
          <w:lang w:val="fr-CA"/>
        </w:rPr>
      </w:pPr>
      <w:r>
        <w:rPr>
          <w:lang w:val="fr-CA"/>
        </w:rPr>
        <w:tab/>
      </w:r>
      <w:r w:rsidR="00BF4088" w:rsidRPr="003C2BF2">
        <w:rPr>
          <w:lang w:val="fr-CA"/>
        </w:rPr>
        <w:t xml:space="preserve">. . . le policier qui possède des motifs raisonnables </w:t>
      </w:r>
      <w:r w:rsidR="00BF4088" w:rsidRPr="003C2BF2">
        <w:rPr>
          <w:u w:val="single"/>
          <w:lang w:val="fr-CA"/>
        </w:rPr>
        <w:t>de croire</w:t>
      </w:r>
      <w:r w:rsidR="00BF4088" w:rsidRPr="003C2BF2">
        <w:rPr>
          <w:lang w:val="fr-CA"/>
        </w:rPr>
        <w:t xml:space="preserve"> que sa sécurité ou celle d</w:t>
      </w:r>
      <w:r w:rsidR="00BF4088">
        <w:rPr>
          <w:lang w:val="fr-CA"/>
        </w:rPr>
        <w:t>’</w:t>
      </w:r>
      <w:r w:rsidR="00BF4088" w:rsidRPr="003C2BF2">
        <w:rPr>
          <w:lang w:val="fr-CA"/>
        </w:rPr>
        <w:t xml:space="preserve">autrui est </w:t>
      </w:r>
      <w:r w:rsidR="00BF4088" w:rsidRPr="003C2BF2">
        <w:rPr>
          <w:u w:val="single"/>
          <w:lang w:val="fr-CA"/>
        </w:rPr>
        <w:t>menacée</w:t>
      </w:r>
      <w:r w:rsidR="00BF4088" w:rsidRPr="003C2BF2">
        <w:rPr>
          <w:lang w:val="fr-CA"/>
        </w:rPr>
        <w:t xml:space="preserve"> peut soumettre la personne qu</w:t>
      </w:r>
      <w:r w:rsidR="00BF4088">
        <w:rPr>
          <w:lang w:val="fr-CA"/>
        </w:rPr>
        <w:t>’</w:t>
      </w:r>
      <w:r w:rsidR="00BF4088" w:rsidRPr="003C2BF2">
        <w:rPr>
          <w:lang w:val="fr-CA"/>
        </w:rPr>
        <w:t>il détient à une fouille par palpation préventive.  [Nous soulignons; par. 45.]</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lastRenderedPageBreak/>
        <w:t xml:space="preserve">Considérés isolément, les termes « motifs raisonnables de croire » renvoient à la norme des « motifs raisonnables et probables ».  Voir </w:t>
      </w:r>
      <w:r w:rsidRPr="003C2BF2">
        <w:rPr>
          <w:rFonts w:cs="Times New Roman"/>
          <w:i/>
          <w:lang w:val="fr-CA"/>
        </w:rPr>
        <w:t>Baron c. Canada</w:t>
      </w:r>
      <w:r w:rsidRPr="003C2BF2">
        <w:rPr>
          <w:rFonts w:cs="Times New Roman"/>
          <w:lang w:val="fr-CA"/>
        </w:rPr>
        <w:t>, [1993] 1 R.C.S. 416, p. 447.  La lecture ne doit toutefois pas s</w:t>
      </w:r>
      <w:r>
        <w:rPr>
          <w:rFonts w:cs="Times New Roman"/>
          <w:lang w:val="fr-CA"/>
        </w:rPr>
        <w:t>’</w:t>
      </w:r>
      <w:r w:rsidRPr="003C2BF2">
        <w:rPr>
          <w:rFonts w:cs="Times New Roman"/>
          <w:lang w:val="fr-CA"/>
        </w:rPr>
        <w:t>arrêter là, parce que le terme « menacée » évoque intrinsèquement la notion de possibilité.  Voir</w:t>
      </w:r>
      <w:r w:rsidR="001A7663">
        <w:rPr>
          <w:rFonts w:cs="Times New Roman"/>
          <w:lang w:val="fr-CA"/>
        </w:rPr>
        <w:t>,</w:t>
      </w:r>
      <w:r w:rsidRPr="003C2BF2">
        <w:rPr>
          <w:rFonts w:cs="Times New Roman"/>
          <w:lang w:val="fr-CA"/>
        </w:rPr>
        <w:t xml:space="preserve"> p. ex.</w:t>
      </w:r>
      <w:r w:rsidR="001A7663">
        <w:rPr>
          <w:rFonts w:cs="Times New Roman"/>
          <w:lang w:val="fr-CA"/>
        </w:rPr>
        <w:t>,</w:t>
      </w:r>
      <w:r w:rsidRPr="003C2BF2">
        <w:rPr>
          <w:rFonts w:cs="Times New Roman"/>
          <w:lang w:val="fr-CA"/>
        </w:rPr>
        <w:t xml:space="preserve"> le dictionnaire </w:t>
      </w:r>
      <w:r w:rsidRPr="003C2BF2">
        <w:rPr>
          <w:rFonts w:cs="Times New Roman"/>
          <w:i/>
          <w:lang w:val="fr-CA"/>
        </w:rPr>
        <w:t xml:space="preserve">Oxford English </w:t>
      </w:r>
      <w:proofErr w:type="spellStart"/>
      <w:r w:rsidRPr="003C2BF2">
        <w:rPr>
          <w:rFonts w:cs="Times New Roman"/>
          <w:i/>
          <w:lang w:val="fr-CA"/>
        </w:rPr>
        <w:t>Dictionary</w:t>
      </w:r>
      <w:proofErr w:type="spellEnd"/>
      <w:r w:rsidRPr="003C2BF2">
        <w:rPr>
          <w:rFonts w:cs="Times New Roman"/>
          <w:lang w:val="fr-CA"/>
        </w:rPr>
        <w:t xml:space="preserve"> (en ligne), </w:t>
      </w:r>
      <w:proofErr w:type="spellStart"/>
      <w:r w:rsidRPr="003C2BF2">
        <w:rPr>
          <w:rFonts w:cs="Times New Roman"/>
          <w:i/>
          <w:lang w:val="fr-CA"/>
        </w:rPr>
        <w:t>sub</w:t>
      </w:r>
      <w:proofErr w:type="spellEnd"/>
      <w:r w:rsidRPr="003C2BF2">
        <w:rPr>
          <w:rFonts w:cs="Times New Roman"/>
          <w:i/>
          <w:lang w:val="fr-CA"/>
        </w:rPr>
        <w:t xml:space="preserve"> </w:t>
      </w:r>
      <w:proofErr w:type="spellStart"/>
      <w:r w:rsidRPr="003C2BF2">
        <w:rPr>
          <w:rFonts w:cs="Times New Roman"/>
          <w:i/>
          <w:lang w:val="fr-CA"/>
        </w:rPr>
        <w:t>verbo</w:t>
      </w:r>
      <w:proofErr w:type="spellEnd"/>
      <w:r w:rsidR="007A2553">
        <w:rPr>
          <w:rFonts w:cs="Times New Roman"/>
          <w:lang w:val="fr-CA"/>
        </w:rPr>
        <w:t xml:space="preserve"> « </w:t>
      </w:r>
      <w:proofErr w:type="spellStart"/>
      <w:r w:rsidR="007A2553" w:rsidRPr="007A2553">
        <w:rPr>
          <w:rFonts w:cs="Times New Roman"/>
          <w:i/>
          <w:lang w:val="fr-CA"/>
        </w:rPr>
        <w:t>risk</w:t>
      </w:r>
      <w:proofErr w:type="spellEnd"/>
      <w:r w:rsidR="007A2553">
        <w:rPr>
          <w:rFonts w:cs="Times New Roman"/>
          <w:lang w:val="fr-CA"/>
        </w:rPr>
        <w:t> » (</w:t>
      </w:r>
      <w:r w:rsidRPr="003C2BF2">
        <w:rPr>
          <w:rFonts w:cs="Times New Roman"/>
          <w:lang w:val="fr-CA"/>
        </w:rPr>
        <w:t>[</w:t>
      </w:r>
      <w:r w:rsidRPr="003C2BF2">
        <w:rPr>
          <w:rFonts w:cs="Times New Roman"/>
          <w:smallCaps/>
          <w:lang w:val="fr-CA"/>
        </w:rPr>
        <w:t>traduction</w:t>
      </w:r>
      <w:r w:rsidRPr="003C2BF2">
        <w:rPr>
          <w:rFonts w:cs="Times New Roman"/>
          <w:lang w:val="fr-CA"/>
        </w:rPr>
        <w:t>] « risque »</w:t>
      </w:r>
      <w:r w:rsidR="007A2553">
        <w:rPr>
          <w:rFonts w:cs="Times New Roman"/>
          <w:lang w:val="fr-CA"/>
        </w:rPr>
        <w:t> :</w:t>
      </w:r>
      <w:r w:rsidRPr="003C2BF2">
        <w:rPr>
          <w:rFonts w:cs="Times New Roman"/>
          <w:lang w:val="fr-CA"/>
        </w:rPr>
        <w:t xml:space="preserve"> « </w:t>
      </w:r>
      <w:r w:rsidR="007A2553">
        <w:rPr>
          <w:rFonts w:cs="Times New Roman"/>
          <w:lang w:val="fr-CA"/>
        </w:rPr>
        <w:t xml:space="preserve">. . . </w:t>
      </w:r>
      <w:r w:rsidRPr="003C2BF2">
        <w:rPr>
          <w:rFonts w:cs="Times New Roman"/>
          <w:lang w:val="fr-CA"/>
        </w:rPr>
        <w:t xml:space="preserve">la </w:t>
      </w:r>
      <w:r w:rsidRPr="003C2BF2">
        <w:rPr>
          <w:rFonts w:cs="Times New Roman"/>
          <w:u w:val="single"/>
          <w:lang w:val="fr-CA"/>
        </w:rPr>
        <w:t>possibilité</w:t>
      </w:r>
      <w:r w:rsidRPr="003C2BF2">
        <w:rPr>
          <w:rFonts w:cs="Times New Roman"/>
          <w:lang w:val="fr-CA"/>
        </w:rPr>
        <w:t xml:space="preserve"> d</w:t>
      </w:r>
      <w:r>
        <w:rPr>
          <w:rFonts w:cs="Times New Roman"/>
          <w:lang w:val="fr-CA"/>
        </w:rPr>
        <w:t>’</w:t>
      </w:r>
      <w:r w:rsidRPr="003C2BF2">
        <w:rPr>
          <w:rFonts w:cs="Times New Roman"/>
          <w:lang w:val="fr-CA"/>
        </w:rPr>
        <w:t>une perte, d</w:t>
      </w:r>
      <w:r>
        <w:rPr>
          <w:rFonts w:cs="Times New Roman"/>
          <w:lang w:val="fr-CA"/>
        </w:rPr>
        <w:t>’</w:t>
      </w:r>
      <w:r w:rsidRPr="003C2BF2">
        <w:rPr>
          <w:rFonts w:cs="Times New Roman"/>
          <w:lang w:val="fr-CA"/>
        </w:rPr>
        <w:t xml:space="preserve">un préjudice ou de toute autre circonstance défavorable ou fâcheuse; chance ou situation comportant une telle possibilité » (nous soulignons)).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Le libellé de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 xml:space="preserve">semble donc accoler une </w:t>
      </w:r>
      <w:r w:rsidRPr="003C2BF2">
        <w:rPr>
          <w:rFonts w:cs="Times New Roman"/>
          <w:i/>
          <w:lang w:val="fr-CA"/>
        </w:rPr>
        <w:t xml:space="preserve">probabilité </w:t>
      </w:r>
      <w:r w:rsidRPr="003C2BF2">
        <w:rPr>
          <w:rFonts w:cs="Times New Roman"/>
          <w:lang w:val="fr-CA"/>
        </w:rPr>
        <w:t xml:space="preserve">à une </w:t>
      </w:r>
      <w:r w:rsidRPr="003C2BF2">
        <w:rPr>
          <w:rFonts w:cs="Times New Roman"/>
          <w:i/>
          <w:lang w:val="fr-CA"/>
        </w:rPr>
        <w:t>possibilité</w:t>
      </w:r>
      <w:r w:rsidRPr="003C2BF2">
        <w:rPr>
          <w:rFonts w:cs="Times New Roman"/>
          <w:lang w:val="fr-CA"/>
        </w:rPr>
        <w:t> : une chance à une chance.  Autrement dit, selon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une fouille de sécurité est justifiée s</w:t>
      </w:r>
      <w:r>
        <w:rPr>
          <w:rFonts w:cs="Times New Roman"/>
          <w:lang w:val="fr-CA"/>
        </w:rPr>
        <w:t>’</w:t>
      </w:r>
      <w:r w:rsidRPr="003C2BF2">
        <w:rPr>
          <w:rFonts w:cs="Times New Roman"/>
          <w:lang w:val="fr-CA"/>
        </w:rPr>
        <w:t xml:space="preserve">il est </w:t>
      </w:r>
      <w:r w:rsidRPr="003C2BF2">
        <w:rPr>
          <w:rFonts w:cs="Times New Roman"/>
          <w:i/>
          <w:lang w:val="fr-CA"/>
        </w:rPr>
        <w:t>probable</w:t>
      </w:r>
      <w:r w:rsidRPr="003C2BF2">
        <w:rPr>
          <w:rFonts w:cs="Times New Roman"/>
          <w:lang w:val="fr-CA"/>
        </w:rPr>
        <w:t xml:space="preserve"> que quelque chose </w:t>
      </w:r>
      <w:r w:rsidRPr="003C2BF2">
        <w:rPr>
          <w:rFonts w:cs="Times New Roman"/>
          <w:i/>
          <w:lang w:val="fr-CA"/>
        </w:rPr>
        <w:t>puisse</w:t>
      </w:r>
      <w:r w:rsidRPr="003C2BF2">
        <w:rPr>
          <w:rFonts w:cs="Times New Roman"/>
          <w:lang w:val="fr-CA"/>
        </w:rPr>
        <w:t xml:space="preserve"> se produire, et non s</w:t>
      </w:r>
      <w:r>
        <w:rPr>
          <w:rFonts w:cs="Times New Roman"/>
          <w:lang w:val="fr-CA"/>
        </w:rPr>
        <w:t>’</w:t>
      </w:r>
      <w:r w:rsidRPr="003C2BF2">
        <w:rPr>
          <w:rFonts w:cs="Times New Roman"/>
          <w:lang w:val="fr-CA"/>
        </w:rPr>
        <w:t xml:space="preserve">il est </w:t>
      </w:r>
      <w:r w:rsidRPr="003C2BF2">
        <w:rPr>
          <w:rFonts w:cs="Times New Roman"/>
          <w:i/>
          <w:lang w:val="fr-CA"/>
        </w:rPr>
        <w:t xml:space="preserve">probable </w:t>
      </w:r>
      <w:r w:rsidRPr="003C2BF2">
        <w:rPr>
          <w:rFonts w:cs="Times New Roman"/>
          <w:lang w:val="fr-CA"/>
        </w:rPr>
        <w:t xml:space="preserve">que quelque chose </w:t>
      </w:r>
      <w:r w:rsidRPr="003C2BF2">
        <w:rPr>
          <w:rFonts w:cs="Times New Roman"/>
          <w:i/>
          <w:lang w:val="fr-CA"/>
        </w:rPr>
        <w:t>se produise</w:t>
      </w:r>
      <w:r w:rsidRPr="003C2BF2">
        <w:rPr>
          <w:rFonts w:cs="Times New Roman"/>
          <w:lang w:val="fr-CA"/>
        </w:rPr>
        <w:t>.  Comme la Cour l</w:t>
      </w:r>
      <w:r>
        <w:rPr>
          <w:rFonts w:cs="Times New Roman"/>
          <w:lang w:val="fr-CA"/>
        </w:rPr>
        <w:t>’</w:t>
      </w:r>
      <w:r w:rsidRPr="003C2BF2">
        <w:rPr>
          <w:rFonts w:cs="Times New Roman"/>
          <w:lang w:val="fr-CA"/>
        </w:rPr>
        <w:t>a tout récemment expliqué, la première éventualité évoque des « soupçons raisonnables » (</w:t>
      </w:r>
      <w:r w:rsidRPr="003C2BF2">
        <w:rPr>
          <w:rFonts w:cs="Times New Roman"/>
          <w:i/>
          <w:lang w:val="fr-CA"/>
        </w:rPr>
        <w:t>R. c. MacKenzie</w:t>
      </w:r>
      <w:r w:rsidRPr="003C2BF2">
        <w:rPr>
          <w:rFonts w:cs="Times New Roman"/>
          <w:lang w:val="fr-CA"/>
        </w:rPr>
        <w:t xml:space="preserve">, 2013 CSC 50, </w:t>
      </w:r>
      <w:r w:rsidR="001A7663">
        <w:rPr>
          <w:rFonts w:cs="Times New Roman"/>
          <w:lang w:val="fr-CA"/>
        </w:rPr>
        <w:t xml:space="preserve">[2013] 3 R.C.S. 250, </w:t>
      </w:r>
      <w:r w:rsidRPr="003C2BF2">
        <w:rPr>
          <w:rFonts w:cs="Times New Roman"/>
          <w:lang w:val="fr-CA"/>
        </w:rPr>
        <w:t xml:space="preserve">par. 74).  La seconde renvoie quant à elle à des « motifs raisonnables et probables ».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aurait certes pu être plus clair.  En fait, l</w:t>
      </w:r>
      <w:r>
        <w:rPr>
          <w:rFonts w:cs="Times New Roman"/>
          <w:lang w:val="fr-CA"/>
        </w:rPr>
        <w:t>’</w:t>
      </w:r>
      <w:r w:rsidRPr="003C2BF2">
        <w:rPr>
          <w:rFonts w:cs="Times New Roman"/>
          <w:lang w:val="fr-CA"/>
        </w:rPr>
        <w:t>ambiguïté du paragraphe clé de cette décision a amené au moins un expert en la matière à laisser entendre que la Cour s</w:t>
      </w:r>
      <w:r>
        <w:rPr>
          <w:rFonts w:cs="Times New Roman"/>
          <w:lang w:val="fr-CA"/>
        </w:rPr>
        <w:t>’</w:t>
      </w:r>
      <w:r w:rsidRPr="003C2BF2">
        <w:rPr>
          <w:rFonts w:cs="Times New Roman"/>
          <w:lang w:val="fr-CA"/>
        </w:rPr>
        <w:t xml:space="preserve">est </w:t>
      </w:r>
      <w:proofErr w:type="spellStart"/>
      <w:r w:rsidRPr="003C2BF2">
        <w:rPr>
          <w:rFonts w:cs="Times New Roman"/>
          <w:lang w:val="fr-CA"/>
        </w:rPr>
        <w:t>peut</w:t>
      </w:r>
      <w:r w:rsidRPr="003C2BF2">
        <w:rPr>
          <w:rFonts w:cs="Times New Roman"/>
          <w:lang w:val="fr-CA"/>
        </w:rPr>
        <w:noBreakHyphen/>
        <w:t>être</w:t>
      </w:r>
      <w:proofErr w:type="spellEnd"/>
      <w:r w:rsidRPr="003C2BF2">
        <w:rPr>
          <w:rFonts w:cs="Times New Roman"/>
          <w:lang w:val="fr-CA"/>
        </w:rPr>
        <w:t xml:space="preserve"> tout simplement [</w:t>
      </w:r>
      <w:r w:rsidRPr="003C2BF2">
        <w:rPr>
          <w:rFonts w:cs="Times New Roman"/>
          <w:smallCaps/>
          <w:lang w:val="fr-CA"/>
        </w:rPr>
        <w:t>traduction</w:t>
      </w:r>
      <w:r w:rsidRPr="003C2BF2">
        <w:rPr>
          <w:rFonts w:cs="Times New Roman"/>
          <w:lang w:val="fr-CA"/>
        </w:rPr>
        <w:t>] « mal exprimée » : J. </w:t>
      </w:r>
      <w:proofErr w:type="spellStart"/>
      <w:r w:rsidRPr="003C2BF2">
        <w:rPr>
          <w:rFonts w:cs="Times New Roman"/>
          <w:lang w:val="fr-CA"/>
        </w:rPr>
        <w:t>Stribopo</w:t>
      </w:r>
      <w:r w:rsidR="001A7663">
        <w:rPr>
          <w:rFonts w:cs="Times New Roman"/>
          <w:lang w:val="fr-CA"/>
        </w:rPr>
        <w:t>u</w:t>
      </w:r>
      <w:r w:rsidRPr="003C2BF2">
        <w:rPr>
          <w:rFonts w:cs="Times New Roman"/>
          <w:lang w:val="fr-CA"/>
        </w:rPr>
        <w:t>los</w:t>
      </w:r>
      <w:proofErr w:type="spellEnd"/>
      <w:r w:rsidRPr="003C2BF2">
        <w:rPr>
          <w:rFonts w:cs="Times New Roman"/>
          <w:lang w:val="fr-CA"/>
        </w:rPr>
        <w:t xml:space="preserve">, « The </w:t>
      </w:r>
      <w:proofErr w:type="spellStart"/>
      <w:r w:rsidRPr="003C2BF2">
        <w:rPr>
          <w:rFonts w:cs="Times New Roman"/>
          <w:lang w:val="fr-CA"/>
        </w:rPr>
        <w:t>Limits</w:t>
      </w:r>
      <w:proofErr w:type="spellEnd"/>
      <w:r w:rsidRPr="003C2BF2">
        <w:rPr>
          <w:rFonts w:cs="Times New Roman"/>
          <w:lang w:val="fr-CA"/>
        </w:rPr>
        <w:t xml:space="preserve"> of </w:t>
      </w:r>
      <w:proofErr w:type="spellStart"/>
      <w:r w:rsidRPr="003C2BF2">
        <w:rPr>
          <w:rFonts w:cs="Times New Roman"/>
          <w:lang w:val="fr-CA"/>
        </w:rPr>
        <w:t>Judicially</w:t>
      </w:r>
      <w:proofErr w:type="spellEnd"/>
      <w:r w:rsidRPr="003C2BF2">
        <w:rPr>
          <w:rFonts w:cs="Times New Roman"/>
          <w:lang w:val="fr-CA"/>
        </w:rPr>
        <w:t xml:space="preserve"> </w:t>
      </w:r>
      <w:proofErr w:type="spellStart"/>
      <w:r w:rsidRPr="003C2BF2">
        <w:rPr>
          <w:rFonts w:cs="Times New Roman"/>
          <w:lang w:val="fr-CA"/>
        </w:rPr>
        <w:t>Created</w:t>
      </w:r>
      <w:proofErr w:type="spellEnd"/>
      <w:r w:rsidRPr="003C2BF2">
        <w:rPr>
          <w:rFonts w:cs="Times New Roman"/>
          <w:lang w:val="fr-CA"/>
        </w:rPr>
        <w:t xml:space="preserve"> Police </w:t>
      </w:r>
      <w:proofErr w:type="spellStart"/>
      <w:r w:rsidRPr="003C2BF2">
        <w:rPr>
          <w:rFonts w:cs="Times New Roman"/>
          <w:lang w:val="fr-CA"/>
        </w:rPr>
        <w:t>Powers</w:t>
      </w:r>
      <w:proofErr w:type="spellEnd"/>
      <w:r w:rsidR="001A7663">
        <w:rPr>
          <w:rFonts w:cs="Times New Roman"/>
          <w:lang w:val="fr-CA"/>
        </w:rPr>
        <w:t> </w:t>
      </w:r>
      <w:r w:rsidRPr="003C2BF2">
        <w:rPr>
          <w:rFonts w:cs="Times New Roman"/>
          <w:lang w:val="fr-CA"/>
        </w:rPr>
        <w:t xml:space="preserve">: </w:t>
      </w:r>
      <w:proofErr w:type="spellStart"/>
      <w:r w:rsidRPr="003C2BF2">
        <w:rPr>
          <w:rFonts w:cs="Times New Roman"/>
          <w:lang w:val="fr-CA"/>
        </w:rPr>
        <w:t>Investigative</w:t>
      </w:r>
      <w:proofErr w:type="spellEnd"/>
      <w:r w:rsidRPr="003C2BF2">
        <w:rPr>
          <w:rFonts w:cs="Times New Roman"/>
          <w:lang w:val="fr-CA"/>
        </w:rPr>
        <w:t xml:space="preserve"> </w:t>
      </w:r>
      <w:proofErr w:type="spellStart"/>
      <w:r w:rsidRPr="003C2BF2">
        <w:rPr>
          <w:rFonts w:cs="Times New Roman"/>
          <w:lang w:val="fr-CA"/>
        </w:rPr>
        <w:t>Detention</w:t>
      </w:r>
      <w:proofErr w:type="spellEnd"/>
      <w:r w:rsidRPr="003C2BF2">
        <w:rPr>
          <w:rFonts w:cs="Times New Roman"/>
          <w:lang w:val="fr-CA"/>
        </w:rPr>
        <w:t xml:space="preserve"> </w:t>
      </w:r>
      <w:proofErr w:type="spellStart"/>
      <w:r w:rsidRPr="003C2BF2">
        <w:rPr>
          <w:rFonts w:cs="Times New Roman"/>
          <w:lang w:val="fr-CA"/>
        </w:rPr>
        <w:t>after</w:t>
      </w:r>
      <w:proofErr w:type="spellEnd"/>
      <w:r w:rsidRPr="003C2BF2">
        <w:rPr>
          <w:rFonts w:cs="Times New Roman"/>
          <w:lang w:val="fr-CA"/>
        </w:rPr>
        <w:t xml:space="preserve"> </w:t>
      </w:r>
      <w:r w:rsidRPr="003C2BF2">
        <w:rPr>
          <w:rFonts w:cs="Times New Roman"/>
          <w:i/>
          <w:lang w:val="fr-CA"/>
        </w:rPr>
        <w:t>Mann</w:t>
      </w:r>
      <w:r w:rsidRPr="003C2BF2">
        <w:rPr>
          <w:rFonts w:cs="Times New Roman"/>
          <w:lang w:val="fr-CA"/>
        </w:rPr>
        <w:t xml:space="preserve"> » (2007), 52 </w:t>
      </w:r>
      <w:proofErr w:type="spellStart"/>
      <w:r>
        <w:rPr>
          <w:rFonts w:cs="Times New Roman"/>
          <w:i/>
          <w:lang w:val="fr-CA"/>
        </w:rPr>
        <w:t>Crim</w:t>
      </w:r>
      <w:proofErr w:type="spellEnd"/>
      <w:r>
        <w:rPr>
          <w:rFonts w:cs="Times New Roman"/>
          <w:i/>
          <w:lang w:val="fr-CA"/>
        </w:rPr>
        <w:t>. L.</w:t>
      </w:r>
      <w:r w:rsidRPr="003C2BF2">
        <w:rPr>
          <w:rFonts w:cs="Times New Roman"/>
          <w:i/>
          <w:lang w:val="fr-CA"/>
        </w:rPr>
        <w:t>Q.</w:t>
      </w:r>
      <w:r w:rsidRPr="003C2BF2">
        <w:rPr>
          <w:rFonts w:cs="Times New Roman"/>
          <w:lang w:val="fr-CA"/>
        </w:rPr>
        <w:t xml:space="preserve"> 299, p. 311.  Il aurait été utile que la Cour, dans </w:t>
      </w:r>
      <w:r w:rsidRPr="003C2BF2">
        <w:rPr>
          <w:rFonts w:cs="Times New Roman"/>
          <w:i/>
          <w:lang w:val="fr-CA"/>
        </w:rPr>
        <w:t>Mann</w:t>
      </w:r>
      <w:r w:rsidRPr="003C2BF2">
        <w:rPr>
          <w:rFonts w:cs="Times New Roman"/>
          <w:lang w:val="fr-CA"/>
        </w:rPr>
        <w:t xml:space="preserve">, indique simplement si les motifs requis sont des « motifs raisonnables </w:t>
      </w:r>
      <w:r w:rsidRPr="003C2BF2">
        <w:rPr>
          <w:rFonts w:cs="Times New Roman"/>
          <w:i/>
          <w:lang w:val="fr-CA"/>
        </w:rPr>
        <w:t>de croire</w:t>
      </w:r>
      <w:r w:rsidRPr="003C2BF2">
        <w:rPr>
          <w:rFonts w:cs="Times New Roman"/>
          <w:lang w:val="fr-CA"/>
        </w:rPr>
        <w:t xml:space="preserve"> qu</w:t>
      </w:r>
      <w:r>
        <w:rPr>
          <w:rFonts w:cs="Times New Roman"/>
          <w:lang w:val="fr-CA"/>
        </w:rPr>
        <w:t>’</w:t>
      </w:r>
      <w:r w:rsidRPr="003C2BF2">
        <w:rPr>
          <w:rFonts w:cs="Times New Roman"/>
          <w:lang w:val="fr-CA"/>
        </w:rPr>
        <w:t xml:space="preserve">une personne est armée et dangereuse », ou des </w:t>
      </w:r>
      <w:r w:rsidRPr="003C2BF2">
        <w:rPr>
          <w:rFonts w:cs="Times New Roman"/>
          <w:lang w:val="fr-CA"/>
        </w:rPr>
        <w:lastRenderedPageBreak/>
        <w:t xml:space="preserve">« motifs raisonnables </w:t>
      </w:r>
      <w:r w:rsidRPr="003C2BF2">
        <w:rPr>
          <w:rFonts w:cs="Times New Roman"/>
          <w:i/>
          <w:lang w:val="fr-CA"/>
        </w:rPr>
        <w:t>de soupçonner</w:t>
      </w:r>
      <w:r w:rsidRPr="003C2BF2">
        <w:rPr>
          <w:rFonts w:cs="Times New Roman"/>
          <w:lang w:val="fr-CA"/>
        </w:rPr>
        <w:t xml:space="preserve"> qu</w:t>
      </w:r>
      <w:r>
        <w:rPr>
          <w:rFonts w:cs="Times New Roman"/>
          <w:lang w:val="fr-CA"/>
        </w:rPr>
        <w:t>’</w:t>
      </w:r>
      <w:r w:rsidRPr="003C2BF2">
        <w:rPr>
          <w:rFonts w:cs="Times New Roman"/>
          <w:lang w:val="fr-CA"/>
        </w:rPr>
        <w:t>une personne est armée et dangereuse »; elle ne l</w:t>
      </w:r>
      <w:r>
        <w:rPr>
          <w:rFonts w:cs="Times New Roman"/>
          <w:lang w:val="fr-CA"/>
        </w:rPr>
        <w:t>’</w:t>
      </w:r>
      <w:r w:rsidRPr="003C2BF2">
        <w:rPr>
          <w:rFonts w:cs="Times New Roman"/>
          <w:lang w:val="fr-CA"/>
        </w:rPr>
        <w:t>a toutefois pas fait.  Heureusement, cependant, nous disposons des outils nécessaires pour dissiper tout doute qui pourrait subsister quant à l</w:t>
      </w:r>
      <w:r>
        <w:rPr>
          <w:rFonts w:cs="Times New Roman"/>
          <w:lang w:val="fr-CA"/>
        </w:rPr>
        <w:t>’</w:t>
      </w:r>
      <w:r w:rsidRPr="003C2BF2">
        <w:rPr>
          <w:rFonts w:cs="Times New Roman"/>
          <w:lang w:val="fr-CA"/>
        </w:rPr>
        <w:t>interprétation à donner à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Comme nous le verrons, chacun de ces outils tend à exclure l</w:t>
      </w:r>
      <w:r>
        <w:rPr>
          <w:rFonts w:cs="Times New Roman"/>
          <w:lang w:val="fr-CA"/>
        </w:rPr>
        <w:t>’</w:t>
      </w:r>
      <w:r w:rsidRPr="003C2BF2">
        <w:rPr>
          <w:rFonts w:cs="Times New Roman"/>
          <w:lang w:val="fr-CA"/>
        </w:rPr>
        <w:t xml:space="preserve">interprétation retenue par la majorité.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Comme les termes techniques propres au domaine juridique n</w:t>
      </w:r>
      <w:r>
        <w:rPr>
          <w:rFonts w:cs="Times New Roman"/>
          <w:lang w:val="fr-CA"/>
        </w:rPr>
        <w:t>’</w:t>
      </w:r>
      <w:r w:rsidRPr="003C2BF2">
        <w:rPr>
          <w:rFonts w:cs="Times New Roman"/>
          <w:lang w:val="fr-CA"/>
        </w:rPr>
        <w:t>ont pas toujours un sens évident, examinons tout d</w:t>
      </w:r>
      <w:r>
        <w:rPr>
          <w:rFonts w:cs="Times New Roman"/>
          <w:lang w:val="fr-CA"/>
        </w:rPr>
        <w:t>’</w:t>
      </w:r>
      <w:r w:rsidRPr="003C2BF2">
        <w:rPr>
          <w:rFonts w:cs="Times New Roman"/>
          <w:lang w:val="fr-CA"/>
        </w:rPr>
        <w:t xml:space="preserve">abord la façon dont la Cour, dans </w:t>
      </w:r>
      <w:r w:rsidRPr="003C2BF2">
        <w:rPr>
          <w:rFonts w:cs="Times New Roman"/>
          <w:i/>
          <w:lang w:val="fr-CA"/>
        </w:rPr>
        <w:t>Mann</w:t>
      </w:r>
      <w:r w:rsidRPr="003C2BF2">
        <w:rPr>
          <w:rFonts w:cs="Times New Roman"/>
          <w:lang w:val="fr-CA"/>
        </w:rPr>
        <w:t>, décrit la norme qu</w:t>
      </w:r>
      <w:r>
        <w:rPr>
          <w:rFonts w:cs="Times New Roman"/>
          <w:lang w:val="fr-CA"/>
        </w:rPr>
        <w:t>’</w:t>
      </w:r>
      <w:r w:rsidRPr="003C2BF2">
        <w:rPr>
          <w:rFonts w:cs="Times New Roman"/>
          <w:lang w:val="fr-CA"/>
        </w:rPr>
        <w:t>elle adopte.  Une lecture attentive de cette décision ne laisse aucun doute : la Cour y décrit la norme des soupçons raisonnables.  À titre d</w:t>
      </w:r>
      <w:r>
        <w:rPr>
          <w:rFonts w:cs="Times New Roman"/>
          <w:lang w:val="fr-CA"/>
        </w:rPr>
        <w:t>’</w:t>
      </w:r>
      <w:r w:rsidRPr="003C2BF2">
        <w:rPr>
          <w:rFonts w:cs="Times New Roman"/>
          <w:lang w:val="fr-CA"/>
        </w:rPr>
        <w:t xml:space="preserve">exemple, selon </w:t>
      </w:r>
      <w:r w:rsidRPr="003C2BF2">
        <w:rPr>
          <w:rFonts w:cs="Times New Roman"/>
          <w:i/>
          <w:lang w:val="fr-CA"/>
        </w:rPr>
        <w:t>Mann</w:t>
      </w:r>
      <w:r w:rsidRPr="003C2BF2">
        <w:rPr>
          <w:rFonts w:cs="Times New Roman"/>
          <w:lang w:val="fr-CA"/>
        </w:rPr>
        <w:t xml:space="preserve">, « [l]a fouille doit être fondée sur des </w:t>
      </w:r>
      <w:r w:rsidRPr="003C2BF2">
        <w:rPr>
          <w:rFonts w:cs="Times New Roman"/>
          <w:u w:val="single"/>
          <w:lang w:val="fr-CA"/>
        </w:rPr>
        <w:t>faits objectivement discernables</w:t>
      </w:r>
      <w:r w:rsidRPr="003C2BF2">
        <w:rPr>
          <w:rFonts w:cs="Times New Roman"/>
          <w:lang w:val="fr-CA"/>
        </w:rPr>
        <w:t xml:space="preserve"> afin d</w:t>
      </w:r>
      <w:r>
        <w:rPr>
          <w:rFonts w:cs="Times New Roman"/>
          <w:lang w:val="fr-CA"/>
        </w:rPr>
        <w:t>’</w:t>
      </w:r>
      <w:r w:rsidRPr="003C2BF2">
        <w:rPr>
          <w:rFonts w:cs="Times New Roman"/>
          <w:lang w:val="fr-CA"/>
        </w:rPr>
        <w:t>éviter une “recherche à l</w:t>
      </w:r>
      <w:r>
        <w:rPr>
          <w:rFonts w:cs="Times New Roman"/>
          <w:lang w:val="fr-CA"/>
        </w:rPr>
        <w:t>’</w:t>
      </w:r>
      <w:r w:rsidRPr="003C2BF2">
        <w:rPr>
          <w:rFonts w:cs="Times New Roman"/>
          <w:lang w:val="fr-CA"/>
        </w:rPr>
        <w:t xml:space="preserve">aveuglette” motivée par des </w:t>
      </w:r>
      <w:r w:rsidRPr="003C2BF2">
        <w:rPr>
          <w:rFonts w:cs="Times New Roman"/>
          <w:u w:val="single"/>
          <w:lang w:val="fr-CA"/>
        </w:rPr>
        <w:t>facteurs discriminatoires et non pertinents</w:t>
      </w:r>
      <w:r w:rsidRPr="003C2BF2">
        <w:rPr>
          <w:rFonts w:cs="Times New Roman"/>
          <w:lang w:val="fr-CA"/>
        </w:rPr>
        <w:t xml:space="preserve"> » (par. 43 (nous soulignons)).  Comme il a été conclu récemment dans </w:t>
      </w:r>
      <w:r w:rsidRPr="003C2BF2">
        <w:rPr>
          <w:rFonts w:cs="Times New Roman"/>
          <w:i/>
          <w:lang w:val="fr-CA"/>
        </w:rPr>
        <w:t xml:space="preserve">R. c. </w:t>
      </w:r>
      <w:proofErr w:type="spellStart"/>
      <w:r w:rsidRPr="003C2BF2">
        <w:rPr>
          <w:rFonts w:cs="Times New Roman"/>
          <w:i/>
          <w:lang w:val="fr-CA"/>
        </w:rPr>
        <w:t>Chehil</w:t>
      </w:r>
      <w:proofErr w:type="spellEnd"/>
      <w:r w:rsidRPr="003C2BF2">
        <w:rPr>
          <w:rFonts w:cs="Times New Roman"/>
          <w:lang w:val="fr-CA"/>
        </w:rPr>
        <w:t xml:space="preserve">, 2013 CSC 49, </w:t>
      </w:r>
      <w:r w:rsidR="001A7663">
        <w:rPr>
          <w:rFonts w:cs="Times New Roman"/>
          <w:lang w:val="fr-CA"/>
        </w:rPr>
        <w:t xml:space="preserve">[2013] 3 R.C.S. 220, </w:t>
      </w:r>
      <w:r w:rsidRPr="003C2BF2">
        <w:rPr>
          <w:rFonts w:cs="Times New Roman"/>
          <w:lang w:val="fr-CA"/>
        </w:rPr>
        <w:t>les soupçons raisonnables doivent reposer sur des « </w:t>
      </w:r>
      <w:r w:rsidRPr="003C2BF2">
        <w:rPr>
          <w:rFonts w:cs="Times New Roman"/>
          <w:u w:val="single"/>
          <w:lang w:val="fr-CA"/>
        </w:rPr>
        <w:t>faits</w:t>
      </w:r>
      <w:r w:rsidRPr="001A7663">
        <w:rPr>
          <w:rFonts w:cs="Times New Roman"/>
          <w:u w:val="single"/>
          <w:lang w:val="fr-CA"/>
        </w:rPr>
        <w:t xml:space="preserve"> </w:t>
      </w:r>
      <w:r w:rsidRPr="003C2BF2">
        <w:rPr>
          <w:rFonts w:cs="Times New Roman"/>
          <w:u w:val="single"/>
          <w:lang w:val="fr-CA"/>
        </w:rPr>
        <w:t>objectivement vérifiables</w:t>
      </w:r>
      <w:r w:rsidRPr="003C2BF2">
        <w:rPr>
          <w:rFonts w:cs="Times New Roman"/>
          <w:lang w:val="fr-CA"/>
        </w:rPr>
        <w:t xml:space="preserve">, et [. . .] </w:t>
      </w:r>
      <w:proofErr w:type="spellStart"/>
      <w:proofErr w:type="gramStart"/>
      <w:r w:rsidRPr="003C2BF2">
        <w:rPr>
          <w:rFonts w:cs="Times New Roman"/>
          <w:lang w:val="fr-CA"/>
        </w:rPr>
        <w:t>fai</w:t>
      </w:r>
      <w:proofErr w:type="spellEnd"/>
      <w:r w:rsidRPr="003C2BF2">
        <w:rPr>
          <w:rFonts w:cs="Times New Roman"/>
          <w:lang w:val="fr-CA"/>
        </w:rPr>
        <w:t>[</w:t>
      </w:r>
      <w:proofErr w:type="spellStart"/>
      <w:proofErr w:type="gramEnd"/>
      <w:r w:rsidRPr="003C2BF2">
        <w:rPr>
          <w:rFonts w:cs="Times New Roman"/>
          <w:lang w:val="fr-CA"/>
        </w:rPr>
        <w:t>re</w:t>
      </w:r>
      <w:proofErr w:type="spellEnd"/>
      <w:r w:rsidRPr="003C2BF2">
        <w:rPr>
          <w:rFonts w:cs="Times New Roman"/>
          <w:lang w:val="fr-CA"/>
        </w:rPr>
        <w:t>] obstacle à l</w:t>
      </w:r>
      <w:r>
        <w:rPr>
          <w:rFonts w:cs="Times New Roman"/>
          <w:lang w:val="fr-CA"/>
        </w:rPr>
        <w:t>’</w:t>
      </w:r>
      <w:r w:rsidRPr="003C2BF2">
        <w:rPr>
          <w:rFonts w:cs="Times New Roman"/>
          <w:u w:val="single"/>
          <w:lang w:val="fr-CA"/>
        </w:rPr>
        <w:t>exercice aveugle et discriminatoire</w:t>
      </w:r>
      <w:r w:rsidRPr="003C2BF2">
        <w:rPr>
          <w:rFonts w:cs="Times New Roman"/>
          <w:lang w:val="fr-CA"/>
        </w:rPr>
        <w:t xml:space="preserve"> des pouvoirs policiers » (par. 3 (nous soulignons)).  De même,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parle d</w:t>
      </w:r>
      <w:r>
        <w:rPr>
          <w:rFonts w:cs="Times New Roman"/>
          <w:lang w:val="fr-CA"/>
        </w:rPr>
        <w:t>’</w:t>
      </w:r>
      <w:r w:rsidRPr="003C2BF2">
        <w:rPr>
          <w:rFonts w:cs="Times New Roman"/>
          <w:lang w:val="fr-CA"/>
        </w:rPr>
        <w:t>une « </w:t>
      </w:r>
      <w:r w:rsidRPr="003C2BF2">
        <w:rPr>
          <w:rFonts w:cs="Times New Roman"/>
          <w:u w:val="single"/>
          <w:lang w:val="fr-CA"/>
        </w:rPr>
        <w:t xml:space="preserve">[possibilité] </w:t>
      </w:r>
      <w:proofErr w:type="spellStart"/>
      <w:r w:rsidRPr="003C2BF2">
        <w:rPr>
          <w:rFonts w:cs="Times New Roman"/>
          <w:u w:val="single"/>
          <w:lang w:val="fr-CA"/>
        </w:rPr>
        <w:t>logiqu</w:t>
      </w:r>
      <w:proofErr w:type="spellEnd"/>
      <w:r w:rsidRPr="003C2BF2">
        <w:rPr>
          <w:rFonts w:cs="Times New Roman"/>
          <w:u w:val="single"/>
          <w:lang w:val="fr-CA"/>
        </w:rPr>
        <w:t>[e]</w:t>
      </w:r>
      <w:r w:rsidRPr="003C2BF2">
        <w:rPr>
          <w:rFonts w:cs="Times New Roman"/>
          <w:lang w:val="fr-CA"/>
        </w:rPr>
        <w:t xml:space="preserve"> que le [suspect] [. . .] fut en possession d</w:t>
      </w:r>
      <w:r>
        <w:rPr>
          <w:rFonts w:cs="Times New Roman"/>
          <w:lang w:val="fr-CA"/>
        </w:rPr>
        <w:t>’</w:t>
      </w:r>
      <w:r w:rsidRPr="003C2BF2">
        <w:rPr>
          <w:rFonts w:cs="Times New Roman"/>
          <w:lang w:val="fr-CA"/>
        </w:rPr>
        <w:t>outils utilisés pour commettre l</w:t>
      </w:r>
      <w:r>
        <w:rPr>
          <w:rFonts w:cs="Times New Roman"/>
          <w:lang w:val="fr-CA"/>
        </w:rPr>
        <w:t>’</w:t>
      </w:r>
      <w:r w:rsidRPr="003C2BF2">
        <w:rPr>
          <w:rFonts w:cs="Times New Roman"/>
          <w:lang w:val="fr-CA"/>
        </w:rPr>
        <w:t>infraction et pouvant servir d</w:t>
      </w:r>
      <w:r>
        <w:rPr>
          <w:rFonts w:cs="Times New Roman"/>
          <w:lang w:val="fr-CA"/>
        </w:rPr>
        <w:t>’</w:t>
      </w:r>
      <w:r w:rsidRPr="003C2BF2">
        <w:rPr>
          <w:rFonts w:cs="Times New Roman"/>
          <w:lang w:val="fr-CA"/>
        </w:rPr>
        <w:t>armes » (par. 48 (nous soulignons)).  Par ailleurs, l</w:t>
      </w:r>
      <w:r>
        <w:rPr>
          <w:rFonts w:cs="Times New Roman"/>
          <w:lang w:val="fr-CA"/>
        </w:rPr>
        <w:t>’</w:t>
      </w:r>
      <w:r w:rsidRPr="003C2BF2">
        <w:rPr>
          <w:rFonts w:cs="Times New Roman"/>
          <w:lang w:val="fr-CA"/>
        </w:rPr>
        <w:t xml:space="preserve">arrêt </w:t>
      </w:r>
      <w:proofErr w:type="spellStart"/>
      <w:r w:rsidRPr="003C2BF2">
        <w:rPr>
          <w:rFonts w:cs="Times New Roman"/>
          <w:i/>
          <w:lang w:val="fr-CA"/>
        </w:rPr>
        <w:t>Chehil</w:t>
      </w:r>
      <w:proofErr w:type="spellEnd"/>
      <w:r w:rsidRPr="003C2BF2">
        <w:rPr>
          <w:rFonts w:cs="Times New Roman"/>
          <w:lang w:val="fr-CA"/>
        </w:rPr>
        <w:t xml:space="preserve"> indique clairement que les soupçons raisonnables « évoquent [une] </w:t>
      </w:r>
      <w:r w:rsidRPr="003C2BF2">
        <w:rPr>
          <w:rFonts w:cs="Times New Roman"/>
          <w:u w:val="single"/>
          <w:lang w:val="fr-CA"/>
        </w:rPr>
        <w:t>possibilité</w:t>
      </w:r>
      <w:r w:rsidRPr="003C2BF2">
        <w:rPr>
          <w:rFonts w:cs="Times New Roman"/>
          <w:lang w:val="fr-CA"/>
        </w:rPr>
        <w:t xml:space="preserve"> — plutôt </w:t>
      </w:r>
      <w:proofErr w:type="spellStart"/>
      <w:proofErr w:type="gramStart"/>
      <w:r w:rsidRPr="003C2BF2">
        <w:rPr>
          <w:rFonts w:cs="Times New Roman"/>
          <w:lang w:val="fr-CA"/>
        </w:rPr>
        <w:t>qu</w:t>
      </w:r>
      <w:proofErr w:type="spellEnd"/>
      <w:r w:rsidR="001A7663">
        <w:rPr>
          <w:rFonts w:cs="Times New Roman"/>
          <w:lang w:val="fr-CA"/>
        </w:rPr>
        <w:t>[</w:t>
      </w:r>
      <w:proofErr w:type="gramEnd"/>
      <w:r w:rsidR="001A7663">
        <w:rPr>
          <w:rFonts w:cs="Times New Roman"/>
          <w:lang w:val="fr-CA"/>
        </w:rPr>
        <w:t>’</w:t>
      </w:r>
      <w:r w:rsidRPr="003C2BF2">
        <w:rPr>
          <w:rFonts w:cs="Times New Roman"/>
          <w:lang w:val="fr-CA"/>
        </w:rPr>
        <w:t xml:space="preserve">une] probabilité — </w:t>
      </w:r>
      <w:r w:rsidRPr="003C2BF2">
        <w:rPr>
          <w:rFonts w:cs="Times New Roman"/>
          <w:u w:val="single"/>
          <w:lang w:val="fr-CA"/>
        </w:rPr>
        <w:t>raisonnable</w:t>
      </w:r>
      <w:r w:rsidRPr="003C2BF2">
        <w:rPr>
          <w:rFonts w:cs="Times New Roman"/>
          <w:lang w:val="fr-CA"/>
        </w:rPr>
        <w:t xml:space="preserve"> » (par. 27 (nous soulignons)).  Enfin, selon </w:t>
      </w:r>
      <w:r w:rsidRPr="003C2BF2">
        <w:rPr>
          <w:rFonts w:cs="Times New Roman"/>
          <w:i/>
          <w:lang w:val="fr-CA"/>
        </w:rPr>
        <w:t>Mann</w:t>
      </w:r>
      <w:r w:rsidRPr="003C2BF2">
        <w:rPr>
          <w:rFonts w:cs="Times New Roman"/>
          <w:lang w:val="fr-CA"/>
        </w:rPr>
        <w:t xml:space="preserve">, le policier ne doit pas agir « uniquement en suivant son </w:t>
      </w:r>
      <w:r w:rsidRPr="003C2BF2">
        <w:rPr>
          <w:rFonts w:cs="Times New Roman"/>
          <w:u w:val="single"/>
          <w:lang w:val="fr-CA"/>
        </w:rPr>
        <w:t>intuition</w:t>
      </w:r>
      <w:r w:rsidRPr="003C2BF2">
        <w:rPr>
          <w:rFonts w:cs="Times New Roman"/>
          <w:lang w:val="fr-CA"/>
        </w:rPr>
        <w:t xml:space="preserve"> » (par. 41 (nous soulignons)).  Et là encore, </w:t>
      </w:r>
      <w:proofErr w:type="spellStart"/>
      <w:r w:rsidRPr="003C2BF2">
        <w:rPr>
          <w:rFonts w:cs="Times New Roman"/>
          <w:i/>
          <w:lang w:val="fr-CA"/>
        </w:rPr>
        <w:t>Chehil</w:t>
      </w:r>
      <w:proofErr w:type="spellEnd"/>
      <w:r w:rsidRPr="003C2BF2">
        <w:rPr>
          <w:rFonts w:cs="Times New Roman"/>
          <w:lang w:val="fr-CA"/>
        </w:rPr>
        <w:t xml:space="preserve"> précise que « l</w:t>
      </w:r>
      <w:r>
        <w:rPr>
          <w:rFonts w:cs="Times New Roman"/>
          <w:lang w:val="fr-CA"/>
        </w:rPr>
        <w:t>’</w:t>
      </w:r>
      <w:r w:rsidRPr="003C2BF2">
        <w:rPr>
          <w:rFonts w:cs="Times New Roman"/>
          <w:u w:val="single"/>
          <w:lang w:val="fr-CA"/>
        </w:rPr>
        <w:t>intuition</w:t>
      </w:r>
      <w:r w:rsidRPr="003C2BF2">
        <w:rPr>
          <w:rFonts w:cs="Times New Roman"/>
          <w:lang w:val="fr-CA"/>
        </w:rPr>
        <w:t xml:space="preserve"> [. . .] [ne] suffira [pas] » (par. 47 (nous soulignons)).  </w:t>
      </w:r>
      <w:r w:rsidRPr="003C2BF2">
        <w:rPr>
          <w:rFonts w:cs="Times New Roman"/>
          <w:lang w:val="fr-CA"/>
        </w:rPr>
        <w:lastRenderedPageBreak/>
        <w:t>Il n</w:t>
      </w:r>
      <w:r>
        <w:rPr>
          <w:rFonts w:cs="Times New Roman"/>
          <w:lang w:val="fr-CA"/>
        </w:rPr>
        <w:t>’</w:t>
      </w:r>
      <w:r w:rsidRPr="003C2BF2">
        <w:rPr>
          <w:rFonts w:cs="Times New Roman"/>
          <w:lang w:val="fr-CA"/>
        </w:rPr>
        <w:t>existe à notre connaissance aucune décision décrivant en ces termes la norme des motifs raisonnables et probables.</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D</w:t>
      </w:r>
      <w:r>
        <w:rPr>
          <w:rFonts w:cs="Times New Roman"/>
          <w:lang w:val="fr-CA"/>
        </w:rPr>
        <w:t>’</w:t>
      </w:r>
      <w:r w:rsidRPr="003C2BF2">
        <w:rPr>
          <w:rFonts w:cs="Times New Roman"/>
          <w:lang w:val="fr-CA"/>
        </w:rPr>
        <w:t>un autre point de vue, ces précisions détaillées n</w:t>
      </w:r>
      <w:r>
        <w:rPr>
          <w:rFonts w:cs="Times New Roman"/>
          <w:lang w:val="fr-CA"/>
        </w:rPr>
        <w:t>’</w:t>
      </w:r>
      <w:r w:rsidRPr="003C2BF2">
        <w:rPr>
          <w:rFonts w:cs="Times New Roman"/>
          <w:lang w:val="fr-CA"/>
        </w:rPr>
        <w:t xml:space="preserve">auraient pas été nécessaires si la Cour, dans </w:t>
      </w:r>
      <w:r w:rsidRPr="003C2BF2">
        <w:rPr>
          <w:rFonts w:cs="Times New Roman"/>
          <w:i/>
          <w:lang w:val="fr-CA"/>
        </w:rPr>
        <w:t>Mann</w:t>
      </w:r>
      <w:r w:rsidRPr="003C2BF2">
        <w:rPr>
          <w:rFonts w:cs="Times New Roman"/>
          <w:lang w:val="fr-CA"/>
        </w:rPr>
        <w:t>, avait voulu adopter la norme des motifs raisonnables et probables, laquelle constituait en effet une norme bien connue à l</w:t>
      </w:r>
      <w:r>
        <w:rPr>
          <w:rFonts w:cs="Times New Roman"/>
          <w:lang w:val="fr-CA"/>
        </w:rPr>
        <w:t>’</w:t>
      </w:r>
      <w:r w:rsidRPr="003C2BF2">
        <w:rPr>
          <w:rFonts w:cs="Times New Roman"/>
          <w:lang w:val="fr-CA"/>
        </w:rPr>
        <w:t>époque.  En fait, l</w:t>
      </w:r>
      <w:r>
        <w:rPr>
          <w:rFonts w:cs="Times New Roman"/>
          <w:lang w:val="fr-CA"/>
        </w:rPr>
        <w:t>’</w:t>
      </w:r>
      <w:r w:rsidR="001A7663">
        <w:rPr>
          <w:rFonts w:cs="Times New Roman"/>
          <w:lang w:val="fr-CA"/>
        </w:rPr>
        <w:t>application de cette norme était</w:t>
      </w:r>
      <w:r w:rsidRPr="003C2BF2">
        <w:rPr>
          <w:rFonts w:cs="Times New Roman"/>
          <w:lang w:val="fr-CA"/>
        </w:rPr>
        <w:t xml:space="preserve"> et demeure </w:t>
      </w:r>
      <w:r w:rsidRPr="003C2BF2">
        <w:rPr>
          <w:rFonts w:cs="Times New Roman"/>
          <w:i/>
          <w:lang w:val="fr-CA"/>
        </w:rPr>
        <w:t>présumée</w:t>
      </w:r>
      <w:r w:rsidRPr="003C2BF2">
        <w:rPr>
          <w:rFonts w:cs="Times New Roman"/>
          <w:lang w:val="fr-CA"/>
        </w:rPr>
        <w:t xml:space="preserve"> sous le régime de la </w:t>
      </w:r>
      <w:r w:rsidRPr="003C2BF2">
        <w:rPr>
          <w:rFonts w:cs="Times New Roman"/>
          <w:i/>
          <w:lang w:val="fr-CA"/>
        </w:rPr>
        <w:t>Charte</w:t>
      </w:r>
      <w:r w:rsidRPr="003C2BF2">
        <w:rPr>
          <w:rFonts w:cs="Times New Roman"/>
          <w:lang w:val="fr-CA"/>
        </w:rPr>
        <w:t xml:space="preserve"> (voir </w:t>
      </w:r>
      <w:r w:rsidRPr="003C2BF2">
        <w:rPr>
          <w:rFonts w:cs="Times New Roman"/>
          <w:i/>
          <w:lang w:val="fr-CA"/>
        </w:rPr>
        <w:t xml:space="preserve">Hunter c. </w:t>
      </w:r>
      <w:proofErr w:type="spellStart"/>
      <w:r w:rsidRPr="003C2BF2">
        <w:rPr>
          <w:rFonts w:cs="Times New Roman"/>
          <w:i/>
          <w:lang w:val="fr-CA"/>
        </w:rPr>
        <w:t>Southam</w:t>
      </w:r>
      <w:proofErr w:type="spellEnd"/>
      <w:r w:rsidRPr="003C2BF2">
        <w:rPr>
          <w:rFonts w:cs="Times New Roman"/>
          <w:i/>
          <w:lang w:val="fr-CA"/>
        </w:rPr>
        <w:t xml:space="preserve"> Inc.</w:t>
      </w:r>
      <w:r w:rsidRPr="003C2BF2">
        <w:rPr>
          <w:rFonts w:cs="Times New Roman"/>
          <w:lang w:val="fr-CA"/>
        </w:rPr>
        <w:t xml:space="preserve">, [1984] 2 R.C.S. 145).  </w:t>
      </w:r>
      <w:r w:rsidRPr="003C2BF2">
        <w:rPr>
          <w:rFonts w:cs="Times New Roman"/>
          <w:i/>
          <w:lang w:val="fr-CA"/>
        </w:rPr>
        <w:t>Mann</w:t>
      </w:r>
      <w:r w:rsidRPr="003C2BF2">
        <w:rPr>
          <w:rFonts w:cs="Times New Roman"/>
          <w:lang w:val="fr-CA"/>
        </w:rPr>
        <w:t xml:space="preserve"> constitue par ailleurs l</w:t>
      </w:r>
      <w:r>
        <w:rPr>
          <w:rFonts w:cs="Times New Roman"/>
          <w:lang w:val="fr-CA"/>
        </w:rPr>
        <w:t>’</w:t>
      </w:r>
      <w:r w:rsidRPr="003C2BF2">
        <w:rPr>
          <w:rFonts w:cs="Times New Roman"/>
          <w:lang w:val="fr-CA"/>
        </w:rPr>
        <w:t xml:space="preserve">une des premières affaires où la Cour tente de définir la norme des soupçons raisonnables (voir aussi </w:t>
      </w:r>
      <w:r w:rsidRPr="003C2BF2">
        <w:rPr>
          <w:rFonts w:cs="Times New Roman"/>
          <w:i/>
          <w:lang w:val="fr-CA"/>
        </w:rPr>
        <w:t xml:space="preserve">R. c. </w:t>
      </w:r>
      <w:proofErr w:type="spellStart"/>
      <w:r w:rsidRPr="003C2BF2">
        <w:rPr>
          <w:rFonts w:cs="Times New Roman"/>
          <w:i/>
          <w:lang w:val="fr-CA"/>
        </w:rPr>
        <w:t>Kang</w:t>
      </w:r>
      <w:r w:rsidRPr="003C2BF2">
        <w:rPr>
          <w:rFonts w:cs="Times New Roman"/>
          <w:i/>
          <w:lang w:val="fr-CA"/>
        </w:rPr>
        <w:noBreakHyphen/>
        <w:t>Brown</w:t>
      </w:r>
      <w:proofErr w:type="spellEnd"/>
      <w:r w:rsidRPr="003C2BF2">
        <w:rPr>
          <w:rFonts w:cs="Times New Roman"/>
          <w:lang w:val="fr-CA"/>
        </w:rPr>
        <w:t xml:space="preserve">, 2008 CSC 18, [2008] 1 R.C.S. 456; </w:t>
      </w:r>
      <w:r w:rsidRPr="003C2BF2">
        <w:rPr>
          <w:rFonts w:cs="Times New Roman"/>
          <w:i/>
          <w:lang w:val="fr-CA"/>
        </w:rPr>
        <w:t>R. c. A.M.</w:t>
      </w:r>
      <w:r w:rsidRPr="003C2BF2">
        <w:rPr>
          <w:rFonts w:cs="Times New Roman"/>
          <w:lang w:val="fr-CA"/>
        </w:rPr>
        <w:t>, 2008 CSC 19</w:t>
      </w:r>
      <w:r w:rsidR="007B3B80">
        <w:rPr>
          <w:rFonts w:cs="Times New Roman"/>
          <w:lang w:val="fr-CA"/>
        </w:rPr>
        <w:t>,</w:t>
      </w:r>
      <w:r w:rsidRPr="003C2BF2">
        <w:rPr>
          <w:rFonts w:cs="Times New Roman"/>
          <w:lang w:val="fr-CA"/>
        </w:rPr>
        <w:t xml:space="preserve"> [2008] 1 R.C.S. 569; </w:t>
      </w:r>
      <w:proofErr w:type="spellStart"/>
      <w:r w:rsidRPr="003C2BF2">
        <w:rPr>
          <w:rFonts w:cs="Times New Roman"/>
          <w:i/>
          <w:lang w:val="fr-CA"/>
        </w:rPr>
        <w:t>Chehil</w:t>
      </w:r>
      <w:proofErr w:type="spellEnd"/>
      <w:r w:rsidRPr="003C2BF2">
        <w:rPr>
          <w:rFonts w:cs="Times New Roman"/>
          <w:lang w:val="fr-CA"/>
        </w:rPr>
        <w:t xml:space="preserve">; </w:t>
      </w:r>
      <w:proofErr w:type="spellStart"/>
      <w:r w:rsidRPr="003C2BF2">
        <w:rPr>
          <w:rFonts w:cs="Times New Roman"/>
          <w:i/>
          <w:lang w:val="fr-CA"/>
        </w:rPr>
        <w:t>MacKenzie</w:t>
      </w:r>
      <w:proofErr w:type="spellEnd"/>
      <w:r w:rsidRPr="003C2BF2">
        <w:rPr>
          <w:rFonts w:cs="Times New Roman"/>
          <w:lang w:val="fr-CA"/>
        </w:rPr>
        <w:t>).</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Examinons deuxièmement le contexte historique ayant mené à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En reconnaissant un pouvoir de détention aux fins d</w:t>
      </w:r>
      <w:r>
        <w:rPr>
          <w:rFonts w:cs="Times New Roman"/>
          <w:lang w:val="fr-CA"/>
        </w:rPr>
        <w:t>’</w:t>
      </w:r>
      <w:r w:rsidRPr="003C2BF2">
        <w:rPr>
          <w:rFonts w:cs="Times New Roman"/>
          <w:lang w:val="fr-CA"/>
        </w:rPr>
        <w:t>enquête ainsi qu</w:t>
      </w:r>
      <w:r>
        <w:rPr>
          <w:rFonts w:cs="Times New Roman"/>
          <w:lang w:val="fr-CA"/>
        </w:rPr>
        <w:t>’</w:t>
      </w:r>
      <w:r w:rsidRPr="003C2BF2">
        <w:rPr>
          <w:rFonts w:cs="Times New Roman"/>
          <w:lang w:val="fr-CA"/>
        </w:rPr>
        <w:t xml:space="preserve">un pouvoir connexe de fouille préventive accessoire à la détention, la Cour dans </w:t>
      </w:r>
      <w:r w:rsidRPr="003C2BF2">
        <w:rPr>
          <w:rFonts w:cs="Times New Roman"/>
          <w:i/>
          <w:lang w:val="fr-CA"/>
        </w:rPr>
        <w:t xml:space="preserve">Mann </w:t>
      </w:r>
      <w:r w:rsidRPr="003C2BF2">
        <w:rPr>
          <w:rFonts w:cs="Times New Roman"/>
          <w:lang w:val="fr-CA"/>
        </w:rPr>
        <w:t>s</w:t>
      </w:r>
      <w:r>
        <w:rPr>
          <w:rFonts w:cs="Times New Roman"/>
          <w:lang w:val="fr-CA"/>
        </w:rPr>
        <w:t>’</w:t>
      </w:r>
      <w:r w:rsidRPr="003C2BF2">
        <w:rPr>
          <w:rFonts w:cs="Times New Roman"/>
          <w:lang w:val="fr-CA"/>
        </w:rPr>
        <w:t>appuie expressément sur l</w:t>
      </w:r>
      <w:r>
        <w:rPr>
          <w:rFonts w:cs="Times New Roman"/>
          <w:lang w:val="fr-CA"/>
        </w:rPr>
        <w:t>’</w:t>
      </w:r>
      <w:r w:rsidRPr="003C2BF2">
        <w:rPr>
          <w:rFonts w:cs="Times New Roman"/>
          <w:lang w:val="fr-CA"/>
        </w:rPr>
        <w:t xml:space="preserve">arrêt de principe </w:t>
      </w:r>
      <w:r w:rsidRPr="003C2BF2">
        <w:rPr>
          <w:rFonts w:cs="Times New Roman"/>
          <w:i/>
          <w:lang w:val="fr-CA"/>
        </w:rPr>
        <w:t>Terry c. Ohio</w:t>
      </w:r>
      <w:r w:rsidRPr="003C2BF2">
        <w:rPr>
          <w:rFonts w:cs="Times New Roman"/>
          <w:lang w:val="fr-CA"/>
        </w:rPr>
        <w:t xml:space="preserve">, 392 U.S. 1 (1968), rendu par la Cour suprême des </w:t>
      </w:r>
      <w:proofErr w:type="spellStart"/>
      <w:r w:rsidRPr="003C2BF2">
        <w:rPr>
          <w:rFonts w:cs="Times New Roman"/>
          <w:lang w:val="fr-CA"/>
        </w:rPr>
        <w:t>États</w:t>
      </w:r>
      <w:r w:rsidRPr="003C2BF2">
        <w:rPr>
          <w:rFonts w:cs="Times New Roman"/>
          <w:lang w:val="fr-CA"/>
        </w:rPr>
        <w:noBreakHyphen/>
        <w:t>Unis</w:t>
      </w:r>
      <w:proofErr w:type="spellEnd"/>
      <w:r w:rsidRPr="003C2BF2">
        <w:rPr>
          <w:rFonts w:cs="Times New Roman"/>
          <w:lang w:val="fr-CA"/>
        </w:rPr>
        <w:t>.  Fait important en l</w:t>
      </w:r>
      <w:r>
        <w:rPr>
          <w:rFonts w:cs="Times New Roman"/>
          <w:lang w:val="fr-CA"/>
        </w:rPr>
        <w:t>’</w:t>
      </w:r>
      <w:r w:rsidRPr="003C2BF2">
        <w:rPr>
          <w:rFonts w:cs="Times New Roman"/>
          <w:lang w:val="fr-CA"/>
        </w:rPr>
        <w:t>espèce, la Cour</w:t>
      </w:r>
      <w:r w:rsidRPr="003C2BF2">
        <w:rPr>
          <w:rFonts w:cs="Times New Roman"/>
          <w:i/>
          <w:lang w:val="fr-CA"/>
        </w:rPr>
        <w:t xml:space="preserve"> </w:t>
      </w:r>
      <w:r w:rsidRPr="003C2BF2">
        <w:rPr>
          <w:rFonts w:cs="Times New Roman"/>
          <w:lang w:val="fr-CA"/>
        </w:rPr>
        <w:t>cite l</w:t>
      </w:r>
      <w:r>
        <w:rPr>
          <w:rFonts w:cs="Times New Roman"/>
          <w:lang w:val="fr-CA"/>
        </w:rPr>
        <w:t>’</w:t>
      </w:r>
      <w:r w:rsidRPr="003C2BF2">
        <w:rPr>
          <w:rFonts w:cs="Times New Roman"/>
          <w:lang w:val="fr-CA"/>
        </w:rPr>
        <w:t>extrait suivant de cet arrêt (p. 27) en formulant la norme applicable à une fouille policière de sécurité :</w:t>
      </w:r>
    </w:p>
    <w:p w:rsidR="00BF4088" w:rsidRPr="003C2BF2" w:rsidRDefault="00BF4088" w:rsidP="00BF4088">
      <w:pPr>
        <w:pStyle w:val="Citation-AltC"/>
        <w:ind w:hanging="1166"/>
        <w:rPr>
          <w:lang w:val="fr-CA"/>
        </w:rPr>
      </w:pPr>
      <w:r w:rsidRPr="003C2BF2">
        <w:rPr>
          <w:lang w:val="fr-CA"/>
        </w:rPr>
        <w:tab/>
      </w:r>
      <w:r w:rsidR="001A7663">
        <w:rPr>
          <w:lang w:val="fr-CA"/>
        </w:rPr>
        <w:tab/>
      </w:r>
      <w:r w:rsidRPr="003C2BF2">
        <w:rPr>
          <w:lang w:val="fr-CA"/>
        </w:rPr>
        <w:t>[</w:t>
      </w:r>
      <w:r w:rsidRPr="003C2BF2">
        <w:rPr>
          <w:smallCaps/>
          <w:lang w:val="fr-CA"/>
        </w:rPr>
        <w:t>traduction</w:t>
      </w:r>
      <w:r w:rsidR="001A7663">
        <w:rPr>
          <w:lang w:val="fr-CA"/>
        </w:rPr>
        <w:t>]  . . . i</w:t>
      </w:r>
      <w:r w:rsidRPr="003C2BF2">
        <w:rPr>
          <w:lang w:val="fr-CA"/>
        </w:rPr>
        <w:t>l convient de reconnaître aux policiers un pouvoir étroitement circonscrit d</w:t>
      </w:r>
      <w:r>
        <w:rPr>
          <w:lang w:val="fr-CA"/>
        </w:rPr>
        <w:t>’</w:t>
      </w:r>
      <w:r w:rsidRPr="003C2BF2">
        <w:rPr>
          <w:lang w:val="fr-CA"/>
        </w:rPr>
        <w:t>assurer leur protection en procédant à une fouille non abusive pour vérifier la présence d</w:t>
      </w:r>
      <w:r>
        <w:rPr>
          <w:lang w:val="fr-CA"/>
        </w:rPr>
        <w:t>’</w:t>
      </w:r>
      <w:r w:rsidRPr="003C2BF2">
        <w:rPr>
          <w:lang w:val="fr-CA"/>
        </w:rPr>
        <w:t>armes, lorsqu</w:t>
      </w:r>
      <w:r>
        <w:rPr>
          <w:lang w:val="fr-CA"/>
        </w:rPr>
        <w:t>’</w:t>
      </w:r>
      <w:r w:rsidRPr="003C2BF2">
        <w:rPr>
          <w:lang w:val="fr-CA"/>
        </w:rPr>
        <w:t xml:space="preserve">ils ont des </w:t>
      </w:r>
      <w:r w:rsidRPr="003C2BF2">
        <w:rPr>
          <w:u w:val="single"/>
          <w:lang w:val="fr-CA"/>
        </w:rPr>
        <w:t>raisons de croire</w:t>
      </w:r>
      <w:r w:rsidRPr="003C2BF2">
        <w:rPr>
          <w:lang w:val="fr-CA"/>
        </w:rPr>
        <w:t xml:space="preserve"> qu</w:t>
      </w:r>
      <w:r>
        <w:rPr>
          <w:lang w:val="fr-CA"/>
        </w:rPr>
        <w:t>’</w:t>
      </w:r>
      <w:r w:rsidRPr="003C2BF2">
        <w:rPr>
          <w:lang w:val="fr-CA"/>
        </w:rPr>
        <w:t>ils sont en présence d</w:t>
      </w:r>
      <w:r>
        <w:rPr>
          <w:lang w:val="fr-CA"/>
        </w:rPr>
        <w:t>’</w:t>
      </w:r>
      <w:r w:rsidRPr="003C2BF2">
        <w:rPr>
          <w:lang w:val="fr-CA"/>
        </w:rPr>
        <w:t xml:space="preserve">un individu armé et dangereux, </w:t>
      </w:r>
      <w:r w:rsidRPr="003C2BF2">
        <w:rPr>
          <w:u w:val="single"/>
          <w:lang w:val="fr-CA"/>
        </w:rPr>
        <w:t>peu importe qu</w:t>
      </w:r>
      <w:r>
        <w:rPr>
          <w:u w:val="single"/>
          <w:lang w:val="fr-CA"/>
        </w:rPr>
        <w:t>’</w:t>
      </w:r>
      <w:r w:rsidRPr="003C2BF2">
        <w:rPr>
          <w:u w:val="single"/>
          <w:lang w:val="fr-CA"/>
        </w:rPr>
        <w:t>ils possèdent ou non des motifs probables d</w:t>
      </w:r>
      <w:r>
        <w:rPr>
          <w:u w:val="single"/>
          <w:lang w:val="fr-CA"/>
        </w:rPr>
        <w:t>’</w:t>
      </w:r>
      <w:r w:rsidRPr="003C2BF2">
        <w:rPr>
          <w:u w:val="single"/>
          <w:lang w:val="fr-CA"/>
        </w:rPr>
        <w:t>arrêter l</w:t>
      </w:r>
      <w:r>
        <w:rPr>
          <w:u w:val="single"/>
          <w:lang w:val="fr-CA"/>
        </w:rPr>
        <w:t>’</w:t>
      </w:r>
      <w:r w:rsidRPr="003C2BF2">
        <w:rPr>
          <w:u w:val="single"/>
          <w:lang w:val="fr-CA"/>
        </w:rPr>
        <w:t>individu relativement à la commission d</w:t>
      </w:r>
      <w:r>
        <w:rPr>
          <w:u w:val="single"/>
          <w:lang w:val="fr-CA"/>
        </w:rPr>
        <w:t>’</w:t>
      </w:r>
      <w:r w:rsidRPr="003C2BF2">
        <w:rPr>
          <w:u w:val="single"/>
          <w:lang w:val="fr-CA"/>
        </w:rPr>
        <w:t>un crime</w:t>
      </w:r>
      <w:r w:rsidRPr="003C2BF2">
        <w:rPr>
          <w:lang w:val="fr-CA"/>
        </w:rPr>
        <w:t>.  [Nous soulignons; par. 41.]</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lastRenderedPageBreak/>
        <w:t>Comme l</w:t>
      </w:r>
      <w:r>
        <w:rPr>
          <w:rFonts w:cs="Times New Roman"/>
          <w:lang w:val="fr-CA"/>
        </w:rPr>
        <w:t>’</w:t>
      </w:r>
      <w:r w:rsidRPr="003C2BF2">
        <w:rPr>
          <w:rFonts w:cs="Times New Roman"/>
          <w:lang w:val="fr-CA"/>
        </w:rPr>
        <w:t xml:space="preserve">indique clairement cet extrait, le juge en chef Warren fait une distinction claire entre la norme établie dans </w:t>
      </w:r>
      <w:r w:rsidRPr="003C2BF2">
        <w:rPr>
          <w:rFonts w:cs="Times New Roman"/>
          <w:i/>
          <w:lang w:val="fr-CA"/>
        </w:rPr>
        <w:t xml:space="preserve">Terry </w:t>
      </w:r>
      <w:r w:rsidRPr="003C2BF2">
        <w:rPr>
          <w:rFonts w:cs="Times New Roman"/>
          <w:lang w:val="fr-CA"/>
        </w:rPr>
        <w:t>et celle des [</w:t>
      </w:r>
      <w:r w:rsidRPr="003C2BF2">
        <w:rPr>
          <w:rFonts w:cs="Times New Roman"/>
          <w:smallCaps/>
          <w:lang w:val="fr-CA"/>
        </w:rPr>
        <w:t>traduction</w:t>
      </w:r>
      <w:r w:rsidRPr="003C2BF2">
        <w:rPr>
          <w:rFonts w:cs="Times New Roman"/>
          <w:lang w:val="fr-CA"/>
        </w:rPr>
        <w:t>] « motifs probables » — l</w:t>
      </w:r>
      <w:r>
        <w:rPr>
          <w:rFonts w:cs="Times New Roman"/>
          <w:lang w:val="fr-CA"/>
        </w:rPr>
        <w:t>’</w:t>
      </w:r>
      <w:r w:rsidRPr="003C2BF2">
        <w:rPr>
          <w:rFonts w:cs="Times New Roman"/>
          <w:lang w:val="fr-CA"/>
        </w:rPr>
        <w:t>équivalent de notre norme des motifs raisonnables et probables — traditionnellement utilisée pour les arrestations.  Or, bien qu</w:t>
      </w:r>
      <w:r>
        <w:rPr>
          <w:rFonts w:cs="Times New Roman"/>
          <w:lang w:val="fr-CA"/>
        </w:rPr>
        <w:t>’</w:t>
      </w:r>
      <w:r w:rsidRPr="003C2BF2">
        <w:rPr>
          <w:rFonts w:cs="Times New Roman"/>
          <w:lang w:val="fr-CA"/>
        </w:rPr>
        <w:t>il n</w:t>
      </w:r>
      <w:r>
        <w:rPr>
          <w:rFonts w:cs="Times New Roman"/>
          <w:lang w:val="fr-CA"/>
        </w:rPr>
        <w:t>’</w:t>
      </w:r>
      <w:r w:rsidRPr="003C2BF2">
        <w:rPr>
          <w:rFonts w:cs="Times New Roman"/>
          <w:lang w:val="fr-CA"/>
        </w:rPr>
        <w:t xml:space="preserve">y ait jamais eu de débat sérieux sur le sens à donner à </w:t>
      </w:r>
      <w:r w:rsidRPr="003C2BF2">
        <w:rPr>
          <w:rFonts w:cs="Times New Roman"/>
          <w:i/>
          <w:lang w:val="fr-CA"/>
        </w:rPr>
        <w:t>Terry</w:t>
      </w:r>
      <w:r w:rsidRPr="003C2BF2">
        <w:rPr>
          <w:rFonts w:cs="Times New Roman"/>
          <w:lang w:val="fr-CA"/>
        </w:rPr>
        <w:t>, son libellé, en ce qui concerne les « raisons de croire », risque de [</w:t>
      </w:r>
      <w:r w:rsidRPr="003C2BF2">
        <w:rPr>
          <w:rFonts w:cs="Times New Roman"/>
          <w:smallCaps/>
          <w:lang w:val="fr-CA"/>
        </w:rPr>
        <w:t>traduction</w:t>
      </w:r>
      <w:r w:rsidRPr="003C2BF2">
        <w:rPr>
          <w:rFonts w:cs="Times New Roman"/>
          <w:lang w:val="fr-CA"/>
        </w:rPr>
        <w:t>] « </w:t>
      </w:r>
      <w:proofErr w:type="spellStart"/>
      <w:r w:rsidRPr="003C2BF2">
        <w:rPr>
          <w:rFonts w:cs="Times New Roman"/>
          <w:lang w:val="fr-CA"/>
        </w:rPr>
        <w:t>cré</w:t>
      </w:r>
      <w:proofErr w:type="spellEnd"/>
      <w:r w:rsidRPr="003C2BF2">
        <w:rPr>
          <w:rFonts w:cs="Times New Roman"/>
          <w:lang w:val="fr-CA"/>
        </w:rPr>
        <w:t>[er] de la confusion et [d</w:t>
      </w:r>
      <w:r>
        <w:rPr>
          <w:rFonts w:cs="Times New Roman"/>
          <w:lang w:val="fr-CA"/>
        </w:rPr>
        <w:t>’</w:t>
      </w:r>
      <w:r w:rsidRPr="003C2BF2">
        <w:rPr>
          <w:rFonts w:cs="Times New Roman"/>
          <w:lang w:val="fr-CA"/>
        </w:rPr>
        <w:t>être] contradictoire », parce qu</w:t>
      </w:r>
      <w:r>
        <w:rPr>
          <w:rFonts w:cs="Times New Roman"/>
          <w:lang w:val="fr-CA"/>
        </w:rPr>
        <w:t>’</w:t>
      </w:r>
      <w:r w:rsidRPr="003C2BF2">
        <w:rPr>
          <w:rFonts w:cs="Times New Roman"/>
          <w:lang w:val="fr-CA"/>
        </w:rPr>
        <w:t>« il s</w:t>
      </w:r>
      <w:r>
        <w:rPr>
          <w:rFonts w:cs="Times New Roman"/>
          <w:lang w:val="fr-CA"/>
        </w:rPr>
        <w:t>’</w:t>
      </w:r>
      <w:r w:rsidRPr="003C2BF2">
        <w:rPr>
          <w:rFonts w:cs="Times New Roman"/>
          <w:lang w:val="fr-CA"/>
        </w:rPr>
        <w:t xml:space="preserve">agit précisément des termes utilisés à maintes reprises par la Cour [suprême des </w:t>
      </w:r>
      <w:proofErr w:type="spellStart"/>
      <w:r w:rsidRPr="003C2BF2">
        <w:rPr>
          <w:rFonts w:cs="Times New Roman"/>
          <w:lang w:val="fr-CA"/>
        </w:rPr>
        <w:t>États</w:t>
      </w:r>
      <w:r w:rsidRPr="003C2BF2">
        <w:rPr>
          <w:rFonts w:cs="Times New Roman"/>
          <w:lang w:val="fr-CA"/>
        </w:rPr>
        <w:noBreakHyphen/>
        <w:t>Unis</w:t>
      </w:r>
      <w:proofErr w:type="spellEnd"/>
      <w:r w:rsidRPr="003C2BF2">
        <w:rPr>
          <w:rFonts w:cs="Times New Roman"/>
          <w:lang w:val="fr-CA"/>
        </w:rPr>
        <w:t>] pour définir les motifs probables exigés pour procéder à une arrestation » (W. R. </w:t>
      </w:r>
      <w:proofErr w:type="spellStart"/>
      <w:r w:rsidRPr="003C2BF2">
        <w:rPr>
          <w:rFonts w:cs="Times New Roman"/>
          <w:lang w:val="fr-CA"/>
        </w:rPr>
        <w:t>LaFave</w:t>
      </w:r>
      <w:proofErr w:type="spellEnd"/>
      <w:r w:rsidRPr="003C2BF2">
        <w:rPr>
          <w:rFonts w:cs="Times New Roman"/>
          <w:lang w:val="fr-CA"/>
        </w:rPr>
        <w:t xml:space="preserve">, </w:t>
      </w:r>
      <w:proofErr w:type="spellStart"/>
      <w:r w:rsidRPr="003C2BF2">
        <w:rPr>
          <w:rFonts w:cs="Times New Roman"/>
          <w:i/>
          <w:lang w:val="fr-CA"/>
        </w:rPr>
        <w:t>Search</w:t>
      </w:r>
      <w:proofErr w:type="spellEnd"/>
      <w:r w:rsidRPr="003C2BF2">
        <w:rPr>
          <w:rFonts w:cs="Times New Roman"/>
          <w:i/>
          <w:lang w:val="fr-CA"/>
        </w:rPr>
        <w:t xml:space="preserve"> and </w:t>
      </w:r>
      <w:proofErr w:type="spellStart"/>
      <w:r w:rsidRPr="003C2BF2">
        <w:rPr>
          <w:rFonts w:cs="Times New Roman"/>
          <w:i/>
          <w:lang w:val="fr-CA"/>
        </w:rPr>
        <w:t>Seizure</w:t>
      </w:r>
      <w:proofErr w:type="spellEnd"/>
      <w:r w:rsidR="00F07580">
        <w:rPr>
          <w:rFonts w:cs="Times New Roman"/>
          <w:i/>
          <w:lang w:val="fr-CA"/>
        </w:rPr>
        <w:t> </w:t>
      </w:r>
      <w:r w:rsidRPr="003C2BF2">
        <w:rPr>
          <w:rFonts w:cs="Times New Roman"/>
          <w:i/>
          <w:lang w:val="fr-CA"/>
        </w:rPr>
        <w:t xml:space="preserve">: A </w:t>
      </w:r>
      <w:proofErr w:type="spellStart"/>
      <w:r w:rsidRPr="003C2BF2">
        <w:rPr>
          <w:rFonts w:cs="Times New Roman"/>
          <w:i/>
          <w:lang w:val="fr-CA"/>
        </w:rPr>
        <w:t>Treatise</w:t>
      </w:r>
      <w:proofErr w:type="spellEnd"/>
      <w:r w:rsidRPr="003C2BF2">
        <w:rPr>
          <w:rFonts w:cs="Times New Roman"/>
          <w:i/>
          <w:lang w:val="fr-CA"/>
        </w:rPr>
        <w:t xml:space="preserve"> on the </w:t>
      </w:r>
      <w:proofErr w:type="spellStart"/>
      <w:r w:rsidRPr="003C2BF2">
        <w:rPr>
          <w:rFonts w:cs="Times New Roman"/>
          <w:i/>
          <w:lang w:val="fr-CA"/>
        </w:rPr>
        <w:t>Fourth</w:t>
      </w:r>
      <w:proofErr w:type="spellEnd"/>
      <w:r w:rsidRPr="003C2BF2">
        <w:rPr>
          <w:rFonts w:cs="Times New Roman"/>
          <w:i/>
          <w:lang w:val="fr-CA"/>
        </w:rPr>
        <w:t xml:space="preserve"> </w:t>
      </w:r>
      <w:proofErr w:type="spellStart"/>
      <w:r w:rsidRPr="003C2BF2">
        <w:rPr>
          <w:rFonts w:cs="Times New Roman"/>
          <w:i/>
          <w:lang w:val="fr-CA"/>
        </w:rPr>
        <w:t>Amendment</w:t>
      </w:r>
      <w:proofErr w:type="spellEnd"/>
      <w:r w:rsidRPr="003C2BF2">
        <w:rPr>
          <w:rFonts w:cs="Times New Roman"/>
          <w:i/>
          <w:lang w:val="fr-CA"/>
        </w:rPr>
        <w:t xml:space="preserve"> </w:t>
      </w:r>
      <w:r w:rsidRPr="003C2BF2">
        <w:rPr>
          <w:rFonts w:cs="Times New Roman"/>
          <w:lang w:val="fr-CA"/>
        </w:rPr>
        <w:t>(5</w:t>
      </w:r>
      <w:r w:rsidRPr="003C2BF2">
        <w:rPr>
          <w:rFonts w:cs="Times New Roman"/>
          <w:vertAlign w:val="superscript"/>
          <w:lang w:val="fr-CA"/>
        </w:rPr>
        <w:t>e</w:t>
      </w:r>
      <w:r w:rsidRPr="003C2BF2">
        <w:rPr>
          <w:rFonts w:cs="Times New Roman"/>
          <w:lang w:val="fr-CA"/>
        </w:rPr>
        <w:t> éd. 2012), vol. 4, §9.6(a)).  Comme nos collègues américains l</w:t>
      </w:r>
      <w:r>
        <w:rPr>
          <w:rFonts w:cs="Times New Roman"/>
          <w:lang w:val="fr-CA"/>
        </w:rPr>
        <w:t>’</w:t>
      </w:r>
      <w:r w:rsidRPr="003C2BF2">
        <w:rPr>
          <w:rFonts w:cs="Times New Roman"/>
          <w:lang w:val="fr-CA"/>
        </w:rPr>
        <w:t>ont cependant tout récemment affirmé relativement à cet arrêt, [</w:t>
      </w:r>
      <w:r w:rsidRPr="003C2BF2">
        <w:rPr>
          <w:rFonts w:cs="Times New Roman"/>
          <w:smallCaps/>
          <w:lang w:val="fr-CA"/>
        </w:rPr>
        <w:t>traduction</w:t>
      </w:r>
      <w:r w:rsidRPr="003C2BF2">
        <w:rPr>
          <w:rFonts w:cs="Times New Roman"/>
          <w:lang w:val="fr-CA"/>
        </w:rPr>
        <w:t xml:space="preserve">] « les policiers doivent </w:t>
      </w:r>
      <w:r w:rsidRPr="003C2BF2">
        <w:rPr>
          <w:rFonts w:cs="Times New Roman"/>
          <w:u w:val="single"/>
          <w:lang w:val="fr-CA"/>
        </w:rPr>
        <w:t>raisonnablement soupçonner</w:t>
      </w:r>
      <w:r w:rsidRPr="003C2BF2">
        <w:rPr>
          <w:rFonts w:cs="Times New Roman"/>
          <w:lang w:val="fr-CA"/>
        </w:rPr>
        <w:t xml:space="preserve"> que la personne [. . .] est armée et dangereuse » (</w:t>
      </w:r>
      <w:r w:rsidRPr="003C2BF2">
        <w:rPr>
          <w:rFonts w:cs="Times New Roman"/>
          <w:i/>
          <w:lang w:val="fr-CA"/>
        </w:rPr>
        <w:t>Arizona c. Johnson</w:t>
      </w:r>
      <w:r w:rsidRPr="003C2BF2">
        <w:rPr>
          <w:rFonts w:cs="Times New Roman"/>
          <w:lang w:val="fr-CA"/>
        </w:rPr>
        <w:t>, 129 S. Ct. 781 (2009), p. 784 (nous soulignons)).  Il est certes ironique, donc, qu</w:t>
      </w:r>
      <w:r>
        <w:rPr>
          <w:rFonts w:cs="Times New Roman"/>
          <w:lang w:val="fr-CA"/>
        </w:rPr>
        <w:t>’</w:t>
      </w:r>
      <w:r w:rsidRPr="003C2BF2">
        <w:rPr>
          <w:rFonts w:cs="Times New Roman"/>
          <w:lang w:val="fr-CA"/>
        </w:rPr>
        <w:t xml:space="preserve">en citant </w:t>
      </w:r>
      <w:r w:rsidRPr="003C2BF2">
        <w:rPr>
          <w:rFonts w:cs="Times New Roman"/>
          <w:i/>
          <w:lang w:val="fr-CA"/>
        </w:rPr>
        <w:t>Terry</w:t>
      </w:r>
      <w:r w:rsidRPr="003C2BF2">
        <w:rPr>
          <w:rFonts w:cs="Times New Roman"/>
          <w:lang w:val="fr-CA"/>
        </w:rPr>
        <w:t xml:space="preserve">, la Cour dans </w:t>
      </w:r>
      <w:r w:rsidRPr="003C2BF2">
        <w:rPr>
          <w:rFonts w:cs="Times New Roman"/>
          <w:i/>
          <w:lang w:val="fr-CA"/>
        </w:rPr>
        <w:t>Mann</w:t>
      </w:r>
      <w:r w:rsidRPr="003C2BF2">
        <w:rPr>
          <w:rFonts w:cs="Times New Roman"/>
          <w:lang w:val="fr-CA"/>
        </w:rPr>
        <w:t xml:space="preserve"> ait introduit par inadvertance la même confusion et la même contradiction au Canada.</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Passons maintenant au troisième point.  Jusqu</w:t>
      </w:r>
      <w:r>
        <w:rPr>
          <w:rFonts w:cs="Times New Roman"/>
          <w:lang w:val="fr-CA"/>
        </w:rPr>
        <w:t>’</w:t>
      </w:r>
      <w:r w:rsidRPr="003C2BF2">
        <w:rPr>
          <w:rFonts w:cs="Times New Roman"/>
          <w:lang w:val="fr-CA"/>
        </w:rPr>
        <w:t>à ce jour, on pensait que les tribunaux, dont la Cour, avaient dissipé cette confusion par leur interprétation et leur application de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xml:space="preserve">.  Plus particulièrement, dans </w:t>
      </w:r>
      <w:r w:rsidRPr="003C2BF2">
        <w:rPr>
          <w:rFonts w:cs="Times New Roman"/>
          <w:i/>
          <w:lang w:val="fr-CA"/>
        </w:rPr>
        <w:t>R. c. Clayton</w:t>
      </w:r>
      <w:r w:rsidRPr="003C2BF2">
        <w:rPr>
          <w:rFonts w:cs="Times New Roman"/>
          <w:lang w:val="fr-CA"/>
        </w:rPr>
        <w:t>, 2007 CSC 32, [2007] 2 R.C.S. 725, la juge Abella a expliqué que les policiers avaient détenu les deux accusés en raison d</w:t>
      </w:r>
      <w:r>
        <w:rPr>
          <w:rFonts w:cs="Times New Roman"/>
          <w:lang w:val="fr-CA"/>
        </w:rPr>
        <w:t>’</w:t>
      </w:r>
      <w:r w:rsidRPr="003C2BF2">
        <w:rPr>
          <w:rFonts w:cs="Times New Roman"/>
          <w:lang w:val="fr-CA"/>
        </w:rPr>
        <w:t xml:space="preserve">un « soupçon raisonnable » que </w:t>
      </w:r>
      <w:proofErr w:type="spellStart"/>
      <w:r w:rsidRPr="003C2BF2">
        <w:rPr>
          <w:rFonts w:cs="Times New Roman"/>
          <w:lang w:val="fr-CA"/>
        </w:rPr>
        <w:t>ceux</w:t>
      </w:r>
      <w:r w:rsidRPr="003C2BF2">
        <w:rPr>
          <w:rFonts w:cs="Times New Roman"/>
          <w:lang w:val="fr-CA"/>
        </w:rPr>
        <w:noBreakHyphen/>
        <w:t>ci</w:t>
      </w:r>
      <w:proofErr w:type="spellEnd"/>
      <w:r w:rsidRPr="003C2BF2">
        <w:rPr>
          <w:rFonts w:cs="Times New Roman"/>
          <w:lang w:val="fr-CA"/>
        </w:rPr>
        <w:t xml:space="preserve"> aient des armes à feu en leur possession et « partant, que la vie des policiers et des citoyens [était] menacée » (par. 46).  Ce souci d</w:t>
      </w:r>
      <w:r>
        <w:rPr>
          <w:rFonts w:cs="Times New Roman"/>
          <w:lang w:val="fr-CA"/>
        </w:rPr>
        <w:t>’</w:t>
      </w:r>
      <w:r w:rsidRPr="003C2BF2">
        <w:rPr>
          <w:rFonts w:cs="Times New Roman"/>
          <w:lang w:val="fr-CA"/>
        </w:rPr>
        <w:t xml:space="preserve">assurer leur propre sécurité justifiait — à lui seul — les policiers de fouiller les accusés accessoirement à la détention (par. 48).  </w:t>
      </w:r>
      <w:r w:rsidRPr="003C2BF2">
        <w:rPr>
          <w:rFonts w:cs="Times New Roman"/>
          <w:lang w:val="fr-CA"/>
        </w:rPr>
        <w:lastRenderedPageBreak/>
        <w:t>Autrement dit, les policiers avaient le pouvoir de procéder à une fouille de sécurité peu envahissante parce qu</w:t>
      </w:r>
      <w:r>
        <w:rPr>
          <w:rFonts w:cs="Times New Roman"/>
          <w:lang w:val="fr-CA"/>
        </w:rPr>
        <w:t>’</w:t>
      </w:r>
      <w:r w:rsidRPr="003C2BF2">
        <w:rPr>
          <w:rFonts w:cs="Times New Roman"/>
          <w:lang w:val="fr-CA"/>
        </w:rPr>
        <w:t>ils avaient des motifs de soupçonner que les accusés soient armés et dangereux.</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Outre l</w:t>
      </w:r>
      <w:r>
        <w:rPr>
          <w:rFonts w:cs="Times New Roman"/>
          <w:lang w:val="fr-CA"/>
        </w:rPr>
        <w:t>’</w:t>
      </w:r>
      <w:r w:rsidRPr="003C2BF2">
        <w:rPr>
          <w:rFonts w:cs="Times New Roman"/>
          <w:lang w:val="fr-CA"/>
        </w:rPr>
        <w:t xml:space="preserve">arrêt </w:t>
      </w:r>
      <w:r w:rsidRPr="003C2BF2">
        <w:rPr>
          <w:rFonts w:cs="Times New Roman"/>
          <w:i/>
          <w:lang w:val="fr-CA"/>
        </w:rPr>
        <w:t>Clayton</w:t>
      </w:r>
      <w:r w:rsidRPr="003C2BF2">
        <w:rPr>
          <w:rFonts w:cs="Times New Roman"/>
          <w:lang w:val="fr-CA"/>
        </w:rPr>
        <w:t>, la Cour a affirmé au moins à trois occasions distinctes, quoique dans des remarques incidentes, que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autorisait une fouille préventive effectuée accessoirement à une détention aux fins d</w:t>
      </w:r>
      <w:r>
        <w:rPr>
          <w:rFonts w:cs="Times New Roman"/>
          <w:lang w:val="fr-CA"/>
        </w:rPr>
        <w:t>’</w:t>
      </w:r>
      <w:r w:rsidRPr="003C2BF2">
        <w:rPr>
          <w:rFonts w:cs="Times New Roman"/>
          <w:lang w:val="fr-CA"/>
        </w:rPr>
        <w:t xml:space="preserve">enquête en cas de soupçons raisonnables.  </w:t>
      </w:r>
      <w:r w:rsidR="00F07580">
        <w:rPr>
          <w:rFonts w:cs="Times New Roman"/>
          <w:lang w:val="fr-CA"/>
        </w:rPr>
        <w:t>D’abord</w:t>
      </w:r>
      <w:r w:rsidRPr="003C2BF2">
        <w:rPr>
          <w:rFonts w:cs="Times New Roman"/>
          <w:lang w:val="fr-CA"/>
        </w:rPr>
        <w:t>, s</w:t>
      </w:r>
      <w:r>
        <w:rPr>
          <w:rFonts w:cs="Times New Roman"/>
          <w:lang w:val="fr-CA"/>
        </w:rPr>
        <w:t>’</w:t>
      </w:r>
      <w:r w:rsidRPr="003C2BF2">
        <w:rPr>
          <w:rFonts w:cs="Times New Roman"/>
          <w:lang w:val="fr-CA"/>
        </w:rPr>
        <w:t xml:space="preserve">exprimant en son nom et en celui de la Juge en chef dans </w:t>
      </w:r>
      <w:proofErr w:type="spellStart"/>
      <w:r w:rsidRPr="003C2BF2">
        <w:rPr>
          <w:rFonts w:cs="Times New Roman"/>
          <w:i/>
          <w:lang w:val="fr-CA"/>
        </w:rPr>
        <w:t>Kang</w:t>
      </w:r>
      <w:r w:rsidRPr="003C2BF2">
        <w:rPr>
          <w:rFonts w:cs="Times New Roman"/>
          <w:i/>
          <w:lang w:val="fr-CA"/>
        </w:rPr>
        <w:noBreakHyphen/>
        <w:t>Brown</w:t>
      </w:r>
      <w:proofErr w:type="spellEnd"/>
      <w:r w:rsidRPr="003C2BF2">
        <w:rPr>
          <w:rFonts w:cs="Times New Roman"/>
          <w:lang w:val="fr-CA"/>
        </w:rPr>
        <w:t xml:space="preserve">, le juge </w:t>
      </w:r>
      <w:proofErr w:type="spellStart"/>
      <w:r w:rsidRPr="003C2BF2">
        <w:rPr>
          <w:rFonts w:cs="Times New Roman"/>
          <w:lang w:val="fr-CA"/>
        </w:rPr>
        <w:t>Binnie</w:t>
      </w:r>
      <w:proofErr w:type="spellEnd"/>
      <w:r w:rsidRPr="003C2BF2">
        <w:rPr>
          <w:rFonts w:cs="Times New Roman"/>
          <w:lang w:val="fr-CA"/>
        </w:rPr>
        <w:t xml:space="preserve"> a mentionné « la décision de la Cour, dans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d</w:t>
      </w:r>
      <w:r>
        <w:rPr>
          <w:rFonts w:cs="Times New Roman"/>
          <w:lang w:val="fr-CA"/>
        </w:rPr>
        <w:t>’</w:t>
      </w:r>
      <w:r w:rsidRPr="003C2BF2">
        <w:rPr>
          <w:rFonts w:cs="Times New Roman"/>
          <w:lang w:val="fr-CA"/>
        </w:rPr>
        <w:t xml:space="preserve">abaisser la norme applicable en la faisant passer de la norme des motifs raisonnables et probables </w:t>
      </w:r>
      <w:r w:rsidRPr="003C2BF2">
        <w:rPr>
          <w:rFonts w:cs="Times New Roman"/>
          <w:u w:val="single"/>
          <w:lang w:val="fr-CA"/>
        </w:rPr>
        <w:t>à celle des soupçons raisonnables</w:t>
      </w:r>
      <w:r w:rsidRPr="003C2BF2">
        <w:rPr>
          <w:rFonts w:cs="Times New Roman"/>
          <w:lang w:val="fr-CA"/>
        </w:rPr>
        <w:t xml:space="preserve"> dans le cas d</w:t>
      </w:r>
      <w:r>
        <w:rPr>
          <w:rFonts w:cs="Times New Roman"/>
          <w:lang w:val="fr-CA"/>
        </w:rPr>
        <w:t>’</w:t>
      </w:r>
      <w:r w:rsidRPr="003C2BF2">
        <w:rPr>
          <w:rFonts w:cs="Times New Roman"/>
          <w:lang w:val="fr-CA"/>
        </w:rPr>
        <w:t xml:space="preserve">une </w:t>
      </w:r>
      <w:r w:rsidRPr="003C2BF2">
        <w:rPr>
          <w:rFonts w:cs="Times New Roman"/>
          <w:u w:val="single"/>
          <w:lang w:val="fr-CA"/>
        </w:rPr>
        <w:t>fouille sans mandat</w:t>
      </w:r>
      <w:r w:rsidRPr="003C2BF2">
        <w:rPr>
          <w:rFonts w:cs="Times New Roman"/>
          <w:lang w:val="fr-CA"/>
        </w:rPr>
        <w:t xml:space="preserve"> » (par. 62 (nous soulignons)).  Dans </w:t>
      </w:r>
      <w:r w:rsidRPr="003C2BF2">
        <w:rPr>
          <w:rFonts w:cs="Times New Roman"/>
          <w:i/>
          <w:lang w:val="fr-CA"/>
        </w:rPr>
        <w:t>R. c.</w:t>
      </w:r>
      <w:r w:rsidRPr="003C2BF2">
        <w:rPr>
          <w:rFonts w:cs="Times New Roman"/>
          <w:lang w:val="fr-CA"/>
        </w:rPr>
        <w:t xml:space="preserve"> </w:t>
      </w:r>
      <w:r w:rsidRPr="003C2BF2">
        <w:rPr>
          <w:rFonts w:cs="Times New Roman"/>
          <w:i/>
          <w:lang w:val="fr-CA"/>
        </w:rPr>
        <w:t>Aucoin</w:t>
      </w:r>
      <w:r w:rsidRPr="003C2BF2">
        <w:rPr>
          <w:rFonts w:cs="Times New Roman"/>
          <w:lang w:val="fr-CA"/>
        </w:rPr>
        <w:t>, 2012 CSC 66, [2012] 3 R.C.S. 408, par. 44, note 3, les juges majoritaires ont expressément refusé de souscrire à l</w:t>
      </w:r>
      <w:r>
        <w:rPr>
          <w:rFonts w:cs="Times New Roman"/>
          <w:lang w:val="fr-CA"/>
        </w:rPr>
        <w:t>’</w:t>
      </w:r>
      <w:r w:rsidRPr="003C2BF2">
        <w:rPr>
          <w:rFonts w:cs="Times New Roman"/>
          <w:lang w:val="fr-CA"/>
        </w:rPr>
        <w:t>affirmation des juges minoritaires selon laquelle les fouilles par palpation commandent, suivant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l</w:t>
      </w:r>
      <w:r>
        <w:rPr>
          <w:rFonts w:cs="Times New Roman"/>
          <w:lang w:val="fr-CA"/>
        </w:rPr>
        <w:t>’</w:t>
      </w:r>
      <w:r w:rsidRPr="003C2BF2">
        <w:rPr>
          <w:rFonts w:cs="Times New Roman"/>
          <w:lang w:val="fr-CA"/>
        </w:rPr>
        <w:t>application d</w:t>
      </w:r>
      <w:r>
        <w:rPr>
          <w:rFonts w:cs="Times New Roman"/>
          <w:lang w:val="fr-CA"/>
        </w:rPr>
        <w:t>’</w:t>
      </w:r>
      <w:r w:rsidRPr="003C2BF2">
        <w:rPr>
          <w:rFonts w:cs="Times New Roman"/>
          <w:lang w:val="fr-CA"/>
        </w:rPr>
        <w:t>une norme fondée sur des motifs raisonnables et probables.  Et, finalement, il y a quelques mois à peine — dans une opinion à laquelle se rallient tous les juges formant la majorité d</w:t>
      </w:r>
      <w:r>
        <w:rPr>
          <w:rFonts w:cs="Times New Roman"/>
          <w:lang w:val="fr-CA"/>
        </w:rPr>
        <w:t>’</w:t>
      </w:r>
      <w:r w:rsidRPr="003C2BF2">
        <w:rPr>
          <w:rFonts w:cs="Times New Roman"/>
          <w:lang w:val="fr-CA"/>
        </w:rPr>
        <w:t>aujourd</w:t>
      </w:r>
      <w:r>
        <w:rPr>
          <w:rFonts w:cs="Times New Roman"/>
          <w:lang w:val="fr-CA"/>
        </w:rPr>
        <w:t>’</w:t>
      </w:r>
      <w:r w:rsidRPr="003C2BF2">
        <w:rPr>
          <w:rFonts w:cs="Times New Roman"/>
          <w:lang w:val="fr-CA"/>
        </w:rPr>
        <w:t>hui — nous avons souligné que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 xml:space="preserve">autorisait </w:t>
      </w:r>
      <w:r w:rsidR="00F07580">
        <w:rPr>
          <w:rFonts w:cs="Times New Roman"/>
          <w:lang w:val="fr-CA"/>
        </w:rPr>
        <w:t xml:space="preserve">la </w:t>
      </w:r>
      <w:r w:rsidRPr="003C2BF2">
        <w:rPr>
          <w:rFonts w:cs="Times New Roman"/>
          <w:lang w:val="fr-CA"/>
        </w:rPr>
        <w:t>« fouille limitée accessoire à une détention aux fins d</w:t>
      </w:r>
      <w:r>
        <w:rPr>
          <w:rFonts w:cs="Times New Roman"/>
          <w:lang w:val="fr-CA"/>
        </w:rPr>
        <w:t>’</w:t>
      </w:r>
      <w:r w:rsidRPr="003C2BF2">
        <w:rPr>
          <w:rFonts w:cs="Times New Roman"/>
          <w:lang w:val="fr-CA"/>
        </w:rPr>
        <w:t>enquête » fondée sur des « soupçons raisonnables » (</w:t>
      </w:r>
      <w:proofErr w:type="spellStart"/>
      <w:r w:rsidRPr="003C2BF2">
        <w:rPr>
          <w:rFonts w:cs="Times New Roman"/>
          <w:i/>
          <w:lang w:val="fr-CA"/>
        </w:rPr>
        <w:t>Chehil</w:t>
      </w:r>
      <w:proofErr w:type="spellEnd"/>
      <w:r w:rsidRPr="003C2BF2">
        <w:rPr>
          <w:rFonts w:cs="Times New Roman"/>
          <w:lang w:val="fr-CA"/>
        </w:rPr>
        <w:t>, par. 22, note 1).  Avec égards, les juges majoritaires n</w:t>
      </w:r>
      <w:r>
        <w:rPr>
          <w:rFonts w:cs="Times New Roman"/>
          <w:lang w:val="fr-CA"/>
        </w:rPr>
        <w:t>’</w:t>
      </w:r>
      <w:r w:rsidRPr="003C2BF2">
        <w:rPr>
          <w:rFonts w:cs="Times New Roman"/>
          <w:lang w:val="fr-CA"/>
        </w:rPr>
        <w:t xml:space="preserve">expliquent pas en quoi ces commentaires sont erronés.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De surcroît, des tribunaux inférieurs se sont fondés sur notre jurisprudence et ont, comme on pouvait s</w:t>
      </w:r>
      <w:r>
        <w:rPr>
          <w:rFonts w:cs="Times New Roman"/>
          <w:lang w:val="fr-CA"/>
        </w:rPr>
        <w:t>’</w:t>
      </w:r>
      <w:r w:rsidRPr="003C2BF2">
        <w:rPr>
          <w:rFonts w:cs="Times New Roman"/>
          <w:lang w:val="fr-CA"/>
        </w:rPr>
        <w:t>y attendre, conclu que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xml:space="preserve"> avait </w:t>
      </w:r>
      <w:r w:rsidRPr="003C2BF2">
        <w:rPr>
          <w:rFonts w:cs="Times New Roman"/>
          <w:lang w:val="fr-CA"/>
        </w:rPr>
        <w:lastRenderedPageBreak/>
        <w:t>adopté la norme des soupçons raisonnables.  À titre d</w:t>
      </w:r>
      <w:r>
        <w:rPr>
          <w:rFonts w:cs="Times New Roman"/>
          <w:lang w:val="fr-CA"/>
        </w:rPr>
        <w:t>’</w:t>
      </w:r>
      <w:r w:rsidRPr="003C2BF2">
        <w:rPr>
          <w:rFonts w:cs="Times New Roman"/>
          <w:lang w:val="fr-CA"/>
        </w:rPr>
        <w:t xml:space="preserve">exemple, dans </w:t>
      </w:r>
      <w:r w:rsidRPr="003C2BF2">
        <w:rPr>
          <w:rFonts w:cs="Times New Roman"/>
          <w:i/>
          <w:lang w:val="fr-CA"/>
        </w:rPr>
        <w:t xml:space="preserve">R. c. </w:t>
      </w:r>
      <w:proofErr w:type="spellStart"/>
      <w:r w:rsidRPr="003C2BF2">
        <w:rPr>
          <w:rFonts w:cs="Times New Roman"/>
          <w:i/>
          <w:lang w:val="fr-CA"/>
        </w:rPr>
        <w:t>Crocker</w:t>
      </w:r>
      <w:proofErr w:type="spellEnd"/>
      <w:r w:rsidR="00F07580">
        <w:rPr>
          <w:rFonts w:cs="Times New Roman"/>
          <w:lang w:val="fr-CA"/>
        </w:rPr>
        <w:t xml:space="preserve">, 2009 </w:t>
      </w:r>
      <w:r w:rsidRPr="003C2BF2">
        <w:rPr>
          <w:rFonts w:cs="Times New Roman"/>
          <w:lang w:val="fr-CA"/>
        </w:rPr>
        <w:t>BCCA</w:t>
      </w:r>
      <w:r w:rsidR="00F07580">
        <w:rPr>
          <w:rFonts w:cs="Times New Roman"/>
          <w:lang w:val="fr-CA"/>
        </w:rPr>
        <w:t xml:space="preserve"> </w:t>
      </w:r>
      <w:r w:rsidRPr="003C2BF2">
        <w:rPr>
          <w:rFonts w:cs="Times New Roman"/>
          <w:lang w:val="fr-CA"/>
        </w:rPr>
        <w:t>388, 275 B.C.A.C. 190, autorisation d</w:t>
      </w:r>
      <w:r>
        <w:rPr>
          <w:rFonts w:cs="Times New Roman"/>
          <w:lang w:val="fr-CA"/>
        </w:rPr>
        <w:t>’</w:t>
      </w:r>
      <w:r w:rsidR="00F07580">
        <w:rPr>
          <w:rFonts w:cs="Times New Roman"/>
          <w:lang w:val="fr-CA"/>
        </w:rPr>
        <w:t xml:space="preserve">appel refusée, [2010] 1 </w:t>
      </w:r>
      <w:r w:rsidRPr="003C2BF2">
        <w:rPr>
          <w:rFonts w:cs="Times New Roman"/>
          <w:lang w:val="fr-CA"/>
        </w:rPr>
        <w:t>R.C.S.</w:t>
      </w:r>
      <w:r w:rsidR="00F07580">
        <w:rPr>
          <w:rFonts w:cs="Times New Roman"/>
          <w:lang w:val="fr-CA"/>
        </w:rPr>
        <w:t xml:space="preserve"> </w:t>
      </w:r>
      <w:r w:rsidRPr="003C2BF2">
        <w:rPr>
          <w:rFonts w:cs="Times New Roman"/>
          <w:lang w:val="fr-CA"/>
        </w:rPr>
        <w:t xml:space="preserve">viii, la cour a conclu </w:t>
      </w:r>
      <w:proofErr w:type="gramStart"/>
      <w:r w:rsidRPr="003C2BF2">
        <w:rPr>
          <w:rFonts w:cs="Times New Roman"/>
          <w:lang w:val="fr-CA"/>
        </w:rPr>
        <w:t>qu</w:t>
      </w:r>
      <w:r>
        <w:rPr>
          <w:rFonts w:cs="Times New Roman"/>
          <w:lang w:val="fr-CA"/>
        </w:rPr>
        <w:t>’</w:t>
      </w:r>
      <w:r w:rsidRPr="003C2BF2">
        <w:rPr>
          <w:rFonts w:cs="Times New Roman"/>
          <w:lang w:val="fr-CA"/>
        </w:rPr>
        <w:t>[</w:t>
      </w:r>
      <w:proofErr w:type="gramEnd"/>
      <w:r w:rsidRPr="003C2BF2">
        <w:rPr>
          <w:rFonts w:cs="Times New Roman"/>
          <w:smallCaps/>
          <w:lang w:val="fr-CA"/>
        </w:rPr>
        <w:t>traduction</w:t>
      </w:r>
      <w:r w:rsidRPr="003C2BF2">
        <w:rPr>
          <w:rFonts w:cs="Times New Roman"/>
          <w:lang w:val="fr-CA"/>
        </w:rPr>
        <w:t xml:space="preserve">] « [u]ne fouille de sécurité légale effectuée à des fins préventives [. . .] doit uniquement satisfaire à la norme juridique des </w:t>
      </w:r>
      <w:r w:rsidRPr="003C2BF2">
        <w:rPr>
          <w:rFonts w:cs="Times New Roman"/>
          <w:u w:val="single"/>
          <w:lang w:val="fr-CA"/>
        </w:rPr>
        <w:t>soupçons raisonnables</w:t>
      </w:r>
      <w:r w:rsidRPr="003C2BF2">
        <w:rPr>
          <w:rFonts w:cs="Times New Roman"/>
          <w:lang w:val="fr-CA"/>
        </w:rPr>
        <w:t xml:space="preserve"> [. . .] imposée dans </w:t>
      </w:r>
      <w:r w:rsidRPr="003C2BF2">
        <w:rPr>
          <w:rFonts w:cs="Times New Roman"/>
          <w:i/>
          <w:lang w:val="fr-CA"/>
        </w:rPr>
        <w:t>Mann</w:t>
      </w:r>
      <w:r w:rsidRPr="003C2BF2">
        <w:rPr>
          <w:rFonts w:cs="Times New Roman"/>
          <w:lang w:val="fr-CA"/>
        </w:rPr>
        <w:t xml:space="preserve"> » (par. 72 (nous soulignons)).  Il y a seulement quelques mois, la même conclusion a été tirée dans </w:t>
      </w:r>
      <w:r w:rsidRPr="003C2BF2">
        <w:rPr>
          <w:rFonts w:cs="Times New Roman"/>
          <w:i/>
          <w:lang w:val="fr-CA"/>
        </w:rPr>
        <w:t>R. c. Atkins</w:t>
      </w:r>
      <w:r w:rsidRPr="003C2BF2">
        <w:rPr>
          <w:rFonts w:cs="Times New Roman"/>
          <w:lang w:val="fr-CA"/>
        </w:rPr>
        <w:t>, 2013 ONCA 586, 310 O.A.C. 397 : [</w:t>
      </w:r>
      <w:r w:rsidRPr="003C2BF2">
        <w:rPr>
          <w:rFonts w:cs="Times New Roman"/>
          <w:smallCaps/>
          <w:lang w:val="fr-CA"/>
        </w:rPr>
        <w:t>traduction</w:t>
      </w:r>
      <w:r w:rsidRPr="003C2BF2">
        <w:rPr>
          <w:rFonts w:cs="Times New Roman"/>
          <w:lang w:val="fr-CA"/>
        </w:rPr>
        <w:t xml:space="preserve">] « La fouille par palpation ayant fait suite à la détention était justifiée pour assurer la sécurité des policiers » parce que « [c]es derniers </w:t>
      </w:r>
      <w:r w:rsidRPr="003C2BF2">
        <w:rPr>
          <w:rFonts w:cs="Times New Roman"/>
          <w:u w:val="single"/>
          <w:lang w:val="fr-CA"/>
        </w:rPr>
        <w:t>soupçonnaient raisonnablement</w:t>
      </w:r>
      <w:r w:rsidRPr="003C2BF2">
        <w:rPr>
          <w:rFonts w:cs="Times New Roman"/>
          <w:lang w:val="fr-CA"/>
        </w:rPr>
        <w:t xml:space="preserve"> l</w:t>
      </w:r>
      <w:r>
        <w:rPr>
          <w:rFonts w:cs="Times New Roman"/>
          <w:lang w:val="fr-CA"/>
        </w:rPr>
        <w:t>’</w:t>
      </w:r>
      <w:r w:rsidRPr="003C2BF2">
        <w:rPr>
          <w:rFonts w:cs="Times New Roman"/>
          <w:lang w:val="fr-CA"/>
        </w:rPr>
        <w:t>appelant d</w:t>
      </w:r>
      <w:r>
        <w:rPr>
          <w:rFonts w:cs="Times New Roman"/>
          <w:lang w:val="fr-CA"/>
        </w:rPr>
        <w:t>’</w:t>
      </w:r>
      <w:r w:rsidRPr="003C2BF2">
        <w:rPr>
          <w:rFonts w:cs="Times New Roman"/>
          <w:lang w:val="fr-CA"/>
        </w:rPr>
        <w:t xml:space="preserve">avoir une arme en sa possession » (par. 15 (nous soulignons)).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Quatrièmement, il n</w:t>
      </w:r>
      <w:r>
        <w:rPr>
          <w:rFonts w:cs="Times New Roman"/>
          <w:lang w:val="fr-CA"/>
        </w:rPr>
        <w:t>’</w:t>
      </w:r>
      <w:r w:rsidRPr="003C2BF2">
        <w:rPr>
          <w:rFonts w:cs="Times New Roman"/>
          <w:lang w:val="fr-CA"/>
        </w:rPr>
        <w:t>est guère logique d</w:t>
      </w:r>
      <w:r>
        <w:rPr>
          <w:rFonts w:cs="Times New Roman"/>
          <w:lang w:val="fr-CA"/>
        </w:rPr>
        <w:t>’</w:t>
      </w:r>
      <w:r w:rsidRPr="003C2BF2">
        <w:rPr>
          <w:rFonts w:cs="Times New Roman"/>
          <w:lang w:val="fr-CA"/>
        </w:rPr>
        <w:t>appliquer la norme des motifs raisonnables et probables dans le contexte de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Si le policier avait des motifs raisonnables de croire que l</w:t>
      </w:r>
      <w:r>
        <w:rPr>
          <w:rFonts w:cs="Times New Roman"/>
          <w:lang w:val="fr-CA"/>
        </w:rPr>
        <w:t>’</w:t>
      </w:r>
      <w:r w:rsidRPr="003C2BF2">
        <w:rPr>
          <w:rFonts w:cs="Times New Roman"/>
          <w:lang w:val="fr-CA"/>
        </w:rPr>
        <w:t xml:space="preserve">accusé dans </w:t>
      </w:r>
      <w:r w:rsidRPr="003C2BF2">
        <w:rPr>
          <w:rFonts w:cs="Times New Roman"/>
          <w:i/>
          <w:lang w:val="fr-CA"/>
        </w:rPr>
        <w:t>Mann</w:t>
      </w:r>
      <w:r w:rsidRPr="003C2BF2">
        <w:rPr>
          <w:rFonts w:cs="Times New Roman"/>
          <w:lang w:val="fr-CA"/>
        </w:rPr>
        <w:t xml:space="preserve"> était armé et dangereux, il aurait pu l</w:t>
      </w:r>
      <w:r>
        <w:rPr>
          <w:rFonts w:cs="Times New Roman"/>
          <w:lang w:val="fr-CA"/>
        </w:rPr>
        <w:t>’</w:t>
      </w:r>
      <w:r w:rsidRPr="003C2BF2">
        <w:rPr>
          <w:rFonts w:cs="Times New Roman"/>
          <w:lang w:val="fr-CA"/>
        </w:rPr>
        <w:t>arrêter.  Voir</w:t>
      </w:r>
      <w:r w:rsidR="00F07580">
        <w:rPr>
          <w:rFonts w:cs="Times New Roman"/>
          <w:lang w:val="fr-CA"/>
        </w:rPr>
        <w:t>,</w:t>
      </w:r>
      <w:r w:rsidRPr="003C2BF2">
        <w:rPr>
          <w:rFonts w:cs="Times New Roman"/>
          <w:lang w:val="fr-CA"/>
        </w:rPr>
        <w:t xml:space="preserve"> p. ex.</w:t>
      </w:r>
      <w:r w:rsidR="00F07580">
        <w:rPr>
          <w:rFonts w:cs="Times New Roman"/>
          <w:lang w:val="fr-CA"/>
        </w:rPr>
        <w:t>,</w:t>
      </w:r>
      <w:r w:rsidRPr="003C2BF2">
        <w:rPr>
          <w:rFonts w:cs="Times New Roman"/>
          <w:lang w:val="fr-CA"/>
        </w:rPr>
        <w:t xml:space="preserve"> l</w:t>
      </w:r>
      <w:r>
        <w:rPr>
          <w:rFonts w:cs="Times New Roman"/>
          <w:lang w:val="fr-CA"/>
        </w:rPr>
        <w:t>’</w:t>
      </w:r>
      <w:r w:rsidRPr="003C2BF2">
        <w:rPr>
          <w:rFonts w:cs="Times New Roman"/>
          <w:lang w:val="fr-CA"/>
        </w:rPr>
        <w:t xml:space="preserve">art. 88 du </w:t>
      </w:r>
      <w:r w:rsidRPr="003C2BF2">
        <w:rPr>
          <w:rFonts w:cs="Times New Roman"/>
          <w:i/>
          <w:lang w:val="fr-CA"/>
        </w:rPr>
        <w:t>Code criminel</w:t>
      </w:r>
      <w:r w:rsidRPr="003C2BF2">
        <w:rPr>
          <w:rFonts w:cs="Times New Roman"/>
          <w:lang w:val="fr-CA"/>
        </w:rPr>
        <w:t>, L.R.C. 1985, ch. C</w:t>
      </w:r>
      <w:r w:rsidRPr="003C2BF2">
        <w:rPr>
          <w:rFonts w:cs="Times New Roman"/>
          <w:lang w:val="fr-CA"/>
        </w:rPr>
        <w:noBreakHyphen/>
        <w:t>46 (port d</w:t>
      </w:r>
      <w:r>
        <w:rPr>
          <w:rFonts w:cs="Times New Roman"/>
          <w:lang w:val="fr-CA"/>
        </w:rPr>
        <w:t>’</w:t>
      </w:r>
      <w:r w:rsidRPr="003C2BF2">
        <w:rPr>
          <w:rFonts w:cs="Times New Roman"/>
          <w:lang w:val="fr-CA"/>
        </w:rPr>
        <w:t>arme dans un dessein dangereux pour la paix publique).  Autrement dit, s</w:t>
      </w:r>
      <w:r>
        <w:rPr>
          <w:rFonts w:cs="Times New Roman"/>
          <w:lang w:val="fr-CA"/>
        </w:rPr>
        <w:t>’</w:t>
      </w:r>
      <w:r w:rsidRPr="003C2BF2">
        <w:rPr>
          <w:rFonts w:cs="Times New Roman"/>
          <w:lang w:val="fr-CA"/>
        </w:rPr>
        <w:t>il établit que des motifs raisonnables et probables sont exigés pour justifier une fouille par palpation,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xml:space="preserve"> ne fait donc apparemment que reconnaître un pouvoir de </w:t>
      </w:r>
      <w:r w:rsidRPr="003C2BF2">
        <w:rPr>
          <w:rFonts w:cs="Times New Roman"/>
          <w:i/>
          <w:lang w:val="fr-CA"/>
        </w:rPr>
        <w:t>fouille</w:t>
      </w:r>
      <w:r w:rsidRPr="003C2BF2">
        <w:rPr>
          <w:rFonts w:cs="Times New Roman"/>
          <w:lang w:val="fr-CA"/>
        </w:rPr>
        <w:t xml:space="preserve"> dans un cas où il existe déjà des motifs de procéder à une </w:t>
      </w:r>
      <w:r w:rsidRPr="003C2BF2">
        <w:rPr>
          <w:rFonts w:cs="Times New Roman"/>
          <w:i/>
          <w:lang w:val="fr-CA"/>
        </w:rPr>
        <w:t>arrestation</w:t>
      </w:r>
      <w:r w:rsidRPr="003C2BF2">
        <w:rPr>
          <w:rFonts w:cs="Times New Roman"/>
          <w:lang w:val="fr-CA"/>
        </w:rPr>
        <w:t xml:space="preserve">.  Voir aussi </w:t>
      </w:r>
      <w:proofErr w:type="spellStart"/>
      <w:r w:rsidRPr="003C2BF2">
        <w:rPr>
          <w:rFonts w:cs="Times New Roman"/>
          <w:lang w:val="fr-CA"/>
        </w:rPr>
        <w:t>Stribopo</w:t>
      </w:r>
      <w:r w:rsidR="00F07580">
        <w:rPr>
          <w:rFonts w:cs="Times New Roman"/>
          <w:lang w:val="fr-CA"/>
        </w:rPr>
        <w:t>u</w:t>
      </w:r>
      <w:r w:rsidRPr="003C2BF2">
        <w:rPr>
          <w:rFonts w:cs="Times New Roman"/>
          <w:lang w:val="fr-CA"/>
        </w:rPr>
        <w:t>los</w:t>
      </w:r>
      <w:proofErr w:type="spellEnd"/>
      <w:r w:rsidRPr="003C2BF2">
        <w:rPr>
          <w:rFonts w:cs="Times New Roman"/>
          <w:lang w:val="fr-CA"/>
        </w:rPr>
        <w:t>, p. 311.  Il s</w:t>
      </w:r>
      <w:r>
        <w:rPr>
          <w:rFonts w:cs="Times New Roman"/>
          <w:lang w:val="fr-CA"/>
        </w:rPr>
        <w:t>’</w:t>
      </w:r>
      <w:r w:rsidRPr="003C2BF2">
        <w:rPr>
          <w:rFonts w:cs="Times New Roman"/>
          <w:lang w:val="fr-CA"/>
        </w:rPr>
        <w:t>agit manifestement là d</w:t>
      </w:r>
      <w:r>
        <w:rPr>
          <w:rFonts w:cs="Times New Roman"/>
          <w:lang w:val="fr-CA"/>
        </w:rPr>
        <w:t>’</w:t>
      </w:r>
      <w:r w:rsidRPr="003C2BF2">
        <w:rPr>
          <w:rFonts w:cs="Times New Roman"/>
          <w:lang w:val="fr-CA"/>
        </w:rPr>
        <w:t xml:space="preserve">un résultat incongru.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Un policier ayant des motifs raisonnables de croire qu</w:t>
      </w:r>
      <w:r>
        <w:rPr>
          <w:rFonts w:cs="Times New Roman"/>
          <w:lang w:val="fr-CA"/>
        </w:rPr>
        <w:t>’</w:t>
      </w:r>
      <w:r w:rsidRPr="003C2BF2">
        <w:rPr>
          <w:rFonts w:cs="Times New Roman"/>
          <w:lang w:val="fr-CA"/>
        </w:rPr>
        <w:t xml:space="preserve">une personne est armée et </w:t>
      </w:r>
      <w:proofErr w:type="gramStart"/>
      <w:r w:rsidRPr="003C2BF2">
        <w:rPr>
          <w:rFonts w:cs="Times New Roman"/>
          <w:lang w:val="fr-CA"/>
        </w:rPr>
        <w:t>dangereuse</w:t>
      </w:r>
      <w:proofErr w:type="gramEnd"/>
      <w:r w:rsidRPr="003C2BF2">
        <w:rPr>
          <w:rFonts w:cs="Times New Roman"/>
          <w:lang w:val="fr-CA"/>
        </w:rPr>
        <w:t xml:space="preserve"> éprouvera toujours le besoin immédiat de maîtriser cette personne.  Il devra donc inévitablement l</w:t>
      </w:r>
      <w:r>
        <w:rPr>
          <w:rFonts w:cs="Times New Roman"/>
          <w:lang w:val="fr-CA"/>
        </w:rPr>
        <w:t>’</w:t>
      </w:r>
      <w:r w:rsidRPr="003C2BF2">
        <w:rPr>
          <w:rFonts w:cs="Times New Roman"/>
          <w:i/>
          <w:lang w:val="fr-CA"/>
        </w:rPr>
        <w:t>arrêter</w:t>
      </w:r>
      <w:r w:rsidRPr="003C2BF2">
        <w:rPr>
          <w:rFonts w:cs="Times New Roman"/>
          <w:lang w:val="fr-CA"/>
        </w:rPr>
        <w:t>, et, dès qu</w:t>
      </w:r>
      <w:r>
        <w:rPr>
          <w:rFonts w:cs="Times New Roman"/>
          <w:lang w:val="fr-CA"/>
        </w:rPr>
        <w:t>’</w:t>
      </w:r>
      <w:r w:rsidRPr="003C2BF2">
        <w:rPr>
          <w:rFonts w:cs="Times New Roman"/>
          <w:lang w:val="fr-CA"/>
        </w:rPr>
        <w:t xml:space="preserve">il pourra le faire en toute </w:t>
      </w:r>
      <w:r w:rsidRPr="003C2BF2">
        <w:rPr>
          <w:rFonts w:cs="Times New Roman"/>
          <w:lang w:val="fr-CA"/>
        </w:rPr>
        <w:lastRenderedPageBreak/>
        <w:t>sécurité, procéder à une fouille accessoire à l</w:t>
      </w:r>
      <w:r>
        <w:rPr>
          <w:rFonts w:cs="Times New Roman"/>
          <w:lang w:val="fr-CA"/>
        </w:rPr>
        <w:t>’</w:t>
      </w:r>
      <w:r w:rsidRPr="003C2BF2">
        <w:rPr>
          <w:rFonts w:cs="Times New Roman"/>
          <w:lang w:val="fr-CA"/>
        </w:rPr>
        <w:t xml:space="preserve">arrestation fondée sur une norme moins rigoureuse (voir </w:t>
      </w:r>
      <w:r w:rsidRPr="003C2BF2">
        <w:rPr>
          <w:rFonts w:cs="Times New Roman"/>
          <w:i/>
          <w:lang w:val="fr-CA"/>
        </w:rPr>
        <w:t xml:space="preserve">R. c. </w:t>
      </w:r>
      <w:proofErr w:type="spellStart"/>
      <w:r w:rsidRPr="003C2BF2">
        <w:rPr>
          <w:rFonts w:cs="Times New Roman"/>
          <w:i/>
          <w:lang w:val="fr-CA"/>
        </w:rPr>
        <w:t>Caslake</w:t>
      </w:r>
      <w:proofErr w:type="spellEnd"/>
      <w:r w:rsidRPr="003C2BF2">
        <w:rPr>
          <w:rFonts w:cs="Times New Roman"/>
          <w:lang w:val="fr-CA"/>
        </w:rPr>
        <w:t>, [1998] 1 R.C.S. 51, par. 25).  En fait, il est contraire au bon sens de laisser entendre qu</w:t>
      </w:r>
      <w:r>
        <w:rPr>
          <w:rFonts w:cs="Times New Roman"/>
          <w:lang w:val="fr-CA"/>
        </w:rPr>
        <w:t>’</w:t>
      </w:r>
      <w:r w:rsidRPr="003C2BF2">
        <w:rPr>
          <w:rFonts w:cs="Times New Roman"/>
          <w:lang w:val="fr-CA"/>
        </w:rPr>
        <w:t>un policier croyant pour des motifs raisonnables qu</w:t>
      </w:r>
      <w:r>
        <w:rPr>
          <w:rFonts w:cs="Times New Roman"/>
          <w:lang w:val="fr-CA"/>
        </w:rPr>
        <w:t>’</w:t>
      </w:r>
      <w:r w:rsidRPr="003C2BF2">
        <w:rPr>
          <w:rFonts w:cs="Times New Roman"/>
          <w:lang w:val="fr-CA"/>
        </w:rPr>
        <w:t>une personne est armée et dangereuse renoncerait à la possibilité légitime d</w:t>
      </w:r>
      <w:r>
        <w:rPr>
          <w:rFonts w:cs="Times New Roman"/>
          <w:lang w:val="fr-CA"/>
        </w:rPr>
        <w:t>’</w:t>
      </w:r>
      <w:r w:rsidRPr="003C2BF2">
        <w:rPr>
          <w:rFonts w:cs="Times New Roman"/>
          <w:lang w:val="fr-CA"/>
        </w:rPr>
        <w:t xml:space="preserve">arrêter </w:t>
      </w:r>
      <w:proofErr w:type="spellStart"/>
      <w:r w:rsidRPr="003C2BF2">
        <w:rPr>
          <w:rFonts w:cs="Times New Roman"/>
          <w:lang w:val="fr-CA"/>
        </w:rPr>
        <w:t>celle</w:t>
      </w:r>
      <w:r w:rsidRPr="003C2BF2">
        <w:rPr>
          <w:rFonts w:cs="Times New Roman"/>
          <w:lang w:val="fr-CA"/>
        </w:rPr>
        <w:noBreakHyphen/>
        <w:t>ci</w:t>
      </w:r>
      <w:proofErr w:type="spellEnd"/>
      <w:r w:rsidRPr="003C2BF2">
        <w:rPr>
          <w:rFonts w:cs="Times New Roman"/>
          <w:lang w:val="fr-CA"/>
        </w:rPr>
        <w:t xml:space="preserve"> pour procéder à la place à une simple fouille par palpation.  Il convient de souligner que la fouille accessoire à l</w:t>
      </w:r>
      <w:r>
        <w:rPr>
          <w:rFonts w:cs="Times New Roman"/>
          <w:lang w:val="fr-CA"/>
        </w:rPr>
        <w:t>’</w:t>
      </w:r>
      <w:r w:rsidRPr="003C2BF2">
        <w:rPr>
          <w:rFonts w:cs="Times New Roman"/>
          <w:lang w:val="fr-CA"/>
        </w:rPr>
        <w:t xml:space="preserve">arrestation est beaucoup plus envahissante que la fouille peu envahissante reconnue dans </w:t>
      </w:r>
      <w:r w:rsidRPr="003C2BF2">
        <w:rPr>
          <w:rFonts w:cs="Times New Roman"/>
          <w:i/>
          <w:lang w:val="fr-CA"/>
        </w:rPr>
        <w:t>Mann</w:t>
      </w:r>
      <w:r w:rsidRPr="003C2BF2">
        <w:rPr>
          <w:rFonts w:cs="Times New Roman"/>
          <w:lang w:val="fr-CA"/>
        </w:rPr>
        <w:t>.</w:t>
      </w:r>
      <w:r w:rsidRPr="003C2BF2">
        <w:rPr>
          <w:rFonts w:cs="Times New Roman"/>
          <w:i/>
          <w:lang w:val="fr-CA"/>
        </w:rPr>
        <w:t xml:space="preserve"> </w:t>
      </w:r>
      <w:r w:rsidRPr="003C2BF2">
        <w:rPr>
          <w:rFonts w:cs="Times New Roman"/>
          <w:lang w:val="fr-CA"/>
        </w:rPr>
        <w:t xml:space="preserve"> La fouille accessoire à l</w:t>
      </w:r>
      <w:r>
        <w:rPr>
          <w:rFonts w:cs="Times New Roman"/>
          <w:lang w:val="fr-CA"/>
        </w:rPr>
        <w:t>’</w:t>
      </w:r>
      <w:r w:rsidRPr="003C2BF2">
        <w:rPr>
          <w:rFonts w:cs="Times New Roman"/>
          <w:lang w:val="fr-CA"/>
        </w:rPr>
        <w:t xml:space="preserve">arrestation comprend la fouille de la personne, mais peut aussi inclure la fouille de ses biens ou de son automobile (voir </w:t>
      </w:r>
      <w:proofErr w:type="spellStart"/>
      <w:r w:rsidRPr="003C2BF2">
        <w:rPr>
          <w:rFonts w:cs="Times New Roman"/>
          <w:i/>
          <w:lang w:val="fr-CA"/>
        </w:rPr>
        <w:t>Caslake</w:t>
      </w:r>
      <w:proofErr w:type="spellEnd"/>
      <w:r w:rsidRPr="003C2BF2">
        <w:rPr>
          <w:rFonts w:cs="Times New Roman"/>
          <w:lang w:val="fr-CA"/>
        </w:rPr>
        <w:t xml:space="preserve">, par. 15).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Dans ce contexte, il semble utile de rappeler que, chaque fois que la Cour s</w:t>
      </w:r>
      <w:r>
        <w:rPr>
          <w:rFonts w:cs="Times New Roman"/>
          <w:lang w:val="fr-CA"/>
        </w:rPr>
        <w:t>’</w:t>
      </w:r>
      <w:r w:rsidRPr="003C2BF2">
        <w:rPr>
          <w:rFonts w:cs="Times New Roman"/>
          <w:lang w:val="fr-CA"/>
        </w:rPr>
        <w:t xml:space="preserve">est demandé si elle devrait reconnaître un nouveau pouvoir policier en </w:t>
      </w:r>
      <w:proofErr w:type="spellStart"/>
      <w:r w:rsidRPr="003C2BF2">
        <w:rPr>
          <w:rFonts w:cs="Times New Roman"/>
          <w:lang w:val="fr-CA"/>
        </w:rPr>
        <w:t>common</w:t>
      </w:r>
      <w:proofErr w:type="spellEnd"/>
      <w:r w:rsidRPr="003C2BF2">
        <w:rPr>
          <w:rFonts w:cs="Times New Roman"/>
          <w:lang w:val="fr-CA"/>
        </w:rPr>
        <w:t xml:space="preserve"> </w:t>
      </w:r>
      <w:proofErr w:type="spellStart"/>
      <w:r w:rsidRPr="003C2BF2">
        <w:rPr>
          <w:rFonts w:cs="Times New Roman"/>
          <w:lang w:val="fr-CA"/>
        </w:rPr>
        <w:t>law</w:t>
      </w:r>
      <w:proofErr w:type="spellEnd"/>
      <w:r w:rsidRPr="003C2BF2">
        <w:rPr>
          <w:rFonts w:cs="Times New Roman"/>
          <w:lang w:val="fr-CA"/>
        </w:rPr>
        <w:t>, elle l</w:t>
      </w:r>
      <w:r>
        <w:rPr>
          <w:rFonts w:cs="Times New Roman"/>
          <w:lang w:val="fr-CA"/>
        </w:rPr>
        <w:t>’</w:t>
      </w:r>
      <w:r w:rsidRPr="003C2BF2">
        <w:rPr>
          <w:rFonts w:cs="Times New Roman"/>
          <w:lang w:val="fr-CA"/>
        </w:rPr>
        <w:t xml:space="preserve">a fait « à cause de </w:t>
      </w:r>
      <w:r w:rsidRPr="003C2BF2">
        <w:rPr>
          <w:rFonts w:cs="Times New Roman"/>
          <w:u w:val="single"/>
          <w:lang w:val="fr-CA"/>
        </w:rPr>
        <w:t>lacunes perçues</w:t>
      </w:r>
      <w:r w:rsidRPr="003C2BF2">
        <w:rPr>
          <w:rFonts w:cs="Times New Roman"/>
          <w:lang w:val="fr-CA"/>
        </w:rPr>
        <w:t xml:space="preserve"> dans le droit » (</w:t>
      </w:r>
      <w:proofErr w:type="spellStart"/>
      <w:r w:rsidRPr="003C2BF2">
        <w:rPr>
          <w:rFonts w:cs="Times New Roman"/>
          <w:i/>
          <w:lang w:val="fr-CA"/>
        </w:rPr>
        <w:t>Kang</w:t>
      </w:r>
      <w:r w:rsidRPr="003C2BF2">
        <w:rPr>
          <w:rFonts w:cs="Times New Roman"/>
          <w:i/>
          <w:lang w:val="fr-CA"/>
        </w:rPr>
        <w:noBreakHyphen/>
        <w:t>Brown</w:t>
      </w:r>
      <w:proofErr w:type="spellEnd"/>
      <w:r w:rsidRPr="003C2BF2">
        <w:rPr>
          <w:rFonts w:cs="Times New Roman"/>
          <w:lang w:val="fr-CA"/>
        </w:rPr>
        <w:t>, par. 6,</w:t>
      </w:r>
      <w:r w:rsidRPr="003C2BF2">
        <w:rPr>
          <w:rFonts w:cs="Times New Roman"/>
          <w:i/>
          <w:lang w:val="fr-CA"/>
        </w:rPr>
        <w:t xml:space="preserve"> </w:t>
      </w:r>
      <w:r w:rsidRPr="003C2BF2">
        <w:rPr>
          <w:rFonts w:cs="Times New Roman"/>
          <w:lang w:val="fr-CA"/>
        </w:rPr>
        <w:t>le juge LeBel</w:t>
      </w:r>
      <w:r w:rsidRPr="003C2BF2">
        <w:rPr>
          <w:rFonts w:cs="Times New Roman"/>
          <w:i/>
          <w:lang w:val="fr-CA"/>
        </w:rPr>
        <w:t xml:space="preserve"> </w:t>
      </w:r>
      <w:r w:rsidRPr="003C2BF2">
        <w:rPr>
          <w:rFonts w:cs="Times New Roman"/>
          <w:lang w:val="fr-CA"/>
        </w:rPr>
        <w:t xml:space="preserve">(nous soulignons)).  La constatation préalable de telles lacunes est à juste titre nécessaire, étant donné la réticence de la Cour de se charger de créer de nouveaux pouvoirs policiers en </w:t>
      </w:r>
      <w:proofErr w:type="spellStart"/>
      <w:r w:rsidRPr="003C2BF2">
        <w:rPr>
          <w:rFonts w:cs="Times New Roman"/>
          <w:lang w:val="fr-CA"/>
        </w:rPr>
        <w:t>common</w:t>
      </w:r>
      <w:proofErr w:type="spellEnd"/>
      <w:r w:rsidRPr="003C2BF2">
        <w:rPr>
          <w:rFonts w:cs="Times New Roman"/>
          <w:lang w:val="fr-CA"/>
        </w:rPr>
        <w:t xml:space="preserve"> </w:t>
      </w:r>
      <w:proofErr w:type="spellStart"/>
      <w:r w:rsidRPr="003C2BF2">
        <w:rPr>
          <w:rFonts w:cs="Times New Roman"/>
          <w:lang w:val="fr-CA"/>
        </w:rPr>
        <w:t>law</w:t>
      </w:r>
      <w:proofErr w:type="spellEnd"/>
      <w:r w:rsidRPr="003C2BF2">
        <w:rPr>
          <w:rFonts w:cs="Times New Roman"/>
          <w:lang w:val="fr-CA"/>
        </w:rPr>
        <w:t xml:space="preserve">.  Nous ne comprenons donc pas pourquoi la Cour reconnaîtrait dans </w:t>
      </w:r>
      <w:r w:rsidRPr="003C2BF2">
        <w:rPr>
          <w:rFonts w:cs="Times New Roman"/>
          <w:i/>
          <w:lang w:val="fr-CA"/>
        </w:rPr>
        <w:t>Mann</w:t>
      </w:r>
      <w:r w:rsidRPr="003C2BF2">
        <w:rPr>
          <w:rFonts w:cs="Times New Roman"/>
          <w:lang w:val="fr-CA"/>
        </w:rPr>
        <w:t xml:space="preserve"> un pouvoir de procéder à une fouille préventive fondé</w:t>
      </w:r>
      <w:r>
        <w:rPr>
          <w:rFonts w:cs="Times New Roman"/>
          <w:lang w:val="fr-CA"/>
        </w:rPr>
        <w:t>e</w:t>
      </w:r>
      <w:r w:rsidRPr="003C2BF2">
        <w:rPr>
          <w:rFonts w:cs="Times New Roman"/>
          <w:lang w:val="fr-CA"/>
        </w:rPr>
        <w:t xml:space="preserve"> sur une norme rendant ce pouvoir inutile.  Autrement dit, suivant l</w:t>
      </w:r>
      <w:r>
        <w:rPr>
          <w:rFonts w:cs="Times New Roman"/>
          <w:lang w:val="fr-CA"/>
        </w:rPr>
        <w:t>’</w:t>
      </w:r>
      <w:r w:rsidRPr="003C2BF2">
        <w:rPr>
          <w:rFonts w:cs="Times New Roman"/>
          <w:lang w:val="fr-CA"/>
        </w:rPr>
        <w:t>interprétation retenue par la majorité,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ne comble aucune lacune.  En toute déférence, la Cour dans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 xml:space="preserve">ne peut avoir souhaité un tel résultat.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Cinquièmement, et au vu des faits de l</w:t>
      </w:r>
      <w:r>
        <w:rPr>
          <w:rFonts w:cs="Times New Roman"/>
          <w:lang w:val="fr-CA"/>
        </w:rPr>
        <w:t>’</w:t>
      </w:r>
      <w:r w:rsidRPr="003C2BF2">
        <w:rPr>
          <w:rFonts w:cs="Times New Roman"/>
          <w:lang w:val="fr-CA"/>
        </w:rPr>
        <w:t xml:space="preserve">espèce, la conclusion de la majorité selon laquelle le sergent </w:t>
      </w:r>
      <w:r w:rsidRPr="003C2BF2">
        <w:rPr>
          <w:rFonts w:cs="Times New Roman"/>
          <w:szCs w:val="24"/>
          <w:lang w:val="fr-CA"/>
        </w:rPr>
        <w:t xml:space="preserve">Boyd avait des motifs raisonnables et probables de croire que </w:t>
      </w:r>
      <w:r w:rsidRPr="003C2BF2">
        <w:rPr>
          <w:rFonts w:cs="Times New Roman"/>
          <w:lang w:val="fr-CA"/>
        </w:rPr>
        <w:t>M. MacDonald</w:t>
      </w:r>
      <w:r w:rsidRPr="003C2BF2">
        <w:rPr>
          <w:rFonts w:cs="Times New Roman"/>
          <w:szCs w:val="24"/>
          <w:lang w:val="fr-CA"/>
        </w:rPr>
        <w:t xml:space="preserve"> était armé et dangereux n</w:t>
      </w:r>
      <w:r>
        <w:rPr>
          <w:rFonts w:cs="Times New Roman"/>
          <w:szCs w:val="24"/>
          <w:lang w:val="fr-CA"/>
        </w:rPr>
        <w:t>’</w:t>
      </w:r>
      <w:r w:rsidRPr="003C2BF2">
        <w:rPr>
          <w:rFonts w:cs="Times New Roman"/>
          <w:szCs w:val="24"/>
          <w:lang w:val="fr-CA"/>
        </w:rPr>
        <w:t xml:space="preserve">est pas conforme à la preuve.  </w:t>
      </w:r>
      <w:r w:rsidRPr="003C2BF2">
        <w:rPr>
          <w:rFonts w:cs="Times New Roman"/>
          <w:szCs w:val="24"/>
          <w:lang w:val="fr-CA"/>
        </w:rPr>
        <w:lastRenderedPageBreak/>
        <w:t xml:space="preserve">Fait plus significatif, le raisonnement des juges majoritaires à cet égard semble abaisser considérablement la norme de ce qui constitue des motifs raisonnables et probables.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szCs w:val="24"/>
          <w:lang w:val="fr-CA"/>
        </w:rPr>
        <w:t xml:space="preserve">Vu les faits constatés par le juge de première instance, les </w:t>
      </w:r>
      <w:r w:rsidRPr="003C2BF2">
        <w:rPr>
          <w:rFonts w:cs="Times New Roman"/>
          <w:i/>
          <w:szCs w:val="24"/>
          <w:lang w:val="fr-CA"/>
        </w:rPr>
        <w:t>soupçons</w:t>
      </w:r>
      <w:r w:rsidRPr="003C2BF2">
        <w:rPr>
          <w:rFonts w:cs="Times New Roman"/>
          <w:szCs w:val="24"/>
          <w:lang w:val="fr-CA"/>
        </w:rPr>
        <w:t xml:space="preserve"> du sergent Boyd selon lesquels </w:t>
      </w:r>
      <w:r w:rsidRPr="003C2BF2">
        <w:rPr>
          <w:rFonts w:cs="Times New Roman"/>
          <w:lang w:val="fr-CA"/>
        </w:rPr>
        <w:t>M. MacDonald</w:t>
      </w:r>
      <w:r w:rsidRPr="003C2BF2">
        <w:rPr>
          <w:rFonts w:cs="Times New Roman"/>
          <w:szCs w:val="24"/>
          <w:lang w:val="fr-CA"/>
        </w:rPr>
        <w:t xml:space="preserve"> était armé et dangereux étaient certes raisonnables.  Le contexte de la rencontre avec ce dernier révèle qu</w:t>
      </w:r>
      <w:r>
        <w:rPr>
          <w:rFonts w:cs="Times New Roman"/>
          <w:szCs w:val="24"/>
          <w:lang w:val="fr-CA"/>
        </w:rPr>
        <w:t>’</w:t>
      </w:r>
      <w:r w:rsidRPr="003C2BF2">
        <w:rPr>
          <w:rFonts w:cs="Times New Roman"/>
          <w:szCs w:val="24"/>
          <w:lang w:val="fr-CA"/>
        </w:rPr>
        <w:t>il affichait une certaine hostilité envers</w:t>
      </w:r>
      <w:r w:rsidRPr="003C2BF2">
        <w:rPr>
          <w:rFonts w:cs="Times New Roman"/>
          <w:lang w:val="fr-CA"/>
        </w:rPr>
        <w:t xml:space="preserve"> le personnel de l</w:t>
      </w:r>
      <w:r>
        <w:rPr>
          <w:rFonts w:cs="Times New Roman"/>
          <w:lang w:val="fr-CA"/>
        </w:rPr>
        <w:t>’</w:t>
      </w:r>
      <w:r w:rsidRPr="003C2BF2">
        <w:rPr>
          <w:rFonts w:cs="Times New Roman"/>
          <w:lang w:val="fr-CA"/>
        </w:rPr>
        <w:t>immeuble et la police.  Tout d</w:t>
      </w:r>
      <w:r>
        <w:rPr>
          <w:rFonts w:cs="Times New Roman"/>
          <w:lang w:val="fr-CA"/>
        </w:rPr>
        <w:t>’</w:t>
      </w:r>
      <w:r w:rsidRPr="003C2BF2">
        <w:rPr>
          <w:rFonts w:cs="Times New Roman"/>
          <w:lang w:val="fr-CA"/>
        </w:rPr>
        <w:t>abord, M. MacDonald a repoussé les tentatives du concierge pour lui faire baisser le son de sa musique d</w:t>
      </w:r>
      <w:r>
        <w:rPr>
          <w:rFonts w:cs="Times New Roman"/>
          <w:lang w:val="fr-CA"/>
        </w:rPr>
        <w:t>’</w:t>
      </w:r>
      <w:r w:rsidRPr="003C2BF2">
        <w:rPr>
          <w:rFonts w:cs="Times New Roman"/>
          <w:lang w:val="fr-CA"/>
        </w:rPr>
        <w:t>une manière qualifiée avec diplomatie par le juge de première instance de [</w:t>
      </w:r>
      <w:r w:rsidRPr="003C2BF2">
        <w:rPr>
          <w:rFonts w:cs="Times New Roman"/>
          <w:smallCaps/>
          <w:lang w:val="fr-CA"/>
        </w:rPr>
        <w:t>traduction</w:t>
      </w:r>
      <w:r w:rsidRPr="003C2BF2">
        <w:rPr>
          <w:rFonts w:cs="Times New Roman"/>
          <w:lang w:val="fr-CA"/>
        </w:rPr>
        <w:t xml:space="preserve">] « peu diplomatique » (motifs de première instance, </w:t>
      </w:r>
      <w:proofErr w:type="spellStart"/>
      <w:r w:rsidRPr="003C2BF2">
        <w:rPr>
          <w:rFonts w:cs="Times New Roman"/>
          <w:lang w:val="fr-CA"/>
        </w:rPr>
        <w:t>d.a</w:t>
      </w:r>
      <w:proofErr w:type="spellEnd"/>
      <w:r w:rsidRPr="003C2BF2">
        <w:rPr>
          <w:rFonts w:cs="Times New Roman"/>
          <w:lang w:val="fr-CA"/>
        </w:rPr>
        <w:t>. de M. MacDonald, p. 5).  M</w:t>
      </w:r>
      <w:r w:rsidR="00F07580">
        <w:rPr>
          <w:rFonts w:cs="Times New Roman"/>
          <w:lang w:val="fr-CA"/>
        </w:rPr>
        <w:t xml:space="preserve">onsieur </w:t>
      </w:r>
      <w:r w:rsidRPr="003C2BF2">
        <w:rPr>
          <w:rFonts w:cs="Times New Roman"/>
          <w:lang w:val="fr-CA"/>
        </w:rPr>
        <w:t>MacDonald manifestait « des indices d</w:t>
      </w:r>
      <w:r>
        <w:rPr>
          <w:rFonts w:cs="Times New Roman"/>
          <w:lang w:val="fr-CA"/>
        </w:rPr>
        <w:t>’</w:t>
      </w:r>
      <w:r w:rsidRPr="003C2BF2">
        <w:rPr>
          <w:rFonts w:cs="Times New Roman"/>
          <w:lang w:val="fr-CA"/>
        </w:rPr>
        <w:t>intoxication » (</w:t>
      </w:r>
      <w:r w:rsidRPr="003C2BF2">
        <w:rPr>
          <w:rFonts w:cs="Times New Roman"/>
          <w:i/>
          <w:lang w:val="fr-CA"/>
        </w:rPr>
        <w:t>ibid.</w:t>
      </w:r>
      <w:r w:rsidRPr="003C2BF2">
        <w:rPr>
          <w:rFonts w:cs="Times New Roman"/>
          <w:lang w:val="fr-CA"/>
        </w:rPr>
        <w:t>).  Quand l</w:t>
      </w:r>
      <w:r>
        <w:rPr>
          <w:rFonts w:cs="Times New Roman"/>
          <w:lang w:val="fr-CA"/>
        </w:rPr>
        <w:t>’</w:t>
      </w:r>
      <w:r w:rsidRPr="003C2BF2">
        <w:rPr>
          <w:rFonts w:cs="Times New Roman"/>
          <w:lang w:val="fr-CA"/>
        </w:rPr>
        <w:t>agente Pierce s</w:t>
      </w:r>
      <w:r>
        <w:rPr>
          <w:rFonts w:cs="Times New Roman"/>
          <w:lang w:val="fr-CA"/>
        </w:rPr>
        <w:t>’</w:t>
      </w:r>
      <w:r w:rsidRPr="003C2BF2">
        <w:rPr>
          <w:rFonts w:cs="Times New Roman"/>
          <w:lang w:val="fr-CA"/>
        </w:rPr>
        <w:t>est présentée sur les lieux, M. MacDonald « a fermé la porte, obligeant l</w:t>
      </w:r>
      <w:r>
        <w:rPr>
          <w:rFonts w:cs="Times New Roman"/>
          <w:lang w:val="fr-CA"/>
        </w:rPr>
        <w:t>’</w:t>
      </w:r>
      <w:r w:rsidRPr="003C2BF2">
        <w:rPr>
          <w:rFonts w:cs="Times New Roman"/>
          <w:lang w:val="fr-CA"/>
        </w:rPr>
        <w:t>agente à retirer son pied du seuil, et lui a dit d</w:t>
      </w:r>
      <w:r>
        <w:rPr>
          <w:rFonts w:cs="Times New Roman"/>
          <w:lang w:val="fr-CA"/>
        </w:rPr>
        <w:t>’</w:t>
      </w:r>
      <w:r w:rsidRPr="003C2BF2">
        <w:rPr>
          <w:rFonts w:cs="Times New Roman"/>
          <w:lang w:val="fr-CA"/>
        </w:rPr>
        <w:t>aller au diable ou quelque chose du genre » (p. 6).  Le juge de première instance a accepté la thèse suivant laquelle le sergent Boyd avait vu un objet [</w:t>
      </w:r>
      <w:r w:rsidRPr="003C2BF2">
        <w:rPr>
          <w:rFonts w:cs="Times New Roman"/>
          <w:smallCaps/>
          <w:lang w:val="fr-CA"/>
        </w:rPr>
        <w:t>traduction</w:t>
      </w:r>
      <w:r w:rsidRPr="003C2BF2">
        <w:rPr>
          <w:rFonts w:cs="Times New Roman"/>
          <w:lang w:val="fr-CA"/>
        </w:rPr>
        <w:t xml:space="preserve">] « noir et brillant » dans la main de M. MacDonald (motifs du </w:t>
      </w:r>
      <w:proofErr w:type="spellStart"/>
      <w:r w:rsidRPr="003C2BF2">
        <w:rPr>
          <w:rFonts w:cs="Times New Roman"/>
          <w:lang w:val="fr-CA"/>
        </w:rPr>
        <w:t>voir</w:t>
      </w:r>
      <w:r w:rsidRPr="003C2BF2">
        <w:rPr>
          <w:rFonts w:cs="Times New Roman"/>
          <w:lang w:val="fr-CA"/>
        </w:rPr>
        <w:noBreakHyphen/>
        <w:t>dire</w:t>
      </w:r>
      <w:proofErr w:type="spellEnd"/>
      <w:r w:rsidRPr="003C2BF2">
        <w:rPr>
          <w:rFonts w:cs="Times New Roman"/>
          <w:lang w:val="fr-CA"/>
        </w:rPr>
        <w:t xml:space="preserve">, </w:t>
      </w:r>
      <w:proofErr w:type="spellStart"/>
      <w:r w:rsidRPr="003C2BF2">
        <w:rPr>
          <w:rFonts w:cs="Times New Roman"/>
          <w:lang w:val="fr-CA"/>
        </w:rPr>
        <w:t>d.a</w:t>
      </w:r>
      <w:proofErr w:type="spellEnd"/>
      <w:r w:rsidRPr="003C2BF2">
        <w:rPr>
          <w:rFonts w:cs="Times New Roman"/>
          <w:lang w:val="fr-CA"/>
        </w:rPr>
        <w:t xml:space="preserve">. de M. MacDonald, p. 248).  Fait important, « M. MacDonald dissimulait </w:t>
      </w:r>
      <w:proofErr w:type="spellStart"/>
      <w:r w:rsidRPr="003C2BF2">
        <w:rPr>
          <w:rFonts w:cs="Times New Roman"/>
          <w:lang w:val="fr-CA"/>
        </w:rPr>
        <w:t>celui</w:t>
      </w:r>
      <w:r w:rsidRPr="003C2BF2">
        <w:rPr>
          <w:rFonts w:cs="Times New Roman"/>
          <w:lang w:val="fr-CA"/>
        </w:rPr>
        <w:noBreakHyphen/>
        <w:t>ci</w:t>
      </w:r>
      <w:proofErr w:type="spellEnd"/>
      <w:r w:rsidRPr="003C2BF2">
        <w:rPr>
          <w:rFonts w:cs="Times New Roman"/>
          <w:lang w:val="fr-CA"/>
        </w:rPr>
        <w:t xml:space="preserve"> derrière sa jambe droite » (</w:t>
      </w:r>
      <w:r w:rsidRPr="003C2BF2">
        <w:rPr>
          <w:rFonts w:cs="Times New Roman"/>
          <w:i/>
          <w:lang w:val="fr-CA"/>
        </w:rPr>
        <w:t>ibid.</w:t>
      </w:r>
      <w:r w:rsidRPr="003C2BF2">
        <w:rPr>
          <w:rFonts w:cs="Times New Roman"/>
          <w:lang w:val="fr-CA"/>
        </w:rPr>
        <w:t>)</w:t>
      </w:r>
      <w:r w:rsidRPr="003C2BF2">
        <w:rPr>
          <w:rFonts w:cs="Times New Roman"/>
          <w:i/>
          <w:lang w:val="fr-CA"/>
        </w:rPr>
        <w:t xml:space="preserve">. </w:t>
      </w:r>
      <w:r w:rsidRPr="003C2BF2">
        <w:rPr>
          <w:rFonts w:cs="Times New Roman"/>
          <w:lang w:val="fr-CA"/>
        </w:rPr>
        <w:t xml:space="preserve"> De plus, le sergent Boyd a cru qu</w:t>
      </w:r>
      <w:r>
        <w:rPr>
          <w:rFonts w:cs="Times New Roman"/>
          <w:lang w:val="fr-CA"/>
        </w:rPr>
        <w:t>’</w:t>
      </w:r>
      <w:r w:rsidRPr="003C2BF2">
        <w:rPr>
          <w:rFonts w:cs="Times New Roman"/>
          <w:lang w:val="fr-CA"/>
        </w:rPr>
        <w:t>« il pouvait s</w:t>
      </w:r>
      <w:r>
        <w:rPr>
          <w:rFonts w:cs="Times New Roman"/>
          <w:lang w:val="fr-CA"/>
        </w:rPr>
        <w:t>’</w:t>
      </w:r>
      <w:r w:rsidRPr="003C2BF2">
        <w:rPr>
          <w:rFonts w:cs="Times New Roman"/>
          <w:lang w:val="fr-CA"/>
        </w:rPr>
        <w:t>agir d</w:t>
      </w:r>
      <w:r>
        <w:rPr>
          <w:rFonts w:cs="Times New Roman"/>
          <w:lang w:val="fr-CA"/>
        </w:rPr>
        <w:t>’</w:t>
      </w:r>
      <w:r w:rsidRPr="003C2BF2">
        <w:rPr>
          <w:rFonts w:cs="Times New Roman"/>
          <w:lang w:val="fr-CA"/>
        </w:rPr>
        <w:t>un couteau » (p. 249).  Dans ces circonstances, le sergent Boyd avait des motifs de soupçonner que M. MacDonald, qui avait manifesté un comportement hostile et agressif, était armé et dangereux — mais il n</w:t>
      </w:r>
      <w:r>
        <w:rPr>
          <w:rFonts w:cs="Times New Roman"/>
          <w:lang w:val="fr-CA"/>
        </w:rPr>
        <w:t>’</w:t>
      </w:r>
      <w:r w:rsidRPr="003C2BF2">
        <w:rPr>
          <w:rFonts w:cs="Times New Roman"/>
          <w:lang w:val="fr-CA"/>
        </w:rPr>
        <w:t>avait certainement pas de motifs raisonnables de croire qu</w:t>
      </w:r>
      <w:r>
        <w:rPr>
          <w:rFonts w:cs="Times New Roman"/>
          <w:lang w:val="fr-CA"/>
        </w:rPr>
        <w:t>’</w:t>
      </w:r>
      <w:r w:rsidRPr="003C2BF2">
        <w:rPr>
          <w:rFonts w:cs="Times New Roman"/>
          <w:lang w:val="fr-CA"/>
        </w:rPr>
        <w:t xml:space="preserve">il était armé et dangereux.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lastRenderedPageBreak/>
        <w:t xml:space="preserve">Nos collègues ne tiennent pas compte du témoignage clair du sergent Boyd et concluent plutôt que </w:t>
      </w:r>
      <w:proofErr w:type="spellStart"/>
      <w:r w:rsidRPr="003C2BF2">
        <w:rPr>
          <w:rFonts w:cs="Times New Roman"/>
          <w:lang w:val="fr-CA"/>
        </w:rPr>
        <w:t>celui</w:t>
      </w:r>
      <w:r w:rsidRPr="003C2BF2">
        <w:rPr>
          <w:rFonts w:cs="Times New Roman"/>
          <w:lang w:val="fr-CA"/>
        </w:rPr>
        <w:noBreakHyphen/>
        <w:t>ci</w:t>
      </w:r>
      <w:proofErr w:type="spellEnd"/>
      <w:r w:rsidRPr="003C2BF2">
        <w:rPr>
          <w:rFonts w:cs="Times New Roman"/>
          <w:lang w:val="fr-CA"/>
        </w:rPr>
        <w:t xml:space="preserve"> avait des motifs raisonnables de croire que M. MacDonald était armé et dangereux.  En toute déférence, nous ne sommes pas d</w:t>
      </w:r>
      <w:r>
        <w:rPr>
          <w:rFonts w:cs="Times New Roman"/>
          <w:lang w:val="fr-CA"/>
        </w:rPr>
        <w:t>’</w:t>
      </w:r>
      <w:r w:rsidRPr="003C2BF2">
        <w:rPr>
          <w:rFonts w:cs="Times New Roman"/>
          <w:lang w:val="fr-CA"/>
        </w:rPr>
        <w:t>accord avec eux.  C</w:t>
      </w:r>
      <w:r>
        <w:rPr>
          <w:rFonts w:cs="Times New Roman"/>
          <w:lang w:val="fr-CA"/>
        </w:rPr>
        <w:t>’</w:t>
      </w:r>
      <w:r w:rsidRPr="003C2BF2">
        <w:rPr>
          <w:rFonts w:cs="Times New Roman"/>
          <w:lang w:val="fr-CA"/>
        </w:rPr>
        <w:t>est la première fois qu</w:t>
      </w:r>
      <w:r>
        <w:rPr>
          <w:rFonts w:cs="Times New Roman"/>
          <w:lang w:val="fr-CA"/>
        </w:rPr>
        <w:t>’</w:t>
      </w:r>
      <w:r w:rsidRPr="003C2BF2">
        <w:rPr>
          <w:rFonts w:cs="Times New Roman"/>
          <w:lang w:val="fr-CA"/>
        </w:rPr>
        <w:t>une telle conclusion est tirée.  Ni le juge de première instance, ni aucun des juges de la Cour d</w:t>
      </w:r>
      <w:r>
        <w:rPr>
          <w:rFonts w:cs="Times New Roman"/>
          <w:lang w:val="fr-CA"/>
        </w:rPr>
        <w:t>’</w:t>
      </w:r>
      <w:r w:rsidRPr="003C2BF2">
        <w:rPr>
          <w:rFonts w:cs="Times New Roman"/>
          <w:lang w:val="fr-CA"/>
        </w:rPr>
        <w:t>appel n</w:t>
      </w:r>
      <w:r>
        <w:rPr>
          <w:rFonts w:cs="Times New Roman"/>
          <w:lang w:val="fr-CA"/>
        </w:rPr>
        <w:t>’</w:t>
      </w:r>
      <w:r w:rsidRPr="003C2BF2">
        <w:rPr>
          <w:rFonts w:cs="Times New Roman"/>
          <w:lang w:val="fr-CA"/>
        </w:rPr>
        <w:t>ont conclu en ce sens.  De</w:t>
      </w:r>
      <w:r w:rsidR="00F07580">
        <w:rPr>
          <w:rFonts w:cs="Times New Roman"/>
          <w:lang w:val="fr-CA"/>
        </w:rPr>
        <w:t xml:space="preserve"> plus</w:t>
      </w:r>
      <w:r w:rsidRPr="003C2BF2">
        <w:rPr>
          <w:rFonts w:cs="Times New Roman"/>
          <w:lang w:val="fr-CA"/>
        </w:rPr>
        <w:t>, nul n</w:t>
      </w:r>
      <w:r>
        <w:rPr>
          <w:rFonts w:cs="Times New Roman"/>
          <w:lang w:val="fr-CA"/>
        </w:rPr>
        <w:t>’</w:t>
      </w:r>
      <w:r w:rsidRPr="003C2BF2">
        <w:rPr>
          <w:rFonts w:cs="Times New Roman"/>
          <w:lang w:val="fr-CA"/>
        </w:rPr>
        <w:t>a soulevé pareil argument en l</w:t>
      </w:r>
      <w:r>
        <w:rPr>
          <w:rFonts w:cs="Times New Roman"/>
          <w:lang w:val="fr-CA"/>
        </w:rPr>
        <w:t>’</w:t>
      </w:r>
      <w:r w:rsidRPr="003C2BF2">
        <w:rPr>
          <w:rFonts w:cs="Times New Roman"/>
          <w:lang w:val="fr-CA"/>
        </w:rPr>
        <w:t>espèce.  En fait, selon le ministère public, il est [</w:t>
      </w:r>
      <w:r w:rsidRPr="003C2BF2">
        <w:rPr>
          <w:rFonts w:cs="Times New Roman"/>
          <w:smallCaps/>
          <w:lang w:val="fr-CA"/>
        </w:rPr>
        <w:t>traduction</w:t>
      </w:r>
      <w:r w:rsidRPr="003C2BF2">
        <w:rPr>
          <w:rFonts w:cs="Times New Roman"/>
          <w:lang w:val="fr-CA"/>
        </w:rPr>
        <w:t>] « totalement irréaliste » d</w:t>
      </w:r>
      <w:r>
        <w:rPr>
          <w:rFonts w:cs="Times New Roman"/>
          <w:lang w:val="fr-CA"/>
        </w:rPr>
        <w:t>’</w:t>
      </w:r>
      <w:r w:rsidRPr="003C2BF2">
        <w:rPr>
          <w:rFonts w:cs="Times New Roman"/>
          <w:lang w:val="fr-CA"/>
        </w:rPr>
        <w:t xml:space="preserve">appliquer une norme des motifs raisonnables </w:t>
      </w:r>
      <w:r w:rsidR="00F07580">
        <w:rPr>
          <w:rFonts w:cs="Times New Roman"/>
          <w:lang w:val="fr-CA"/>
        </w:rPr>
        <w:t>et probables dans ce contexte (</w:t>
      </w:r>
      <w:proofErr w:type="gramStart"/>
      <w:r w:rsidR="00F07580">
        <w:rPr>
          <w:rFonts w:cs="Times New Roman"/>
          <w:lang w:val="fr-CA"/>
        </w:rPr>
        <w:t>m</w:t>
      </w:r>
      <w:r w:rsidRPr="003C2BF2">
        <w:rPr>
          <w:rFonts w:cs="Times New Roman"/>
          <w:lang w:val="fr-CA"/>
        </w:rPr>
        <w:t>.i.,</w:t>
      </w:r>
      <w:proofErr w:type="gramEnd"/>
      <w:r w:rsidRPr="003C2BF2">
        <w:rPr>
          <w:rFonts w:cs="Times New Roman"/>
          <w:lang w:val="fr-CA"/>
        </w:rPr>
        <w:t xml:space="preserve"> par. 46).</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Exagérer la nature du témoignage livré par le sergent Boyd n</w:t>
      </w:r>
      <w:r>
        <w:rPr>
          <w:rFonts w:cs="Times New Roman"/>
          <w:lang w:val="fr-CA"/>
        </w:rPr>
        <w:t>’</w:t>
      </w:r>
      <w:r w:rsidRPr="003C2BF2">
        <w:rPr>
          <w:rFonts w:cs="Times New Roman"/>
          <w:lang w:val="fr-CA"/>
        </w:rPr>
        <w:t>est pas seulement incompatible avec la preuve en l</w:t>
      </w:r>
      <w:r>
        <w:rPr>
          <w:rFonts w:cs="Times New Roman"/>
          <w:lang w:val="fr-CA"/>
        </w:rPr>
        <w:t>’</w:t>
      </w:r>
      <w:r w:rsidRPr="003C2BF2">
        <w:rPr>
          <w:rFonts w:cs="Times New Roman"/>
          <w:lang w:val="fr-CA"/>
        </w:rPr>
        <w:t>espèce, mais abaisse aussi considérablement la norme des motifs raisonnables de croire en éliminant la condition subjective à respecter pour y satisfaire (</w:t>
      </w:r>
      <w:r w:rsidRPr="003C2BF2">
        <w:rPr>
          <w:rFonts w:cs="Times New Roman"/>
          <w:i/>
          <w:lang w:val="fr-CA"/>
        </w:rPr>
        <w:t xml:space="preserve">R. c. </w:t>
      </w:r>
      <w:proofErr w:type="spellStart"/>
      <w:r w:rsidRPr="003C2BF2">
        <w:rPr>
          <w:rFonts w:cs="Times New Roman"/>
          <w:i/>
          <w:lang w:val="fr-CA"/>
        </w:rPr>
        <w:t>Storrey</w:t>
      </w:r>
      <w:proofErr w:type="spellEnd"/>
      <w:r w:rsidR="00F07580">
        <w:rPr>
          <w:rFonts w:cs="Times New Roman"/>
          <w:lang w:val="fr-CA"/>
        </w:rPr>
        <w:t xml:space="preserve">, [1990] </w:t>
      </w:r>
      <w:r w:rsidRPr="003C2BF2">
        <w:rPr>
          <w:rFonts w:cs="Times New Roman"/>
          <w:lang w:val="fr-CA"/>
        </w:rPr>
        <w:t>1</w:t>
      </w:r>
      <w:r w:rsidR="00F07580">
        <w:rPr>
          <w:rFonts w:cs="Times New Roman"/>
          <w:lang w:val="fr-CA"/>
        </w:rPr>
        <w:t xml:space="preserve"> </w:t>
      </w:r>
      <w:r w:rsidRPr="003C2BF2">
        <w:rPr>
          <w:rFonts w:cs="Times New Roman"/>
          <w:lang w:val="fr-CA"/>
        </w:rPr>
        <w:t>R.C.S.</w:t>
      </w:r>
      <w:r w:rsidR="00F07580">
        <w:rPr>
          <w:rFonts w:cs="Times New Roman"/>
          <w:lang w:val="fr-CA"/>
        </w:rPr>
        <w:t xml:space="preserve"> </w:t>
      </w:r>
      <w:r w:rsidRPr="003C2BF2">
        <w:rPr>
          <w:rFonts w:cs="Times New Roman"/>
          <w:lang w:val="fr-CA"/>
        </w:rPr>
        <w:t>241, p. 250</w:t>
      </w:r>
      <w:r w:rsidRPr="003C2BF2">
        <w:rPr>
          <w:rFonts w:cs="Times New Roman"/>
          <w:lang w:val="fr-CA"/>
        </w:rPr>
        <w:noBreakHyphen/>
        <w:t xml:space="preserve">251).  Il est clair en droit que le policier doit croire </w:t>
      </w:r>
      <w:r w:rsidRPr="003C2BF2">
        <w:rPr>
          <w:rFonts w:cs="Times New Roman"/>
          <w:i/>
          <w:lang w:val="fr-CA"/>
        </w:rPr>
        <w:t xml:space="preserve">subjectivement </w:t>
      </w:r>
      <w:r w:rsidRPr="003C2BF2">
        <w:rPr>
          <w:rFonts w:cs="Times New Roman"/>
          <w:lang w:val="fr-CA"/>
        </w:rPr>
        <w:t>à l</w:t>
      </w:r>
      <w:r>
        <w:rPr>
          <w:rFonts w:cs="Times New Roman"/>
          <w:lang w:val="fr-CA"/>
        </w:rPr>
        <w:t>’</w:t>
      </w:r>
      <w:r w:rsidRPr="003C2BF2">
        <w:rPr>
          <w:rFonts w:cs="Times New Roman"/>
          <w:lang w:val="fr-CA"/>
        </w:rPr>
        <w:t>existence de motifs raisonnables et probables; une croyance objective ne suffit pas.  En l</w:t>
      </w:r>
      <w:r>
        <w:rPr>
          <w:rFonts w:cs="Times New Roman"/>
          <w:lang w:val="fr-CA"/>
        </w:rPr>
        <w:t>’</w:t>
      </w:r>
      <w:r w:rsidRPr="003C2BF2">
        <w:rPr>
          <w:rFonts w:cs="Times New Roman"/>
          <w:lang w:val="fr-CA"/>
        </w:rPr>
        <w:t xml:space="preserve">espèce, toutefois, le témoignage du sergent Boyd selon lequel il « craignait » que M. MacDonald « puisse » être armé est incompatible avec la conclusion des juges majoritaires selon laquelle le sergent Boyd croyait </w:t>
      </w:r>
      <w:proofErr w:type="spellStart"/>
      <w:r w:rsidRPr="003C2BF2">
        <w:rPr>
          <w:rFonts w:cs="Times New Roman"/>
          <w:lang w:val="fr-CA"/>
        </w:rPr>
        <w:t>lui</w:t>
      </w:r>
      <w:r w:rsidRPr="003C2BF2">
        <w:rPr>
          <w:rFonts w:cs="Times New Roman"/>
          <w:lang w:val="fr-CA"/>
        </w:rPr>
        <w:noBreakHyphen/>
        <w:t>même</w:t>
      </w:r>
      <w:proofErr w:type="spellEnd"/>
      <w:r w:rsidRPr="003C2BF2">
        <w:rPr>
          <w:rFonts w:cs="Times New Roman"/>
          <w:lang w:val="fr-CA"/>
        </w:rPr>
        <w:t xml:space="preserve"> à l</w:t>
      </w:r>
      <w:r>
        <w:rPr>
          <w:rFonts w:cs="Times New Roman"/>
          <w:lang w:val="fr-CA"/>
        </w:rPr>
        <w:t>’</w:t>
      </w:r>
      <w:r w:rsidRPr="003C2BF2">
        <w:rPr>
          <w:rFonts w:cs="Times New Roman"/>
          <w:lang w:val="fr-CA"/>
        </w:rPr>
        <w:t>existence de motifs raisonnables et probables.  Le sergent Boyd croyait à une possibilité, et non à une probabilité</w:t>
      </w:r>
      <w:r w:rsidRPr="003C2BF2">
        <w:rPr>
          <w:rStyle w:val="FootnoteReference"/>
          <w:rFonts w:cs="Times New Roman"/>
          <w:lang w:val="fr-CA"/>
        </w:rPr>
        <w:footnoteReference w:id="1"/>
      </w:r>
      <w:r w:rsidRPr="003C2BF2">
        <w:rPr>
          <w:rFonts w:cs="Times New Roman"/>
          <w:lang w:val="fr-CA"/>
        </w:rPr>
        <w:t xml:space="preserve">.  Autrement dit, il </w:t>
      </w:r>
      <w:r w:rsidRPr="003C2BF2">
        <w:rPr>
          <w:rFonts w:cs="Times New Roman"/>
          <w:i/>
          <w:lang w:val="fr-CA"/>
        </w:rPr>
        <w:t xml:space="preserve">soupçonnait </w:t>
      </w:r>
      <w:r w:rsidRPr="003C2BF2">
        <w:rPr>
          <w:rFonts w:cs="Times New Roman"/>
          <w:lang w:val="fr-CA"/>
        </w:rPr>
        <w:t>subjectivement M. MacDonald d</w:t>
      </w:r>
      <w:r>
        <w:rPr>
          <w:rFonts w:cs="Times New Roman"/>
          <w:lang w:val="fr-CA"/>
        </w:rPr>
        <w:t>’</w:t>
      </w:r>
      <w:r w:rsidRPr="003C2BF2">
        <w:rPr>
          <w:rFonts w:cs="Times New Roman"/>
          <w:lang w:val="fr-CA"/>
        </w:rPr>
        <w:t xml:space="preserve">être armé, et ces soupçons étaient objectivement raisonnables.  </w:t>
      </w:r>
    </w:p>
    <w:p w:rsidR="00BF4088" w:rsidRPr="003C2BF2" w:rsidRDefault="00BF4088" w:rsidP="00BF4088">
      <w:pPr>
        <w:pStyle w:val="ParaNoNdepar-AltN"/>
        <w:tabs>
          <w:tab w:val="clear" w:pos="1152"/>
          <w:tab w:val="left" w:pos="1166"/>
        </w:tabs>
        <w:rPr>
          <w:rFonts w:cs="Times New Roman"/>
          <w:b/>
          <w:lang w:val="fr-CA"/>
        </w:rPr>
      </w:pPr>
      <w:r w:rsidRPr="003C2BF2">
        <w:rPr>
          <w:rFonts w:cs="Times New Roman"/>
          <w:lang w:val="fr-CA"/>
        </w:rPr>
        <w:lastRenderedPageBreak/>
        <w:t xml:space="preserve">À la lumière de ces cinq motifs — le libellé de </w:t>
      </w:r>
      <w:r w:rsidRPr="003C2BF2">
        <w:rPr>
          <w:rFonts w:cs="Times New Roman"/>
          <w:i/>
          <w:lang w:val="fr-CA"/>
        </w:rPr>
        <w:t>Mann</w:t>
      </w:r>
      <w:r w:rsidRPr="003C2BF2">
        <w:rPr>
          <w:rFonts w:cs="Times New Roman"/>
          <w:lang w:val="fr-CA"/>
        </w:rPr>
        <w:t>, le contexte historique ayant mené à cet arrêt, les conséquences logiques de l</w:t>
      </w:r>
      <w:r>
        <w:rPr>
          <w:rFonts w:cs="Times New Roman"/>
          <w:lang w:val="fr-CA"/>
        </w:rPr>
        <w:t>’</w:t>
      </w:r>
      <w:r w:rsidRPr="003C2BF2">
        <w:rPr>
          <w:rFonts w:cs="Times New Roman"/>
          <w:lang w:val="fr-CA"/>
        </w:rPr>
        <w:t>interprétation selon laquelle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xml:space="preserve"> exige des motifs raisonnables de croire, la jurisprudence qui a interprété ce précédent, et les faits de l</w:t>
      </w:r>
      <w:r>
        <w:rPr>
          <w:rFonts w:cs="Times New Roman"/>
          <w:lang w:val="fr-CA"/>
        </w:rPr>
        <w:t>’</w:t>
      </w:r>
      <w:r w:rsidRPr="003C2BF2">
        <w:rPr>
          <w:rFonts w:cs="Times New Roman"/>
          <w:lang w:val="fr-CA"/>
        </w:rPr>
        <w:t>espèce — une seule conclusion s</w:t>
      </w:r>
      <w:r>
        <w:rPr>
          <w:rFonts w:cs="Times New Roman"/>
          <w:lang w:val="fr-CA"/>
        </w:rPr>
        <w:t>’</w:t>
      </w:r>
      <w:r w:rsidRPr="003C2BF2">
        <w:rPr>
          <w:rFonts w:cs="Times New Roman"/>
          <w:lang w:val="fr-CA"/>
        </w:rPr>
        <w:t>impose : l</w:t>
      </w:r>
      <w:r>
        <w:rPr>
          <w:rFonts w:cs="Times New Roman"/>
          <w:lang w:val="fr-CA"/>
        </w:rPr>
        <w:t>’</w:t>
      </w:r>
      <w:r w:rsidRPr="003C2BF2">
        <w:rPr>
          <w:rFonts w:cs="Times New Roman"/>
          <w:lang w:val="fr-CA"/>
        </w:rPr>
        <w:t xml:space="preserve">arrêt </w:t>
      </w:r>
      <w:r w:rsidRPr="003C2BF2">
        <w:rPr>
          <w:rFonts w:cs="Times New Roman"/>
          <w:i/>
          <w:lang w:val="fr-CA"/>
        </w:rPr>
        <w:t xml:space="preserve">Mann </w:t>
      </w:r>
      <w:r w:rsidRPr="003C2BF2">
        <w:rPr>
          <w:rFonts w:cs="Times New Roman"/>
          <w:lang w:val="fr-CA"/>
        </w:rPr>
        <w:t>reconnaît un pouvoir de fouille préventive fondé sur des soupçons raisonnables.</w:t>
      </w:r>
    </w:p>
    <w:p w:rsidR="00BF4088" w:rsidRPr="003C2BF2" w:rsidRDefault="00BF4088" w:rsidP="00BF4088">
      <w:pPr>
        <w:pStyle w:val="ParaNoNdepar-AltN"/>
        <w:tabs>
          <w:tab w:val="clear" w:pos="1152"/>
          <w:tab w:val="left" w:pos="1166"/>
        </w:tabs>
        <w:rPr>
          <w:rFonts w:cs="Times New Roman"/>
          <w:b/>
          <w:lang w:val="fr-CA"/>
        </w:rPr>
      </w:pPr>
      <w:r w:rsidRPr="003C2BF2">
        <w:rPr>
          <w:rFonts w:cs="Times New Roman"/>
          <w:lang w:val="fr-CA"/>
        </w:rPr>
        <w:t xml:space="preserve">On aurait pu — et il aurait fallu — résoudre la présente affaire suivant la logique de </w:t>
      </w:r>
      <w:r w:rsidRPr="003C2BF2">
        <w:rPr>
          <w:rFonts w:cs="Times New Roman"/>
          <w:i/>
          <w:lang w:val="fr-CA"/>
        </w:rPr>
        <w:t>Mann</w:t>
      </w:r>
      <w:r w:rsidRPr="003C2BF2">
        <w:rPr>
          <w:rFonts w:cs="Times New Roman"/>
          <w:lang w:val="fr-CA"/>
        </w:rPr>
        <w:t>.  Premièrement, le sergent Boyd, dans l</w:t>
      </w:r>
      <w:r>
        <w:rPr>
          <w:rFonts w:cs="Times New Roman"/>
          <w:lang w:val="fr-CA"/>
        </w:rPr>
        <w:t>’</w:t>
      </w:r>
      <w:r w:rsidRPr="003C2BF2">
        <w:rPr>
          <w:rFonts w:cs="Times New Roman"/>
          <w:lang w:val="fr-CA"/>
        </w:rPr>
        <w:t>exercice légitime de ses fonctions, soupçonnait raisonnablement que M. MacDonald était armé et dangereux.  Deuxièmement, à cause de ces soupçons raisonnables, la conduite du sergent Boyd — pousser la porte de M. MacDonald pour l</w:t>
      </w:r>
      <w:r>
        <w:rPr>
          <w:rFonts w:cs="Times New Roman"/>
          <w:lang w:val="fr-CA"/>
        </w:rPr>
        <w:t>’</w:t>
      </w:r>
      <w:r w:rsidRPr="003C2BF2">
        <w:rPr>
          <w:rFonts w:cs="Times New Roman"/>
          <w:lang w:val="fr-CA"/>
        </w:rPr>
        <w:t>ouvrir quelques pouces de plus — « n</w:t>
      </w:r>
      <w:r>
        <w:rPr>
          <w:rFonts w:cs="Times New Roman"/>
          <w:lang w:val="fr-CA"/>
        </w:rPr>
        <w:t>’</w:t>
      </w:r>
      <w:r w:rsidRPr="003C2BF2">
        <w:rPr>
          <w:rFonts w:cs="Times New Roman"/>
          <w:lang w:val="fr-CA"/>
        </w:rPr>
        <w:t>a porté atteinte à la liberté que dans la mesure raisonnablement nécessaire pour faire face au risque » (</w:t>
      </w:r>
      <w:r w:rsidRPr="003C2BF2">
        <w:rPr>
          <w:rFonts w:cs="Times New Roman"/>
          <w:i/>
          <w:lang w:val="fr-CA"/>
        </w:rPr>
        <w:t>Aucoin</w:t>
      </w:r>
      <w:r w:rsidRPr="003C2BF2">
        <w:rPr>
          <w:rFonts w:cs="Times New Roman"/>
          <w:lang w:val="fr-CA"/>
        </w:rPr>
        <w:t xml:space="preserve">, par. 36, citant </w:t>
      </w:r>
      <w:r w:rsidRPr="003C2BF2">
        <w:rPr>
          <w:rFonts w:cs="Times New Roman"/>
          <w:i/>
          <w:lang w:val="fr-CA"/>
        </w:rPr>
        <w:t>Clayton</w:t>
      </w:r>
      <w:r w:rsidRPr="003C2BF2">
        <w:rPr>
          <w:rFonts w:cs="Times New Roman"/>
          <w:lang w:val="fr-CA"/>
        </w:rPr>
        <w:t>, par. 31).  En conséquence, la fouille était non abusive pour les besoins de l</w:t>
      </w:r>
      <w:r>
        <w:rPr>
          <w:rFonts w:cs="Times New Roman"/>
          <w:lang w:val="fr-CA"/>
        </w:rPr>
        <w:t>’</w:t>
      </w:r>
      <w:r w:rsidRPr="003C2BF2">
        <w:rPr>
          <w:rFonts w:cs="Times New Roman"/>
          <w:lang w:val="fr-CA"/>
        </w:rPr>
        <w:t>art. 8.</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 xml:space="preserve">Il importe de souligner que, dans des cas comme </w:t>
      </w:r>
      <w:proofErr w:type="spellStart"/>
      <w:r w:rsidRPr="003C2BF2">
        <w:rPr>
          <w:rFonts w:cs="Times New Roman"/>
          <w:lang w:val="fr-CA"/>
        </w:rPr>
        <w:t>celui</w:t>
      </w:r>
      <w:r w:rsidRPr="003C2BF2">
        <w:rPr>
          <w:rFonts w:cs="Times New Roman"/>
          <w:lang w:val="fr-CA"/>
        </w:rPr>
        <w:noBreakHyphen/>
        <w:t>ci</w:t>
      </w:r>
      <w:proofErr w:type="spellEnd"/>
      <w:r w:rsidRPr="003C2BF2">
        <w:rPr>
          <w:rFonts w:cs="Times New Roman"/>
          <w:lang w:val="fr-CA"/>
        </w:rPr>
        <w:t>, la « norme de l</w:t>
      </w:r>
      <w:r>
        <w:rPr>
          <w:rFonts w:cs="Times New Roman"/>
          <w:lang w:val="fr-CA"/>
        </w:rPr>
        <w:t>’</w:t>
      </w:r>
      <w:r w:rsidRPr="003C2BF2">
        <w:rPr>
          <w:rFonts w:cs="Times New Roman"/>
          <w:lang w:val="fr-CA"/>
        </w:rPr>
        <w:t xml:space="preserve">arrêt </w:t>
      </w:r>
      <w:r w:rsidRPr="003C2BF2">
        <w:rPr>
          <w:rFonts w:cs="Times New Roman"/>
          <w:i/>
          <w:lang w:val="fr-CA"/>
        </w:rPr>
        <w:t>Mann</w:t>
      </w:r>
      <w:r w:rsidRPr="003C2BF2">
        <w:rPr>
          <w:rFonts w:cs="Times New Roman"/>
          <w:lang w:val="fr-CA"/>
        </w:rPr>
        <w:t> » relative aux fouilles préventives, interprétée adéquatement, n</w:t>
      </w:r>
      <w:r>
        <w:rPr>
          <w:rFonts w:cs="Times New Roman"/>
          <w:lang w:val="fr-CA"/>
        </w:rPr>
        <w:t>’</w:t>
      </w:r>
      <w:r w:rsidRPr="003C2BF2">
        <w:rPr>
          <w:rFonts w:cs="Times New Roman"/>
          <w:lang w:val="fr-CA"/>
        </w:rPr>
        <w:t>autorise pas les policiers à effectuer des fouilles au hasard à leur gré ou en se fiant à leur intuition.  Au contraire, les soupçons d</w:t>
      </w:r>
      <w:r>
        <w:rPr>
          <w:rFonts w:cs="Times New Roman"/>
          <w:lang w:val="fr-CA"/>
        </w:rPr>
        <w:t>’</w:t>
      </w:r>
      <w:r w:rsidRPr="003C2BF2">
        <w:rPr>
          <w:rFonts w:cs="Times New Roman"/>
          <w:lang w:val="fr-CA"/>
        </w:rPr>
        <w:t>un policier selon lesquels une personne est armée et dangereuse doivent être raisonnables eu égard à l</w:t>
      </w:r>
      <w:r>
        <w:rPr>
          <w:rFonts w:cs="Times New Roman"/>
          <w:lang w:val="fr-CA"/>
        </w:rPr>
        <w:t>’</w:t>
      </w:r>
      <w:r w:rsidRPr="003C2BF2">
        <w:rPr>
          <w:rFonts w:cs="Times New Roman"/>
          <w:lang w:val="fr-CA"/>
        </w:rPr>
        <w:t>ensemble des circonstances.  Tout comme l</w:t>
      </w:r>
      <w:r>
        <w:rPr>
          <w:rFonts w:cs="Times New Roman"/>
          <w:lang w:val="fr-CA"/>
        </w:rPr>
        <w:t>’</w:t>
      </w:r>
      <w:r w:rsidRPr="003C2BF2">
        <w:rPr>
          <w:rFonts w:cs="Times New Roman"/>
          <w:lang w:val="fr-CA"/>
        </w:rPr>
        <w:t xml:space="preserve">a récemment affirmé la Cour dans </w:t>
      </w:r>
      <w:proofErr w:type="spellStart"/>
      <w:r w:rsidRPr="003C2BF2">
        <w:rPr>
          <w:rFonts w:cs="Times New Roman"/>
          <w:i/>
          <w:lang w:val="fr-CA"/>
        </w:rPr>
        <w:t>Chehil</w:t>
      </w:r>
      <w:proofErr w:type="spellEnd"/>
      <w:r w:rsidRPr="003C2BF2">
        <w:rPr>
          <w:rFonts w:cs="Times New Roman"/>
          <w:lang w:val="fr-CA"/>
        </w:rPr>
        <w:t>, la croyance doit découler de « faits objectivement discernables, qui peuvent ensuite être soumis à l</w:t>
      </w:r>
      <w:r>
        <w:rPr>
          <w:rFonts w:cs="Times New Roman"/>
          <w:lang w:val="fr-CA"/>
        </w:rPr>
        <w:t>’</w:t>
      </w:r>
      <w:r w:rsidRPr="003C2BF2">
        <w:rPr>
          <w:rFonts w:cs="Times New Roman"/>
          <w:lang w:val="fr-CA"/>
        </w:rPr>
        <w:t xml:space="preserve">examen judiciaire indépendant » (par. 26).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lastRenderedPageBreak/>
        <w:t>La norme proposée des soupçons raisonnables — même si elle autorise l</w:t>
      </w:r>
      <w:r>
        <w:rPr>
          <w:rFonts w:cs="Times New Roman"/>
          <w:lang w:val="fr-CA"/>
        </w:rPr>
        <w:t>’</w:t>
      </w:r>
      <w:r w:rsidRPr="003C2BF2">
        <w:rPr>
          <w:rFonts w:cs="Times New Roman"/>
          <w:lang w:val="fr-CA"/>
        </w:rPr>
        <w:t xml:space="preserve">entrée dans une résidence — ne déroge pas non plus à la </w:t>
      </w:r>
      <w:r w:rsidRPr="003C2BF2">
        <w:rPr>
          <w:rFonts w:cs="Times New Roman"/>
          <w:i/>
          <w:iCs/>
          <w:lang w:val="fr-CA"/>
        </w:rPr>
        <w:t>Charte</w:t>
      </w:r>
      <w:r w:rsidRPr="00042109">
        <w:rPr>
          <w:rFonts w:cs="Times New Roman"/>
          <w:iCs/>
          <w:lang w:val="fr-CA"/>
        </w:rPr>
        <w:t>.</w:t>
      </w:r>
      <w:r w:rsidRPr="003C2BF2">
        <w:rPr>
          <w:rFonts w:cs="Times New Roman"/>
          <w:lang w:val="fr-CA"/>
        </w:rPr>
        <w:t xml:space="preserve"> Bien qu</w:t>
      </w:r>
      <w:r>
        <w:rPr>
          <w:rFonts w:cs="Times New Roman"/>
          <w:lang w:val="fr-CA"/>
        </w:rPr>
        <w:t>’</w:t>
      </w:r>
      <w:r w:rsidRPr="003C2BF2">
        <w:rPr>
          <w:rFonts w:cs="Times New Roman"/>
          <w:lang w:val="fr-CA"/>
        </w:rPr>
        <w:t>il ait établi une présomption d</w:t>
      </w:r>
      <w:r>
        <w:rPr>
          <w:rFonts w:cs="Times New Roman"/>
          <w:lang w:val="fr-CA"/>
        </w:rPr>
        <w:t>’</w:t>
      </w:r>
      <w:r w:rsidRPr="003C2BF2">
        <w:rPr>
          <w:rFonts w:cs="Times New Roman"/>
          <w:lang w:val="fr-CA"/>
        </w:rPr>
        <w:t>application de la norme des motifs raisonnables et probables, le juge Dickson (plus tard Juge en chef) dans l</w:t>
      </w:r>
      <w:r>
        <w:rPr>
          <w:rFonts w:cs="Times New Roman"/>
          <w:lang w:val="fr-CA"/>
        </w:rPr>
        <w:t>’</w:t>
      </w:r>
      <w:r w:rsidRPr="003C2BF2">
        <w:rPr>
          <w:rFonts w:cs="Times New Roman"/>
          <w:lang w:val="fr-CA"/>
        </w:rPr>
        <w:t xml:space="preserve">arrêt </w:t>
      </w:r>
      <w:r w:rsidRPr="003C2BF2">
        <w:rPr>
          <w:rFonts w:cs="Times New Roman"/>
          <w:i/>
          <w:iCs/>
          <w:lang w:val="fr-CA"/>
        </w:rPr>
        <w:t xml:space="preserve">Hunter </w:t>
      </w:r>
      <w:r w:rsidRPr="003C2BF2">
        <w:rPr>
          <w:rFonts w:cs="Times New Roman"/>
          <w:lang w:val="fr-CA"/>
        </w:rPr>
        <w:t>a pris soin de préciser que, dans certaines circonstances, « le critère pertinent pourrait fort bien être différent » (p. 168).  Autrement dit, l</w:t>
      </w:r>
      <w:r>
        <w:rPr>
          <w:rFonts w:cs="Times New Roman"/>
          <w:lang w:val="fr-CA"/>
        </w:rPr>
        <w:t>’</w:t>
      </w:r>
      <w:r w:rsidRPr="003C2BF2">
        <w:rPr>
          <w:rFonts w:cs="Times New Roman"/>
          <w:lang w:val="fr-CA"/>
        </w:rPr>
        <w:t>objectif de la fouille est important.  Bien que, en règle générale, un mandat décerné sur la foi de motifs raisonnables et probables soit nécessaire pour pouvoir pénétrer dans une résidence afin de procéder à une arrestation (</w:t>
      </w:r>
      <w:r w:rsidRPr="003C2BF2">
        <w:rPr>
          <w:rFonts w:cs="Times New Roman"/>
          <w:i/>
          <w:iCs/>
          <w:lang w:val="fr-CA"/>
        </w:rPr>
        <w:t xml:space="preserve">R. c. </w:t>
      </w:r>
      <w:proofErr w:type="spellStart"/>
      <w:r w:rsidRPr="003C2BF2">
        <w:rPr>
          <w:rFonts w:cs="Times New Roman"/>
          <w:i/>
          <w:iCs/>
          <w:lang w:val="fr-CA"/>
        </w:rPr>
        <w:t>Feeney</w:t>
      </w:r>
      <w:proofErr w:type="spellEnd"/>
      <w:r w:rsidRPr="003C2BF2">
        <w:rPr>
          <w:rFonts w:cs="Times New Roman"/>
          <w:lang w:val="fr-CA"/>
        </w:rPr>
        <w:t xml:space="preserve">, [1997] 2 R.C.S. 13), le </w:t>
      </w:r>
      <w:r w:rsidRPr="003C2BF2">
        <w:rPr>
          <w:rFonts w:cs="Times New Roman"/>
          <w:i/>
          <w:lang w:val="fr-CA"/>
        </w:rPr>
        <w:t xml:space="preserve">Code criminel </w:t>
      </w:r>
      <w:r w:rsidRPr="003C2BF2">
        <w:rPr>
          <w:rFonts w:cs="Times New Roman"/>
          <w:lang w:val="fr-CA"/>
        </w:rPr>
        <w:t>autorise certaines entrées sans mandat en situation d</w:t>
      </w:r>
      <w:r>
        <w:rPr>
          <w:rFonts w:cs="Times New Roman"/>
          <w:lang w:val="fr-CA"/>
        </w:rPr>
        <w:t>’</w:t>
      </w:r>
      <w:r w:rsidRPr="003C2BF2">
        <w:rPr>
          <w:rFonts w:cs="Times New Roman"/>
          <w:lang w:val="fr-CA"/>
        </w:rPr>
        <w:t>« urgence » lorsqu</w:t>
      </w:r>
      <w:r>
        <w:rPr>
          <w:rFonts w:cs="Times New Roman"/>
          <w:lang w:val="fr-CA"/>
        </w:rPr>
        <w:t>’</w:t>
      </w:r>
      <w:r w:rsidRPr="003C2BF2">
        <w:rPr>
          <w:rFonts w:cs="Times New Roman"/>
          <w:lang w:val="fr-CA"/>
        </w:rPr>
        <w:t xml:space="preserve">il existe « des motifs raisonnables de </w:t>
      </w:r>
      <w:r w:rsidRPr="003C2BF2">
        <w:rPr>
          <w:rFonts w:cs="Times New Roman"/>
          <w:u w:val="single"/>
          <w:lang w:val="fr-CA"/>
        </w:rPr>
        <w:t>soupçonner</w:t>
      </w:r>
      <w:r w:rsidRPr="003C2BF2">
        <w:rPr>
          <w:rFonts w:cs="Times New Roman"/>
          <w:lang w:val="fr-CA"/>
        </w:rPr>
        <w:t xml:space="preserve"> qu</w:t>
      </w:r>
      <w:r>
        <w:rPr>
          <w:rFonts w:cs="Times New Roman"/>
          <w:lang w:val="fr-CA"/>
        </w:rPr>
        <w:t>’</w:t>
      </w:r>
      <w:r w:rsidRPr="003C2BF2">
        <w:rPr>
          <w:rFonts w:cs="Times New Roman"/>
          <w:lang w:val="fr-CA"/>
        </w:rPr>
        <w:t>il est nécessaire de pénétrer dans la maison d</w:t>
      </w:r>
      <w:r>
        <w:rPr>
          <w:rFonts w:cs="Times New Roman"/>
          <w:lang w:val="fr-CA"/>
        </w:rPr>
        <w:t>’</w:t>
      </w:r>
      <w:r w:rsidRPr="003C2BF2">
        <w:rPr>
          <w:rFonts w:cs="Times New Roman"/>
          <w:lang w:val="fr-CA"/>
        </w:rPr>
        <w:t>habitation pour éviter à une personne des lésions corporelles imminentes ou la mort » (voir, p. ex., l</w:t>
      </w:r>
      <w:r>
        <w:rPr>
          <w:rFonts w:cs="Times New Roman"/>
          <w:lang w:val="fr-CA"/>
        </w:rPr>
        <w:t>’</w:t>
      </w:r>
      <w:r w:rsidRPr="003C2BF2">
        <w:rPr>
          <w:rFonts w:cs="Times New Roman"/>
          <w:lang w:val="fr-CA"/>
        </w:rPr>
        <w:t>art. 487.11 et le par. 529.3(2)).  De plus, la Cour a reconnu qu</w:t>
      </w:r>
      <w:r>
        <w:rPr>
          <w:rFonts w:cs="Times New Roman"/>
          <w:lang w:val="fr-CA"/>
        </w:rPr>
        <w:t>’</w:t>
      </w:r>
      <w:r w:rsidRPr="003C2BF2">
        <w:rPr>
          <w:rFonts w:cs="Times New Roman"/>
          <w:lang w:val="fr-CA"/>
        </w:rPr>
        <w:t>un appel de détresse au 911 justifie une entrée sans mandat dans une résidence, parce qu</w:t>
      </w:r>
      <w:r>
        <w:rPr>
          <w:rFonts w:cs="Times New Roman"/>
          <w:lang w:val="fr-CA"/>
        </w:rPr>
        <w:t>’</w:t>
      </w:r>
      <w:r w:rsidRPr="003C2BF2">
        <w:rPr>
          <w:rFonts w:cs="Times New Roman"/>
          <w:lang w:val="fr-CA"/>
        </w:rPr>
        <w:t xml:space="preserve">il révèle une menace potentielle pour la vie (voir </w:t>
      </w:r>
      <w:r w:rsidRPr="003C2BF2">
        <w:rPr>
          <w:rFonts w:cs="Times New Roman"/>
          <w:i/>
          <w:iCs/>
          <w:lang w:val="fr-CA"/>
        </w:rPr>
        <w:t>R. c. Godoy</w:t>
      </w:r>
      <w:r w:rsidRPr="003C2BF2">
        <w:rPr>
          <w:rFonts w:cs="Times New Roman"/>
          <w:lang w:val="fr-CA"/>
        </w:rPr>
        <w:t xml:space="preserve">, [1999] 1 R.C.S. 311).  De même, dans </w:t>
      </w:r>
      <w:r w:rsidRPr="003C2BF2">
        <w:rPr>
          <w:rFonts w:cs="Times New Roman"/>
          <w:i/>
          <w:lang w:val="fr-CA"/>
        </w:rPr>
        <w:t xml:space="preserve">R. c. </w:t>
      </w:r>
      <w:proofErr w:type="spellStart"/>
      <w:r w:rsidRPr="003C2BF2">
        <w:rPr>
          <w:rFonts w:cs="Times New Roman"/>
          <w:i/>
          <w:lang w:val="fr-CA"/>
        </w:rPr>
        <w:t>Golub</w:t>
      </w:r>
      <w:proofErr w:type="spellEnd"/>
      <w:r w:rsidRPr="003C2BF2">
        <w:rPr>
          <w:rFonts w:cs="Times New Roman"/>
          <w:i/>
          <w:lang w:val="fr-CA"/>
        </w:rPr>
        <w:t xml:space="preserve"> </w:t>
      </w:r>
      <w:r w:rsidRPr="003C2BF2">
        <w:rPr>
          <w:rFonts w:cs="Times New Roman"/>
          <w:lang w:val="fr-CA"/>
        </w:rPr>
        <w:t>(1997), 34 O.R. (3d) 743, autorisation de pourvoi refusée, [1998] 1 R.C.S. ix, la Cour d</w:t>
      </w:r>
      <w:r>
        <w:rPr>
          <w:rFonts w:cs="Times New Roman"/>
          <w:lang w:val="fr-CA"/>
        </w:rPr>
        <w:t>’</w:t>
      </w:r>
      <w:r w:rsidRPr="003C2BF2">
        <w:rPr>
          <w:rFonts w:cs="Times New Roman"/>
          <w:lang w:val="fr-CA"/>
        </w:rPr>
        <w:t>appel de l</w:t>
      </w:r>
      <w:r>
        <w:rPr>
          <w:rFonts w:cs="Times New Roman"/>
          <w:lang w:val="fr-CA"/>
        </w:rPr>
        <w:t>’</w:t>
      </w:r>
      <w:r w:rsidRPr="003C2BF2">
        <w:rPr>
          <w:rFonts w:cs="Times New Roman"/>
          <w:lang w:val="fr-CA"/>
        </w:rPr>
        <w:t>Ontario a conclu que les policiers peuvent fouiller sans mandat une résidence accessoirement à une arrestation s</w:t>
      </w:r>
      <w:r>
        <w:rPr>
          <w:rFonts w:cs="Times New Roman"/>
          <w:lang w:val="fr-CA"/>
        </w:rPr>
        <w:t>’</w:t>
      </w:r>
      <w:r w:rsidRPr="003C2BF2">
        <w:rPr>
          <w:rFonts w:cs="Times New Roman"/>
          <w:lang w:val="fr-CA"/>
        </w:rPr>
        <w:t xml:space="preserve">ils ont des </w:t>
      </w:r>
      <w:r w:rsidR="00042109">
        <w:rPr>
          <w:rFonts w:cs="Times New Roman"/>
          <w:lang w:val="fr-CA"/>
        </w:rPr>
        <w:t>[</w:t>
      </w:r>
      <w:r w:rsidR="00042109" w:rsidRPr="00042109">
        <w:rPr>
          <w:rFonts w:cs="Times New Roman"/>
          <w:smallCaps/>
          <w:lang w:val="fr-CA"/>
        </w:rPr>
        <w:t>traduction</w:t>
      </w:r>
      <w:r w:rsidR="00042109">
        <w:rPr>
          <w:rFonts w:cs="Times New Roman"/>
          <w:lang w:val="fr-CA"/>
        </w:rPr>
        <w:t xml:space="preserve">] </w:t>
      </w:r>
      <w:r w:rsidRPr="003C2BF2">
        <w:rPr>
          <w:rFonts w:cs="Times New Roman"/>
          <w:lang w:val="fr-CA"/>
        </w:rPr>
        <w:t>« soupçons raisonnables » qu</w:t>
      </w:r>
      <w:r>
        <w:rPr>
          <w:rFonts w:cs="Times New Roman"/>
          <w:lang w:val="fr-CA"/>
        </w:rPr>
        <w:t>’</w:t>
      </w:r>
      <w:r w:rsidRPr="003C2BF2">
        <w:rPr>
          <w:rFonts w:cs="Times New Roman"/>
          <w:lang w:val="fr-CA"/>
        </w:rPr>
        <w:t>il existe une menace pour la sécurité (p</w:t>
      </w:r>
      <w:r w:rsidR="00042109">
        <w:rPr>
          <w:rFonts w:cs="Times New Roman"/>
          <w:lang w:val="fr-CA"/>
        </w:rPr>
        <w:t>. 758-759</w:t>
      </w:r>
      <w:r w:rsidRPr="003C2BF2">
        <w:rPr>
          <w:rFonts w:cs="Times New Roman"/>
          <w:lang w:val="fr-CA"/>
        </w:rPr>
        <w:t xml:space="preserve">). </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En fin de compte, la présente affaire illustre bien le danger de laisser les tribunaux établir au cas par cas les pouvoirs des policiers.  Nos collègues imposent aujourd</w:t>
      </w:r>
      <w:r>
        <w:rPr>
          <w:rFonts w:cs="Times New Roman"/>
          <w:lang w:val="fr-CA"/>
        </w:rPr>
        <w:t>’</w:t>
      </w:r>
      <w:r w:rsidRPr="003C2BF2">
        <w:rPr>
          <w:rFonts w:cs="Times New Roman"/>
          <w:lang w:val="fr-CA"/>
        </w:rPr>
        <w:t>hui une norme selon laquelle un policier doit avoir des motifs raisonnables de croire qu</w:t>
      </w:r>
      <w:r>
        <w:rPr>
          <w:rFonts w:cs="Times New Roman"/>
          <w:lang w:val="fr-CA"/>
        </w:rPr>
        <w:t>’</w:t>
      </w:r>
      <w:r w:rsidRPr="003C2BF2">
        <w:rPr>
          <w:rFonts w:cs="Times New Roman"/>
          <w:lang w:val="fr-CA"/>
        </w:rPr>
        <w:t>une personne est armée et dangereuse avant d</w:t>
      </w:r>
      <w:r>
        <w:rPr>
          <w:rFonts w:cs="Times New Roman"/>
          <w:lang w:val="fr-CA"/>
        </w:rPr>
        <w:t>’</w:t>
      </w:r>
      <w:r w:rsidRPr="003C2BF2">
        <w:rPr>
          <w:rFonts w:cs="Times New Roman"/>
          <w:lang w:val="fr-CA"/>
        </w:rPr>
        <w:t xml:space="preserve">être autorisé à effectuer une </w:t>
      </w:r>
      <w:r w:rsidRPr="003C2BF2">
        <w:rPr>
          <w:rFonts w:cs="Times New Roman"/>
          <w:lang w:val="fr-CA"/>
        </w:rPr>
        <w:lastRenderedPageBreak/>
        <w:t xml:space="preserve">« fouille de sécurité », ce qui supprime dans les faits le pouvoir de fouille reconnu dans </w:t>
      </w:r>
      <w:r w:rsidRPr="003C2BF2">
        <w:rPr>
          <w:rFonts w:cs="Times New Roman"/>
          <w:i/>
          <w:lang w:val="fr-CA"/>
        </w:rPr>
        <w:t>Mann</w:t>
      </w:r>
      <w:r w:rsidRPr="003C2BF2">
        <w:rPr>
          <w:rFonts w:cs="Times New Roman"/>
          <w:lang w:val="fr-CA"/>
        </w:rPr>
        <w:t xml:space="preserve"> et écarte du même coup la jurisprudence des dix années qui ont suivi.</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Il est important de bien saisir les conséquences de la décision rendue par les juges majoritaires : les policiers sont privés du pouvoir d</w:t>
      </w:r>
      <w:r>
        <w:rPr>
          <w:rFonts w:cs="Times New Roman"/>
          <w:lang w:val="fr-CA"/>
        </w:rPr>
        <w:t>’</w:t>
      </w:r>
      <w:r w:rsidRPr="003C2BF2">
        <w:rPr>
          <w:rFonts w:cs="Times New Roman"/>
          <w:lang w:val="fr-CA"/>
        </w:rPr>
        <w:t>effectuer une fouille préventive, sauf s</w:t>
      </w:r>
      <w:r>
        <w:rPr>
          <w:rFonts w:cs="Times New Roman"/>
          <w:lang w:val="fr-CA"/>
        </w:rPr>
        <w:t>’</w:t>
      </w:r>
      <w:r w:rsidRPr="003C2BF2">
        <w:rPr>
          <w:rFonts w:cs="Times New Roman"/>
          <w:lang w:val="fr-CA"/>
        </w:rPr>
        <w:t>ils ont déjà des motifs de procéder à une arrestation.  À partir d</w:t>
      </w:r>
      <w:r>
        <w:rPr>
          <w:rFonts w:cs="Times New Roman"/>
          <w:lang w:val="fr-CA"/>
        </w:rPr>
        <w:t>’</w:t>
      </w:r>
      <w:r w:rsidRPr="003C2BF2">
        <w:rPr>
          <w:rFonts w:cs="Times New Roman"/>
          <w:lang w:val="fr-CA"/>
        </w:rPr>
        <w:t>aujourd</w:t>
      </w:r>
      <w:r>
        <w:rPr>
          <w:rFonts w:cs="Times New Roman"/>
          <w:lang w:val="fr-CA"/>
        </w:rPr>
        <w:t>’</w:t>
      </w:r>
      <w:r w:rsidRPr="003C2BF2">
        <w:rPr>
          <w:rFonts w:cs="Times New Roman"/>
          <w:lang w:val="fr-CA"/>
        </w:rPr>
        <w:t>hui, les policiers peuvent détenir à des fins d</w:t>
      </w:r>
      <w:r>
        <w:rPr>
          <w:rFonts w:cs="Times New Roman"/>
          <w:lang w:val="fr-CA"/>
        </w:rPr>
        <w:t>’</w:t>
      </w:r>
      <w:r w:rsidRPr="003C2BF2">
        <w:rPr>
          <w:rFonts w:cs="Times New Roman"/>
          <w:lang w:val="fr-CA"/>
        </w:rPr>
        <w:t xml:space="preserve">enquête les personnes </w:t>
      </w:r>
      <w:r w:rsidRPr="003C2BF2">
        <w:rPr>
          <w:rFonts w:cs="Times New Roman"/>
          <w:i/>
          <w:lang w:val="fr-CA"/>
        </w:rPr>
        <w:t>soupçonnées</w:t>
      </w:r>
      <w:r w:rsidRPr="003C2BF2">
        <w:rPr>
          <w:rFonts w:cs="Times New Roman"/>
          <w:lang w:val="fr-CA"/>
        </w:rPr>
        <w:t xml:space="preserve"> d</w:t>
      </w:r>
      <w:r>
        <w:rPr>
          <w:rFonts w:cs="Times New Roman"/>
          <w:lang w:val="fr-CA"/>
        </w:rPr>
        <w:t>’</w:t>
      </w:r>
      <w:r w:rsidRPr="003C2BF2">
        <w:rPr>
          <w:rFonts w:cs="Times New Roman"/>
          <w:lang w:val="fr-CA"/>
        </w:rPr>
        <w:t>être armées et dangereuses, mais ne sont pas autorisés à effectuer des fouilles par palpation pour assurer leur sécurité ou celle du public dans le cadre d</w:t>
      </w:r>
      <w:r>
        <w:rPr>
          <w:rFonts w:cs="Times New Roman"/>
          <w:lang w:val="fr-CA"/>
        </w:rPr>
        <w:t>’</w:t>
      </w:r>
      <w:r w:rsidRPr="003C2BF2">
        <w:rPr>
          <w:rFonts w:cs="Times New Roman"/>
          <w:lang w:val="fr-CA"/>
        </w:rPr>
        <w:t>une enquête.  À notre avis, un policier sur le terrain exposé à un risque réaliste de préjudice imminent devrait pouvoir agir immédiatement et prendre des mesures raisonnables, sous la forme d</w:t>
      </w:r>
      <w:r>
        <w:rPr>
          <w:rFonts w:cs="Times New Roman"/>
          <w:lang w:val="fr-CA"/>
        </w:rPr>
        <w:t>’</w:t>
      </w:r>
      <w:r w:rsidRPr="003C2BF2">
        <w:rPr>
          <w:rFonts w:cs="Times New Roman"/>
          <w:lang w:val="fr-CA"/>
        </w:rPr>
        <w:t>une fouille peu envahissante, pour atténuer ce risque.</w:t>
      </w:r>
    </w:p>
    <w:p w:rsidR="00BF4088" w:rsidRPr="003C2BF2" w:rsidRDefault="00BF4088" w:rsidP="00BF4088">
      <w:pPr>
        <w:pStyle w:val="ParaNoNdepar-AltN"/>
        <w:tabs>
          <w:tab w:val="clear" w:pos="1152"/>
          <w:tab w:val="left" w:pos="1166"/>
        </w:tabs>
        <w:rPr>
          <w:rFonts w:cs="Times New Roman"/>
          <w:lang w:val="fr-CA"/>
        </w:rPr>
      </w:pPr>
      <w:r w:rsidRPr="003C2BF2">
        <w:rPr>
          <w:rFonts w:cs="Times New Roman"/>
          <w:lang w:val="fr-CA"/>
        </w:rPr>
        <w:t>Sous réserve de cette divergence d</w:t>
      </w:r>
      <w:r>
        <w:rPr>
          <w:rFonts w:cs="Times New Roman"/>
          <w:lang w:val="fr-CA"/>
        </w:rPr>
        <w:t>’</w:t>
      </w:r>
      <w:r w:rsidRPr="003C2BF2">
        <w:rPr>
          <w:rFonts w:cs="Times New Roman"/>
          <w:lang w:val="fr-CA"/>
        </w:rPr>
        <w:t>opinions, nous souscrivons pour le reste aux motifs du juge LeBel et nous sommes d</w:t>
      </w:r>
      <w:r>
        <w:rPr>
          <w:rFonts w:cs="Times New Roman"/>
          <w:lang w:val="fr-CA"/>
        </w:rPr>
        <w:t>’</w:t>
      </w:r>
      <w:r w:rsidRPr="003C2BF2">
        <w:rPr>
          <w:rFonts w:cs="Times New Roman"/>
          <w:lang w:val="fr-CA"/>
        </w:rPr>
        <w:t>avis de trancher l</w:t>
      </w:r>
      <w:r>
        <w:rPr>
          <w:rFonts w:cs="Times New Roman"/>
          <w:lang w:val="fr-CA"/>
        </w:rPr>
        <w:t>’</w:t>
      </w:r>
      <w:r w:rsidRPr="003C2BF2">
        <w:rPr>
          <w:rFonts w:cs="Times New Roman"/>
          <w:lang w:val="fr-CA"/>
        </w:rPr>
        <w:t xml:space="preserve">affaire comme il le propose. </w:t>
      </w:r>
    </w:p>
    <w:p w:rsidR="001F2CA0" w:rsidRPr="003D1C80" w:rsidRDefault="001F2CA0" w:rsidP="007A46E5">
      <w:pPr>
        <w:pStyle w:val="SCCNormalDoubleSpacing"/>
        <w:spacing w:before="480" w:after="480"/>
        <w:rPr>
          <w:lang w:val="fr-CA"/>
        </w:rPr>
      </w:pPr>
      <w:r w:rsidRPr="003D1C80">
        <w:rPr>
          <w:lang w:val="fr-CA"/>
        </w:rPr>
        <w:tab/>
      </w:r>
      <w:r w:rsidRPr="003D1C80">
        <w:rPr>
          <w:i/>
          <w:lang w:val="fr-CA"/>
        </w:rPr>
        <w:t xml:space="preserve">Pourvoi </w:t>
      </w:r>
      <w:r w:rsidR="00700C55" w:rsidRPr="003D1C80">
        <w:rPr>
          <w:i/>
          <w:lang w:val="fr-CA"/>
        </w:rPr>
        <w:t>d</w:t>
      </w:r>
      <w:r w:rsidR="00375A6D" w:rsidRPr="003D1C80">
        <w:rPr>
          <w:i/>
          <w:lang w:val="fr-CA"/>
        </w:rPr>
        <w:t>’</w:t>
      </w:r>
      <w:r w:rsidR="00700C55" w:rsidRPr="003D1C80">
        <w:rPr>
          <w:i/>
          <w:lang w:val="fr-CA"/>
        </w:rPr>
        <w:t xml:space="preserve">Erin Lee MacDonald </w:t>
      </w:r>
      <w:r w:rsidRPr="003D1C80">
        <w:rPr>
          <w:i/>
          <w:lang w:val="fr-CA"/>
        </w:rPr>
        <w:t xml:space="preserve">rejeté </w:t>
      </w:r>
      <w:r w:rsidR="00700C55" w:rsidRPr="003D1C80">
        <w:rPr>
          <w:i/>
          <w:lang w:val="fr-CA"/>
        </w:rPr>
        <w:t>et pourvoi de Sa Majesté la Reine accueilli.</w:t>
      </w:r>
      <w:r w:rsidR="00700C55" w:rsidRPr="003D1C80">
        <w:rPr>
          <w:lang w:val="fr-CA"/>
        </w:rPr>
        <w:t xml:space="preserve"> </w:t>
      </w:r>
    </w:p>
    <w:p w:rsidR="00700C55" w:rsidRPr="003D1C80" w:rsidRDefault="00700C55" w:rsidP="007A46E5">
      <w:pPr>
        <w:pStyle w:val="SCCLawFirm"/>
        <w:spacing w:before="480" w:after="480"/>
        <w:rPr>
          <w:lang w:val="fr-CA"/>
        </w:rPr>
      </w:pPr>
      <w:r w:rsidRPr="003D1C80">
        <w:rPr>
          <w:lang w:val="fr-CA"/>
        </w:rPr>
        <w:tab/>
        <w:t>Procureurs de l</w:t>
      </w:r>
      <w:r w:rsidR="00375A6D" w:rsidRPr="003D1C80">
        <w:rPr>
          <w:lang w:val="fr-CA"/>
        </w:rPr>
        <w:t>’</w:t>
      </w:r>
      <w:r w:rsidRPr="003D1C80">
        <w:rPr>
          <w:lang w:val="fr-CA"/>
        </w:rPr>
        <w:t>appelant/intimé</w:t>
      </w:r>
      <w:r w:rsidR="007A46E5" w:rsidRPr="003D1C80">
        <w:rPr>
          <w:lang w:val="fr-CA"/>
        </w:rPr>
        <w:t> : </w:t>
      </w:r>
      <w:proofErr w:type="spellStart"/>
      <w:r w:rsidRPr="003D1C80">
        <w:rPr>
          <w:lang w:val="fr-CA"/>
        </w:rPr>
        <w:t>Wolch</w:t>
      </w:r>
      <w:proofErr w:type="spellEnd"/>
      <w:r w:rsidRPr="003D1C80">
        <w:rPr>
          <w:lang w:val="fr-CA"/>
        </w:rPr>
        <w:t xml:space="preserve">, </w:t>
      </w:r>
      <w:proofErr w:type="spellStart"/>
      <w:r w:rsidRPr="003D1C80">
        <w:rPr>
          <w:lang w:val="fr-CA"/>
        </w:rPr>
        <w:t>Hursh</w:t>
      </w:r>
      <w:proofErr w:type="spellEnd"/>
      <w:r w:rsidRPr="003D1C80">
        <w:rPr>
          <w:lang w:val="fr-CA"/>
        </w:rPr>
        <w:t xml:space="preserve">, </w:t>
      </w:r>
      <w:proofErr w:type="spellStart"/>
      <w:r w:rsidRPr="003D1C80">
        <w:rPr>
          <w:lang w:val="fr-CA"/>
        </w:rPr>
        <w:t>deWit</w:t>
      </w:r>
      <w:proofErr w:type="spellEnd"/>
      <w:r w:rsidRPr="003D1C80">
        <w:rPr>
          <w:lang w:val="fr-CA"/>
        </w:rPr>
        <w:t xml:space="preserve">, </w:t>
      </w:r>
      <w:proofErr w:type="spellStart"/>
      <w:r w:rsidRPr="003D1C80">
        <w:rPr>
          <w:lang w:val="fr-CA"/>
        </w:rPr>
        <w:t>Silverberg</w:t>
      </w:r>
      <w:proofErr w:type="spellEnd"/>
      <w:r w:rsidRPr="003D1C80">
        <w:rPr>
          <w:lang w:val="fr-CA"/>
        </w:rPr>
        <w:t xml:space="preserve"> &amp; Watts, Calgary.</w:t>
      </w:r>
    </w:p>
    <w:p w:rsidR="00700C55" w:rsidRPr="003D1C80" w:rsidRDefault="00700C55" w:rsidP="007A46E5">
      <w:pPr>
        <w:pStyle w:val="SCCLawFirm"/>
        <w:spacing w:before="480" w:after="480"/>
        <w:rPr>
          <w:lang w:val="fr-CA"/>
        </w:rPr>
      </w:pPr>
      <w:r w:rsidRPr="003D1C80">
        <w:rPr>
          <w:lang w:val="fr-CA"/>
        </w:rPr>
        <w:lastRenderedPageBreak/>
        <w:tab/>
        <w:t>Procureur de l</w:t>
      </w:r>
      <w:r w:rsidR="00375A6D" w:rsidRPr="003D1C80">
        <w:rPr>
          <w:lang w:val="fr-CA"/>
        </w:rPr>
        <w:t>’</w:t>
      </w:r>
      <w:r w:rsidRPr="003D1C80">
        <w:rPr>
          <w:lang w:val="fr-CA"/>
        </w:rPr>
        <w:t>intimée/appelante</w:t>
      </w:r>
      <w:r w:rsidR="007A46E5" w:rsidRPr="003D1C80">
        <w:rPr>
          <w:lang w:val="fr-CA"/>
        </w:rPr>
        <w:t> : </w:t>
      </w:r>
      <w:r w:rsidRPr="003D1C80">
        <w:rPr>
          <w:lang w:val="fr-CA"/>
        </w:rPr>
        <w:t xml:space="preserve">Public </w:t>
      </w:r>
      <w:proofErr w:type="spellStart"/>
      <w:r w:rsidRPr="003D1C80">
        <w:rPr>
          <w:lang w:val="fr-CA"/>
        </w:rPr>
        <w:t>Prosecution</w:t>
      </w:r>
      <w:proofErr w:type="spellEnd"/>
      <w:r w:rsidRPr="003D1C80">
        <w:rPr>
          <w:lang w:val="fr-CA"/>
        </w:rPr>
        <w:t xml:space="preserve"> Service of Nova </w:t>
      </w:r>
      <w:proofErr w:type="spellStart"/>
      <w:r w:rsidRPr="003D1C80">
        <w:rPr>
          <w:lang w:val="fr-CA"/>
        </w:rPr>
        <w:t>Scotia</w:t>
      </w:r>
      <w:proofErr w:type="spellEnd"/>
      <w:r w:rsidRPr="003D1C80">
        <w:rPr>
          <w:lang w:val="fr-CA"/>
        </w:rPr>
        <w:t>, Halifax.</w:t>
      </w:r>
    </w:p>
    <w:p w:rsidR="00700C55" w:rsidRPr="003D1C80" w:rsidRDefault="00700C55" w:rsidP="007A46E5">
      <w:pPr>
        <w:pStyle w:val="SCCLawFirm"/>
        <w:spacing w:before="480" w:after="480"/>
        <w:rPr>
          <w:lang w:val="fr-CA"/>
        </w:rPr>
      </w:pPr>
      <w:r w:rsidRPr="003D1C80">
        <w:rPr>
          <w:lang w:val="fr-CA"/>
        </w:rPr>
        <w:tab/>
        <w:t>Procureur de l</w:t>
      </w:r>
      <w:r w:rsidR="00375A6D" w:rsidRPr="003D1C80">
        <w:rPr>
          <w:lang w:val="fr-CA"/>
        </w:rPr>
        <w:t>’</w:t>
      </w:r>
      <w:r w:rsidRPr="003D1C80">
        <w:rPr>
          <w:lang w:val="fr-CA"/>
        </w:rPr>
        <w:t>intervenant le directeur des poursuites pénales</w:t>
      </w:r>
      <w:r w:rsidR="007A46E5" w:rsidRPr="003D1C80">
        <w:rPr>
          <w:lang w:val="fr-CA"/>
        </w:rPr>
        <w:t> : </w:t>
      </w:r>
      <w:r w:rsidRPr="003D1C80">
        <w:rPr>
          <w:lang w:val="fr-CA"/>
        </w:rPr>
        <w:t>Service des poursuites pénales du Canada, Halifax.</w:t>
      </w:r>
    </w:p>
    <w:p w:rsidR="001F2CA0" w:rsidRDefault="00700C55" w:rsidP="00BF4088">
      <w:pPr>
        <w:pStyle w:val="SCCLawFirm"/>
        <w:rPr>
          <w:b/>
          <w:i w:val="0"/>
          <w:lang w:val="fr-CA"/>
        </w:rPr>
      </w:pPr>
      <w:r w:rsidRPr="003D1C80">
        <w:rPr>
          <w:lang w:val="fr-CA"/>
        </w:rPr>
        <w:tab/>
        <w:t>Procureur de l</w:t>
      </w:r>
      <w:r w:rsidR="00375A6D" w:rsidRPr="003D1C80">
        <w:rPr>
          <w:lang w:val="fr-CA"/>
        </w:rPr>
        <w:t>’</w:t>
      </w:r>
      <w:r w:rsidRPr="003D1C80">
        <w:rPr>
          <w:lang w:val="fr-CA"/>
        </w:rPr>
        <w:t>intervenant le procureur général de l</w:t>
      </w:r>
      <w:r w:rsidR="00375A6D" w:rsidRPr="003D1C80">
        <w:rPr>
          <w:lang w:val="fr-CA"/>
        </w:rPr>
        <w:t>’</w:t>
      </w:r>
      <w:r w:rsidRPr="003D1C80">
        <w:rPr>
          <w:lang w:val="fr-CA"/>
        </w:rPr>
        <w:t>Ontario</w:t>
      </w:r>
      <w:r w:rsidR="007A46E5" w:rsidRPr="003D1C80">
        <w:rPr>
          <w:lang w:val="fr-CA"/>
        </w:rPr>
        <w:t> : </w:t>
      </w:r>
      <w:r w:rsidRPr="003D1C80">
        <w:rPr>
          <w:lang w:val="fr-CA"/>
        </w:rPr>
        <w:t>Procureur général de l</w:t>
      </w:r>
      <w:r w:rsidR="00375A6D" w:rsidRPr="003D1C80">
        <w:rPr>
          <w:lang w:val="fr-CA"/>
        </w:rPr>
        <w:t>’</w:t>
      </w:r>
      <w:r w:rsidRPr="003D1C80">
        <w:rPr>
          <w:lang w:val="fr-CA"/>
        </w:rPr>
        <w:t>Ontario, Toronto.</w:t>
      </w:r>
    </w:p>
    <w:sectPr w:rsidR="001F2CA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03" w:rsidRDefault="00302203">
      <w:r>
        <w:separator/>
      </w:r>
    </w:p>
  </w:endnote>
  <w:endnote w:type="continuationSeparator" w:id="0">
    <w:p w:rsidR="00302203" w:rsidRDefault="00302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03" w:rsidRDefault="00302203">
      <w:r>
        <w:separator/>
      </w:r>
    </w:p>
  </w:footnote>
  <w:footnote w:type="continuationSeparator" w:id="0">
    <w:p w:rsidR="00302203" w:rsidRDefault="00302203">
      <w:r>
        <w:continuationSeparator/>
      </w:r>
    </w:p>
  </w:footnote>
  <w:footnote w:id="1">
    <w:p w:rsidR="00302203" w:rsidRPr="00BC26AB" w:rsidRDefault="00302203" w:rsidP="00042109">
      <w:pPr>
        <w:pStyle w:val="FootnoteText"/>
        <w:jc w:val="both"/>
        <w:rPr>
          <w:lang w:val="fr-CA"/>
        </w:rPr>
      </w:pPr>
      <w:r w:rsidRPr="00823342">
        <w:rPr>
          <w:rStyle w:val="FootnoteReference"/>
        </w:rPr>
        <w:footnoteRef/>
      </w:r>
      <w:r w:rsidRPr="00815E23">
        <w:rPr>
          <w:lang w:val="fr-CA"/>
        </w:rPr>
        <w:t xml:space="preserve"> </w:t>
      </w:r>
      <w:r>
        <w:rPr>
          <w:lang w:val="fr-CA"/>
        </w:rPr>
        <w:t>Suivant l’arrêt</w:t>
      </w:r>
      <w:r w:rsidRPr="00BC26AB">
        <w:rPr>
          <w:lang w:val="fr-CA"/>
        </w:rPr>
        <w:t xml:space="preserve"> </w:t>
      </w:r>
      <w:r w:rsidRPr="00BC26AB">
        <w:rPr>
          <w:i/>
          <w:lang w:val="fr-CA"/>
        </w:rPr>
        <w:t>Hunter</w:t>
      </w:r>
      <w:r w:rsidRPr="00BC26AB">
        <w:rPr>
          <w:lang w:val="fr-CA"/>
        </w:rPr>
        <w:t xml:space="preserve">, </w:t>
      </w:r>
      <w:r>
        <w:rPr>
          <w:lang w:val="fr-CA"/>
        </w:rPr>
        <w:t xml:space="preserve">le respect de la norme </w:t>
      </w:r>
      <w:r w:rsidRPr="00BC26AB">
        <w:rPr>
          <w:lang w:val="fr-CA"/>
        </w:rPr>
        <w:t>des</w:t>
      </w:r>
      <w:r>
        <w:rPr>
          <w:lang w:val="fr-CA"/>
        </w:rPr>
        <w:t xml:space="preserve"> motifs raisonnables de croire exige des</w:t>
      </w:r>
      <w:r w:rsidRPr="00BC26AB">
        <w:rPr>
          <w:lang w:val="fr-CA"/>
        </w:rPr>
        <w:t xml:space="preserve"> </w:t>
      </w:r>
      <w:r w:rsidRPr="00BC26AB">
        <w:rPr>
          <w:i/>
          <w:lang w:val="fr-CA"/>
        </w:rPr>
        <w:t>probabilit</w:t>
      </w:r>
      <w:r>
        <w:rPr>
          <w:i/>
          <w:lang w:val="fr-CA"/>
        </w:rPr>
        <w:t>és</w:t>
      </w:r>
      <w:r w:rsidRPr="0095066D">
        <w:rPr>
          <w:lang w:val="fr-CA"/>
        </w:rPr>
        <w:t xml:space="preserve">, et </w:t>
      </w:r>
      <w:r>
        <w:rPr>
          <w:lang w:val="fr-CA"/>
        </w:rPr>
        <w:t>non des</w:t>
      </w:r>
      <w:r w:rsidRPr="00BC26AB">
        <w:rPr>
          <w:lang w:val="fr-CA"/>
        </w:rPr>
        <w:t xml:space="preserve"> </w:t>
      </w:r>
      <w:r w:rsidRPr="00BC26AB">
        <w:rPr>
          <w:i/>
          <w:lang w:val="fr-CA"/>
        </w:rPr>
        <w:t>possi</w:t>
      </w:r>
      <w:r>
        <w:rPr>
          <w:i/>
          <w:lang w:val="fr-CA"/>
        </w:rPr>
        <w:t>bilités</w:t>
      </w:r>
      <w:r w:rsidRPr="00BC26AB">
        <w:rPr>
          <w:lang w:val="fr-CA"/>
        </w:rPr>
        <w:t xml:space="preserve"> (p. 167).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03" w:rsidRPr="00450352" w:rsidRDefault="00302203"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AB1"/>
    <w:multiLevelType w:val="multilevel"/>
    <w:tmpl w:val="1E3C688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78" w:hanging="360"/>
      </w:pPr>
      <w:rPr>
        <w:rFonts w:hint="default"/>
        <w:b w:val="0"/>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1E1EF9"/>
    <w:multiLevelType w:val="hybridMultilevel"/>
    <w:tmpl w:val="DB62BE2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666E0"/>
    <w:multiLevelType w:val="multilevel"/>
    <w:tmpl w:val="E9F8958A"/>
    <w:lvl w:ilvl="0">
      <w:start w:val="1"/>
      <w:numFmt w:val="bullet"/>
      <w:lvlText w:val=""/>
      <w:lvlJc w:val="left"/>
      <w:pPr>
        <w:tabs>
          <w:tab w:val="num" w:pos="1152"/>
        </w:tabs>
        <w:ind w:left="0" w:firstLine="0"/>
      </w:pPr>
      <w:rPr>
        <w:rFonts w:ascii="Symbol" w:hAnsi="Symbol"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999"/>
        </w:tabs>
        <w:ind w:left="999"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17DCD13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78" w:hanging="360"/>
      </w:pPr>
      <w:rPr>
        <w:b w:val="0"/>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0E33C7C"/>
    <w:multiLevelType w:val="hybridMultilevel"/>
    <w:tmpl w:val="A6F23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E8403C5"/>
    <w:multiLevelType w:val="multilevel"/>
    <w:tmpl w:val="C61258D8"/>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78" w:hanging="360"/>
      </w:pPr>
      <w:rPr>
        <w:rFonts w:ascii="Times New Roman" w:eastAsia="Times New Roman" w:hAnsi="Times New Roman" w:cs="Times New Roman"/>
        <w:b w:val="0"/>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08B5B08"/>
    <w:multiLevelType w:val="multilevel"/>
    <w:tmpl w:val="4C782A1A"/>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78" w:hanging="360"/>
      </w:pPr>
      <w:rPr>
        <w:rFonts w:ascii="Times New Roman" w:eastAsia="Times New Roman"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6"/>
  </w:num>
  <w:num w:numId="5">
    <w:abstractNumId w:val="7"/>
  </w:num>
  <w:num w:numId="6">
    <w:abstractNumId w:val="8"/>
  </w:num>
  <w:num w:numId="7">
    <w:abstractNumId w:val="9"/>
  </w:num>
  <w:num w:numId="8">
    <w:abstractNumId w:val="12"/>
  </w:num>
  <w:num w:numId="9">
    <w:abstractNumId w:val="0"/>
  </w:num>
  <w:num w:numId="10">
    <w:abstractNumId w:val="11"/>
  </w:num>
  <w:num w:numId="11">
    <w:abstractNumId w:val="5"/>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11FBC"/>
    <w:rsid w:val="00015F9B"/>
    <w:rsid w:val="00023FC7"/>
    <w:rsid w:val="00025198"/>
    <w:rsid w:val="000316EF"/>
    <w:rsid w:val="00042109"/>
    <w:rsid w:val="000578A3"/>
    <w:rsid w:val="000648CC"/>
    <w:rsid w:val="00072416"/>
    <w:rsid w:val="000821B8"/>
    <w:rsid w:val="000840BF"/>
    <w:rsid w:val="0009315C"/>
    <w:rsid w:val="000A1020"/>
    <w:rsid w:val="000A4550"/>
    <w:rsid w:val="000A49B8"/>
    <w:rsid w:val="000A60B5"/>
    <w:rsid w:val="000B2B1A"/>
    <w:rsid w:val="000B2EA7"/>
    <w:rsid w:val="000C2E93"/>
    <w:rsid w:val="000C59B8"/>
    <w:rsid w:val="000C6AF0"/>
    <w:rsid w:val="000D0A77"/>
    <w:rsid w:val="000D6232"/>
    <w:rsid w:val="000E265A"/>
    <w:rsid w:val="000E3713"/>
    <w:rsid w:val="000E60F2"/>
    <w:rsid w:val="000F7993"/>
    <w:rsid w:val="00104F33"/>
    <w:rsid w:val="00106AF2"/>
    <w:rsid w:val="0011147C"/>
    <w:rsid w:val="00111DE2"/>
    <w:rsid w:val="00112CE8"/>
    <w:rsid w:val="00113ECA"/>
    <w:rsid w:val="00116B38"/>
    <w:rsid w:val="00120719"/>
    <w:rsid w:val="00135406"/>
    <w:rsid w:val="00135972"/>
    <w:rsid w:val="001426A9"/>
    <w:rsid w:val="00143009"/>
    <w:rsid w:val="00151F84"/>
    <w:rsid w:val="00154D7C"/>
    <w:rsid w:val="001570B0"/>
    <w:rsid w:val="0015752C"/>
    <w:rsid w:val="00157737"/>
    <w:rsid w:val="00165277"/>
    <w:rsid w:val="00170592"/>
    <w:rsid w:val="00171D45"/>
    <w:rsid w:val="001720F7"/>
    <w:rsid w:val="001778E6"/>
    <w:rsid w:val="00195D83"/>
    <w:rsid w:val="001A00C1"/>
    <w:rsid w:val="001A5883"/>
    <w:rsid w:val="001A7663"/>
    <w:rsid w:val="001B33E0"/>
    <w:rsid w:val="001B4573"/>
    <w:rsid w:val="001C64A1"/>
    <w:rsid w:val="001C779F"/>
    <w:rsid w:val="001C7CFA"/>
    <w:rsid w:val="001D0D64"/>
    <w:rsid w:val="001D2AC1"/>
    <w:rsid w:val="001D4E88"/>
    <w:rsid w:val="001E2F0A"/>
    <w:rsid w:val="001F2CA0"/>
    <w:rsid w:val="00203647"/>
    <w:rsid w:val="002042CE"/>
    <w:rsid w:val="00206D62"/>
    <w:rsid w:val="00220FC2"/>
    <w:rsid w:val="002222F4"/>
    <w:rsid w:val="00224729"/>
    <w:rsid w:val="00224FC0"/>
    <w:rsid w:val="00225926"/>
    <w:rsid w:val="00225EA4"/>
    <w:rsid w:val="00226EAF"/>
    <w:rsid w:val="00227639"/>
    <w:rsid w:val="00231F3A"/>
    <w:rsid w:val="002406EE"/>
    <w:rsid w:val="00243EC8"/>
    <w:rsid w:val="00254F2E"/>
    <w:rsid w:val="0026142B"/>
    <w:rsid w:val="00262099"/>
    <w:rsid w:val="00270D93"/>
    <w:rsid w:val="002745CC"/>
    <w:rsid w:val="00297AFA"/>
    <w:rsid w:val="002A506A"/>
    <w:rsid w:val="002B47BA"/>
    <w:rsid w:val="002B6FBE"/>
    <w:rsid w:val="002B7924"/>
    <w:rsid w:val="002C10A6"/>
    <w:rsid w:val="002C7C2A"/>
    <w:rsid w:val="002D28C3"/>
    <w:rsid w:val="002D39A4"/>
    <w:rsid w:val="002D51DE"/>
    <w:rsid w:val="002D5F33"/>
    <w:rsid w:val="002E6705"/>
    <w:rsid w:val="00302203"/>
    <w:rsid w:val="0030329A"/>
    <w:rsid w:val="00304F92"/>
    <w:rsid w:val="0031086F"/>
    <w:rsid w:val="003128CB"/>
    <w:rsid w:val="0031414C"/>
    <w:rsid w:val="00314E01"/>
    <w:rsid w:val="0032089D"/>
    <w:rsid w:val="003310DE"/>
    <w:rsid w:val="003323B0"/>
    <w:rsid w:val="00340A49"/>
    <w:rsid w:val="00350D5C"/>
    <w:rsid w:val="0035169A"/>
    <w:rsid w:val="0035259D"/>
    <w:rsid w:val="00364B18"/>
    <w:rsid w:val="00375A6D"/>
    <w:rsid w:val="003A125D"/>
    <w:rsid w:val="003A385A"/>
    <w:rsid w:val="003A48D8"/>
    <w:rsid w:val="003A4C70"/>
    <w:rsid w:val="003A73FF"/>
    <w:rsid w:val="003B215F"/>
    <w:rsid w:val="003C799C"/>
    <w:rsid w:val="003D0399"/>
    <w:rsid w:val="003D1C80"/>
    <w:rsid w:val="003E1C71"/>
    <w:rsid w:val="003E3F52"/>
    <w:rsid w:val="003F327B"/>
    <w:rsid w:val="00406166"/>
    <w:rsid w:val="0040704B"/>
    <w:rsid w:val="00410A55"/>
    <w:rsid w:val="00411300"/>
    <w:rsid w:val="00413F17"/>
    <w:rsid w:val="00415417"/>
    <w:rsid w:val="00426659"/>
    <w:rsid w:val="00450352"/>
    <w:rsid w:val="0045459E"/>
    <w:rsid w:val="00454BDB"/>
    <w:rsid w:val="00465132"/>
    <w:rsid w:val="00480C90"/>
    <w:rsid w:val="004810A1"/>
    <w:rsid w:val="0048396F"/>
    <w:rsid w:val="00493C18"/>
    <w:rsid w:val="004A600C"/>
    <w:rsid w:val="004A6118"/>
    <w:rsid w:val="004B253D"/>
    <w:rsid w:val="004B6455"/>
    <w:rsid w:val="004C478D"/>
    <w:rsid w:val="004D0436"/>
    <w:rsid w:val="004D2895"/>
    <w:rsid w:val="004D28C9"/>
    <w:rsid w:val="004D7D95"/>
    <w:rsid w:val="004E2C26"/>
    <w:rsid w:val="004F76A4"/>
    <w:rsid w:val="00500654"/>
    <w:rsid w:val="0050255A"/>
    <w:rsid w:val="005125A8"/>
    <w:rsid w:val="00516187"/>
    <w:rsid w:val="00517549"/>
    <w:rsid w:val="00520ABC"/>
    <w:rsid w:val="00521AE8"/>
    <w:rsid w:val="0052393D"/>
    <w:rsid w:val="00523F40"/>
    <w:rsid w:val="00527180"/>
    <w:rsid w:val="00555291"/>
    <w:rsid w:val="00566AD1"/>
    <w:rsid w:val="00583EDE"/>
    <w:rsid w:val="005A430D"/>
    <w:rsid w:val="005A6079"/>
    <w:rsid w:val="005B427A"/>
    <w:rsid w:val="005C487C"/>
    <w:rsid w:val="005E4698"/>
    <w:rsid w:val="005F24B1"/>
    <w:rsid w:val="005F7BDD"/>
    <w:rsid w:val="00601926"/>
    <w:rsid w:val="00602F35"/>
    <w:rsid w:val="00603924"/>
    <w:rsid w:val="00610539"/>
    <w:rsid w:val="00613969"/>
    <w:rsid w:val="00625C35"/>
    <w:rsid w:val="00647E49"/>
    <w:rsid w:val="00656313"/>
    <w:rsid w:val="006565F4"/>
    <w:rsid w:val="00684B61"/>
    <w:rsid w:val="00684EEA"/>
    <w:rsid w:val="006863D5"/>
    <w:rsid w:val="00694E39"/>
    <w:rsid w:val="00694F33"/>
    <w:rsid w:val="0069689B"/>
    <w:rsid w:val="006B5FF5"/>
    <w:rsid w:val="006D7772"/>
    <w:rsid w:val="006E3DD5"/>
    <w:rsid w:val="006E400E"/>
    <w:rsid w:val="006F1DAD"/>
    <w:rsid w:val="006F30AF"/>
    <w:rsid w:val="00700C55"/>
    <w:rsid w:val="00701759"/>
    <w:rsid w:val="00705C15"/>
    <w:rsid w:val="007110F6"/>
    <w:rsid w:val="0071556C"/>
    <w:rsid w:val="007208D1"/>
    <w:rsid w:val="00741134"/>
    <w:rsid w:val="00744518"/>
    <w:rsid w:val="00747288"/>
    <w:rsid w:val="00747DD3"/>
    <w:rsid w:val="0075481E"/>
    <w:rsid w:val="007549C8"/>
    <w:rsid w:val="00766D14"/>
    <w:rsid w:val="00767A0F"/>
    <w:rsid w:val="00790710"/>
    <w:rsid w:val="00791272"/>
    <w:rsid w:val="007A05F6"/>
    <w:rsid w:val="007A2553"/>
    <w:rsid w:val="007A46E5"/>
    <w:rsid w:val="007A56C5"/>
    <w:rsid w:val="007B2B09"/>
    <w:rsid w:val="007B3B80"/>
    <w:rsid w:val="007B6F4A"/>
    <w:rsid w:val="007C26EF"/>
    <w:rsid w:val="007C455D"/>
    <w:rsid w:val="007D35BB"/>
    <w:rsid w:val="007E1C47"/>
    <w:rsid w:val="007E337A"/>
    <w:rsid w:val="007E5C70"/>
    <w:rsid w:val="007F2FF5"/>
    <w:rsid w:val="007F3F08"/>
    <w:rsid w:val="00804CC6"/>
    <w:rsid w:val="00805571"/>
    <w:rsid w:val="00817190"/>
    <w:rsid w:val="008260E2"/>
    <w:rsid w:val="008322BD"/>
    <w:rsid w:val="00834F73"/>
    <w:rsid w:val="00844FBB"/>
    <w:rsid w:val="00864C8A"/>
    <w:rsid w:val="00864CF8"/>
    <w:rsid w:val="00864F06"/>
    <w:rsid w:val="00874914"/>
    <w:rsid w:val="008768A3"/>
    <w:rsid w:val="00880796"/>
    <w:rsid w:val="00884056"/>
    <w:rsid w:val="00890BAD"/>
    <w:rsid w:val="00891422"/>
    <w:rsid w:val="00892E1A"/>
    <w:rsid w:val="008972D4"/>
    <w:rsid w:val="008B660A"/>
    <w:rsid w:val="008C01DA"/>
    <w:rsid w:val="008E4E4C"/>
    <w:rsid w:val="008E72D2"/>
    <w:rsid w:val="008E778E"/>
    <w:rsid w:val="008F1B0B"/>
    <w:rsid w:val="008F2674"/>
    <w:rsid w:val="008F78E9"/>
    <w:rsid w:val="0091350F"/>
    <w:rsid w:val="00915DBD"/>
    <w:rsid w:val="009179F9"/>
    <w:rsid w:val="00917C7A"/>
    <w:rsid w:val="0092087B"/>
    <w:rsid w:val="009222FA"/>
    <w:rsid w:val="00933E5E"/>
    <w:rsid w:val="00935218"/>
    <w:rsid w:val="00937C52"/>
    <w:rsid w:val="009403F3"/>
    <w:rsid w:val="00954629"/>
    <w:rsid w:val="009555B7"/>
    <w:rsid w:val="009567AA"/>
    <w:rsid w:val="00957D10"/>
    <w:rsid w:val="009602C9"/>
    <w:rsid w:val="00967374"/>
    <w:rsid w:val="009A343A"/>
    <w:rsid w:val="009B2F23"/>
    <w:rsid w:val="009B57B3"/>
    <w:rsid w:val="009B7C73"/>
    <w:rsid w:val="009C0F92"/>
    <w:rsid w:val="009D2920"/>
    <w:rsid w:val="009D5AEB"/>
    <w:rsid w:val="009F0E33"/>
    <w:rsid w:val="00A149DF"/>
    <w:rsid w:val="00A1755C"/>
    <w:rsid w:val="00A21B90"/>
    <w:rsid w:val="00A22AAC"/>
    <w:rsid w:val="00A2377E"/>
    <w:rsid w:val="00A41805"/>
    <w:rsid w:val="00A51882"/>
    <w:rsid w:val="00A52AFB"/>
    <w:rsid w:val="00A548CB"/>
    <w:rsid w:val="00A5521C"/>
    <w:rsid w:val="00A624CD"/>
    <w:rsid w:val="00A643E7"/>
    <w:rsid w:val="00A73C38"/>
    <w:rsid w:val="00A74E49"/>
    <w:rsid w:val="00A837A4"/>
    <w:rsid w:val="00AB0D59"/>
    <w:rsid w:val="00AB670D"/>
    <w:rsid w:val="00AC54A2"/>
    <w:rsid w:val="00AC7FE3"/>
    <w:rsid w:val="00AE11F0"/>
    <w:rsid w:val="00AE6A3F"/>
    <w:rsid w:val="00AF03C5"/>
    <w:rsid w:val="00AF77F0"/>
    <w:rsid w:val="00B000D8"/>
    <w:rsid w:val="00B00F75"/>
    <w:rsid w:val="00B035C6"/>
    <w:rsid w:val="00B036F3"/>
    <w:rsid w:val="00B07897"/>
    <w:rsid w:val="00B145B6"/>
    <w:rsid w:val="00B15FE5"/>
    <w:rsid w:val="00B279EB"/>
    <w:rsid w:val="00B364CB"/>
    <w:rsid w:val="00B50048"/>
    <w:rsid w:val="00B50C81"/>
    <w:rsid w:val="00B557F8"/>
    <w:rsid w:val="00B56E2F"/>
    <w:rsid w:val="00B815FC"/>
    <w:rsid w:val="00B93CF1"/>
    <w:rsid w:val="00B93FBC"/>
    <w:rsid w:val="00BA650C"/>
    <w:rsid w:val="00BA6AF9"/>
    <w:rsid w:val="00BA7DA0"/>
    <w:rsid w:val="00BB2EE4"/>
    <w:rsid w:val="00BB4C92"/>
    <w:rsid w:val="00BB7A15"/>
    <w:rsid w:val="00BC18C9"/>
    <w:rsid w:val="00BC2108"/>
    <w:rsid w:val="00BC2A92"/>
    <w:rsid w:val="00BD0E9E"/>
    <w:rsid w:val="00BD1BEC"/>
    <w:rsid w:val="00BD32FF"/>
    <w:rsid w:val="00BD3E6C"/>
    <w:rsid w:val="00BE2EBA"/>
    <w:rsid w:val="00BE5C39"/>
    <w:rsid w:val="00BF4088"/>
    <w:rsid w:val="00BF6FE9"/>
    <w:rsid w:val="00C02092"/>
    <w:rsid w:val="00C24D91"/>
    <w:rsid w:val="00C26DB2"/>
    <w:rsid w:val="00C3138E"/>
    <w:rsid w:val="00C444BC"/>
    <w:rsid w:val="00C4731B"/>
    <w:rsid w:val="00C51E74"/>
    <w:rsid w:val="00C53F14"/>
    <w:rsid w:val="00C600CF"/>
    <w:rsid w:val="00C6084F"/>
    <w:rsid w:val="00C62A66"/>
    <w:rsid w:val="00C65D3B"/>
    <w:rsid w:val="00C66359"/>
    <w:rsid w:val="00C71458"/>
    <w:rsid w:val="00C77613"/>
    <w:rsid w:val="00C828E7"/>
    <w:rsid w:val="00C86719"/>
    <w:rsid w:val="00C921DD"/>
    <w:rsid w:val="00CA1E7B"/>
    <w:rsid w:val="00CA6391"/>
    <w:rsid w:val="00CA787B"/>
    <w:rsid w:val="00CB101A"/>
    <w:rsid w:val="00CC773F"/>
    <w:rsid w:val="00CD1ED2"/>
    <w:rsid w:val="00CE036E"/>
    <w:rsid w:val="00CE3171"/>
    <w:rsid w:val="00CF0FE7"/>
    <w:rsid w:val="00CF1601"/>
    <w:rsid w:val="00CF1A53"/>
    <w:rsid w:val="00CF3CB9"/>
    <w:rsid w:val="00D0172F"/>
    <w:rsid w:val="00D01E33"/>
    <w:rsid w:val="00D02FD8"/>
    <w:rsid w:val="00D068A7"/>
    <w:rsid w:val="00D17476"/>
    <w:rsid w:val="00D21BC5"/>
    <w:rsid w:val="00D22C8E"/>
    <w:rsid w:val="00D23616"/>
    <w:rsid w:val="00D32086"/>
    <w:rsid w:val="00D37A3F"/>
    <w:rsid w:val="00D4431D"/>
    <w:rsid w:val="00D4667A"/>
    <w:rsid w:val="00D6090A"/>
    <w:rsid w:val="00D63A1C"/>
    <w:rsid w:val="00D7516F"/>
    <w:rsid w:val="00D93122"/>
    <w:rsid w:val="00D95F8E"/>
    <w:rsid w:val="00DA0590"/>
    <w:rsid w:val="00DA332C"/>
    <w:rsid w:val="00DA5EA3"/>
    <w:rsid w:val="00DC02F4"/>
    <w:rsid w:val="00DC1739"/>
    <w:rsid w:val="00DC1788"/>
    <w:rsid w:val="00DE319C"/>
    <w:rsid w:val="00DF0CA8"/>
    <w:rsid w:val="00DF2B48"/>
    <w:rsid w:val="00DF49A7"/>
    <w:rsid w:val="00DF7217"/>
    <w:rsid w:val="00DF7E54"/>
    <w:rsid w:val="00E0404A"/>
    <w:rsid w:val="00E07EE2"/>
    <w:rsid w:val="00E07FD1"/>
    <w:rsid w:val="00E120B6"/>
    <w:rsid w:val="00E159BF"/>
    <w:rsid w:val="00E24573"/>
    <w:rsid w:val="00E25B65"/>
    <w:rsid w:val="00E25E1E"/>
    <w:rsid w:val="00E27EE7"/>
    <w:rsid w:val="00E35404"/>
    <w:rsid w:val="00E42758"/>
    <w:rsid w:val="00E45109"/>
    <w:rsid w:val="00E47B7A"/>
    <w:rsid w:val="00E56A44"/>
    <w:rsid w:val="00E60269"/>
    <w:rsid w:val="00E6242D"/>
    <w:rsid w:val="00E66BCE"/>
    <w:rsid w:val="00E819F3"/>
    <w:rsid w:val="00E97830"/>
    <w:rsid w:val="00ED57BE"/>
    <w:rsid w:val="00EE0830"/>
    <w:rsid w:val="00EE21AB"/>
    <w:rsid w:val="00EE6CB8"/>
    <w:rsid w:val="00EF0683"/>
    <w:rsid w:val="00EF1CC9"/>
    <w:rsid w:val="00EF343D"/>
    <w:rsid w:val="00EF49D9"/>
    <w:rsid w:val="00F0070C"/>
    <w:rsid w:val="00F00EB7"/>
    <w:rsid w:val="00F05E01"/>
    <w:rsid w:val="00F07580"/>
    <w:rsid w:val="00F30FCE"/>
    <w:rsid w:val="00F36AB6"/>
    <w:rsid w:val="00F37A09"/>
    <w:rsid w:val="00F409CE"/>
    <w:rsid w:val="00F4379D"/>
    <w:rsid w:val="00F50D2D"/>
    <w:rsid w:val="00F56C8B"/>
    <w:rsid w:val="00F62639"/>
    <w:rsid w:val="00F66810"/>
    <w:rsid w:val="00F84DF4"/>
    <w:rsid w:val="00F85C97"/>
    <w:rsid w:val="00FA3D87"/>
    <w:rsid w:val="00FB37D2"/>
    <w:rsid w:val="00FC4EFB"/>
    <w:rsid w:val="00FD068D"/>
    <w:rsid w:val="00FD2B1C"/>
    <w:rsid w:val="00FD4495"/>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BF408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F4088"/>
    <w:rPr>
      <w:rFonts w:eastAsiaTheme="minorHAnsi" w:cstheme="minorBidi"/>
      <w:sz w:val="24"/>
      <w:szCs w:val="22"/>
      <w:lang w:eastAsia="en-US"/>
    </w:rPr>
  </w:style>
  <w:style w:type="character" w:customStyle="1" w:styleId="SCCBanSummaryChar">
    <w:name w:val="SCC.BanSummary Char"/>
    <w:basedOn w:val="DefaultParagraphFont"/>
    <w:link w:val="SCCBanSummary"/>
    <w:rsid w:val="00BF4088"/>
    <w:rPr>
      <w:b/>
      <w:sz w:val="24"/>
    </w:rPr>
  </w:style>
  <w:style w:type="table" w:styleId="TableGrid">
    <w:name w:val="Table Grid"/>
    <w:basedOn w:val="TableNormal"/>
    <w:uiPriority w:val="59"/>
    <w:rsid w:val="00BF40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F408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F408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F4088"/>
    <w:pPr>
      <w:tabs>
        <w:tab w:val="left" w:pos="1166"/>
      </w:tabs>
      <w:spacing w:after="480" w:line="480" w:lineRule="auto"/>
    </w:pPr>
    <w:rPr>
      <w:smallCaps/>
      <w:sz w:val="24"/>
    </w:rPr>
  </w:style>
  <w:style w:type="paragraph" w:customStyle="1" w:styleId="ParaNoNdepar-AltN">
    <w:name w:val="Para. No. / Nº de par. - Alt N"/>
    <w:qFormat/>
    <w:rsid w:val="00BF4088"/>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F4088"/>
    <w:pPr>
      <w:tabs>
        <w:tab w:val="left" w:pos="360"/>
      </w:tabs>
      <w:spacing w:before="480" w:after="720"/>
      <w:ind w:left="360" w:hanging="360"/>
      <w:jc w:val="both"/>
    </w:pPr>
    <w:rPr>
      <w:rFonts w:eastAsiaTheme="minorHAnsi" w:cstheme="minorBidi"/>
      <w:sz w:val="24"/>
      <w:szCs w:val="22"/>
      <w:lang w:eastAsia="en-US"/>
    </w:rPr>
  </w:style>
  <w:style w:type="paragraph" w:customStyle="1" w:styleId="first1">
    <w:name w:val="first1"/>
    <w:basedOn w:val="Normal"/>
    <w:rsid w:val="00BF4088"/>
    <w:pPr>
      <w:autoSpaceDE w:val="0"/>
      <w:autoSpaceDN w:val="0"/>
    </w:pPr>
    <w:rPr>
      <w:sz w:val="28"/>
      <w:szCs w:val="28"/>
    </w:rPr>
  </w:style>
  <w:style w:type="paragraph" w:customStyle="1" w:styleId="11">
    <w:name w:val="11"/>
    <w:basedOn w:val="Normal"/>
    <w:rsid w:val="00BF4088"/>
    <w:pPr>
      <w:autoSpaceDE w:val="0"/>
      <w:autoSpaceDN w:val="0"/>
    </w:pPr>
    <w:rPr>
      <w:szCs w:val="24"/>
    </w:rPr>
  </w:style>
  <w:style w:type="paragraph" w:customStyle="1" w:styleId="SCCCoram">
    <w:name w:val="SCC.Coram"/>
    <w:basedOn w:val="Normal"/>
    <w:next w:val="Normal"/>
    <w:link w:val="SCCCoramChar"/>
    <w:rsid w:val="00BF408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F4088"/>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BF4088"/>
    <w:pPr>
      <w:numPr>
        <w:numId w:val="11"/>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F4088"/>
    <w:pPr>
      <w:numPr>
        <w:ilvl w:val="1"/>
      </w:numPr>
      <w:tabs>
        <w:tab w:val="clear" w:pos="999"/>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BF4088"/>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BF4088"/>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BF4088"/>
    <w:pPr>
      <w:numPr>
        <w:ilvl w:val="4"/>
      </w:numPr>
      <w:tabs>
        <w:tab w:val="clear" w:pos="576"/>
        <w:tab w:val="left" w:pos="1620"/>
      </w:tabs>
      <w:ind w:left="1620" w:hanging="540"/>
    </w:pPr>
  </w:style>
  <w:style w:type="paragraph" w:styleId="TOC1">
    <w:name w:val="toc 1"/>
    <w:basedOn w:val="Normal"/>
    <w:next w:val="Normal"/>
    <w:autoRedefine/>
    <w:uiPriority w:val="39"/>
    <w:unhideWhenUsed/>
    <w:rsid w:val="00BF408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F408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F408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F408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F408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F4088"/>
    <w:pPr>
      <w:tabs>
        <w:tab w:val="left" w:pos="2160"/>
        <w:tab w:val="right" w:leader="dot" w:pos="8270"/>
      </w:tabs>
      <w:spacing w:after="100"/>
      <w:ind w:left="1800"/>
    </w:pPr>
    <w:rPr>
      <w:noProof/>
    </w:rPr>
  </w:style>
  <w:style w:type="table" w:customStyle="1" w:styleId="TableGrid1">
    <w:name w:val="Table Grid1"/>
    <w:basedOn w:val="TableNormal"/>
    <w:uiPriority w:val="59"/>
    <w:rsid w:val="00BF4088"/>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F4088"/>
    <w:rPr>
      <w:sz w:val="20"/>
    </w:rPr>
  </w:style>
  <w:style w:type="character" w:customStyle="1" w:styleId="FootnoteTextChar">
    <w:name w:val="Footnote Text Char"/>
    <w:basedOn w:val="DefaultParagraphFont"/>
    <w:link w:val="FootnoteText"/>
    <w:uiPriority w:val="99"/>
    <w:rsid w:val="00BF4088"/>
  </w:style>
  <w:style w:type="character" w:styleId="FootnoteReference">
    <w:name w:val="footnote reference"/>
    <w:basedOn w:val="DefaultParagraphFont"/>
    <w:uiPriority w:val="99"/>
    <w:semiHidden/>
    <w:unhideWhenUsed/>
    <w:rsid w:val="00BF4088"/>
    <w:rPr>
      <w:vertAlign w:val="superscript"/>
    </w:rPr>
  </w:style>
  <w:style w:type="character" w:customStyle="1" w:styleId="apple-converted-space">
    <w:name w:val="apple-converted-space"/>
    <w:basedOn w:val="DefaultParagraphFont"/>
    <w:rsid w:val="00BF4088"/>
  </w:style>
  <w:style w:type="table" w:customStyle="1" w:styleId="TableGrid2">
    <w:name w:val="Table Grid2"/>
    <w:basedOn w:val="TableNormal"/>
    <w:next w:val="TableGrid"/>
    <w:uiPriority w:val="59"/>
    <w:rsid w:val="0088405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14789</Words>
  <Characters>75383</Characters>
  <Application>Microsoft Office Word</Application>
  <DocSecurity>0</DocSecurity>
  <Lines>628</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2014-06-19T19:03:00Z</dcterms:created>
  <dcterms:modified xsi:type="dcterms:W3CDTF">2014-06-24T18:21:00Z</dcterms:modified>
</cp:coreProperties>
</file>