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E6" w:rsidRDefault="00DF7DE6" w:rsidP="00DF7DE6"/>
    <w:p w:rsidR="00DF7DE6" w:rsidRPr="005B4C3C" w:rsidRDefault="00DF7DE6" w:rsidP="00DF7DE6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2pt;height:65pt" o:ole="">
            <v:imagedata r:id="rId6" o:title=""/>
          </v:shape>
          <o:OLEObject Type="Embed" ProgID="Presentations.Drawing.13" ShapeID="_x0000_i1037" DrawAspect="Content" ObjectID="_1464695059" r:id="rId7"/>
        </w:object>
      </w:r>
    </w:p>
    <w:p w:rsidR="00DF7DE6" w:rsidRPr="005B4C3C" w:rsidRDefault="00DF7DE6" w:rsidP="00DF7DE6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DF7DE6" w:rsidRPr="005B4C3C" w:rsidRDefault="00DF7DE6" w:rsidP="00DF7DE6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5B4C3C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DF7DE6" w:rsidRPr="005B4C3C" w:rsidRDefault="00DF7DE6" w:rsidP="00DF7DE6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DF7DE6" w:rsidRPr="005B4C3C" w:rsidTr="008548F6">
        <w:trPr>
          <w:cantSplit/>
        </w:trPr>
        <w:tc>
          <w:tcPr>
            <w:tcW w:w="6768" w:type="dxa"/>
          </w:tcPr>
          <w:p w:rsidR="00DF7DE6" w:rsidRPr="005B4C3C" w:rsidRDefault="00DF7DE6" w:rsidP="008548F6">
            <w:r w:rsidRPr="005B4C3C">
              <w:rPr>
                <w:b/>
                <w:smallCaps/>
              </w:rPr>
              <w:t>Référence :</w:t>
            </w:r>
            <w:r w:rsidRPr="005B4C3C">
              <w:t xml:space="preserve"> </w:t>
            </w:r>
            <w:r w:rsidRPr="00D71DBF">
              <w:t xml:space="preserve">R. </w:t>
            </w:r>
            <w:r w:rsidRPr="00D71DBF">
              <w:rPr>
                <w:i/>
              </w:rPr>
              <w:t>c.</w:t>
            </w:r>
            <w:r w:rsidRPr="00D71DBF">
              <w:t xml:space="preserve"> </w:t>
            </w:r>
            <w:r>
              <w:t>W.E.B., 2014 CSC 2, [2014] 1 R.C.S. 34</w:t>
            </w:r>
          </w:p>
        </w:tc>
        <w:tc>
          <w:tcPr>
            <w:tcW w:w="2808" w:type="dxa"/>
          </w:tcPr>
          <w:p w:rsidR="00DF7DE6" w:rsidRPr="005B4C3C" w:rsidRDefault="00DF7DE6" w:rsidP="008548F6">
            <w:r w:rsidRPr="005B4C3C">
              <w:rPr>
                <w:b/>
                <w:smallCaps/>
              </w:rPr>
              <w:t>Date :</w:t>
            </w:r>
            <w:r>
              <w:t xml:space="preserve"> 20140116</w:t>
            </w:r>
          </w:p>
          <w:p w:rsidR="00DF7DE6" w:rsidRPr="005B4C3C" w:rsidRDefault="00DF7DE6" w:rsidP="008548F6">
            <w:r w:rsidRPr="005B4C3C">
              <w:rPr>
                <w:b/>
                <w:smallCaps/>
              </w:rPr>
              <w:t>Dossier :</w:t>
            </w:r>
            <w:r w:rsidRPr="005B4C3C">
              <w:t xml:space="preserve"> </w:t>
            </w:r>
            <w:r>
              <w:t>35089</w:t>
            </w:r>
          </w:p>
        </w:tc>
      </w:tr>
    </w:tbl>
    <w:p w:rsidR="00DF7DE6" w:rsidRPr="005B4C3C" w:rsidRDefault="00DF7DE6" w:rsidP="00DF7DE6">
      <w:pPr>
        <w:rPr>
          <w:rFonts w:eastAsiaTheme="minorHAnsi" w:cstheme="minorBidi"/>
          <w:szCs w:val="24"/>
          <w:lang w:eastAsia="en-US"/>
        </w:rPr>
      </w:pPr>
    </w:p>
    <w:p w:rsidR="00DF7DE6" w:rsidRDefault="00DF7DE6" w:rsidP="00DF7DE6">
      <w:pPr>
        <w:rPr>
          <w:rFonts w:eastAsiaTheme="minorHAnsi" w:cstheme="minorBidi"/>
          <w:b/>
          <w:smallCaps/>
          <w:szCs w:val="24"/>
          <w:lang w:eastAsia="en-US"/>
        </w:rPr>
      </w:pPr>
      <w:proofErr w:type="gramStart"/>
      <w:r w:rsidRPr="005B4C3C">
        <w:rPr>
          <w:rFonts w:eastAsiaTheme="minorHAnsi" w:cstheme="minorBidi"/>
          <w:b/>
          <w:smallCaps/>
          <w:szCs w:val="24"/>
          <w:lang w:eastAsia="en-US"/>
        </w:rPr>
        <w:t>Entre :</w:t>
      </w:r>
      <w:proofErr w:type="gramEnd"/>
    </w:p>
    <w:p w:rsidR="00DF7DE6" w:rsidRPr="005B4C3C" w:rsidRDefault="00DF7DE6" w:rsidP="00DF7DE6">
      <w:pPr>
        <w:jc w:val="center"/>
        <w:rPr>
          <w:rFonts w:eastAsiaTheme="minorHAnsi" w:cstheme="minorBidi"/>
          <w:b/>
          <w:smallCaps/>
          <w:szCs w:val="24"/>
          <w:lang w:eastAsia="en-US"/>
        </w:rPr>
      </w:pPr>
      <w:proofErr w:type="gramStart"/>
      <w:r>
        <w:rPr>
          <w:rFonts w:eastAsiaTheme="minorHAnsi" w:cstheme="minorBidi"/>
          <w:b/>
          <w:szCs w:val="24"/>
          <w:lang w:eastAsia="en-US"/>
        </w:rPr>
        <w:t>W.E.B.</w:t>
      </w:r>
      <w:proofErr w:type="gramEnd"/>
    </w:p>
    <w:p w:rsidR="00DF7DE6" w:rsidRPr="005B4C3C" w:rsidRDefault="00DF7DE6" w:rsidP="00DF7DE6">
      <w:pPr>
        <w:jc w:val="center"/>
        <w:rPr>
          <w:rFonts w:eastAsiaTheme="minorHAnsi" w:cstheme="minorBidi"/>
          <w:szCs w:val="24"/>
          <w:lang w:eastAsia="en-US"/>
        </w:rPr>
      </w:pPr>
      <w:proofErr w:type="spellStart"/>
      <w:r>
        <w:rPr>
          <w:rFonts w:eastAsiaTheme="minorHAnsi" w:cstheme="minorBidi"/>
          <w:szCs w:val="24"/>
          <w:lang w:eastAsia="en-US"/>
        </w:rPr>
        <w:t>Appelant</w:t>
      </w:r>
      <w:proofErr w:type="spellEnd"/>
    </w:p>
    <w:p w:rsidR="00DF7DE6" w:rsidRPr="005B4C3C" w:rsidRDefault="00DF7DE6" w:rsidP="00DF7DE6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5B4C3C">
        <w:rPr>
          <w:rFonts w:eastAsiaTheme="minorHAnsi" w:cstheme="minorBidi"/>
          <w:szCs w:val="24"/>
          <w:lang w:eastAsia="en-US"/>
        </w:rPr>
        <w:t>et</w:t>
      </w:r>
      <w:proofErr w:type="gramEnd"/>
    </w:p>
    <w:p w:rsidR="00DF7DE6" w:rsidRPr="005B4C3C" w:rsidRDefault="00DF7DE6" w:rsidP="00DF7DE6">
      <w:pPr>
        <w:jc w:val="center"/>
        <w:rPr>
          <w:rFonts w:eastAsiaTheme="minorHAnsi" w:cstheme="minorBidi"/>
          <w:b/>
          <w:szCs w:val="24"/>
          <w:lang w:eastAsia="en-US"/>
        </w:rPr>
      </w:pPr>
      <w:r>
        <w:rPr>
          <w:rFonts w:eastAsiaTheme="minorHAnsi" w:cstheme="minorBidi"/>
          <w:b/>
          <w:szCs w:val="24"/>
          <w:lang w:eastAsia="en-US"/>
        </w:rPr>
        <w:t xml:space="preserve">Sa </w:t>
      </w:r>
      <w:proofErr w:type="spellStart"/>
      <w:r>
        <w:rPr>
          <w:rFonts w:eastAsiaTheme="minorHAnsi" w:cstheme="minorBidi"/>
          <w:b/>
          <w:szCs w:val="24"/>
          <w:lang w:eastAsia="en-US"/>
        </w:rPr>
        <w:t>Majesté</w:t>
      </w:r>
      <w:proofErr w:type="spellEnd"/>
      <w:r>
        <w:rPr>
          <w:rFonts w:eastAsiaTheme="minorHAnsi" w:cstheme="minorBidi"/>
          <w:b/>
          <w:szCs w:val="24"/>
          <w:lang w:eastAsia="en-US"/>
        </w:rPr>
        <w:t xml:space="preserve"> la </w:t>
      </w:r>
      <w:proofErr w:type="spellStart"/>
      <w:r>
        <w:rPr>
          <w:rFonts w:eastAsiaTheme="minorHAnsi" w:cstheme="minorBidi"/>
          <w:b/>
          <w:szCs w:val="24"/>
          <w:lang w:eastAsia="en-US"/>
        </w:rPr>
        <w:t>Reine</w:t>
      </w:r>
      <w:proofErr w:type="spellEnd"/>
    </w:p>
    <w:p w:rsidR="00DF7DE6" w:rsidRPr="005B4C3C" w:rsidRDefault="00DF7DE6" w:rsidP="00DF7DE6">
      <w:pPr>
        <w:jc w:val="center"/>
        <w:rPr>
          <w:rFonts w:eastAsiaTheme="minorHAnsi" w:cstheme="minorBidi"/>
          <w:szCs w:val="24"/>
          <w:lang w:eastAsia="en-US"/>
        </w:rPr>
      </w:pPr>
      <w:proofErr w:type="spellStart"/>
      <w:r w:rsidRPr="005B4C3C">
        <w:rPr>
          <w:rFonts w:eastAsiaTheme="minorHAnsi" w:cstheme="minorBidi"/>
          <w:szCs w:val="24"/>
          <w:lang w:eastAsia="en-US"/>
        </w:rPr>
        <w:t>Intimé</w:t>
      </w:r>
      <w:r>
        <w:rPr>
          <w:rFonts w:eastAsiaTheme="minorHAnsi" w:cstheme="minorBidi"/>
          <w:szCs w:val="24"/>
          <w:lang w:eastAsia="en-US"/>
        </w:rPr>
        <w:t>e</w:t>
      </w:r>
      <w:proofErr w:type="spellEnd"/>
    </w:p>
    <w:p w:rsidR="00DF7DE6" w:rsidRDefault="00DF7DE6" w:rsidP="00DF7DE6">
      <w:pPr>
        <w:rPr>
          <w:rFonts w:eastAsiaTheme="minorHAnsi" w:cstheme="minorBidi"/>
          <w:szCs w:val="24"/>
          <w:lang w:eastAsia="en-US"/>
        </w:rPr>
      </w:pPr>
    </w:p>
    <w:p w:rsidR="00DF7DE6" w:rsidRDefault="00DF7DE6" w:rsidP="00DF7DE6">
      <w:pPr>
        <w:rPr>
          <w:rFonts w:eastAsiaTheme="minorHAnsi" w:cstheme="minorBidi"/>
          <w:szCs w:val="24"/>
          <w:lang w:eastAsia="en-US"/>
        </w:rPr>
      </w:pPr>
    </w:p>
    <w:p w:rsidR="00DF7DE6" w:rsidRPr="001E12E2" w:rsidRDefault="00DF7DE6" w:rsidP="00DF7DE6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DF7DE6" w:rsidRPr="005B4C3C" w:rsidRDefault="00DF7DE6" w:rsidP="00DF7DE6">
      <w:pPr>
        <w:rPr>
          <w:rFonts w:eastAsiaTheme="minorHAnsi" w:cstheme="minorBidi"/>
          <w:szCs w:val="24"/>
          <w:lang w:eastAsia="en-US"/>
        </w:rPr>
      </w:pPr>
    </w:p>
    <w:p w:rsidR="00DF7DE6" w:rsidRPr="005B4C3C" w:rsidRDefault="00DF7DE6" w:rsidP="00DF7DE6">
      <w:pPr>
        <w:jc w:val="both"/>
        <w:rPr>
          <w:rFonts w:eastAsiaTheme="minorHAnsi" w:cstheme="minorBidi"/>
          <w:szCs w:val="24"/>
          <w:lang w:eastAsia="en-US"/>
        </w:rPr>
      </w:pPr>
      <w:proofErr w:type="gramStart"/>
      <w:r w:rsidRPr="005B4C3C">
        <w:rPr>
          <w:rFonts w:eastAsiaTheme="minorHAnsi" w:cstheme="minorBidi"/>
          <w:b/>
          <w:smallCaps/>
          <w:szCs w:val="24"/>
          <w:lang w:eastAsia="en-US"/>
        </w:rPr>
        <w:t>Coram :</w:t>
      </w:r>
      <w:proofErr w:type="gramEnd"/>
      <w:r w:rsidRPr="005B4C3C">
        <w:rPr>
          <w:rFonts w:eastAsiaTheme="minorHAnsi" w:cstheme="minorBidi"/>
          <w:szCs w:val="24"/>
          <w:lang w:eastAsia="en-US"/>
        </w:rPr>
        <w:t xml:space="preserve"> </w:t>
      </w:r>
      <w:r w:rsidRPr="00154E23">
        <w:t xml:space="preserve">La </w:t>
      </w:r>
      <w:proofErr w:type="spellStart"/>
      <w:r w:rsidRPr="00154E23">
        <w:t>juge</w:t>
      </w:r>
      <w:proofErr w:type="spellEnd"/>
      <w:r w:rsidRPr="00154E23">
        <w:t xml:space="preserve"> en chef </w:t>
      </w:r>
      <w:proofErr w:type="spellStart"/>
      <w:r w:rsidRPr="00154E23">
        <w:t>McLachlin</w:t>
      </w:r>
      <w:proofErr w:type="spellEnd"/>
      <w:r w:rsidRPr="00154E23">
        <w:t xml:space="preserve"> et les </w:t>
      </w:r>
      <w:proofErr w:type="spellStart"/>
      <w:r w:rsidRPr="00154E23">
        <w:t>juges</w:t>
      </w:r>
      <w:proofErr w:type="spellEnd"/>
      <w:r w:rsidRPr="00154E23">
        <w:t xml:space="preserve"> LeBel, Abella, Rothstein, Cromwell, </w:t>
      </w:r>
      <w:proofErr w:type="spellStart"/>
      <w:r w:rsidRPr="00154E23">
        <w:t>Moldaver</w:t>
      </w:r>
      <w:proofErr w:type="spellEnd"/>
      <w:r w:rsidRPr="00154E23">
        <w:t xml:space="preserve"> et Wagner.</w:t>
      </w:r>
    </w:p>
    <w:p w:rsidR="00DF7DE6" w:rsidRPr="005B4C3C" w:rsidRDefault="00DF7DE6" w:rsidP="00DF7DE6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DF7DE6" w:rsidRPr="005B4C3C" w:rsidTr="008548F6">
        <w:trPr>
          <w:cantSplit/>
        </w:trPr>
        <w:tc>
          <w:tcPr>
            <w:tcW w:w="3618" w:type="dxa"/>
          </w:tcPr>
          <w:p w:rsidR="00DF7DE6" w:rsidRPr="005B4C3C" w:rsidRDefault="00DF7DE6" w:rsidP="008548F6">
            <w:pPr>
              <w:rPr>
                <w:b/>
                <w:smallCaps/>
              </w:rPr>
            </w:pPr>
            <w:r w:rsidRPr="005B4C3C">
              <w:rPr>
                <w:b/>
                <w:smallCaps/>
              </w:rPr>
              <w:t xml:space="preserve">Motifs de </w:t>
            </w:r>
            <w:proofErr w:type="spellStart"/>
            <w:r w:rsidRPr="005B4C3C">
              <w:rPr>
                <w:b/>
                <w:smallCaps/>
              </w:rPr>
              <w:t>jugement</w:t>
            </w:r>
            <w:proofErr w:type="spellEnd"/>
            <w:r w:rsidRPr="005B4C3C">
              <w:rPr>
                <w:b/>
                <w:smallCaps/>
              </w:rPr>
              <w:t> :</w:t>
            </w:r>
          </w:p>
          <w:p w:rsidR="00DF7DE6" w:rsidRPr="005B4C3C" w:rsidRDefault="00DF7DE6" w:rsidP="008548F6">
            <w:r>
              <w:t>(par. 1 à 4</w:t>
            </w:r>
            <w:r w:rsidRPr="005B4C3C">
              <w:t>)</w:t>
            </w:r>
          </w:p>
        </w:tc>
        <w:tc>
          <w:tcPr>
            <w:tcW w:w="5958" w:type="dxa"/>
          </w:tcPr>
          <w:p w:rsidR="00DF7DE6" w:rsidRPr="005B4C3C" w:rsidRDefault="00DF7DE6" w:rsidP="008548F6">
            <w:r w:rsidRPr="00C974C5">
              <w:t>L</w:t>
            </w:r>
            <w:r>
              <w:t>e</w:t>
            </w:r>
            <w:r w:rsidRPr="00C974C5">
              <w:t xml:space="preserve"> </w:t>
            </w:r>
            <w:proofErr w:type="spellStart"/>
            <w:r w:rsidRPr="00C974C5">
              <w:t>juge</w:t>
            </w:r>
            <w:proofErr w:type="spellEnd"/>
            <w:r w:rsidRPr="00C974C5">
              <w:t xml:space="preserve"> </w:t>
            </w:r>
            <w:proofErr w:type="spellStart"/>
            <w:r>
              <w:t>Moldaver</w:t>
            </w:r>
            <w:proofErr w:type="spellEnd"/>
            <w:r w:rsidRPr="00C974C5">
              <w:t xml:space="preserve"> </w:t>
            </w:r>
            <w:r w:rsidRPr="005B4C3C">
              <w:t xml:space="preserve">(avec </w:t>
            </w:r>
            <w:proofErr w:type="spellStart"/>
            <w:r w:rsidRPr="005B4C3C">
              <w:t>l’accord</w:t>
            </w:r>
            <w:proofErr w:type="spellEnd"/>
            <w:r>
              <w:t xml:space="preserve"> de la </w:t>
            </w:r>
            <w:proofErr w:type="spellStart"/>
            <w:r>
              <w:t>juge</w:t>
            </w:r>
            <w:proofErr w:type="spellEnd"/>
            <w:r>
              <w:t xml:space="preserve"> en chef </w:t>
            </w:r>
            <w:proofErr w:type="spellStart"/>
            <w:r>
              <w:t>McLachlin</w:t>
            </w:r>
            <w:proofErr w:type="spellEnd"/>
            <w:r>
              <w:t xml:space="preserve"> et</w:t>
            </w:r>
            <w:r w:rsidRPr="005B4C3C">
              <w:t xml:space="preserve"> </w:t>
            </w:r>
            <w:r>
              <w:t xml:space="preserve">des </w:t>
            </w:r>
            <w:proofErr w:type="spellStart"/>
            <w:r>
              <w:t>juges</w:t>
            </w:r>
            <w:proofErr w:type="spellEnd"/>
            <w:r>
              <w:t xml:space="preserve"> LeBel,</w:t>
            </w:r>
            <w:r w:rsidRPr="00527758">
              <w:rPr>
                <w:lang w:val="fr-FR"/>
              </w:rPr>
              <w:t xml:space="preserve"> </w:t>
            </w:r>
            <w:r>
              <w:t>Abella, Rothstein, Cromwell</w:t>
            </w:r>
            <w:r w:rsidRPr="003F5FC4">
              <w:t xml:space="preserve"> et </w:t>
            </w:r>
            <w:r>
              <w:t>Wagner</w:t>
            </w:r>
            <w:r w:rsidRPr="005B4C3C">
              <w:t>)</w:t>
            </w:r>
          </w:p>
        </w:tc>
      </w:tr>
    </w:tbl>
    <w:p w:rsidR="00DF7DE6" w:rsidRPr="005B4C3C" w:rsidRDefault="00DF7DE6" w:rsidP="00DF7DE6">
      <w:pPr>
        <w:rPr>
          <w:rFonts w:eastAsiaTheme="minorHAnsi" w:cstheme="minorBidi"/>
          <w:szCs w:val="24"/>
          <w:lang w:eastAsia="en-US"/>
        </w:rPr>
      </w:pPr>
      <w:r w:rsidRPr="009A0FE1"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DF7DE6" w:rsidRDefault="00DF7DE6" w:rsidP="00DF7DE6">
      <w:pPr>
        <w:rPr>
          <w:smallCaps/>
        </w:rPr>
      </w:pPr>
    </w:p>
    <w:p w:rsidR="00445E54" w:rsidRPr="00445E54" w:rsidRDefault="00445E54" w:rsidP="00445E54">
      <w:r w:rsidRPr="00445E54">
        <w:t xml:space="preserve">R. </w:t>
      </w:r>
      <w:r w:rsidRPr="00445E54">
        <w:rPr>
          <w:i/>
        </w:rPr>
        <w:t>c</w:t>
      </w:r>
      <w:r w:rsidRPr="00445E54">
        <w:t>. W.E.B.</w:t>
      </w:r>
      <w:r w:rsidR="00DF7DE6">
        <w:t xml:space="preserve">, 2014 </w:t>
      </w:r>
      <w:r>
        <w:t>C</w:t>
      </w:r>
      <w:r w:rsidR="00DF7DE6">
        <w:t>S</w:t>
      </w:r>
      <w:r>
        <w:t>C 2, [2014] 1 R.C.S. 34</w:t>
      </w:r>
    </w:p>
    <w:p w:rsidR="00445E54" w:rsidRDefault="00445E54">
      <w:pPr>
        <w:pStyle w:val="SCCLsocLastPartyInRole"/>
        <w:rPr>
          <w:lang w:val="fr-CA"/>
        </w:rPr>
      </w:pPr>
    </w:p>
    <w:p w:rsidR="004F6361" w:rsidRPr="002D40BF" w:rsidRDefault="00154E23">
      <w:pPr>
        <w:pStyle w:val="SCCLsocLastPartyInRole"/>
        <w:rPr>
          <w:lang w:val="fr-CA"/>
        </w:rPr>
      </w:pPr>
      <w:r w:rsidRPr="002D40BF">
        <w:rPr>
          <w:lang w:val="fr-CA"/>
        </w:rPr>
        <w:t>W.E.B.</w:t>
      </w:r>
      <w:r w:rsidRPr="002D40BF">
        <w:rPr>
          <w:rStyle w:val="SCCLsocPartyRole"/>
          <w:lang w:val="fr-CA"/>
        </w:rPr>
        <w:tab/>
        <w:t>Appelant</w:t>
      </w:r>
    </w:p>
    <w:p w:rsidR="004F6361" w:rsidRPr="002D40BF" w:rsidRDefault="00154E23">
      <w:pPr>
        <w:pStyle w:val="SCCLsocVersus"/>
        <w:rPr>
          <w:lang w:val="fr-CA"/>
        </w:rPr>
      </w:pPr>
      <w:proofErr w:type="gramStart"/>
      <w:r w:rsidRPr="002D40BF">
        <w:rPr>
          <w:lang w:val="fr-CA"/>
        </w:rPr>
        <w:t>c</w:t>
      </w:r>
      <w:proofErr w:type="gramEnd"/>
      <w:r w:rsidRPr="002D40BF">
        <w:rPr>
          <w:lang w:val="fr-CA"/>
        </w:rPr>
        <w:t>.</w:t>
      </w:r>
    </w:p>
    <w:p w:rsidR="004F6361" w:rsidRPr="002D40BF" w:rsidRDefault="00154E23">
      <w:pPr>
        <w:pStyle w:val="SCCLsocLastPartyInRole"/>
        <w:rPr>
          <w:lang w:val="fr-CA"/>
        </w:rPr>
      </w:pPr>
      <w:r w:rsidRPr="002D40BF">
        <w:rPr>
          <w:lang w:val="fr-CA"/>
        </w:rPr>
        <w:t>Sa Majesté la Reine</w:t>
      </w:r>
      <w:r w:rsidR="002D40BF">
        <w:rPr>
          <w:rStyle w:val="SCCLsocPartyRole"/>
          <w:lang w:val="fr-CA"/>
        </w:rPr>
        <w:tab/>
        <w:t>Intimé</w:t>
      </w:r>
      <w:r w:rsidRPr="002D40BF">
        <w:rPr>
          <w:rStyle w:val="SCCLsocPartyRole"/>
          <w:lang w:val="fr-CA"/>
        </w:rPr>
        <w:t>e</w:t>
      </w:r>
    </w:p>
    <w:p w:rsidR="003B0EAA" w:rsidRDefault="003B0EAA" w:rsidP="004D7D95">
      <w:pPr>
        <w:jc w:val="both"/>
        <w:rPr>
          <w:b/>
          <w:lang w:val="fr-CA"/>
        </w:rPr>
      </w:pPr>
    </w:p>
    <w:p w:rsidR="004D7D95" w:rsidRPr="002D40BF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2D40BF">
        <w:rPr>
          <w:b/>
          <w:lang w:val="fr-CA"/>
        </w:rPr>
        <w:t xml:space="preserve">R.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="002D40BF">
        <w:rPr>
          <w:b/>
          <w:lang w:val="fr-CA"/>
        </w:rPr>
        <w:t>W.E.B.</w:t>
      </w:r>
    </w:p>
    <w:p w:rsidR="004D7D95" w:rsidRPr="002D40BF" w:rsidRDefault="004D7D95" w:rsidP="004D7D95">
      <w:pPr>
        <w:jc w:val="both"/>
        <w:rPr>
          <w:lang w:val="fr-CA"/>
        </w:rPr>
      </w:pPr>
    </w:p>
    <w:p w:rsidR="004D7D95" w:rsidRPr="002D40BF" w:rsidRDefault="00F62639" w:rsidP="004D7D95">
      <w:pPr>
        <w:pStyle w:val="SCCSystemYear"/>
        <w:jc w:val="both"/>
        <w:rPr>
          <w:lang w:val="fr-CA"/>
        </w:rPr>
      </w:pPr>
      <w:r w:rsidRPr="002D40BF">
        <w:rPr>
          <w:lang w:val="fr-CA"/>
        </w:rPr>
        <w:t>2014</w:t>
      </w:r>
      <w:r w:rsidR="002D40BF">
        <w:rPr>
          <w:lang w:val="fr-CA"/>
        </w:rPr>
        <w:t xml:space="preserve"> CSC 2</w:t>
      </w:r>
    </w:p>
    <w:p w:rsidR="004D7D95" w:rsidRPr="002D40BF" w:rsidRDefault="004D7D95" w:rsidP="004D7D95">
      <w:pPr>
        <w:jc w:val="both"/>
        <w:rPr>
          <w:lang w:val="fr-CA"/>
        </w:rPr>
      </w:pPr>
    </w:p>
    <w:p w:rsidR="004D7D95" w:rsidRPr="002D40BF" w:rsidRDefault="004D7D95" w:rsidP="004D7D95">
      <w:pPr>
        <w:jc w:val="both"/>
        <w:rPr>
          <w:lang w:val="fr-CA"/>
        </w:rPr>
      </w:pPr>
      <w:r w:rsidRPr="002D40BF">
        <w:rPr>
          <w:lang w:val="fr-CA"/>
        </w:rPr>
        <w:t>N</w:t>
      </w:r>
      <w:r w:rsidRPr="002D40BF">
        <w:rPr>
          <w:vertAlign w:val="superscript"/>
          <w:lang w:val="fr-CA"/>
        </w:rPr>
        <w:t>o</w:t>
      </w:r>
      <w:r w:rsidRPr="002D40BF">
        <w:rPr>
          <w:lang w:val="fr-CA"/>
        </w:rPr>
        <w:t xml:space="preserve"> du greffe : 35089.</w:t>
      </w:r>
    </w:p>
    <w:p w:rsidR="004D7D95" w:rsidRPr="002D40BF" w:rsidRDefault="004D7D95" w:rsidP="004D7D95">
      <w:pPr>
        <w:jc w:val="both"/>
        <w:rPr>
          <w:lang w:val="fr-CA"/>
        </w:rPr>
      </w:pPr>
    </w:p>
    <w:p w:rsidR="004D7D95" w:rsidRPr="002D40BF" w:rsidRDefault="00F62639" w:rsidP="004D7D95">
      <w:pPr>
        <w:jc w:val="both"/>
        <w:rPr>
          <w:lang w:val="fr-CA"/>
        </w:rPr>
      </w:pPr>
      <w:r w:rsidRPr="002D40BF">
        <w:rPr>
          <w:lang w:val="fr-CA"/>
        </w:rPr>
        <w:t>2014</w:t>
      </w:r>
      <w:r w:rsidR="005A0BD2">
        <w:rPr>
          <w:lang w:val="fr-CA"/>
        </w:rPr>
        <w:t> </w:t>
      </w:r>
      <w:r w:rsidRPr="002D40BF">
        <w:rPr>
          <w:lang w:val="fr-CA"/>
        </w:rPr>
        <w:t>:</w:t>
      </w:r>
      <w:r w:rsidR="005A0BD2">
        <w:rPr>
          <w:lang w:val="fr-CA"/>
        </w:rPr>
        <w:t> </w:t>
      </w:r>
      <w:r w:rsidRPr="002D40BF">
        <w:rPr>
          <w:lang w:val="fr-CA"/>
        </w:rPr>
        <w:t>16 janvier</w:t>
      </w:r>
      <w:r w:rsidR="004D7D95" w:rsidRPr="002D40BF">
        <w:rPr>
          <w:lang w:val="fr-CA"/>
        </w:rPr>
        <w:t>.</w:t>
      </w:r>
    </w:p>
    <w:p w:rsidR="004D7D95" w:rsidRDefault="004D7D95" w:rsidP="004D7D95">
      <w:pPr>
        <w:jc w:val="both"/>
        <w:rPr>
          <w:lang w:val="fr-CA"/>
        </w:rPr>
      </w:pPr>
    </w:p>
    <w:p w:rsidR="004D7D95" w:rsidRPr="00154E23" w:rsidRDefault="004D7D95" w:rsidP="004D7D95">
      <w:pPr>
        <w:jc w:val="both"/>
        <w:rPr>
          <w:lang w:val="fr-CA"/>
        </w:rPr>
      </w:pPr>
      <w:r w:rsidRPr="00154E23">
        <w:rPr>
          <w:lang w:val="fr-CA"/>
        </w:rPr>
        <w:t xml:space="preserve">Présents : La juge en chef McLachlin et les juges LeBel, Abella, </w:t>
      </w:r>
      <w:proofErr w:type="spellStart"/>
      <w:r w:rsidRPr="00154E23">
        <w:rPr>
          <w:lang w:val="fr-CA"/>
        </w:rPr>
        <w:t>Rothstein</w:t>
      </w:r>
      <w:proofErr w:type="spellEnd"/>
      <w:r w:rsidRPr="00154E23">
        <w:rPr>
          <w:lang w:val="fr-CA"/>
        </w:rPr>
        <w:t xml:space="preserve">, Cromwell, </w:t>
      </w:r>
      <w:proofErr w:type="spellStart"/>
      <w:r w:rsidRPr="00154E23">
        <w:rPr>
          <w:lang w:val="fr-CA"/>
        </w:rPr>
        <w:t>Moldaver</w:t>
      </w:r>
      <w:proofErr w:type="spellEnd"/>
      <w:r w:rsidRPr="00154E23">
        <w:rPr>
          <w:lang w:val="fr-CA"/>
        </w:rPr>
        <w:t xml:space="preserve"> et Wagner.</w:t>
      </w:r>
    </w:p>
    <w:p w:rsidR="004D7D95" w:rsidRPr="00154E23" w:rsidRDefault="004D7D95" w:rsidP="004D7D95">
      <w:pPr>
        <w:jc w:val="both"/>
        <w:rPr>
          <w:lang w:val="fr-CA"/>
        </w:rPr>
      </w:pPr>
    </w:p>
    <w:p w:rsidR="004D7D95" w:rsidRPr="002D40BF" w:rsidRDefault="004D7D95" w:rsidP="000F7993">
      <w:pPr>
        <w:jc w:val="both"/>
        <w:rPr>
          <w:smallCaps/>
          <w:lang w:val="fr-CA"/>
        </w:rPr>
      </w:pPr>
      <w:r w:rsidRPr="002D40BF">
        <w:rPr>
          <w:smallCaps/>
          <w:lang w:val="fr-CA"/>
        </w:rPr>
        <w:t>en appel de la cour d’appel de l’</w:t>
      </w:r>
      <w:proofErr w:type="spellStart"/>
      <w:r w:rsidRPr="002D40BF">
        <w:rPr>
          <w:smallCaps/>
          <w:lang w:val="fr-CA"/>
        </w:rPr>
        <w:t>ontario</w:t>
      </w:r>
      <w:proofErr w:type="spellEnd"/>
    </w:p>
    <w:p w:rsidR="004D7D95" w:rsidRDefault="004D7D95" w:rsidP="004D7D95">
      <w:pPr>
        <w:pStyle w:val="SCCNormalDoubleSpacing"/>
        <w:rPr>
          <w:smallCaps/>
          <w:lang w:val="fr-CA"/>
        </w:rPr>
      </w:pPr>
    </w:p>
    <w:p w:rsidR="004D7D95" w:rsidRPr="00DC132C" w:rsidRDefault="004D7D95" w:rsidP="004D7D9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F72D55" w:rsidRPr="00DC132C">
        <w:rPr>
          <w:i/>
          <w:lang w:val="fr-CA"/>
        </w:rPr>
        <w:t xml:space="preserve">Droit criminel </w:t>
      </w:r>
      <w:r w:rsidR="004C5788" w:rsidRPr="003B0EAA">
        <w:rPr>
          <w:i/>
          <w:lang w:val="fr-CA"/>
        </w:rPr>
        <w:t xml:space="preserve">— </w:t>
      </w:r>
      <w:r w:rsidR="00F72D55" w:rsidRPr="00DC132C">
        <w:rPr>
          <w:i/>
          <w:lang w:val="fr-CA"/>
        </w:rPr>
        <w:t xml:space="preserve">Procès </w:t>
      </w:r>
      <w:r w:rsidR="004C5788" w:rsidRPr="003B0EAA">
        <w:rPr>
          <w:i/>
          <w:lang w:val="fr-CA"/>
        </w:rPr>
        <w:t xml:space="preserve">— </w:t>
      </w:r>
      <w:r w:rsidR="00F72D55" w:rsidRPr="00DC132C">
        <w:rPr>
          <w:i/>
          <w:lang w:val="fr-CA"/>
        </w:rPr>
        <w:t xml:space="preserve">Assistance ineffective par un avocat </w:t>
      </w:r>
      <w:r w:rsidR="004C5788" w:rsidRPr="003B0EAA">
        <w:rPr>
          <w:i/>
          <w:lang w:val="fr-CA"/>
        </w:rPr>
        <w:t xml:space="preserve">— </w:t>
      </w:r>
      <w:r w:rsidR="00F72D55" w:rsidRPr="00DC132C">
        <w:rPr>
          <w:i/>
          <w:lang w:val="fr-CA"/>
        </w:rPr>
        <w:t xml:space="preserve">Contestation par l’accusé de la </w:t>
      </w:r>
      <w:r w:rsidR="00DC132C" w:rsidRPr="00DC132C">
        <w:rPr>
          <w:i/>
          <w:lang w:val="fr-CA"/>
        </w:rPr>
        <w:t>compétence de son avocate pour différentes raisons</w:t>
      </w:r>
      <w:r w:rsidR="00F72D55" w:rsidRPr="00DC132C">
        <w:rPr>
          <w:i/>
          <w:lang w:val="fr-CA"/>
        </w:rPr>
        <w:t xml:space="preserve"> </w:t>
      </w:r>
      <w:r w:rsidR="004C5788" w:rsidRPr="003B0EAA">
        <w:rPr>
          <w:i/>
          <w:lang w:val="fr-CA"/>
        </w:rPr>
        <w:t xml:space="preserve">— </w:t>
      </w:r>
      <w:r w:rsidR="00DC132C" w:rsidRPr="00DC132C">
        <w:rPr>
          <w:i/>
          <w:lang w:val="fr-CA"/>
        </w:rPr>
        <w:t xml:space="preserve">Rejet par la Cour d’appel des allégations d’assistance ineffective </w:t>
      </w:r>
      <w:r w:rsidR="001F5D7B">
        <w:rPr>
          <w:i/>
          <w:lang w:val="fr-CA"/>
        </w:rPr>
        <w:t>formulées</w:t>
      </w:r>
      <w:r w:rsidR="00DC132C" w:rsidRPr="00DC132C">
        <w:rPr>
          <w:i/>
          <w:lang w:val="fr-CA"/>
        </w:rPr>
        <w:t xml:space="preserve"> par</w:t>
      </w:r>
      <w:r w:rsidR="00DC132C">
        <w:rPr>
          <w:i/>
          <w:lang w:val="fr-CA"/>
        </w:rPr>
        <w:t xml:space="preserve"> </w:t>
      </w:r>
      <w:r w:rsidR="00DC132C" w:rsidRPr="00DC132C">
        <w:rPr>
          <w:i/>
          <w:lang w:val="fr-CA"/>
        </w:rPr>
        <w:t>l’accusé</w:t>
      </w:r>
      <w:r w:rsidR="001F5D7B">
        <w:rPr>
          <w:i/>
          <w:lang w:val="fr-CA"/>
        </w:rPr>
        <w:t xml:space="preserve"> </w:t>
      </w:r>
      <w:r w:rsidR="004C5788" w:rsidRPr="003B0EAA">
        <w:rPr>
          <w:i/>
          <w:lang w:val="fr-CA"/>
        </w:rPr>
        <w:t xml:space="preserve">— </w:t>
      </w:r>
      <w:r w:rsidR="0034649E">
        <w:rPr>
          <w:i/>
          <w:lang w:val="fr-CA"/>
        </w:rPr>
        <w:t xml:space="preserve">Y </w:t>
      </w:r>
      <w:r w:rsidR="001F5D7B">
        <w:rPr>
          <w:i/>
          <w:lang w:val="fr-CA"/>
        </w:rPr>
        <w:t>a-t-il eu erreur judiciaire?</w:t>
      </w:r>
      <w:r w:rsidR="0022007A">
        <w:rPr>
          <w:i/>
          <w:lang w:val="fr-CA"/>
        </w:rPr>
        <w:t xml:space="preserve"> </w:t>
      </w:r>
      <w:r w:rsidR="004C5788" w:rsidRPr="003B0EAA">
        <w:rPr>
          <w:i/>
          <w:lang w:val="fr-CA"/>
        </w:rPr>
        <w:t xml:space="preserve">— </w:t>
      </w:r>
      <w:r w:rsidR="0022007A">
        <w:rPr>
          <w:i/>
          <w:lang w:val="fr-CA"/>
        </w:rPr>
        <w:t>Les constatations de la Cour d’appel relativement à ces allégations commandent la déférence</w:t>
      </w:r>
      <w:r w:rsidR="00F72D55" w:rsidRPr="00DC132C">
        <w:rPr>
          <w:i/>
          <w:lang w:val="fr-CA"/>
        </w:rPr>
        <w:t xml:space="preserve"> </w:t>
      </w:r>
      <w:r w:rsidR="004C5788" w:rsidRPr="003B0EAA">
        <w:rPr>
          <w:i/>
          <w:lang w:val="fr-CA"/>
        </w:rPr>
        <w:t xml:space="preserve">— </w:t>
      </w:r>
      <w:r w:rsidR="00F72D55" w:rsidRPr="00DC132C">
        <w:rPr>
          <w:i/>
          <w:lang w:val="fr-CA"/>
        </w:rPr>
        <w:t>C</w:t>
      </w:r>
      <w:r w:rsidR="0022007A">
        <w:rPr>
          <w:i/>
          <w:lang w:val="fr-CA"/>
        </w:rPr>
        <w:t xml:space="preserve">es constatations sont étayées par le dossier </w:t>
      </w:r>
      <w:r w:rsidR="004C5788" w:rsidRPr="003B0EAA">
        <w:rPr>
          <w:i/>
          <w:lang w:val="fr-CA"/>
        </w:rPr>
        <w:t xml:space="preserve">— </w:t>
      </w:r>
      <w:r w:rsidR="0022007A">
        <w:rPr>
          <w:i/>
          <w:lang w:val="fr-CA"/>
        </w:rPr>
        <w:t>Aucune erreur n’entache l’analyse ou la conclusion de la Cour d’appel</w:t>
      </w:r>
      <w:r w:rsidR="00F72D55" w:rsidRPr="00DC132C">
        <w:rPr>
          <w:i/>
          <w:lang w:val="fr-CA"/>
        </w:rPr>
        <w:t>.</w:t>
      </w:r>
      <w:r w:rsidR="00F72D55" w:rsidRPr="00DC132C">
        <w:rPr>
          <w:lang w:val="fr-CA"/>
        </w:rPr>
        <w:t xml:space="preserve"> </w:t>
      </w:r>
    </w:p>
    <w:p w:rsidR="004D7D95" w:rsidRPr="00DC132C" w:rsidRDefault="004D7D95" w:rsidP="004D7D95">
      <w:pPr>
        <w:pStyle w:val="SCCNormalDoubleSpacing"/>
        <w:rPr>
          <w:lang w:val="fr-CA"/>
        </w:rPr>
      </w:pPr>
    </w:p>
    <w:p w:rsidR="003B0EAA" w:rsidRPr="003B0EAA" w:rsidRDefault="004D7D95" w:rsidP="004D7D95">
      <w:pPr>
        <w:pStyle w:val="SCCNormalDoubleSpacing"/>
        <w:keepNext/>
        <w:keepLines/>
        <w:rPr>
          <w:b/>
          <w:lang w:val="fr-CA"/>
        </w:rPr>
      </w:pPr>
      <w:r w:rsidRPr="004D7D95">
        <w:rPr>
          <w:b/>
          <w:lang w:val="fr-CA"/>
        </w:rPr>
        <w:t>Jurisprudence</w:t>
      </w:r>
    </w:p>
    <w:p w:rsidR="002D40BF" w:rsidRPr="002D40BF" w:rsidRDefault="004D7D95" w:rsidP="002D40BF">
      <w:pPr>
        <w:pStyle w:val="SCCNormalDoubleSpacing"/>
        <w:keepNext/>
        <w:keepLines/>
        <w:rPr>
          <w:lang w:val="fr-CA"/>
        </w:rPr>
      </w:pPr>
      <w:r w:rsidRPr="004D7D95">
        <w:rPr>
          <w:lang w:val="fr-CA"/>
        </w:rPr>
        <w:tab/>
      </w:r>
      <w:r w:rsidRPr="004D7D95">
        <w:rPr>
          <w:b/>
          <w:lang w:val="fr-CA"/>
        </w:rPr>
        <w:t>Arrêts mentionnés :</w:t>
      </w:r>
      <w:r w:rsidRPr="004D7D95">
        <w:rPr>
          <w:lang w:val="fr-CA"/>
        </w:rPr>
        <w:t xml:space="preserve"> </w:t>
      </w:r>
      <w:r w:rsidR="002D40BF">
        <w:rPr>
          <w:i/>
          <w:lang w:val="fr-CA"/>
        </w:rPr>
        <w:t>R. c</w:t>
      </w:r>
      <w:r w:rsidR="002D40BF" w:rsidRPr="002D40BF">
        <w:rPr>
          <w:i/>
          <w:lang w:val="fr-CA"/>
        </w:rPr>
        <w:t xml:space="preserve">. </w:t>
      </w:r>
      <w:proofErr w:type="spellStart"/>
      <w:r w:rsidR="002D40BF" w:rsidRPr="002D40BF">
        <w:rPr>
          <w:i/>
          <w:lang w:val="fr-CA"/>
        </w:rPr>
        <w:t>Yumnu</w:t>
      </w:r>
      <w:proofErr w:type="spellEnd"/>
      <w:r w:rsidR="002D40BF" w:rsidRPr="002D40BF">
        <w:rPr>
          <w:lang w:val="fr-CA"/>
        </w:rPr>
        <w:t xml:space="preserve">, 2012 </w:t>
      </w:r>
      <w:r w:rsidR="002D40BF">
        <w:rPr>
          <w:lang w:val="fr-CA"/>
        </w:rPr>
        <w:t>C</w:t>
      </w:r>
      <w:r w:rsidR="002D40BF" w:rsidRPr="002D40BF">
        <w:rPr>
          <w:lang w:val="fr-CA"/>
        </w:rPr>
        <w:t xml:space="preserve">SC 73, [2012] 3 </w:t>
      </w:r>
      <w:r w:rsidR="002D40BF">
        <w:rPr>
          <w:lang w:val="fr-CA"/>
        </w:rPr>
        <w:t>R.C.</w:t>
      </w:r>
      <w:r w:rsidR="002D40BF" w:rsidRPr="002D40BF">
        <w:rPr>
          <w:lang w:val="fr-CA"/>
        </w:rPr>
        <w:t>S. 777.</w:t>
      </w:r>
    </w:p>
    <w:p w:rsidR="004D7D95" w:rsidRPr="004D7D95" w:rsidRDefault="004D7D95" w:rsidP="004D7D95">
      <w:pPr>
        <w:pStyle w:val="SCCNormalDoubleSpacing"/>
        <w:keepNext/>
        <w:keepLines/>
        <w:rPr>
          <w:b/>
          <w:lang w:val="fr-CA"/>
        </w:rPr>
      </w:pPr>
    </w:p>
    <w:p w:rsidR="004D7D95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tab/>
      </w:r>
      <w:r w:rsidRPr="007C2006">
        <w:rPr>
          <w:lang w:val="fr-CA"/>
        </w:rPr>
        <w:t>POURVOI contre un arrêt de la Cour d’appel de l’Ontario</w:t>
      </w:r>
      <w:r w:rsidR="002D40BF" w:rsidRPr="007C2006">
        <w:rPr>
          <w:lang w:val="fr-CA"/>
        </w:rPr>
        <w:t xml:space="preserve"> (le juge en chef </w:t>
      </w:r>
      <w:r w:rsidR="007C2006" w:rsidRPr="007C2006">
        <w:rPr>
          <w:lang w:val="fr-CA"/>
        </w:rPr>
        <w:t xml:space="preserve">adjoint </w:t>
      </w:r>
      <w:proofErr w:type="spellStart"/>
      <w:r w:rsidR="002D40BF" w:rsidRPr="007C2006">
        <w:rPr>
          <w:lang w:val="fr-CA"/>
        </w:rPr>
        <w:t>O</w:t>
      </w:r>
      <w:r w:rsidR="00BF2554">
        <w:rPr>
          <w:lang w:val="fr-CA"/>
        </w:rPr>
        <w:t>’</w:t>
      </w:r>
      <w:r w:rsidR="002D40BF" w:rsidRPr="007C2006">
        <w:rPr>
          <w:lang w:val="fr-CA"/>
        </w:rPr>
        <w:t>Connor</w:t>
      </w:r>
      <w:proofErr w:type="spellEnd"/>
      <w:r w:rsidR="002D40BF" w:rsidRPr="007C2006">
        <w:rPr>
          <w:lang w:val="fr-CA"/>
        </w:rPr>
        <w:t xml:space="preserve"> </w:t>
      </w:r>
      <w:r w:rsidR="007C2006" w:rsidRPr="007C2006">
        <w:rPr>
          <w:lang w:val="fr-CA"/>
        </w:rPr>
        <w:t>et</w:t>
      </w:r>
      <w:r w:rsidR="007C2006">
        <w:rPr>
          <w:lang w:val="fr-CA"/>
        </w:rPr>
        <w:t xml:space="preserve"> les juges </w:t>
      </w:r>
      <w:proofErr w:type="spellStart"/>
      <w:r w:rsidR="002D40BF" w:rsidRPr="007C2006">
        <w:rPr>
          <w:lang w:val="fr-CA"/>
        </w:rPr>
        <w:t>MacPherson</w:t>
      </w:r>
      <w:proofErr w:type="spellEnd"/>
      <w:r w:rsidR="002D40BF" w:rsidRPr="007C2006">
        <w:rPr>
          <w:lang w:val="fr-CA"/>
        </w:rPr>
        <w:t xml:space="preserve"> </w:t>
      </w:r>
      <w:r w:rsidR="007C2006">
        <w:rPr>
          <w:lang w:val="fr-CA"/>
        </w:rPr>
        <w:t>et</w:t>
      </w:r>
      <w:r w:rsidR="002D40BF" w:rsidRPr="007C2006">
        <w:rPr>
          <w:lang w:val="fr-CA"/>
        </w:rPr>
        <w:t xml:space="preserve"> </w:t>
      </w:r>
      <w:proofErr w:type="spellStart"/>
      <w:r w:rsidR="002D40BF" w:rsidRPr="007C2006">
        <w:rPr>
          <w:lang w:val="fr-CA"/>
        </w:rPr>
        <w:t>Cronk</w:t>
      </w:r>
      <w:proofErr w:type="spellEnd"/>
      <w:r w:rsidR="002D40BF" w:rsidRPr="007C2006">
        <w:rPr>
          <w:lang w:val="fr-CA"/>
        </w:rPr>
        <w:t xml:space="preserve">), 2012 ONCA 776, [2012] O.J. No. 5309 (QL), 2012 </w:t>
      </w:r>
      <w:proofErr w:type="spellStart"/>
      <w:r w:rsidR="002D40BF" w:rsidRPr="007C2006">
        <w:rPr>
          <w:lang w:val="fr-CA"/>
        </w:rPr>
        <w:t>CarswellOnt</w:t>
      </w:r>
      <w:proofErr w:type="spellEnd"/>
      <w:r w:rsidR="002D40BF" w:rsidRPr="007C2006">
        <w:rPr>
          <w:lang w:val="fr-CA"/>
        </w:rPr>
        <w:t xml:space="preserve"> 14252, </w:t>
      </w:r>
      <w:r w:rsidR="007C2006" w:rsidRPr="00450151">
        <w:rPr>
          <w:lang w:val="fr-CA"/>
        </w:rPr>
        <w:t>qui a confirmé la déclaratio</w:t>
      </w:r>
      <w:r w:rsidR="004A7CA9" w:rsidRPr="00450151">
        <w:rPr>
          <w:lang w:val="fr-CA"/>
        </w:rPr>
        <w:t xml:space="preserve">n de culpabilité </w:t>
      </w:r>
      <w:r w:rsidR="00F72D55" w:rsidRPr="00450151">
        <w:rPr>
          <w:lang w:val="fr-CA"/>
        </w:rPr>
        <w:t xml:space="preserve">prononcée par le juge Scott contre </w:t>
      </w:r>
      <w:r w:rsidR="004A7CA9" w:rsidRPr="00450151">
        <w:rPr>
          <w:lang w:val="fr-CA"/>
        </w:rPr>
        <w:t xml:space="preserve">l’accusé </w:t>
      </w:r>
      <w:r w:rsidR="00F72D55" w:rsidRPr="00450151">
        <w:rPr>
          <w:lang w:val="fr-CA"/>
        </w:rPr>
        <w:t xml:space="preserve">pour </w:t>
      </w:r>
      <w:r w:rsidR="004A7CA9" w:rsidRPr="00450151">
        <w:rPr>
          <w:lang w:val="fr-CA"/>
        </w:rPr>
        <w:t xml:space="preserve">agression sexuelle, contacts sexuels et </w:t>
      </w:r>
      <w:r w:rsidR="005E481F" w:rsidRPr="00450151">
        <w:rPr>
          <w:lang w:val="fr-CA"/>
        </w:rPr>
        <w:t xml:space="preserve">incitation à des </w:t>
      </w:r>
      <w:r w:rsidR="004A7CA9" w:rsidRPr="00450151">
        <w:rPr>
          <w:lang w:val="fr-CA"/>
        </w:rPr>
        <w:t>attouchements sexuels</w:t>
      </w:r>
      <w:r w:rsidR="004A7CA9">
        <w:rPr>
          <w:lang w:val="fr-CA"/>
        </w:rPr>
        <w:t>.  Pourvoi rejeté.</w:t>
      </w:r>
    </w:p>
    <w:p w:rsidR="005A0BD2" w:rsidRDefault="005A0BD2" w:rsidP="004D7D95">
      <w:pPr>
        <w:pStyle w:val="SCCNormalDoubleSpacing"/>
        <w:rPr>
          <w:lang w:val="fr-CA"/>
        </w:rPr>
      </w:pPr>
    </w:p>
    <w:p w:rsidR="005A0BD2" w:rsidRPr="002D40BF" w:rsidRDefault="005A0BD2" w:rsidP="005A0BD2">
      <w:pPr>
        <w:pStyle w:val="SCCNormalDoubleSpacing"/>
        <w:rPr>
          <w:lang w:val="fr-CA"/>
        </w:rPr>
      </w:pPr>
      <w:r w:rsidRPr="005E481F">
        <w:rPr>
          <w:rStyle w:val="SCCCounselNameChar"/>
          <w:lang w:val="fr-CA"/>
        </w:rPr>
        <w:tab/>
      </w:r>
      <w:r w:rsidRPr="002D40BF">
        <w:rPr>
          <w:rStyle w:val="SCCCounselNameChar"/>
          <w:lang w:val="fr-CA"/>
        </w:rPr>
        <w:t xml:space="preserve">Michael </w:t>
      </w:r>
      <w:r>
        <w:rPr>
          <w:rStyle w:val="SCCCounselNameChar"/>
          <w:lang w:val="fr-CA"/>
        </w:rPr>
        <w:t xml:space="preserve">A. </w:t>
      </w:r>
      <w:r w:rsidRPr="002D40BF">
        <w:rPr>
          <w:rStyle w:val="SCCCounselNameChar"/>
          <w:lang w:val="fr-CA"/>
        </w:rPr>
        <w:t>Crystal</w:t>
      </w:r>
      <w:r w:rsidRPr="002D40BF">
        <w:rPr>
          <w:rStyle w:val="SCCCounselSeparatorChar"/>
          <w:lang w:val="fr-CA"/>
        </w:rPr>
        <w:t xml:space="preserve"> et </w:t>
      </w:r>
      <w:r w:rsidRPr="002D40BF">
        <w:rPr>
          <w:rStyle w:val="SCCCounselNameChar"/>
          <w:lang w:val="fr-CA"/>
        </w:rPr>
        <w:t>Heather Cross</w:t>
      </w:r>
      <w:r w:rsidRPr="002D40BF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</w:t>
      </w:r>
      <w:r w:rsidRPr="002D40BF">
        <w:rPr>
          <w:rStyle w:val="SCCCounselPartyRoleChar"/>
          <w:lang w:val="fr-CA"/>
        </w:rPr>
        <w:t>appelant.</w:t>
      </w:r>
    </w:p>
    <w:p w:rsidR="005A0BD2" w:rsidRPr="002D40BF" w:rsidRDefault="005A0BD2" w:rsidP="005A0BD2">
      <w:pPr>
        <w:pStyle w:val="SCCNormalDoubleSpacing"/>
        <w:rPr>
          <w:lang w:val="fr-CA"/>
        </w:rPr>
      </w:pPr>
    </w:p>
    <w:p w:rsidR="005A0BD2" w:rsidRDefault="005A0BD2" w:rsidP="005A0BD2">
      <w:pPr>
        <w:pStyle w:val="SCCNormalDoubleSpacing"/>
        <w:rPr>
          <w:rStyle w:val="SCCCounselPartyRoleChar"/>
          <w:lang w:val="fr-CA"/>
        </w:rPr>
      </w:pPr>
      <w:r w:rsidRPr="002D40BF">
        <w:rPr>
          <w:rStyle w:val="SCCCounselNameChar"/>
          <w:lang w:val="fr-CA"/>
        </w:rPr>
        <w:tab/>
        <w:t xml:space="preserve">Holly </w:t>
      </w:r>
      <w:proofErr w:type="spellStart"/>
      <w:r w:rsidRPr="002D40BF">
        <w:rPr>
          <w:rStyle w:val="SCCCounselNameChar"/>
          <w:lang w:val="fr-CA"/>
        </w:rPr>
        <w:t>Loubert</w:t>
      </w:r>
      <w:proofErr w:type="spellEnd"/>
      <w:r w:rsidRPr="002D40BF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</w:t>
      </w:r>
      <w:r w:rsidRPr="002D40BF">
        <w:rPr>
          <w:rStyle w:val="SCCCounselPartyRoleChar"/>
          <w:lang w:val="fr-CA"/>
        </w:rPr>
        <w:t>intimée.</w:t>
      </w:r>
    </w:p>
    <w:p w:rsidR="005A0BD2" w:rsidRPr="002D40BF" w:rsidRDefault="005A0BD2" w:rsidP="005A0BD2">
      <w:pPr>
        <w:pStyle w:val="SCCNormalDoubleSpacing"/>
        <w:rPr>
          <w:lang w:val="fr-CA"/>
        </w:rPr>
      </w:pPr>
    </w:p>
    <w:p w:rsidR="005A0BD2" w:rsidRDefault="005A0BD2" w:rsidP="005A0BD2">
      <w:pPr>
        <w:pStyle w:val="SCCNormalDoubleSpacing"/>
        <w:rPr>
          <w:lang w:val="fr-CA"/>
        </w:rPr>
      </w:pPr>
      <w:r>
        <w:rPr>
          <w:lang w:val="fr-CA"/>
        </w:rPr>
        <w:tab/>
      </w:r>
      <w:r w:rsidRPr="00F72D55">
        <w:rPr>
          <w:lang w:val="fr-CA"/>
        </w:rPr>
        <w:t>Version française du jugement de la Cour rendu oralement par</w:t>
      </w:r>
    </w:p>
    <w:p w:rsidR="005A0BD2" w:rsidRDefault="005A0BD2" w:rsidP="005A0BD2">
      <w:pPr>
        <w:pStyle w:val="SCCNormalDoubleSpacing"/>
        <w:rPr>
          <w:lang w:val="fr-CA"/>
        </w:rPr>
      </w:pPr>
    </w:p>
    <w:p w:rsidR="005A0BD2" w:rsidRDefault="005A0BD2" w:rsidP="005A0BD2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>
        <w:rPr>
          <w:lang w:val="fr-CA"/>
        </w:rPr>
        <w:t>[1]</w:t>
      </w:r>
      <w:r>
        <w:rPr>
          <w:lang w:val="fr-CA"/>
        </w:rPr>
        <w:tab/>
      </w:r>
      <w:r w:rsidRPr="007B227B">
        <w:rPr>
          <w:lang w:val="fr-CA"/>
        </w:rPr>
        <w:t>L</w:t>
      </w:r>
      <w:r w:rsidRPr="007B227B">
        <w:rPr>
          <w:smallCaps/>
          <w:lang w:val="fr-CA"/>
        </w:rPr>
        <w:t>e</w:t>
      </w:r>
      <w:r w:rsidRPr="007B227B">
        <w:rPr>
          <w:lang w:val="fr-CA"/>
        </w:rPr>
        <w:t xml:space="preserve"> </w:t>
      </w:r>
      <w:r w:rsidRPr="007B227B">
        <w:rPr>
          <w:smallCaps/>
          <w:lang w:val="fr-CA"/>
        </w:rPr>
        <w:t xml:space="preserve">juge </w:t>
      </w:r>
      <w:proofErr w:type="spellStart"/>
      <w:r w:rsidRPr="007B227B">
        <w:rPr>
          <w:smallCaps/>
          <w:lang w:val="fr-CA"/>
        </w:rPr>
        <w:t>Moldaver</w:t>
      </w:r>
      <w:proofErr w:type="spellEnd"/>
      <w:r w:rsidRPr="007B227B">
        <w:rPr>
          <w:smallCaps/>
          <w:lang w:val="fr-CA"/>
        </w:rPr>
        <w:t xml:space="preserve"> — </w:t>
      </w:r>
      <w:r w:rsidRPr="007B227B">
        <w:rPr>
          <w:lang w:val="fr-CA"/>
        </w:rPr>
        <w:t xml:space="preserve">La seule question en litige dans le présent pourvoi est de savoir </w:t>
      </w:r>
      <w:r>
        <w:rPr>
          <w:lang w:val="fr-CA"/>
        </w:rPr>
        <w:t xml:space="preserve">si </w:t>
      </w:r>
      <w:r w:rsidRPr="007B227B">
        <w:rPr>
          <w:lang w:val="fr-CA"/>
        </w:rPr>
        <w:t>l’avocate de l’appelant a</w:t>
      </w:r>
      <w:r>
        <w:rPr>
          <w:lang w:val="fr-CA"/>
        </w:rPr>
        <w:t xml:space="preserve">u procès lui a fourni une assistance ineffective et s’il en a résulté une erreur judiciaire.  </w:t>
      </w:r>
      <w:r w:rsidRPr="000E50E1">
        <w:rPr>
          <w:lang w:val="fr-CA"/>
        </w:rPr>
        <w:t xml:space="preserve">L’appelant met en </w:t>
      </w:r>
      <w:r>
        <w:rPr>
          <w:lang w:val="fr-CA"/>
        </w:rPr>
        <w:t xml:space="preserve">doute </w:t>
      </w:r>
      <w:r w:rsidRPr="000E50E1">
        <w:rPr>
          <w:lang w:val="fr-CA"/>
        </w:rPr>
        <w:t xml:space="preserve">la compétence de </w:t>
      </w:r>
      <w:r>
        <w:rPr>
          <w:lang w:val="fr-CA"/>
        </w:rPr>
        <w:t>l’</w:t>
      </w:r>
      <w:r w:rsidRPr="000E50E1">
        <w:rPr>
          <w:lang w:val="fr-CA"/>
        </w:rPr>
        <w:t xml:space="preserve">avocate </w:t>
      </w:r>
      <w:r>
        <w:rPr>
          <w:lang w:val="fr-CA"/>
        </w:rPr>
        <w:t xml:space="preserve">qui l’a représenté </w:t>
      </w:r>
      <w:r w:rsidRPr="000E50E1">
        <w:rPr>
          <w:lang w:val="fr-CA"/>
        </w:rPr>
        <w:t>au procès</w:t>
      </w:r>
      <w:r>
        <w:rPr>
          <w:lang w:val="fr-CA"/>
        </w:rPr>
        <w:t>, et ce,</w:t>
      </w:r>
      <w:r w:rsidRPr="000E50E1">
        <w:rPr>
          <w:lang w:val="fr-CA"/>
        </w:rPr>
        <w:t xml:space="preserve"> pour différent</w:t>
      </w:r>
      <w:r>
        <w:rPr>
          <w:lang w:val="fr-CA"/>
        </w:rPr>
        <w:t>e</w:t>
      </w:r>
      <w:r w:rsidRPr="000E50E1">
        <w:rPr>
          <w:lang w:val="fr-CA"/>
        </w:rPr>
        <w:t xml:space="preserve">s </w:t>
      </w:r>
      <w:r>
        <w:rPr>
          <w:lang w:val="fr-CA"/>
        </w:rPr>
        <w:t>raisons</w:t>
      </w:r>
      <w:r w:rsidRPr="000E50E1">
        <w:rPr>
          <w:lang w:val="fr-CA"/>
        </w:rPr>
        <w:t>, l</w:t>
      </w:r>
      <w:r>
        <w:rPr>
          <w:lang w:val="fr-CA"/>
        </w:rPr>
        <w:t>a</w:t>
      </w:r>
      <w:r w:rsidRPr="000E50E1">
        <w:rPr>
          <w:lang w:val="fr-CA"/>
        </w:rPr>
        <w:t xml:space="preserve"> plus grave étant qu’elle l’a empêché de témoigner au procès.</w:t>
      </w:r>
    </w:p>
    <w:p w:rsidR="005A0BD2" w:rsidRDefault="005A0BD2" w:rsidP="005A0BD2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</w:r>
      <w:r w:rsidRPr="000E50E1">
        <w:rPr>
          <w:lang w:val="fr-CA"/>
        </w:rPr>
        <w:t xml:space="preserve">La Cour d’appel a rejeté les </w:t>
      </w:r>
      <w:r>
        <w:rPr>
          <w:lang w:val="fr-CA"/>
        </w:rPr>
        <w:t>prétentions</w:t>
      </w:r>
      <w:r w:rsidRPr="000E50E1">
        <w:rPr>
          <w:lang w:val="fr-CA"/>
        </w:rPr>
        <w:t xml:space="preserve"> de l’appelant</w:t>
      </w:r>
      <w:r>
        <w:rPr>
          <w:lang w:val="fr-CA"/>
        </w:rPr>
        <w:t xml:space="preserve"> </w:t>
      </w:r>
      <w:r w:rsidRPr="00424BB6">
        <w:rPr>
          <w:lang w:val="fr-CA"/>
        </w:rPr>
        <w:t>(2012 ONCA 776 (</w:t>
      </w:r>
      <w:proofErr w:type="spellStart"/>
      <w:r w:rsidRPr="00424BB6">
        <w:rPr>
          <w:lang w:val="fr-CA"/>
        </w:rPr>
        <w:t>CanLII</w:t>
      </w:r>
      <w:proofErr w:type="spellEnd"/>
      <w:r w:rsidRPr="00424BB6">
        <w:rPr>
          <w:lang w:val="fr-CA"/>
        </w:rPr>
        <w:t>))</w:t>
      </w:r>
      <w:r w:rsidRPr="000E50E1">
        <w:rPr>
          <w:lang w:val="fr-CA"/>
        </w:rPr>
        <w:t>.</w:t>
      </w:r>
      <w:r>
        <w:rPr>
          <w:lang w:val="fr-CA"/>
        </w:rPr>
        <w:t xml:space="preserve">  </w:t>
      </w:r>
      <w:r w:rsidRPr="00EA5FA8">
        <w:rPr>
          <w:lang w:val="fr-CA"/>
        </w:rPr>
        <w:t xml:space="preserve">Bien qu’elle n’ait pas </w:t>
      </w:r>
      <w:r>
        <w:rPr>
          <w:lang w:val="fr-CA"/>
        </w:rPr>
        <w:t xml:space="preserve">traité </w:t>
      </w:r>
      <w:r w:rsidRPr="00EA5FA8">
        <w:rPr>
          <w:lang w:val="fr-CA"/>
        </w:rPr>
        <w:t xml:space="preserve">expressément </w:t>
      </w:r>
      <w:r>
        <w:rPr>
          <w:lang w:val="fr-CA"/>
        </w:rPr>
        <w:t xml:space="preserve">de toutes les </w:t>
      </w:r>
      <w:r w:rsidRPr="00EA5FA8">
        <w:rPr>
          <w:lang w:val="fr-CA"/>
        </w:rPr>
        <w:t xml:space="preserve">nombreuses </w:t>
      </w:r>
      <w:r>
        <w:rPr>
          <w:lang w:val="fr-CA"/>
        </w:rPr>
        <w:t xml:space="preserve">allégations d’assistance ineffective </w:t>
      </w:r>
      <w:r w:rsidR="004C5788" w:rsidRPr="004C5788">
        <w:rPr>
          <w:lang w:val="fr-CA"/>
        </w:rPr>
        <w:t xml:space="preserve">— </w:t>
      </w:r>
      <w:r>
        <w:rPr>
          <w:lang w:val="fr-CA"/>
        </w:rPr>
        <w:t xml:space="preserve">dont la liste n’a cessé de s’allonger </w:t>
      </w:r>
      <w:r w:rsidR="004C5788" w:rsidRPr="004C5788">
        <w:rPr>
          <w:lang w:val="fr-CA"/>
        </w:rPr>
        <w:t xml:space="preserve">— </w:t>
      </w:r>
      <w:r>
        <w:rPr>
          <w:lang w:val="fr-CA"/>
        </w:rPr>
        <w:t xml:space="preserve">invoquées par </w:t>
      </w:r>
      <w:r w:rsidRPr="00EA5FA8">
        <w:rPr>
          <w:lang w:val="fr-CA"/>
        </w:rPr>
        <w:t xml:space="preserve">l’appelant, la Cour d’appel a conclu que ces </w:t>
      </w:r>
      <w:r>
        <w:rPr>
          <w:lang w:val="fr-CA"/>
        </w:rPr>
        <w:t>allégations n</w:t>
      </w:r>
      <w:r w:rsidRPr="00EA5FA8">
        <w:rPr>
          <w:lang w:val="fr-CA"/>
        </w:rPr>
        <w:t xml:space="preserve">’étaient </w:t>
      </w:r>
      <w:r>
        <w:rPr>
          <w:lang w:val="fr-CA"/>
        </w:rPr>
        <w:t xml:space="preserve">appuyées par </w:t>
      </w:r>
      <w:r w:rsidRPr="00EA5FA8">
        <w:rPr>
          <w:lang w:val="fr-CA"/>
        </w:rPr>
        <w:t xml:space="preserve">aucun élément </w:t>
      </w:r>
      <w:r>
        <w:rPr>
          <w:lang w:val="fr-CA"/>
        </w:rPr>
        <w:t xml:space="preserve">de preuve ou encore qu’elles n’avaient pas causé de préjudice. </w:t>
      </w:r>
      <w:r w:rsidRPr="00EA5FA8">
        <w:rPr>
          <w:lang w:val="fr-CA"/>
        </w:rPr>
        <w:t xml:space="preserve"> </w:t>
      </w:r>
      <w:r w:rsidRPr="004A4335">
        <w:rPr>
          <w:lang w:val="fr-CA"/>
        </w:rPr>
        <w:t xml:space="preserve">Pour arriver à cette conclusion, la Cour d’appel a soigneusement examiné le dossier </w:t>
      </w:r>
      <w:r>
        <w:rPr>
          <w:lang w:val="fr-CA"/>
        </w:rPr>
        <w:t>de première instance ainsi que la nouvelle preuve produite en appel, et appliqué les bons princip</w:t>
      </w:r>
      <w:r w:rsidRPr="004A4335">
        <w:rPr>
          <w:lang w:val="fr-CA"/>
        </w:rPr>
        <w:t>es</w:t>
      </w:r>
      <w:r>
        <w:rPr>
          <w:lang w:val="fr-CA"/>
        </w:rPr>
        <w:t xml:space="preserve"> juridiques.</w:t>
      </w:r>
      <w:r w:rsidRPr="004A4335">
        <w:rPr>
          <w:lang w:val="fr-CA"/>
        </w:rPr>
        <w:t xml:space="preserve">  Elle a tiré des conclusions de fait </w:t>
      </w:r>
      <w:r>
        <w:rPr>
          <w:lang w:val="fr-CA"/>
        </w:rPr>
        <w:t xml:space="preserve">basées sur ce dossier. En tirant ces conclusions, elle a agi comme un tribunal de première instance.  Ses conclusions, à l’instar de celles d’un juge de première instance, commandent la déférence </w:t>
      </w:r>
      <w:r w:rsidRPr="00DA123B">
        <w:rPr>
          <w:lang w:val="fr-CA"/>
        </w:rPr>
        <w:t xml:space="preserve">(voir </w:t>
      </w:r>
      <w:r w:rsidRPr="00DA123B">
        <w:rPr>
          <w:i/>
          <w:lang w:val="fr-CA"/>
        </w:rPr>
        <w:t xml:space="preserve">R. </w:t>
      </w:r>
      <w:r>
        <w:rPr>
          <w:i/>
          <w:lang w:val="fr-CA"/>
        </w:rPr>
        <w:t>c</w:t>
      </w:r>
      <w:r w:rsidRPr="00DA123B">
        <w:rPr>
          <w:i/>
          <w:lang w:val="fr-CA"/>
        </w:rPr>
        <w:t xml:space="preserve">. </w:t>
      </w:r>
      <w:proofErr w:type="spellStart"/>
      <w:r w:rsidRPr="00DA123B">
        <w:rPr>
          <w:i/>
          <w:lang w:val="fr-CA"/>
        </w:rPr>
        <w:t>Yumnu</w:t>
      </w:r>
      <w:proofErr w:type="spellEnd"/>
      <w:r w:rsidRPr="00DA123B">
        <w:rPr>
          <w:lang w:val="fr-CA"/>
        </w:rPr>
        <w:t xml:space="preserve">, 2012 </w:t>
      </w:r>
      <w:r>
        <w:rPr>
          <w:lang w:val="fr-CA"/>
        </w:rPr>
        <w:t xml:space="preserve">CSC </w:t>
      </w:r>
      <w:r w:rsidRPr="00DA123B">
        <w:rPr>
          <w:lang w:val="fr-CA"/>
        </w:rPr>
        <w:t xml:space="preserve">73, [2012] 3 R.C.S. </w:t>
      </w:r>
      <w:r>
        <w:rPr>
          <w:lang w:val="fr-CA"/>
        </w:rPr>
        <w:t xml:space="preserve">777, par. </w:t>
      </w:r>
      <w:r w:rsidRPr="00DA123B">
        <w:rPr>
          <w:lang w:val="fr-CA"/>
        </w:rPr>
        <w:t>17).</w:t>
      </w:r>
    </w:p>
    <w:p w:rsidR="005A0BD2" w:rsidRDefault="005A0BD2" w:rsidP="005A0BD2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>
        <w:rPr>
          <w:lang w:val="fr-CA"/>
        </w:rPr>
        <w:t>[3]</w:t>
      </w:r>
      <w:r>
        <w:rPr>
          <w:lang w:val="fr-CA"/>
        </w:rPr>
        <w:tab/>
      </w:r>
      <w:r w:rsidRPr="00493F03">
        <w:rPr>
          <w:lang w:val="fr-CA"/>
        </w:rPr>
        <w:t xml:space="preserve">Les conclusions de la Cour d’appel sont étayées par le dossier. </w:t>
      </w:r>
      <w:r>
        <w:rPr>
          <w:lang w:val="fr-CA"/>
        </w:rPr>
        <w:t xml:space="preserve"> </w:t>
      </w:r>
      <w:r w:rsidRPr="00E57F79">
        <w:rPr>
          <w:lang w:val="fr-CA"/>
        </w:rPr>
        <w:t xml:space="preserve">Contrairement aux allégations de l’appelant, la Cour d’appel a </w:t>
      </w:r>
      <w:r>
        <w:rPr>
          <w:lang w:val="fr-CA"/>
        </w:rPr>
        <w:t xml:space="preserve">jugé que ce dernier avait été d’accord avec </w:t>
      </w:r>
      <w:r w:rsidRPr="00E57F79">
        <w:rPr>
          <w:lang w:val="fr-CA"/>
        </w:rPr>
        <w:t xml:space="preserve">son avocate </w:t>
      </w:r>
      <w:r>
        <w:rPr>
          <w:lang w:val="fr-CA"/>
        </w:rPr>
        <w:t>à propos de la décision de n</w:t>
      </w:r>
      <w:r w:rsidRPr="00E57F79">
        <w:rPr>
          <w:lang w:val="fr-CA"/>
        </w:rPr>
        <w:t xml:space="preserve">e pas témoigner. </w:t>
      </w:r>
      <w:r>
        <w:rPr>
          <w:lang w:val="fr-CA"/>
        </w:rPr>
        <w:t xml:space="preserve"> </w:t>
      </w:r>
      <w:r w:rsidRPr="00E57F79">
        <w:rPr>
          <w:lang w:val="fr-CA"/>
        </w:rPr>
        <w:t xml:space="preserve">Elle </w:t>
      </w:r>
      <w:r w:rsidRPr="00E57F79">
        <w:rPr>
          <w:lang w:val="fr-CA"/>
        </w:rPr>
        <w:lastRenderedPageBreak/>
        <w:t xml:space="preserve">a aussi rejeté l’argument de l’appelant selon lequel son </w:t>
      </w:r>
      <w:r>
        <w:rPr>
          <w:lang w:val="fr-CA"/>
        </w:rPr>
        <w:t xml:space="preserve">avocate au procès avait fait preuve d’incompétence en ne le préparant pas à témoigner.  </w:t>
      </w:r>
      <w:r w:rsidRPr="00814104">
        <w:rPr>
          <w:lang w:val="fr-CA"/>
        </w:rPr>
        <w:t xml:space="preserve">La Cour d’appel a </w:t>
      </w:r>
      <w:r>
        <w:rPr>
          <w:lang w:val="fr-CA"/>
        </w:rPr>
        <w:t xml:space="preserve">souligné d’une part </w:t>
      </w:r>
      <w:r w:rsidRPr="00814104">
        <w:rPr>
          <w:lang w:val="fr-CA"/>
        </w:rPr>
        <w:t>qu</w:t>
      </w:r>
      <w:r>
        <w:rPr>
          <w:lang w:val="fr-CA"/>
        </w:rPr>
        <w:t xml:space="preserve">e l’appelant aurait pu obtenir </w:t>
      </w:r>
      <w:r w:rsidRPr="00814104">
        <w:rPr>
          <w:lang w:val="fr-CA"/>
        </w:rPr>
        <w:t xml:space="preserve">un ajournement </w:t>
      </w:r>
      <w:r>
        <w:rPr>
          <w:lang w:val="fr-CA"/>
        </w:rPr>
        <w:t xml:space="preserve">s’il y avait eu quelque suggestion </w:t>
      </w:r>
      <w:r w:rsidRPr="00814104">
        <w:rPr>
          <w:lang w:val="fr-CA"/>
        </w:rPr>
        <w:t>qu’il voulait témoigner</w:t>
      </w:r>
      <w:r>
        <w:rPr>
          <w:lang w:val="fr-CA"/>
        </w:rPr>
        <w:t xml:space="preserve">, et d’autre part qu’une </w:t>
      </w:r>
      <w:r w:rsidRPr="00814104">
        <w:rPr>
          <w:lang w:val="fr-CA"/>
        </w:rPr>
        <w:t>longue préparation</w:t>
      </w:r>
      <w:r>
        <w:rPr>
          <w:lang w:val="fr-CA"/>
        </w:rPr>
        <w:t xml:space="preserve"> n’aurait pas été nécessaire</w:t>
      </w:r>
      <w:r w:rsidRPr="00814104">
        <w:rPr>
          <w:lang w:val="fr-CA"/>
        </w:rPr>
        <w:t>.</w:t>
      </w:r>
      <w:r>
        <w:rPr>
          <w:lang w:val="fr-CA"/>
        </w:rPr>
        <w:t xml:space="preserve">  En outre, la Cour d’appel a statué </w:t>
      </w:r>
      <w:r w:rsidRPr="00814104">
        <w:rPr>
          <w:lang w:val="fr-CA"/>
        </w:rPr>
        <w:t xml:space="preserve">que l’avocate n’avait pas </w:t>
      </w:r>
      <w:r>
        <w:rPr>
          <w:lang w:val="fr-CA"/>
        </w:rPr>
        <w:t xml:space="preserve">agi de manière ineffective </w:t>
      </w:r>
      <w:r w:rsidRPr="00814104">
        <w:rPr>
          <w:lang w:val="fr-CA"/>
        </w:rPr>
        <w:t xml:space="preserve">en </w:t>
      </w:r>
      <w:r>
        <w:rPr>
          <w:lang w:val="fr-CA"/>
        </w:rPr>
        <w:t xml:space="preserve">n’appelant pas comme témoin </w:t>
      </w:r>
      <w:r w:rsidRPr="00814104">
        <w:rPr>
          <w:lang w:val="fr-CA"/>
        </w:rPr>
        <w:t>le père d’une des plaignantes</w:t>
      </w:r>
      <w:r>
        <w:rPr>
          <w:lang w:val="fr-CA"/>
        </w:rPr>
        <w:t>, car, exception faite des assertions de l’appelant, il n’y avait devant la cour aucun élément de preuve indiquant ce que dirait ce témoin ou comment il pourrait être retrouvé</w:t>
      </w:r>
      <w:r w:rsidRPr="00814104">
        <w:rPr>
          <w:lang w:val="fr-CA"/>
        </w:rPr>
        <w:t xml:space="preserve">.  </w:t>
      </w:r>
      <w:r w:rsidRPr="00741FFB">
        <w:rPr>
          <w:lang w:val="fr-CA"/>
        </w:rPr>
        <w:t>Enfin, la Cour d’appel a jugé que, même si le contre-interrogatoire de l’une des plaignantes par l’avocate n’</w:t>
      </w:r>
      <w:r>
        <w:rPr>
          <w:lang w:val="fr-CA"/>
        </w:rPr>
        <w:t>avait</w:t>
      </w:r>
      <w:r w:rsidRPr="00741FFB">
        <w:rPr>
          <w:lang w:val="fr-CA"/>
        </w:rPr>
        <w:t xml:space="preserve"> [</w:t>
      </w:r>
      <w:r w:rsidRPr="00741FFB">
        <w:rPr>
          <w:smallCaps/>
          <w:lang w:val="fr-CA"/>
        </w:rPr>
        <w:t>traduction</w:t>
      </w:r>
      <w:r w:rsidRPr="00741FFB">
        <w:rPr>
          <w:lang w:val="fr-CA"/>
        </w:rPr>
        <w:t xml:space="preserve">] « peut-être pas </w:t>
      </w:r>
      <w:r>
        <w:rPr>
          <w:lang w:val="fr-CA"/>
        </w:rPr>
        <w:t>été exceptionnel</w:t>
      </w:r>
      <w:r w:rsidRPr="00741FFB">
        <w:rPr>
          <w:lang w:val="fr-CA"/>
        </w:rPr>
        <w:t> »</w:t>
      </w:r>
      <w:r>
        <w:rPr>
          <w:lang w:val="fr-CA"/>
        </w:rPr>
        <w:t xml:space="preserve"> (par. 24)</w:t>
      </w:r>
      <w:r w:rsidRPr="00741FFB">
        <w:rPr>
          <w:lang w:val="fr-CA"/>
        </w:rPr>
        <w:t xml:space="preserve">, il </w:t>
      </w:r>
      <w:r>
        <w:rPr>
          <w:lang w:val="fr-CA"/>
        </w:rPr>
        <w:t xml:space="preserve">était demeuré à l’intérieur des </w:t>
      </w:r>
      <w:r w:rsidRPr="00741FFB">
        <w:rPr>
          <w:lang w:val="fr-CA"/>
        </w:rPr>
        <w:t>limites de l’</w:t>
      </w:r>
      <w:r>
        <w:rPr>
          <w:lang w:val="fr-CA"/>
        </w:rPr>
        <w:t>assistance professionnelle raisonnable</w:t>
      </w:r>
      <w:r w:rsidRPr="00741FFB">
        <w:rPr>
          <w:lang w:val="fr-CA"/>
        </w:rPr>
        <w:t>.</w:t>
      </w:r>
    </w:p>
    <w:p w:rsidR="005A0BD2" w:rsidRPr="004D7D95" w:rsidRDefault="005A0BD2" w:rsidP="005A0BD2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>
        <w:rPr>
          <w:lang w:val="fr-CA"/>
        </w:rPr>
        <w:t>[4]</w:t>
      </w:r>
      <w:r>
        <w:rPr>
          <w:lang w:val="fr-CA"/>
        </w:rPr>
        <w:tab/>
      </w:r>
      <w:r w:rsidRPr="00741FFB">
        <w:rPr>
          <w:lang w:val="fr-CA"/>
        </w:rPr>
        <w:t xml:space="preserve">En résumé, </w:t>
      </w:r>
      <w:r>
        <w:rPr>
          <w:lang w:val="fr-CA"/>
        </w:rPr>
        <w:t xml:space="preserve">nous ne relevons aucune erreur dans l’analyse ou la conclusion de </w:t>
      </w:r>
      <w:r w:rsidRPr="00741FFB">
        <w:rPr>
          <w:lang w:val="fr-CA"/>
        </w:rPr>
        <w:t xml:space="preserve">la Cour d’appel.  </w:t>
      </w:r>
      <w:r>
        <w:rPr>
          <w:lang w:val="fr-CA"/>
        </w:rPr>
        <w:t>Pour ces motifs, nous sommes d’avis de rejeter le pourvoi</w:t>
      </w:r>
      <w:r w:rsidRPr="007A57C8">
        <w:rPr>
          <w:lang w:val="fr-CA"/>
        </w:rPr>
        <w:t>.</w:t>
      </w:r>
    </w:p>
    <w:p w:rsidR="004D7D95" w:rsidRPr="004A7CA9" w:rsidRDefault="004D7D95" w:rsidP="004D7D95">
      <w:pPr>
        <w:pStyle w:val="SCCNormalDoubleSpacing"/>
        <w:rPr>
          <w:i/>
          <w:lang w:val="fr-CA"/>
        </w:rPr>
      </w:pPr>
      <w:r w:rsidRPr="004A7CA9">
        <w:rPr>
          <w:i/>
          <w:lang w:val="fr-CA"/>
        </w:rPr>
        <w:tab/>
      </w:r>
      <w:r w:rsidR="005A0BD2">
        <w:rPr>
          <w:i/>
          <w:lang w:val="fr-CA"/>
        </w:rPr>
        <w:t>Jugement en conséquence</w:t>
      </w:r>
      <w:r w:rsidR="004A7CA9" w:rsidRPr="004A7CA9">
        <w:rPr>
          <w:i/>
          <w:lang w:val="fr-CA"/>
        </w:rPr>
        <w:t xml:space="preserve">. </w:t>
      </w:r>
    </w:p>
    <w:p w:rsidR="004F6361" w:rsidRPr="005E481F" w:rsidRDefault="004F6361">
      <w:pPr>
        <w:pStyle w:val="SCCLawFirm"/>
        <w:rPr>
          <w:lang w:val="fr-CA"/>
        </w:rPr>
      </w:pPr>
    </w:p>
    <w:p w:rsidR="004A7CA9" w:rsidRPr="002D40BF" w:rsidRDefault="004A7CA9" w:rsidP="004A7CA9">
      <w:pPr>
        <w:pStyle w:val="SCCLawFirm"/>
        <w:rPr>
          <w:lang w:val="fr-CA"/>
        </w:rPr>
      </w:pPr>
      <w:r w:rsidRPr="002D40BF">
        <w:rPr>
          <w:lang w:val="fr-CA"/>
        </w:rPr>
        <w:tab/>
        <w:t>Procureurs de l</w:t>
      </w:r>
      <w:r>
        <w:rPr>
          <w:lang w:val="fr-CA"/>
        </w:rPr>
        <w:t>’</w:t>
      </w:r>
      <w:r w:rsidRPr="002D40BF">
        <w:rPr>
          <w:lang w:val="fr-CA"/>
        </w:rPr>
        <w:t xml:space="preserve">appelant : </w:t>
      </w:r>
      <w:r w:rsidR="004C5788" w:rsidRPr="004C5788">
        <w:rPr>
          <w:lang w:val="fr-CA"/>
        </w:rPr>
        <w:t>Crystal Cyr Avocats</w:t>
      </w:r>
      <w:r w:rsidRPr="002D40BF">
        <w:rPr>
          <w:lang w:val="fr-CA"/>
        </w:rPr>
        <w:t>, Ottawa.</w:t>
      </w:r>
    </w:p>
    <w:p w:rsidR="004A7CA9" w:rsidRPr="002D40BF" w:rsidRDefault="004A7CA9" w:rsidP="004A7CA9">
      <w:pPr>
        <w:pStyle w:val="SCCLawFirm"/>
        <w:rPr>
          <w:lang w:val="fr-CA"/>
        </w:rPr>
      </w:pPr>
    </w:p>
    <w:p w:rsidR="004A7CA9" w:rsidRDefault="004A7CA9" w:rsidP="004A7CA9">
      <w:pPr>
        <w:pStyle w:val="SCCLawFirm"/>
        <w:rPr>
          <w:lang w:val="fr-CA"/>
        </w:rPr>
      </w:pPr>
      <w:r w:rsidRPr="002D40BF">
        <w:rPr>
          <w:lang w:val="fr-CA"/>
        </w:rPr>
        <w:tab/>
      </w:r>
      <w:r w:rsidRPr="004A7CA9">
        <w:rPr>
          <w:lang w:val="fr-CA"/>
        </w:rPr>
        <w:t>Procureur de l’intimée : Procureur général de l’Ontario, Toronto.</w:t>
      </w:r>
    </w:p>
    <w:p w:rsidR="009C7C0B" w:rsidRPr="009C7C0B" w:rsidRDefault="009C7C0B" w:rsidP="009C7C0B">
      <w:pPr>
        <w:pStyle w:val="SCCNormalDoubleSpacing"/>
        <w:rPr>
          <w:lang w:val="fr-CA"/>
        </w:rPr>
      </w:pPr>
    </w:p>
    <w:sectPr w:rsidR="009C7C0B" w:rsidRPr="009C7C0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7B" w:rsidRDefault="001F5D7B">
      <w:r>
        <w:separator/>
      </w:r>
    </w:p>
  </w:endnote>
  <w:endnote w:type="continuationSeparator" w:id="0">
    <w:p w:rsidR="001F5D7B" w:rsidRDefault="001F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7B" w:rsidRDefault="001F5D7B">
      <w:r>
        <w:separator/>
      </w:r>
    </w:p>
  </w:footnote>
  <w:footnote w:type="continuationSeparator" w:id="0">
    <w:p w:rsidR="001F5D7B" w:rsidRDefault="001F5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134BD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4E23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1F5D7B"/>
    <w:rsid w:val="0022007A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A5709"/>
    <w:rsid w:val="002B5EF9"/>
    <w:rsid w:val="002B6FBE"/>
    <w:rsid w:val="002B7924"/>
    <w:rsid w:val="002C10A6"/>
    <w:rsid w:val="002D28C3"/>
    <w:rsid w:val="002D39A4"/>
    <w:rsid w:val="002D40BF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4649E"/>
    <w:rsid w:val="0035169A"/>
    <w:rsid w:val="0035259D"/>
    <w:rsid w:val="00360CD3"/>
    <w:rsid w:val="00364B18"/>
    <w:rsid w:val="003A125D"/>
    <w:rsid w:val="003A4C70"/>
    <w:rsid w:val="003B0EAA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45E54"/>
    <w:rsid w:val="00450151"/>
    <w:rsid w:val="00450352"/>
    <w:rsid w:val="00454BDB"/>
    <w:rsid w:val="00465132"/>
    <w:rsid w:val="004731C4"/>
    <w:rsid w:val="00480C90"/>
    <w:rsid w:val="0048396F"/>
    <w:rsid w:val="00493C18"/>
    <w:rsid w:val="004A600C"/>
    <w:rsid w:val="004A6118"/>
    <w:rsid w:val="004A7CA9"/>
    <w:rsid w:val="004C478D"/>
    <w:rsid w:val="004C5788"/>
    <w:rsid w:val="004D7D95"/>
    <w:rsid w:val="004E2C26"/>
    <w:rsid w:val="004F6361"/>
    <w:rsid w:val="005125A8"/>
    <w:rsid w:val="00517549"/>
    <w:rsid w:val="00520ABC"/>
    <w:rsid w:val="00521AE8"/>
    <w:rsid w:val="00527180"/>
    <w:rsid w:val="00555291"/>
    <w:rsid w:val="00566AD1"/>
    <w:rsid w:val="00583EDE"/>
    <w:rsid w:val="005A0BD2"/>
    <w:rsid w:val="005A6079"/>
    <w:rsid w:val="005E4698"/>
    <w:rsid w:val="005E481F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C13F6"/>
    <w:rsid w:val="006F30AF"/>
    <w:rsid w:val="00701759"/>
    <w:rsid w:val="00705C15"/>
    <w:rsid w:val="007104DD"/>
    <w:rsid w:val="007110F6"/>
    <w:rsid w:val="00711A9A"/>
    <w:rsid w:val="007208D1"/>
    <w:rsid w:val="00735E39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C2006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8182F"/>
    <w:rsid w:val="0099296C"/>
    <w:rsid w:val="009A343A"/>
    <w:rsid w:val="009B2F23"/>
    <w:rsid w:val="009B57B3"/>
    <w:rsid w:val="009C7C0B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B670D"/>
    <w:rsid w:val="00AD304E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2554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67F3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07AD6"/>
    <w:rsid w:val="00D17476"/>
    <w:rsid w:val="00D32086"/>
    <w:rsid w:val="00D37A3F"/>
    <w:rsid w:val="00D4431D"/>
    <w:rsid w:val="00D4667A"/>
    <w:rsid w:val="00D60030"/>
    <w:rsid w:val="00D63A1C"/>
    <w:rsid w:val="00D7516F"/>
    <w:rsid w:val="00D95F8E"/>
    <w:rsid w:val="00DA0590"/>
    <w:rsid w:val="00DC132C"/>
    <w:rsid w:val="00DC1739"/>
    <w:rsid w:val="00DC1788"/>
    <w:rsid w:val="00DE319C"/>
    <w:rsid w:val="00DF0CA8"/>
    <w:rsid w:val="00DF2B48"/>
    <w:rsid w:val="00DF49A7"/>
    <w:rsid w:val="00DF7DE6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D527A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72D55"/>
    <w:rsid w:val="00F84DF4"/>
    <w:rsid w:val="00F85C97"/>
    <w:rsid w:val="00FB37D2"/>
    <w:rsid w:val="00FC4EFB"/>
    <w:rsid w:val="00FC5FA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DF7DE6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2014-06-19T18:57:00Z</dcterms:created>
  <dcterms:modified xsi:type="dcterms:W3CDTF">2014-06-19T18:57:00Z</dcterms:modified>
</cp:coreProperties>
</file>