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76" w:rsidRPr="003E6176" w:rsidRDefault="003E6176" w:rsidP="003E6176">
      <w:pPr>
        <w:tabs>
          <w:tab w:val="center" w:pos="4680"/>
          <w:tab w:val="right" w:pos="9360"/>
        </w:tabs>
        <w:jc w:val="center"/>
        <w:rPr>
          <w:rFonts w:eastAsiaTheme="minorHAnsi" w:cstheme="minorBidi"/>
          <w:szCs w:val="24"/>
          <w:lang w:val="fr-CA" w:eastAsia="en-US"/>
        </w:rPr>
      </w:pPr>
      <w:r w:rsidRPr="003E6176">
        <w:rPr>
          <w:rFonts w:eastAsiaTheme="minorHAnsi" w:cstheme="minorBidi"/>
          <w:szCs w:val="24"/>
          <w:lang w:val="fr-CA" w:eastAsia="en-US"/>
        </w:rP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61pt;height:65pt" o:ole="">
            <v:imagedata r:id="rId6" o:title=""/>
          </v:shape>
          <o:OLEObject Type="Embed" ProgID="Presentations.Drawing.13" ShapeID="_x0000_i1031" DrawAspect="Content" ObjectID="_1465125803" r:id="rId7"/>
        </w:object>
      </w:r>
    </w:p>
    <w:p w:rsidR="003E6176" w:rsidRPr="003E6176" w:rsidRDefault="003E6176" w:rsidP="003E6176">
      <w:pPr>
        <w:tabs>
          <w:tab w:val="center" w:pos="4680"/>
          <w:tab w:val="right" w:pos="9360"/>
        </w:tabs>
        <w:rPr>
          <w:rFonts w:eastAsiaTheme="minorHAnsi" w:cstheme="minorBidi"/>
          <w:szCs w:val="24"/>
          <w:lang w:val="fr-CA" w:eastAsia="en-US"/>
        </w:rPr>
      </w:pPr>
    </w:p>
    <w:p w:rsidR="003E6176" w:rsidRPr="003E6176" w:rsidRDefault="003E6176" w:rsidP="003E6176">
      <w:pPr>
        <w:jc w:val="center"/>
        <w:rPr>
          <w:rFonts w:eastAsiaTheme="minorHAnsi" w:cstheme="minorBidi"/>
          <w:b/>
          <w:szCs w:val="24"/>
          <w:lang w:val="fr-CA" w:eastAsia="en-US"/>
        </w:rPr>
      </w:pPr>
      <w:r w:rsidRPr="003E6176">
        <w:rPr>
          <w:rFonts w:eastAsiaTheme="minorHAnsi" w:cstheme="minorBidi"/>
          <w:b/>
          <w:szCs w:val="24"/>
          <w:lang w:val="fr-CA" w:eastAsia="en-US"/>
        </w:rPr>
        <w:t>COUR SUPRÊME DU CANADA</w:t>
      </w:r>
    </w:p>
    <w:p w:rsidR="003E6176" w:rsidRPr="003E6176" w:rsidRDefault="003E6176" w:rsidP="003E6176">
      <w:pPr>
        <w:rPr>
          <w:rFonts w:eastAsiaTheme="minorHAnsi" w:cstheme="minorBidi"/>
          <w:szCs w:val="24"/>
          <w:lang w:val="fr-CA" w:eastAsia="en-US"/>
        </w:rPr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6768"/>
        <w:gridCol w:w="2808"/>
      </w:tblGrid>
      <w:tr w:rsidR="003E6176" w:rsidRPr="003E6176" w:rsidTr="00E9578C">
        <w:trPr>
          <w:cantSplit/>
        </w:trPr>
        <w:tc>
          <w:tcPr>
            <w:tcW w:w="6768" w:type="dxa"/>
          </w:tcPr>
          <w:p w:rsidR="003E6176" w:rsidRPr="003E6176" w:rsidRDefault="003E6176" w:rsidP="003E6176">
            <w:pPr>
              <w:rPr>
                <w:lang w:val="fr-CA"/>
              </w:rPr>
            </w:pPr>
            <w:r w:rsidRPr="003E6176">
              <w:rPr>
                <w:b/>
                <w:smallCaps/>
                <w:lang w:val="fr-CA"/>
              </w:rPr>
              <w:t>Référence :</w:t>
            </w:r>
            <w:r w:rsidRPr="003E6176">
              <w:rPr>
                <w:lang w:val="fr-CA"/>
              </w:rPr>
              <w:t xml:space="preserve"> R.</w:t>
            </w:r>
            <w:r w:rsidRPr="003E6176">
              <w:rPr>
                <w:i/>
                <w:lang w:val="fr-CA"/>
              </w:rPr>
              <w:t xml:space="preserve"> c. </w:t>
            </w:r>
            <w:r w:rsidRPr="003E6176">
              <w:rPr>
                <w:lang w:val="fr-CA"/>
              </w:rPr>
              <w:t>Davis, 2014 CSC 4, [2014] 1 R.C.S. 78</w:t>
            </w:r>
          </w:p>
        </w:tc>
        <w:tc>
          <w:tcPr>
            <w:tcW w:w="2808" w:type="dxa"/>
          </w:tcPr>
          <w:p w:rsidR="003E6176" w:rsidRPr="003E6176" w:rsidRDefault="003E6176" w:rsidP="003E6176">
            <w:pPr>
              <w:rPr>
                <w:lang w:val="fr-CA"/>
              </w:rPr>
            </w:pPr>
            <w:r w:rsidRPr="003E6176">
              <w:rPr>
                <w:b/>
                <w:smallCaps/>
                <w:lang w:val="fr-CA"/>
              </w:rPr>
              <w:t>Date :</w:t>
            </w:r>
            <w:r w:rsidRPr="003E6176">
              <w:rPr>
                <w:lang w:val="fr-CA"/>
              </w:rPr>
              <w:t xml:space="preserve"> 20140117</w:t>
            </w:r>
          </w:p>
          <w:p w:rsidR="003E6176" w:rsidRPr="003E6176" w:rsidRDefault="003E6176" w:rsidP="003E6176">
            <w:pPr>
              <w:rPr>
                <w:lang w:val="fr-CA"/>
              </w:rPr>
            </w:pPr>
            <w:r w:rsidRPr="003E6176">
              <w:rPr>
                <w:b/>
                <w:smallCaps/>
                <w:lang w:val="fr-CA"/>
              </w:rPr>
              <w:t>Dossier :</w:t>
            </w:r>
            <w:r w:rsidRPr="003E6176">
              <w:rPr>
                <w:lang w:val="fr-CA"/>
              </w:rPr>
              <w:t xml:space="preserve"> 35327</w:t>
            </w:r>
          </w:p>
        </w:tc>
      </w:tr>
    </w:tbl>
    <w:p w:rsidR="003E6176" w:rsidRPr="003E6176" w:rsidRDefault="003E6176" w:rsidP="003E6176">
      <w:pPr>
        <w:rPr>
          <w:rFonts w:eastAsiaTheme="minorHAnsi" w:cstheme="minorBidi"/>
          <w:szCs w:val="24"/>
          <w:lang w:val="fr-CA" w:eastAsia="en-US"/>
        </w:rPr>
      </w:pPr>
    </w:p>
    <w:p w:rsidR="003E6176" w:rsidRPr="003E6176" w:rsidRDefault="003E6176" w:rsidP="003E6176">
      <w:pPr>
        <w:rPr>
          <w:rFonts w:eastAsiaTheme="minorHAnsi" w:cstheme="minorBidi"/>
          <w:b/>
          <w:smallCaps/>
          <w:szCs w:val="24"/>
          <w:lang w:val="fr-CA" w:eastAsia="en-US"/>
        </w:rPr>
      </w:pPr>
      <w:r w:rsidRPr="003E6176">
        <w:rPr>
          <w:rFonts w:eastAsiaTheme="minorHAnsi" w:cstheme="minorBidi"/>
          <w:b/>
          <w:smallCaps/>
          <w:szCs w:val="24"/>
          <w:lang w:val="fr-CA" w:eastAsia="en-US"/>
        </w:rPr>
        <w:t>Entre :</w:t>
      </w:r>
    </w:p>
    <w:p w:rsidR="003E6176" w:rsidRPr="003E6176" w:rsidRDefault="003E6176" w:rsidP="003E6176">
      <w:pPr>
        <w:jc w:val="center"/>
        <w:rPr>
          <w:rFonts w:eastAsiaTheme="minorHAnsi" w:cstheme="minorBidi"/>
          <w:b/>
          <w:szCs w:val="24"/>
          <w:lang w:val="fr-CA" w:eastAsia="en-US"/>
        </w:rPr>
      </w:pPr>
      <w:r w:rsidRPr="003E6176">
        <w:rPr>
          <w:rFonts w:eastAsiaTheme="minorHAnsi" w:cstheme="minorBidi"/>
          <w:b/>
          <w:szCs w:val="24"/>
          <w:lang w:val="fr-CA" w:eastAsia="en-US"/>
        </w:rPr>
        <w:t>Percy Walter Davis</w:t>
      </w:r>
    </w:p>
    <w:p w:rsidR="003E6176" w:rsidRPr="003E6176" w:rsidRDefault="003E6176" w:rsidP="003E6176">
      <w:pPr>
        <w:jc w:val="center"/>
        <w:rPr>
          <w:rFonts w:eastAsiaTheme="minorHAnsi" w:cstheme="minorBidi"/>
          <w:szCs w:val="24"/>
          <w:lang w:val="fr-CA" w:eastAsia="en-US"/>
        </w:rPr>
      </w:pPr>
      <w:r w:rsidRPr="003E6176">
        <w:rPr>
          <w:rFonts w:eastAsiaTheme="minorHAnsi" w:cstheme="minorBidi"/>
          <w:szCs w:val="24"/>
          <w:lang w:val="fr-CA" w:eastAsia="en-US"/>
        </w:rPr>
        <w:t>Appelant</w:t>
      </w:r>
    </w:p>
    <w:p w:rsidR="003E6176" w:rsidRPr="003E6176" w:rsidRDefault="003E6176" w:rsidP="003E6176">
      <w:pPr>
        <w:jc w:val="center"/>
        <w:rPr>
          <w:rFonts w:eastAsiaTheme="minorHAnsi" w:cstheme="minorBidi"/>
          <w:szCs w:val="24"/>
          <w:lang w:val="fr-CA" w:eastAsia="en-US"/>
        </w:rPr>
      </w:pPr>
      <w:proofErr w:type="gramStart"/>
      <w:r w:rsidRPr="003E6176">
        <w:rPr>
          <w:rFonts w:eastAsiaTheme="minorHAnsi" w:cstheme="minorBidi"/>
          <w:szCs w:val="24"/>
          <w:lang w:val="fr-CA" w:eastAsia="en-US"/>
        </w:rPr>
        <w:t>et</w:t>
      </w:r>
      <w:proofErr w:type="gramEnd"/>
    </w:p>
    <w:p w:rsidR="003E6176" w:rsidRPr="003E6176" w:rsidRDefault="003E6176" w:rsidP="003E6176">
      <w:pPr>
        <w:jc w:val="center"/>
        <w:rPr>
          <w:rFonts w:eastAsiaTheme="minorHAnsi" w:cstheme="minorBidi"/>
          <w:b/>
          <w:szCs w:val="24"/>
          <w:lang w:val="fr-CA" w:eastAsia="en-US"/>
        </w:rPr>
      </w:pPr>
      <w:r w:rsidRPr="003E6176">
        <w:rPr>
          <w:rFonts w:eastAsiaTheme="minorHAnsi" w:cstheme="minorBidi"/>
          <w:b/>
          <w:szCs w:val="24"/>
          <w:lang w:val="fr-CA" w:eastAsia="en-US"/>
        </w:rPr>
        <w:t>Sa Majesté la Reine</w:t>
      </w:r>
    </w:p>
    <w:p w:rsidR="003E6176" w:rsidRPr="003E6176" w:rsidRDefault="003E6176" w:rsidP="003E6176">
      <w:pPr>
        <w:jc w:val="center"/>
        <w:rPr>
          <w:rFonts w:eastAsiaTheme="minorHAnsi" w:cstheme="minorBidi"/>
          <w:szCs w:val="24"/>
          <w:lang w:val="fr-CA" w:eastAsia="en-US"/>
        </w:rPr>
      </w:pPr>
      <w:r w:rsidRPr="003E6176">
        <w:rPr>
          <w:rFonts w:eastAsiaTheme="minorHAnsi" w:cstheme="minorBidi"/>
          <w:szCs w:val="24"/>
          <w:lang w:val="fr-CA" w:eastAsia="en-US"/>
        </w:rPr>
        <w:t>Intimée</w:t>
      </w:r>
    </w:p>
    <w:p w:rsidR="003E6176" w:rsidRPr="003E6176" w:rsidRDefault="003E6176" w:rsidP="003E6176">
      <w:pPr>
        <w:rPr>
          <w:rFonts w:eastAsiaTheme="minorHAnsi" w:cstheme="minorBidi"/>
          <w:szCs w:val="24"/>
          <w:lang w:val="fr-CA" w:eastAsia="en-US"/>
        </w:rPr>
      </w:pPr>
    </w:p>
    <w:p w:rsidR="003E6176" w:rsidRPr="003E6176" w:rsidRDefault="003E6176" w:rsidP="003E6176">
      <w:pPr>
        <w:jc w:val="center"/>
        <w:rPr>
          <w:rFonts w:eastAsiaTheme="minorHAnsi" w:cstheme="minorBidi"/>
          <w:b/>
          <w:smallCaps/>
          <w:szCs w:val="24"/>
          <w:lang w:val="fr-CA" w:eastAsia="en-US"/>
        </w:rPr>
      </w:pPr>
      <w:r w:rsidRPr="003E6176">
        <w:rPr>
          <w:rFonts w:eastAsiaTheme="minorHAnsi" w:cstheme="minorBidi"/>
          <w:b/>
          <w:smallCaps/>
          <w:szCs w:val="24"/>
          <w:lang w:val="fr-CA" w:eastAsia="en-US"/>
        </w:rPr>
        <w:t>Traduction française officielle</w:t>
      </w:r>
    </w:p>
    <w:p w:rsidR="003E6176" w:rsidRPr="003E6176" w:rsidRDefault="003E6176" w:rsidP="003E6176">
      <w:pPr>
        <w:rPr>
          <w:rFonts w:eastAsiaTheme="minorHAnsi" w:cstheme="minorBidi"/>
          <w:szCs w:val="24"/>
          <w:lang w:val="fr-CA" w:eastAsia="en-US"/>
        </w:rPr>
      </w:pPr>
    </w:p>
    <w:p w:rsidR="003E6176" w:rsidRPr="003E6176" w:rsidRDefault="003E6176" w:rsidP="003E6176">
      <w:pPr>
        <w:rPr>
          <w:rFonts w:eastAsiaTheme="minorHAnsi" w:cstheme="minorBidi"/>
          <w:szCs w:val="24"/>
          <w:lang w:val="fr-CA" w:eastAsia="en-US"/>
        </w:rPr>
      </w:pPr>
      <w:r w:rsidRPr="003E6176">
        <w:rPr>
          <w:rFonts w:eastAsiaTheme="minorHAnsi" w:cstheme="minorBidi"/>
          <w:b/>
          <w:smallCaps/>
          <w:szCs w:val="24"/>
          <w:lang w:val="fr-CA" w:eastAsia="en-US"/>
        </w:rPr>
        <w:t>Coram :</w:t>
      </w:r>
      <w:r w:rsidRPr="003E6176">
        <w:rPr>
          <w:rFonts w:eastAsiaTheme="minorHAnsi" w:cstheme="minorBidi"/>
          <w:szCs w:val="24"/>
          <w:lang w:val="fr-CA" w:eastAsia="en-US"/>
        </w:rPr>
        <w:t xml:space="preserve"> Les juges LeBel, </w:t>
      </w:r>
      <w:proofErr w:type="spellStart"/>
      <w:r w:rsidRPr="003E6176">
        <w:rPr>
          <w:rFonts w:eastAsiaTheme="minorHAnsi" w:cstheme="minorBidi"/>
          <w:szCs w:val="24"/>
          <w:lang w:val="fr-CA" w:eastAsia="en-US"/>
        </w:rPr>
        <w:t>Rothstein</w:t>
      </w:r>
      <w:proofErr w:type="spellEnd"/>
      <w:r w:rsidRPr="003E6176">
        <w:rPr>
          <w:rFonts w:eastAsiaTheme="minorHAnsi" w:cstheme="minorBidi"/>
          <w:szCs w:val="24"/>
          <w:lang w:val="fr-CA" w:eastAsia="en-US"/>
        </w:rPr>
        <w:t xml:space="preserve">, </w:t>
      </w:r>
      <w:proofErr w:type="spellStart"/>
      <w:r w:rsidRPr="003E6176">
        <w:rPr>
          <w:rFonts w:eastAsiaTheme="minorHAnsi" w:cstheme="minorBidi"/>
          <w:szCs w:val="24"/>
          <w:lang w:val="fr-CA" w:eastAsia="en-US"/>
        </w:rPr>
        <w:t>Moldaver</w:t>
      </w:r>
      <w:proofErr w:type="spellEnd"/>
      <w:r w:rsidRPr="003E6176">
        <w:rPr>
          <w:rFonts w:eastAsiaTheme="minorHAnsi" w:cstheme="minorBidi"/>
          <w:szCs w:val="24"/>
          <w:lang w:val="fr-CA" w:eastAsia="en-US"/>
        </w:rPr>
        <w:t xml:space="preserve">, </w:t>
      </w:r>
      <w:proofErr w:type="spellStart"/>
      <w:r w:rsidRPr="003E6176">
        <w:rPr>
          <w:rFonts w:eastAsiaTheme="minorHAnsi" w:cstheme="minorBidi"/>
          <w:szCs w:val="24"/>
          <w:lang w:val="fr-CA" w:eastAsia="en-US"/>
        </w:rPr>
        <w:t>Karakatsanis</w:t>
      </w:r>
      <w:proofErr w:type="spellEnd"/>
      <w:r w:rsidRPr="003E6176">
        <w:rPr>
          <w:rFonts w:eastAsiaTheme="minorHAnsi" w:cstheme="minorBidi"/>
          <w:szCs w:val="24"/>
          <w:lang w:val="fr-CA" w:eastAsia="en-US"/>
        </w:rPr>
        <w:t xml:space="preserve"> et Wagner</w:t>
      </w:r>
    </w:p>
    <w:p w:rsidR="003E6176" w:rsidRPr="003E6176" w:rsidRDefault="003E6176" w:rsidP="003E6176">
      <w:pPr>
        <w:rPr>
          <w:rFonts w:eastAsiaTheme="minorHAnsi" w:cstheme="minorBidi"/>
          <w:szCs w:val="24"/>
          <w:lang w:val="fr-CA"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3618"/>
        <w:gridCol w:w="5958"/>
      </w:tblGrid>
      <w:tr w:rsidR="003E6176" w:rsidRPr="003E6176" w:rsidTr="00E9578C">
        <w:trPr>
          <w:cantSplit/>
        </w:trPr>
        <w:tc>
          <w:tcPr>
            <w:tcW w:w="3618" w:type="dxa"/>
          </w:tcPr>
          <w:p w:rsidR="003E6176" w:rsidRPr="003E6176" w:rsidRDefault="003E6176" w:rsidP="003E6176">
            <w:pPr>
              <w:rPr>
                <w:b/>
                <w:smallCaps/>
                <w:lang w:val="fr-CA"/>
              </w:rPr>
            </w:pPr>
            <w:r w:rsidRPr="003E6176">
              <w:rPr>
                <w:b/>
                <w:smallCaps/>
                <w:lang w:val="fr-CA"/>
              </w:rPr>
              <w:t>Motifs de jugement :</w:t>
            </w:r>
          </w:p>
          <w:p w:rsidR="003E6176" w:rsidRPr="003E6176" w:rsidRDefault="003E6176" w:rsidP="003E6176">
            <w:pPr>
              <w:rPr>
                <w:lang w:val="fr-CA"/>
              </w:rPr>
            </w:pPr>
            <w:r w:rsidRPr="003E6176">
              <w:rPr>
                <w:lang w:val="fr-CA"/>
              </w:rPr>
              <w:t>(par. 1)</w:t>
            </w:r>
          </w:p>
        </w:tc>
        <w:tc>
          <w:tcPr>
            <w:tcW w:w="5958" w:type="dxa"/>
          </w:tcPr>
          <w:p w:rsidR="003E6176" w:rsidRPr="003E6176" w:rsidRDefault="003E6176" w:rsidP="003E6176">
            <w:pPr>
              <w:rPr>
                <w:lang w:val="fr-CA"/>
              </w:rPr>
            </w:pPr>
            <w:r w:rsidRPr="003E6176">
              <w:rPr>
                <w:lang w:val="fr-CA"/>
              </w:rPr>
              <w:t xml:space="preserve">Le juge LeBel (avec l’accord des juges </w:t>
            </w:r>
            <w:proofErr w:type="spellStart"/>
            <w:r w:rsidRPr="003E6176">
              <w:rPr>
                <w:lang w:val="fr-CA"/>
              </w:rPr>
              <w:t>Rothstein</w:t>
            </w:r>
            <w:proofErr w:type="spellEnd"/>
            <w:r w:rsidRPr="003E6176">
              <w:rPr>
                <w:lang w:val="fr-CA"/>
              </w:rPr>
              <w:t xml:space="preserve">, </w:t>
            </w:r>
            <w:proofErr w:type="spellStart"/>
            <w:r w:rsidRPr="003E6176">
              <w:rPr>
                <w:lang w:val="fr-CA"/>
              </w:rPr>
              <w:t>Moldaver</w:t>
            </w:r>
            <w:proofErr w:type="spellEnd"/>
            <w:r w:rsidRPr="003E6176">
              <w:rPr>
                <w:lang w:val="fr-CA"/>
              </w:rPr>
              <w:t xml:space="preserve">, </w:t>
            </w:r>
            <w:proofErr w:type="spellStart"/>
            <w:r w:rsidRPr="003E6176">
              <w:rPr>
                <w:lang w:val="fr-CA"/>
              </w:rPr>
              <w:t>Karakatsanis</w:t>
            </w:r>
            <w:proofErr w:type="spellEnd"/>
            <w:r w:rsidRPr="003E6176">
              <w:rPr>
                <w:lang w:val="fr-CA"/>
              </w:rPr>
              <w:t xml:space="preserve"> et Wagner)</w:t>
            </w:r>
          </w:p>
        </w:tc>
      </w:tr>
    </w:tbl>
    <w:p w:rsidR="003E6176" w:rsidRPr="003E6176" w:rsidRDefault="003E6176" w:rsidP="003E6176">
      <w:pPr>
        <w:rPr>
          <w:rFonts w:eastAsiaTheme="minorHAnsi" w:cstheme="minorBidi"/>
          <w:szCs w:val="24"/>
          <w:lang w:val="fr-CA" w:eastAsia="en-US"/>
        </w:rPr>
      </w:pPr>
    </w:p>
    <w:p w:rsidR="003E6176" w:rsidRPr="003E6176" w:rsidRDefault="003E6176" w:rsidP="003E6176">
      <w:pPr>
        <w:rPr>
          <w:rFonts w:eastAsiaTheme="minorHAnsi" w:cstheme="minorBidi"/>
          <w:szCs w:val="24"/>
          <w:lang w:val="fr-CA" w:eastAsia="en-US"/>
        </w:rPr>
      </w:pPr>
      <w:r w:rsidRPr="003E6176">
        <w:rPr>
          <w:rFonts w:eastAsiaTheme="minorHAnsi" w:cstheme="minorBidi"/>
          <w:noProof/>
          <w:szCs w:val="24"/>
          <w:lang w:val="fr-CA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26.75pt;margin-top:14.5pt;width:197.25pt;height:0;z-index:251660288" o:connectortype="straight"/>
        </w:pict>
      </w:r>
    </w:p>
    <w:p w:rsidR="003E6176" w:rsidRDefault="003E6176" w:rsidP="00B47FC8">
      <w:pPr>
        <w:spacing w:after="480" w:line="480" w:lineRule="auto"/>
        <w:jc w:val="both"/>
        <w:rPr>
          <w:rStyle w:val="SCCAppellantForIndexChar"/>
          <w:b w:val="0"/>
          <w:lang w:val="fr-CA"/>
        </w:rPr>
      </w:pPr>
    </w:p>
    <w:p w:rsidR="004D7D95" w:rsidRPr="00931010" w:rsidRDefault="00931010" w:rsidP="00B47FC8">
      <w:pPr>
        <w:spacing w:after="480" w:line="480" w:lineRule="auto"/>
        <w:jc w:val="both"/>
        <w:rPr>
          <w:b/>
          <w:lang w:val="fr-CA"/>
        </w:rPr>
      </w:pPr>
      <w:r w:rsidRPr="00931010">
        <w:rPr>
          <w:rStyle w:val="SCCAppellantForIndexChar"/>
          <w:b w:val="0"/>
          <w:lang w:val="fr-CA"/>
        </w:rPr>
        <w:t xml:space="preserve">R. </w:t>
      </w:r>
      <w:r w:rsidRPr="00931010">
        <w:rPr>
          <w:rStyle w:val="SCCAppellantForIndexChar"/>
          <w:b w:val="0"/>
          <w:i/>
          <w:lang w:val="fr-CA"/>
        </w:rPr>
        <w:t>c.</w:t>
      </w:r>
      <w:r w:rsidRPr="00931010">
        <w:rPr>
          <w:rStyle w:val="SCCAppellantForIndexChar"/>
          <w:b w:val="0"/>
          <w:lang w:val="fr-CA"/>
        </w:rPr>
        <w:t xml:space="preserve"> Davis</w:t>
      </w:r>
      <w:r>
        <w:rPr>
          <w:rStyle w:val="SCCAppellantForIndexChar"/>
          <w:b w:val="0"/>
          <w:lang w:val="fr-CA"/>
        </w:rPr>
        <w:t>, 2014 CSC 4, [2014] 1 R.C.S. 78</w:t>
      </w:r>
    </w:p>
    <w:p w:rsidR="00C962D4" w:rsidRPr="006C79AB" w:rsidRDefault="00B40F5F">
      <w:pPr>
        <w:pStyle w:val="SCCLsocLastPartyInRole"/>
        <w:rPr>
          <w:lang w:val="fr-CA"/>
        </w:rPr>
      </w:pPr>
      <w:r w:rsidRPr="006C79AB">
        <w:rPr>
          <w:lang w:val="fr-CA"/>
        </w:rPr>
        <w:t>Percy Walter Davis</w:t>
      </w:r>
      <w:r w:rsidRPr="006C79AB">
        <w:rPr>
          <w:rStyle w:val="SCCLsocPartyRole"/>
          <w:lang w:val="fr-CA"/>
        </w:rPr>
        <w:tab/>
        <w:t>Appelant</w:t>
      </w:r>
    </w:p>
    <w:p w:rsidR="00C962D4" w:rsidRPr="006C79AB" w:rsidRDefault="00B40F5F">
      <w:pPr>
        <w:pStyle w:val="SCCLsocVersus"/>
        <w:rPr>
          <w:lang w:val="fr-CA"/>
        </w:rPr>
      </w:pPr>
      <w:proofErr w:type="gramStart"/>
      <w:r w:rsidRPr="006C79AB">
        <w:rPr>
          <w:lang w:val="fr-CA"/>
        </w:rPr>
        <w:t>c</w:t>
      </w:r>
      <w:proofErr w:type="gramEnd"/>
      <w:r w:rsidRPr="006C79AB">
        <w:rPr>
          <w:lang w:val="fr-CA"/>
        </w:rPr>
        <w:t>.</w:t>
      </w:r>
    </w:p>
    <w:p w:rsidR="00C962D4" w:rsidRPr="006C79AB" w:rsidRDefault="00B40F5F">
      <w:pPr>
        <w:pStyle w:val="SCCLsocLastPartyInRole"/>
        <w:rPr>
          <w:lang w:val="fr-CA"/>
        </w:rPr>
      </w:pPr>
      <w:r w:rsidRPr="006C79AB">
        <w:rPr>
          <w:lang w:val="fr-CA"/>
        </w:rPr>
        <w:t>Sa Majesté la Reine</w:t>
      </w:r>
      <w:r w:rsidR="006C79AB">
        <w:rPr>
          <w:rStyle w:val="SCCLsocPartyRole"/>
          <w:lang w:val="fr-CA"/>
        </w:rPr>
        <w:tab/>
        <w:t>Intimé</w:t>
      </w:r>
      <w:r w:rsidRPr="006C79AB">
        <w:rPr>
          <w:rStyle w:val="SCCLsocPartyRole"/>
          <w:lang w:val="fr-CA"/>
        </w:rPr>
        <w:t>e</w:t>
      </w:r>
    </w:p>
    <w:p w:rsidR="004D7D95" w:rsidRPr="006C79AB" w:rsidRDefault="004D7D95" w:rsidP="004D7D95">
      <w:pPr>
        <w:jc w:val="both"/>
        <w:rPr>
          <w:lang w:val="fr-CA"/>
        </w:rPr>
      </w:pPr>
    </w:p>
    <w:p w:rsidR="004D7D95" w:rsidRPr="006C79AB" w:rsidRDefault="004D7D95" w:rsidP="004D7D95">
      <w:pPr>
        <w:jc w:val="both"/>
        <w:rPr>
          <w:b/>
          <w:lang w:val="fr-CA"/>
        </w:rPr>
      </w:pPr>
      <w:r w:rsidRPr="00BB4C92">
        <w:rPr>
          <w:b/>
          <w:lang w:val="fr-CA"/>
        </w:rPr>
        <w:t>Répertorié : </w:t>
      </w:r>
      <w:r w:rsidR="006C79AB">
        <w:rPr>
          <w:rStyle w:val="SCCAppellantForIndexChar"/>
          <w:lang w:val="fr-CA"/>
        </w:rPr>
        <w:t xml:space="preserve">R. </w:t>
      </w:r>
      <w:r w:rsidR="006C79AB">
        <w:rPr>
          <w:rStyle w:val="SCCAppellantForIndexChar"/>
          <w:i/>
          <w:lang w:val="fr-CA"/>
        </w:rPr>
        <w:t>c.</w:t>
      </w:r>
      <w:r w:rsidR="006C79AB" w:rsidRPr="00342A3F">
        <w:rPr>
          <w:rStyle w:val="SCCAppellantForIndexChar"/>
          <w:lang w:val="fr-CA"/>
        </w:rPr>
        <w:t xml:space="preserve"> </w:t>
      </w:r>
      <w:r w:rsidR="006C79AB">
        <w:rPr>
          <w:rStyle w:val="SCCAppellantForIndexChar"/>
          <w:lang w:val="fr-CA"/>
        </w:rPr>
        <w:t>D</w:t>
      </w:r>
      <w:r w:rsidRPr="006C79AB">
        <w:rPr>
          <w:rStyle w:val="SCCAppellantForIndexChar"/>
          <w:lang w:val="fr-CA"/>
        </w:rPr>
        <w:t>avis</w:t>
      </w:r>
    </w:p>
    <w:p w:rsidR="004D7D95" w:rsidRPr="006C79AB" w:rsidRDefault="004D7D95" w:rsidP="004D7D95">
      <w:pPr>
        <w:jc w:val="both"/>
        <w:rPr>
          <w:lang w:val="fr-CA"/>
        </w:rPr>
      </w:pPr>
    </w:p>
    <w:p w:rsidR="004D7D95" w:rsidRPr="006C79AB" w:rsidRDefault="00F62639" w:rsidP="004D7D95">
      <w:pPr>
        <w:pStyle w:val="SCCSystemYear"/>
        <w:jc w:val="both"/>
        <w:rPr>
          <w:lang w:val="fr-CA"/>
        </w:rPr>
      </w:pPr>
      <w:r w:rsidRPr="006C79AB">
        <w:rPr>
          <w:lang w:val="fr-CA"/>
        </w:rPr>
        <w:t>2014</w:t>
      </w:r>
      <w:r w:rsidR="00D775EE">
        <w:rPr>
          <w:lang w:val="fr-CA"/>
        </w:rPr>
        <w:t xml:space="preserve"> CSC 4</w:t>
      </w:r>
    </w:p>
    <w:p w:rsidR="004D7D95" w:rsidRPr="006C79AB" w:rsidRDefault="004D7D95" w:rsidP="004D7D95">
      <w:pPr>
        <w:jc w:val="both"/>
        <w:rPr>
          <w:lang w:val="fr-CA"/>
        </w:rPr>
      </w:pPr>
    </w:p>
    <w:p w:rsidR="004D7D95" w:rsidRPr="006C79AB" w:rsidRDefault="004D7D95" w:rsidP="004D7D95">
      <w:pPr>
        <w:jc w:val="both"/>
        <w:rPr>
          <w:lang w:val="fr-CA"/>
        </w:rPr>
      </w:pPr>
      <w:r w:rsidRPr="006C79AB">
        <w:rPr>
          <w:lang w:val="fr-CA"/>
        </w:rPr>
        <w:t>N</w:t>
      </w:r>
      <w:r w:rsidRPr="006C79AB">
        <w:rPr>
          <w:vertAlign w:val="superscript"/>
          <w:lang w:val="fr-CA"/>
        </w:rPr>
        <w:t>o</w:t>
      </w:r>
      <w:r w:rsidRPr="006C79AB">
        <w:rPr>
          <w:lang w:val="fr-CA"/>
        </w:rPr>
        <w:t xml:space="preserve"> du greffe : 35327.</w:t>
      </w:r>
    </w:p>
    <w:p w:rsidR="004D7D95" w:rsidRPr="006C79AB" w:rsidRDefault="004D7D95" w:rsidP="004D7D95">
      <w:pPr>
        <w:jc w:val="both"/>
        <w:rPr>
          <w:lang w:val="fr-CA"/>
        </w:rPr>
      </w:pPr>
    </w:p>
    <w:p w:rsidR="004D7D95" w:rsidRPr="006C79AB" w:rsidRDefault="00F62639" w:rsidP="004D7D95">
      <w:pPr>
        <w:jc w:val="both"/>
        <w:rPr>
          <w:lang w:val="fr-CA"/>
        </w:rPr>
      </w:pPr>
      <w:r w:rsidRPr="006C79AB">
        <w:rPr>
          <w:lang w:val="fr-CA"/>
        </w:rPr>
        <w:t>2014</w:t>
      </w:r>
      <w:r w:rsidR="00B47FC8">
        <w:rPr>
          <w:lang w:val="fr-CA"/>
        </w:rPr>
        <w:t> </w:t>
      </w:r>
      <w:r w:rsidRPr="006C79AB">
        <w:rPr>
          <w:lang w:val="fr-CA"/>
        </w:rPr>
        <w:t>:</w:t>
      </w:r>
      <w:r w:rsidR="00B47FC8">
        <w:rPr>
          <w:lang w:val="fr-CA"/>
        </w:rPr>
        <w:t> </w:t>
      </w:r>
      <w:r w:rsidRPr="006C79AB">
        <w:rPr>
          <w:lang w:val="fr-CA"/>
        </w:rPr>
        <w:t>17 janvier</w:t>
      </w:r>
      <w:r w:rsidR="004D7D95" w:rsidRPr="006C79AB">
        <w:rPr>
          <w:lang w:val="fr-CA"/>
        </w:rPr>
        <w:t>.</w:t>
      </w:r>
    </w:p>
    <w:p w:rsidR="004D7D95" w:rsidRPr="006C79AB" w:rsidRDefault="004D7D95" w:rsidP="004D7D95">
      <w:pPr>
        <w:jc w:val="both"/>
        <w:rPr>
          <w:lang w:val="fr-CA"/>
        </w:rPr>
      </w:pPr>
    </w:p>
    <w:p w:rsidR="004D7D95" w:rsidRPr="006C79AB" w:rsidRDefault="004D7D95" w:rsidP="004D7D95">
      <w:pPr>
        <w:jc w:val="both"/>
        <w:rPr>
          <w:lang w:val="fr-CA"/>
        </w:rPr>
      </w:pPr>
      <w:r w:rsidRPr="006C79AB">
        <w:rPr>
          <w:lang w:val="fr-CA"/>
        </w:rPr>
        <w:t xml:space="preserve">Présents : Les juges LeBel, </w:t>
      </w:r>
      <w:proofErr w:type="spellStart"/>
      <w:r w:rsidRPr="006C79AB">
        <w:rPr>
          <w:lang w:val="fr-CA"/>
        </w:rPr>
        <w:t>Rothstein</w:t>
      </w:r>
      <w:proofErr w:type="spellEnd"/>
      <w:r w:rsidRPr="006C79AB">
        <w:rPr>
          <w:lang w:val="fr-CA"/>
        </w:rPr>
        <w:t xml:space="preserve">, </w:t>
      </w:r>
      <w:proofErr w:type="spellStart"/>
      <w:r w:rsidRPr="006C79AB">
        <w:rPr>
          <w:lang w:val="fr-CA"/>
        </w:rPr>
        <w:t>Moldaver</w:t>
      </w:r>
      <w:proofErr w:type="spellEnd"/>
      <w:r w:rsidRPr="006C79AB">
        <w:rPr>
          <w:lang w:val="fr-CA"/>
        </w:rPr>
        <w:t xml:space="preserve">, </w:t>
      </w:r>
      <w:proofErr w:type="spellStart"/>
      <w:r w:rsidRPr="006C79AB">
        <w:rPr>
          <w:lang w:val="fr-CA"/>
        </w:rPr>
        <w:t>Karakatsanis</w:t>
      </w:r>
      <w:proofErr w:type="spellEnd"/>
      <w:r w:rsidRPr="006C79AB">
        <w:rPr>
          <w:lang w:val="fr-CA"/>
        </w:rPr>
        <w:t xml:space="preserve"> et Wagner.</w:t>
      </w:r>
    </w:p>
    <w:p w:rsidR="00EE0830" w:rsidRPr="006C79AB" w:rsidRDefault="00EE0830" w:rsidP="004D7D95">
      <w:pPr>
        <w:jc w:val="both"/>
        <w:rPr>
          <w:lang w:val="fr-CA"/>
        </w:rPr>
      </w:pPr>
    </w:p>
    <w:p w:rsidR="004D7D95" w:rsidRPr="006C79AB" w:rsidRDefault="004D7D95" w:rsidP="000F7993">
      <w:pPr>
        <w:jc w:val="both"/>
        <w:rPr>
          <w:smallCaps/>
          <w:lang w:val="fr-CA"/>
        </w:rPr>
      </w:pPr>
      <w:r w:rsidRPr="006C79AB">
        <w:rPr>
          <w:smallCaps/>
          <w:lang w:val="fr-CA"/>
        </w:rPr>
        <w:t>en appel de la cour</w:t>
      </w:r>
      <w:r w:rsidR="006C79AB">
        <w:rPr>
          <w:smallCaps/>
          <w:lang w:val="fr-CA"/>
        </w:rPr>
        <w:t xml:space="preserve"> d</w:t>
      </w:r>
      <w:r w:rsidR="00E34DC7">
        <w:rPr>
          <w:smallCaps/>
          <w:lang w:val="fr-CA"/>
        </w:rPr>
        <w:t>’</w:t>
      </w:r>
      <w:r w:rsidR="006C79AB">
        <w:rPr>
          <w:smallCaps/>
          <w:lang w:val="fr-CA"/>
        </w:rPr>
        <w:t>appel de l</w:t>
      </w:r>
      <w:r w:rsidR="00E34DC7">
        <w:rPr>
          <w:smallCaps/>
          <w:lang w:val="fr-CA"/>
        </w:rPr>
        <w:t>’</w:t>
      </w:r>
      <w:proofErr w:type="spellStart"/>
      <w:r w:rsidR="006C79AB">
        <w:rPr>
          <w:smallCaps/>
          <w:lang w:val="fr-CA"/>
        </w:rPr>
        <w:t>alberta</w:t>
      </w:r>
      <w:proofErr w:type="spellEnd"/>
    </w:p>
    <w:p w:rsidR="004D7D95" w:rsidRPr="006C79AB" w:rsidRDefault="004D7D95" w:rsidP="004D7D95">
      <w:pPr>
        <w:pStyle w:val="SCCNormalDoubleSpacing"/>
        <w:rPr>
          <w:smallCaps/>
          <w:lang w:val="fr-CA"/>
        </w:rPr>
      </w:pPr>
    </w:p>
    <w:p w:rsidR="004D7D95" w:rsidRPr="000A238F" w:rsidRDefault="004D7D95" w:rsidP="004D7D95">
      <w:pPr>
        <w:pStyle w:val="SCCNormalDoubleSpacing"/>
        <w:rPr>
          <w:lang w:val="fr-CA"/>
        </w:rPr>
      </w:pPr>
      <w:r w:rsidRPr="00BB4C92">
        <w:rPr>
          <w:lang w:val="fr-CA"/>
        </w:rPr>
        <w:tab/>
      </w:r>
      <w:r w:rsidR="000A238F">
        <w:rPr>
          <w:i/>
          <w:lang w:val="fr-CA"/>
        </w:rPr>
        <w:t>Droit criminel</w:t>
      </w:r>
      <w:r w:rsidR="000A238F" w:rsidRPr="000A238F">
        <w:rPr>
          <w:i/>
          <w:lang w:val="fr-CA"/>
        </w:rPr>
        <w:t xml:space="preserve"> </w:t>
      </w:r>
      <w:r w:rsidR="00342A3F" w:rsidRPr="003C6283">
        <w:rPr>
          <w:i/>
          <w:lang w:val="fr-CA"/>
        </w:rPr>
        <w:t xml:space="preserve">— </w:t>
      </w:r>
      <w:r w:rsidR="000A238F" w:rsidRPr="000A238F">
        <w:rPr>
          <w:i/>
          <w:lang w:val="fr-CA"/>
        </w:rPr>
        <w:t xml:space="preserve">Appels </w:t>
      </w:r>
      <w:r w:rsidR="00342A3F" w:rsidRPr="003C6283">
        <w:rPr>
          <w:i/>
          <w:lang w:val="fr-CA"/>
        </w:rPr>
        <w:t xml:space="preserve">— </w:t>
      </w:r>
      <w:r w:rsidR="000A238F" w:rsidRPr="000A238F">
        <w:rPr>
          <w:i/>
          <w:lang w:val="fr-CA"/>
        </w:rPr>
        <w:t>P</w:t>
      </w:r>
      <w:r w:rsidR="000A238F">
        <w:rPr>
          <w:i/>
          <w:lang w:val="fr-CA"/>
        </w:rPr>
        <w:t>ouvoirs de la Cour d’appel</w:t>
      </w:r>
      <w:r w:rsidR="000A238F" w:rsidRPr="000A238F">
        <w:rPr>
          <w:i/>
          <w:lang w:val="fr-CA"/>
        </w:rPr>
        <w:t xml:space="preserve"> </w:t>
      </w:r>
      <w:r w:rsidR="00342A3F" w:rsidRPr="003C6283">
        <w:rPr>
          <w:i/>
          <w:lang w:val="fr-CA"/>
        </w:rPr>
        <w:t xml:space="preserve">— </w:t>
      </w:r>
      <w:r w:rsidR="000A238F" w:rsidRPr="000A238F">
        <w:rPr>
          <w:i/>
          <w:lang w:val="fr-CA"/>
        </w:rPr>
        <w:t xml:space="preserve">Application </w:t>
      </w:r>
      <w:r w:rsidR="000A238F">
        <w:rPr>
          <w:i/>
          <w:lang w:val="fr-CA"/>
        </w:rPr>
        <w:t>de la disposition réparatrice</w:t>
      </w:r>
      <w:r w:rsidR="000A238F" w:rsidRPr="000A238F">
        <w:rPr>
          <w:i/>
          <w:lang w:val="fr-CA"/>
        </w:rPr>
        <w:t xml:space="preserve"> </w:t>
      </w:r>
      <w:r w:rsidR="00342A3F" w:rsidRPr="003C6283">
        <w:rPr>
          <w:i/>
          <w:lang w:val="fr-CA"/>
        </w:rPr>
        <w:t xml:space="preserve">— </w:t>
      </w:r>
      <w:r w:rsidR="00546365">
        <w:rPr>
          <w:i/>
          <w:lang w:val="fr-CA"/>
        </w:rPr>
        <w:t>E</w:t>
      </w:r>
      <w:r w:rsidR="002A5694">
        <w:rPr>
          <w:i/>
          <w:lang w:val="fr-CA"/>
        </w:rPr>
        <w:t xml:space="preserve">rreur de la juge du procès dans l’attribution du fardeau de la preuve </w:t>
      </w:r>
      <w:r w:rsidR="00546365">
        <w:rPr>
          <w:i/>
          <w:lang w:val="fr-CA"/>
        </w:rPr>
        <w:t xml:space="preserve">susceptible d’avoir joué </w:t>
      </w:r>
      <w:r w:rsidR="002A5694">
        <w:rPr>
          <w:i/>
          <w:lang w:val="fr-CA"/>
        </w:rPr>
        <w:t>dans l’évalu</w:t>
      </w:r>
      <w:r w:rsidR="00B526E0">
        <w:rPr>
          <w:i/>
          <w:lang w:val="fr-CA"/>
        </w:rPr>
        <w:t>ation</w:t>
      </w:r>
      <w:r w:rsidR="002A5694">
        <w:rPr>
          <w:i/>
          <w:lang w:val="fr-CA"/>
        </w:rPr>
        <w:t xml:space="preserve"> de la preuve relative à la question de savoir si </w:t>
      </w:r>
      <w:r w:rsidR="00B526E0">
        <w:rPr>
          <w:i/>
          <w:lang w:val="fr-CA"/>
        </w:rPr>
        <w:t>l</w:t>
      </w:r>
      <w:r w:rsidR="00546365">
        <w:rPr>
          <w:i/>
          <w:lang w:val="fr-CA"/>
        </w:rPr>
        <w:t xml:space="preserve">e policier a employé </w:t>
      </w:r>
      <w:r w:rsidR="00B526E0">
        <w:rPr>
          <w:i/>
          <w:lang w:val="fr-CA"/>
        </w:rPr>
        <w:t xml:space="preserve">ou non une force excessive </w:t>
      </w:r>
      <w:r w:rsidR="00342A3F" w:rsidRPr="003C6283">
        <w:rPr>
          <w:i/>
          <w:lang w:val="fr-CA"/>
        </w:rPr>
        <w:t xml:space="preserve">— </w:t>
      </w:r>
      <w:r w:rsidR="00B526E0">
        <w:rPr>
          <w:i/>
          <w:lang w:val="fr-CA"/>
        </w:rPr>
        <w:t xml:space="preserve">Disposition réparatrice non </w:t>
      </w:r>
      <w:r w:rsidR="000A238F" w:rsidRPr="000A238F">
        <w:rPr>
          <w:i/>
          <w:lang w:val="fr-CA"/>
        </w:rPr>
        <w:t xml:space="preserve">applicable </w:t>
      </w:r>
      <w:r w:rsidR="00342A3F" w:rsidRPr="003C6283">
        <w:rPr>
          <w:i/>
          <w:lang w:val="fr-CA"/>
        </w:rPr>
        <w:t xml:space="preserve">— </w:t>
      </w:r>
      <w:r w:rsidR="000A238F" w:rsidRPr="000A238F">
        <w:rPr>
          <w:i/>
          <w:lang w:val="fr-CA"/>
        </w:rPr>
        <w:t>C</w:t>
      </w:r>
      <w:r w:rsidR="00B526E0">
        <w:rPr>
          <w:i/>
          <w:lang w:val="fr-CA"/>
        </w:rPr>
        <w:t>ode criminel</w:t>
      </w:r>
      <w:r w:rsidR="000A238F" w:rsidRPr="000A238F">
        <w:rPr>
          <w:i/>
          <w:lang w:val="fr-CA"/>
        </w:rPr>
        <w:t xml:space="preserve">, </w:t>
      </w:r>
      <w:r w:rsidR="00B526E0">
        <w:rPr>
          <w:i/>
          <w:lang w:val="fr-CA"/>
        </w:rPr>
        <w:t>L.</w:t>
      </w:r>
      <w:r w:rsidR="000A238F" w:rsidRPr="000A238F">
        <w:rPr>
          <w:i/>
          <w:lang w:val="fr-CA"/>
        </w:rPr>
        <w:t>R.C. 1985, c</w:t>
      </w:r>
      <w:r w:rsidR="00B526E0">
        <w:rPr>
          <w:i/>
          <w:lang w:val="fr-CA"/>
        </w:rPr>
        <w:t>h</w:t>
      </w:r>
      <w:r w:rsidR="000A238F" w:rsidRPr="000A238F">
        <w:rPr>
          <w:i/>
          <w:lang w:val="fr-CA"/>
        </w:rPr>
        <w:t xml:space="preserve">. C-46, </w:t>
      </w:r>
      <w:r w:rsidR="00342A3F">
        <w:rPr>
          <w:i/>
          <w:lang w:val="fr-CA"/>
        </w:rPr>
        <w:t>art</w:t>
      </w:r>
      <w:r w:rsidR="000A238F" w:rsidRPr="000A238F">
        <w:rPr>
          <w:i/>
          <w:lang w:val="fr-CA"/>
        </w:rPr>
        <w:t>. 686(1)b</w:t>
      </w:r>
      <w:proofErr w:type="gramStart"/>
      <w:r w:rsidR="000A238F" w:rsidRPr="000A238F">
        <w:rPr>
          <w:i/>
          <w:lang w:val="fr-CA"/>
        </w:rPr>
        <w:t>)(</w:t>
      </w:r>
      <w:proofErr w:type="gramEnd"/>
      <w:r w:rsidR="000A238F" w:rsidRPr="000A238F">
        <w:rPr>
          <w:i/>
          <w:lang w:val="fr-CA"/>
        </w:rPr>
        <w:t>iii).</w:t>
      </w:r>
      <w:r w:rsidR="000A238F" w:rsidRPr="000A238F">
        <w:rPr>
          <w:lang w:val="fr-CA"/>
        </w:rPr>
        <w:t xml:space="preserve"> </w:t>
      </w:r>
    </w:p>
    <w:p w:rsidR="004D7D95" w:rsidRPr="004D7D95" w:rsidRDefault="004D7D95" w:rsidP="004D7D95">
      <w:pPr>
        <w:pStyle w:val="SCCNormalDoubleSpacing"/>
        <w:rPr>
          <w:lang w:val="fr-CA"/>
        </w:rPr>
      </w:pPr>
    </w:p>
    <w:p w:rsidR="004D7D95" w:rsidRPr="004D7D95" w:rsidRDefault="004D7D95" w:rsidP="005A3236">
      <w:pPr>
        <w:pStyle w:val="SCCNormalDoubleSpacing"/>
        <w:rPr>
          <w:b/>
          <w:lang w:val="fr-CA"/>
        </w:rPr>
      </w:pPr>
      <w:r w:rsidRPr="004D7D95">
        <w:rPr>
          <w:b/>
          <w:lang w:val="fr-CA"/>
        </w:rPr>
        <w:t>Lois et règlements cités</w:t>
      </w:r>
    </w:p>
    <w:p w:rsidR="004D7D95" w:rsidRPr="004D7D95" w:rsidRDefault="004D7D95" w:rsidP="005A3236">
      <w:pPr>
        <w:pStyle w:val="SCCNormalDoubleSpacing"/>
        <w:ind w:left="540" w:hanging="540"/>
        <w:rPr>
          <w:lang w:val="fr-CA"/>
        </w:rPr>
      </w:pPr>
    </w:p>
    <w:p w:rsidR="004D7D95" w:rsidRDefault="005A3236" w:rsidP="005A3236">
      <w:pPr>
        <w:pStyle w:val="SCCNormalDoubleSpacing"/>
        <w:ind w:left="540" w:hanging="540"/>
        <w:rPr>
          <w:lang w:val="fr-CA"/>
        </w:rPr>
      </w:pPr>
      <w:r>
        <w:rPr>
          <w:i/>
          <w:lang w:val="fr-CA"/>
        </w:rPr>
        <w:t>Code criminel</w:t>
      </w:r>
      <w:r>
        <w:rPr>
          <w:lang w:val="fr-CA"/>
        </w:rPr>
        <w:t>,</w:t>
      </w:r>
      <w:r w:rsidRPr="005A3236">
        <w:rPr>
          <w:lang w:val="fr-CA"/>
        </w:rPr>
        <w:t xml:space="preserve"> </w:t>
      </w:r>
      <w:r w:rsidRPr="00A0419E">
        <w:rPr>
          <w:lang w:val="fr-CA"/>
        </w:rPr>
        <w:t>L.R.C. 1985, c</w:t>
      </w:r>
      <w:r w:rsidR="00E34DC7">
        <w:rPr>
          <w:lang w:val="fr-CA"/>
        </w:rPr>
        <w:t>h</w:t>
      </w:r>
      <w:r w:rsidRPr="00A0419E">
        <w:rPr>
          <w:lang w:val="fr-CA"/>
        </w:rPr>
        <w:t xml:space="preserve">. C-46, </w:t>
      </w:r>
      <w:r>
        <w:rPr>
          <w:lang w:val="fr-CA"/>
        </w:rPr>
        <w:t>art.</w:t>
      </w:r>
      <w:r w:rsidRPr="00A0419E">
        <w:rPr>
          <w:lang w:val="fr-CA"/>
        </w:rPr>
        <w:t xml:space="preserve"> 686(1)</w:t>
      </w:r>
      <w:r w:rsidRPr="00A0419E">
        <w:rPr>
          <w:i/>
          <w:lang w:val="fr-CA"/>
        </w:rPr>
        <w:t>b</w:t>
      </w:r>
      <w:proofErr w:type="gramStart"/>
      <w:r w:rsidRPr="00A0419E">
        <w:rPr>
          <w:lang w:val="fr-CA"/>
        </w:rPr>
        <w:t>)(</w:t>
      </w:r>
      <w:proofErr w:type="gramEnd"/>
      <w:r w:rsidRPr="00A0419E">
        <w:rPr>
          <w:lang w:val="fr-CA"/>
        </w:rPr>
        <w:t>iii)</w:t>
      </w:r>
      <w:r>
        <w:rPr>
          <w:lang w:val="fr-CA"/>
        </w:rPr>
        <w:t>.</w:t>
      </w:r>
    </w:p>
    <w:p w:rsidR="005A3236" w:rsidRPr="004D7D95" w:rsidRDefault="005A3236" w:rsidP="005A3236">
      <w:pPr>
        <w:pStyle w:val="SCCNormalDoubleSpacing"/>
        <w:ind w:left="540" w:hanging="540"/>
        <w:rPr>
          <w:lang w:val="fr-CA"/>
        </w:rPr>
      </w:pPr>
    </w:p>
    <w:p w:rsidR="00264B7C" w:rsidRPr="00456E03" w:rsidRDefault="00B40F5F" w:rsidP="005A3236">
      <w:pPr>
        <w:pStyle w:val="SCCNormalDoubleSpacing"/>
        <w:rPr>
          <w:lang w:val="fr-CA"/>
        </w:rPr>
      </w:pPr>
      <w:r>
        <w:rPr>
          <w:lang w:val="fr-CA"/>
        </w:rPr>
        <w:tab/>
      </w:r>
      <w:r w:rsidR="004D7D95" w:rsidRPr="00264B7C">
        <w:rPr>
          <w:lang w:val="fr-CA"/>
        </w:rPr>
        <w:t xml:space="preserve">POURVOI contre un arrêt de la </w:t>
      </w:r>
      <w:r w:rsidR="00264B7C" w:rsidRPr="00264B7C">
        <w:rPr>
          <w:lang w:val="fr-CA"/>
        </w:rPr>
        <w:t>Cour d</w:t>
      </w:r>
      <w:r w:rsidR="00E34DC7">
        <w:rPr>
          <w:lang w:val="fr-CA"/>
        </w:rPr>
        <w:t>’</w:t>
      </w:r>
      <w:r w:rsidR="004D7D95" w:rsidRPr="00264B7C">
        <w:rPr>
          <w:lang w:val="fr-CA"/>
        </w:rPr>
        <w:t>appel de l</w:t>
      </w:r>
      <w:r w:rsidR="00E34DC7">
        <w:rPr>
          <w:lang w:val="fr-CA"/>
        </w:rPr>
        <w:t>’</w:t>
      </w:r>
      <w:r w:rsidR="004D7D95" w:rsidRPr="00264B7C">
        <w:rPr>
          <w:lang w:val="fr-CA"/>
        </w:rPr>
        <w:t>Alberta (</w:t>
      </w:r>
      <w:r w:rsidR="00264B7C" w:rsidRPr="00264B7C">
        <w:rPr>
          <w:lang w:val="fr-CA"/>
        </w:rPr>
        <w:t>la juge en chef Fraser et les juges O</w:t>
      </w:r>
      <w:r w:rsidR="00E34DC7">
        <w:rPr>
          <w:lang w:val="fr-CA"/>
        </w:rPr>
        <w:t>’</w:t>
      </w:r>
      <w:r w:rsidR="00264B7C" w:rsidRPr="00264B7C">
        <w:rPr>
          <w:lang w:val="fr-CA"/>
        </w:rPr>
        <w:t xml:space="preserve">Brien et McDonald), 2013 ABCA 15, 75 Alta. L.R. (5th) 386, 542 A.R. 100, 566 W.A.C. 100, 275 C.R.R. (2d) 266, 100 C.R. (6th) 175, 295 C.C.C. (3d) 508, [2013] 5 W.W.R. 423, [2013] A.J. No. 20 (QL), 2013 </w:t>
      </w:r>
      <w:proofErr w:type="spellStart"/>
      <w:r w:rsidR="00264B7C" w:rsidRPr="00264B7C">
        <w:rPr>
          <w:lang w:val="fr-CA"/>
        </w:rPr>
        <w:t>CarswellAlta</w:t>
      </w:r>
      <w:proofErr w:type="spellEnd"/>
      <w:r w:rsidR="00264B7C" w:rsidRPr="00264B7C">
        <w:rPr>
          <w:lang w:val="fr-CA"/>
        </w:rPr>
        <w:t xml:space="preserve"> 78, </w:t>
      </w:r>
      <w:r w:rsidR="00264B7C" w:rsidRPr="005863CC">
        <w:rPr>
          <w:lang w:val="fr-CA"/>
        </w:rPr>
        <w:t>qui a confirmé la déclaration de culpabilit</w:t>
      </w:r>
      <w:r w:rsidR="00264B7C" w:rsidRPr="00546365">
        <w:rPr>
          <w:lang w:val="fr-CA"/>
        </w:rPr>
        <w:t xml:space="preserve">é </w:t>
      </w:r>
      <w:r w:rsidR="000A238F" w:rsidRPr="00546365">
        <w:rPr>
          <w:lang w:val="fr-CA"/>
        </w:rPr>
        <w:t>prononcée par la juge Crighton contre</w:t>
      </w:r>
      <w:r w:rsidR="000A238F" w:rsidRPr="005863CC">
        <w:rPr>
          <w:lang w:val="fr-CA"/>
        </w:rPr>
        <w:t xml:space="preserve"> </w:t>
      </w:r>
      <w:r w:rsidR="00264B7C" w:rsidRPr="005863CC">
        <w:rPr>
          <w:lang w:val="fr-CA"/>
        </w:rPr>
        <w:t>l</w:t>
      </w:r>
      <w:r w:rsidR="00E34DC7" w:rsidRPr="005863CC">
        <w:rPr>
          <w:lang w:val="fr-CA"/>
        </w:rPr>
        <w:t>’</w:t>
      </w:r>
      <w:r w:rsidR="00264B7C" w:rsidRPr="005863CC">
        <w:rPr>
          <w:lang w:val="fr-CA"/>
        </w:rPr>
        <w:t xml:space="preserve">accusé </w:t>
      </w:r>
      <w:r w:rsidR="00DC7BAD" w:rsidRPr="005863CC">
        <w:rPr>
          <w:lang w:val="fr-CA"/>
        </w:rPr>
        <w:t xml:space="preserve">pour possession </w:t>
      </w:r>
      <w:r w:rsidR="007F6EED" w:rsidRPr="005863CC">
        <w:rPr>
          <w:lang w:val="fr-CA"/>
        </w:rPr>
        <w:t>d</w:t>
      </w:r>
      <w:r w:rsidR="00E34DC7" w:rsidRPr="005863CC">
        <w:rPr>
          <w:lang w:val="fr-CA"/>
        </w:rPr>
        <w:t>’</w:t>
      </w:r>
      <w:r w:rsidR="007F6EED" w:rsidRPr="005863CC">
        <w:rPr>
          <w:lang w:val="fr-CA"/>
        </w:rPr>
        <w:t xml:space="preserve">une arme à feu dans un dessein dangereux pour la paix </w:t>
      </w:r>
      <w:r w:rsidR="007F6EED" w:rsidRPr="005863CC">
        <w:rPr>
          <w:lang w:val="fr-CA"/>
        </w:rPr>
        <w:lastRenderedPageBreak/>
        <w:t>publique</w:t>
      </w:r>
      <w:r w:rsidR="00BB6FAD" w:rsidRPr="005863CC">
        <w:rPr>
          <w:lang w:val="fr-CA"/>
        </w:rPr>
        <w:t xml:space="preserve">, voies de fait contre un agent de la paix et </w:t>
      </w:r>
      <w:r w:rsidR="00EE33A2" w:rsidRPr="005863CC">
        <w:rPr>
          <w:lang w:val="fr-CA"/>
        </w:rPr>
        <w:t>agression armée</w:t>
      </w:r>
      <w:r w:rsidR="00EE33A2">
        <w:rPr>
          <w:lang w:val="fr-CA"/>
        </w:rPr>
        <w:t>.  Pourvoi accueilli.</w:t>
      </w:r>
    </w:p>
    <w:p w:rsidR="00264B7C" w:rsidRPr="00456E03" w:rsidRDefault="00264B7C" w:rsidP="00264B7C">
      <w:pPr>
        <w:pStyle w:val="SCCNormalDoubleSpacing"/>
        <w:rPr>
          <w:lang w:val="fr-CA"/>
        </w:rPr>
      </w:pPr>
    </w:p>
    <w:p w:rsidR="00C962D4" w:rsidRPr="006C79AB" w:rsidRDefault="00B40F5F">
      <w:pPr>
        <w:pStyle w:val="SCCNormalDoubleSpacing"/>
        <w:rPr>
          <w:lang w:val="fr-CA"/>
        </w:rPr>
      </w:pPr>
      <w:r w:rsidRPr="00456E03">
        <w:rPr>
          <w:rStyle w:val="SCCCounselNameChar"/>
          <w:lang w:val="fr-CA"/>
        </w:rPr>
        <w:tab/>
      </w:r>
      <w:r w:rsidRPr="006C79AB">
        <w:rPr>
          <w:rStyle w:val="SCCCounselNameChar"/>
          <w:lang w:val="fr-CA"/>
        </w:rPr>
        <w:t>Peter J. Royal</w:t>
      </w:r>
      <w:r w:rsidRPr="000D30F1">
        <w:rPr>
          <w:rStyle w:val="SCCCounselNameChar"/>
          <w:i w:val="0"/>
          <w:lang w:val="fr-CA"/>
        </w:rPr>
        <w:t xml:space="preserve">, </w:t>
      </w:r>
      <w:proofErr w:type="gramStart"/>
      <w:r w:rsidR="000D30F1">
        <w:rPr>
          <w:rStyle w:val="SCCCounselNameChar"/>
          <w:lang w:val="fr-CA"/>
        </w:rPr>
        <w:t>c.r</w:t>
      </w:r>
      <w:r w:rsidRPr="006C79AB">
        <w:rPr>
          <w:rStyle w:val="SCCCounselNameChar"/>
          <w:lang w:val="fr-CA"/>
        </w:rPr>
        <w:t>.</w:t>
      </w:r>
      <w:r w:rsidR="000D30F1">
        <w:rPr>
          <w:rStyle w:val="SCCCounselNameChar"/>
          <w:i w:val="0"/>
          <w:lang w:val="fr-CA"/>
        </w:rPr>
        <w:t>,</w:t>
      </w:r>
      <w:proofErr w:type="gramEnd"/>
      <w:r w:rsidRPr="006C79AB">
        <w:rPr>
          <w:rStyle w:val="SCCCounselSeparatorChar"/>
          <w:lang w:val="fr-CA"/>
        </w:rPr>
        <w:t xml:space="preserve"> et </w:t>
      </w:r>
      <w:r w:rsidRPr="006C79AB">
        <w:rPr>
          <w:rStyle w:val="SCCCounselNameChar"/>
          <w:lang w:val="fr-CA"/>
        </w:rPr>
        <w:t xml:space="preserve">Kathryn A. </w:t>
      </w:r>
      <w:proofErr w:type="spellStart"/>
      <w:r w:rsidRPr="006C79AB">
        <w:rPr>
          <w:rStyle w:val="SCCCounselNameChar"/>
          <w:lang w:val="fr-CA"/>
        </w:rPr>
        <w:t>Quinlan</w:t>
      </w:r>
      <w:proofErr w:type="spellEnd"/>
      <w:r w:rsidRPr="006C79AB">
        <w:rPr>
          <w:rStyle w:val="SCCCounselPartyRoleChar"/>
          <w:lang w:val="fr-CA"/>
        </w:rPr>
        <w:t>, pour l</w:t>
      </w:r>
      <w:r w:rsidR="00E34DC7">
        <w:rPr>
          <w:rStyle w:val="SCCCounselPartyRoleChar"/>
          <w:lang w:val="fr-CA"/>
        </w:rPr>
        <w:t>’</w:t>
      </w:r>
      <w:r w:rsidRPr="006C79AB">
        <w:rPr>
          <w:rStyle w:val="SCCCounselPartyRoleChar"/>
          <w:lang w:val="fr-CA"/>
        </w:rPr>
        <w:t>appelant.</w:t>
      </w:r>
    </w:p>
    <w:p w:rsidR="00C962D4" w:rsidRPr="006C79AB" w:rsidRDefault="00C962D4" w:rsidP="00A0419E">
      <w:pPr>
        <w:pStyle w:val="SCCNormalDoubleSpacing"/>
        <w:rPr>
          <w:lang w:val="fr-CA"/>
        </w:rPr>
      </w:pPr>
    </w:p>
    <w:p w:rsidR="00C962D4" w:rsidRPr="006C79AB" w:rsidRDefault="00B40F5F" w:rsidP="00A0419E">
      <w:pPr>
        <w:pStyle w:val="SCCNormalDoubleSpacing"/>
        <w:rPr>
          <w:lang w:val="fr-CA"/>
        </w:rPr>
      </w:pPr>
      <w:r w:rsidRPr="006C79AB">
        <w:rPr>
          <w:rStyle w:val="SCCCounselNameChar"/>
          <w:lang w:val="fr-CA"/>
        </w:rPr>
        <w:tab/>
        <w:t>Troy</w:t>
      </w:r>
      <w:r w:rsidR="003C6283">
        <w:rPr>
          <w:rStyle w:val="SCCCounselNameChar"/>
          <w:lang w:val="fr-CA"/>
        </w:rPr>
        <w:t xml:space="preserve"> L.</w:t>
      </w:r>
      <w:r w:rsidRPr="006C79AB">
        <w:rPr>
          <w:rStyle w:val="SCCCounselNameChar"/>
          <w:lang w:val="fr-CA"/>
        </w:rPr>
        <w:t xml:space="preserve"> Couillard</w:t>
      </w:r>
      <w:r w:rsidRPr="006C79AB">
        <w:rPr>
          <w:rStyle w:val="SCCCounselPartyRoleChar"/>
          <w:lang w:val="fr-CA"/>
        </w:rPr>
        <w:t>, pour l</w:t>
      </w:r>
      <w:r w:rsidR="00E34DC7">
        <w:rPr>
          <w:rStyle w:val="SCCCounselPartyRoleChar"/>
          <w:lang w:val="fr-CA"/>
        </w:rPr>
        <w:t>’</w:t>
      </w:r>
      <w:r w:rsidRPr="006C79AB">
        <w:rPr>
          <w:rStyle w:val="SCCCounselPartyRoleChar"/>
          <w:lang w:val="fr-CA"/>
        </w:rPr>
        <w:t>intimée.</w:t>
      </w:r>
    </w:p>
    <w:p w:rsidR="00C962D4" w:rsidRDefault="00C962D4" w:rsidP="00A0419E">
      <w:pPr>
        <w:spacing w:line="480" w:lineRule="auto"/>
        <w:rPr>
          <w:lang w:val="fr-CA"/>
        </w:rPr>
      </w:pPr>
    </w:p>
    <w:p w:rsidR="00A0419E" w:rsidRDefault="00A0419E" w:rsidP="00A0419E">
      <w:pPr>
        <w:tabs>
          <w:tab w:val="left" w:pos="1170"/>
        </w:tabs>
        <w:spacing w:line="480" w:lineRule="auto"/>
        <w:rPr>
          <w:lang w:val="fr-CA"/>
        </w:rPr>
      </w:pPr>
      <w:r>
        <w:rPr>
          <w:lang w:val="fr-CA"/>
        </w:rPr>
        <w:tab/>
      </w:r>
      <w:r w:rsidRPr="00A0419E">
        <w:rPr>
          <w:lang w:val="fr-CA"/>
        </w:rPr>
        <w:t xml:space="preserve">Version française du jugement </w:t>
      </w:r>
      <w:r w:rsidR="003C6283">
        <w:rPr>
          <w:lang w:val="fr-CA"/>
        </w:rPr>
        <w:t xml:space="preserve">de la Cour </w:t>
      </w:r>
      <w:r w:rsidRPr="00A0419E">
        <w:rPr>
          <w:lang w:val="fr-CA"/>
        </w:rPr>
        <w:t>rendu oralement par</w:t>
      </w:r>
    </w:p>
    <w:p w:rsidR="00A0419E" w:rsidRPr="00A0419E" w:rsidRDefault="00A0419E" w:rsidP="00A0419E">
      <w:pPr>
        <w:spacing w:line="480" w:lineRule="auto"/>
        <w:jc w:val="both"/>
        <w:rPr>
          <w:lang w:val="fr-CA"/>
        </w:rPr>
      </w:pPr>
    </w:p>
    <w:p w:rsidR="00A0419E" w:rsidRDefault="00A0419E" w:rsidP="00A0419E">
      <w:pPr>
        <w:tabs>
          <w:tab w:val="left" w:pos="1170"/>
          <w:tab w:val="left" w:pos="1260"/>
        </w:tabs>
        <w:spacing w:line="480" w:lineRule="auto"/>
        <w:jc w:val="both"/>
        <w:rPr>
          <w:lang w:val="fr-CA"/>
        </w:rPr>
      </w:pPr>
      <w:r w:rsidRPr="00A0419E">
        <w:rPr>
          <w:lang w:val="fr-CA"/>
        </w:rPr>
        <w:t>[1]</w:t>
      </w:r>
      <w:r>
        <w:rPr>
          <w:lang w:val="fr-CA"/>
        </w:rPr>
        <w:tab/>
      </w:r>
      <w:r w:rsidRPr="00F60DBE">
        <w:rPr>
          <w:smallCaps/>
          <w:lang w:val="fr-CA"/>
        </w:rPr>
        <w:t>L</w:t>
      </w:r>
      <w:r w:rsidR="00F60DBE" w:rsidRPr="00F60DBE">
        <w:rPr>
          <w:smallCaps/>
          <w:lang w:val="fr-CA"/>
        </w:rPr>
        <w:t>e</w:t>
      </w:r>
      <w:r w:rsidR="00F60DBE">
        <w:rPr>
          <w:smallCaps/>
          <w:lang w:val="fr-CA"/>
        </w:rPr>
        <w:t xml:space="preserve"> juge LeBel</w:t>
      </w:r>
      <w:r w:rsidRPr="00A0419E">
        <w:rPr>
          <w:lang w:val="fr-CA"/>
        </w:rPr>
        <w:t xml:space="preserve"> — Le ministère public reconnaît, et nous convenons avec la Cour d</w:t>
      </w:r>
      <w:r w:rsidR="00E34DC7">
        <w:rPr>
          <w:lang w:val="fr-CA"/>
        </w:rPr>
        <w:t>’</w:t>
      </w:r>
      <w:r w:rsidRPr="00A0419E">
        <w:rPr>
          <w:lang w:val="fr-CA"/>
        </w:rPr>
        <w:t>appel de l</w:t>
      </w:r>
      <w:r w:rsidR="00E34DC7">
        <w:rPr>
          <w:lang w:val="fr-CA"/>
        </w:rPr>
        <w:t>’</w:t>
      </w:r>
      <w:r w:rsidRPr="00A0419E">
        <w:rPr>
          <w:lang w:val="fr-CA"/>
        </w:rPr>
        <w:t>Alberta, que la juge du procès a commis une erreur dans l</w:t>
      </w:r>
      <w:r w:rsidR="00E34DC7">
        <w:rPr>
          <w:lang w:val="fr-CA"/>
        </w:rPr>
        <w:t>’</w:t>
      </w:r>
      <w:r w:rsidRPr="00A0419E">
        <w:rPr>
          <w:lang w:val="fr-CA"/>
        </w:rPr>
        <w:t>attribution du fardeau de la preuve.  Nous partageons cependant l</w:t>
      </w:r>
      <w:r w:rsidR="00E34DC7">
        <w:rPr>
          <w:lang w:val="fr-CA"/>
        </w:rPr>
        <w:t>’</w:t>
      </w:r>
      <w:r w:rsidRPr="00A0419E">
        <w:rPr>
          <w:lang w:val="fr-CA"/>
        </w:rPr>
        <w:t>avis de la juge en chef Fraser, dissidente, selon lequel l</w:t>
      </w:r>
      <w:r w:rsidR="00E34DC7">
        <w:rPr>
          <w:lang w:val="fr-CA"/>
        </w:rPr>
        <w:t>’</w:t>
      </w:r>
      <w:r w:rsidRPr="00A0419E">
        <w:rPr>
          <w:lang w:val="fr-CA"/>
        </w:rPr>
        <w:t>erreur a pu jouer dans l</w:t>
      </w:r>
      <w:r w:rsidR="00E34DC7">
        <w:rPr>
          <w:lang w:val="fr-CA"/>
        </w:rPr>
        <w:t>’</w:t>
      </w:r>
      <w:r w:rsidRPr="00A0419E">
        <w:rPr>
          <w:lang w:val="fr-CA"/>
        </w:rPr>
        <w:t>appréciation de la preuve quant à savoir si un agent de police avait eu recours ou non à une force excessive.  Dans les circonstances de l</w:t>
      </w:r>
      <w:r w:rsidR="00E34DC7">
        <w:rPr>
          <w:lang w:val="fr-CA"/>
        </w:rPr>
        <w:t>’</w:t>
      </w:r>
      <w:r w:rsidRPr="00A0419E">
        <w:rPr>
          <w:lang w:val="fr-CA"/>
        </w:rPr>
        <w:t>espèce, la disposition correspondant au sous</w:t>
      </w:r>
      <w:r w:rsidR="00342A3F">
        <w:rPr>
          <w:lang w:val="fr-CA"/>
        </w:rPr>
        <w:t>-</w:t>
      </w:r>
      <w:r w:rsidRPr="00A0419E">
        <w:rPr>
          <w:lang w:val="fr-CA"/>
        </w:rPr>
        <w:t>al. 686(1)</w:t>
      </w:r>
      <w:r w:rsidRPr="00A0419E">
        <w:rPr>
          <w:i/>
          <w:lang w:val="fr-CA"/>
        </w:rPr>
        <w:t>b</w:t>
      </w:r>
      <w:proofErr w:type="gramStart"/>
      <w:r w:rsidRPr="00A0419E">
        <w:rPr>
          <w:lang w:val="fr-CA"/>
        </w:rPr>
        <w:t>)(</w:t>
      </w:r>
      <w:proofErr w:type="gramEnd"/>
      <w:r w:rsidRPr="00A0419E">
        <w:rPr>
          <w:lang w:val="fr-CA"/>
        </w:rPr>
        <w:t xml:space="preserve">iii) du </w:t>
      </w:r>
      <w:r w:rsidRPr="00A0419E">
        <w:rPr>
          <w:i/>
          <w:lang w:val="fr-CA"/>
        </w:rPr>
        <w:t>Code criminel</w:t>
      </w:r>
      <w:r w:rsidRPr="00A0419E">
        <w:rPr>
          <w:lang w:val="fr-CA"/>
        </w:rPr>
        <w:t>, L.R.C. 1985, c</w:t>
      </w:r>
      <w:r w:rsidR="00342A3F">
        <w:rPr>
          <w:lang w:val="fr-CA"/>
        </w:rPr>
        <w:t>h</w:t>
      </w:r>
      <w:r w:rsidRPr="00A0419E">
        <w:rPr>
          <w:lang w:val="fr-CA"/>
        </w:rPr>
        <w:t>. C-46, ne pouvait s</w:t>
      </w:r>
      <w:r w:rsidR="00E34DC7">
        <w:rPr>
          <w:lang w:val="fr-CA"/>
        </w:rPr>
        <w:t>’</w:t>
      </w:r>
      <w:r w:rsidRPr="00A0419E">
        <w:rPr>
          <w:lang w:val="fr-CA"/>
        </w:rPr>
        <w:t>appliquer.  Le pourvoi est donc accueilli, et la déclaration de culpabilité de l</w:t>
      </w:r>
      <w:r w:rsidR="00E34DC7">
        <w:rPr>
          <w:lang w:val="fr-CA"/>
        </w:rPr>
        <w:t>’</w:t>
      </w:r>
      <w:r w:rsidRPr="00A0419E">
        <w:rPr>
          <w:lang w:val="fr-CA"/>
        </w:rPr>
        <w:t>appelant est annulée.  Comme les parties l</w:t>
      </w:r>
      <w:r w:rsidR="00E34DC7">
        <w:rPr>
          <w:lang w:val="fr-CA"/>
        </w:rPr>
        <w:t>’</w:t>
      </w:r>
      <w:r w:rsidRPr="00A0419E">
        <w:rPr>
          <w:lang w:val="fr-CA"/>
        </w:rPr>
        <w:t>ont demandé advenant pareil dénouement, un nouveau procès est ordonné pour les mêmes accusations.</w:t>
      </w:r>
    </w:p>
    <w:p w:rsidR="00A0419E" w:rsidRPr="006C79AB" w:rsidRDefault="00A0419E" w:rsidP="00A0419E">
      <w:pPr>
        <w:spacing w:line="480" w:lineRule="auto"/>
        <w:rPr>
          <w:lang w:val="fr-CA"/>
        </w:rPr>
      </w:pPr>
    </w:p>
    <w:p w:rsidR="004D7D95" w:rsidRDefault="004D7D95" w:rsidP="004D7D95">
      <w:pPr>
        <w:pStyle w:val="SCCNormalDoubleSpacing"/>
        <w:rPr>
          <w:lang w:val="fr-CA"/>
        </w:rPr>
      </w:pPr>
      <w:r w:rsidRPr="000D30F1">
        <w:rPr>
          <w:lang w:val="fr-CA"/>
        </w:rPr>
        <w:tab/>
      </w:r>
      <w:r w:rsidR="00E34DC7">
        <w:rPr>
          <w:i/>
          <w:lang w:val="fr-CA"/>
        </w:rPr>
        <w:t>Jugement en conséquence</w:t>
      </w:r>
      <w:r w:rsidR="00A0419E">
        <w:rPr>
          <w:i/>
          <w:lang w:val="fr-CA"/>
        </w:rPr>
        <w:t>.</w:t>
      </w:r>
      <w:r w:rsidR="00A0419E" w:rsidRPr="006C79AB">
        <w:rPr>
          <w:lang w:val="fr-CA"/>
        </w:rPr>
        <w:t xml:space="preserve"> </w:t>
      </w:r>
    </w:p>
    <w:p w:rsidR="00A0419E" w:rsidRPr="006C79AB" w:rsidRDefault="00A0419E" w:rsidP="004D7D95">
      <w:pPr>
        <w:pStyle w:val="SCCNormalDoubleSpacing"/>
        <w:rPr>
          <w:lang w:val="fr-CA"/>
        </w:rPr>
      </w:pPr>
    </w:p>
    <w:p w:rsidR="00A0419E" w:rsidRPr="006C79AB" w:rsidRDefault="00A0419E" w:rsidP="00A0419E">
      <w:pPr>
        <w:pStyle w:val="SCCLawFirm"/>
        <w:rPr>
          <w:lang w:val="fr-CA"/>
        </w:rPr>
      </w:pPr>
      <w:r w:rsidRPr="006C79AB">
        <w:rPr>
          <w:lang w:val="fr-CA"/>
        </w:rPr>
        <w:tab/>
        <w:t>Procureurs de l</w:t>
      </w:r>
      <w:r w:rsidR="00E34DC7">
        <w:rPr>
          <w:lang w:val="fr-CA"/>
        </w:rPr>
        <w:t>’</w:t>
      </w:r>
      <w:r w:rsidRPr="006C79AB">
        <w:rPr>
          <w:lang w:val="fr-CA"/>
        </w:rPr>
        <w:t>appelan</w:t>
      </w:r>
      <w:r>
        <w:rPr>
          <w:lang w:val="fr-CA"/>
        </w:rPr>
        <w:t>t</w:t>
      </w:r>
      <w:r w:rsidRPr="006C79AB">
        <w:rPr>
          <w:lang w:val="fr-CA"/>
        </w:rPr>
        <w:t xml:space="preserve"> : Royal </w:t>
      </w:r>
      <w:proofErr w:type="spellStart"/>
      <w:r w:rsidRPr="006C79AB">
        <w:rPr>
          <w:lang w:val="fr-CA"/>
        </w:rPr>
        <w:t>Teskey</w:t>
      </w:r>
      <w:proofErr w:type="spellEnd"/>
      <w:r w:rsidRPr="006C79AB">
        <w:rPr>
          <w:lang w:val="fr-CA"/>
        </w:rPr>
        <w:t>, Edmonton.</w:t>
      </w:r>
    </w:p>
    <w:p w:rsidR="00A0419E" w:rsidRPr="006C79AB" w:rsidRDefault="00A0419E" w:rsidP="00A0419E">
      <w:pPr>
        <w:pStyle w:val="SCCLawFirm"/>
        <w:rPr>
          <w:lang w:val="fr-CA"/>
        </w:rPr>
      </w:pPr>
    </w:p>
    <w:p w:rsidR="00A0419E" w:rsidRPr="000D30F1" w:rsidRDefault="00A0419E" w:rsidP="00A0419E">
      <w:pPr>
        <w:pStyle w:val="SCCLawFirm"/>
        <w:rPr>
          <w:lang w:val="fr-CA"/>
        </w:rPr>
      </w:pPr>
      <w:r w:rsidRPr="006C79AB">
        <w:rPr>
          <w:lang w:val="fr-CA"/>
        </w:rPr>
        <w:lastRenderedPageBreak/>
        <w:tab/>
      </w:r>
      <w:r w:rsidRPr="000D30F1">
        <w:rPr>
          <w:lang w:val="fr-CA"/>
        </w:rPr>
        <w:t>Procureur de l</w:t>
      </w:r>
      <w:r w:rsidR="00E34DC7">
        <w:rPr>
          <w:lang w:val="fr-CA"/>
        </w:rPr>
        <w:t>’</w:t>
      </w:r>
      <w:r w:rsidRPr="000D30F1">
        <w:rPr>
          <w:lang w:val="fr-CA"/>
        </w:rPr>
        <w:t>intimée : Procureur général de l</w:t>
      </w:r>
      <w:r w:rsidR="00E34DC7">
        <w:rPr>
          <w:lang w:val="fr-CA"/>
        </w:rPr>
        <w:t>’</w:t>
      </w:r>
      <w:r w:rsidRPr="000D30F1">
        <w:rPr>
          <w:lang w:val="fr-CA"/>
        </w:rPr>
        <w:t>Alberta, Edmonton.</w:t>
      </w:r>
    </w:p>
    <w:sectPr w:rsidR="00A0419E" w:rsidRPr="000D30F1" w:rsidSect="000648CC">
      <w:headerReference w:type="default" r:id="rId8"/>
      <w:pgSz w:w="12240" w:h="15840"/>
      <w:pgMar w:top="1267" w:right="2160" w:bottom="720" w:left="1800" w:header="1802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694" w:rsidRDefault="002A5694">
      <w:r>
        <w:separator/>
      </w:r>
    </w:p>
  </w:endnote>
  <w:endnote w:type="continuationSeparator" w:id="0">
    <w:p w:rsidR="002A5694" w:rsidRDefault="002A5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694" w:rsidRDefault="002A5694">
      <w:r>
        <w:separator/>
      </w:r>
    </w:p>
  </w:footnote>
  <w:footnote w:type="continuationSeparator" w:id="0">
    <w:p w:rsidR="002A5694" w:rsidRDefault="002A56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694" w:rsidRPr="00450352" w:rsidRDefault="002A5694" w:rsidP="0045035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bordersDoNotSurroundHeader/>
  <w:bordersDoNotSurroundFooter/>
  <w:proofState w:spelling="clean" w:grammar="clean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/>
  <w:rsids>
    <w:rsidRoot w:val="0031414C"/>
    <w:rsid w:val="00000A47"/>
    <w:rsid w:val="00000ED4"/>
    <w:rsid w:val="00023FC7"/>
    <w:rsid w:val="00025198"/>
    <w:rsid w:val="000578A3"/>
    <w:rsid w:val="000648CC"/>
    <w:rsid w:val="000A238F"/>
    <w:rsid w:val="000C59B8"/>
    <w:rsid w:val="000C6AF0"/>
    <w:rsid w:val="000D0A77"/>
    <w:rsid w:val="000D30F1"/>
    <w:rsid w:val="000F7993"/>
    <w:rsid w:val="00104F33"/>
    <w:rsid w:val="00111DE2"/>
    <w:rsid w:val="00116B38"/>
    <w:rsid w:val="00135406"/>
    <w:rsid w:val="00135972"/>
    <w:rsid w:val="001426A9"/>
    <w:rsid w:val="00154D7C"/>
    <w:rsid w:val="001570B0"/>
    <w:rsid w:val="0015752C"/>
    <w:rsid w:val="00157737"/>
    <w:rsid w:val="00165277"/>
    <w:rsid w:val="00170592"/>
    <w:rsid w:val="001720F7"/>
    <w:rsid w:val="00195D83"/>
    <w:rsid w:val="001A00C1"/>
    <w:rsid w:val="001B33E0"/>
    <w:rsid w:val="001B4573"/>
    <w:rsid w:val="001C779F"/>
    <w:rsid w:val="001D2AC1"/>
    <w:rsid w:val="001D4E88"/>
    <w:rsid w:val="00220FC2"/>
    <w:rsid w:val="002222F4"/>
    <w:rsid w:val="00224FC0"/>
    <w:rsid w:val="00225EA4"/>
    <w:rsid w:val="00226EAF"/>
    <w:rsid w:val="00231F3A"/>
    <w:rsid w:val="002406EE"/>
    <w:rsid w:val="00243EC8"/>
    <w:rsid w:val="00246213"/>
    <w:rsid w:val="00246F6C"/>
    <w:rsid w:val="00264B7C"/>
    <w:rsid w:val="00270D93"/>
    <w:rsid w:val="002745CC"/>
    <w:rsid w:val="002A5694"/>
    <w:rsid w:val="002B6FBE"/>
    <w:rsid w:val="002B7924"/>
    <w:rsid w:val="002C10A6"/>
    <w:rsid w:val="002D28C3"/>
    <w:rsid w:val="002D39A4"/>
    <w:rsid w:val="002E6705"/>
    <w:rsid w:val="0030329A"/>
    <w:rsid w:val="0031086F"/>
    <w:rsid w:val="0031414C"/>
    <w:rsid w:val="00314E01"/>
    <w:rsid w:val="0032089D"/>
    <w:rsid w:val="003310DE"/>
    <w:rsid w:val="003323B0"/>
    <w:rsid w:val="00340A49"/>
    <w:rsid w:val="00342A3F"/>
    <w:rsid w:val="0035169A"/>
    <w:rsid w:val="0035259D"/>
    <w:rsid w:val="00364B18"/>
    <w:rsid w:val="0038204B"/>
    <w:rsid w:val="003A125D"/>
    <w:rsid w:val="003A4C70"/>
    <w:rsid w:val="003B215F"/>
    <w:rsid w:val="003C6283"/>
    <w:rsid w:val="003C799C"/>
    <w:rsid w:val="003D0399"/>
    <w:rsid w:val="003E1C71"/>
    <w:rsid w:val="003E6176"/>
    <w:rsid w:val="003F327B"/>
    <w:rsid w:val="00406166"/>
    <w:rsid w:val="0040704B"/>
    <w:rsid w:val="00410A55"/>
    <w:rsid w:val="00411300"/>
    <w:rsid w:val="00413F17"/>
    <w:rsid w:val="00415417"/>
    <w:rsid w:val="00426659"/>
    <w:rsid w:val="00450352"/>
    <w:rsid w:val="00454BDB"/>
    <w:rsid w:val="00456E03"/>
    <w:rsid w:val="00465132"/>
    <w:rsid w:val="00480C90"/>
    <w:rsid w:val="0048396F"/>
    <w:rsid w:val="00493C18"/>
    <w:rsid w:val="004A600C"/>
    <w:rsid w:val="004A6118"/>
    <w:rsid w:val="004C478D"/>
    <w:rsid w:val="004D7D95"/>
    <w:rsid w:val="004E2C26"/>
    <w:rsid w:val="005125A8"/>
    <w:rsid w:val="00517549"/>
    <w:rsid w:val="00520ABC"/>
    <w:rsid w:val="00521AE8"/>
    <w:rsid w:val="00527180"/>
    <w:rsid w:val="00546365"/>
    <w:rsid w:val="00555291"/>
    <w:rsid w:val="00562F58"/>
    <w:rsid w:val="00566AD1"/>
    <w:rsid w:val="00583EDE"/>
    <w:rsid w:val="005863CC"/>
    <w:rsid w:val="005A3236"/>
    <w:rsid w:val="005A5751"/>
    <w:rsid w:val="005A6079"/>
    <w:rsid w:val="005E4698"/>
    <w:rsid w:val="005F752F"/>
    <w:rsid w:val="00603924"/>
    <w:rsid w:val="00610539"/>
    <w:rsid w:val="00613969"/>
    <w:rsid w:val="00625C35"/>
    <w:rsid w:val="00647E49"/>
    <w:rsid w:val="00656313"/>
    <w:rsid w:val="006565F4"/>
    <w:rsid w:val="00684EEA"/>
    <w:rsid w:val="0069689B"/>
    <w:rsid w:val="006B5FF5"/>
    <w:rsid w:val="006C79AB"/>
    <w:rsid w:val="006F30AF"/>
    <w:rsid w:val="00701759"/>
    <w:rsid w:val="00705C15"/>
    <w:rsid w:val="007110F6"/>
    <w:rsid w:val="007208D1"/>
    <w:rsid w:val="00744518"/>
    <w:rsid w:val="00747288"/>
    <w:rsid w:val="00747DD3"/>
    <w:rsid w:val="007549C8"/>
    <w:rsid w:val="00766D14"/>
    <w:rsid w:val="00767A0F"/>
    <w:rsid w:val="00791272"/>
    <w:rsid w:val="007A05F6"/>
    <w:rsid w:val="007B6F4A"/>
    <w:rsid w:val="007E1C47"/>
    <w:rsid w:val="007E337A"/>
    <w:rsid w:val="007E5C70"/>
    <w:rsid w:val="007F2FF5"/>
    <w:rsid w:val="007F3F08"/>
    <w:rsid w:val="007F6EED"/>
    <w:rsid w:val="00804CC6"/>
    <w:rsid w:val="00817190"/>
    <w:rsid w:val="008260E2"/>
    <w:rsid w:val="008322BD"/>
    <w:rsid w:val="00834F73"/>
    <w:rsid w:val="00864C8A"/>
    <w:rsid w:val="00864CF8"/>
    <w:rsid w:val="00874914"/>
    <w:rsid w:val="00891422"/>
    <w:rsid w:val="00892E1A"/>
    <w:rsid w:val="008B660A"/>
    <w:rsid w:val="008C01DA"/>
    <w:rsid w:val="008F2674"/>
    <w:rsid w:val="008F78E9"/>
    <w:rsid w:val="009179F9"/>
    <w:rsid w:val="00917C7A"/>
    <w:rsid w:val="00931010"/>
    <w:rsid w:val="00933E5E"/>
    <w:rsid w:val="00935218"/>
    <w:rsid w:val="00937C52"/>
    <w:rsid w:val="009403F3"/>
    <w:rsid w:val="009555B7"/>
    <w:rsid w:val="009567AA"/>
    <w:rsid w:val="009602C9"/>
    <w:rsid w:val="00967374"/>
    <w:rsid w:val="009A343A"/>
    <w:rsid w:val="009B2F23"/>
    <w:rsid w:val="009B57B3"/>
    <w:rsid w:val="009D2920"/>
    <w:rsid w:val="009D5AEB"/>
    <w:rsid w:val="009E20E0"/>
    <w:rsid w:val="009F0E33"/>
    <w:rsid w:val="00A0419E"/>
    <w:rsid w:val="00A149DF"/>
    <w:rsid w:val="00A1755C"/>
    <w:rsid w:val="00A21B90"/>
    <w:rsid w:val="00A22AAC"/>
    <w:rsid w:val="00A41805"/>
    <w:rsid w:val="00A46C21"/>
    <w:rsid w:val="00A51882"/>
    <w:rsid w:val="00A52AFB"/>
    <w:rsid w:val="00A548CB"/>
    <w:rsid w:val="00A5521C"/>
    <w:rsid w:val="00A643E7"/>
    <w:rsid w:val="00A73C38"/>
    <w:rsid w:val="00AB670D"/>
    <w:rsid w:val="00AD6D82"/>
    <w:rsid w:val="00AF03C5"/>
    <w:rsid w:val="00B000D8"/>
    <w:rsid w:val="00B00F75"/>
    <w:rsid w:val="00B05F80"/>
    <w:rsid w:val="00B145B6"/>
    <w:rsid w:val="00B279EB"/>
    <w:rsid w:val="00B40F5F"/>
    <w:rsid w:val="00B47FC8"/>
    <w:rsid w:val="00B50C81"/>
    <w:rsid w:val="00B526E0"/>
    <w:rsid w:val="00B557F8"/>
    <w:rsid w:val="00B815FC"/>
    <w:rsid w:val="00B93FBC"/>
    <w:rsid w:val="00BA7DA0"/>
    <w:rsid w:val="00BB2EE4"/>
    <w:rsid w:val="00BB4C92"/>
    <w:rsid w:val="00BB6FAD"/>
    <w:rsid w:val="00BC2108"/>
    <w:rsid w:val="00BD0E9E"/>
    <w:rsid w:val="00BD1BEC"/>
    <w:rsid w:val="00BD32FF"/>
    <w:rsid w:val="00BF6FE9"/>
    <w:rsid w:val="00C02092"/>
    <w:rsid w:val="00C24D91"/>
    <w:rsid w:val="00C26DB2"/>
    <w:rsid w:val="00C53F14"/>
    <w:rsid w:val="00C600CF"/>
    <w:rsid w:val="00C6084F"/>
    <w:rsid w:val="00C62A66"/>
    <w:rsid w:val="00C66359"/>
    <w:rsid w:val="00C71458"/>
    <w:rsid w:val="00C77613"/>
    <w:rsid w:val="00C828E7"/>
    <w:rsid w:val="00C86719"/>
    <w:rsid w:val="00C921DD"/>
    <w:rsid w:val="00C962D4"/>
    <w:rsid w:val="00CA6391"/>
    <w:rsid w:val="00CE036E"/>
    <w:rsid w:val="00CE3171"/>
    <w:rsid w:val="00CF1601"/>
    <w:rsid w:val="00D0172F"/>
    <w:rsid w:val="00D01E33"/>
    <w:rsid w:val="00D068A7"/>
    <w:rsid w:val="00D17476"/>
    <w:rsid w:val="00D32086"/>
    <w:rsid w:val="00D37A3F"/>
    <w:rsid w:val="00D37FE3"/>
    <w:rsid w:val="00D4431D"/>
    <w:rsid w:val="00D4667A"/>
    <w:rsid w:val="00D63A1C"/>
    <w:rsid w:val="00D7516F"/>
    <w:rsid w:val="00D775EE"/>
    <w:rsid w:val="00D95F8E"/>
    <w:rsid w:val="00DA0590"/>
    <w:rsid w:val="00DC1739"/>
    <w:rsid w:val="00DC1788"/>
    <w:rsid w:val="00DC7BAD"/>
    <w:rsid w:val="00DE319C"/>
    <w:rsid w:val="00DF0CA8"/>
    <w:rsid w:val="00DF2B48"/>
    <w:rsid w:val="00DF49A7"/>
    <w:rsid w:val="00E07EE2"/>
    <w:rsid w:val="00E07FD1"/>
    <w:rsid w:val="00E24573"/>
    <w:rsid w:val="00E25E1E"/>
    <w:rsid w:val="00E27EE7"/>
    <w:rsid w:val="00E34DC7"/>
    <w:rsid w:val="00E35404"/>
    <w:rsid w:val="00E45109"/>
    <w:rsid w:val="00E460AB"/>
    <w:rsid w:val="00E4739E"/>
    <w:rsid w:val="00E47B7A"/>
    <w:rsid w:val="00E56A44"/>
    <w:rsid w:val="00E60269"/>
    <w:rsid w:val="00E97830"/>
    <w:rsid w:val="00EE0830"/>
    <w:rsid w:val="00EE33A2"/>
    <w:rsid w:val="00EE6CB8"/>
    <w:rsid w:val="00EF0683"/>
    <w:rsid w:val="00F0070C"/>
    <w:rsid w:val="00F00EB7"/>
    <w:rsid w:val="00F110B1"/>
    <w:rsid w:val="00F36AB6"/>
    <w:rsid w:val="00F37A09"/>
    <w:rsid w:val="00F409CE"/>
    <w:rsid w:val="00F4379D"/>
    <w:rsid w:val="00F50D2D"/>
    <w:rsid w:val="00F56C8B"/>
    <w:rsid w:val="00F60DBE"/>
    <w:rsid w:val="00F62639"/>
    <w:rsid w:val="00F66810"/>
    <w:rsid w:val="00F84DF4"/>
    <w:rsid w:val="00F85C97"/>
    <w:rsid w:val="00FB37D2"/>
    <w:rsid w:val="00FC4EFB"/>
    <w:rsid w:val="00FD068D"/>
    <w:rsid w:val="00FD4F28"/>
    <w:rsid w:val="00FE6784"/>
    <w:rsid w:val="00FE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F8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25D"/>
    <w:pPr>
      <w:keepNext/>
      <w:keepLines/>
      <w:spacing w:after="7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85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85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"/>
    <w:aliases w:val=" 2, 3, A"/>
    <w:basedOn w:val="Normal"/>
    <w:uiPriority w:val="1"/>
    <w:rsid w:val="00493C18"/>
    <w:pPr>
      <w:widowControl w:val="0"/>
    </w:pPr>
  </w:style>
  <w:style w:type="paragraph" w:customStyle="1" w:styleId="SCCNormalDoubleSpacing">
    <w:name w:val="SCC.Normal.DoubleSpacing"/>
    <w:basedOn w:val="Normal"/>
    <w:link w:val="SCCNormalDoubleSpacingChar"/>
    <w:rsid w:val="00104F33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104F33"/>
    <w:rPr>
      <w:sz w:val="24"/>
    </w:rPr>
  </w:style>
  <w:style w:type="character" w:styleId="Strong">
    <w:name w:val="Strong"/>
    <w:basedOn w:val="DefaultParagraphFont"/>
    <w:uiPriority w:val="22"/>
    <w:qFormat/>
    <w:rsid w:val="00C53F1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548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48CB"/>
    <w:rPr>
      <w:i/>
      <w:iCs/>
      <w:color w:val="000000" w:themeColor="text1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E3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7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9B8"/>
    <w:rPr>
      <w:sz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C5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59B8"/>
    <w:rPr>
      <w:sz w:val="24"/>
      <w:lang w:val="en-US"/>
    </w:rPr>
  </w:style>
  <w:style w:type="paragraph" w:customStyle="1" w:styleId="SCCLsocParty">
    <w:name w:val="SCC.Lsoc.Party"/>
    <w:basedOn w:val="Normal"/>
    <w:next w:val="Normal"/>
    <w:link w:val="SCCLsocPartyChar"/>
    <w:rsid w:val="005A6079"/>
    <w:pPr>
      <w:tabs>
        <w:tab w:val="right" w:pos="8222"/>
      </w:tabs>
      <w:jc w:val="both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5A6079"/>
    <w:rPr>
      <w:b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1A00C1"/>
    <w:pPr>
      <w:spacing w:after="720"/>
    </w:pPr>
    <w:rPr>
      <w:i/>
    </w:rPr>
  </w:style>
  <w:style w:type="character" w:customStyle="1" w:styleId="SCCLsocVersusChar">
    <w:name w:val="SCC.Lsoc.Versus Char"/>
    <w:basedOn w:val="DefaultParagraphFont"/>
    <w:link w:val="SCCLsocVersus"/>
    <w:rsid w:val="001A00C1"/>
    <w:rPr>
      <w:i/>
      <w:sz w:val="24"/>
    </w:rPr>
  </w:style>
  <w:style w:type="character" w:customStyle="1" w:styleId="SCCLsocPartyRole">
    <w:name w:val="SCC.Lsoc.PartyRole"/>
    <w:basedOn w:val="SCCLsocLastPartyInRoleChar"/>
    <w:uiPriority w:val="1"/>
    <w:rsid w:val="00B279EB"/>
    <w:rPr>
      <w:i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1A00C1"/>
    <w:pPr>
      <w:spacing w:after="720"/>
    </w:pPr>
  </w:style>
  <w:style w:type="character" w:customStyle="1" w:styleId="SCCLsocSubfileSeparatorChar">
    <w:name w:val="SCC.Lsoc.SubfileSeparator Char"/>
    <w:basedOn w:val="DefaultParagraphFont"/>
    <w:link w:val="SCCLsocSubfileSeparator"/>
    <w:rsid w:val="001A00C1"/>
    <w:rPr>
      <w:sz w:val="24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3323B0"/>
    <w:pPr>
      <w:spacing w:after="720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3323B0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1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CBanSummary">
    <w:name w:val="SCC.BanSummary"/>
    <w:basedOn w:val="Normal"/>
    <w:next w:val="Normal"/>
    <w:rsid w:val="00111DE2"/>
    <w:pPr>
      <w:jc w:val="right"/>
    </w:pPr>
    <w:rPr>
      <w:b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701759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701759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701759"/>
    <w:rPr>
      <w:smallCaps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701759"/>
    <w:rPr>
      <w:smallCaps/>
      <w:sz w:val="24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C02092"/>
    <w:rPr>
      <w:b/>
    </w:rPr>
  </w:style>
  <w:style w:type="character" w:customStyle="1" w:styleId="SCCAppellantForIndexChar">
    <w:name w:val="SCC.AppellantForIndex Char"/>
    <w:basedOn w:val="DefaultParagraphFont"/>
    <w:link w:val="SCCAppellantForIndex"/>
    <w:rsid w:val="00C02092"/>
    <w:rPr>
      <w:b/>
      <w:sz w:val="24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C02092"/>
    <w:rPr>
      <w:b/>
    </w:rPr>
  </w:style>
  <w:style w:type="character" w:customStyle="1" w:styleId="SCCRespondentForIndexChar">
    <w:name w:val="SCC.RespondentForIndex Char"/>
    <w:basedOn w:val="DefaultParagraphFont"/>
    <w:link w:val="SCCRespondentForIndex"/>
    <w:rsid w:val="00C02092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111DE2"/>
    <w:rPr>
      <w:b/>
    </w:rPr>
  </w:style>
  <w:style w:type="character" w:customStyle="1" w:styleId="SCCSystemYearChar">
    <w:name w:val="SCC.SystemYear Char"/>
    <w:basedOn w:val="DefaultParagraphFont"/>
    <w:link w:val="SCCSystemYear"/>
    <w:rsid w:val="00111DE2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111DE2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3F327B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3F327B"/>
    <w:rPr>
      <w:i/>
    </w:rPr>
  </w:style>
  <w:style w:type="paragraph" w:customStyle="1" w:styleId="SCCItalic">
    <w:name w:val="SCC.Italic"/>
    <w:basedOn w:val="SCCNormalDoubleSpacing"/>
    <w:next w:val="SCCNormalDoubleSpacing"/>
    <w:rsid w:val="00DF0CA8"/>
    <w:rPr>
      <w:i/>
    </w:rPr>
  </w:style>
  <w:style w:type="paragraph" w:customStyle="1" w:styleId="SCCAppellantForCitation">
    <w:name w:val="SCC.AppellantForCitation"/>
    <w:basedOn w:val="Normal"/>
    <w:next w:val="Normal"/>
    <w:link w:val="SCCAppellantForCitationChar"/>
    <w:rsid w:val="00E45109"/>
    <w:rPr>
      <w:i/>
    </w:rPr>
  </w:style>
  <w:style w:type="character" w:customStyle="1" w:styleId="SCCAppellantForCitationChar">
    <w:name w:val="SCC.AppellantForCitation Char"/>
    <w:basedOn w:val="DefaultParagraphFont"/>
    <w:link w:val="SCCAppellantForCitation"/>
    <w:rsid w:val="00E45109"/>
    <w:rPr>
      <w:i/>
      <w:sz w:val="24"/>
    </w:rPr>
  </w:style>
  <w:style w:type="paragraph" w:customStyle="1" w:styleId="SCCRespondentForCitation">
    <w:name w:val="SCC.RespondentForCitation"/>
    <w:basedOn w:val="Normal"/>
    <w:next w:val="Normal"/>
    <w:link w:val="SCCRespondentForCitationChar"/>
    <w:rsid w:val="00E45109"/>
    <w:rPr>
      <w:i/>
    </w:rPr>
  </w:style>
  <w:style w:type="character" w:customStyle="1" w:styleId="SCCRespondentForCitationChar">
    <w:name w:val="SCC.RespondentForCitation Char"/>
    <w:basedOn w:val="DefaultParagraphFont"/>
    <w:link w:val="SCCRespondentForCitation"/>
    <w:rsid w:val="00E45109"/>
    <w:rPr>
      <w:i/>
      <w:sz w:val="24"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874914"/>
  </w:style>
  <w:style w:type="character" w:customStyle="1" w:styleId="SCCCounselSeparatorChar">
    <w:name w:val="SCC.CounselSeparator Char"/>
    <w:basedOn w:val="SCCNormalDoubleSpacingChar"/>
    <w:link w:val="SCCCounselSeparator"/>
    <w:rsid w:val="00874914"/>
  </w:style>
  <w:style w:type="paragraph" w:customStyle="1" w:styleId="SCCPartyRole">
    <w:name w:val="SCC.PartyRole"/>
    <w:basedOn w:val="SCCNormalDoubleSpacing"/>
    <w:next w:val="SCCNormalDoubleSpacing"/>
    <w:link w:val="SCCPartyRoleChar"/>
    <w:rsid w:val="00874914"/>
  </w:style>
  <w:style w:type="character" w:customStyle="1" w:styleId="SCCPartyRoleChar">
    <w:name w:val="SCC.PartyRole Char"/>
    <w:basedOn w:val="SCCNormalDoubleSpacingChar"/>
    <w:link w:val="SCCPartyRole"/>
    <w:rsid w:val="00874914"/>
  </w:style>
  <w:style w:type="paragraph" w:customStyle="1" w:styleId="SCCLawFirm">
    <w:name w:val="SCC.LawFirm"/>
    <w:basedOn w:val="SCCNormalDoubleSpacing"/>
    <w:next w:val="SCCNormalDoubleSpacing"/>
    <w:link w:val="SCCLawFirmChar"/>
    <w:rsid w:val="00364B18"/>
    <w:rPr>
      <w:i/>
    </w:rPr>
  </w:style>
  <w:style w:type="character" w:customStyle="1" w:styleId="SCCLawFirmChar">
    <w:name w:val="SCC.LawFirm Char"/>
    <w:basedOn w:val="SCCNormalDoubleSpacingChar"/>
    <w:link w:val="SCCLawFirm"/>
    <w:rsid w:val="00364B18"/>
    <w:rPr>
      <w:i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D4431D"/>
  </w:style>
  <w:style w:type="character" w:customStyle="1" w:styleId="SCCCounselPartyRoleChar">
    <w:name w:val="SCC.CounselPartyRole Char"/>
    <w:basedOn w:val="SCCNormalDoubleSpacingChar"/>
    <w:link w:val="SCCCounselPartyRole"/>
    <w:rsid w:val="00D4431D"/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FE7A8B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SCCLsocPartyChar"/>
    <w:link w:val="SCCLsocLastPartyInRole"/>
    <w:rsid w:val="00FE7A8B"/>
    <w:rPr>
      <w:b/>
    </w:rPr>
  </w:style>
  <w:style w:type="table" w:styleId="TableGrid">
    <w:name w:val="Table Grid"/>
    <w:basedOn w:val="TableNormal"/>
    <w:uiPriority w:val="59"/>
    <w:rsid w:val="003E6176"/>
    <w:rPr>
      <w:rFonts w:eastAsiaTheme="minorHAnsi" w:cstheme="minorBidi"/>
      <w:sz w:val="24"/>
      <w:szCs w:val="24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463</Words>
  <Characters>2447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2014-06-24T18:36:00Z</dcterms:created>
  <dcterms:modified xsi:type="dcterms:W3CDTF">2014-06-24T18:36:00Z</dcterms:modified>
</cp:coreProperties>
</file>