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8" w:rsidRPr="00706CC8" w:rsidRDefault="00706CC8" w:rsidP="00706CC8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706CC8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.5pt;height:64.5pt" o:ole="">
            <v:imagedata r:id="rId6" o:title=""/>
          </v:shape>
          <o:OLEObject Type="Embed" ProgID="Presentations.Drawing.13" ShapeID="_x0000_i1031" DrawAspect="Content" ObjectID="_1465127847" r:id="rId7"/>
        </w:object>
      </w:r>
    </w:p>
    <w:p w:rsidR="00706CC8" w:rsidRPr="00706CC8" w:rsidRDefault="00706CC8" w:rsidP="00706CC8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706CC8" w:rsidRPr="00706CC8" w:rsidRDefault="00706CC8" w:rsidP="00706CC8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706CC8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706CC8" w:rsidRPr="00706CC8" w:rsidTr="00B77101">
        <w:trPr>
          <w:cantSplit/>
        </w:trPr>
        <w:tc>
          <w:tcPr>
            <w:tcW w:w="6768" w:type="dxa"/>
          </w:tcPr>
          <w:p w:rsidR="00706CC8" w:rsidRPr="00706CC8" w:rsidRDefault="00706CC8" w:rsidP="00706CC8">
            <w:pPr>
              <w:rPr>
                <w:lang w:val="fr-CA"/>
              </w:rPr>
            </w:pPr>
            <w:r w:rsidRPr="00706CC8">
              <w:rPr>
                <w:b/>
                <w:smallCaps/>
                <w:lang w:val="fr-CA"/>
              </w:rPr>
              <w:t>Référence :</w:t>
            </w:r>
            <w:r w:rsidRPr="00706CC8">
              <w:rPr>
                <w:lang w:val="fr-CA"/>
              </w:rPr>
              <w:t xml:space="preserve"> R. </w:t>
            </w:r>
            <w:r w:rsidRPr="00706CC8">
              <w:rPr>
                <w:i/>
                <w:lang w:val="fr-CA"/>
              </w:rPr>
              <w:t>c.</w:t>
            </w:r>
            <w:r w:rsidRPr="00706CC8">
              <w:rPr>
                <w:lang w:val="fr-CA"/>
              </w:rPr>
              <w:t xml:space="preserve"> James, 2014 CSC 5, [2014] 1 R.C.S. 80</w:t>
            </w:r>
          </w:p>
        </w:tc>
        <w:tc>
          <w:tcPr>
            <w:tcW w:w="2808" w:type="dxa"/>
          </w:tcPr>
          <w:p w:rsidR="00706CC8" w:rsidRPr="00706CC8" w:rsidRDefault="00706CC8" w:rsidP="00706CC8">
            <w:pPr>
              <w:rPr>
                <w:lang w:val="fr-CA"/>
              </w:rPr>
            </w:pPr>
            <w:r w:rsidRPr="00706CC8">
              <w:rPr>
                <w:b/>
                <w:smallCaps/>
                <w:lang w:val="fr-CA"/>
              </w:rPr>
              <w:t>Date :</w:t>
            </w:r>
            <w:r w:rsidRPr="00706CC8">
              <w:rPr>
                <w:lang w:val="fr-CA"/>
              </w:rPr>
              <w:t xml:space="preserve"> 20140117</w:t>
            </w:r>
          </w:p>
          <w:p w:rsidR="00706CC8" w:rsidRPr="00706CC8" w:rsidRDefault="00706CC8" w:rsidP="00706CC8">
            <w:pPr>
              <w:rPr>
                <w:lang w:val="fr-CA"/>
              </w:rPr>
            </w:pPr>
            <w:r w:rsidRPr="00706CC8">
              <w:rPr>
                <w:b/>
                <w:smallCaps/>
                <w:lang w:val="fr-CA"/>
              </w:rPr>
              <w:t>Dossier :</w:t>
            </w:r>
            <w:r w:rsidRPr="00706CC8">
              <w:rPr>
                <w:lang w:val="fr-CA"/>
              </w:rPr>
              <w:t xml:space="preserve"> 35373</w:t>
            </w:r>
          </w:p>
        </w:tc>
      </w:tr>
    </w:tbl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p w:rsidR="00706CC8" w:rsidRPr="00706CC8" w:rsidRDefault="00706CC8" w:rsidP="00706CC8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706CC8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706CC8" w:rsidRPr="00706CC8" w:rsidRDefault="00706CC8" w:rsidP="00706CC8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706CC8">
        <w:rPr>
          <w:rFonts w:eastAsiaTheme="minorHAnsi" w:cstheme="minorBidi"/>
          <w:b/>
          <w:szCs w:val="24"/>
          <w:lang w:val="fr-CA" w:eastAsia="en-US"/>
        </w:rPr>
        <w:t>Garry Howard James</w:t>
      </w:r>
    </w:p>
    <w:p w:rsidR="00706CC8" w:rsidRPr="00706CC8" w:rsidRDefault="00706CC8" w:rsidP="00706CC8">
      <w:pPr>
        <w:jc w:val="center"/>
        <w:rPr>
          <w:rFonts w:eastAsiaTheme="minorHAnsi" w:cstheme="minorBidi"/>
          <w:szCs w:val="24"/>
          <w:lang w:val="fr-CA" w:eastAsia="en-US"/>
        </w:rPr>
      </w:pPr>
      <w:r w:rsidRPr="00706CC8">
        <w:rPr>
          <w:rFonts w:eastAsiaTheme="minorHAnsi" w:cstheme="minorBidi"/>
          <w:szCs w:val="24"/>
          <w:lang w:val="fr-CA" w:eastAsia="en-US"/>
        </w:rPr>
        <w:t>Appelant</w:t>
      </w:r>
    </w:p>
    <w:p w:rsidR="00706CC8" w:rsidRPr="00706CC8" w:rsidRDefault="00706CC8" w:rsidP="00706CC8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706CC8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706CC8" w:rsidRPr="00706CC8" w:rsidRDefault="00706CC8" w:rsidP="00706CC8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706CC8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706CC8" w:rsidRPr="00706CC8" w:rsidRDefault="00706CC8" w:rsidP="00706CC8">
      <w:pPr>
        <w:jc w:val="center"/>
        <w:rPr>
          <w:rFonts w:eastAsiaTheme="minorHAnsi" w:cstheme="minorBidi"/>
          <w:szCs w:val="24"/>
          <w:lang w:val="fr-CA" w:eastAsia="en-US"/>
        </w:rPr>
      </w:pPr>
      <w:r w:rsidRPr="00706CC8">
        <w:rPr>
          <w:rFonts w:eastAsiaTheme="minorHAnsi" w:cstheme="minorBidi"/>
          <w:szCs w:val="24"/>
          <w:lang w:val="fr-CA" w:eastAsia="en-US"/>
        </w:rPr>
        <w:t>Intimée</w:t>
      </w: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p w:rsidR="00706CC8" w:rsidRPr="00706CC8" w:rsidRDefault="00706CC8" w:rsidP="00706CC8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706CC8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  <w:r w:rsidRPr="00706CC8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706CC8">
        <w:rPr>
          <w:rFonts w:eastAsiaTheme="minorHAnsi" w:cstheme="minorBidi"/>
          <w:szCs w:val="24"/>
          <w:lang w:val="fr-CA" w:eastAsia="en-US"/>
        </w:rPr>
        <w:t xml:space="preserve"> Les juges LeBel, </w:t>
      </w:r>
      <w:proofErr w:type="spellStart"/>
      <w:r w:rsidRPr="00706CC8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706CC8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706CC8">
        <w:rPr>
          <w:rFonts w:eastAsiaTheme="minorHAnsi" w:cstheme="minorBidi"/>
          <w:szCs w:val="24"/>
          <w:lang w:val="fr-CA" w:eastAsia="en-US"/>
        </w:rPr>
        <w:t>Moldaver</w:t>
      </w:r>
      <w:proofErr w:type="spellEnd"/>
      <w:r w:rsidRPr="00706CC8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706CC8">
        <w:rPr>
          <w:rFonts w:eastAsiaTheme="minorHAnsi" w:cstheme="minorBidi"/>
          <w:szCs w:val="24"/>
          <w:lang w:val="fr-CA" w:eastAsia="en-US"/>
        </w:rPr>
        <w:t>Karakatsanis</w:t>
      </w:r>
      <w:proofErr w:type="spellEnd"/>
      <w:r w:rsidRPr="00706CC8">
        <w:rPr>
          <w:rFonts w:eastAsiaTheme="minorHAnsi" w:cstheme="minorBidi"/>
          <w:szCs w:val="24"/>
          <w:lang w:val="fr-CA" w:eastAsia="en-US"/>
        </w:rPr>
        <w:t xml:space="preserve"> et Wagner</w:t>
      </w: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706CC8" w:rsidRPr="00706CC8" w:rsidTr="00B77101">
        <w:trPr>
          <w:cantSplit/>
        </w:trPr>
        <w:tc>
          <w:tcPr>
            <w:tcW w:w="3618" w:type="dxa"/>
          </w:tcPr>
          <w:p w:rsidR="00706CC8" w:rsidRPr="00706CC8" w:rsidRDefault="00706CC8" w:rsidP="00706CC8">
            <w:pPr>
              <w:rPr>
                <w:b/>
                <w:smallCaps/>
                <w:lang w:val="fr-CA"/>
              </w:rPr>
            </w:pPr>
            <w:r w:rsidRPr="00706CC8">
              <w:rPr>
                <w:b/>
                <w:smallCaps/>
                <w:lang w:val="fr-CA"/>
              </w:rPr>
              <w:t>Motifs de jugement :</w:t>
            </w:r>
          </w:p>
          <w:p w:rsidR="00706CC8" w:rsidRPr="00706CC8" w:rsidRDefault="00706CC8" w:rsidP="00706CC8">
            <w:pPr>
              <w:rPr>
                <w:lang w:val="fr-CA"/>
              </w:rPr>
            </w:pPr>
            <w:r w:rsidRPr="00706CC8">
              <w:rPr>
                <w:lang w:val="fr-CA"/>
              </w:rPr>
              <w:t>(par. 1 à 6)</w:t>
            </w:r>
          </w:p>
        </w:tc>
        <w:tc>
          <w:tcPr>
            <w:tcW w:w="5958" w:type="dxa"/>
          </w:tcPr>
          <w:p w:rsidR="00706CC8" w:rsidRPr="00706CC8" w:rsidRDefault="00706CC8" w:rsidP="00706CC8">
            <w:pPr>
              <w:rPr>
                <w:lang w:val="fr-CA"/>
              </w:rPr>
            </w:pPr>
            <w:r w:rsidRPr="00706CC8">
              <w:rPr>
                <w:lang w:val="fr-CA"/>
              </w:rPr>
              <w:t xml:space="preserve">Le juge </w:t>
            </w:r>
            <w:proofErr w:type="spellStart"/>
            <w:r w:rsidRPr="00706CC8">
              <w:rPr>
                <w:lang w:val="fr-CA"/>
              </w:rPr>
              <w:t>Moldaver</w:t>
            </w:r>
            <w:proofErr w:type="spellEnd"/>
            <w:r w:rsidRPr="00706CC8">
              <w:rPr>
                <w:lang w:val="fr-CA"/>
              </w:rPr>
              <w:t xml:space="preserve"> (avec l’accord des juges LeBel, </w:t>
            </w:r>
            <w:proofErr w:type="spellStart"/>
            <w:r w:rsidRPr="00706CC8">
              <w:rPr>
                <w:lang w:val="fr-CA"/>
              </w:rPr>
              <w:t>Rothstein</w:t>
            </w:r>
            <w:proofErr w:type="spellEnd"/>
            <w:r w:rsidRPr="00706CC8">
              <w:rPr>
                <w:lang w:val="fr-CA"/>
              </w:rPr>
              <w:t xml:space="preserve">, </w:t>
            </w:r>
            <w:proofErr w:type="spellStart"/>
            <w:r w:rsidRPr="00706CC8">
              <w:rPr>
                <w:lang w:val="fr-CA"/>
              </w:rPr>
              <w:t>Karakatsanis</w:t>
            </w:r>
            <w:proofErr w:type="spellEnd"/>
            <w:r w:rsidRPr="00706CC8">
              <w:rPr>
                <w:lang w:val="fr-CA"/>
              </w:rPr>
              <w:t xml:space="preserve"> et Wagner)</w:t>
            </w:r>
          </w:p>
        </w:tc>
      </w:tr>
    </w:tbl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</w:p>
    <w:p w:rsidR="00706CC8" w:rsidRPr="00706CC8" w:rsidRDefault="00706CC8" w:rsidP="00706CC8">
      <w:pPr>
        <w:rPr>
          <w:rFonts w:eastAsiaTheme="minorHAnsi" w:cstheme="minorBidi"/>
          <w:szCs w:val="24"/>
          <w:lang w:val="fr-CA" w:eastAsia="en-US"/>
        </w:rPr>
      </w:pPr>
      <w:r w:rsidRPr="00706CC8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" o:connectortype="straight"/>
        </w:pict>
      </w:r>
    </w:p>
    <w:p w:rsidR="00706CC8" w:rsidRDefault="00706CC8" w:rsidP="00523EDA">
      <w:pPr>
        <w:pStyle w:val="SCCLsocLastPartyInRole"/>
        <w:rPr>
          <w:b w:val="0"/>
        </w:rPr>
      </w:pPr>
    </w:p>
    <w:p w:rsidR="00523EDA" w:rsidRPr="00523EDA" w:rsidRDefault="00523EDA" w:rsidP="00523EDA">
      <w:pPr>
        <w:pStyle w:val="SCCLsocLastPartyInRole"/>
        <w:rPr>
          <w:b w:val="0"/>
        </w:rPr>
      </w:pPr>
      <w:r w:rsidRPr="00523EDA">
        <w:rPr>
          <w:b w:val="0"/>
        </w:rPr>
        <w:t xml:space="preserve">R. </w:t>
      </w:r>
      <w:r>
        <w:rPr>
          <w:b w:val="0"/>
          <w:i/>
        </w:rPr>
        <w:t>c</w:t>
      </w:r>
      <w:r w:rsidRPr="00523EDA">
        <w:rPr>
          <w:b w:val="0"/>
        </w:rPr>
        <w:t xml:space="preserve">. James, 2014 </w:t>
      </w:r>
      <w:r>
        <w:rPr>
          <w:b w:val="0"/>
        </w:rPr>
        <w:t>C</w:t>
      </w:r>
      <w:r w:rsidRPr="00523EDA">
        <w:rPr>
          <w:b w:val="0"/>
        </w:rPr>
        <w:t>SC</w:t>
      </w:r>
      <w:r>
        <w:rPr>
          <w:b w:val="0"/>
        </w:rPr>
        <w:t xml:space="preserve"> </w:t>
      </w:r>
      <w:r w:rsidR="006B7F42">
        <w:rPr>
          <w:b w:val="0"/>
        </w:rPr>
        <w:t>5</w:t>
      </w:r>
      <w:r>
        <w:rPr>
          <w:b w:val="0"/>
        </w:rPr>
        <w:t>, [2014] 1 R.C.S</w:t>
      </w:r>
      <w:r w:rsidRPr="00523EDA">
        <w:rPr>
          <w:b w:val="0"/>
        </w:rPr>
        <w:t>. 80</w:t>
      </w:r>
    </w:p>
    <w:p w:rsidR="00415176" w:rsidRDefault="00E24B2A">
      <w:pPr>
        <w:pStyle w:val="SCCLsocLastPartyInRole"/>
      </w:pPr>
      <w:r>
        <w:t>Garry Howard James</w:t>
      </w:r>
      <w:r>
        <w:rPr>
          <w:rStyle w:val="SCCLsocPartyRole"/>
        </w:rPr>
        <w:tab/>
      </w:r>
      <w:proofErr w:type="spellStart"/>
      <w:r>
        <w:rPr>
          <w:rStyle w:val="SCCLsocPartyRole"/>
        </w:rPr>
        <w:t>Appelant</w:t>
      </w:r>
      <w:proofErr w:type="spellEnd"/>
    </w:p>
    <w:p w:rsidR="00415176" w:rsidRDefault="00E24B2A">
      <w:pPr>
        <w:pStyle w:val="SCCLsocVersus"/>
      </w:pPr>
      <w:proofErr w:type="gramStart"/>
      <w:r>
        <w:t>c</w:t>
      </w:r>
      <w:proofErr w:type="gramEnd"/>
      <w:r>
        <w:t>.</w:t>
      </w:r>
    </w:p>
    <w:p w:rsidR="00415176" w:rsidRDefault="00E24B2A">
      <w:pPr>
        <w:pStyle w:val="SCCLsocLastPartyInRole"/>
      </w:pPr>
      <w:proofErr w:type="gramStart"/>
      <w:r>
        <w:t>Sa</w:t>
      </w:r>
      <w:proofErr w:type="gramEnd"/>
      <w:r>
        <w:t xml:space="preserve"> </w:t>
      </w:r>
      <w:proofErr w:type="spellStart"/>
      <w:r>
        <w:t>Majesté</w:t>
      </w:r>
      <w:proofErr w:type="spellEnd"/>
      <w:r>
        <w:t xml:space="preserve"> la </w:t>
      </w:r>
      <w:proofErr w:type="spellStart"/>
      <w:r>
        <w:t>Reine</w:t>
      </w:r>
      <w:proofErr w:type="spellEnd"/>
      <w:r w:rsidR="00EA1C5E">
        <w:rPr>
          <w:rStyle w:val="SCCLsocPartyRole"/>
        </w:rPr>
        <w:tab/>
      </w:r>
      <w:proofErr w:type="spellStart"/>
      <w:r w:rsidR="00EA1C5E">
        <w:rPr>
          <w:rStyle w:val="SCCLsocPartyRole"/>
        </w:rPr>
        <w:t>Intimé</w:t>
      </w:r>
      <w:r>
        <w:rPr>
          <w:rStyle w:val="SCCLsocPartyRole"/>
        </w:rPr>
        <w:t>e</w:t>
      </w:r>
      <w:proofErr w:type="spellEnd"/>
    </w:p>
    <w:p w:rsidR="004D7D95" w:rsidRPr="000E0A84" w:rsidRDefault="004D7D95" w:rsidP="00EA1C5E">
      <w:pPr>
        <w:spacing w:after="720"/>
        <w:jc w:val="both"/>
        <w:rPr>
          <w:b/>
          <w:lang w:val="en-US"/>
        </w:rPr>
      </w:pPr>
      <w:r w:rsidRPr="00BB4C92">
        <w:rPr>
          <w:b/>
          <w:lang w:val="fr-CA"/>
        </w:rPr>
        <w:t>Répertorié : </w:t>
      </w:r>
      <w:r w:rsidR="00EA1C5E">
        <w:rPr>
          <w:b/>
          <w:lang w:val="fr-CA"/>
        </w:rPr>
        <w:t xml:space="preserve">R. </w:t>
      </w:r>
      <w:r w:rsidR="00EA1C5E" w:rsidRPr="00BB4C92">
        <w:rPr>
          <w:b/>
          <w:i/>
          <w:lang w:val="fr-CA"/>
        </w:rPr>
        <w:t>c.</w:t>
      </w:r>
      <w:r w:rsidR="00EA1C5E" w:rsidRPr="00BB4C92">
        <w:rPr>
          <w:b/>
          <w:lang w:val="fr-CA"/>
        </w:rPr>
        <w:t xml:space="preserve"> </w:t>
      </w:r>
      <w:r>
        <w:rPr>
          <w:rStyle w:val="SCCAppellantForIndexChar"/>
        </w:rPr>
        <w:t>James</w:t>
      </w:r>
    </w:p>
    <w:p w:rsidR="004D7D95" w:rsidRPr="000E0A84" w:rsidRDefault="00F62639" w:rsidP="00EA1C5E">
      <w:pPr>
        <w:pStyle w:val="SCCSystemYear"/>
        <w:spacing w:after="720"/>
        <w:jc w:val="both"/>
        <w:rPr>
          <w:lang w:val="en-US"/>
        </w:rPr>
      </w:pPr>
      <w:r>
        <w:t>2014</w:t>
      </w:r>
      <w:r w:rsidR="00EA1C5E">
        <w:rPr>
          <w:lang w:val="en-US"/>
        </w:rPr>
        <w:t> CSC 5</w:t>
      </w:r>
    </w:p>
    <w:p w:rsidR="004D7D95" w:rsidRPr="000E0A84" w:rsidRDefault="004D7D95" w:rsidP="00EA1C5E">
      <w:pPr>
        <w:spacing w:after="720"/>
        <w:jc w:val="both"/>
        <w:rPr>
          <w:lang w:val="en-US"/>
        </w:rPr>
      </w:pPr>
      <w:r w:rsidRPr="000E0A84">
        <w:rPr>
          <w:lang w:val="en-US"/>
        </w:rPr>
        <w:lastRenderedPageBreak/>
        <w:t>N</w:t>
      </w:r>
      <w:r w:rsidRPr="000E0A84">
        <w:rPr>
          <w:vertAlign w:val="superscript"/>
          <w:lang w:val="en-US"/>
        </w:rPr>
        <w:t>o</w:t>
      </w:r>
      <w:r w:rsidRPr="000E0A84">
        <w:rPr>
          <w:lang w:val="en-US"/>
        </w:rPr>
        <w:t xml:space="preserve"> du </w:t>
      </w:r>
      <w:proofErr w:type="spellStart"/>
      <w:proofErr w:type="gramStart"/>
      <w:r w:rsidRPr="000E0A84">
        <w:rPr>
          <w:lang w:val="en-US"/>
        </w:rPr>
        <w:t>greffe</w:t>
      </w:r>
      <w:proofErr w:type="spellEnd"/>
      <w:r w:rsidRPr="000E0A84">
        <w:rPr>
          <w:lang w:val="en-US"/>
        </w:rPr>
        <w:t> :</w:t>
      </w:r>
      <w:proofErr w:type="gramEnd"/>
      <w:r w:rsidRPr="000E0A84">
        <w:rPr>
          <w:lang w:val="en-US"/>
        </w:rPr>
        <w:t> </w:t>
      </w:r>
      <w:r>
        <w:t>35373</w:t>
      </w:r>
      <w:r w:rsidRPr="000E0A84">
        <w:rPr>
          <w:lang w:val="en-US"/>
        </w:rPr>
        <w:t>.</w:t>
      </w:r>
    </w:p>
    <w:p w:rsidR="004D7D95" w:rsidRPr="000E0A84" w:rsidRDefault="00F62639" w:rsidP="00EA1C5E">
      <w:pPr>
        <w:spacing w:after="720"/>
        <w:jc w:val="both"/>
        <w:rPr>
          <w:lang w:val="en-US"/>
        </w:rPr>
      </w:pPr>
      <w:proofErr w:type="gramStart"/>
      <w:r>
        <w:t>2014</w:t>
      </w:r>
      <w:r w:rsidR="00EA1C5E">
        <w:t> </w:t>
      </w:r>
      <w:r>
        <w:t>:</w:t>
      </w:r>
      <w:proofErr w:type="gramEnd"/>
      <w:r w:rsidR="00EA1C5E">
        <w:t> </w:t>
      </w:r>
      <w:r>
        <w:t>17</w:t>
      </w:r>
      <w:r w:rsidR="00EA1C5E">
        <w:t> </w:t>
      </w:r>
      <w:proofErr w:type="spellStart"/>
      <w:r>
        <w:t>janvier</w:t>
      </w:r>
      <w:proofErr w:type="spellEnd"/>
      <w:r w:rsidR="004D7D95" w:rsidRPr="000E0A84">
        <w:rPr>
          <w:lang w:val="en-US"/>
        </w:rPr>
        <w:t>.</w:t>
      </w:r>
    </w:p>
    <w:p w:rsidR="004D7D95" w:rsidRPr="000F7993" w:rsidRDefault="004D7D95" w:rsidP="00EA1C5E">
      <w:pPr>
        <w:spacing w:after="720"/>
        <w:jc w:val="both"/>
        <w:rPr>
          <w:lang w:val="en-US"/>
        </w:rPr>
      </w:pPr>
      <w:proofErr w:type="spellStart"/>
      <w:proofErr w:type="gramStart"/>
      <w:r w:rsidRPr="000F7993">
        <w:rPr>
          <w:lang w:val="en-US"/>
        </w:rPr>
        <w:t>Présents</w:t>
      </w:r>
      <w:proofErr w:type="spellEnd"/>
      <w:r w:rsidRPr="000F7993">
        <w:rPr>
          <w:lang w:val="en-US"/>
        </w:rPr>
        <w:t> :</w:t>
      </w:r>
      <w:proofErr w:type="gramEnd"/>
      <w:r w:rsidRPr="000F7993">
        <w:rPr>
          <w:lang w:val="en-US"/>
        </w:rPr>
        <w:t> </w:t>
      </w:r>
      <w:r>
        <w:t xml:space="preserve">Les </w:t>
      </w:r>
      <w:proofErr w:type="spellStart"/>
      <w:r>
        <w:t>juges</w:t>
      </w:r>
      <w:proofErr w:type="spellEnd"/>
      <w:r>
        <w:t xml:space="preserve"> LeBel, Rothstein,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 et Wagner</w:t>
      </w:r>
      <w:r w:rsidRPr="000F7993">
        <w:rPr>
          <w:lang w:val="en-US"/>
        </w:rPr>
        <w:t>.</w:t>
      </w:r>
    </w:p>
    <w:p w:rsidR="004D7D95" w:rsidRPr="00EA1C5E" w:rsidRDefault="004D7D95" w:rsidP="00EA1C5E">
      <w:pPr>
        <w:spacing w:after="720"/>
        <w:jc w:val="both"/>
        <w:rPr>
          <w:smallCaps/>
          <w:lang w:val="fr-CA"/>
        </w:rPr>
      </w:pPr>
      <w:r w:rsidRPr="00EA1C5E">
        <w:rPr>
          <w:smallCaps/>
          <w:lang w:val="fr-CA"/>
        </w:rPr>
        <w:t xml:space="preserve">en appel de la </w:t>
      </w:r>
      <w:proofErr w:type="spellStart"/>
      <w:r w:rsidRPr="00EA1C5E">
        <w:rPr>
          <w:smallCaps/>
        </w:rPr>
        <w:t>cour</w:t>
      </w:r>
      <w:proofErr w:type="spellEnd"/>
      <w:r w:rsidRPr="00EA1C5E">
        <w:rPr>
          <w:smallCaps/>
        </w:rPr>
        <w:t xml:space="preserve"> </w:t>
      </w:r>
      <w:proofErr w:type="spellStart"/>
      <w:r w:rsidRPr="00EA1C5E">
        <w:rPr>
          <w:smallCaps/>
        </w:rPr>
        <w:t>d</w:t>
      </w:r>
      <w:r w:rsidR="00EA1C5E">
        <w:rPr>
          <w:smallCaps/>
        </w:rPr>
        <w:t>’</w:t>
      </w:r>
      <w:r w:rsidRPr="00EA1C5E">
        <w:rPr>
          <w:smallCaps/>
        </w:rPr>
        <w:t>appel</w:t>
      </w:r>
      <w:proofErr w:type="spellEnd"/>
      <w:r w:rsidRPr="00EA1C5E">
        <w:rPr>
          <w:smallCaps/>
        </w:rPr>
        <w:t xml:space="preserve"> de la </w:t>
      </w:r>
      <w:proofErr w:type="spellStart"/>
      <w:r w:rsidRPr="00EA1C5E">
        <w:rPr>
          <w:smallCaps/>
        </w:rPr>
        <w:t>colombie-britannique</w:t>
      </w:r>
      <w:proofErr w:type="spellEnd"/>
    </w:p>
    <w:p w:rsidR="004D7D95" w:rsidRPr="00B37BD0" w:rsidRDefault="004D7D95" w:rsidP="00EA1C5E">
      <w:pPr>
        <w:pStyle w:val="SCCNormalDoubleSpacing"/>
        <w:spacing w:after="480"/>
        <w:rPr>
          <w:i/>
          <w:lang w:val="fr-CA"/>
        </w:rPr>
      </w:pPr>
      <w:r w:rsidRPr="00B37BD0">
        <w:rPr>
          <w:i/>
          <w:lang w:val="fr-CA"/>
        </w:rPr>
        <w:tab/>
      </w:r>
      <w:r w:rsidR="00B37BD0" w:rsidRPr="00B37BD0">
        <w:rPr>
          <w:i/>
          <w:lang w:val="fr-CA"/>
        </w:rPr>
        <w:t xml:space="preserve">Droit criminel </w:t>
      </w:r>
      <w:r w:rsidR="00F12AD2">
        <w:rPr>
          <w:i/>
          <w:lang w:val="fr-CA"/>
        </w:rPr>
        <w:t>—</w:t>
      </w:r>
      <w:r w:rsidR="00F12AD2" w:rsidRPr="00542AC8">
        <w:rPr>
          <w:i/>
          <w:lang w:val="fr-CA"/>
        </w:rPr>
        <w:t xml:space="preserve"> </w:t>
      </w:r>
      <w:r w:rsidR="00B37BD0" w:rsidRPr="00B37BD0">
        <w:rPr>
          <w:i/>
          <w:lang w:val="fr-CA"/>
        </w:rPr>
        <w:t xml:space="preserve">Infractions </w:t>
      </w:r>
      <w:r w:rsidR="00F12AD2">
        <w:rPr>
          <w:i/>
          <w:lang w:val="fr-CA"/>
        </w:rPr>
        <w:t>—</w:t>
      </w:r>
      <w:r w:rsidR="00F12AD2" w:rsidRPr="00542AC8">
        <w:rPr>
          <w:i/>
          <w:lang w:val="fr-CA"/>
        </w:rPr>
        <w:t xml:space="preserve"> </w:t>
      </w:r>
      <w:r w:rsidR="00B37BD0" w:rsidRPr="00B37BD0">
        <w:rPr>
          <w:i/>
          <w:lang w:val="fr-CA"/>
        </w:rPr>
        <w:t xml:space="preserve">Agression sexuelle </w:t>
      </w:r>
      <w:r w:rsidR="00F12AD2">
        <w:rPr>
          <w:i/>
          <w:lang w:val="fr-CA"/>
        </w:rPr>
        <w:t>—</w:t>
      </w:r>
      <w:r w:rsidR="00F12AD2" w:rsidRPr="00542AC8">
        <w:rPr>
          <w:i/>
          <w:lang w:val="fr-CA"/>
        </w:rPr>
        <w:t xml:space="preserve"> </w:t>
      </w:r>
      <w:r w:rsidR="00B37BD0" w:rsidRPr="00B37BD0">
        <w:rPr>
          <w:i/>
          <w:lang w:val="fr-CA"/>
        </w:rPr>
        <w:t xml:space="preserve">Preuve </w:t>
      </w:r>
      <w:r w:rsidR="00F12AD2">
        <w:rPr>
          <w:i/>
          <w:lang w:val="fr-CA"/>
        </w:rPr>
        <w:t>—</w:t>
      </w:r>
      <w:r w:rsidR="00F12AD2" w:rsidRPr="00542AC8">
        <w:rPr>
          <w:i/>
          <w:lang w:val="fr-CA"/>
        </w:rPr>
        <w:t xml:space="preserve"> </w:t>
      </w:r>
      <w:r w:rsidR="00B37BD0" w:rsidRPr="00B37BD0">
        <w:rPr>
          <w:i/>
          <w:lang w:val="fr-CA"/>
        </w:rPr>
        <w:t xml:space="preserve">Consentement </w:t>
      </w:r>
      <w:r w:rsidR="00F12AD2">
        <w:rPr>
          <w:i/>
          <w:lang w:val="fr-CA"/>
        </w:rPr>
        <w:t>—</w:t>
      </w:r>
      <w:r w:rsidR="00C464C6">
        <w:rPr>
          <w:i/>
          <w:lang w:val="fr-CA"/>
        </w:rPr>
        <w:t xml:space="preserve"> </w:t>
      </w:r>
      <w:r w:rsidR="00FB7222">
        <w:rPr>
          <w:i/>
          <w:lang w:val="fr-CA"/>
        </w:rPr>
        <w:t>Déclaration de l’a</w:t>
      </w:r>
      <w:r w:rsidR="00B37BD0" w:rsidRPr="00B37BD0">
        <w:rPr>
          <w:i/>
          <w:lang w:val="fr-CA"/>
        </w:rPr>
        <w:t xml:space="preserve">ccusé aux policiers </w:t>
      </w:r>
      <w:r w:rsidR="00FB7222">
        <w:rPr>
          <w:i/>
          <w:lang w:val="fr-CA"/>
        </w:rPr>
        <w:t>selon laquelle la plaignante a</w:t>
      </w:r>
      <w:r w:rsidR="00B37BD0" w:rsidRPr="00B37BD0">
        <w:rPr>
          <w:i/>
          <w:lang w:val="fr-CA"/>
        </w:rPr>
        <w:t xml:space="preserve"> consenti aux rapports sexuels </w:t>
      </w:r>
      <w:r w:rsidR="00F12AD2">
        <w:rPr>
          <w:i/>
          <w:lang w:val="fr-CA"/>
        </w:rPr>
        <w:t>—</w:t>
      </w:r>
      <w:r w:rsidR="00F12AD2" w:rsidRPr="00542AC8">
        <w:rPr>
          <w:i/>
          <w:lang w:val="fr-CA"/>
        </w:rPr>
        <w:t xml:space="preserve"> </w:t>
      </w:r>
      <w:r w:rsidR="00C464C6">
        <w:rPr>
          <w:i/>
          <w:lang w:val="fr-CA"/>
        </w:rPr>
        <w:t xml:space="preserve">Déclaration non </w:t>
      </w:r>
      <w:r w:rsidR="00FB7222">
        <w:rPr>
          <w:i/>
          <w:lang w:val="fr-CA"/>
        </w:rPr>
        <w:t>admise</w:t>
      </w:r>
      <w:r w:rsidR="00C464C6">
        <w:rPr>
          <w:i/>
          <w:lang w:val="fr-CA"/>
        </w:rPr>
        <w:t xml:space="preserve"> en preuve et accusé soutenant au procès n’avoir pratiquement aucun souvenir des faits survenus à ce moment —</w:t>
      </w:r>
      <w:r w:rsidR="00C464C6" w:rsidRPr="00542AC8">
        <w:rPr>
          <w:i/>
          <w:lang w:val="fr-CA"/>
        </w:rPr>
        <w:t xml:space="preserve"> </w:t>
      </w:r>
      <w:r w:rsidR="00B37BD0" w:rsidRPr="00B37BD0">
        <w:rPr>
          <w:i/>
          <w:lang w:val="fr-CA"/>
        </w:rPr>
        <w:t xml:space="preserve">Accusé acquitté, mais nouveau procès ordonné par la suite </w:t>
      </w:r>
      <w:r w:rsidR="00F12AD2">
        <w:rPr>
          <w:i/>
          <w:lang w:val="fr-CA"/>
        </w:rPr>
        <w:t>—</w:t>
      </w:r>
      <w:r w:rsidR="00F12AD2" w:rsidRPr="00542AC8">
        <w:rPr>
          <w:i/>
          <w:lang w:val="fr-CA"/>
        </w:rPr>
        <w:t xml:space="preserve"> </w:t>
      </w:r>
      <w:r w:rsidR="00FB7222">
        <w:rPr>
          <w:i/>
          <w:lang w:val="fr-CA"/>
        </w:rPr>
        <w:t>Dans l’examen de</w:t>
      </w:r>
      <w:r w:rsidR="00B37BD0" w:rsidRPr="00B37BD0">
        <w:rPr>
          <w:i/>
          <w:lang w:val="fr-CA"/>
        </w:rPr>
        <w:t xml:space="preserve"> la question du consentement, le juge du procès ne pouvait tenir compte de la déclaration aux policiers qui ne faisait pas partie du dossier, et </w:t>
      </w:r>
      <w:r w:rsidR="00FB7222">
        <w:rPr>
          <w:i/>
          <w:lang w:val="fr-CA"/>
        </w:rPr>
        <w:t xml:space="preserve">il </w:t>
      </w:r>
      <w:r w:rsidR="00B37BD0" w:rsidRPr="00B37BD0">
        <w:rPr>
          <w:i/>
          <w:lang w:val="fr-CA"/>
        </w:rPr>
        <w:t xml:space="preserve">devait tenir compte d’autres éléments de preuve circonstancielle. </w:t>
      </w:r>
    </w:p>
    <w:p w:rsidR="004D7D95" w:rsidRPr="004D7D95" w:rsidRDefault="00EA1C5E" w:rsidP="00EA1C5E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proofErr w:type="spellStart"/>
      <w:r w:rsidR="004D7D95">
        <w:t>Cour</w:t>
      </w:r>
      <w:proofErr w:type="spellEnd"/>
      <w:r w:rsidR="004D7D95">
        <w:t xml:space="preserve"> </w:t>
      </w:r>
      <w:proofErr w:type="spellStart"/>
      <w:r w:rsidR="004D7D95">
        <w:t>d</w:t>
      </w:r>
      <w:r>
        <w:t>’</w:t>
      </w:r>
      <w:r w:rsidR="004D7D95">
        <w:t>appel</w:t>
      </w:r>
      <w:proofErr w:type="spellEnd"/>
      <w:r w:rsidR="004D7D95">
        <w:t xml:space="preserve"> de la </w:t>
      </w:r>
      <w:proofErr w:type="spellStart"/>
      <w:r w:rsidR="004D7D95">
        <w:t>Colombie-Britannique</w:t>
      </w:r>
      <w:proofErr w:type="spellEnd"/>
      <w:r w:rsidR="004D7D95">
        <w:t xml:space="preserve"> (</w:t>
      </w:r>
      <w:r>
        <w:t xml:space="preserve">les </w:t>
      </w:r>
      <w:proofErr w:type="spellStart"/>
      <w:r>
        <w:t>juges</w:t>
      </w:r>
      <w:proofErr w:type="spellEnd"/>
      <w:r>
        <w:t xml:space="preserve"> Ryan, Smith et </w:t>
      </w:r>
      <w:proofErr w:type="spellStart"/>
      <w:r>
        <w:t>Hinkson</w:t>
      </w:r>
      <w:proofErr w:type="spellEnd"/>
      <w:r w:rsidR="004D7D95">
        <w:t>)</w:t>
      </w:r>
      <w:r>
        <w:t xml:space="preserve">, 2013 BCCA 159, 336 B.C.A.C. 207, 574 W.A.C. 207, 297 C.C.C. (3d) 106, [2013] B.C.J. No. 677 (QL), 2013 </w:t>
      </w:r>
      <w:proofErr w:type="spellStart"/>
      <w:r>
        <w:t>CarswellBC</w:t>
      </w:r>
      <w:proofErr w:type="spellEnd"/>
      <w:r>
        <w:t xml:space="preserve"> 856, </w:t>
      </w:r>
      <w:r w:rsidR="00B10782" w:rsidRPr="00B10782">
        <w:t xml:space="preserve">qui a </w:t>
      </w:r>
      <w:proofErr w:type="spellStart"/>
      <w:r w:rsidR="00B10782" w:rsidRPr="00B10782">
        <w:t>annulé</w:t>
      </w:r>
      <w:proofErr w:type="spellEnd"/>
      <w:r w:rsidR="00B10782" w:rsidRPr="00B10782">
        <w:t xml:space="preserve"> </w:t>
      </w:r>
      <w:proofErr w:type="spellStart"/>
      <w:r w:rsidR="00B10782" w:rsidRPr="00B10782">
        <w:t>l</w:t>
      </w:r>
      <w:r w:rsidR="00B10782">
        <w:t>’</w:t>
      </w:r>
      <w:r w:rsidR="00B10782" w:rsidRPr="00B10782">
        <w:t>acquittement</w:t>
      </w:r>
      <w:proofErr w:type="spellEnd"/>
      <w:r w:rsidR="00B10782" w:rsidRPr="00B10782">
        <w:t xml:space="preserve"> </w:t>
      </w:r>
      <w:proofErr w:type="spellStart"/>
      <w:r w:rsidR="00B10782" w:rsidRPr="00B10782">
        <w:t>prononcé</w:t>
      </w:r>
      <w:proofErr w:type="spellEnd"/>
      <w:r w:rsidR="00B10782" w:rsidRPr="00B10782">
        <w:t xml:space="preserve"> par l</w:t>
      </w:r>
      <w:r w:rsidR="00B37BD0">
        <w:t>e</w:t>
      </w:r>
      <w:r w:rsidR="00B10782" w:rsidRPr="00B10782">
        <w:t xml:space="preserve"> </w:t>
      </w:r>
      <w:proofErr w:type="spellStart"/>
      <w:r w:rsidR="00B10782" w:rsidRPr="00B10782">
        <w:t>juge</w:t>
      </w:r>
      <w:proofErr w:type="spellEnd"/>
      <w:r w:rsidR="00B10782" w:rsidRPr="00B10782">
        <w:t xml:space="preserve"> </w:t>
      </w:r>
      <w:proofErr w:type="spellStart"/>
      <w:r>
        <w:t>Romilly</w:t>
      </w:r>
      <w:proofErr w:type="spellEnd"/>
      <w:r>
        <w:t xml:space="preserve">, </w:t>
      </w:r>
      <w:r w:rsidR="00B37BD0">
        <w:t xml:space="preserve">2011 BCSC 612, </w:t>
      </w:r>
      <w:r>
        <w:t xml:space="preserve">86 C.R. (6th) 107, [2011] B.C.J. No. 879 (QL), 2011 </w:t>
      </w:r>
      <w:proofErr w:type="spellStart"/>
      <w:r>
        <w:t>CarswellBC</w:t>
      </w:r>
      <w:proofErr w:type="spellEnd"/>
      <w:r>
        <w:t xml:space="preserve"> 1129, </w:t>
      </w:r>
      <w:r w:rsidR="00B10782" w:rsidRPr="00B10782">
        <w:t xml:space="preserve">et </w:t>
      </w:r>
      <w:r w:rsidR="00DB6034">
        <w:t xml:space="preserve">qui a </w:t>
      </w:r>
      <w:proofErr w:type="spellStart"/>
      <w:r w:rsidR="00B10782" w:rsidRPr="00B10782">
        <w:t>ordonné</w:t>
      </w:r>
      <w:proofErr w:type="spellEnd"/>
      <w:r w:rsidR="00B10782" w:rsidRPr="00B10782">
        <w:t xml:space="preserve"> la </w:t>
      </w:r>
      <w:proofErr w:type="spellStart"/>
      <w:r w:rsidR="00B10782" w:rsidRPr="00B10782">
        <w:t>tenue</w:t>
      </w:r>
      <w:proofErr w:type="spellEnd"/>
      <w:r w:rsidR="00B10782" w:rsidRPr="00B10782">
        <w:t xml:space="preserve"> d’un nouveau </w:t>
      </w:r>
      <w:proofErr w:type="spellStart"/>
      <w:r w:rsidR="00B10782" w:rsidRPr="00B10782">
        <w:t>procès</w:t>
      </w:r>
      <w:proofErr w:type="spellEnd"/>
      <w:r>
        <w:t xml:space="preserve">.  </w:t>
      </w:r>
      <w:proofErr w:type="spellStart"/>
      <w:proofErr w:type="gramStart"/>
      <w:r>
        <w:t>Pourvoi</w:t>
      </w:r>
      <w:proofErr w:type="spellEnd"/>
      <w:r>
        <w:t xml:space="preserve"> </w:t>
      </w:r>
      <w:proofErr w:type="spellStart"/>
      <w:r>
        <w:t>rejeté</w:t>
      </w:r>
      <w:proofErr w:type="spellEnd"/>
      <w:r>
        <w:t>.</w:t>
      </w:r>
      <w:proofErr w:type="gramEnd"/>
    </w:p>
    <w:p w:rsidR="00415176" w:rsidRDefault="00E24B2A" w:rsidP="00EA1C5E">
      <w:pPr>
        <w:pStyle w:val="SCCNormalDoubleSpacing"/>
        <w:spacing w:after="480"/>
      </w:pPr>
      <w:r w:rsidRPr="00EA1C5E">
        <w:rPr>
          <w:rStyle w:val="SCCCounselNameChar"/>
          <w:i w:val="0"/>
        </w:rPr>
        <w:tab/>
      </w:r>
      <w:r>
        <w:rPr>
          <w:rStyle w:val="SCCCounselNameChar"/>
        </w:rPr>
        <w:t xml:space="preserve">Christopher </w:t>
      </w:r>
      <w:proofErr w:type="spellStart"/>
      <w:r>
        <w:rPr>
          <w:rStyle w:val="SCCCounselNameChar"/>
        </w:rPr>
        <w:t>Darnay</w:t>
      </w:r>
      <w:proofErr w:type="spellEnd"/>
      <w:r>
        <w:rPr>
          <w:rStyle w:val="SCCCounselSeparatorChar"/>
        </w:rPr>
        <w:t xml:space="preserve"> </w:t>
      </w:r>
      <w:proofErr w:type="gramStart"/>
      <w:r>
        <w:rPr>
          <w:rStyle w:val="SCCCounselSeparatorChar"/>
        </w:rPr>
        <w:t>et</w:t>
      </w:r>
      <w:proofErr w:type="gramEnd"/>
      <w:r>
        <w:rPr>
          <w:rStyle w:val="SCCCounselSeparatorChar"/>
        </w:rPr>
        <w:t xml:space="preserve"> </w:t>
      </w:r>
      <w:r>
        <w:rPr>
          <w:rStyle w:val="SCCCounselNameChar"/>
        </w:rPr>
        <w:t xml:space="preserve">Michelle </w:t>
      </w:r>
      <w:proofErr w:type="spellStart"/>
      <w:r>
        <w:rPr>
          <w:rStyle w:val="SCCCounselNameChar"/>
        </w:rPr>
        <w:t>Poulsen</w:t>
      </w:r>
      <w:proofErr w:type="spellEnd"/>
      <w:r>
        <w:rPr>
          <w:rStyle w:val="SCCCounselPartyRoleChar"/>
        </w:rPr>
        <w:t xml:space="preserve">, pour </w:t>
      </w:r>
      <w:proofErr w:type="spellStart"/>
      <w:r>
        <w:rPr>
          <w:rStyle w:val="SCCCounselPartyRoleChar"/>
        </w:rPr>
        <w:t>l</w:t>
      </w:r>
      <w:r w:rsidR="00EA1C5E">
        <w:rPr>
          <w:rStyle w:val="SCCCounselPartyRoleChar"/>
        </w:rPr>
        <w:t>’</w:t>
      </w:r>
      <w:r>
        <w:rPr>
          <w:rStyle w:val="SCCCounselPartyRoleChar"/>
        </w:rPr>
        <w:t>appelant</w:t>
      </w:r>
      <w:proofErr w:type="spellEnd"/>
      <w:r>
        <w:rPr>
          <w:rStyle w:val="SCCCounselPartyRoleChar"/>
        </w:rPr>
        <w:t>.</w:t>
      </w:r>
    </w:p>
    <w:p w:rsidR="00415176" w:rsidRDefault="00EA1C5E" w:rsidP="00EA1C5E">
      <w:pPr>
        <w:pStyle w:val="SCCNormalDoubleSpacing"/>
        <w:spacing w:after="480"/>
      </w:pPr>
      <w:r w:rsidRPr="00EA1C5E">
        <w:rPr>
          <w:rStyle w:val="SCCCounselNameChar"/>
          <w:i w:val="0"/>
        </w:rPr>
        <w:lastRenderedPageBreak/>
        <w:tab/>
      </w:r>
      <w:r>
        <w:rPr>
          <w:rStyle w:val="SCCCounselNameChar"/>
        </w:rPr>
        <w:t xml:space="preserve">Margaret A. </w:t>
      </w:r>
      <w:proofErr w:type="spellStart"/>
      <w:r w:rsidR="00E24B2A">
        <w:rPr>
          <w:rStyle w:val="SCCCounselNameChar"/>
        </w:rPr>
        <w:t>Mereigh</w:t>
      </w:r>
      <w:proofErr w:type="spellEnd"/>
      <w:r w:rsidR="00E24B2A">
        <w:rPr>
          <w:rStyle w:val="SCCCounselPartyRoleChar"/>
        </w:rPr>
        <w:t xml:space="preserve">, pour </w:t>
      </w:r>
      <w:proofErr w:type="spellStart"/>
      <w:r w:rsidR="00E24B2A">
        <w:rPr>
          <w:rStyle w:val="SCCCounselPartyRoleChar"/>
        </w:rPr>
        <w:t>l</w:t>
      </w:r>
      <w:r>
        <w:rPr>
          <w:rStyle w:val="SCCCounselPartyRoleChar"/>
        </w:rPr>
        <w:t>’</w:t>
      </w:r>
      <w:r w:rsidR="00E24B2A">
        <w:rPr>
          <w:rStyle w:val="SCCCounselPartyRoleChar"/>
        </w:rPr>
        <w:t>intimée</w:t>
      </w:r>
      <w:proofErr w:type="spellEnd"/>
      <w:r w:rsidR="00E24B2A">
        <w:rPr>
          <w:rStyle w:val="SCCCounselPartyRoleChar"/>
        </w:rPr>
        <w:t>.</w:t>
      </w:r>
    </w:p>
    <w:p w:rsidR="00EA1C5E" w:rsidRDefault="00EA1C5E" w:rsidP="00EA1C5E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5948DE" w:rsidRPr="007C1309" w:rsidRDefault="00EA1C5E" w:rsidP="005948DE">
      <w:pPr>
        <w:pStyle w:val="SCCNormalDoubleSpacing"/>
        <w:spacing w:after="480"/>
        <w:rPr>
          <w:lang w:val="fr-CA"/>
        </w:rPr>
      </w:pPr>
      <w:r>
        <w:t>[1]</w:t>
      </w:r>
      <w:r>
        <w:tab/>
      </w:r>
      <w:r w:rsidRPr="00EA1C5E">
        <w:rPr>
          <w:smallCaps/>
        </w:rPr>
        <w:t xml:space="preserve">Le </w:t>
      </w:r>
      <w:proofErr w:type="spellStart"/>
      <w:r w:rsidRPr="00EA1C5E">
        <w:rPr>
          <w:smallCaps/>
        </w:rPr>
        <w:t>juge</w:t>
      </w:r>
      <w:proofErr w:type="spellEnd"/>
      <w:r w:rsidRPr="00EA1C5E">
        <w:rPr>
          <w:smallCaps/>
        </w:rPr>
        <w:t xml:space="preserve"> </w:t>
      </w:r>
      <w:proofErr w:type="spellStart"/>
      <w:r w:rsidRPr="00EA1C5E">
        <w:rPr>
          <w:smallCaps/>
        </w:rPr>
        <w:t>Moldaver</w:t>
      </w:r>
      <w:proofErr w:type="spellEnd"/>
      <w:r>
        <w:t xml:space="preserve"> — </w:t>
      </w:r>
      <w:r w:rsidR="005948DE" w:rsidRPr="00F353E1">
        <w:rPr>
          <w:lang w:val="fr-CA"/>
        </w:rPr>
        <w:t>N</w:t>
      </w:r>
      <w:r w:rsidR="005948DE">
        <w:rPr>
          <w:lang w:val="fr-CA"/>
        </w:rPr>
        <w:t>ous sommes d’accord avec les juges majoritaires de la Cour d’appel de la Colombie-Britannique pour conclure que la tenue d’un nouveau procès s’impose en l’espèce</w:t>
      </w:r>
      <w:r w:rsidR="005948DE" w:rsidRPr="007C1309">
        <w:rPr>
          <w:lang w:val="fr-CA"/>
        </w:rPr>
        <w:t>.</w:t>
      </w:r>
    </w:p>
    <w:p w:rsidR="005948DE" w:rsidRDefault="005948DE" w:rsidP="005948DE">
      <w:pPr>
        <w:pStyle w:val="SCCNormalDoubleSpacing"/>
        <w:spacing w:after="480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  <w:t>Lorsqu’il</w:t>
      </w:r>
      <w:r w:rsidRPr="007C1309">
        <w:rPr>
          <w:lang w:val="fr-CA"/>
        </w:rPr>
        <w:t xml:space="preserve"> a examiné la question cruciale du consentement, l</w:t>
      </w:r>
      <w:r>
        <w:rPr>
          <w:lang w:val="fr-CA"/>
        </w:rPr>
        <w:t>e</w:t>
      </w:r>
      <w:r w:rsidRPr="007C1309">
        <w:rPr>
          <w:lang w:val="fr-CA"/>
        </w:rPr>
        <w:t xml:space="preserve"> juge du procès a conclu que la plaignante souffrait d’un</w:t>
      </w:r>
      <w:r>
        <w:rPr>
          <w:lang w:val="fr-CA"/>
        </w:rPr>
        <w:t>e</w:t>
      </w:r>
      <w:r w:rsidRPr="007C1309">
        <w:rPr>
          <w:lang w:val="fr-CA"/>
        </w:rPr>
        <w:t xml:space="preserve"> </w:t>
      </w:r>
      <w:r>
        <w:rPr>
          <w:lang w:val="fr-CA"/>
        </w:rPr>
        <w:t>sorte d’amnésie au moment où, prétend l’appelant, [</w:t>
      </w:r>
      <w:r w:rsidRPr="00F353E1">
        <w:rPr>
          <w:smallCaps/>
          <w:lang w:val="fr-CA"/>
        </w:rPr>
        <w:t>traduction</w:t>
      </w:r>
      <w:r w:rsidR="00E24B2A">
        <w:rPr>
          <w:lang w:val="fr-CA"/>
        </w:rPr>
        <w:t>] « </w:t>
      </w:r>
      <w:r>
        <w:rPr>
          <w:lang w:val="fr-CA"/>
        </w:rPr>
        <w:t>elle avait consenti à avoir des rapports sexuels avec lui</w:t>
      </w:r>
      <w:r w:rsidR="00E24B2A">
        <w:rPr>
          <w:lang w:val="fr-CA"/>
        </w:rPr>
        <w:t> </w:t>
      </w:r>
      <w:r>
        <w:rPr>
          <w:lang w:val="fr-CA"/>
        </w:rPr>
        <w:t>» (</w:t>
      </w:r>
      <w:r w:rsidRPr="00C4697E">
        <w:rPr>
          <w:lang w:val="fr-CA"/>
        </w:rPr>
        <w:t>2011 BCSC 612, 86 C.R. (6th) 107, par. 45).</w:t>
      </w:r>
    </w:p>
    <w:p w:rsidR="005948DE" w:rsidRDefault="005948DE" w:rsidP="005948DE">
      <w:pPr>
        <w:pStyle w:val="SCCNormalDoubleSpacing"/>
        <w:spacing w:after="480"/>
        <w:rPr>
          <w:lang w:val="fr-CA"/>
        </w:rPr>
      </w:pPr>
      <w:r>
        <w:rPr>
          <w:lang w:val="fr-CA"/>
        </w:rPr>
        <w:t>[3]</w:t>
      </w:r>
      <w:r>
        <w:rPr>
          <w:lang w:val="fr-CA"/>
        </w:rPr>
        <w:tab/>
      </w:r>
      <w:r w:rsidRPr="00862098">
        <w:rPr>
          <w:lang w:val="fr-CA"/>
        </w:rPr>
        <w:t>En toute déférence, l’appelant n’a</w:t>
      </w:r>
      <w:r>
        <w:rPr>
          <w:lang w:val="fr-CA"/>
        </w:rPr>
        <w:t xml:space="preserve"> fourni aucune preuve du consentement</w:t>
      </w:r>
      <w:r w:rsidRPr="00862098">
        <w:rPr>
          <w:lang w:val="fr-CA"/>
        </w:rPr>
        <w:t xml:space="preserve">. </w:t>
      </w:r>
      <w:r>
        <w:rPr>
          <w:lang w:val="fr-CA"/>
        </w:rPr>
        <w:t xml:space="preserve"> C’est uniquement dans sa déclaration à la police qu’il a prétendu que la plaignante avait consenti.  Mais cette</w:t>
      </w:r>
      <w:r w:rsidRPr="00862098">
        <w:rPr>
          <w:lang w:val="fr-CA"/>
        </w:rPr>
        <w:t xml:space="preserve"> déclaration n’a pas été admise en preuve et elle ne faisait </w:t>
      </w:r>
      <w:r>
        <w:rPr>
          <w:lang w:val="fr-CA"/>
        </w:rPr>
        <w:t>aucunement</w:t>
      </w:r>
      <w:r w:rsidRPr="00862098">
        <w:rPr>
          <w:lang w:val="fr-CA"/>
        </w:rPr>
        <w:t xml:space="preserve"> partie du dossier.</w:t>
      </w:r>
      <w:r>
        <w:rPr>
          <w:lang w:val="fr-CA"/>
        </w:rPr>
        <w:t xml:space="preserve"> </w:t>
      </w:r>
      <w:r w:rsidRPr="00D56FFF">
        <w:rPr>
          <w:lang w:val="fr-CA"/>
        </w:rPr>
        <w:t xml:space="preserve"> </w:t>
      </w:r>
      <w:r>
        <w:rPr>
          <w:lang w:val="fr-CA"/>
        </w:rPr>
        <w:t>Au procès, l</w:t>
      </w:r>
      <w:r w:rsidRPr="00D56FFF">
        <w:rPr>
          <w:lang w:val="fr-CA"/>
        </w:rPr>
        <w:t>’appelant a soutenu n’avoir pratiquement aucun souvenir des faits survenus ce soir-là</w:t>
      </w:r>
      <w:r>
        <w:rPr>
          <w:lang w:val="fr-CA"/>
        </w:rPr>
        <w:t>,</w:t>
      </w:r>
      <w:r w:rsidRPr="00D56FFF">
        <w:rPr>
          <w:lang w:val="fr-CA"/>
        </w:rPr>
        <w:t xml:space="preserve"> parce qu’il avait consommé de l’alcool et de la drogue.</w:t>
      </w:r>
      <w:r>
        <w:rPr>
          <w:lang w:val="fr-CA"/>
        </w:rPr>
        <w:t xml:space="preserve">  </w:t>
      </w:r>
      <w:r w:rsidRPr="00D56FFF">
        <w:rPr>
          <w:lang w:val="fr-CA"/>
        </w:rPr>
        <w:t xml:space="preserve">Il n’a pas </w:t>
      </w:r>
      <w:r>
        <w:rPr>
          <w:lang w:val="fr-CA"/>
        </w:rPr>
        <w:t xml:space="preserve">témoigné </w:t>
      </w:r>
      <w:r w:rsidRPr="00D56FFF">
        <w:rPr>
          <w:lang w:val="fr-CA"/>
        </w:rPr>
        <w:t>que la plaignante avait consenti à des rapports</w:t>
      </w:r>
      <w:r>
        <w:rPr>
          <w:lang w:val="fr-CA"/>
        </w:rPr>
        <w:t xml:space="preserve"> sexuels.</w:t>
      </w:r>
    </w:p>
    <w:p w:rsidR="005948DE" w:rsidRPr="00311CCE" w:rsidRDefault="005948DE" w:rsidP="005948DE">
      <w:pPr>
        <w:pStyle w:val="SCCNormalDoubleSpacing"/>
        <w:spacing w:after="480"/>
        <w:rPr>
          <w:lang w:val="fr-CA"/>
        </w:rPr>
      </w:pPr>
      <w:r>
        <w:rPr>
          <w:lang w:val="fr-CA"/>
        </w:rPr>
        <w:t>[4]</w:t>
      </w:r>
      <w:r>
        <w:rPr>
          <w:lang w:val="fr-CA"/>
        </w:rPr>
        <w:tab/>
      </w:r>
      <w:r w:rsidRPr="00311CCE">
        <w:rPr>
          <w:lang w:val="fr-CA"/>
        </w:rPr>
        <w:t>À notre avis, le fait que l</w:t>
      </w:r>
      <w:r>
        <w:rPr>
          <w:lang w:val="fr-CA"/>
        </w:rPr>
        <w:t>e</w:t>
      </w:r>
      <w:r w:rsidRPr="00311CCE">
        <w:rPr>
          <w:lang w:val="fr-CA"/>
        </w:rPr>
        <w:t xml:space="preserve"> juge du procès se soit appuyé sur un</w:t>
      </w:r>
      <w:r>
        <w:rPr>
          <w:lang w:val="fr-CA"/>
        </w:rPr>
        <w:t xml:space="preserve">e </w:t>
      </w:r>
      <w:r w:rsidRPr="00311CCE">
        <w:rPr>
          <w:lang w:val="fr-CA"/>
        </w:rPr>
        <w:t>preuve qui ne faisait pas partie du dossier a peut-être influencé son raisonnement sur la question du consentement,</w:t>
      </w:r>
      <w:r>
        <w:rPr>
          <w:lang w:val="fr-CA"/>
        </w:rPr>
        <w:t xml:space="preserve"> tout particulièrement lorsqu’il s’est demandé si la plaignante avait peut-être consenti aux rapports sexuels mais avait oublié l’avoir fait à cause d’un trou de mémoire, ou si, comme la plaignante l’a prétendu, elle était </w:t>
      </w:r>
      <w:r>
        <w:rPr>
          <w:lang w:val="fr-CA"/>
        </w:rPr>
        <w:lastRenderedPageBreak/>
        <w:t>inconsciente durant toute la période pertinente et n’avait jamais consenti à de tels rapports.</w:t>
      </w:r>
    </w:p>
    <w:p w:rsidR="005948DE" w:rsidRPr="005B32A4" w:rsidRDefault="005948DE" w:rsidP="005948DE">
      <w:pPr>
        <w:pStyle w:val="SCCNormalDoubleSpacing"/>
        <w:spacing w:after="480"/>
        <w:rPr>
          <w:lang w:val="fr-CA"/>
        </w:rPr>
      </w:pPr>
      <w:r>
        <w:rPr>
          <w:lang w:val="fr-CA"/>
        </w:rPr>
        <w:t>[5]</w:t>
      </w:r>
      <w:r>
        <w:rPr>
          <w:lang w:val="fr-CA"/>
        </w:rPr>
        <w:tab/>
      </w:r>
      <w:r w:rsidRPr="00D053ED">
        <w:rPr>
          <w:lang w:val="fr-CA"/>
        </w:rPr>
        <w:t>Outre cette erreur</w:t>
      </w:r>
      <w:r>
        <w:rPr>
          <w:lang w:val="fr-CA"/>
        </w:rPr>
        <w:t>, lorsqu’il a examiné</w:t>
      </w:r>
      <w:r w:rsidRPr="00D053ED">
        <w:rPr>
          <w:lang w:val="fr-CA"/>
        </w:rPr>
        <w:t xml:space="preserve"> la question du consentement, l</w:t>
      </w:r>
      <w:r>
        <w:rPr>
          <w:lang w:val="fr-CA"/>
        </w:rPr>
        <w:t xml:space="preserve">e juge du procès </w:t>
      </w:r>
      <w:r w:rsidRPr="00D053ED">
        <w:rPr>
          <w:lang w:val="fr-CA"/>
        </w:rPr>
        <w:t xml:space="preserve">a </w:t>
      </w:r>
      <w:r>
        <w:rPr>
          <w:lang w:val="fr-CA"/>
        </w:rPr>
        <w:t>omis de tenir</w:t>
      </w:r>
      <w:r w:rsidRPr="00D053ED">
        <w:rPr>
          <w:lang w:val="fr-CA"/>
        </w:rPr>
        <w:t xml:space="preserve"> compte des </w:t>
      </w:r>
      <w:r>
        <w:rPr>
          <w:lang w:val="fr-CA"/>
        </w:rPr>
        <w:t>diverses occasions</w:t>
      </w:r>
      <w:r w:rsidRPr="00D053ED">
        <w:rPr>
          <w:lang w:val="fr-CA"/>
        </w:rPr>
        <w:t xml:space="preserve"> où la plaignante </w:t>
      </w:r>
      <w:r>
        <w:rPr>
          <w:lang w:val="fr-CA"/>
        </w:rPr>
        <w:t xml:space="preserve">avait indiqué </w:t>
      </w:r>
      <w:r w:rsidRPr="00D053ED">
        <w:rPr>
          <w:lang w:val="fr-CA"/>
        </w:rPr>
        <w:t>à l’</w:t>
      </w:r>
      <w:r>
        <w:rPr>
          <w:lang w:val="fr-CA"/>
        </w:rPr>
        <w:t>appelant, tout au long de la soirée, qu’elle ne voulait pas avoir de rapports sexuels avec lui.  Le témoi</w:t>
      </w:r>
      <w:r w:rsidRPr="00393CE9">
        <w:rPr>
          <w:lang w:val="fr-CA"/>
        </w:rPr>
        <w:t xml:space="preserve">gnage </w:t>
      </w:r>
      <w:r>
        <w:rPr>
          <w:lang w:val="fr-CA"/>
        </w:rPr>
        <w:t xml:space="preserve">de la plaignante </w:t>
      </w:r>
      <w:r w:rsidRPr="00393CE9">
        <w:rPr>
          <w:lang w:val="fr-CA"/>
        </w:rPr>
        <w:t xml:space="preserve">à ce sujet a été confirmé en partie </w:t>
      </w:r>
      <w:r>
        <w:rPr>
          <w:lang w:val="fr-CA"/>
        </w:rPr>
        <w:t>par un témoin indépendant que l</w:t>
      </w:r>
      <w:r w:rsidR="00DB6034">
        <w:rPr>
          <w:lang w:val="fr-CA"/>
        </w:rPr>
        <w:t>e</w:t>
      </w:r>
      <w:r w:rsidRPr="00393CE9">
        <w:rPr>
          <w:lang w:val="fr-CA"/>
        </w:rPr>
        <w:t xml:space="preserve"> juge du procès avait trouvé crédible.</w:t>
      </w:r>
      <w:r>
        <w:rPr>
          <w:lang w:val="fr-CA"/>
        </w:rPr>
        <w:t xml:space="preserve">  </w:t>
      </w:r>
      <w:r w:rsidRPr="005B32A4">
        <w:rPr>
          <w:lang w:val="fr-CA"/>
        </w:rPr>
        <w:t>De même, l</w:t>
      </w:r>
      <w:r>
        <w:rPr>
          <w:lang w:val="fr-CA"/>
        </w:rPr>
        <w:t>e</w:t>
      </w:r>
      <w:r w:rsidRPr="005B32A4">
        <w:rPr>
          <w:lang w:val="fr-CA"/>
        </w:rPr>
        <w:t xml:space="preserve"> juge du procès n’a pas tenu compte du désarroi </w:t>
      </w:r>
      <w:r>
        <w:rPr>
          <w:lang w:val="fr-CA"/>
        </w:rPr>
        <w:t xml:space="preserve">dans lequel se trouvait </w:t>
      </w:r>
      <w:r w:rsidRPr="005B32A4">
        <w:rPr>
          <w:lang w:val="fr-CA"/>
        </w:rPr>
        <w:t>la plaignante peu après le fait</w:t>
      </w:r>
      <w:r>
        <w:rPr>
          <w:lang w:val="fr-CA"/>
        </w:rPr>
        <w:t>,</w:t>
      </w:r>
      <w:r w:rsidRPr="005B32A4">
        <w:rPr>
          <w:lang w:val="fr-CA"/>
        </w:rPr>
        <w:t xml:space="preserve"> lorsqu’elle a </w:t>
      </w:r>
      <w:r>
        <w:rPr>
          <w:lang w:val="fr-CA"/>
        </w:rPr>
        <w:t xml:space="preserve">signalé </w:t>
      </w:r>
      <w:r w:rsidRPr="005B32A4">
        <w:rPr>
          <w:lang w:val="fr-CA"/>
        </w:rPr>
        <w:t xml:space="preserve">l’agression sexuelle </w:t>
      </w:r>
      <w:r>
        <w:rPr>
          <w:lang w:val="fr-CA"/>
        </w:rPr>
        <w:t xml:space="preserve">alléguée </w:t>
      </w:r>
      <w:r w:rsidRPr="005B32A4">
        <w:rPr>
          <w:lang w:val="fr-CA"/>
        </w:rPr>
        <w:t>à la police.</w:t>
      </w:r>
    </w:p>
    <w:p w:rsidR="00415176" w:rsidRDefault="005948DE" w:rsidP="005948DE">
      <w:pPr>
        <w:pStyle w:val="SCCNormalDoubleSpacing"/>
        <w:spacing w:after="480"/>
      </w:pPr>
      <w:r>
        <w:rPr>
          <w:lang w:val="fr-CA"/>
        </w:rPr>
        <w:t>[6]</w:t>
      </w:r>
      <w:r>
        <w:rPr>
          <w:lang w:val="fr-CA"/>
        </w:rPr>
        <w:tab/>
      </w:r>
      <w:r w:rsidRPr="00352E30">
        <w:rPr>
          <w:lang w:val="fr-CA"/>
        </w:rPr>
        <w:t xml:space="preserve">Pour ces motifs, </w:t>
      </w:r>
      <w:r>
        <w:rPr>
          <w:lang w:val="fr-CA"/>
        </w:rPr>
        <w:t xml:space="preserve">à l’instar des </w:t>
      </w:r>
      <w:r w:rsidRPr="00352E30">
        <w:rPr>
          <w:lang w:val="fr-CA"/>
        </w:rPr>
        <w:t>juges majoritaires de la Cour d’appel</w:t>
      </w:r>
      <w:r>
        <w:rPr>
          <w:lang w:val="fr-CA"/>
        </w:rPr>
        <w:t>, nous estimons</w:t>
      </w:r>
      <w:r w:rsidRPr="00352E30">
        <w:rPr>
          <w:lang w:val="fr-CA"/>
        </w:rPr>
        <w:t xml:space="preserve"> </w:t>
      </w:r>
      <w:r>
        <w:rPr>
          <w:lang w:val="fr-CA"/>
        </w:rPr>
        <w:t xml:space="preserve">qu’il faut </w:t>
      </w:r>
      <w:r w:rsidRPr="00352E30">
        <w:rPr>
          <w:lang w:val="fr-CA"/>
        </w:rPr>
        <w:t xml:space="preserve">ordonner un nouveau procès. </w:t>
      </w:r>
      <w:r>
        <w:rPr>
          <w:lang w:val="fr-CA"/>
        </w:rPr>
        <w:t xml:space="preserve"> Nous sommes donc d’avis de rejeter le pourvoi.</w:t>
      </w:r>
    </w:p>
    <w:p w:rsidR="00EA1C5E" w:rsidRPr="00911A43" w:rsidRDefault="00EA1C5E" w:rsidP="00EA1C5E">
      <w:pPr>
        <w:pStyle w:val="SCCNormalDoubleSpacing"/>
        <w:spacing w:after="480"/>
        <w:rPr>
          <w:i/>
          <w:lang w:val="fr-CA"/>
        </w:rPr>
      </w:pPr>
      <w:r w:rsidRPr="00456DC2">
        <w:rPr>
          <w:lang w:val="fr-CA"/>
        </w:rPr>
        <w:tab/>
      </w:r>
      <w:r>
        <w:rPr>
          <w:i/>
          <w:lang w:val="fr-CA"/>
        </w:rPr>
        <w:t>Jugement en conséquence</w:t>
      </w:r>
      <w:r w:rsidRPr="00911A43">
        <w:rPr>
          <w:i/>
          <w:lang w:val="fr-CA"/>
        </w:rPr>
        <w:t>.</w:t>
      </w:r>
    </w:p>
    <w:p w:rsidR="00415176" w:rsidRPr="00EA1C5E" w:rsidRDefault="00E24B2A" w:rsidP="00EA1C5E">
      <w:pPr>
        <w:pStyle w:val="SCCNormalDoubleSpacing"/>
        <w:spacing w:after="480"/>
        <w:rPr>
          <w:i/>
        </w:rPr>
      </w:pPr>
      <w:r w:rsidRPr="00EA1C5E">
        <w:rPr>
          <w:i/>
        </w:rPr>
        <w:tab/>
      </w:r>
      <w:proofErr w:type="spellStart"/>
      <w:r w:rsidRPr="00EA1C5E">
        <w:rPr>
          <w:i/>
        </w:rPr>
        <w:t>Procureurs</w:t>
      </w:r>
      <w:proofErr w:type="spellEnd"/>
      <w:r w:rsidRPr="00EA1C5E">
        <w:rPr>
          <w:i/>
        </w:rPr>
        <w:t xml:space="preserve"> de </w:t>
      </w:r>
      <w:proofErr w:type="spellStart"/>
      <w:proofErr w:type="gramStart"/>
      <w:r w:rsidRPr="00EA1C5E">
        <w:rPr>
          <w:i/>
        </w:rPr>
        <w:t>l</w:t>
      </w:r>
      <w:r w:rsidR="00EA1C5E" w:rsidRPr="00EA1C5E">
        <w:rPr>
          <w:i/>
        </w:rPr>
        <w:t>’</w:t>
      </w:r>
      <w:r w:rsidRPr="00EA1C5E">
        <w:rPr>
          <w:i/>
        </w:rPr>
        <w:t>appelant</w:t>
      </w:r>
      <w:proofErr w:type="spellEnd"/>
      <w:r w:rsidRPr="00EA1C5E">
        <w:rPr>
          <w:i/>
        </w:rPr>
        <w:t> :</w:t>
      </w:r>
      <w:proofErr w:type="gramEnd"/>
      <w:r w:rsidRPr="00EA1C5E">
        <w:rPr>
          <w:i/>
        </w:rPr>
        <w:t xml:space="preserve"> Christopher </w:t>
      </w:r>
      <w:proofErr w:type="spellStart"/>
      <w:r w:rsidRPr="00EA1C5E">
        <w:rPr>
          <w:i/>
        </w:rPr>
        <w:t>Darnay</w:t>
      </w:r>
      <w:proofErr w:type="spellEnd"/>
      <w:r w:rsidRPr="00EA1C5E">
        <w:rPr>
          <w:i/>
        </w:rPr>
        <w:t>, Vancouver</w:t>
      </w:r>
      <w:r w:rsidR="00EA1C5E" w:rsidRPr="00EA1C5E">
        <w:rPr>
          <w:i/>
        </w:rPr>
        <w:t xml:space="preserve">; Michelle </w:t>
      </w:r>
      <w:proofErr w:type="spellStart"/>
      <w:r w:rsidR="00EA1C5E" w:rsidRPr="00EA1C5E">
        <w:rPr>
          <w:i/>
        </w:rPr>
        <w:t>Poulsen</w:t>
      </w:r>
      <w:proofErr w:type="spellEnd"/>
      <w:r w:rsidR="00EA1C5E" w:rsidRPr="00EA1C5E">
        <w:rPr>
          <w:i/>
        </w:rPr>
        <w:t>, Vancouver</w:t>
      </w:r>
      <w:r w:rsidRPr="00EA1C5E">
        <w:rPr>
          <w:i/>
        </w:rPr>
        <w:t>.</w:t>
      </w:r>
    </w:p>
    <w:p w:rsidR="009B57B3" w:rsidRPr="00EA1C5E" w:rsidRDefault="00E24B2A" w:rsidP="00EA1C5E">
      <w:pPr>
        <w:pStyle w:val="SCCLawFirm"/>
      </w:pPr>
      <w:r>
        <w:tab/>
      </w:r>
      <w:proofErr w:type="spellStart"/>
      <w:r>
        <w:t>Procureur</w:t>
      </w:r>
      <w:proofErr w:type="spellEnd"/>
      <w:r>
        <w:t xml:space="preserve"> de </w:t>
      </w:r>
      <w:proofErr w:type="spellStart"/>
      <w:proofErr w:type="gramStart"/>
      <w:r>
        <w:t>l</w:t>
      </w:r>
      <w:r w:rsidR="00EA1C5E">
        <w:t>’</w:t>
      </w:r>
      <w:r>
        <w:t>intimée</w:t>
      </w:r>
      <w:proofErr w:type="spellEnd"/>
      <w:r>
        <w:t> :</w:t>
      </w:r>
      <w:proofErr w:type="gramEnd"/>
      <w:r>
        <w:t xml:space="preserve"> </w:t>
      </w:r>
      <w:proofErr w:type="spellStart"/>
      <w:r w:rsidR="00EA1C5E">
        <w:t>Procureur</w:t>
      </w:r>
      <w:proofErr w:type="spellEnd"/>
      <w:r w:rsidR="00EA1C5E">
        <w:t xml:space="preserve"> </w:t>
      </w:r>
      <w:proofErr w:type="spellStart"/>
      <w:r w:rsidR="00EA1C5E">
        <w:t>géné</w:t>
      </w:r>
      <w:r>
        <w:t>ral</w:t>
      </w:r>
      <w:proofErr w:type="spellEnd"/>
      <w:r>
        <w:t xml:space="preserve"> </w:t>
      </w:r>
      <w:r w:rsidR="00EA1C5E">
        <w:t xml:space="preserve">de la </w:t>
      </w:r>
      <w:proofErr w:type="spellStart"/>
      <w:r w:rsidR="00EA1C5E">
        <w:t>Colombie-Britannique</w:t>
      </w:r>
      <w:proofErr w:type="spellEnd"/>
      <w:r>
        <w:t>, Vancouver.</w:t>
      </w:r>
    </w:p>
    <w:sectPr w:rsidR="009B57B3" w:rsidRPr="00EA1C5E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15" w:rsidRDefault="004D4D15">
      <w:r>
        <w:separator/>
      </w:r>
    </w:p>
  </w:endnote>
  <w:endnote w:type="continuationSeparator" w:id="0">
    <w:p w:rsidR="004D4D15" w:rsidRDefault="004D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15" w:rsidRDefault="004D4D15">
      <w:r>
        <w:separator/>
      </w:r>
    </w:p>
  </w:footnote>
  <w:footnote w:type="continuationSeparator" w:id="0">
    <w:p w:rsidR="004D4D15" w:rsidRDefault="004D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1030C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4489B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176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4D15"/>
    <w:rsid w:val="004D7D95"/>
    <w:rsid w:val="004E2C26"/>
    <w:rsid w:val="005125A8"/>
    <w:rsid w:val="00517549"/>
    <w:rsid w:val="00520ABC"/>
    <w:rsid w:val="00521AE8"/>
    <w:rsid w:val="00523EDA"/>
    <w:rsid w:val="00527180"/>
    <w:rsid w:val="00555291"/>
    <w:rsid w:val="00566AD1"/>
    <w:rsid w:val="00583EDE"/>
    <w:rsid w:val="005948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B7F42"/>
    <w:rsid w:val="006D2985"/>
    <w:rsid w:val="006F30AF"/>
    <w:rsid w:val="00701759"/>
    <w:rsid w:val="00705C15"/>
    <w:rsid w:val="00706CC8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17C0B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B670D"/>
    <w:rsid w:val="00AF03C5"/>
    <w:rsid w:val="00B000D8"/>
    <w:rsid w:val="00B00F75"/>
    <w:rsid w:val="00B10782"/>
    <w:rsid w:val="00B145B6"/>
    <w:rsid w:val="00B279EB"/>
    <w:rsid w:val="00B37BD0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464C6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62BB"/>
    <w:rsid w:val="00D17476"/>
    <w:rsid w:val="00D237A0"/>
    <w:rsid w:val="00D32086"/>
    <w:rsid w:val="00D37A3F"/>
    <w:rsid w:val="00D4431D"/>
    <w:rsid w:val="00D44BC1"/>
    <w:rsid w:val="00D4667A"/>
    <w:rsid w:val="00D63A1C"/>
    <w:rsid w:val="00D7516F"/>
    <w:rsid w:val="00D95F8E"/>
    <w:rsid w:val="00DA0590"/>
    <w:rsid w:val="00DB6034"/>
    <w:rsid w:val="00DC1739"/>
    <w:rsid w:val="00DC1788"/>
    <w:rsid w:val="00DE319C"/>
    <w:rsid w:val="00DF0CA8"/>
    <w:rsid w:val="00DF2B48"/>
    <w:rsid w:val="00DF4870"/>
    <w:rsid w:val="00DF49A7"/>
    <w:rsid w:val="00E07EE2"/>
    <w:rsid w:val="00E07FD1"/>
    <w:rsid w:val="00E24573"/>
    <w:rsid w:val="00E24B2A"/>
    <w:rsid w:val="00E25E1E"/>
    <w:rsid w:val="00E27EE7"/>
    <w:rsid w:val="00E35404"/>
    <w:rsid w:val="00E45109"/>
    <w:rsid w:val="00E47B7A"/>
    <w:rsid w:val="00E56A44"/>
    <w:rsid w:val="00E60269"/>
    <w:rsid w:val="00E97830"/>
    <w:rsid w:val="00EA1C5E"/>
    <w:rsid w:val="00EE0830"/>
    <w:rsid w:val="00EE6CB8"/>
    <w:rsid w:val="00EE7A68"/>
    <w:rsid w:val="00EF0683"/>
    <w:rsid w:val="00F0070C"/>
    <w:rsid w:val="00F00EB7"/>
    <w:rsid w:val="00F12AD2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B722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706CC8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2014-06-24T19:11:00Z</dcterms:created>
  <dcterms:modified xsi:type="dcterms:W3CDTF">2014-06-24T19:11:00Z</dcterms:modified>
</cp:coreProperties>
</file>