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3E" w:rsidRPr="005C243E" w:rsidRDefault="005C243E" w:rsidP="005C243E">
      <w:pPr>
        <w:tabs>
          <w:tab w:val="center" w:pos="4680"/>
          <w:tab w:val="right" w:pos="9360"/>
        </w:tabs>
        <w:jc w:val="center"/>
        <w:rPr>
          <w:rFonts w:eastAsiaTheme="minorHAnsi" w:cstheme="minorBidi"/>
          <w:szCs w:val="24"/>
          <w:lang w:val="fr-CA" w:eastAsia="en-US"/>
        </w:rPr>
      </w:pPr>
      <w:r w:rsidRPr="005C243E">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1.6pt;height:64.8pt" o:ole="">
            <v:imagedata r:id="rId7" o:title=""/>
          </v:shape>
          <o:OLEObject Type="Embed" ProgID="Presentations.Drawing.13" ShapeID="_x0000_i1037" DrawAspect="Content" ObjectID="_1465132398" r:id="rId8"/>
        </w:object>
      </w:r>
    </w:p>
    <w:p w:rsidR="005C243E" w:rsidRPr="005C243E" w:rsidRDefault="005C243E" w:rsidP="005C243E">
      <w:pPr>
        <w:tabs>
          <w:tab w:val="center" w:pos="4680"/>
          <w:tab w:val="right" w:pos="9360"/>
        </w:tabs>
        <w:rPr>
          <w:rFonts w:eastAsiaTheme="minorHAnsi" w:cstheme="minorBidi"/>
          <w:szCs w:val="24"/>
          <w:lang w:val="fr-CA" w:eastAsia="en-US"/>
        </w:rPr>
      </w:pPr>
    </w:p>
    <w:p w:rsidR="005C243E" w:rsidRPr="005C243E" w:rsidRDefault="005C243E" w:rsidP="005C243E">
      <w:pPr>
        <w:jc w:val="center"/>
        <w:rPr>
          <w:rFonts w:eastAsiaTheme="minorHAnsi" w:cstheme="minorBidi"/>
          <w:b/>
          <w:szCs w:val="24"/>
          <w:lang w:val="fr-CA" w:eastAsia="en-US"/>
        </w:rPr>
      </w:pPr>
      <w:r w:rsidRPr="005C243E">
        <w:rPr>
          <w:rFonts w:eastAsiaTheme="minorHAnsi" w:cstheme="minorBidi"/>
          <w:b/>
          <w:szCs w:val="24"/>
          <w:lang w:val="fr-CA" w:eastAsia="en-US"/>
        </w:rPr>
        <w:t>COUR SUPRÊME DU CANADA</w:t>
      </w:r>
    </w:p>
    <w:p w:rsidR="005C243E" w:rsidRPr="005C243E" w:rsidRDefault="005C243E" w:rsidP="005C243E">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C243E" w:rsidRPr="005C243E" w:rsidTr="002727C6">
        <w:trPr>
          <w:cantSplit/>
        </w:trPr>
        <w:tc>
          <w:tcPr>
            <w:tcW w:w="6768" w:type="dxa"/>
          </w:tcPr>
          <w:p w:rsidR="005C243E" w:rsidRPr="005C243E" w:rsidRDefault="005C243E" w:rsidP="005C243E">
            <w:pPr>
              <w:rPr>
                <w:lang w:val="fr-CA"/>
              </w:rPr>
            </w:pPr>
            <w:r w:rsidRPr="005C243E">
              <w:rPr>
                <w:b/>
                <w:smallCaps/>
                <w:lang w:val="fr-CA"/>
              </w:rPr>
              <w:t>Référence :</w:t>
            </w:r>
            <w:r w:rsidRPr="005C243E">
              <w:rPr>
                <w:lang w:val="fr-CA"/>
              </w:rPr>
              <w:t xml:space="preserve"> Bruno Appliance and </w:t>
            </w:r>
            <w:proofErr w:type="spellStart"/>
            <w:r w:rsidRPr="005C243E">
              <w:rPr>
                <w:lang w:val="fr-CA"/>
              </w:rPr>
              <w:t>Furniture</w:t>
            </w:r>
            <w:proofErr w:type="spellEnd"/>
            <w:r w:rsidRPr="005C243E">
              <w:rPr>
                <w:lang w:val="fr-CA"/>
              </w:rPr>
              <w:t>, Inc.</w:t>
            </w:r>
            <w:r w:rsidRPr="005C243E">
              <w:rPr>
                <w:iCs/>
                <w:color w:val="000000" w:themeColor="text1"/>
                <w:lang w:val="fr-CA"/>
              </w:rPr>
              <w:t xml:space="preserve"> </w:t>
            </w:r>
            <w:r w:rsidRPr="005C243E">
              <w:rPr>
                <w:i/>
                <w:iCs/>
                <w:color w:val="000000" w:themeColor="text1"/>
                <w:lang w:val="fr-CA"/>
              </w:rPr>
              <w:t>c.</w:t>
            </w:r>
            <w:r w:rsidRPr="005C243E">
              <w:rPr>
                <w:iCs/>
                <w:color w:val="000000" w:themeColor="text1"/>
                <w:lang w:val="fr-CA"/>
              </w:rPr>
              <w:t xml:space="preserve"> </w:t>
            </w:r>
            <w:proofErr w:type="spellStart"/>
            <w:r w:rsidRPr="005C243E">
              <w:rPr>
                <w:szCs w:val="20"/>
                <w:lang w:val="fr-CA"/>
              </w:rPr>
              <w:t>Hryniak</w:t>
            </w:r>
            <w:proofErr w:type="spellEnd"/>
            <w:r w:rsidRPr="005C243E">
              <w:rPr>
                <w:iCs/>
                <w:color w:val="000000" w:themeColor="text1"/>
                <w:lang w:val="fr-CA"/>
              </w:rPr>
              <w:t>,</w:t>
            </w:r>
            <w:r w:rsidRPr="005C243E">
              <w:rPr>
                <w:i/>
                <w:lang w:val="fr-CA"/>
              </w:rPr>
              <w:t xml:space="preserve"> </w:t>
            </w:r>
            <w:r w:rsidRPr="005C243E">
              <w:rPr>
                <w:lang w:val="fr-CA"/>
              </w:rPr>
              <w:t xml:space="preserve">2014 CSC 8, 2014 1 R.C.S. 126 </w:t>
            </w:r>
          </w:p>
        </w:tc>
        <w:tc>
          <w:tcPr>
            <w:tcW w:w="2808" w:type="dxa"/>
          </w:tcPr>
          <w:p w:rsidR="005C243E" w:rsidRPr="005C243E" w:rsidRDefault="005C243E" w:rsidP="005C243E">
            <w:pPr>
              <w:rPr>
                <w:lang w:val="fr-CA"/>
              </w:rPr>
            </w:pPr>
            <w:r w:rsidRPr="005C243E">
              <w:rPr>
                <w:b/>
                <w:smallCaps/>
                <w:lang w:val="fr-CA"/>
              </w:rPr>
              <w:t>Date :</w:t>
            </w:r>
            <w:r w:rsidRPr="005C243E">
              <w:rPr>
                <w:lang w:val="fr-CA"/>
              </w:rPr>
              <w:t xml:space="preserve"> 20140123</w:t>
            </w:r>
          </w:p>
          <w:p w:rsidR="005C243E" w:rsidRPr="005C243E" w:rsidRDefault="005C243E" w:rsidP="005C243E">
            <w:pPr>
              <w:rPr>
                <w:lang w:val="fr-CA"/>
              </w:rPr>
            </w:pPr>
            <w:r w:rsidRPr="005C243E">
              <w:rPr>
                <w:b/>
                <w:smallCaps/>
                <w:lang w:val="fr-CA"/>
              </w:rPr>
              <w:t>Dossier :</w:t>
            </w:r>
            <w:r w:rsidRPr="005C243E">
              <w:rPr>
                <w:lang w:val="fr-CA"/>
              </w:rPr>
              <w:t xml:space="preserve"> 34645</w:t>
            </w:r>
          </w:p>
        </w:tc>
      </w:tr>
    </w:tbl>
    <w:p w:rsidR="005C243E" w:rsidRPr="005C243E" w:rsidRDefault="005C243E" w:rsidP="005C243E">
      <w:pPr>
        <w:rPr>
          <w:rFonts w:eastAsiaTheme="minorHAnsi" w:cstheme="minorBidi"/>
          <w:szCs w:val="24"/>
          <w:lang w:val="fr-CA" w:eastAsia="en-US"/>
        </w:rPr>
      </w:pPr>
    </w:p>
    <w:p w:rsidR="005C243E" w:rsidRPr="005C243E" w:rsidRDefault="005C243E" w:rsidP="005C243E">
      <w:pPr>
        <w:rPr>
          <w:rFonts w:eastAsiaTheme="minorHAnsi" w:cstheme="minorBidi"/>
          <w:b/>
          <w:smallCaps/>
          <w:szCs w:val="24"/>
          <w:lang w:val="fr-CA" w:eastAsia="en-US"/>
        </w:rPr>
      </w:pPr>
      <w:r w:rsidRPr="005C243E">
        <w:rPr>
          <w:rFonts w:eastAsiaTheme="minorHAnsi" w:cstheme="minorBidi"/>
          <w:b/>
          <w:smallCaps/>
          <w:szCs w:val="24"/>
          <w:lang w:val="fr-CA" w:eastAsia="en-US"/>
        </w:rPr>
        <w:t>Entre :</w:t>
      </w:r>
    </w:p>
    <w:p w:rsidR="005C243E" w:rsidRPr="005C243E" w:rsidRDefault="005C243E" w:rsidP="005C243E">
      <w:pPr>
        <w:jc w:val="center"/>
        <w:rPr>
          <w:rFonts w:eastAsiaTheme="minorHAnsi" w:cstheme="minorBidi"/>
          <w:b/>
          <w:szCs w:val="24"/>
          <w:lang w:val="en-US" w:eastAsia="en-US"/>
        </w:rPr>
      </w:pPr>
      <w:proofErr w:type="gramStart"/>
      <w:r w:rsidRPr="005C243E">
        <w:rPr>
          <w:rFonts w:eastAsiaTheme="minorHAnsi" w:cstheme="minorBidi"/>
          <w:b/>
          <w:szCs w:val="24"/>
          <w:lang w:val="en-US" w:eastAsia="en-US"/>
        </w:rPr>
        <w:t>Bruno Appliance and Furniture, Inc.</w:t>
      </w:r>
      <w:proofErr w:type="gramEnd"/>
    </w:p>
    <w:p w:rsidR="005C243E" w:rsidRPr="005C243E" w:rsidRDefault="005C243E" w:rsidP="005C243E">
      <w:pPr>
        <w:jc w:val="center"/>
        <w:rPr>
          <w:rFonts w:eastAsiaTheme="minorHAnsi" w:cstheme="minorBidi"/>
          <w:szCs w:val="24"/>
          <w:lang w:val="fr-CA" w:eastAsia="en-US"/>
        </w:rPr>
      </w:pPr>
      <w:r w:rsidRPr="005C243E">
        <w:rPr>
          <w:rFonts w:eastAsiaTheme="minorHAnsi" w:cstheme="minorBidi"/>
          <w:szCs w:val="24"/>
          <w:lang w:val="fr-CA" w:eastAsia="en-US"/>
        </w:rPr>
        <w:t>Appelant</w:t>
      </w:r>
    </w:p>
    <w:p w:rsidR="005C243E" w:rsidRPr="005C243E" w:rsidRDefault="005C243E" w:rsidP="005C243E">
      <w:pPr>
        <w:jc w:val="center"/>
        <w:rPr>
          <w:rFonts w:eastAsiaTheme="minorHAnsi" w:cstheme="minorBidi"/>
          <w:szCs w:val="24"/>
          <w:lang w:val="fr-CA" w:eastAsia="en-US"/>
        </w:rPr>
      </w:pPr>
      <w:proofErr w:type="gramStart"/>
      <w:r w:rsidRPr="005C243E">
        <w:rPr>
          <w:rFonts w:eastAsiaTheme="minorHAnsi" w:cstheme="minorBidi"/>
          <w:szCs w:val="24"/>
          <w:lang w:val="fr-CA" w:eastAsia="en-US"/>
        </w:rPr>
        <w:t>et</w:t>
      </w:r>
      <w:proofErr w:type="gramEnd"/>
    </w:p>
    <w:p w:rsidR="005C243E" w:rsidRPr="005C243E" w:rsidRDefault="005C243E" w:rsidP="005C243E">
      <w:pPr>
        <w:jc w:val="center"/>
        <w:rPr>
          <w:rFonts w:eastAsiaTheme="minorHAnsi" w:cstheme="minorBidi"/>
          <w:b/>
          <w:szCs w:val="24"/>
          <w:lang w:val="fr-CA" w:eastAsia="en-US"/>
        </w:rPr>
      </w:pPr>
      <w:r w:rsidRPr="005C243E">
        <w:rPr>
          <w:rFonts w:eastAsiaTheme="minorHAnsi" w:cstheme="minorBidi"/>
          <w:b/>
          <w:szCs w:val="24"/>
          <w:lang w:val="fr-CA" w:eastAsia="en-US"/>
        </w:rPr>
        <w:t xml:space="preserve">Robert </w:t>
      </w:r>
      <w:proofErr w:type="spellStart"/>
      <w:r w:rsidRPr="005C243E">
        <w:rPr>
          <w:rFonts w:eastAsiaTheme="minorHAnsi" w:cstheme="minorBidi"/>
          <w:b/>
          <w:szCs w:val="24"/>
          <w:lang w:val="fr-CA" w:eastAsia="en-US"/>
        </w:rPr>
        <w:t>Hryniak</w:t>
      </w:r>
      <w:proofErr w:type="spellEnd"/>
    </w:p>
    <w:p w:rsidR="005C243E" w:rsidRPr="005C243E" w:rsidRDefault="005C243E" w:rsidP="005C243E">
      <w:pPr>
        <w:jc w:val="center"/>
        <w:rPr>
          <w:rFonts w:eastAsiaTheme="minorHAnsi" w:cstheme="minorBidi"/>
          <w:szCs w:val="24"/>
          <w:lang w:val="fr-CA" w:eastAsia="en-US"/>
        </w:rPr>
      </w:pPr>
      <w:r w:rsidRPr="005C243E">
        <w:rPr>
          <w:rFonts w:eastAsiaTheme="minorHAnsi" w:cstheme="minorBidi"/>
          <w:szCs w:val="24"/>
          <w:lang w:val="fr-CA" w:eastAsia="en-US"/>
        </w:rPr>
        <w:t>Intimé</w:t>
      </w:r>
    </w:p>
    <w:p w:rsidR="005C243E" w:rsidRPr="005C243E" w:rsidRDefault="005C243E" w:rsidP="005C243E">
      <w:pPr>
        <w:jc w:val="center"/>
        <w:rPr>
          <w:rFonts w:eastAsiaTheme="minorHAnsi" w:cstheme="minorBidi"/>
          <w:szCs w:val="24"/>
          <w:lang w:val="fr-CA" w:eastAsia="en-US"/>
        </w:rPr>
      </w:pPr>
      <w:r w:rsidRPr="005C243E">
        <w:rPr>
          <w:rFonts w:eastAsiaTheme="minorHAnsi" w:cstheme="minorBidi"/>
          <w:szCs w:val="24"/>
          <w:lang w:val="fr-CA" w:eastAsia="en-US"/>
        </w:rPr>
        <w:t>- et -</w:t>
      </w:r>
    </w:p>
    <w:p w:rsidR="005C243E" w:rsidRPr="005C243E" w:rsidRDefault="005C243E" w:rsidP="005C243E">
      <w:pPr>
        <w:jc w:val="center"/>
        <w:rPr>
          <w:rFonts w:eastAsiaTheme="minorHAnsi" w:cstheme="minorBidi"/>
          <w:b/>
          <w:szCs w:val="24"/>
          <w:lang w:val="fr-CA" w:eastAsia="en-US"/>
        </w:rPr>
      </w:pPr>
      <w:r w:rsidRPr="005C243E">
        <w:rPr>
          <w:rFonts w:eastAsiaTheme="minorHAnsi" w:cstheme="minorBidi"/>
          <w:b/>
          <w:szCs w:val="24"/>
          <w:lang w:val="fr-CA" w:eastAsia="en-US"/>
        </w:rPr>
        <w:t xml:space="preserve">Procureur général de l’Ontario, Ontario Trial </w:t>
      </w:r>
      <w:proofErr w:type="spellStart"/>
      <w:r w:rsidRPr="005C243E">
        <w:rPr>
          <w:rFonts w:eastAsiaTheme="minorHAnsi" w:cstheme="minorBidi"/>
          <w:b/>
          <w:szCs w:val="24"/>
          <w:lang w:val="fr-CA" w:eastAsia="en-US"/>
        </w:rPr>
        <w:t>Lawyers</w:t>
      </w:r>
      <w:proofErr w:type="spellEnd"/>
      <w:r w:rsidRPr="005C243E">
        <w:rPr>
          <w:rFonts w:eastAsiaTheme="minorHAnsi" w:cstheme="minorBidi"/>
          <w:b/>
          <w:szCs w:val="24"/>
          <w:lang w:val="fr-CA" w:eastAsia="en-US"/>
        </w:rPr>
        <w:t xml:space="preserve"> Association, </w:t>
      </w:r>
    </w:p>
    <w:p w:rsidR="005C243E" w:rsidRPr="005C243E" w:rsidRDefault="005C243E" w:rsidP="005C243E">
      <w:pPr>
        <w:jc w:val="center"/>
        <w:rPr>
          <w:rFonts w:eastAsiaTheme="minorHAnsi" w:cstheme="minorBidi"/>
          <w:b/>
          <w:szCs w:val="24"/>
          <w:lang w:val="fr-CA" w:eastAsia="en-US"/>
        </w:rPr>
      </w:pPr>
      <w:proofErr w:type="spellStart"/>
      <w:r w:rsidRPr="005C243E">
        <w:rPr>
          <w:rFonts w:eastAsiaTheme="minorHAnsi" w:cstheme="minorBidi"/>
          <w:b/>
          <w:szCs w:val="24"/>
          <w:lang w:val="fr-CA" w:eastAsia="en-US"/>
        </w:rPr>
        <w:t>Advocates</w:t>
      </w:r>
      <w:proofErr w:type="spellEnd"/>
      <w:r w:rsidRPr="005C243E">
        <w:rPr>
          <w:rFonts w:eastAsiaTheme="minorHAnsi" w:cstheme="minorBidi"/>
          <w:b/>
          <w:szCs w:val="24"/>
          <w:lang w:val="fr-CA" w:eastAsia="en-US"/>
        </w:rPr>
        <w:t>’ Society et Association du Barreau canadien</w:t>
      </w:r>
    </w:p>
    <w:p w:rsidR="005C243E" w:rsidRPr="005C243E" w:rsidRDefault="005C243E" w:rsidP="005C243E">
      <w:pPr>
        <w:jc w:val="center"/>
        <w:rPr>
          <w:rFonts w:eastAsiaTheme="minorHAnsi" w:cstheme="minorBidi"/>
          <w:szCs w:val="24"/>
          <w:lang w:val="fr-CA" w:eastAsia="en-US"/>
        </w:rPr>
      </w:pPr>
      <w:r w:rsidRPr="005C243E">
        <w:rPr>
          <w:rFonts w:eastAsiaTheme="minorHAnsi" w:cstheme="minorBidi"/>
          <w:szCs w:val="24"/>
          <w:lang w:val="fr-CA" w:eastAsia="en-US"/>
        </w:rPr>
        <w:t>Intervenants</w:t>
      </w:r>
    </w:p>
    <w:p w:rsidR="005C243E" w:rsidRPr="005C243E" w:rsidRDefault="005C243E" w:rsidP="005C243E">
      <w:pPr>
        <w:rPr>
          <w:rFonts w:eastAsiaTheme="minorHAnsi" w:cstheme="minorBidi"/>
          <w:szCs w:val="24"/>
          <w:lang w:val="fr-CA" w:eastAsia="en-US"/>
        </w:rPr>
      </w:pPr>
    </w:p>
    <w:p w:rsidR="005C243E" w:rsidRPr="005C243E" w:rsidRDefault="005C243E" w:rsidP="005C243E">
      <w:pPr>
        <w:jc w:val="center"/>
        <w:rPr>
          <w:rFonts w:eastAsiaTheme="minorHAnsi" w:cstheme="minorBidi"/>
          <w:b/>
          <w:smallCaps/>
          <w:szCs w:val="24"/>
          <w:lang w:val="fr-CA" w:eastAsia="en-US"/>
        </w:rPr>
      </w:pPr>
      <w:r w:rsidRPr="005C243E">
        <w:rPr>
          <w:rFonts w:eastAsiaTheme="minorHAnsi" w:cstheme="minorBidi"/>
          <w:b/>
          <w:smallCaps/>
          <w:szCs w:val="24"/>
          <w:lang w:val="fr-CA" w:eastAsia="en-US"/>
        </w:rPr>
        <w:t>Traduction française officielle</w:t>
      </w:r>
    </w:p>
    <w:p w:rsidR="005C243E" w:rsidRPr="005C243E" w:rsidRDefault="005C243E" w:rsidP="005C243E">
      <w:pPr>
        <w:rPr>
          <w:rFonts w:eastAsiaTheme="minorHAnsi" w:cstheme="minorBidi"/>
          <w:szCs w:val="24"/>
          <w:lang w:val="fr-CA" w:eastAsia="en-US"/>
        </w:rPr>
      </w:pPr>
    </w:p>
    <w:p w:rsidR="005C243E" w:rsidRPr="005C243E" w:rsidRDefault="005C243E" w:rsidP="005C243E">
      <w:pPr>
        <w:rPr>
          <w:rFonts w:eastAsiaTheme="minorHAnsi" w:cstheme="minorBidi"/>
          <w:szCs w:val="24"/>
          <w:lang w:val="fr-CA" w:eastAsia="en-US"/>
        </w:rPr>
      </w:pPr>
      <w:r w:rsidRPr="005C243E">
        <w:rPr>
          <w:rFonts w:eastAsiaTheme="minorHAnsi" w:cstheme="minorBidi"/>
          <w:b/>
          <w:smallCaps/>
          <w:szCs w:val="24"/>
          <w:lang w:val="fr-CA" w:eastAsia="en-US"/>
        </w:rPr>
        <w:t>Coram :</w:t>
      </w:r>
      <w:r w:rsidRPr="005C243E">
        <w:rPr>
          <w:rFonts w:eastAsiaTheme="minorHAnsi" w:cstheme="minorBidi"/>
          <w:szCs w:val="24"/>
          <w:lang w:val="fr-CA" w:eastAsia="en-US"/>
        </w:rPr>
        <w:t xml:space="preserve"> La juge en chef </w:t>
      </w:r>
      <w:proofErr w:type="spellStart"/>
      <w:r w:rsidRPr="005C243E">
        <w:rPr>
          <w:rFonts w:eastAsiaTheme="minorHAnsi" w:cstheme="minorBidi"/>
          <w:szCs w:val="24"/>
          <w:lang w:val="fr-CA" w:eastAsia="en-US"/>
        </w:rPr>
        <w:t>McLachlin</w:t>
      </w:r>
      <w:proofErr w:type="spellEnd"/>
      <w:r w:rsidRPr="005C243E">
        <w:rPr>
          <w:rFonts w:eastAsiaTheme="minorHAnsi" w:cstheme="minorBidi"/>
          <w:szCs w:val="24"/>
          <w:lang w:val="fr-CA" w:eastAsia="en-US"/>
        </w:rPr>
        <w:t xml:space="preserve"> et les juges LeBel, Abella, </w:t>
      </w:r>
      <w:proofErr w:type="spellStart"/>
      <w:r w:rsidRPr="005C243E">
        <w:rPr>
          <w:rFonts w:eastAsiaTheme="minorHAnsi" w:cstheme="minorBidi"/>
          <w:szCs w:val="24"/>
          <w:lang w:val="fr-CA" w:eastAsia="en-US"/>
        </w:rPr>
        <w:t>Rothstein</w:t>
      </w:r>
      <w:proofErr w:type="spellEnd"/>
      <w:r w:rsidRPr="005C243E">
        <w:rPr>
          <w:rFonts w:eastAsiaTheme="minorHAnsi" w:cstheme="minorBidi"/>
          <w:szCs w:val="24"/>
          <w:lang w:val="fr-CA" w:eastAsia="en-US"/>
        </w:rPr>
        <w:t xml:space="preserve">, Cromwell, </w:t>
      </w:r>
      <w:proofErr w:type="spellStart"/>
      <w:r w:rsidRPr="005C243E">
        <w:rPr>
          <w:rFonts w:eastAsiaTheme="minorHAnsi" w:cstheme="minorBidi"/>
          <w:szCs w:val="24"/>
          <w:lang w:val="fr-CA" w:eastAsia="en-US"/>
        </w:rPr>
        <w:t>Karakatsanis</w:t>
      </w:r>
      <w:proofErr w:type="spellEnd"/>
      <w:r w:rsidRPr="005C243E">
        <w:rPr>
          <w:rFonts w:eastAsiaTheme="minorHAnsi" w:cstheme="minorBidi"/>
          <w:szCs w:val="24"/>
          <w:lang w:val="fr-CA" w:eastAsia="en-US"/>
        </w:rPr>
        <w:t xml:space="preserve"> et Wagner</w:t>
      </w:r>
    </w:p>
    <w:p w:rsidR="005C243E" w:rsidRPr="005C243E" w:rsidRDefault="005C243E" w:rsidP="005C243E">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C243E" w:rsidRPr="005C243E" w:rsidTr="002727C6">
        <w:trPr>
          <w:cantSplit/>
        </w:trPr>
        <w:tc>
          <w:tcPr>
            <w:tcW w:w="3618" w:type="dxa"/>
          </w:tcPr>
          <w:p w:rsidR="005C243E" w:rsidRPr="005C243E" w:rsidRDefault="005C243E" w:rsidP="005C243E">
            <w:pPr>
              <w:rPr>
                <w:b/>
                <w:smallCaps/>
                <w:lang w:val="fr-CA"/>
              </w:rPr>
            </w:pPr>
            <w:r w:rsidRPr="005C243E">
              <w:rPr>
                <w:b/>
                <w:smallCaps/>
                <w:lang w:val="fr-CA"/>
              </w:rPr>
              <w:t>Motifs de jugement :</w:t>
            </w:r>
          </w:p>
          <w:p w:rsidR="005C243E" w:rsidRPr="005C243E" w:rsidRDefault="005C243E" w:rsidP="005C243E">
            <w:pPr>
              <w:rPr>
                <w:lang w:val="fr-CA"/>
              </w:rPr>
            </w:pPr>
            <w:r w:rsidRPr="005C243E">
              <w:rPr>
                <w:lang w:val="fr-CA"/>
              </w:rPr>
              <w:t>(par. 1 à 32)</w:t>
            </w:r>
          </w:p>
        </w:tc>
        <w:tc>
          <w:tcPr>
            <w:tcW w:w="5958" w:type="dxa"/>
          </w:tcPr>
          <w:p w:rsidR="005C243E" w:rsidRPr="005C243E" w:rsidRDefault="005C243E" w:rsidP="005C243E">
            <w:pPr>
              <w:rPr>
                <w:lang w:val="fr-CA"/>
              </w:rPr>
            </w:pPr>
            <w:r w:rsidRPr="005C243E">
              <w:rPr>
                <w:lang w:val="fr-CA"/>
              </w:rPr>
              <w:t xml:space="preserve">La juge </w:t>
            </w:r>
            <w:proofErr w:type="spellStart"/>
            <w:r w:rsidRPr="005C243E">
              <w:rPr>
                <w:lang w:val="fr-CA"/>
              </w:rPr>
              <w:t>Karakatsanis</w:t>
            </w:r>
            <w:proofErr w:type="spellEnd"/>
            <w:r w:rsidRPr="005C243E">
              <w:rPr>
                <w:lang w:val="fr-CA"/>
              </w:rPr>
              <w:t xml:space="preserve"> (avec l’accord de la juge en chef </w:t>
            </w:r>
            <w:proofErr w:type="spellStart"/>
            <w:r w:rsidRPr="005C243E">
              <w:rPr>
                <w:lang w:val="fr-CA"/>
              </w:rPr>
              <w:t>McLachlin</w:t>
            </w:r>
            <w:proofErr w:type="spellEnd"/>
            <w:r w:rsidRPr="005C243E">
              <w:rPr>
                <w:lang w:val="fr-CA"/>
              </w:rPr>
              <w:t xml:space="preserve"> et des juges LeBel, Abella, </w:t>
            </w:r>
            <w:proofErr w:type="spellStart"/>
            <w:r w:rsidRPr="005C243E">
              <w:rPr>
                <w:lang w:val="fr-CA"/>
              </w:rPr>
              <w:t>Rothstein</w:t>
            </w:r>
            <w:proofErr w:type="spellEnd"/>
            <w:r w:rsidRPr="005C243E">
              <w:rPr>
                <w:lang w:val="fr-CA"/>
              </w:rPr>
              <w:t>, Cromwell et Wagner)</w:t>
            </w:r>
          </w:p>
        </w:tc>
      </w:tr>
    </w:tbl>
    <w:p w:rsidR="005C243E" w:rsidRPr="005C243E" w:rsidRDefault="005C243E" w:rsidP="005C243E">
      <w:pPr>
        <w:rPr>
          <w:rFonts w:eastAsiaTheme="minorHAnsi" w:cstheme="minorBidi"/>
          <w:szCs w:val="24"/>
          <w:lang w:val="fr-CA" w:eastAsia="en-US"/>
        </w:rPr>
      </w:pPr>
      <w:r w:rsidRPr="005C243E">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5C243E" w:rsidRDefault="005C243E" w:rsidP="005C243E">
      <w:pPr>
        <w:rPr>
          <w:rFonts w:eastAsiaTheme="minorHAnsi"/>
          <w:lang w:val="fr-CA"/>
        </w:rPr>
      </w:pPr>
    </w:p>
    <w:p w:rsidR="005C243E" w:rsidRDefault="005C243E" w:rsidP="005C243E">
      <w:pPr>
        <w:rPr>
          <w:rFonts w:eastAsiaTheme="minorHAnsi" w:cstheme="minorBidi"/>
          <w:szCs w:val="24"/>
          <w:lang w:val="fr-CA" w:eastAsia="en-US"/>
        </w:rPr>
      </w:pPr>
      <w:r w:rsidRPr="005C243E">
        <w:rPr>
          <w:rFonts w:eastAsiaTheme="minorHAnsi"/>
          <w:lang w:val="fr-CA"/>
        </w:rPr>
        <w:t xml:space="preserve">Bruno Appliance and </w:t>
      </w:r>
      <w:proofErr w:type="spellStart"/>
      <w:r w:rsidRPr="005C243E">
        <w:rPr>
          <w:rFonts w:eastAsiaTheme="minorHAnsi"/>
          <w:lang w:val="fr-CA"/>
        </w:rPr>
        <w:t>Furniture</w:t>
      </w:r>
      <w:proofErr w:type="spellEnd"/>
      <w:r w:rsidRPr="005C243E">
        <w:rPr>
          <w:rFonts w:eastAsiaTheme="minorHAnsi"/>
          <w:lang w:val="fr-CA"/>
        </w:rPr>
        <w:t>, Inc.</w:t>
      </w:r>
      <w:r w:rsidRPr="005C243E">
        <w:rPr>
          <w:rFonts w:eastAsiaTheme="minorHAnsi"/>
          <w:iCs/>
          <w:color w:val="000000" w:themeColor="text1"/>
          <w:lang w:val="fr-CA"/>
        </w:rPr>
        <w:t xml:space="preserve"> </w:t>
      </w:r>
      <w:r w:rsidRPr="005C243E">
        <w:rPr>
          <w:rFonts w:eastAsiaTheme="minorHAnsi"/>
          <w:i/>
          <w:iCs/>
          <w:color w:val="000000" w:themeColor="text1"/>
          <w:lang w:val="fr-CA"/>
        </w:rPr>
        <w:t>c.</w:t>
      </w:r>
      <w:r w:rsidRPr="005C243E">
        <w:rPr>
          <w:rFonts w:eastAsiaTheme="minorHAnsi"/>
          <w:iCs/>
          <w:color w:val="000000" w:themeColor="text1"/>
          <w:lang w:val="fr-CA"/>
        </w:rPr>
        <w:t xml:space="preserve"> </w:t>
      </w:r>
      <w:proofErr w:type="spellStart"/>
      <w:r w:rsidRPr="005C243E">
        <w:rPr>
          <w:rFonts w:eastAsiaTheme="minorHAnsi"/>
          <w:lang w:val="fr-CA"/>
        </w:rPr>
        <w:t>Hryniak</w:t>
      </w:r>
      <w:proofErr w:type="spellEnd"/>
      <w:r w:rsidRPr="005C243E">
        <w:rPr>
          <w:rFonts w:eastAsiaTheme="minorHAnsi"/>
          <w:iCs/>
          <w:color w:val="000000" w:themeColor="text1"/>
          <w:lang w:val="fr-CA"/>
        </w:rPr>
        <w:t>,</w:t>
      </w:r>
      <w:r w:rsidRPr="005C243E">
        <w:rPr>
          <w:rFonts w:eastAsiaTheme="minorHAnsi" w:cstheme="minorBidi"/>
          <w:i/>
          <w:szCs w:val="24"/>
          <w:lang w:val="fr-CA" w:eastAsia="en-US"/>
        </w:rPr>
        <w:t xml:space="preserve"> </w:t>
      </w:r>
      <w:r w:rsidRPr="005C243E">
        <w:rPr>
          <w:rFonts w:eastAsiaTheme="minorHAnsi" w:cstheme="minorBidi"/>
          <w:szCs w:val="24"/>
          <w:lang w:val="fr-CA" w:eastAsia="en-US"/>
        </w:rPr>
        <w:t>2014 CSC 8, 2014 1 R.C.S. 126</w:t>
      </w:r>
    </w:p>
    <w:p w:rsidR="005C243E" w:rsidRDefault="005C243E" w:rsidP="005C243E">
      <w:pPr>
        <w:rPr>
          <w:lang w:val="en-US"/>
        </w:rPr>
      </w:pPr>
    </w:p>
    <w:p w:rsidR="0058529F" w:rsidRPr="00855688" w:rsidRDefault="002B3D5B">
      <w:pPr>
        <w:pStyle w:val="SCCLsocLastPartyInRole"/>
        <w:rPr>
          <w:lang w:val="fr-CA"/>
        </w:rPr>
      </w:pPr>
      <w:r w:rsidRPr="00855688">
        <w:rPr>
          <w:lang w:val="en-US"/>
        </w:rPr>
        <w:t>Bruno Appliance and Furniture, Inc.</w:t>
      </w:r>
      <w:r w:rsidR="00707082" w:rsidRPr="00855688">
        <w:rPr>
          <w:rStyle w:val="SCCLsocPartyRole"/>
          <w:lang w:val="en-US"/>
        </w:rPr>
        <w:tab/>
      </w:r>
      <w:r w:rsidR="00707082" w:rsidRPr="00855688">
        <w:rPr>
          <w:rStyle w:val="SCCLsocPartyRole"/>
          <w:lang w:val="fr-CA"/>
        </w:rPr>
        <w:t>Appelante</w:t>
      </w:r>
    </w:p>
    <w:p w:rsidR="0058529F" w:rsidRPr="00855688" w:rsidRDefault="002B3D5B">
      <w:pPr>
        <w:pStyle w:val="SCCLsocVersus"/>
        <w:rPr>
          <w:lang w:val="fr-CA"/>
        </w:rPr>
      </w:pPr>
      <w:proofErr w:type="gramStart"/>
      <w:r w:rsidRPr="00855688">
        <w:rPr>
          <w:lang w:val="fr-CA"/>
        </w:rPr>
        <w:t>c</w:t>
      </w:r>
      <w:proofErr w:type="gramEnd"/>
      <w:r w:rsidRPr="00855688">
        <w:rPr>
          <w:lang w:val="fr-CA"/>
        </w:rPr>
        <w:t>.</w:t>
      </w:r>
    </w:p>
    <w:p w:rsidR="0058529F" w:rsidRPr="00855688" w:rsidRDefault="002B3D5B">
      <w:pPr>
        <w:pStyle w:val="SCCLsocLastPartyInRole"/>
        <w:rPr>
          <w:lang w:val="fr-CA"/>
        </w:rPr>
      </w:pPr>
      <w:r w:rsidRPr="00855688">
        <w:rPr>
          <w:lang w:val="fr-CA"/>
        </w:rPr>
        <w:t xml:space="preserve">Robert </w:t>
      </w:r>
      <w:proofErr w:type="spellStart"/>
      <w:r w:rsidRPr="00855688">
        <w:rPr>
          <w:lang w:val="fr-CA"/>
        </w:rPr>
        <w:t>Hryniak</w:t>
      </w:r>
      <w:proofErr w:type="spellEnd"/>
      <w:r w:rsidRPr="00855688">
        <w:rPr>
          <w:rStyle w:val="SCCLsocPartyRole"/>
          <w:lang w:val="fr-CA"/>
        </w:rPr>
        <w:tab/>
        <w:t>Intimé</w:t>
      </w:r>
    </w:p>
    <w:p w:rsidR="0058529F" w:rsidRPr="00855688" w:rsidRDefault="002B3D5B">
      <w:pPr>
        <w:pStyle w:val="SCCLsocOtherPartySeparator"/>
        <w:rPr>
          <w:lang w:val="fr-CA"/>
        </w:rPr>
      </w:pPr>
      <w:proofErr w:type="gramStart"/>
      <w:r w:rsidRPr="00855688">
        <w:rPr>
          <w:lang w:val="fr-CA"/>
        </w:rPr>
        <w:t>et</w:t>
      </w:r>
      <w:proofErr w:type="gramEnd"/>
    </w:p>
    <w:p w:rsidR="00707082" w:rsidRPr="00855688" w:rsidRDefault="002B3D5B">
      <w:pPr>
        <w:pStyle w:val="SCCLsocParty"/>
        <w:rPr>
          <w:lang w:val="fr-CA"/>
        </w:rPr>
      </w:pPr>
      <w:r w:rsidRPr="00855688">
        <w:rPr>
          <w:lang w:val="fr-CA"/>
        </w:rPr>
        <w:t>Procureur général de l</w:t>
      </w:r>
      <w:r w:rsidR="00707082" w:rsidRPr="00855688">
        <w:rPr>
          <w:lang w:val="fr-CA"/>
        </w:rPr>
        <w:t>’</w:t>
      </w:r>
      <w:r w:rsidRPr="00855688">
        <w:rPr>
          <w:lang w:val="fr-CA"/>
        </w:rPr>
        <w:t>Ontario,</w:t>
      </w:r>
      <w:r w:rsidR="00707082" w:rsidRPr="00855688">
        <w:rPr>
          <w:lang w:val="fr-CA"/>
        </w:rPr>
        <w:t xml:space="preserve"> </w:t>
      </w:r>
      <w:r w:rsidRPr="00855688">
        <w:rPr>
          <w:lang w:val="fr-CA"/>
        </w:rPr>
        <w:t xml:space="preserve">Ontario </w:t>
      </w:r>
    </w:p>
    <w:p w:rsidR="00707082" w:rsidRPr="00855688" w:rsidRDefault="002B3D5B">
      <w:pPr>
        <w:pStyle w:val="SCCLsocParty"/>
        <w:rPr>
          <w:lang w:val="fr-CA"/>
        </w:rPr>
      </w:pPr>
      <w:r w:rsidRPr="00855688">
        <w:rPr>
          <w:lang w:val="fr-CA"/>
        </w:rPr>
        <w:lastRenderedPageBreak/>
        <w:t xml:space="preserve">Trial </w:t>
      </w:r>
      <w:proofErr w:type="spellStart"/>
      <w:r w:rsidRPr="00855688">
        <w:rPr>
          <w:lang w:val="fr-CA"/>
        </w:rPr>
        <w:t>Lawyers</w:t>
      </w:r>
      <w:proofErr w:type="spellEnd"/>
      <w:r w:rsidRPr="00855688">
        <w:rPr>
          <w:lang w:val="fr-CA"/>
        </w:rPr>
        <w:t xml:space="preserve"> Association,</w:t>
      </w:r>
      <w:r w:rsidR="00707082" w:rsidRPr="00855688">
        <w:rPr>
          <w:lang w:val="fr-CA"/>
        </w:rPr>
        <w:t xml:space="preserve"> </w:t>
      </w:r>
      <w:proofErr w:type="spellStart"/>
      <w:r w:rsidRPr="00855688">
        <w:rPr>
          <w:lang w:val="fr-CA"/>
        </w:rPr>
        <w:t>Advocates</w:t>
      </w:r>
      <w:proofErr w:type="spellEnd"/>
      <w:r w:rsidR="00707082" w:rsidRPr="00855688">
        <w:rPr>
          <w:lang w:val="fr-CA"/>
        </w:rPr>
        <w:t>’</w:t>
      </w:r>
      <w:r w:rsidRPr="00855688">
        <w:rPr>
          <w:lang w:val="fr-CA"/>
        </w:rPr>
        <w:t xml:space="preserve"> </w:t>
      </w:r>
    </w:p>
    <w:p w:rsidR="0058529F" w:rsidRPr="00855688" w:rsidRDefault="002B3D5B" w:rsidP="00F8598C">
      <w:pPr>
        <w:pStyle w:val="SCCLsocParty"/>
        <w:spacing w:after="720"/>
        <w:rPr>
          <w:lang w:val="fr-CA"/>
        </w:rPr>
      </w:pPr>
      <w:r w:rsidRPr="00855688">
        <w:rPr>
          <w:lang w:val="fr-CA"/>
        </w:rPr>
        <w:t>Society</w:t>
      </w:r>
      <w:r w:rsidR="00941440" w:rsidRPr="00855688">
        <w:rPr>
          <w:lang w:val="fr-CA"/>
        </w:rPr>
        <w:t xml:space="preserve"> et Association du B</w:t>
      </w:r>
      <w:r w:rsidR="00707082" w:rsidRPr="00855688">
        <w:rPr>
          <w:lang w:val="fr-CA"/>
        </w:rPr>
        <w:t>arreau canadien</w:t>
      </w:r>
      <w:r w:rsidR="00707082" w:rsidRPr="00855688">
        <w:rPr>
          <w:rStyle w:val="SCCLsocPartyRole"/>
          <w:lang w:val="fr-CA"/>
        </w:rPr>
        <w:tab/>
        <w:t>Intervenant</w:t>
      </w:r>
      <w:r w:rsidRPr="00855688">
        <w:rPr>
          <w:rStyle w:val="SCCLsocPartyRole"/>
          <w:lang w:val="fr-CA"/>
        </w:rPr>
        <w:t>s</w:t>
      </w:r>
    </w:p>
    <w:p w:rsidR="004D7D95" w:rsidRPr="00855688" w:rsidRDefault="004D7D95" w:rsidP="00F8598C">
      <w:pPr>
        <w:spacing w:after="720"/>
        <w:jc w:val="both"/>
        <w:rPr>
          <w:b/>
          <w:lang w:val="fr-CA"/>
        </w:rPr>
      </w:pPr>
      <w:r w:rsidRPr="00855688">
        <w:rPr>
          <w:b/>
          <w:lang w:val="fr-CA"/>
        </w:rPr>
        <w:t>Répertorié</w:t>
      </w:r>
      <w:r w:rsidR="00F8598C" w:rsidRPr="00855688">
        <w:rPr>
          <w:b/>
          <w:lang w:val="fr-CA"/>
        </w:rPr>
        <w:t> :</w:t>
      </w:r>
      <w:r w:rsidRPr="00855688">
        <w:rPr>
          <w:b/>
          <w:lang w:val="fr-CA"/>
        </w:rPr>
        <w:t xml:space="preserve"> Bruno Appliance and </w:t>
      </w:r>
      <w:proofErr w:type="spellStart"/>
      <w:r w:rsidRPr="00855688">
        <w:rPr>
          <w:b/>
          <w:lang w:val="fr-CA"/>
        </w:rPr>
        <w:t>Furniture</w:t>
      </w:r>
      <w:proofErr w:type="spellEnd"/>
      <w:r w:rsidRPr="00855688">
        <w:rPr>
          <w:b/>
          <w:lang w:val="fr-CA"/>
        </w:rPr>
        <w:t xml:space="preserve">, Inc. </w:t>
      </w:r>
      <w:r w:rsidRPr="00855688">
        <w:rPr>
          <w:b/>
          <w:i/>
          <w:lang w:val="fr-CA"/>
        </w:rPr>
        <w:t>c.</w:t>
      </w:r>
      <w:r w:rsidRPr="00855688">
        <w:rPr>
          <w:b/>
          <w:lang w:val="fr-CA"/>
        </w:rPr>
        <w:t xml:space="preserve"> </w:t>
      </w:r>
      <w:proofErr w:type="spellStart"/>
      <w:r w:rsidRPr="00855688">
        <w:rPr>
          <w:b/>
          <w:lang w:val="fr-CA"/>
        </w:rPr>
        <w:t>Hryniak</w:t>
      </w:r>
      <w:proofErr w:type="spellEnd"/>
    </w:p>
    <w:p w:rsidR="004D7D95" w:rsidRPr="00855688" w:rsidRDefault="009358F5" w:rsidP="00F8598C">
      <w:pPr>
        <w:pStyle w:val="SCCSystemYear"/>
        <w:spacing w:after="720"/>
        <w:jc w:val="both"/>
        <w:rPr>
          <w:lang w:val="fr-CA"/>
        </w:rPr>
      </w:pPr>
      <w:r w:rsidRPr="00855688">
        <w:rPr>
          <w:lang w:val="fr-CA"/>
        </w:rPr>
        <w:t>2014</w:t>
      </w:r>
      <w:r w:rsidR="004D7D95" w:rsidRPr="00855688">
        <w:rPr>
          <w:lang w:val="fr-CA"/>
        </w:rPr>
        <w:t xml:space="preserve"> CSC </w:t>
      </w:r>
      <w:r w:rsidR="00FD2084" w:rsidRPr="00855688">
        <w:rPr>
          <w:lang w:val="fr-CA"/>
        </w:rPr>
        <w:t>8</w:t>
      </w:r>
    </w:p>
    <w:p w:rsidR="004D7D95" w:rsidRPr="00855688" w:rsidRDefault="004D7D95" w:rsidP="00F8598C">
      <w:pPr>
        <w:spacing w:after="720"/>
        <w:jc w:val="both"/>
        <w:rPr>
          <w:lang w:val="fr-CA"/>
        </w:rPr>
      </w:pPr>
      <w:r w:rsidRPr="00855688">
        <w:rPr>
          <w:lang w:val="fr-CA"/>
        </w:rPr>
        <w:t>N</w:t>
      </w:r>
      <w:r w:rsidRPr="00855688">
        <w:rPr>
          <w:vertAlign w:val="superscript"/>
          <w:lang w:val="fr-CA"/>
        </w:rPr>
        <w:t>o</w:t>
      </w:r>
      <w:r w:rsidRPr="00855688">
        <w:rPr>
          <w:lang w:val="fr-CA"/>
        </w:rPr>
        <w:t xml:space="preserve"> du greffe</w:t>
      </w:r>
      <w:r w:rsidR="00F8598C" w:rsidRPr="00855688">
        <w:rPr>
          <w:lang w:val="fr-CA"/>
        </w:rPr>
        <w:t> :</w:t>
      </w:r>
      <w:r w:rsidRPr="00855688">
        <w:rPr>
          <w:lang w:val="fr-CA"/>
        </w:rPr>
        <w:t> 34645.</w:t>
      </w:r>
    </w:p>
    <w:p w:rsidR="004D7D95" w:rsidRPr="00855688" w:rsidRDefault="00F8598C" w:rsidP="00F8598C">
      <w:pPr>
        <w:spacing w:after="720"/>
        <w:jc w:val="both"/>
        <w:rPr>
          <w:lang w:val="fr-CA"/>
        </w:rPr>
      </w:pPr>
      <w:r w:rsidRPr="00855688">
        <w:rPr>
          <w:lang w:val="fr-CA"/>
        </w:rPr>
        <w:t>2013 : </w:t>
      </w:r>
      <w:r w:rsidR="00F62639" w:rsidRPr="00855688">
        <w:rPr>
          <w:lang w:val="fr-CA"/>
        </w:rPr>
        <w:t>26</w:t>
      </w:r>
      <w:r w:rsidRPr="00855688">
        <w:rPr>
          <w:lang w:val="fr-CA"/>
        </w:rPr>
        <w:t> </w:t>
      </w:r>
      <w:r w:rsidR="00F62639" w:rsidRPr="00855688">
        <w:rPr>
          <w:lang w:val="fr-CA"/>
        </w:rPr>
        <w:t>mars</w:t>
      </w:r>
      <w:r w:rsidR="004D7D95" w:rsidRPr="00855688">
        <w:rPr>
          <w:lang w:val="fr-CA"/>
        </w:rPr>
        <w:t xml:space="preserve">; </w:t>
      </w:r>
      <w:r w:rsidR="003D4E9A" w:rsidRPr="00855688">
        <w:rPr>
          <w:lang w:val="fr-CA"/>
        </w:rPr>
        <w:t>2014</w:t>
      </w:r>
      <w:r w:rsidRPr="00855688">
        <w:rPr>
          <w:lang w:val="fr-CA"/>
        </w:rPr>
        <w:t> : </w:t>
      </w:r>
      <w:r w:rsidR="003D4E9A" w:rsidRPr="00855688">
        <w:rPr>
          <w:lang w:val="fr-CA"/>
        </w:rPr>
        <w:t>23</w:t>
      </w:r>
      <w:r w:rsidRPr="00855688">
        <w:rPr>
          <w:lang w:val="fr-CA"/>
        </w:rPr>
        <w:t> </w:t>
      </w:r>
      <w:r w:rsidR="006B0F0B" w:rsidRPr="00855688">
        <w:rPr>
          <w:lang w:val="fr-CA"/>
        </w:rPr>
        <w:t>janvier</w:t>
      </w:r>
      <w:r w:rsidR="004D7D95" w:rsidRPr="00855688">
        <w:rPr>
          <w:lang w:val="fr-CA"/>
        </w:rPr>
        <w:t>.</w:t>
      </w:r>
    </w:p>
    <w:p w:rsidR="004D7D95" w:rsidRPr="00855688" w:rsidRDefault="004D7D95" w:rsidP="00F8598C">
      <w:pPr>
        <w:spacing w:after="720"/>
        <w:jc w:val="both"/>
        <w:rPr>
          <w:lang w:val="fr-CA"/>
        </w:rPr>
      </w:pPr>
      <w:r w:rsidRPr="00855688">
        <w:rPr>
          <w:lang w:val="fr-CA"/>
        </w:rPr>
        <w:t>Présents</w:t>
      </w:r>
      <w:r w:rsidR="00F8598C" w:rsidRPr="00855688">
        <w:rPr>
          <w:lang w:val="fr-CA"/>
        </w:rPr>
        <w:t> :</w:t>
      </w:r>
      <w:r w:rsidRPr="00855688">
        <w:rPr>
          <w:lang w:val="fr-CA"/>
        </w:rPr>
        <w:t xml:space="preserve"> La juge en chef McLachlin et les juges LeBel, Abella, </w:t>
      </w:r>
      <w:proofErr w:type="spellStart"/>
      <w:r w:rsidRPr="00855688">
        <w:rPr>
          <w:lang w:val="fr-CA"/>
        </w:rPr>
        <w:t>Rothstein</w:t>
      </w:r>
      <w:proofErr w:type="spellEnd"/>
      <w:r w:rsidRPr="00855688">
        <w:rPr>
          <w:lang w:val="fr-CA"/>
        </w:rPr>
        <w:t xml:space="preserve">, Cromwell, </w:t>
      </w:r>
      <w:proofErr w:type="spellStart"/>
      <w:r w:rsidRPr="00855688">
        <w:rPr>
          <w:lang w:val="fr-CA"/>
        </w:rPr>
        <w:t>Karakatsanis</w:t>
      </w:r>
      <w:proofErr w:type="spellEnd"/>
      <w:r w:rsidRPr="00855688">
        <w:rPr>
          <w:lang w:val="fr-CA"/>
        </w:rPr>
        <w:t xml:space="preserve"> et Wagner.</w:t>
      </w:r>
    </w:p>
    <w:p w:rsidR="004D7D95" w:rsidRPr="00855688" w:rsidRDefault="004D7D95" w:rsidP="00F8598C">
      <w:pPr>
        <w:spacing w:after="720"/>
        <w:jc w:val="both"/>
        <w:rPr>
          <w:smallCaps/>
          <w:lang w:val="fr-CA"/>
        </w:rPr>
      </w:pPr>
      <w:r w:rsidRPr="00855688">
        <w:rPr>
          <w:smallCaps/>
          <w:lang w:val="fr-CA"/>
        </w:rPr>
        <w:t>en appel de la cour d’appel de l’</w:t>
      </w:r>
      <w:proofErr w:type="spellStart"/>
      <w:r w:rsidRPr="00855688">
        <w:rPr>
          <w:smallCaps/>
          <w:lang w:val="fr-CA"/>
        </w:rPr>
        <w:t>ontario</w:t>
      </w:r>
      <w:proofErr w:type="spellEnd"/>
    </w:p>
    <w:p w:rsidR="004D7D95" w:rsidRPr="00855688" w:rsidRDefault="004D7D95" w:rsidP="00F8598C">
      <w:pPr>
        <w:pStyle w:val="SCCNormalDoubleSpacing"/>
        <w:spacing w:before="480" w:after="480"/>
        <w:rPr>
          <w:i/>
          <w:lang w:val="fr-CA"/>
        </w:rPr>
      </w:pPr>
      <w:r w:rsidRPr="00855688">
        <w:rPr>
          <w:lang w:val="fr-CA"/>
        </w:rPr>
        <w:tab/>
      </w:r>
      <w:r w:rsidR="00DA2AFE" w:rsidRPr="00855688">
        <w:rPr>
          <w:i/>
          <w:lang w:val="fr-CA"/>
        </w:rPr>
        <w:t>Proc</w:t>
      </w:r>
      <w:r w:rsidR="00A56AE6" w:rsidRPr="00855688">
        <w:rPr>
          <w:i/>
          <w:lang w:val="fr-CA"/>
        </w:rPr>
        <w:t>é</w:t>
      </w:r>
      <w:r w:rsidR="00DA2AFE" w:rsidRPr="00855688">
        <w:rPr>
          <w:i/>
          <w:lang w:val="fr-CA"/>
        </w:rPr>
        <w:t xml:space="preserve">dure civile </w:t>
      </w:r>
      <w:r w:rsidR="00F8598C" w:rsidRPr="00855688">
        <w:rPr>
          <w:i/>
          <w:lang w:val="fr-CA"/>
        </w:rPr>
        <w:t xml:space="preserve">— </w:t>
      </w:r>
      <w:r w:rsidR="00DA2AFE" w:rsidRPr="00855688">
        <w:rPr>
          <w:i/>
          <w:lang w:val="fr-CA"/>
        </w:rPr>
        <w:t xml:space="preserve">Jugement sommaire </w:t>
      </w:r>
      <w:r w:rsidR="00F8598C" w:rsidRPr="00855688">
        <w:rPr>
          <w:i/>
          <w:lang w:val="fr-CA"/>
        </w:rPr>
        <w:t xml:space="preserve">— </w:t>
      </w:r>
      <w:r w:rsidR="00DA2AFE" w:rsidRPr="00855688">
        <w:rPr>
          <w:i/>
          <w:lang w:val="fr-CA"/>
        </w:rPr>
        <w:t xml:space="preserve">Investisseur intentant une action pour fraude civile et présentant ensuite une </w:t>
      </w:r>
      <w:r w:rsidR="007375B1" w:rsidRPr="00855688">
        <w:rPr>
          <w:i/>
          <w:lang w:val="fr-CA"/>
        </w:rPr>
        <w:t>requête</w:t>
      </w:r>
      <w:r w:rsidR="00DA2AFE" w:rsidRPr="00855688">
        <w:rPr>
          <w:i/>
          <w:lang w:val="fr-CA"/>
        </w:rPr>
        <w:t xml:space="preserve"> en jugement sommaire </w:t>
      </w:r>
      <w:r w:rsidR="00F8598C" w:rsidRPr="00855688">
        <w:rPr>
          <w:i/>
          <w:lang w:val="fr-CA"/>
        </w:rPr>
        <w:t xml:space="preserve">— </w:t>
      </w:r>
      <w:r w:rsidR="00A56AE6" w:rsidRPr="00855688">
        <w:rPr>
          <w:i/>
          <w:lang w:val="fr-CA"/>
        </w:rPr>
        <w:t xml:space="preserve">Jugement accueillant la </w:t>
      </w:r>
      <w:r w:rsidR="007375B1" w:rsidRPr="00855688">
        <w:rPr>
          <w:i/>
          <w:lang w:val="fr-CA"/>
        </w:rPr>
        <w:t>requête</w:t>
      </w:r>
      <w:r w:rsidR="00A56AE6" w:rsidRPr="00855688">
        <w:rPr>
          <w:i/>
          <w:lang w:val="fr-CA"/>
        </w:rPr>
        <w:t xml:space="preserve"> en jugement sommaire infirmé par la Cour d’appel </w:t>
      </w:r>
      <w:r w:rsidR="00F8598C" w:rsidRPr="00855688">
        <w:rPr>
          <w:i/>
          <w:lang w:val="fr-CA"/>
        </w:rPr>
        <w:t xml:space="preserve">— </w:t>
      </w:r>
      <w:r w:rsidR="00A56AE6" w:rsidRPr="00855688">
        <w:rPr>
          <w:i/>
          <w:lang w:val="fr-CA"/>
        </w:rPr>
        <w:t xml:space="preserve">Éléments de la fraude civile </w:t>
      </w:r>
      <w:r w:rsidR="00F8598C" w:rsidRPr="00855688">
        <w:rPr>
          <w:i/>
          <w:lang w:val="fr-CA"/>
        </w:rPr>
        <w:t xml:space="preserve">— </w:t>
      </w:r>
      <w:r w:rsidR="00A56AE6" w:rsidRPr="00855688">
        <w:rPr>
          <w:i/>
          <w:lang w:val="fr-CA"/>
        </w:rPr>
        <w:t xml:space="preserve">Le juge saisi de la </w:t>
      </w:r>
      <w:r w:rsidR="007375B1" w:rsidRPr="00855688">
        <w:rPr>
          <w:i/>
          <w:lang w:val="fr-CA"/>
        </w:rPr>
        <w:t>requête</w:t>
      </w:r>
      <w:r w:rsidR="00A56AE6" w:rsidRPr="00855688">
        <w:rPr>
          <w:i/>
          <w:lang w:val="fr-CA"/>
        </w:rPr>
        <w:t xml:space="preserve"> </w:t>
      </w:r>
      <w:proofErr w:type="spellStart"/>
      <w:r w:rsidR="00A56AE6" w:rsidRPr="00855688">
        <w:rPr>
          <w:i/>
          <w:lang w:val="fr-CA"/>
        </w:rPr>
        <w:t>a</w:t>
      </w:r>
      <w:r w:rsidR="00F8598C" w:rsidRPr="00855688">
        <w:rPr>
          <w:i/>
          <w:lang w:val="fr-CA"/>
        </w:rPr>
        <w:noBreakHyphen/>
      </w:r>
      <w:r w:rsidR="00A56AE6" w:rsidRPr="00855688">
        <w:rPr>
          <w:i/>
          <w:lang w:val="fr-CA"/>
        </w:rPr>
        <w:t>t</w:t>
      </w:r>
      <w:r w:rsidR="00F8598C" w:rsidRPr="00855688">
        <w:rPr>
          <w:i/>
          <w:lang w:val="fr-CA"/>
        </w:rPr>
        <w:noBreakHyphen/>
      </w:r>
      <w:r w:rsidR="00A56AE6" w:rsidRPr="00855688">
        <w:rPr>
          <w:i/>
          <w:lang w:val="fr-CA"/>
        </w:rPr>
        <w:t>il</w:t>
      </w:r>
      <w:proofErr w:type="spellEnd"/>
      <w:r w:rsidR="00A56AE6" w:rsidRPr="00855688">
        <w:rPr>
          <w:i/>
          <w:lang w:val="fr-CA"/>
        </w:rPr>
        <w:t xml:space="preserve"> commis une erreur en accueillant la </w:t>
      </w:r>
      <w:r w:rsidR="007375B1" w:rsidRPr="00855688">
        <w:rPr>
          <w:i/>
          <w:lang w:val="fr-CA"/>
        </w:rPr>
        <w:t>requête</w:t>
      </w:r>
      <w:r w:rsidR="00A56AE6" w:rsidRPr="00855688">
        <w:rPr>
          <w:i/>
          <w:lang w:val="fr-CA"/>
        </w:rPr>
        <w:t xml:space="preserve"> en jugement sommaire? </w:t>
      </w:r>
      <w:r w:rsidR="00F8598C" w:rsidRPr="00855688">
        <w:rPr>
          <w:i/>
          <w:lang w:val="fr-CA"/>
        </w:rPr>
        <w:t xml:space="preserve">— </w:t>
      </w:r>
      <w:r w:rsidR="00A56AE6" w:rsidRPr="00855688">
        <w:rPr>
          <w:i/>
          <w:lang w:val="fr-CA"/>
        </w:rPr>
        <w:t xml:space="preserve">Règles de procédure civile, R.R.O. </w:t>
      </w:r>
      <w:r w:rsidR="00FF1DB9" w:rsidRPr="00855688">
        <w:rPr>
          <w:i/>
          <w:lang w:val="fr-CA"/>
        </w:rPr>
        <w:t xml:space="preserve">1990, </w:t>
      </w:r>
      <w:proofErr w:type="spellStart"/>
      <w:r w:rsidR="00A56AE6" w:rsidRPr="00855688">
        <w:rPr>
          <w:i/>
          <w:lang w:val="fr-CA"/>
        </w:rPr>
        <w:t>Règl</w:t>
      </w:r>
      <w:proofErr w:type="spellEnd"/>
      <w:r w:rsidR="00A56AE6" w:rsidRPr="00855688">
        <w:rPr>
          <w:i/>
          <w:lang w:val="fr-CA"/>
        </w:rPr>
        <w:t>. 194, règle</w:t>
      </w:r>
      <w:r w:rsidR="00F8598C" w:rsidRPr="00855688">
        <w:rPr>
          <w:i/>
          <w:lang w:val="fr-CA"/>
        </w:rPr>
        <w:t> </w:t>
      </w:r>
      <w:r w:rsidR="00A56AE6" w:rsidRPr="00855688">
        <w:rPr>
          <w:i/>
          <w:lang w:val="fr-CA"/>
        </w:rPr>
        <w:t>20</w:t>
      </w:r>
      <w:r w:rsidR="00B25BE2">
        <w:rPr>
          <w:i/>
          <w:lang w:val="fr-CA"/>
        </w:rPr>
        <w:t>.</w:t>
      </w:r>
    </w:p>
    <w:p w:rsidR="004D7D95" w:rsidRPr="00855688" w:rsidRDefault="004D7D95" w:rsidP="00F8598C">
      <w:pPr>
        <w:pStyle w:val="SCCNormalDoubleSpacing"/>
        <w:spacing w:before="480" w:after="480"/>
        <w:rPr>
          <w:lang w:val="fr-CA"/>
        </w:rPr>
      </w:pPr>
      <w:r w:rsidRPr="00855688">
        <w:rPr>
          <w:lang w:val="fr-CA"/>
        </w:rPr>
        <w:tab/>
      </w:r>
      <w:r w:rsidR="00A56AE6" w:rsidRPr="00855688">
        <w:rPr>
          <w:lang w:val="fr-CA"/>
        </w:rPr>
        <w:t xml:space="preserve">Bruno Appliance and </w:t>
      </w:r>
      <w:proofErr w:type="spellStart"/>
      <w:r w:rsidR="00A56AE6" w:rsidRPr="00855688">
        <w:rPr>
          <w:lang w:val="fr-CA"/>
        </w:rPr>
        <w:t>Furniture</w:t>
      </w:r>
      <w:proofErr w:type="spellEnd"/>
      <w:r w:rsidR="00A56AE6" w:rsidRPr="00855688">
        <w:rPr>
          <w:lang w:val="fr-CA"/>
        </w:rPr>
        <w:t xml:space="preserve">, Inc. est une société américaine.  Son dirigeant a rencontré le dirigeant de </w:t>
      </w:r>
      <w:proofErr w:type="spellStart"/>
      <w:r w:rsidR="00A56AE6" w:rsidRPr="00855688">
        <w:rPr>
          <w:lang w:val="fr-CA"/>
        </w:rPr>
        <w:t>Frontline</w:t>
      </w:r>
      <w:proofErr w:type="spellEnd"/>
      <w:r w:rsidR="00A56AE6" w:rsidRPr="00855688">
        <w:rPr>
          <w:lang w:val="fr-CA"/>
        </w:rPr>
        <w:t xml:space="preserve"> </w:t>
      </w:r>
      <w:proofErr w:type="spellStart"/>
      <w:r w:rsidR="00A56AE6" w:rsidRPr="00855688">
        <w:rPr>
          <w:lang w:val="fr-CA"/>
        </w:rPr>
        <w:t>Investments</w:t>
      </w:r>
      <w:proofErr w:type="spellEnd"/>
      <w:r w:rsidR="00A56AE6" w:rsidRPr="00855688">
        <w:rPr>
          <w:lang w:val="fr-CA"/>
        </w:rPr>
        <w:t xml:space="preserve">, Inc. et comme suite à ces rencontres, il a signé un certain nombre de documents de placement en faveur de </w:t>
      </w:r>
      <w:proofErr w:type="spellStart"/>
      <w:r w:rsidR="00A56AE6" w:rsidRPr="00855688">
        <w:rPr>
          <w:lang w:val="fr-CA"/>
        </w:rPr>
        <w:t>Frontline</w:t>
      </w:r>
      <w:proofErr w:type="spellEnd"/>
      <w:r w:rsidR="00A56AE6" w:rsidRPr="00855688">
        <w:rPr>
          <w:lang w:val="fr-CA"/>
        </w:rPr>
        <w:t xml:space="preserve">. </w:t>
      </w:r>
      <w:r w:rsidR="00A5127A" w:rsidRPr="00855688">
        <w:rPr>
          <w:lang w:val="fr-CA"/>
        </w:rPr>
        <w:t xml:space="preserve"> Bruno Appliance a par la suite transféré un million de dollars américains à </w:t>
      </w:r>
      <w:proofErr w:type="spellStart"/>
      <w:r w:rsidR="00A5127A" w:rsidRPr="00855688">
        <w:rPr>
          <w:lang w:val="fr-CA"/>
        </w:rPr>
        <w:t>Cassels</w:t>
      </w:r>
      <w:proofErr w:type="spellEnd"/>
      <w:r w:rsidR="00A5127A" w:rsidRPr="00855688">
        <w:rPr>
          <w:lang w:val="fr-CA"/>
        </w:rPr>
        <w:t xml:space="preserve"> </w:t>
      </w:r>
      <w:proofErr w:type="spellStart"/>
      <w:r w:rsidR="00A5127A" w:rsidRPr="00855688">
        <w:rPr>
          <w:lang w:val="fr-CA"/>
        </w:rPr>
        <w:t>Brock</w:t>
      </w:r>
      <w:proofErr w:type="spellEnd"/>
      <w:r w:rsidR="00A5127A" w:rsidRPr="00855688">
        <w:rPr>
          <w:lang w:val="fr-CA"/>
        </w:rPr>
        <w:t xml:space="preserve">, qui a placé l’argent dans un compte associé à </w:t>
      </w:r>
      <w:proofErr w:type="spellStart"/>
      <w:r w:rsidR="00A5127A" w:rsidRPr="00855688">
        <w:rPr>
          <w:lang w:val="fr-CA"/>
        </w:rPr>
        <w:t>Tropos</w:t>
      </w:r>
      <w:proofErr w:type="spellEnd"/>
      <w:r w:rsidR="00A5127A" w:rsidRPr="00855688">
        <w:rPr>
          <w:lang w:val="fr-CA"/>
        </w:rPr>
        <w:t xml:space="preserve"> </w:t>
      </w:r>
      <w:r w:rsidR="00B25BE2">
        <w:rPr>
          <w:lang w:val="fr-CA"/>
        </w:rPr>
        <w:t>Capital Inc.</w:t>
      </w:r>
      <w:r w:rsidR="00A5127A" w:rsidRPr="00855688">
        <w:rPr>
          <w:lang w:val="fr-CA"/>
        </w:rPr>
        <w:t xml:space="preserve">, une </w:t>
      </w:r>
      <w:r w:rsidR="00A5127A" w:rsidRPr="00855688">
        <w:rPr>
          <w:lang w:val="fr-CA"/>
        </w:rPr>
        <w:lastRenderedPageBreak/>
        <w:t xml:space="preserve">entreprise dont H </w:t>
      </w:r>
      <w:r w:rsidR="00F8598C" w:rsidRPr="00855688">
        <w:rPr>
          <w:lang w:val="fr-CA"/>
        </w:rPr>
        <w:t>était le dirigeant</w:t>
      </w:r>
      <w:r w:rsidR="00A5127A" w:rsidRPr="00855688">
        <w:rPr>
          <w:lang w:val="fr-CA"/>
        </w:rPr>
        <w:t xml:space="preserve">.  Les fonds de Bruno Appliance ont ensuite été regroupés avec d’autres fonds et versés à </w:t>
      </w:r>
      <w:proofErr w:type="spellStart"/>
      <w:r w:rsidR="00A5127A" w:rsidRPr="00855688">
        <w:rPr>
          <w:lang w:val="fr-CA"/>
        </w:rPr>
        <w:t>Tropos</w:t>
      </w:r>
      <w:proofErr w:type="spellEnd"/>
      <w:r w:rsidR="00A5127A" w:rsidRPr="00855688">
        <w:rPr>
          <w:lang w:val="fr-CA"/>
        </w:rPr>
        <w:t xml:space="preserve"> par traite bancaire.  L’argent de Bruno Appliance n’a pas été investi et est disparu.</w:t>
      </w:r>
    </w:p>
    <w:p w:rsidR="00A5127A" w:rsidRPr="00855688" w:rsidRDefault="00A5127A" w:rsidP="00F8598C">
      <w:pPr>
        <w:pStyle w:val="SCCNormalDoubleSpacing"/>
        <w:spacing w:before="480" w:after="480"/>
        <w:rPr>
          <w:lang w:val="fr-CA"/>
        </w:rPr>
      </w:pPr>
      <w:r w:rsidRPr="00855688">
        <w:rPr>
          <w:lang w:val="fr-CA"/>
        </w:rPr>
        <w:tab/>
        <w:t xml:space="preserve">Bruno Appliance a intenté contre H et d’autres personnes une action pour fraude civile et a présenté une </w:t>
      </w:r>
      <w:r w:rsidR="007375B1" w:rsidRPr="00855688">
        <w:rPr>
          <w:lang w:val="fr-CA"/>
        </w:rPr>
        <w:t>requête</w:t>
      </w:r>
      <w:r w:rsidRPr="00855688">
        <w:rPr>
          <w:lang w:val="fr-CA"/>
        </w:rPr>
        <w:t xml:space="preserve"> en jugement sommaire.  Le juge saisi de la </w:t>
      </w:r>
      <w:r w:rsidR="007375B1" w:rsidRPr="00855688">
        <w:rPr>
          <w:lang w:val="fr-CA"/>
        </w:rPr>
        <w:t>requête</w:t>
      </w:r>
      <w:r w:rsidRPr="00855688">
        <w:rPr>
          <w:lang w:val="fr-CA"/>
        </w:rPr>
        <w:t xml:space="preserve"> a conclu que Bruno Appliance avait établi le </w:t>
      </w:r>
      <w:proofErr w:type="spellStart"/>
      <w:r w:rsidRPr="00855688">
        <w:rPr>
          <w:lang w:val="fr-CA"/>
        </w:rPr>
        <w:t>bien</w:t>
      </w:r>
      <w:r w:rsidR="00F8598C" w:rsidRPr="00855688">
        <w:rPr>
          <w:lang w:val="fr-CA"/>
        </w:rPr>
        <w:noBreakHyphen/>
      </w:r>
      <w:r w:rsidRPr="00855688">
        <w:rPr>
          <w:lang w:val="fr-CA"/>
        </w:rPr>
        <w:t>fondé</w:t>
      </w:r>
      <w:proofErr w:type="spellEnd"/>
      <w:r w:rsidRPr="00855688">
        <w:rPr>
          <w:lang w:val="fr-CA"/>
        </w:rPr>
        <w:t xml:space="preserve"> de sa poursuite et qu’aucune question ne nécessitait la tenue d’un </w:t>
      </w:r>
      <w:r w:rsidR="00FA130D" w:rsidRPr="00855688">
        <w:rPr>
          <w:lang w:val="fr-CA"/>
        </w:rPr>
        <w:t>procès</w:t>
      </w:r>
      <w:r w:rsidRPr="00855688">
        <w:rPr>
          <w:lang w:val="fr-CA"/>
        </w:rPr>
        <w:t xml:space="preserve">.  </w:t>
      </w:r>
      <w:r w:rsidR="00837A1A" w:rsidRPr="00855688">
        <w:rPr>
          <w:lang w:val="fr-CA"/>
        </w:rPr>
        <w:t>La Cour d’appel s’est dite d’avis contraire et a ordonné l’instruction de l’action intentée par Bruno Appliance.</w:t>
      </w:r>
    </w:p>
    <w:p w:rsidR="004D7D95" w:rsidRPr="00855688" w:rsidRDefault="00837A1A" w:rsidP="00F8598C">
      <w:pPr>
        <w:pStyle w:val="SCCNormalDoubleSpacing"/>
        <w:spacing w:before="480" w:after="480"/>
        <w:rPr>
          <w:lang w:val="fr-CA"/>
        </w:rPr>
      </w:pPr>
      <w:r w:rsidRPr="00855688">
        <w:rPr>
          <w:lang w:val="fr-CA"/>
        </w:rPr>
        <w:tab/>
      </w:r>
      <w:r w:rsidR="004D7D95" w:rsidRPr="00855688">
        <w:rPr>
          <w:i/>
          <w:lang w:val="fr-CA"/>
        </w:rPr>
        <w:t>Arrêt</w:t>
      </w:r>
      <w:r w:rsidR="00F8598C" w:rsidRPr="00855688">
        <w:rPr>
          <w:lang w:val="fr-CA"/>
        </w:rPr>
        <w:t> :</w:t>
      </w:r>
      <w:r w:rsidR="004D7D95" w:rsidRPr="00855688">
        <w:rPr>
          <w:lang w:val="fr-CA"/>
        </w:rPr>
        <w:t xml:space="preserve"> Le pourvoi est</w:t>
      </w:r>
      <w:r w:rsidRPr="00855688">
        <w:rPr>
          <w:lang w:val="fr-CA"/>
        </w:rPr>
        <w:t xml:space="preserve"> rejeté.</w:t>
      </w:r>
    </w:p>
    <w:p w:rsidR="001D30AD" w:rsidRPr="00855688" w:rsidRDefault="004D7D95" w:rsidP="00F8598C">
      <w:pPr>
        <w:pStyle w:val="SCCNormalDoubleSpacing"/>
        <w:spacing w:before="480" w:after="480"/>
        <w:rPr>
          <w:lang w:val="fr-CA"/>
        </w:rPr>
      </w:pPr>
      <w:r w:rsidRPr="00855688">
        <w:rPr>
          <w:lang w:val="fr-CA"/>
        </w:rPr>
        <w:tab/>
      </w:r>
      <w:r w:rsidR="00837A1A" w:rsidRPr="00855688">
        <w:rPr>
          <w:lang w:val="fr-CA"/>
        </w:rPr>
        <w:t>La po</w:t>
      </w:r>
      <w:r w:rsidR="00FD2084" w:rsidRPr="00855688">
        <w:rPr>
          <w:lang w:val="fr-CA"/>
        </w:rPr>
        <w:t>rtée et l’interprétation de la r</w:t>
      </w:r>
      <w:r w:rsidR="00837A1A" w:rsidRPr="00855688">
        <w:rPr>
          <w:lang w:val="fr-CA"/>
        </w:rPr>
        <w:t xml:space="preserve">ègle 20 </w:t>
      </w:r>
      <w:r w:rsidR="00FF1DB9" w:rsidRPr="00855688">
        <w:rPr>
          <w:lang w:val="fr-CA"/>
        </w:rPr>
        <w:t xml:space="preserve">relative à la </w:t>
      </w:r>
      <w:r w:rsidR="007375B1" w:rsidRPr="00855688">
        <w:rPr>
          <w:lang w:val="fr-CA"/>
        </w:rPr>
        <w:t>requête</w:t>
      </w:r>
      <w:r w:rsidR="00837A1A" w:rsidRPr="00855688">
        <w:rPr>
          <w:lang w:val="fr-CA"/>
        </w:rPr>
        <w:t xml:space="preserve"> en jugement sommaire sont examiné</w:t>
      </w:r>
      <w:r w:rsidR="00D1328C">
        <w:rPr>
          <w:lang w:val="fr-CA"/>
        </w:rPr>
        <w:t>e</w:t>
      </w:r>
      <w:r w:rsidR="00837A1A" w:rsidRPr="00855688">
        <w:rPr>
          <w:lang w:val="fr-CA"/>
        </w:rPr>
        <w:t xml:space="preserve">s dans le pourvoi connexe </w:t>
      </w:r>
      <w:proofErr w:type="spellStart"/>
      <w:r w:rsidR="00E069A1">
        <w:rPr>
          <w:i/>
          <w:lang w:val="fr-CA"/>
        </w:rPr>
        <w:t>Hry</w:t>
      </w:r>
      <w:r w:rsidR="001D30AD" w:rsidRPr="00855688">
        <w:rPr>
          <w:i/>
          <w:lang w:val="fr-CA"/>
        </w:rPr>
        <w:t>niak</w:t>
      </w:r>
      <w:proofErr w:type="spellEnd"/>
      <w:r w:rsidR="001D30AD" w:rsidRPr="00855688">
        <w:rPr>
          <w:i/>
          <w:lang w:val="fr-CA"/>
        </w:rPr>
        <w:t xml:space="preserve"> c. </w:t>
      </w:r>
      <w:proofErr w:type="spellStart"/>
      <w:r w:rsidR="00837A1A" w:rsidRPr="00855688">
        <w:rPr>
          <w:i/>
          <w:lang w:val="fr-CA"/>
        </w:rPr>
        <w:t>Mauldin</w:t>
      </w:r>
      <w:proofErr w:type="spellEnd"/>
      <w:r w:rsidR="001D30AD" w:rsidRPr="00855688">
        <w:rPr>
          <w:lang w:val="fr-CA"/>
        </w:rPr>
        <w:t xml:space="preserve">, 2014 CSC </w:t>
      </w:r>
      <w:r w:rsidR="00FD2084" w:rsidRPr="00855688">
        <w:rPr>
          <w:lang w:val="fr-CA"/>
        </w:rPr>
        <w:t>7</w:t>
      </w:r>
      <w:r w:rsidR="00DF6D67">
        <w:rPr>
          <w:lang w:val="fr-CA"/>
        </w:rPr>
        <w:t xml:space="preserve">, [2014] 1 R.C.S. </w:t>
      </w:r>
      <w:r w:rsidR="00D1328C">
        <w:rPr>
          <w:lang w:val="fr-CA"/>
        </w:rPr>
        <w:t>87</w:t>
      </w:r>
      <w:r w:rsidR="001D30AD" w:rsidRPr="00855688">
        <w:rPr>
          <w:lang w:val="fr-CA"/>
        </w:rPr>
        <w:t xml:space="preserve">.  Un jugement sommaire ne peut pas être rendu en vertu de la </w:t>
      </w:r>
      <w:r w:rsidR="00FD2084" w:rsidRPr="00855688">
        <w:rPr>
          <w:lang w:val="fr-CA"/>
        </w:rPr>
        <w:t>r</w:t>
      </w:r>
      <w:r w:rsidR="001D30AD" w:rsidRPr="00855688">
        <w:rPr>
          <w:lang w:val="fr-CA"/>
        </w:rPr>
        <w:t xml:space="preserve">ègle 20 en présence d’une véritable question nécessitant la tenue d’un </w:t>
      </w:r>
      <w:r w:rsidR="00FA130D" w:rsidRPr="00855688">
        <w:rPr>
          <w:lang w:val="fr-CA"/>
        </w:rPr>
        <w:t>procès</w:t>
      </w:r>
      <w:r w:rsidR="001D30AD" w:rsidRPr="00855688">
        <w:rPr>
          <w:lang w:val="fr-CA"/>
        </w:rPr>
        <w:t xml:space="preserve">.  Le juge saisi de la </w:t>
      </w:r>
      <w:r w:rsidR="007375B1" w:rsidRPr="00855688">
        <w:rPr>
          <w:lang w:val="fr-CA"/>
        </w:rPr>
        <w:t>requête</w:t>
      </w:r>
      <w:r w:rsidR="001D30AD" w:rsidRPr="00855688">
        <w:rPr>
          <w:lang w:val="fr-CA"/>
        </w:rPr>
        <w:t xml:space="preserve"> doit se demander si l’affaire peut être réglée de manière juste et équitable par voie de </w:t>
      </w:r>
      <w:r w:rsidR="007375B1" w:rsidRPr="00855688">
        <w:rPr>
          <w:lang w:val="fr-CA"/>
        </w:rPr>
        <w:t>requête</w:t>
      </w:r>
      <w:r w:rsidR="001D30AD" w:rsidRPr="00855688">
        <w:rPr>
          <w:lang w:val="fr-CA"/>
        </w:rPr>
        <w:t xml:space="preserve"> en jugement sommaire.  Ce sera le cas lorsque la procédure (1) lui permet de tirer les conclusions de fait qui s’imposent, (2) lui permet d’appliquer le droit aux faits et (3) constitue un moyen proportionné, plus expéditif et moins coûteux d’atteindre un résultat juste.  Si, compte tenu uniquement du dossier dont dispose le juge, il semble y avoir une véritable question nécessitant la tenue d’un </w:t>
      </w:r>
      <w:r w:rsidR="00FA130D" w:rsidRPr="00855688">
        <w:rPr>
          <w:lang w:val="fr-CA"/>
        </w:rPr>
        <w:t>procès</w:t>
      </w:r>
      <w:r w:rsidR="001D30AD" w:rsidRPr="00855688">
        <w:rPr>
          <w:lang w:val="fr-CA"/>
        </w:rPr>
        <w:t xml:space="preserve">, ce dernier doit alors se demander si l’exercice des nouveaux pouvoirs que confèrent les </w:t>
      </w:r>
      <w:r w:rsidR="00F8598C" w:rsidRPr="00855688">
        <w:rPr>
          <w:lang w:val="fr-CA"/>
        </w:rPr>
        <w:t>par. </w:t>
      </w:r>
      <w:proofErr w:type="gramStart"/>
      <w:r w:rsidR="001D30AD" w:rsidRPr="00855688">
        <w:rPr>
          <w:lang w:val="fr-CA"/>
        </w:rPr>
        <w:t>20.04(</w:t>
      </w:r>
      <w:proofErr w:type="gramEnd"/>
      <w:r w:rsidR="001D30AD" w:rsidRPr="00855688">
        <w:rPr>
          <w:lang w:val="fr-CA"/>
        </w:rPr>
        <w:t xml:space="preserve">2.1) et (2.2) des Règles permet </w:t>
      </w:r>
      <w:r w:rsidR="001D30AD" w:rsidRPr="00855688">
        <w:rPr>
          <w:lang w:val="fr-CA"/>
        </w:rPr>
        <w:lastRenderedPageBreak/>
        <w:t xml:space="preserve">d’écarter le besoin d’un </w:t>
      </w:r>
      <w:r w:rsidR="00FA130D" w:rsidRPr="00855688">
        <w:rPr>
          <w:lang w:val="fr-CA"/>
        </w:rPr>
        <w:t>procès</w:t>
      </w:r>
      <w:r w:rsidR="001D30AD" w:rsidRPr="00855688">
        <w:rPr>
          <w:lang w:val="fr-CA"/>
        </w:rPr>
        <w:t>.  Il peut, à son gré, exercer ces pouvoirs pourvu que leur exercice ne soit pas contraire à l’intérêt de la justice.</w:t>
      </w:r>
    </w:p>
    <w:p w:rsidR="001D30AD" w:rsidRPr="00855688" w:rsidRDefault="001D30AD" w:rsidP="00F8598C">
      <w:pPr>
        <w:pStyle w:val="SCCNormalDoubleSpacing"/>
        <w:spacing w:before="480" w:after="480"/>
        <w:rPr>
          <w:lang w:val="fr-CA"/>
        </w:rPr>
      </w:pPr>
      <w:r w:rsidRPr="00855688">
        <w:rPr>
          <w:b/>
          <w:lang w:val="fr-CA"/>
        </w:rPr>
        <w:tab/>
      </w:r>
      <w:r w:rsidRPr="00855688">
        <w:rPr>
          <w:lang w:val="fr-CA"/>
        </w:rPr>
        <w:t xml:space="preserve">La Cour d’appel n’a pas commis d’erreur en décidant que Bruno Appliance ne doit pas obtenir un jugement sommaire contre H.  </w:t>
      </w:r>
      <w:r w:rsidR="00BD4276" w:rsidRPr="00855688">
        <w:rPr>
          <w:lang w:val="fr-CA"/>
        </w:rPr>
        <w:t>Les quatre éléments suivants constituent le délit de fraude civile</w:t>
      </w:r>
      <w:r w:rsidR="00F8598C" w:rsidRPr="00855688">
        <w:rPr>
          <w:lang w:val="fr-CA"/>
        </w:rPr>
        <w:t> :</w:t>
      </w:r>
      <w:r w:rsidR="00BD4276" w:rsidRPr="00855688">
        <w:rPr>
          <w:lang w:val="fr-CA"/>
        </w:rPr>
        <w:t xml:space="preserve"> (1) le défendeur a fait une fausse déclaration; (2) le défendeur savait, jusqu’à un certain point, que sa déclaration était fausse (sciemment ou par insouciance); (3) la fausse déclaration a incité le demandeur à agir; (4) les actes du demandeur ont entraîné une perte.</w:t>
      </w:r>
    </w:p>
    <w:p w:rsidR="00BD4276" w:rsidRPr="00855688" w:rsidRDefault="00BD4276" w:rsidP="00F8598C">
      <w:pPr>
        <w:pStyle w:val="SCCNormalDoubleSpacing"/>
        <w:spacing w:before="480" w:after="480"/>
        <w:rPr>
          <w:lang w:val="fr-CA"/>
        </w:rPr>
      </w:pPr>
      <w:r w:rsidRPr="00855688">
        <w:rPr>
          <w:lang w:val="fr-CA"/>
        </w:rPr>
        <w:tab/>
      </w:r>
      <w:r w:rsidR="003F5824" w:rsidRPr="00855688">
        <w:rPr>
          <w:lang w:val="fr-CA"/>
        </w:rPr>
        <w:t xml:space="preserve">La fraude civile exige que H ait fait une fausse déclaration ayant incité Bruno Appliance à investir.  Le juge saisi de la </w:t>
      </w:r>
      <w:r w:rsidR="007375B1" w:rsidRPr="00855688">
        <w:rPr>
          <w:lang w:val="fr-CA"/>
        </w:rPr>
        <w:t>requête</w:t>
      </w:r>
      <w:r w:rsidR="003F5824" w:rsidRPr="00855688">
        <w:rPr>
          <w:lang w:val="fr-CA"/>
        </w:rPr>
        <w:t xml:space="preserve"> n’a ni souligné la nécessité qu’il y ait eu fausse déclaration, ni conclu que H avait fait une telle déclaration.  H n’était pas présent à la rencontre qui a amené Bruno à investir et les conclusions du juge saisi de la </w:t>
      </w:r>
      <w:r w:rsidR="007375B1" w:rsidRPr="00855688">
        <w:rPr>
          <w:lang w:val="fr-CA"/>
        </w:rPr>
        <w:t>requête</w:t>
      </w:r>
      <w:r w:rsidR="003F5824" w:rsidRPr="00855688">
        <w:rPr>
          <w:lang w:val="fr-CA"/>
        </w:rPr>
        <w:t xml:space="preserve"> ne suffisent pas à prouver que des déclarations fausses faites lors de la rencontre peuvent être attribuées à H.</w:t>
      </w:r>
    </w:p>
    <w:p w:rsidR="003F5824" w:rsidRPr="00855688" w:rsidRDefault="003F5824" w:rsidP="00F8598C">
      <w:pPr>
        <w:pStyle w:val="SCCNormalDoubleSpacing"/>
        <w:spacing w:before="480" w:after="480"/>
        <w:rPr>
          <w:lang w:val="fr-CA"/>
        </w:rPr>
      </w:pPr>
      <w:r w:rsidRPr="00855688">
        <w:rPr>
          <w:lang w:val="fr-CA"/>
        </w:rPr>
        <w:tab/>
      </w:r>
      <w:r w:rsidR="00357AB9" w:rsidRPr="00855688">
        <w:rPr>
          <w:lang w:val="fr-CA"/>
        </w:rPr>
        <w:t xml:space="preserve">Bien que la preuve démontre clairement que H était au courant de la fraude, et qu’il en a </w:t>
      </w:r>
      <w:proofErr w:type="spellStart"/>
      <w:r w:rsidR="00357AB9" w:rsidRPr="00855688">
        <w:rPr>
          <w:lang w:val="fr-CA"/>
        </w:rPr>
        <w:t>peut</w:t>
      </w:r>
      <w:r w:rsidR="00F8598C" w:rsidRPr="00855688">
        <w:rPr>
          <w:lang w:val="fr-CA"/>
        </w:rPr>
        <w:noBreakHyphen/>
      </w:r>
      <w:r w:rsidR="00357AB9" w:rsidRPr="00855688">
        <w:rPr>
          <w:lang w:val="fr-CA"/>
        </w:rPr>
        <w:t>être</w:t>
      </w:r>
      <w:proofErr w:type="spellEnd"/>
      <w:r w:rsidR="00357AB9" w:rsidRPr="00855688">
        <w:rPr>
          <w:lang w:val="fr-CA"/>
        </w:rPr>
        <w:t xml:space="preserve"> effectivement bénéficié, </w:t>
      </w:r>
      <w:r w:rsidR="00FF1DB9" w:rsidRPr="00855688">
        <w:rPr>
          <w:lang w:val="fr-CA"/>
        </w:rPr>
        <w:t xml:space="preserve">la question de savoir si </w:t>
      </w:r>
      <w:r w:rsidR="00357AB9" w:rsidRPr="00855688">
        <w:rPr>
          <w:lang w:val="fr-CA"/>
        </w:rPr>
        <w:t>H a commis</w:t>
      </w:r>
      <w:r w:rsidR="00357AB9" w:rsidRPr="00855688">
        <w:rPr>
          <w:i/>
          <w:lang w:val="fr-CA"/>
        </w:rPr>
        <w:t xml:space="preserve"> </w:t>
      </w:r>
      <w:r w:rsidR="00357AB9" w:rsidRPr="00855688">
        <w:rPr>
          <w:lang w:val="fr-CA"/>
        </w:rPr>
        <w:t xml:space="preserve">la fraude en incitant Bruno Appliance à verser un million de dollars américains à un projet d’investissement inexistant constitue une véritable question nécessitant la tenue d’un </w:t>
      </w:r>
      <w:r w:rsidR="00FA130D" w:rsidRPr="00855688">
        <w:rPr>
          <w:lang w:val="fr-CA"/>
        </w:rPr>
        <w:t>procès</w:t>
      </w:r>
      <w:r w:rsidR="00357AB9" w:rsidRPr="00855688">
        <w:rPr>
          <w:lang w:val="fr-CA"/>
        </w:rPr>
        <w:t>.</w:t>
      </w:r>
    </w:p>
    <w:p w:rsidR="004D7D95" w:rsidRPr="00855688" w:rsidRDefault="004D7D95" w:rsidP="00F8598C">
      <w:pPr>
        <w:pStyle w:val="SCCNormalDoubleSpacing"/>
        <w:keepNext/>
        <w:spacing w:after="720" w:line="240" w:lineRule="auto"/>
        <w:rPr>
          <w:b/>
          <w:lang w:val="fr-CA"/>
        </w:rPr>
      </w:pPr>
      <w:r w:rsidRPr="00855688">
        <w:rPr>
          <w:b/>
          <w:lang w:val="fr-CA"/>
        </w:rPr>
        <w:lastRenderedPageBreak/>
        <w:t>Jurisprudence</w:t>
      </w:r>
    </w:p>
    <w:p w:rsidR="004D7D95" w:rsidRPr="00855688" w:rsidRDefault="004D7D95" w:rsidP="00F8598C">
      <w:pPr>
        <w:pStyle w:val="SCCNormalDoubleSpacing"/>
        <w:spacing w:before="480" w:after="480"/>
        <w:rPr>
          <w:b/>
          <w:lang w:val="fr-CA"/>
        </w:rPr>
      </w:pPr>
      <w:r w:rsidRPr="00855688">
        <w:rPr>
          <w:lang w:val="fr-CA"/>
        </w:rPr>
        <w:tab/>
      </w:r>
      <w:r w:rsidRPr="00855688">
        <w:rPr>
          <w:b/>
          <w:lang w:val="fr-CA"/>
        </w:rPr>
        <w:t>Arrêt</w:t>
      </w:r>
      <w:r w:rsidR="00270092" w:rsidRPr="00855688">
        <w:rPr>
          <w:b/>
          <w:lang w:val="fr-CA"/>
        </w:rPr>
        <w:t xml:space="preserve"> appliqué </w:t>
      </w:r>
      <w:r w:rsidR="00F8598C" w:rsidRPr="00855688">
        <w:rPr>
          <w:b/>
          <w:lang w:val="fr-CA"/>
        </w:rPr>
        <w:t>:</w:t>
      </w:r>
      <w:r w:rsidRPr="00855688">
        <w:rPr>
          <w:lang w:val="fr-CA"/>
        </w:rPr>
        <w:t xml:space="preserve"> </w:t>
      </w:r>
      <w:proofErr w:type="spellStart"/>
      <w:r w:rsidR="00D63055" w:rsidRPr="00855688">
        <w:rPr>
          <w:i/>
          <w:lang w:val="fr-CA"/>
        </w:rPr>
        <w:t>Hryniak</w:t>
      </w:r>
      <w:proofErr w:type="spellEnd"/>
      <w:r w:rsidR="00D63055" w:rsidRPr="00855688">
        <w:rPr>
          <w:i/>
          <w:lang w:val="fr-CA"/>
        </w:rPr>
        <w:t xml:space="preserve"> c. </w:t>
      </w:r>
      <w:proofErr w:type="spellStart"/>
      <w:r w:rsidR="00D63055" w:rsidRPr="00855688">
        <w:rPr>
          <w:i/>
          <w:lang w:val="fr-CA"/>
        </w:rPr>
        <w:t>Mauldin</w:t>
      </w:r>
      <w:proofErr w:type="spellEnd"/>
      <w:r w:rsidR="00D63055" w:rsidRPr="00FA28AC">
        <w:rPr>
          <w:lang w:val="fr-CA"/>
        </w:rPr>
        <w:t>,</w:t>
      </w:r>
      <w:r w:rsidR="00D20533" w:rsidRPr="00855688">
        <w:rPr>
          <w:lang w:val="fr-CA"/>
        </w:rPr>
        <w:t xml:space="preserve"> 2014</w:t>
      </w:r>
      <w:r w:rsidR="00D63055" w:rsidRPr="00855688">
        <w:rPr>
          <w:lang w:val="fr-CA"/>
        </w:rPr>
        <w:t xml:space="preserve"> CSC </w:t>
      </w:r>
      <w:r w:rsidR="00FD2084" w:rsidRPr="00855688">
        <w:rPr>
          <w:lang w:val="fr-CA"/>
        </w:rPr>
        <w:t>7</w:t>
      </w:r>
      <w:r w:rsidR="00FA28AC">
        <w:rPr>
          <w:lang w:val="fr-CA"/>
        </w:rPr>
        <w:t xml:space="preserve">, [2014] 1 R.C.S. </w:t>
      </w:r>
      <w:r w:rsidR="00D1328C">
        <w:rPr>
          <w:lang w:val="fr-CA"/>
        </w:rPr>
        <w:t>87</w:t>
      </w:r>
      <w:r w:rsidR="00D63055" w:rsidRPr="00855688">
        <w:rPr>
          <w:lang w:val="fr-CA"/>
        </w:rPr>
        <w:t>;</w:t>
      </w:r>
      <w:r w:rsidR="00D63055" w:rsidRPr="00855688">
        <w:rPr>
          <w:i/>
          <w:lang w:val="fr-CA"/>
        </w:rPr>
        <w:t xml:space="preserve"> </w:t>
      </w:r>
      <w:r w:rsidR="00270092" w:rsidRPr="00855688">
        <w:rPr>
          <w:b/>
          <w:lang w:val="fr-CA"/>
        </w:rPr>
        <w:t xml:space="preserve">arrêts mentionnés : </w:t>
      </w:r>
      <w:r w:rsidR="00316E03" w:rsidRPr="00855688">
        <w:rPr>
          <w:i/>
          <w:lang w:val="fr-CA"/>
        </w:rPr>
        <w:t xml:space="preserve">Derry c. </w:t>
      </w:r>
      <w:proofErr w:type="spellStart"/>
      <w:r w:rsidR="00316E03" w:rsidRPr="00855688">
        <w:rPr>
          <w:i/>
          <w:lang w:val="fr-CA"/>
        </w:rPr>
        <w:t>Peek</w:t>
      </w:r>
      <w:proofErr w:type="spellEnd"/>
      <w:r w:rsidR="00316E03" w:rsidRPr="00855688">
        <w:rPr>
          <w:lang w:val="fr-CA"/>
        </w:rPr>
        <w:t xml:space="preserve"> (1889), 14 </w:t>
      </w:r>
      <w:proofErr w:type="spellStart"/>
      <w:r w:rsidR="00316E03" w:rsidRPr="00855688">
        <w:rPr>
          <w:lang w:val="fr-CA"/>
        </w:rPr>
        <w:t>A</w:t>
      </w:r>
      <w:r w:rsidR="00F8598C" w:rsidRPr="00855688">
        <w:rPr>
          <w:lang w:val="fr-CA"/>
        </w:rPr>
        <w:t>pp</w:t>
      </w:r>
      <w:proofErr w:type="spellEnd"/>
      <w:r w:rsidR="00F8598C" w:rsidRPr="00855688">
        <w:rPr>
          <w:lang w:val="fr-CA"/>
        </w:rPr>
        <w:t>. </w:t>
      </w:r>
      <w:r w:rsidR="00316E03" w:rsidRPr="00855688">
        <w:rPr>
          <w:lang w:val="fr-CA"/>
        </w:rPr>
        <w:t xml:space="preserve">Cas. 337; </w:t>
      </w:r>
      <w:proofErr w:type="spellStart"/>
      <w:r w:rsidR="00316E03" w:rsidRPr="00855688">
        <w:rPr>
          <w:i/>
          <w:lang w:val="fr-CA"/>
        </w:rPr>
        <w:t>Parna</w:t>
      </w:r>
      <w:proofErr w:type="spellEnd"/>
      <w:r w:rsidR="00316E03" w:rsidRPr="00855688">
        <w:rPr>
          <w:i/>
          <w:lang w:val="fr-CA"/>
        </w:rPr>
        <w:t xml:space="preserve"> c. G. &amp; S. </w:t>
      </w:r>
      <w:proofErr w:type="spellStart"/>
      <w:r w:rsidR="00316E03" w:rsidRPr="00855688">
        <w:rPr>
          <w:i/>
          <w:lang w:val="fr-CA"/>
        </w:rPr>
        <w:t>Properties</w:t>
      </w:r>
      <w:proofErr w:type="spellEnd"/>
      <w:r w:rsidR="00316E03" w:rsidRPr="00855688">
        <w:rPr>
          <w:i/>
          <w:lang w:val="fr-CA"/>
        </w:rPr>
        <w:t xml:space="preserve"> Ltd.</w:t>
      </w:r>
      <w:r w:rsidR="00316E03" w:rsidRPr="00855688">
        <w:rPr>
          <w:lang w:val="fr-CA"/>
        </w:rPr>
        <w:t xml:space="preserve">, [1971] R.C.S. 306; </w:t>
      </w:r>
      <w:proofErr w:type="spellStart"/>
      <w:r w:rsidR="00316E03" w:rsidRPr="00855688">
        <w:rPr>
          <w:i/>
          <w:lang w:val="fr-CA"/>
        </w:rPr>
        <w:t>Snell</w:t>
      </w:r>
      <w:proofErr w:type="spellEnd"/>
      <w:r w:rsidR="00316E03" w:rsidRPr="00855688">
        <w:rPr>
          <w:i/>
          <w:lang w:val="fr-CA"/>
        </w:rPr>
        <w:t xml:space="preserve"> c. Farrell</w:t>
      </w:r>
      <w:r w:rsidR="00316E03" w:rsidRPr="00855688">
        <w:rPr>
          <w:lang w:val="fr-CA"/>
        </w:rPr>
        <w:t xml:space="preserve">, [1990] 2 R.C.S. 311; </w:t>
      </w:r>
      <w:r w:rsidR="00316E03" w:rsidRPr="00855688">
        <w:rPr>
          <w:i/>
          <w:lang w:val="fr-CA"/>
        </w:rPr>
        <w:t xml:space="preserve">Angers c. </w:t>
      </w:r>
      <w:proofErr w:type="spellStart"/>
      <w:r w:rsidR="00316E03" w:rsidRPr="00855688">
        <w:rPr>
          <w:i/>
          <w:lang w:val="fr-CA"/>
        </w:rPr>
        <w:t>Mutual</w:t>
      </w:r>
      <w:proofErr w:type="spellEnd"/>
      <w:r w:rsidR="00316E03" w:rsidRPr="00855688">
        <w:rPr>
          <w:i/>
          <w:lang w:val="fr-CA"/>
        </w:rPr>
        <w:t xml:space="preserve"> Reserve </w:t>
      </w:r>
      <w:proofErr w:type="spellStart"/>
      <w:r w:rsidR="00316E03" w:rsidRPr="00855688">
        <w:rPr>
          <w:i/>
          <w:lang w:val="fr-CA"/>
        </w:rPr>
        <w:t>Fund</w:t>
      </w:r>
      <w:proofErr w:type="spellEnd"/>
      <w:r w:rsidR="00316E03" w:rsidRPr="00855688">
        <w:rPr>
          <w:i/>
          <w:lang w:val="fr-CA"/>
        </w:rPr>
        <w:t xml:space="preserve"> Life </w:t>
      </w:r>
      <w:proofErr w:type="spellStart"/>
      <w:r w:rsidR="00316E03" w:rsidRPr="00855688">
        <w:rPr>
          <w:i/>
          <w:lang w:val="fr-CA"/>
        </w:rPr>
        <w:t>Assn</w:t>
      </w:r>
      <w:proofErr w:type="spellEnd"/>
      <w:r w:rsidR="00316E03" w:rsidRPr="00855688">
        <w:rPr>
          <w:i/>
          <w:lang w:val="fr-CA"/>
        </w:rPr>
        <w:t>.</w:t>
      </w:r>
      <w:r w:rsidR="00316E03" w:rsidRPr="00855688">
        <w:rPr>
          <w:lang w:val="fr-CA"/>
        </w:rPr>
        <w:t xml:space="preserve"> (1904), 35 R.C.S. 330.</w:t>
      </w:r>
    </w:p>
    <w:p w:rsidR="004D7D95" w:rsidRPr="00855688" w:rsidRDefault="004D7D95" w:rsidP="00F8598C">
      <w:pPr>
        <w:pStyle w:val="SCCNormalDoubleSpacing"/>
        <w:keepNext/>
        <w:spacing w:after="720" w:line="240" w:lineRule="auto"/>
        <w:rPr>
          <w:b/>
          <w:lang w:val="fr-CA"/>
        </w:rPr>
      </w:pPr>
      <w:r w:rsidRPr="00855688">
        <w:rPr>
          <w:b/>
          <w:lang w:val="fr-CA"/>
        </w:rPr>
        <w:t>Lois et règlements cités</w:t>
      </w:r>
    </w:p>
    <w:p w:rsidR="004D7D95" w:rsidRPr="00855688" w:rsidRDefault="003125AA" w:rsidP="00F8598C">
      <w:pPr>
        <w:pStyle w:val="SCCNormalDoubleSpacing"/>
        <w:spacing w:after="720" w:line="240" w:lineRule="auto"/>
        <w:ind w:left="547" w:hanging="547"/>
        <w:rPr>
          <w:lang w:val="fr-CA"/>
        </w:rPr>
      </w:pPr>
      <w:r w:rsidRPr="00855688">
        <w:rPr>
          <w:i/>
          <w:lang w:val="fr-CA"/>
        </w:rPr>
        <w:t>Règles de proc</w:t>
      </w:r>
      <w:r w:rsidR="00A56AE6" w:rsidRPr="00855688">
        <w:rPr>
          <w:i/>
          <w:lang w:val="fr-CA"/>
        </w:rPr>
        <w:t>é</w:t>
      </w:r>
      <w:r w:rsidRPr="00855688">
        <w:rPr>
          <w:i/>
          <w:lang w:val="fr-CA"/>
        </w:rPr>
        <w:t>dure civile</w:t>
      </w:r>
      <w:r w:rsidR="00F8598C" w:rsidRPr="00855688">
        <w:rPr>
          <w:lang w:val="fr-CA"/>
        </w:rPr>
        <w:t xml:space="preserve">, R.R.O. 1990, </w:t>
      </w:r>
      <w:proofErr w:type="spellStart"/>
      <w:r w:rsidR="00F8598C" w:rsidRPr="00855688">
        <w:rPr>
          <w:lang w:val="fr-CA"/>
        </w:rPr>
        <w:t>Règl</w:t>
      </w:r>
      <w:proofErr w:type="spellEnd"/>
      <w:r w:rsidR="00F8598C" w:rsidRPr="00855688">
        <w:rPr>
          <w:lang w:val="fr-CA"/>
        </w:rPr>
        <w:t>. </w:t>
      </w:r>
      <w:r w:rsidRPr="00855688">
        <w:rPr>
          <w:lang w:val="fr-CA"/>
        </w:rPr>
        <w:t>194, règle</w:t>
      </w:r>
      <w:r w:rsidR="00F8598C" w:rsidRPr="00855688">
        <w:rPr>
          <w:lang w:val="fr-CA"/>
        </w:rPr>
        <w:t> </w:t>
      </w:r>
      <w:r w:rsidR="00073747" w:rsidRPr="00855688">
        <w:rPr>
          <w:lang w:val="fr-CA"/>
        </w:rPr>
        <w:t>20</w:t>
      </w:r>
      <w:r w:rsidRPr="00855688">
        <w:rPr>
          <w:lang w:val="fr-CA"/>
        </w:rPr>
        <w:t>.</w:t>
      </w:r>
    </w:p>
    <w:p w:rsidR="004D7D95" w:rsidRPr="00855688" w:rsidRDefault="004D7D95" w:rsidP="00F8598C">
      <w:pPr>
        <w:pStyle w:val="SCCNormalDoubleSpacing"/>
        <w:keepNext/>
        <w:spacing w:after="720" w:line="240" w:lineRule="auto"/>
        <w:rPr>
          <w:b/>
          <w:lang w:val="fr-CA"/>
        </w:rPr>
      </w:pPr>
      <w:r w:rsidRPr="00855688">
        <w:rPr>
          <w:b/>
          <w:lang w:val="fr-CA"/>
        </w:rPr>
        <w:t>Doctrine et autres documents cités</w:t>
      </w:r>
    </w:p>
    <w:p w:rsidR="00316E03" w:rsidRPr="00855688" w:rsidRDefault="00316E03" w:rsidP="00F8598C">
      <w:pPr>
        <w:pStyle w:val="SCCNormalDoubleSpacing"/>
        <w:spacing w:after="720" w:line="240" w:lineRule="auto"/>
        <w:ind w:left="547" w:hanging="547"/>
      </w:pPr>
      <w:r w:rsidRPr="00855688">
        <w:t>Osborne, Philip</w:t>
      </w:r>
      <w:r w:rsidR="00F8598C" w:rsidRPr="00855688">
        <w:t> </w:t>
      </w:r>
      <w:r w:rsidRPr="00855688">
        <w:t xml:space="preserve">H.  </w:t>
      </w:r>
      <w:r w:rsidRPr="00855688">
        <w:rPr>
          <w:i/>
        </w:rPr>
        <w:t>The Law of Torts</w:t>
      </w:r>
      <w:r w:rsidRPr="00855688">
        <w:t xml:space="preserve">, 4th </w:t>
      </w:r>
      <w:proofErr w:type="gramStart"/>
      <w:r w:rsidRPr="00855688">
        <w:t>ed</w:t>
      </w:r>
      <w:proofErr w:type="gramEnd"/>
      <w:r w:rsidRPr="00855688">
        <w:t xml:space="preserve">.  </w:t>
      </w:r>
      <w:proofErr w:type="gramStart"/>
      <w:r w:rsidRPr="00855688">
        <w:t>Toronto</w:t>
      </w:r>
      <w:r w:rsidR="009038A8">
        <w:t xml:space="preserve"> </w:t>
      </w:r>
      <w:r w:rsidRPr="00855688">
        <w:t>:</w:t>
      </w:r>
      <w:proofErr w:type="gramEnd"/>
      <w:r w:rsidRPr="00855688">
        <w:t xml:space="preserve"> Irwin Law, 2011.</w:t>
      </w:r>
    </w:p>
    <w:p w:rsidR="002B3D5B" w:rsidRPr="00855688" w:rsidRDefault="002B3D5B" w:rsidP="00F8598C">
      <w:pPr>
        <w:pStyle w:val="SCCNormalDoubleSpacing"/>
        <w:spacing w:before="480" w:after="480"/>
        <w:ind w:firstLine="1166"/>
        <w:rPr>
          <w:lang w:val="fr-CA"/>
        </w:rPr>
      </w:pPr>
      <w:r w:rsidRPr="00855688">
        <w:t xml:space="preserve">POURVOI </w:t>
      </w:r>
      <w:proofErr w:type="spellStart"/>
      <w:r w:rsidRPr="00855688">
        <w:t>contre</w:t>
      </w:r>
      <w:proofErr w:type="spellEnd"/>
      <w:r w:rsidRPr="00855688">
        <w:t xml:space="preserve"> un </w:t>
      </w:r>
      <w:proofErr w:type="spellStart"/>
      <w:r w:rsidRPr="00855688">
        <w:t>arrêt</w:t>
      </w:r>
      <w:proofErr w:type="spellEnd"/>
      <w:r w:rsidRPr="00855688">
        <w:t xml:space="preserve"> de la </w:t>
      </w:r>
      <w:proofErr w:type="spellStart"/>
      <w:r w:rsidRPr="00855688">
        <w:t>Cour</w:t>
      </w:r>
      <w:proofErr w:type="spellEnd"/>
      <w:r w:rsidRPr="00855688">
        <w:t xml:space="preserve"> </w:t>
      </w:r>
      <w:proofErr w:type="spellStart"/>
      <w:r w:rsidRPr="00855688">
        <w:t>d’appel</w:t>
      </w:r>
      <w:proofErr w:type="spellEnd"/>
      <w:r w:rsidRPr="00855688">
        <w:t xml:space="preserve"> de </w:t>
      </w:r>
      <w:proofErr w:type="spellStart"/>
      <w:r w:rsidRPr="00855688">
        <w:t>l’Ontario</w:t>
      </w:r>
      <w:proofErr w:type="spellEnd"/>
      <w:r w:rsidRPr="00855688">
        <w:t xml:space="preserve"> (le </w:t>
      </w:r>
      <w:proofErr w:type="spellStart"/>
      <w:r w:rsidRPr="00855688">
        <w:t>juge</w:t>
      </w:r>
      <w:proofErr w:type="spellEnd"/>
      <w:r w:rsidRPr="00855688">
        <w:t xml:space="preserve"> en chef Winkler et les </w:t>
      </w:r>
      <w:proofErr w:type="spellStart"/>
      <w:r w:rsidRPr="00855688">
        <w:t>juges</w:t>
      </w:r>
      <w:proofErr w:type="spellEnd"/>
      <w:r w:rsidRPr="00855688">
        <w:t xml:space="preserve"> </w:t>
      </w:r>
      <w:proofErr w:type="spellStart"/>
      <w:r w:rsidRPr="00855688">
        <w:t>Laskin</w:t>
      </w:r>
      <w:proofErr w:type="spellEnd"/>
      <w:r w:rsidRPr="00855688">
        <w:t xml:space="preserve">, Sharpe, Armstrong et </w:t>
      </w:r>
      <w:proofErr w:type="spellStart"/>
      <w:r w:rsidRPr="00855688">
        <w:t>Rouleau</w:t>
      </w:r>
      <w:proofErr w:type="spellEnd"/>
      <w:r w:rsidRPr="00855688">
        <w:t xml:space="preserve">), 2011 ONCA 764, 108 O.R. (3d) 1, 286 O.A.C. 3, 97 C.C.E.L. (3d) 25, 14 C.P.C. (7th) 242, 13 R.P.R. (5th) 167, 93 B.L.R. (4th) 1, 344 D.L.R. (4th) 193, 10 C.L.R. (4th) 17, [2011] O.J. </w:t>
      </w:r>
      <w:r w:rsidR="00F8598C" w:rsidRPr="00855688">
        <w:t>No. </w:t>
      </w:r>
      <w:r w:rsidRPr="00855688">
        <w:t xml:space="preserve">5431 (QL), 2011 </w:t>
      </w:r>
      <w:proofErr w:type="spellStart"/>
      <w:r w:rsidRPr="00855688">
        <w:t>CarswellOnt</w:t>
      </w:r>
      <w:proofErr w:type="spellEnd"/>
      <w:r w:rsidRPr="00855688">
        <w:t xml:space="preserve"> 13515</w:t>
      </w:r>
      <w:r w:rsidRPr="00855688">
        <w:rPr>
          <w:lang w:val="fr-CA"/>
        </w:rPr>
        <w:t xml:space="preserve">, qui a </w:t>
      </w:r>
      <w:r w:rsidR="004D39C8" w:rsidRPr="00855688">
        <w:rPr>
          <w:lang w:val="fr-CA"/>
        </w:rPr>
        <w:t>infi</w:t>
      </w:r>
      <w:r w:rsidRPr="00855688">
        <w:rPr>
          <w:lang w:val="fr-CA"/>
        </w:rPr>
        <w:t xml:space="preserve">rmé une décision du juge Grace, 2010 ONSC 5490, [2010] O.J. </w:t>
      </w:r>
      <w:r w:rsidR="00F8598C" w:rsidRPr="00855688">
        <w:rPr>
          <w:lang w:val="fr-CA"/>
        </w:rPr>
        <w:t>No. </w:t>
      </w:r>
      <w:r w:rsidRPr="00855688">
        <w:rPr>
          <w:lang w:val="fr-CA"/>
        </w:rPr>
        <w:t xml:space="preserve">4661 (QL), 2010 </w:t>
      </w:r>
      <w:proofErr w:type="spellStart"/>
      <w:r w:rsidRPr="00855688">
        <w:rPr>
          <w:lang w:val="fr-CA"/>
        </w:rPr>
        <w:t>CarswellOnt</w:t>
      </w:r>
      <w:proofErr w:type="spellEnd"/>
      <w:r w:rsidRPr="00855688">
        <w:rPr>
          <w:lang w:val="fr-CA"/>
        </w:rPr>
        <w:t xml:space="preserve"> 8325.  Pourvoi rejeté.</w:t>
      </w:r>
    </w:p>
    <w:p w:rsidR="0058529F" w:rsidRPr="00855688" w:rsidRDefault="002B3D5B" w:rsidP="00F8598C">
      <w:pPr>
        <w:pStyle w:val="SCCNormalDoubleSpacing"/>
        <w:spacing w:before="480" w:after="480"/>
        <w:rPr>
          <w:lang w:val="fr-CA"/>
        </w:rPr>
      </w:pPr>
      <w:r w:rsidRPr="00855688">
        <w:rPr>
          <w:i/>
          <w:lang w:val="fr-CA"/>
        </w:rPr>
        <w:tab/>
      </w:r>
      <w:proofErr w:type="spellStart"/>
      <w:r w:rsidRPr="00855688">
        <w:rPr>
          <w:i/>
          <w:lang w:val="fr-CA"/>
        </w:rPr>
        <w:t>Javad</w:t>
      </w:r>
      <w:proofErr w:type="spellEnd"/>
      <w:r w:rsidRPr="00855688">
        <w:rPr>
          <w:i/>
          <w:lang w:val="fr-CA"/>
        </w:rPr>
        <w:t xml:space="preserve"> </w:t>
      </w:r>
      <w:proofErr w:type="spellStart"/>
      <w:r w:rsidRPr="00855688">
        <w:rPr>
          <w:i/>
          <w:lang w:val="fr-CA"/>
        </w:rPr>
        <w:t>Heydary</w:t>
      </w:r>
      <w:proofErr w:type="spellEnd"/>
      <w:r w:rsidR="00EC4DCB" w:rsidRPr="009038A8">
        <w:rPr>
          <w:lang w:val="fr-CA"/>
        </w:rPr>
        <w:t>,</w:t>
      </w:r>
      <w:r w:rsidR="00EC4DCB" w:rsidRPr="00855688">
        <w:rPr>
          <w:i/>
          <w:lang w:val="fr-CA"/>
        </w:rPr>
        <w:t xml:space="preserve"> Jeffrey</w:t>
      </w:r>
      <w:r w:rsidR="00F8598C" w:rsidRPr="00855688">
        <w:rPr>
          <w:i/>
          <w:lang w:val="fr-CA"/>
        </w:rPr>
        <w:t> </w:t>
      </w:r>
      <w:r w:rsidR="00EC4DCB" w:rsidRPr="00855688">
        <w:rPr>
          <w:i/>
          <w:lang w:val="fr-CA"/>
        </w:rPr>
        <w:t xml:space="preserve">D. </w:t>
      </w:r>
      <w:proofErr w:type="spellStart"/>
      <w:r w:rsidR="00EC4DCB" w:rsidRPr="00855688">
        <w:rPr>
          <w:i/>
          <w:lang w:val="fr-CA"/>
        </w:rPr>
        <w:t>Landmann</w:t>
      </w:r>
      <w:proofErr w:type="spellEnd"/>
      <w:r w:rsidR="00EC4DCB" w:rsidRPr="00855688">
        <w:rPr>
          <w:lang w:val="fr-CA"/>
        </w:rPr>
        <w:t xml:space="preserve">, </w:t>
      </w:r>
      <w:r w:rsidR="00EC4DCB" w:rsidRPr="00855688">
        <w:rPr>
          <w:i/>
          <w:lang w:val="fr-CA"/>
        </w:rPr>
        <w:t>David</w:t>
      </w:r>
      <w:r w:rsidR="00F8598C" w:rsidRPr="00855688">
        <w:rPr>
          <w:i/>
          <w:lang w:val="fr-CA"/>
        </w:rPr>
        <w:t> </w:t>
      </w:r>
      <w:r w:rsidR="00EC4DCB" w:rsidRPr="00855688">
        <w:rPr>
          <w:i/>
          <w:lang w:val="fr-CA"/>
        </w:rPr>
        <w:t xml:space="preserve">K. </w:t>
      </w:r>
      <w:proofErr w:type="spellStart"/>
      <w:r w:rsidR="00EC4DCB" w:rsidRPr="00855688">
        <w:rPr>
          <w:i/>
          <w:lang w:val="fr-CA"/>
        </w:rPr>
        <w:t>Alderson</w:t>
      </w:r>
      <w:proofErr w:type="spellEnd"/>
      <w:r w:rsidR="00EC4DCB" w:rsidRPr="00855688">
        <w:rPr>
          <w:lang w:val="fr-CA"/>
        </w:rPr>
        <w:t xml:space="preserve">, </w:t>
      </w:r>
      <w:r w:rsidR="00EC4DCB" w:rsidRPr="00855688">
        <w:rPr>
          <w:i/>
          <w:lang w:val="fr-CA"/>
        </w:rPr>
        <w:t>Michelle Jackson</w:t>
      </w:r>
      <w:r w:rsidR="00EC4DCB" w:rsidRPr="00855688">
        <w:rPr>
          <w:lang w:val="fr-CA"/>
        </w:rPr>
        <w:t xml:space="preserve"> et </w:t>
      </w:r>
      <w:r w:rsidR="00EC4DCB" w:rsidRPr="00855688">
        <w:rPr>
          <w:i/>
          <w:lang w:val="fr-CA"/>
        </w:rPr>
        <w:t xml:space="preserve">Jonathan A. </w:t>
      </w:r>
      <w:proofErr w:type="spellStart"/>
      <w:r w:rsidR="00EC4DCB" w:rsidRPr="00855688">
        <w:rPr>
          <w:i/>
          <w:lang w:val="fr-CA"/>
        </w:rPr>
        <w:t>Odumeru</w:t>
      </w:r>
      <w:proofErr w:type="spellEnd"/>
      <w:r w:rsidRPr="00855688">
        <w:rPr>
          <w:lang w:val="fr-CA"/>
        </w:rPr>
        <w:t>, pour l</w:t>
      </w:r>
      <w:r w:rsidR="00EC4DCB" w:rsidRPr="00855688">
        <w:rPr>
          <w:lang w:val="fr-CA"/>
        </w:rPr>
        <w:t>’appelante</w:t>
      </w:r>
      <w:r w:rsidRPr="00855688">
        <w:rPr>
          <w:lang w:val="fr-CA"/>
        </w:rPr>
        <w:t>.</w:t>
      </w:r>
    </w:p>
    <w:p w:rsidR="0058529F" w:rsidRPr="00855688" w:rsidRDefault="002B3D5B" w:rsidP="00F8598C">
      <w:pPr>
        <w:pStyle w:val="SCCNormalDoubleSpacing"/>
        <w:spacing w:before="480" w:after="480"/>
        <w:rPr>
          <w:lang w:val="fr-CA"/>
        </w:rPr>
      </w:pPr>
      <w:r w:rsidRPr="00855688">
        <w:rPr>
          <w:i/>
          <w:lang w:val="fr-CA"/>
        </w:rPr>
        <w:lastRenderedPageBreak/>
        <w:tab/>
      </w:r>
      <w:proofErr w:type="spellStart"/>
      <w:r w:rsidR="00F8598C" w:rsidRPr="00855688">
        <w:rPr>
          <w:i/>
          <w:lang w:val="fr-CA"/>
        </w:rPr>
        <w:t>Sarit</w:t>
      </w:r>
      <w:proofErr w:type="spellEnd"/>
      <w:r w:rsidR="00F8598C" w:rsidRPr="00855688">
        <w:rPr>
          <w:i/>
          <w:lang w:val="fr-CA"/>
        </w:rPr>
        <w:t> </w:t>
      </w:r>
      <w:r w:rsidRPr="00855688">
        <w:rPr>
          <w:i/>
          <w:lang w:val="fr-CA"/>
        </w:rPr>
        <w:t xml:space="preserve">E. </w:t>
      </w:r>
      <w:proofErr w:type="spellStart"/>
      <w:r w:rsidRPr="00855688">
        <w:rPr>
          <w:i/>
          <w:lang w:val="fr-CA"/>
        </w:rPr>
        <w:t>Batner</w:t>
      </w:r>
      <w:proofErr w:type="spellEnd"/>
      <w:r w:rsidRPr="00855688">
        <w:rPr>
          <w:lang w:val="fr-CA"/>
        </w:rPr>
        <w:t xml:space="preserve">, </w:t>
      </w:r>
      <w:r w:rsidRPr="00855688">
        <w:rPr>
          <w:i/>
          <w:lang w:val="fr-CA"/>
        </w:rPr>
        <w:t xml:space="preserve">Brandon </w:t>
      </w:r>
      <w:proofErr w:type="spellStart"/>
      <w:r w:rsidRPr="00855688">
        <w:rPr>
          <w:i/>
          <w:lang w:val="fr-CA"/>
        </w:rPr>
        <w:t>Kain</w:t>
      </w:r>
      <w:proofErr w:type="spellEnd"/>
      <w:r w:rsidRPr="00855688">
        <w:rPr>
          <w:lang w:val="fr-CA"/>
        </w:rPr>
        <w:t xml:space="preserve"> et </w:t>
      </w:r>
      <w:proofErr w:type="spellStart"/>
      <w:r w:rsidR="00F8598C" w:rsidRPr="00855688">
        <w:rPr>
          <w:i/>
          <w:lang w:val="fr-CA"/>
        </w:rPr>
        <w:t>Moya</w:t>
      </w:r>
      <w:proofErr w:type="spellEnd"/>
      <w:r w:rsidR="00F8598C" w:rsidRPr="00855688">
        <w:rPr>
          <w:i/>
          <w:lang w:val="fr-CA"/>
        </w:rPr>
        <w:t> </w:t>
      </w:r>
      <w:r w:rsidRPr="00855688">
        <w:rPr>
          <w:i/>
          <w:lang w:val="fr-CA"/>
        </w:rPr>
        <w:t>J. Graham</w:t>
      </w:r>
      <w:r w:rsidR="00EC4DCB" w:rsidRPr="00855688">
        <w:rPr>
          <w:lang w:val="fr-CA"/>
        </w:rPr>
        <w:t>, pour l’</w:t>
      </w:r>
      <w:r w:rsidRPr="00855688">
        <w:rPr>
          <w:lang w:val="fr-CA"/>
        </w:rPr>
        <w:t>intimé.</w:t>
      </w:r>
    </w:p>
    <w:p w:rsidR="00EC4DCB" w:rsidRPr="00855688" w:rsidRDefault="00EC4DCB" w:rsidP="00F8598C">
      <w:pPr>
        <w:pStyle w:val="SCCNormalDoubleSpacing"/>
        <w:spacing w:before="480" w:after="480"/>
        <w:rPr>
          <w:lang w:val="fr-CA"/>
        </w:rPr>
      </w:pPr>
      <w:r w:rsidRPr="00855688">
        <w:rPr>
          <w:i/>
          <w:lang w:val="fr-CA"/>
        </w:rPr>
        <w:tab/>
      </w:r>
      <w:proofErr w:type="spellStart"/>
      <w:r w:rsidRPr="00855688">
        <w:rPr>
          <w:i/>
          <w:lang w:val="fr-CA"/>
        </w:rPr>
        <w:t>Malliha</w:t>
      </w:r>
      <w:proofErr w:type="spellEnd"/>
      <w:r w:rsidRPr="00855688">
        <w:rPr>
          <w:i/>
          <w:lang w:val="fr-CA"/>
        </w:rPr>
        <w:t xml:space="preserve"> Wilson</w:t>
      </w:r>
      <w:r w:rsidRPr="00855688">
        <w:rPr>
          <w:lang w:val="fr-CA"/>
        </w:rPr>
        <w:t xml:space="preserve"> et </w:t>
      </w:r>
      <w:r w:rsidRPr="00855688">
        <w:rPr>
          <w:i/>
          <w:lang w:val="fr-CA"/>
        </w:rPr>
        <w:t>Christopher</w:t>
      </w:r>
      <w:r w:rsidR="00F8598C" w:rsidRPr="00855688">
        <w:rPr>
          <w:i/>
          <w:lang w:val="fr-CA"/>
        </w:rPr>
        <w:t xml:space="preserve"> P. </w:t>
      </w:r>
      <w:r w:rsidRPr="00855688">
        <w:rPr>
          <w:i/>
          <w:lang w:val="fr-CA"/>
        </w:rPr>
        <w:t>Thompson</w:t>
      </w:r>
      <w:r w:rsidRPr="00855688">
        <w:rPr>
          <w:lang w:val="fr-CA"/>
        </w:rPr>
        <w:t>, pour l’intervenant le procureur général de l’Ontario.</w:t>
      </w:r>
    </w:p>
    <w:p w:rsidR="0058529F" w:rsidRPr="00855688" w:rsidRDefault="002B3D5B" w:rsidP="00F8598C">
      <w:pPr>
        <w:pStyle w:val="SCCNormalDoubleSpacing"/>
        <w:spacing w:before="480" w:after="480"/>
        <w:rPr>
          <w:lang w:val="fr-CA"/>
        </w:rPr>
      </w:pPr>
      <w:r w:rsidRPr="00855688">
        <w:rPr>
          <w:i/>
          <w:lang w:val="fr-CA"/>
        </w:rPr>
        <w:tab/>
        <w:t xml:space="preserve">Allan </w:t>
      </w:r>
      <w:proofErr w:type="spellStart"/>
      <w:r w:rsidRPr="00855688">
        <w:rPr>
          <w:i/>
          <w:lang w:val="fr-CA"/>
        </w:rPr>
        <w:t>Rouben</w:t>
      </w:r>
      <w:proofErr w:type="spellEnd"/>
      <w:r w:rsidR="00EC4DCB" w:rsidRPr="00855688">
        <w:rPr>
          <w:i/>
          <w:lang w:val="fr-CA"/>
        </w:rPr>
        <w:t xml:space="preserve"> </w:t>
      </w:r>
      <w:r w:rsidR="00EC4DCB" w:rsidRPr="009038A8">
        <w:rPr>
          <w:lang w:val="fr-CA"/>
        </w:rPr>
        <w:t>et</w:t>
      </w:r>
      <w:r w:rsidR="00EC4DCB" w:rsidRPr="00855688">
        <w:rPr>
          <w:i/>
          <w:lang w:val="fr-CA"/>
        </w:rPr>
        <w:t xml:space="preserve"> </w:t>
      </w:r>
      <w:r w:rsidR="00F8598C" w:rsidRPr="00855688">
        <w:rPr>
          <w:i/>
          <w:lang w:val="fr-CA"/>
        </w:rPr>
        <w:t xml:space="preserve">Ronald P. </w:t>
      </w:r>
      <w:proofErr w:type="spellStart"/>
      <w:r w:rsidR="00EC4DCB" w:rsidRPr="00855688">
        <w:rPr>
          <w:i/>
          <w:lang w:val="fr-CA"/>
        </w:rPr>
        <w:t>Bohm</w:t>
      </w:r>
      <w:proofErr w:type="spellEnd"/>
      <w:r w:rsidRPr="00855688">
        <w:rPr>
          <w:lang w:val="fr-CA"/>
        </w:rPr>
        <w:t>, pour l</w:t>
      </w:r>
      <w:r w:rsidR="00EC4DCB" w:rsidRPr="00855688">
        <w:rPr>
          <w:lang w:val="fr-CA"/>
        </w:rPr>
        <w:t>’</w:t>
      </w:r>
      <w:r w:rsidRPr="00855688">
        <w:rPr>
          <w:lang w:val="fr-CA"/>
        </w:rPr>
        <w:t xml:space="preserve">intervenante Ontario Trial </w:t>
      </w:r>
      <w:proofErr w:type="spellStart"/>
      <w:r w:rsidRPr="00855688">
        <w:rPr>
          <w:lang w:val="fr-CA"/>
        </w:rPr>
        <w:t>Lawyers</w:t>
      </w:r>
      <w:proofErr w:type="spellEnd"/>
      <w:r w:rsidRPr="00855688">
        <w:rPr>
          <w:lang w:val="fr-CA"/>
        </w:rPr>
        <w:t xml:space="preserve"> Association.</w:t>
      </w:r>
    </w:p>
    <w:p w:rsidR="0058529F" w:rsidRPr="00855688" w:rsidRDefault="002B3D5B" w:rsidP="00F8598C">
      <w:pPr>
        <w:pStyle w:val="SCCNormalDoubleSpacing"/>
        <w:spacing w:before="480" w:after="480"/>
        <w:rPr>
          <w:lang w:val="fr-CA"/>
        </w:rPr>
      </w:pPr>
      <w:r w:rsidRPr="00855688">
        <w:rPr>
          <w:i/>
          <w:lang w:val="fr-CA"/>
        </w:rPr>
        <w:tab/>
        <w:t>David</w:t>
      </w:r>
      <w:r w:rsidR="00F8598C" w:rsidRPr="00855688">
        <w:rPr>
          <w:i/>
          <w:lang w:val="fr-CA"/>
        </w:rPr>
        <w:t> </w:t>
      </w:r>
      <w:r w:rsidRPr="00855688">
        <w:rPr>
          <w:i/>
          <w:lang w:val="fr-CA"/>
        </w:rPr>
        <w:t>W. Scott</w:t>
      </w:r>
      <w:r w:rsidRPr="009038A8">
        <w:rPr>
          <w:lang w:val="fr-CA"/>
        </w:rPr>
        <w:t>,</w:t>
      </w:r>
      <w:r w:rsidRPr="00855688">
        <w:rPr>
          <w:i/>
          <w:lang w:val="fr-CA"/>
        </w:rPr>
        <w:t xml:space="preserve"> </w:t>
      </w:r>
      <w:proofErr w:type="gramStart"/>
      <w:r w:rsidR="00EC4DCB" w:rsidRPr="00855688">
        <w:rPr>
          <w:i/>
          <w:lang w:val="fr-CA"/>
        </w:rPr>
        <w:t>c.r</w:t>
      </w:r>
      <w:r w:rsidRPr="00855688">
        <w:rPr>
          <w:i/>
          <w:lang w:val="fr-CA"/>
        </w:rPr>
        <w:t>.</w:t>
      </w:r>
      <w:r w:rsidRPr="00855688">
        <w:rPr>
          <w:lang w:val="fr-CA"/>
        </w:rPr>
        <w:t>,</w:t>
      </w:r>
      <w:proofErr w:type="gramEnd"/>
      <w:r w:rsidRPr="00855688">
        <w:rPr>
          <w:lang w:val="fr-CA"/>
        </w:rPr>
        <w:t xml:space="preserve"> </w:t>
      </w:r>
      <w:r w:rsidR="00F8598C" w:rsidRPr="00855688">
        <w:rPr>
          <w:i/>
          <w:lang w:val="fr-CA"/>
        </w:rPr>
        <w:t>Patricia </w:t>
      </w:r>
      <w:r w:rsidRPr="00855688">
        <w:rPr>
          <w:i/>
          <w:lang w:val="fr-CA"/>
        </w:rPr>
        <w:t>D.</w:t>
      </w:r>
      <w:r w:rsidR="00F8598C" w:rsidRPr="00855688">
        <w:rPr>
          <w:i/>
          <w:lang w:val="fr-CA"/>
        </w:rPr>
        <w:t> </w:t>
      </w:r>
      <w:r w:rsidRPr="00855688">
        <w:rPr>
          <w:i/>
          <w:lang w:val="fr-CA"/>
        </w:rPr>
        <w:t>S. Jackson</w:t>
      </w:r>
      <w:r w:rsidRPr="00855688">
        <w:rPr>
          <w:lang w:val="fr-CA"/>
        </w:rPr>
        <w:t xml:space="preserve"> et </w:t>
      </w:r>
      <w:r w:rsidRPr="00855688">
        <w:rPr>
          <w:i/>
          <w:lang w:val="fr-CA"/>
        </w:rPr>
        <w:t>Crawford Smith</w:t>
      </w:r>
      <w:r w:rsidRPr="00855688">
        <w:rPr>
          <w:lang w:val="fr-CA"/>
        </w:rPr>
        <w:t>, pour l</w:t>
      </w:r>
      <w:r w:rsidR="00EC4DCB" w:rsidRPr="00855688">
        <w:rPr>
          <w:lang w:val="fr-CA"/>
        </w:rPr>
        <w:t>’</w:t>
      </w:r>
      <w:r w:rsidRPr="00855688">
        <w:rPr>
          <w:lang w:val="fr-CA"/>
        </w:rPr>
        <w:t>intervenante</w:t>
      </w:r>
      <w:r w:rsidR="00EC4DCB" w:rsidRPr="00855688">
        <w:rPr>
          <w:lang w:val="fr-CA"/>
        </w:rPr>
        <w:t xml:space="preserve"> </w:t>
      </w:r>
      <w:proofErr w:type="spellStart"/>
      <w:r w:rsidR="00EC4DCB" w:rsidRPr="00855688">
        <w:rPr>
          <w:lang w:val="fr-CA"/>
        </w:rPr>
        <w:t>Advocates</w:t>
      </w:r>
      <w:proofErr w:type="spellEnd"/>
      <w:r w:rsidR="00EC4DCB" w:rsidRPr="00855688">
        <w:rPr>
          <w:lang w:val="fr-CA"/>
        </w:rPr>
        <w:t>’</w:t>
      </w:r>
      <w:r w:rsidRPr="00855688">
        <w:rPr>
          <w:lang w:val="fr-CA"/>
        </w:rPr>
        <w:t xml:space="preserve"> Society.</w:t>
      </w:r>
    </w:p>
    <w:p w:rsidR="0058529F" w:rsidRPr="00855688" w:rsidRDefault="002B3D5B" w:rsidP="00F8598C">
      <w:pPr>
        <w:pStyle w:val="SCCNormalDoubleSpacing"/>
        <w:spacing w:before="480" w:after="480"/>
        <w:rPr>
          <w:lang w:val="fr-CA"/>
        </w:rPr>
      </w:pPr>
      <w:r w:rsidRPr="00855688">
        <w:rPr>
          <w:i/>
          <w:lang w:val="fr-CA"/>
        </w:rPr>
        <w:tab/>
        <w:t>Paul</w:t>
      </w:r>
      <w:r w:rsidR="00F8598C" w:rsidRPr="00855688">
        <w:rPr>
          <w:i/>
          <w:lang w:val="fr-CA"/>
        </w:rPr>
        <w:t> </w:t>
      </w:r>
      <w:r w:rsidRPr="00855688">
        <w:rPr>
          <w:i/>
          <w:lang w:val="fr-CA"/>
        </w:rPr>
        <w:t xml:space="preserve">R. </w:t>
      </w:r>
      <w:proofErr w:type="spellStart"/>
      <w:r w:rsidRPr="00855688">
        <w:rPr>
          <w:i/>
          <w:lang w:val="fr-CA"/>
        </w:rPr>
        <w:t>Sweeny</w:t>
      </w:r>
      <w:proofErr w:type="spellEnd"/>
      <w:r w:rsidR="00941440" w:rsidRPr="009038A8">
        <w:rPr>
          <w:lang w:val="fr-CA"/>
        </w:rPr>
        <w:t xml:space="preserve"> et</w:t>
      </w:r>
      <w:r w:rsidR="00941440" w:rsidRPr="00855688">
        <w:rPr>
          <w:i/>
          <w:lang w:val="fr-CA"/>
        </w:rPr>
        <w:t xml:space="preserve"> David </w:t>
      </w:r>
      <w:proofErr w:type="spellStart"/>
      <w:r w:rsidR="00941440" w:rsidRPr="00855688">
        <w:rPr>
          <w:i/>
          <w:lang w:val="fr-CA"/>
        </w:rPr>
        <w:t>Sterns</w:t>
      </w:r>
      <w:proofErr w:type="spellEnd"/>
      <w:r w:rsidRPr="00855688">
        <w:rPr>
          <w:lang w:val="fr-CA"/>
        </w:rPr>
        <w:t>, pour l</w:t>
      </w:r>
      <w:r w:rsidR="00941440" w:rsidRPr="00855688">
        <w:rPr>
          <w:lang w:val="fr-CA"/>
        </w:rPr>
        <w:t>’</w:t>
      </w:r>
      <w:r w:rsidRPr="00855688">
        <w:rPr>
          <w:lang w:val="fr-CA"/>
        </w:rPr>
        <w:t>intervenant</w:t>
      </w:r>
      <w:r w:rsidR="00941440" w:rsidRPr="00855688">
        <w:rPr>
          <w:lang w:val="fr-CA"/>
        </w:rPr>
        <w:t>e l’Association du Barreau canadien</w:t>
      </w:r>
      <w:r w:rsidRPr="00855688">
        <w:rPr>
          <w:lang w:val="fr-CA"/>
        </w:rPr>
        <w:t>.</w:t>
      </w:r>
    </w:p>
    <w:p w:rsidR="003D761E" w:rsidRPr="008B75DC" w:rsidRDefault="008B75DC" w:rsidP="003D761E">
      <w:pPr>
        <w:pStyle w:val="JudgeJuge"/>
        <w:spacing w:before="480"/>
        <w:rPr>
          <w:smallCaps w:val="0"/>
          <w:lang w:val="fr-CA"/>
        </w:rPr>
      </w:pPr>
      <w:r>
        <w:rPr>
          <w:lang w:val="fr-CA"/>
        </w:rPr>
        <w:tab/>
      </w:r>
      <w:r w:rsidRPr="008B75DC">
        <w:rPr>
          <w:smallCaps w:val="0"/>
          <w:lang w:val="fr-CA"/>
        </w:rPr>
        <w:t>Ver</w:t>
      </w:r>
      <w:r>
        <w:rPr>
          <w:smallCaps w:val="0"/>
          <w:lang w:val="fr-CA"/>
        </w:rPr>
        <w:t>sion française du jugement de la Cour rendu par</w:t>
      </w:r>
    </w:p>
    <w:p w:rsidR="003D761E" w:rsidRPr="00F9597A" w:rsidRDefault="008B75DC" w:rsidP="003D761E">
      <w:pPr>
        <w:pStyle w:val="ParaNoNdepar-AltN"/>
        <w:rPr>
          <w:rFonts w:cs="Times New Roman"/>
          <w:lang w:val="fr-CA"/>
        </w:rPr>
      </w:pPr>
      <w:r w:rsidRPr="008B75DC">
        <w:rPr>
          <w:smallCaps/>
          <w:lang w:val="fr-CA"/>
        </w:rPr>
        <w:t xml:space="preserve">La juge </w:t>
      </w:r>
      <w:proofErr w:type="spellStart"/>
      <w:r w:rsidRPr="008B75DC">
        <w:rPr>
          <w:smallCaps/>
          <w:lang w:val="fr-CA"/>
        </w:rPr>
        <w:t>Karakatsanis</w:t>
      </w:r>
      <w:proofErr w:type="spellEnd"/>
      <w:r w:rsidRPr="00F9597A">
        <w:rPr>
          <w:lang w:val="fr-CA"/>
        </w:rPr>
        <w:t xml:space="preserve"> — </w:t>
      </w:r>
      <w:r w:rsidR="003D761E" w:rsidRPr="00F9597A">
        <w:rPr>
          <w:rFonts w:cs="Times New Roman"/>
          <w:lang w:val="fr-CA"/>
        </w:rPr>
        <w:t xml:space="preserve">Le présent pourvoi, comme le pourvoi connexe </w:t>
      </w:r>
      <w:proofErr w:type="spellStart"/>
      <w:r w:rsidR="003D761E" w:rsidRPr="00F9597A">
        <w:rPr>
          <w:rFonts w:cs="Times New Roman"/>
          <w:i/>
          <w:lang w:val="fr-CA"/>
        </w:rPr>
        <w:t>Hryniak</w:t>
      </w:r>
      <w:proofErr w:type="spellEnd"/>
      <w:r w:rsidR="003D761E" w:rsidRPr="00F9597A">
        <w:rPr>
          <w:rFonts w:cs="Times New Roman"/>
          <w:i/>
          <w:lang w:val="fr-CA"/>
        </w:rPr>
        <w:t xml:space="preserve"> c. </w:t>
      </w:r>
      <w:proofErr w:type="spellStart"/>
      <w:r w:rsidR="003D761E" w:rsidRPr="00F9597A">
        <w:rPr>
          <w:rFonts w:cs="Times New Roman"/>
          <w:i/>
          <w:lang w:val="fr-CA"/>
        </w:rPr>
        <w:t>Mauldin</w:t>
      </w:r>
      <w:proofErr w:type="spellEnd"/>
      <w:r w:rsidR="003D761E" w:rsidRPr="00F9597A">
        <w:rPr>
          <w:rFonts w:cs="Times New Roman"/>
          <w:lang w:val="fr-CA"/>
        </w:rPr>
        <w:t>,</w:t>
      </w:r>
      <w:r w:rsidR="003D761E" w:rsidRPr="00F9597A">
        <w:rPr>
          <w:rFonts w:cs="Times New Roman"/>
          <w:i/>
          <w:lang w:val="fr-CA"/>
        </w:rPr>
        <w:t xml:space="preserve"> </w:t>
      </w:r>
      <w:r w:rsidR="003D761E" w:rsidRPr="00F9597A">
        <w:rPr>
          <w:rFonts w:cs="Times New Roman"/>
          <w:lang w:val="fr-CA"/>
        </w:rPr>
        <w:t>2014 CSC 7</w:t>
      </w:r>
      <w:r>
        <w:rPr>
          <w:rFonts w:cs="Times New Roman"/>
          <w:lang w:val="fr-CA"/>
        </w:rPr>
        <w:t xml:space="preserve">, [2014] 1 R.C.S. </w:t>
      </w:r>
      <w:r w:rsidR="00D1328C">
        <w:rPr>
          <w:rFonts w:cs="Times New Roman"/>
          <w:lang w:val="fr-CA"/>
        </w:rPr>
        <w:t>87</w:t>
      </w:r>
      <w:r w:rsidR="003D761E" w:rsidRPr="00F9597A">
        <w:rPr>
          <w:rFonts w:cs="Times New Roman"/>
          <w:lang w:val="fr-CA"/>
        </w:rPr>
        <w:t xml:space="preserve"> (</w:t>
      </w:r>
      <w:proofErr w:type="spellStart"/>
      <w:r w:rsidR="003D761E" w:rsidRPr="00F9597A">
        <w:rPr>
          <w:rFonts w:cs="Times New Roman"/>
          <w:i/>
          <w:lang w:val="fr-CA"/>
        </w:rPr>
        <w:t>Mauldin</w:t>
      </w:r>
      <w:proofErr w:type="spellEnd"/>
      <w:r w:rsidR="003D761E" w:rsidRPr="00F9597A">
        <w:rPr>
          <w:rFonts w:cs="Times New Roman"/>
          <w:lang w:val="fr-CA"/>
        </w:rPr>
        <w:t>),</w:t>
      </w:r>
      <w:r w:rsidR="003D761E" w:rsidRPr="00F9597A">
        <w:rPr>
          <w:rFonts w:cs="Times New Roman"/>
          <w:i/>
          <w:lang w:val="fr-CA"/>
        </w:rPr>
        <w:t xml:space="preserve"> </w:t>
      </w:r>
      <w:r w:rsidR="003D761E" w:rsidRPr="00F9597A">
        <w:rPr>
          <w:rFonts w:cs="Times New Roman"/>
          <w:lang w:val="fr-CA"/>
        </w:rPr>
        <w:t xml:space="preserve">porte sur l’interprétation et l’application des nouvelles règles régissant les jugements sommaires en Ontario.  Dans la présente affaire, la Cour d’appel de l’Ontario a infirmé la décision du juge saisi de la requête de rendre un jugement sommaire favorable à la demanderesse.  Elle a aussi rendu plusieurs ordonnances relatives à la gestion du procès en vertu de la règle 20.05 des </w:t>
      </w:r>
      <w:r w:rsidR="003D761E" w:rsidRPr="00F9597A">
        <w:rPr>
          <w:rFonts w:cs="Times New Roman"/>
          <w:i/>
          <w:lang w:val="fr-CA"/>
        </w:rPr>
        <w:t>Règles de procédure civile</w:t>
      </w:r>
      <w:r w:rsidR="003D761E" w:rsidRPr="00F9597A">
        <w:rPr>
          <w:rFonts w:cs="Times New Roman"/>
          <w:lang w:val="fr-CA"/>
        </w:rPr>
        <w:t xml:space="preserve">, R.R.O. 1990, </w:t>
      </w:r>
      <w:proofErr w:type="spellStart"/>
      <w:r w:rsidR="003D761E" w:rsidRPr="00F9597A">
        <w:rPr>
          <w:rFonts w:cs="Times New Roman"/>
          <w:lang w:val="fr-CA"/>
        </w:rPr>
        <w:t>Règl</w:t>
      </w:r>
      <w:proofErr w:type="spellEnd"/>
      <w:r w:rsidR="003D761E" w:rsidRPr="00F9597A">
        <w:rPr>
          <w:rFonts w:cs="Times New Roman"/>
          <w:lang w:val="fr-CA"/>
        </w:rPr>
        <w:t>. 194.</w:t>
      </w:r>
    </w:p>
    <w:p w:rsidR="003D761E" w:rsidRPr="00F9597A" w:rsidRDefault="003D761E" w:rsidP="003D761E">
      <w:pPr>
        <w:pStyle w:val="ParaNoNdepar-AltN"/>
        <w:rPr>
          <w:rFonts w:cs="Times New Roman"/>
          <w:lang w:val="fr-CA"/>
        </w:rPr>
      </w:pPr>
      <w:r w:rsidRPr="00F9597A">
        <w:rPr>
          <w:rFonts w:cs="Times New Roman"/>
          <w:lang w:val="fr-CA"/>
        </w:rPr>
        <w:lastRenderedPageBreak/>
        <w:t xml:space="preserve">À la lumière des principes énoncés dans le pourvoi </w:t>
      </w:r>
      <w:proofErr w:type="spellStart"/>
      <w:r w:rsidRPr="00F9597A">
        <w:rPr>
          <w:rFonts w:cs="Times New Roman"/>
          <w:i/>
          <w:lang w:val="fr-CA"/>
        </w:rPr>
        <w:t>Mauldin</w:t>
      </w:r>
      <w:proofErr w:type="spellEnd"/>
      <w:r w:rsidRPr="00F9597A">
        <w:rPr>
          <w:rFonts w:cs="Times New Roman"/>
          <w:lang w:val="fr-CA"/>
        </w:rPr>
        <w:t xml:space="preserve"> et pour les motifs qui suivent, je suis d’avis de rejeter le pourvoi.</w:t>
      </w:r>
    </w:p>
    <w:p w:rsidR="003D761E" w:rsidRPr="00F9597A" w:rsidRDefault="003D761E" w:rsidP="003D761E">
      <w:pPr>
        <w:pStyle w:val="Title1LevelTitre1Niveau-AltL"/>
        <w:rPr>
          <w:rFonts w:cs="Times New Roman"/>
          <w:lang w:val="fr-CA"/>
        </w:rPr>
      </w:pPr>
      <w:r w:rsidRPr="00F9597A">
        <w:rPr>
          <w:rFonts w:cs="Times New Roman"/>
          <w:lang w:val="fr-CA"/>
        </w:rPr>
        <w:t>Faits</w:t>
      </w:r>
    </w:p>
    <w:p w:rsidR="003D761E" w:rsidRPr="00F9597A" w:rsidRDefault="003D761E" w:rsidP="003D761E">
      <w:pPr>
        <w:pStyle w:val="ParaNoNdepar-AltN"/>
        <w:rPr>
          <w:rFonts w:cs="Times New Roman"/>
          <w:lang w:val="fr-CA"/>
        </w:rPr>
      </w:pPr>
      <w:r w:rsidRPr="00F9597A">
        <w:rPr>
          <w:rFonts w:cs="Times New Roman"/>
          <w:lang w:val="fr-CA"/>
        </w:rPr>
        <w:t xml:space="preserve">Bruno Appliance and </w:t>
      </w:r>
      <w:proofErr w:type="spellStart"/>
      <w:r w:rsidRPr="00F9597A">
        <w:rPr>
          <w:rFonts w:cs="Times New Roman"/>
          <w:lang w:val="fr-CA"/>
        </w:rPr>
        <w:t>Furniture</w:t>
      </w:r>
      <w:proofErr w:type="spellEnd"/>
      <w:r w:rsidRPr="00F9597A">
        <w:rPr>
          <w:rFonts w:cs="Times New Roman"/>
          <w:lang w:val="fr-CA"/>
        </w:rPr>
        <w:t xml:space="preserve">, Inc. est une société américaine dirigée par Albert Bruno.  Vers la fin de 2001, M. Bruno a rencontré Robert Cranston, le dirigeant d’une entreprise panaméenne, </w:t>
      </w:r>
      <w:proofErr w:type="spellStart"/>
      <w:r w:rsidRPr="00F9597A">
        <w:rPr>
          <w:rFonts w:cs="Times New Roman"/>
          <w:lang w:val="fr-CA"/>
        </w:rPr>
        <w:t>Frontline</w:t>
      </w:r>
      <w:proofErr w:type="spellEnd"/>
      <w:r w:rsidRPr="00F9597A">
        <w:rPr>
          <w:rFonts w:cs="Times New Roman"/>
          <w:lang w:val="fr-CA"/>
        </w:rPr>
        <w:t xml:space="preserve"> </w:t>
      </w:r>
      <w:proofErr w:type="spellStart"/>
      <w:r w:rsidRPr="00F9597A">
        <w:rPr>
          <w:rFonts w:cs="Times New Roman"/>
          <w:lang w:val="fr-CA"/>
        </w:rPr>
        <w:t>Investments</w:t>
      </w:r>
      <w:proofErr w:type="spellEnd"/>
      <w:r w:rsidRPr="00F9597A">
        <w:rPr>
          <w:rFonts w:cs="Times New Roman"/>
          <w:lang w:val="fr-CA"/>
        </w:rPr>
        <w:t xml:space="preserve">, Inc.  Comme suite à ces rencontres, M. Bruno a signé un certain nombre de documents de placement en faveur de </w:t>
      </w:r>
      <w:proofErr w:type="spellStart"/>
      <w:r w:rsidRPr="00F9597A">
        <w:rPr>
          <w:rFonts w:cs="Times New Roman"/>
          <w:lang w:val="fr-CA"/>
        </w:rPr>
        <w:t>Frontline</w:t>
      </w:r>
      <w:proofErr w:type="spellEnd"/>
      <w:r w:rsidRPr="00F9597A">
        <w:rPr>
          <w:rFonts w:cs="Times New Roman"/>
          <w:lang w:val="fr-CA"/>
        </w:rPr>
        <w:t>.</w:t>
      </w:r>
    </w:p>
    <w:p w:rsidR="003D761E" w:rsidRPr="00F9597A" w:rsidRDefault="003D761E" w:rsidP="003D761E">
      <w:pPr>
        <w:pStyle w:val="ParaNoNdepar-AltN"/>
        <w:rPr>
          <w:rFonts w:cs="Times New Roman"/>
          <w:lang w:val="fr-CA"/>
        </w:rPr>
      </w:pPr>
      <w:r w:rsidRPr="00F9597A">
        <w:rPr>
          <w:rFonts w:cs="Times New Roman"/>
          <w:lang w:val="fr-CA"/>
        </w:rPr>
        <w:t xml:space="preserve">En février 2002, M. Bruno a rencontré M. Cranston et Gregory Peebles, un avocat spécialisé en droit des sociétés et en droit commercial du cabinet </w:t>
      </w:r>
      <w:proofErr w:type="spellStart"/>
      <w:r w:rsidRPr="00F9597A">
        <w:rPr>
          <w:rFonts w:cs="Times New Roman"/>
          <w:lang w:val="fr-CA"/>
        </w:rPr>
        <w:t>Cassels</w:t>
      </w:r>
      <w:proofErr w:type="spellEnd"/>
      <w:r w:rsidRPr="00F9597A">
        <w:rPr>
          <w:rFonts w:cs="Times New Roman"/>
          <w:lang w:val="fr-CA"/>
        </w:rPr>
        <w:t xml:space="preserve"> </w:t>
      </w:r>
      <w:proofErr w:type="spellStart"/>
      <w:r w:rsidRPr="00F9597A">
        <w:rPr>
          <w:rFonts w:cs="Times New Roman"/>
          <w:lang w:val="fr-CA"/>
        </w:rPr>
        <w:t>Brock</w:t>
      </w:r>
      <w:proofErr w:type="spellEnd"/>
      <w:r w:rsidRPr="00F9597A">
        <w:rPr>
          <w:rFonts w:cs="Times New Roman"/>
          <w:lang w:val="fr-CA"/>
        </w:rPr>
        <w:t xml:space="preserve"> and </w:t>
      </w:r>
      <w:proofErr w:type="spellStart"/>
      <w:r w:rsidRPr="00F9597A">
        <w:rPr>
          <w:rFonts w:cs="Times New Roman"/>
          <w:lang w:val="fr-CA"/>
        </w:rPr>
        <w:t>Blackwell</w:t>
      </w:r>
      <w:proofErr w:type="spellEnd"/>
      <w:r w:rsidRPr="00F9597A">
        <w:rPr>
          <w:rFonts w:cs="Times New Roman"/>
          <w:lang w:val="fr-CA"/>
        </w:rPr>
        <w:t xml:space="preserve"> à Toronto.  Aucune note sur cette rencontre n’a été conservée et les participants en ont gardé un souvenir différent.  Robert </w:t>
      </w:r>
      <w:proofErr w:type="spellStart"/>
      <w:r w:rsidRPr="00F9597A">
        <w:rPr>
          <w:rFonts w:cs="Times New Roman"/>
          <w:lang w:val="fr-CA"/>
        </w:rPr>
        <w:t>Hryniak</w:t>
      </w:r>
      <w:proofErr w:type="spellEnd"/>
      <w:r w:rsidRPr="00F9597A">
        <w:rPr>
          <w:rFonts w:cs="Times New Roman"/>
          <w:lang w:val="fr-CA"/>
        </w:rPr>
        <w:t xml:space="preserve"> n’a pas assisté à cette rencontre, mais </w:t>
      </w:r>
      <w:proofErr w:type="spellStart"/>
      <w:r w:rsidRPr="00F9597A">
        <w:rPr>
          <w:rFonts w:cs="Times New Roman"/>
          <w:lang w:val="fr-CA"/>
        </w:rPr>
        <w:t>Tropos</w:t>
      </w:r>
      <w:proofErr w:type="spellEnd"/>
      <w:r w:rsidRPr="00F9597A">
        <w:rPr>
          <w:rFonts w:cs="Times New Roman"/>
          <w:lang w:val="fr-CA"/>
        </w:rPr>
        <w:t xml:space="preserve"> </w:t>
      </w:r>
      <w:r w:rsidR="00D47CA8">
        <w:rPr>
          <w:rFonts w:cs="Times New Roman"/>
          <w:lang w:val="fr-CA"/>
        </w:rPr>
        <w:t>Capital Inc.</w:t>
      </w:r>
      <w:r w:rsidRPr="00F9597A">
        <w:rPr>
          <w:rFonts w:cs="Times New Roman"/>
          <w:lang w:val="fr-CA"/>
        </w:rPr>
        <w:t xml:space="preserve"> (</w:t>
      </w:r>
      <w:proofErr w:type="spellStart"/>
      <w:r w:rsidRPr="00F9597A">
        <w:rPr>
          <w:rFonts w:cs="Times New Roman"/>
          <w:lang w:val="fr-CA"/>
        </w:rPr>
        <w:t>Tropos</w:t>
      </w:r>
      <w:proofErr w:type="spellEnd"/>
      <w:r w:rsidRPr="00F9597A">
        <w:rPr>
          <w:rFonts w:cs="Times New Roman"/>
          <w:lang w:val="fr-CA"/>
        </w:rPr>
        <w:t>), une entreprise dont M. </w:t>
      </w:r>
      <w:proofErr w:type="spellStart"/>
      <w:r w:rsidRPr="00F9597A">
        <w:rPr>
          <w:rFonts w:cs="Times New Roman"/>
          <w:lang w:val="fr-CA"/>
        </w:rPr>
        <w:t>Hryniak</w:t>
      </w:r>
      <w:proofErr w:type="spellEnd"/>
      <w:r w:rsidRPr="00F9597A">
        <w:rPr>
          <w:rFonts w:cs="Times New Roman"/>
          <w:lang w:val="fr-CA"/>
        </w:rPr>
        <w:t xml:space="preserve"> était le dirigeant, a reçu et payé une facture pour la présence de M. Peebles.</w:t>
      </w:r>
    </w:p>
    <w:p w:rsidR="003D761E" w:rsidRPr="00F9597A" w:rsidRDefault="003D761E" w:rsidP="003D761E">
      <w:pPr>
        <w:pStyle w:val="ParaNoNdepar-AltN"/>
        <w:rPr>
          <w:rFonts w:cs="Times New Roman"/>
          <w:lang w:val="fr-CA"/>
        </w:rPr>
      </w:pPr>
      <w:r w:rsidRPr="00F9597A">
        <w:rPr>
          <w:rFonts w:cs="Times New Roman"/>
          <w:lang w:val="fr-CA"/>
        </w:rPr>
        <w:t xml:space="preserve">Au début de mars 2002, Bruno Appliance a transféré un million de dollars américains à </w:t>
      </w:r>
      <w:proofErr w:type="spellStart"/>
      <w:r w:rsidRPr="00F9597A">
        <w:rPr>
          <w:rFonts w:cs="Times New Roman"/>
          <w:lang w:val="fr-CA"/>
        </w:rPr>
        <w:t>Cassels</w:t>
      </w:r>
      <w:proofErr w:type="spellEnd"/>
      <w:r w:rsidRPr="00F9597A">
        <w:rPr>
          <w:rFonts w:cs="Times New Roman"/>
          <w:lang w:val="fr-CA"/>
        </w:rPr>
        <w:t xml:space="preserve"> </w:t>
      </w:r>
      <w:proofErr w:type="spellStart"/>
      <w:r w:rsidRPr="00F9597A">
        <w:rPr>
          <w:rFonts w:cs="Times New Roman"/>
          <w:lang w:val="fr-CA"/>
        </w:rPr>
        <w:t>Brock</w:t>
      </w:r>
      <w:proofErr w:type="spellEnd"/>
      <w:r w:rsidRPr="00F9597A">
        <w:rPr>
          <w:rFonts w:cs="Times New Roman"/>
          <w:lang w:val="fr-CA"/>
        </w:rPr>
        <w:t xml:space="preserve">, qui a placé l’argent dans un compte associé à </w:t>
      </w:r>
      <w:proofErr w:type="spellStart"/>
      <w:r w:rsidRPr="00F9597A">
        <w:rPr>
          <w:rFonts w:cs="Times New Roman"/>
          <w:lang w:val="fr-CA"/>
        </w:rPr>
        <w:t>Tropos</w:t>
      </w:r>
      <w:proofErr w:type="spellEnd"/>
      <w:r w:rsidRPr="00F9597A">
        <w:rPr>
          <w:rFonts w:cs="Times New Roman"/>
          <w:lang w:val="fr-CA"/>
        </w:rPr>
        <w:t xml:space="preserve">.  Les fonds de Bruno Appliance ont ensuite été regroupés avec d’autres fonds (totalisant 3,5 millions de dollars américains) et versés à </w:t>
      </w:r>
      <w:proofErr w:type="spellStart"/>
      <w:r w:rsidRPr="00F9597A">
        <w:rPr>
          <w:rFonts w:cs="Times New Roman"/>
          <w:lang w:val="fr-CA"/>
        </w:rPr>
        <w:t>Tropos</w:t>
      </w:r>
      <w:proofErr w:type="spellEnd"/>
      <w:r w:rsidRPr="00F9597A">
        <w:rPr>
          <w:rFonts w:cs="Times New Roman"/>
          <w:lang w:val="fr-CA"/>
        </w:rPr>
        <w:t xml:space="preserve"> par traite bancaire.  À la fin d’avril 2002, </w:t>
      </w:r>
      <w:proofErr w:type="spellStart"/>
      <w:r w:rsidRPr="00F9597A">
        <w:rPr>
          <w:rFonts w:cs="Times New Roman"/>
          <w:lang w:val="fr-CA"/>
        </w:rPr>
        <w:t>Tropos</w:t>
      </w:r>
      <w:proofErr w:type="spellEnd"/>
      <w:r w:rsidRPr="00F9597A">
        <w:rPr>
          <w:rFonts w:cs="Times New Roman"/>
          <w:lang w:val="fr-CA"/>
        </w:rPr>
        <w:t xml:space="preserve"> a versé 2,5 millions de dollars américains à une entreprise appelée </w:t>
      </w:r>
      <w:proofErr w:type="spellStart"/>
      <w:r w:rsidRPr="00F9597A">
        <w:rPr>
          <w:rFonts w:cs="Times New Roman"/>
          <w:lang w:val="fr-CA"/>
        </w:rPr>
        <w:t>Southern</w:t>
      </w:r>
      <w:proofErr w:type="spellEnd"/>
      <w:r w:rsidRPr="00F9597A">
        <w:rPr>
          <w:rFonts w:cs="Times New Roman"/>
          <w:lang w:val="fr-CA"/>
        </w:rPr>
        <w:t xml:space="preserve"> </w:t>
      </w:r>
      <w:proofErr w:type="spellStart"/>
      <w:r w:rsidRPr="00F9597A">
        <w:rPr>
          <w:rFonts w:cs="Times New Roman"/>
          <w:lang w:val="fr-CA"/>
        </w:rPr>
        <w:t>Equity</w:t>
      </w:r>
      <w:proofErr w:type="spellEnd"/>
      <w:r w:rsidRPr="00F9597A">
        <w:rPr>
          <w:rFonts w:cs="Times New Roman"/>
          <w:lang w:val="fr-CA"/>
        </w:rPr>
        <w:t xml:space="preserve"> </w:t>
      </w:r>
      <w:proofErr w:type="spellStart"/>
      <w:r w:rsidRPr="00F9597A">
        <w:rPr>
          <w:rFonts w:cs="Times New Roman"/>
          <w:lang w:val="fr-CA"/>
        </w:rPr>
        <w:t>Investors</w:t>
      </w:r>
      <w:proofErr w:type="spellEnd"/>
      <w:r w:rsidRPr="00F9597A">
        <w:rPr>
          <w:rFonts w:cs="Times New Roman"/>
          <w:lang w:val="fr-CA"/>
        </w:rPr>
        <w:t xml:space="preserve"> Inc. et, à la fin de juin 2002, a transféré environ 550 000 $US à une personne du nom de Reinhard.  À la fin de septembre 2003, le solde de </w:t>
      </w:r>
      <w:proofErr w:type="spellStart"/>
      <w:r w:rsidRPr="00F9597A">
        <w:rPr>
          <w:rFonts w:cs="Times New Roman"/>
          <w:lang w:val="fr-CA"/>
        </w:rPr>
        <w:t>Tropos</w:t>
      </w:r>
      <w:proofErr w:type="spellEnd"/>
      <w:r w:rsidRPr="00F9597A">
        <w:rPr>
          <w:rFonts w:cs="Times New Roman"/>
          <w:lang w:val="fr-CA"/>
        </w:rPr>
        <w:t xml:space="preserve"> détenu par </w:t>
      </w:r>
      <w:proofErr w:type="spellStart"/>
      <w:r w:rsidRPr="00F9597A">
        <w:rPr>
          <w:rFonts w:cs="Times New Roman"/>
          <w:lang w:val="fr-CA"/>
        </w:rPr>
        <w:t>Cassels</w:t>
      </w:r>
      <w:proofErr w:type="spellEnd"/>
      <w:r w:rsidRPr="00F9597A">
        <w:rPr>
          <w:rFonts w:cs="Times New Roman"/>
          <w:lang w:val="fr-CA"/>
        </w:rPr>
        <w:t xml:space="preserve"> </w:t>
      </w:r>
      <w:proofErr w:type="spellStart"/>
      <w:r w:rsidRPr="00F9597A">
        <w:rPr>
          <w:rFonts w:cs="Times New Roman"/>
          <w:lang w:val="fr-CA"/>
        </w:rPr>
        <w:t>Brock</w:t>
      </w:r>
      <w:proofErr w:type="spellEnd"/>
      <w:r w:rsidRPr="00F9597A">
        <w:rPr>
          <w:rFonts w:cs="Times New Roman"/>
          <w:lang w:val="fr-CA"/>
        </w:rPr>
        <w:t xml:space="preserve"> avait chuté à 19 000 $</w:t>
      </w:r>
      <w:r>
        <w:rPr>
          <w:rFonts w:cs="Times New Roman"/>
          <w:lang w:val="fr-CA"/>
        </w:rPr>
        <w:t>US</w:t>
      </w:r>
      <w:r w:rsidRPr="00F9597A">
        <w:rPr>
          <w:rFonts w:cs="Times New Roman"/>
          <w:lang w:val="fr-CA"/>
        </w:rPr>
        <w:t>.</w:t>
      </w:r>
    </w:p>
    <w:p w:rsidR="003D761E" w:rsidRPr="00F9597A" w:rsidRDefault="003D761E" w:rsidP="003D761E">
      <w:pPr>
        <w:pStyle w:val="ParaNoNdepar-AltN"/>
        <w:rPr>
          <w:rFonts w:cs="Times New Roman"/>
          <w:lang w:val="fr-CA"/>
        </w:rPr>
      </w:pPr>
      <w:r w:rsidRPr="00F9597A">
        <w:rPr>
          <w:rFonts w:cs="Times New Roman"/>
          <w:lang w:val="fr-CA"/>
        </w:rPr>
        <w:lastRenderedPageBreak/>
        <w:t>En résumé, l’argent de Bruno Appliance n’a pas été investi et la société n’a jamais touché quelque revenu de son placement.</w:t>
      </w:r>
    </w:p>
    <w:p w:rsidR="003D761E" w:rsidRPr="00F9597A" w:rsidRDefault="003D761E" w:rsidP="003D761E">
      <w:pPr>
        <w:pStyle w:val="Title1LevelTitre1Niveau-AltL"/>
        <w:rPr>
          <w:rFonts w:cs="Times New Roman"/>
          <w:lang w:val="fr-CA"/>
        </w:rPr>
      </w:pPr>
      <w:r w:rsidRPr="00F9597A">
        <w:rPr>
          <w:rFonts w:cs="Times New Roman"/>
          <w:lang w:val="fr-CA"/>
        </w:rPr>
        <w:t xml:space="preserve">Historique judiciaire </w:t>
      </w:r>
    </w:p>
    <w:p w:rsidR="003D761E" w:rsidRPr="00F9597A" w:rsidRDefault="003D761E" w:rsidP="003D761E">
      <w:pPr>
        <w:pStyle w:val="Title2LevelTitre2Niveau"/>
        <w:rPr>
          <w:rFonts w:cs="Times New Roman"/>
          <w:lang w:val="fr-CA"/>
        </w:rPr>
      </w:pPr>
      <w:r w:rsidRPr="00F9597A">
        <w:rPr>
          <w:rFonts w:cs="Times New Roman"/>
          <w:lang w:val="fr-CA"/>
        </w:rPr>
        <w:t>Cour supérieure de justice de l’Ontario, 2010 ONSC 5490 (</w:t>
      </w:r>
      <w:proofErr w:type="spellStart"/>
      <w:r w:rsidRPr="00F9597A">
        <w:rPr>
          <w:rFonts w:cs="Times New Roman"/>
          <w:lang w:val="fr-CA"/>
        </w:rPr>
        <w:t>CanLII</w:t>
      </w:r>
      <w:proofErr w:type="spellEnd"/>
      <w:r w:rsidRPr="00F9597A">
        <w:rPr>
          <w:rFonts w:cs="Times New Roman"/>
          <w:lang w:val="fr-CA"/>
        </w:rPr>
        <w:t>)</w:t>
      </w:r>
    </w:p>
    <w:p w:rsidR="003D761E" w:rsidRPr="00F9597A" w:rsidRDefault="003D761E" w:rsidP="003D761E">
      <w:pPr>
        <w:pStyle w:val="ParaNoNdepar-AltN"/>
        <w:rPr>
          <w:rFonts w:cs="Times New Roman"/>
          <w:lang w:val="fr-CA"/>
        </w:rPr>
      </w:pPr>
      <w:r w:rsidRPr="00F9597A">
        <w:rPr>
          <w:rFonts w:cs="Times New Roman"/>
          <w:lang w:val="fr-CA"/>
        </w:rPr>
        <w:t xml:space="preserve">Bruno Appliance s’est jointe aux demandeurs du pourvoi connexe </w:t>
      </w:r>
      <w:proofErr w:type="spellStart"/>
      <w:r w:rsidRPr="00F9597A">
        <w:rPr>
          <w:rFonts w:cs="Times New Roman"/>
          <w:i/>
          <w:lang w:val="fr-CA"/>
        </w:rPr>
        <w:t>Mauldin</w:t>
      </w:r>
      <w:proofErr w:type="spellEnd"/>
      <w:r w:rsidRPr="00F9597A">
        <w:rPr>
          <w:rFonts w:cs="Times New Roman"/>
          <w:i/>
          <w:lang w:val="fr-CA"/>
        </w:rPr>
        <w:t xml:space="preserve"> </w:t>
      </w:r>
      <w:r w:rsidRPr="00F9597A">
        <w:rPr>
          <w:rFonts w:cs="Times New Roman"/>
          <w:lang w:val="fr-CA"/>
        </w:rPr>
        <w:t>dans une action pour fraude civile intentée contre M. </w:t>
      </w:r>
      <w:proofErr w:type="spellStart"/>
      <w:r w:rsidRPr="00F9597A">
        <w:rPr>
          <w:rFonts w:cs="Times New Roman"/>
          <w:lang w:val="fr-CA"/>
        </w:rPr>
        <w:t>Hryniak</w:t>
      </w:r>
      <w:proofErr w:type="spellEnd"/>
      <w:r w:rsidRPr="00F9597A">
        <w:rPr>
          <w:rFonts w:cs="Times New Roman"/>
          <w:lang w:val="fr-CA"/>
        </w:rPr>
        <w:t xml:space="preserve">, M. Peebles et </w:t>
      </w:r>
      <w:proofErr w:type="spellStart"/>
      <w:r w:rsidRPr="00F9597A">
        <w:rPr>
          <w:rFonts w:cs="Times New Roman"/>
          <w:lang w:val="fr-CA"/>
        </w:rPr>
        <w:t>Cassels</w:t>
      </w:r>
      <w:proofErr w:type="spellEnd"/>
      <w:r w:rsidRPr="00F9597A">
        <w:rPr>
          <w:rFonts w:cs="Times New Roman"/>
          <w:lang w:val="fr-CA"/>
        </w:rPr>
        <w:t xml:space="preserve"> </w:t>
      </w:r>
      <w:proofErr w:type="spellStart"/>
      <w:r w:rsidRPr="00F9597A">
        <w:rPr>
          <w:rFonts w:cs="Times New Roman"/>
          <w:lang w:val="fr-CA"/>
        </w:rPr>
        <w:t>Brock</w:t>
      </w:r>
      <w:proofErr w:type="spellEnd"/>
      <w:r w:rsidRPr="00F9597A">
        <w:rPr>
          <w:rFonts w:cs="Times New Roman"/>
          <w:lang w:val="fr-CA"/>
        </w:rPr>
        <w:t>.  Dans les deux dossiers, les demandeurs ont présenté des requêtes en jugement sommaire qui ont été instruites ensemble.</w:t>
      </w:r>
    </w:p>
    <w:p w:rsidR="003D761E" w:rsidRPr="00F9597A" w:rsidRDefault="003D761E" w:rsidP="003D761E">
      <w:pPr>
        <w:pStyle w:val="ParaNoNdepar-AltN"/>
        <w:rPr>
          <w:rFonts w:cs="Times New Roman"/>
          <w:lang w:val="fr-CA"/>
        </w:rPr>
      </w:pPr>
      <w:r w:rsidRPr="00F9597A">
        <w:rPr>
          <w:rFonts w:cs="Times New Roman"/>
          <w:lang w:val="fr-CA"/>
        </w:rPr>
        <w:t xml:space="preserve">Le juge saisi de la requête a conclu que Bruno Appliance avait établi le </w:t>
      </w:r>
      <w:proofErr w:type="spellStart"/>
      <w:r w:rsidRPr="00F9597A">
        <w:rPr>
          <w:rFonts w:cs="Times New Roman"/>
          <w:lang w:val="fr-CA"/>
        </w:rPr>
        <w:t>bien</w:t>
      </w:r>
      <w:r w:rsidRPr="00F9597A">
        <w:rPr>
          <w:rFonts w:cs="Times New Roman"/>
          <w:lang w:val="fr-CA"/>
        </w:rPr>
        <w:noBreakHyphen/>
        <w:t>fondé</w:t>
      </w:r>
      <w:proofErr w:type="spellEnd"/>
      <w:r w:rsidRPr="00F9597A">
        <w:rPr>
          <w:rFonts w:cs="Times New Roman"/>
          <w:lang w:val="fr-CA"/>
        </w:rPr>
        <w:t xml:space="preserve"> de sa poursuite contre M. </w:t>
      </w:r>
      <w:proofErr w:type="spellStart"/>
      <w:r w:rsidRPr="00F9597A">
        <w:rPr>
          <w:rFonts w:cs="Times New Roman"/>
          <w:lang w:val="fr-CA"/>
        </w:rPr>
        <w:t>Hryniak</w:t>
      </w:r>
      <w:proofErr w:type="spellEnd"/>
      <w:r w:rsidRPr="00F9597A">
        <w:rPr>
          <w:rFonts w:cs="Times New Roman"/>
          <w:lang w:val="fr-CA"/>
        </w:rPr>
        <w:t xml:space="preserve"> et qu’aucune question ne nécessitait la tenue d’un procès.  Il était convaincu que, même si M. </w:t>
      </w:r>
      <w:proofErr w:type="spellStart"/>
      <w:r w:rsidRPr="00F9597A">
        <w:rPr>
          <w:rFonts w:cs="Times New Roman"/>
          <w:lang w:val="fr-CA"/>
        </w:rPr>
        <w:t>Hryniak</w:t>
      </w:r>
      <w:proofErr w:type="spellEnd"/>
      <w:r w:rsidRPr="00F9597A">
        <w:rPr>
          <w:rFonts w:cs="Times New Roman"/>
          <w:lang w:val="fr-CA"/>
        </w:rPr>
        <w:t xml:space="preserve"> n’avait pas assisté à une rencontre antérieure entre MM. Peebles, Cranston et Bruno, il savait que cette rencontre avait eu lieu et que son entreprise, </w:t>
      </w:r>
      <w:proofErr w:type="spellStart"/>
      <w:r w:rsidRPr="00F9597A">
        <w:rPr>
          <w:rFonts w:cs="Times New Roman"/>
          <w:lang w:val="fr-CA"/>
        </w:rPr>
        <w:t>Tropos</w:t>
      </w:r>
      <w:proofErr w:type="spellEnd"/>
      <w:r w:rsidRPr="00F9597A">
        <w:rPr>
          <w:rFonts w:cs="Times New Roman"/>
          <w:lang w:val="fr-CA"/>
        </w:rPr>
        <w:t>, avait payé pour la présence de M. Peebles.  Le juge saisi de la requête a aussi conclu que M. </w:t>
      </w:r>
      <w:proofErr w:type="spellStart"/>
      <w:r w:rsidRPr="00F9597A">
        <w:rPr>
          <w:rFonts w:cs="Times New Roman"/>
          <w:lang w:val="fr-CA"/>
        </w:rPr>
        <w:t>Hryniak</w:t>
      </w:r>
      <w:proofErr w:type="spellEnd"/>
      <w:r w:rsidRPr="00F9597A">
        <w:rPr>
          <w:rFonts w:cs="Times New Roman"/>
          <w:lang w:val="fr-CA"/>
        </w:rPr>
        <w:t xml:space="preserve"> savait qu’un million de dollars américains avaient été déposés dans le compte de </w:t>
      </w:r>
      <w:proofErr w:type="spellStart"/>
      <w:r w:rsidRPr="00F9597A">
        <w:rPr>
          <w:rFonts w:cs="Times New Roman"/>
          <w:lang w:val="fr-CA"/>
        </w:rPr>
        <w:t>Tropos</w:t>
      </w:r>
      <w:proofErr w:type="spellEnd"/>
      <w:r w:rsidRPr="00F9597A">
        <w:rPr>
          <w:rFonts w:cs="Times New Roman"/>
          <w:lang w:val="fr-CA"/>
        </w:rPr>
        <w:t xml:space="preserve"> au nom de Bruno Appliance et que M. </w:t>
      </w:r>
      <w:proofErr w:type="spellStart"/>
      <w:r w:rsidRPr="00F9597A">
        <w:rPr>
          <w:rFonts w:cs="Times New Roman"/>
          <w:lang w:val="fr-CA"/>
        </w:rPr>
        <w:t>Hryniak</w:t>
      </w:r>
      <w:proofErr w:type="spellEnd"/>
      <w:r w:rsidRPr="00F9597A">
        <w:rPr>
          <w:rFonts w:cs="Times New Roman"/>
          <w:lang w:val="fr-CA"/>
        </w:rPr>
        <w:t xml:space="preserve"> avait donné des dir</w:t>
      </w:r>
      <w:r w:rsidR="002317F2">
        <w:rPr>
          <w:rFonts w:cs="Times New Roman"/>
          <w:lang w:val="fr-CA"/>
        </w:rPr>
        <w:t xml:space="preserve">ectives à propos de ces fonds. </w:t>
      </w:r>
    </w:p>
    <w:p w:rsidR="003D761E" w:rsidRPr="00F9597A" w:rsidRDefault="003D761E" w:rsidP="003D761E">
      <w:pPr>
        <w:pStyle w:val="ParaNoNdepar-AltN"/>
        <w:rPr>
          <w:rFonts w:cs="Times New Roman"/>
          <w:lang w:val="fr-CA"/>
        </w:rPr>
      </w:pPr>
      <w:r w:rsidRPr="00F9597A">
        <w:rPr>
          <w:rFonts w:cs="Times New Roman"/>
          <w:lang w:val="fr-CA"/>
        </w:rPr>
        <w:t>Le juge saisi de la requête a déclaré qu’aucune partie des fonds de Bruno Appliance n’avait été investie.  Ces fonds ont notamment été utilisés pour financer des versements à une personne du nom de Reinhard.  Le reste a lentement été épuisé.</w:t>
      </w:r>
    </w:p>
    <w:p w:rsidR="003D761E" w:rsidRPr="00F9597A" w:rsidRDefault="003D761E" w:rsidP="003D761E">
      <w:pPr>
        <w:pStyle w:val="ParaNoNdepar-AltN"/>
        <w:rPr>
          <w:rFonts w:cs="Times New Roman"/>
          <w:lang w:val="fr-CA"/>
        </w:rPr>
      </w:pPr>
      <w:r w:rsidRPr="00F9597A">
        <w:rPr>
          <w:rFonts w:cs="Times New Roman"/>
          <w:lang w:val="fr-CA"/>
        </w:rPr>
        <w:lastRenderedPageBreak/>
        <w:t xml:space="preserve">Le juge saisi de la requête a conclu que le délit de fraude civile avait été établi et qu’aucune véritable question ne nécessitait la tenue d’un procès. </w:t>
      </w:r>
    </w:p>
    <w:p w:rsidR="003D761E" w:rsidRPr="00F9597A" w:rsidRDefault="003D761E" w:rsidP="003D761E">
      <w:pPr>
        <w:pStyle w:val="ParaNoNdepar-AltN"/>
        <w:rPr>
          <w:rFonts w:cs="Times New Roman"/>
          <w:lang w:val="fr-CA"/>
        </w:rPr>
      </w:pPr>
      <w:r w:rsidRPr="00F9597A">
        <w:rPr>
          <w:rFonts w:cs="Times New Roman"/>
          <w:lang w:val="fr-CA"/>
        </w:rPr>
        <w:t xml:space="preserve">Comme dans le pourvoi connexe </w:t>
      </w:r>
      <w:proofErr w:type="spellStart"/>
      <w:r w:rsidRPr="00F9597A">
        <w:rPr>
          <w:rFonts w:cs="Times New Roman"/>
          <w:i/>
          <w:lang w:val="fr-CA"/>
        </w:rPr>
        <w:t>Mauldin</w:t>
      </w:r>
      <w:proofErr w:type="spellEnd"/>
      <w:r w:rsidRPr="00F9597A">
        <w:rPr>
          <w:rFonts w:cs="Times New Roman"/>
          <w:lang w:val="fr-CA"/>
        </w:rPr>
        <w:t xml:space="preserve">, le juge a rejeté la requête visant à obtenir un jugement sommaire contre M. Peebles puisqu’il a conclu que la poursuite mettait en jeu des questions de fait qui ne pouvaient pas être résolues au vu du dossier.  La requête en jugement sommaire contre </w:t>
      </w:r>
      <w:proofErr w:type="spellStart"/>
      <w:r w:rsidRPr="00F9597A">
        <w:rPr>
          <w:rFonts w:cs="Times New Roman"/>
          <w:lang w:val="fr-CA"/>
        </w:rPr>
        <w:t>Cassels</w:t>
      </w:r>
      <w:proofErr w:type="spellEnd"/>
      <w:r w:rsidRPr="00F9597A">
        <w:rPr>
          <w:rFonts w:cs="Times New Roman"/>
          <w:lang w:val="fr-CA"/>
        </w:rPr>
        <w:t> </w:t>
      </w:r>
      <w:proofErr w:type="spellStart"/>
      <w:r w:rsidRPr="00F9597A">
        <w:rPr>
          <w:rFonts w:cs="Times New Roman"/>
          <w:lang w:val="fr-CA"/>
        </w:rPr>
        <w:t>Brock</w:t>
      </w:r>
      <w:proofErr w:type="spellEnd"/>
      <w:r w:rsidRPr="00F9597A">
        <w:rPr>
          <w:rFonts w:cs="Times New Roman"/>
          <w:lang w:val="fr-CA"/>
        </w:rPr>
        <w:t xml:space="preserve"> a donc été rejetée puisqu’elle était fondée sur la thèse selon laquelle le cabinet était responsable du fait d’autrui pour les actes et omissions de M. Peebles.</w:t>
      </w:r>
    </w:p>
    <w:p w:rsidR="003D761E" w:rsidRPr="00F9597A" w:rsidRDefault="003D761E" w:rsidP="003D761E">
      <w:pPr>
        <w:pStyle w:val="Title2LevelTitre2Niveau"/>
        <w:rPr>
          <w:rFonts w:cs="Times New Roman"/>
          <w:lang w:val="fr-CA"/>
        </w:rPr>
      </w:pPr>
      <w:r w:rsidRPr="00F9597A">
        <w:rPr>
          <w:rFonts w:cs="Times New Roman"/>
          <w:lang w:val="fr-CA"/>
        </w:rPr>
        <w:t>Cour d’appel de l’Ontario, 2011 ONCA 764, 108 O.R. (3d) 1</w:t>
      </w:r>
    </w:p>
    <w:p w:rsidR="003D761E" w:rsidRPr="00F9597A" w:rsidRDefault="003D761E" w:rsidP="003D761E">
      <w:pPr>
        <w:pStyle w:val="ParaNoNdepar-AltN"/>
        <w:rPr>
          <w:rFonts w:cs="Times New Roman"/>
          <w:lang w:val="fr-CA"/>
        </w:rPr>
      </w:pPr>
      <w:r w:rsidRPr="00F9597A">
        <w:rPr>
          <w:rFonts w:cs="Times New Roman"/>
          <w:lang w:val="fr-CA"/>
        </w:rPr>
        <w:t>L’appel interjeté par M. </w:t>
      </w:r>
      <w:proofErr w:type="spellStart"/>
      <w:r w:rsidRPr="00F9597A">
        <w:rPr>
          <w:rFonts w:cs="Times New Roman"/>
          <w:lang w:val="fr-CA"/>
        </w:rPr>
        <w:t>Hryniak</w:t>
      </w:r>
      <w:proofErr w:type="spellEnd"/>
      <w:r w:rsidRPr="00F9597A">
        <w:rPr>
          <w:rFonts w:cs="Times New Roman"/>
          <w:lang w:val="fr-CA"/>
        </w:rPr>
        <w:t xml:space="preserve"> à l’encontre de cette décision a été entendu avec l’appel connexe </w:t>
      </w:r>
      <w:proofErr w:type="spellStart"/>
      <w:r w:rsidRPr="00F9597A">
        <w:rPr>
          <w:rFonts w:cs="Times New Roman"/>
          <w:i/>
          <w:lang w:val="fr-CA"/>
        </w:rPr>
        <w:t>Mauldin</w:t>
      </w:r>
      <w:proofErr w:type="spellEnd"/>
      <w:r w:rsidRPr="00F9597A">
        <w:rPr>
          <w:rFonts w:cs="Times New Roman"/>
          <w:lang w:val="fr-CA"/>
        </w:rPr>
        <w:t>, ainsi qu’avec trois autres affaires dont notre Cour n’est pas saisie.  La Cour d’appel a conclu que l’action intentée par Bruno Appliance ne devrait pas être tranchée par jugement sommaire compte tenu de son volumineux dossier, des témoignages contradictoires, des questions de crédibilité, des thèses opposées en matière de responsabilité qui ont été avancées contre plusieurs défendeurs et de l’absence d’une preuve documentaire fiable.</w:t>
      </w:r>
    </w:p>
    <w:p w:rsidR="003D761E" w:rsidRPr="00F9597A" w:rsidRDefault="003D761E" w:rsidP="003D761E">
      <w:pPr>
        <w:pStyle w:val="ParaNoNdepar-AltN"/>
        <w:rPr>
          <w:rFonts w:cs="Times New Roman"/>
          <w:lang w:val="fr-CA"/>
        </w:rPr>
      </w:pPr>
      <w:r w:rsidRPr="00F9597A">
        <w:rPr>
          <w:rFonts w:cs="Times New Roman"/>
          <w:lang w:val="fr-CA"/>
        </w:rPr>
        <w:t xml:space="preserve">Malgré cette conclusion, la Cour d’appel était disposée, tout comme dans </w:t>
      </w:r>
      <w:proofErr w:type="spellStart"/>
      <w:r w:rsidRPr="00F9597A">
        <w:rPr>
          <w:rFonts w:cs="Times New Roman"/>
          <w:i/>
          <w:lang w:val="fr-CA"/>
        </w:rPr>
        <w:t>Mauldin</w:t>
      </w:r>
      <w:proofErr w:type="spellEnd"/>
      <w:r w:rsidRPr="00F9597A">
        <w:rPr>
          <w:rFonts w:cs="Times New Roman"/>
          <w:lang w:val="fr-CA"/>
        </w:rPr>
        <w:t>, à réexaminer la question de savoir si le juge saisi de la requête était néanmoins habilité à rendre un jugement, mais en l’espèce, elle a conclu que la preuve présentée contre M. </w:t>
      </w:r>
      <w:proofErr w:type="spellStart"/>
      <w:r w:rsidRPr="00F9597A">
        <w:rPr>
          <w:rFonts w:cs="Times New Roman"/>
          <w:lang w:val="fr-CA"/>
        </w:rPr>
        <w:t>Hryniak</w:t>
      </w:r>
      <w:proofErr w:type="spellEnd"/>
      <w:r w:rsidRPr="00F9597A">
        <w:rPr>
          <w:rFonts w:cs="Times New Roman"/>
          <w:lang w:val="fr-CA"/>
        </w:rPr>
        <w:t xml:space="preserve"> n’était pas aussi accablante.  Deux véritables questions nécessitaient la tenue d’un procès : premièrement, celle de savoir si </w:t>
      </w:r>
      <w:r w:rsidRPr="00F9597A">
        <w:rPr>
          <w:rFonts w:cs="Times New Roman"/>
          <w:lang w:val="fr-CA"/>
        </w:rPr>
        <w:lastRenderedPageBreak/>
        <w:t>M. </w:t>
      </w:r>
      <w:proofErr w:type="spellStart"/>
      <w:r w:rsidRPr="00F9597A">
        <w:rPr>
          <w:rFonts w:cs="Times New Roman"/>
          <w:lang w:val="fr-CA"/>
        </w:rPr>
        <w:t>Hryniak</w:t>
      </w:r>
      <w:proofErr w:type="spellEnd"/>
      <w:r w:rsidRPr="00F9597A">
        <w:rPr>
          <w:rFonts w:cs="Times New Roman"/>
          <w:lang w:val="fr-CA"/>
        </w:rPr>
        <w:t xml:space="preserve"> avait incité Bruno Appliance à investir, et deuxièmement, celle de savoir si une partie des fonds avait été détournée par M. Cranston plutôt que M. </w:t>
      </w:r>
      <w:proofErr w:type="spellStart"/>
      <w:r w:rsidRPr="00F9597A">
        <w:rPr>
          <w:rFonts w:cs="Times New Roman"/>
          <w:lang w:val="fr-CA"/>
        </w:rPr>
        <w:t>Hryniak</w:t>
      </w:r>
      <w:proofErr w:type="spellEnd"/>
      <w:r w:rsidRPr="00F9597A">
        <w:rPr>
          <w:rFonts w:cs="Times New Roman"/>
          <w:lang w:val="fr-CA"/>
        </w:rPr>
        <w:t>.</w:t>
      </w:r>
    </w:p>
    <w:p w:rsidR="003D761E" w:rsidRPr="00F9597A" w:rsidRDefault="003D761E" w:rsidP="003D761E">
      <w:pPr>
        <w:pStyle w:val="ParaNoNdepar-AltN"/>
        <w:rPr>
          <w:rFonts w:cs="Times New Roman"/>
          <w:lang w:val="fr-CA"/>
        </w:rPr>
      </w:pPr>
      <w:r w:rsidRPr="00F9597A">
        <w:rPr>
          <w:rFonts w:cs="Times New Roman"/>
          <w:lang w:val="fr-CA"/>
        </w:rPr>
        <w:t>La Cour d’appel a conclu que le juge saisi de la requête n’avait pas traité de la question de savoir si M. </w:t>
      </w:r>
      <w:proofErr w:type="spellStart"/>
      <w:r w:rsidRPr="00F9597A">
        <w:rPr>
          <w:rFonts w:cs="Times New Roman"/>
          <w:lang w:val="fr-CA"/>
        </w:rPr>
        <w:t>Hryniak</w:t>
      </w:r>
      <w:proofErr w:type="spellEnd"/>
      <w:r w:rsidRPr="00F9597A">
        <w:rPr>
          <w:rFonts w:cs="Times New Roman"/>
          <w:lang w:val="fr-CA"/>
        </w:rPr>
        <w:t xml:space="preserve"> avait sciemment fait une fausse déclaration ayant incité Bruno Appliance à investir, un élément nécessaire de la fraude.  La Cour d’appel est arrivée à la conclusion qu’il n’existait aucune preuve convaincante selon laquelle M. Peebles avait agi à titre de mandataire de M. </w:t>
      </w:r>
      <w:proofErr w:type="spellStart"/>
      <w:r w:rsidRPr="00F9597A">
        <w:rPr>
          <w:rFonts w:cs="Times New Roman"/>
          <w:lang w:val="fr-CA"/>
        </w:rPr>
        <w:t>Hryniak</w:t>
      </w:r>
      <w:proofErr w:type="spellEnd"/>
      <w:r w:rsidRPr="00F9597A">
        <w:rPr>
          <w:rFonts w:cs="Times New Roman"/>
          <w:lang w:val="fr-CA"/>
        </w:rPr>
        <w:t xml:space="preserve"> au moment où les déclarations pertinentes ont été faites.  Au sujet de la deuxième question, la Cour d’appel a conclu qu’elle ne pouvait pas décider, au vu du dossier, si le placement de Bruno Appliance avait été détourné entièrement par M. </w:t>
      </w:r>
      <w:proofErr w:type="spellStart"/>
      <w:r w:rsidRPr="00F9597A">
        <w:rPr>
          <w:rFonts w:cs="Times New Roman"/>
          <w:lang w:val="fr-CA"/>
        </w:rPr>
        <w:t>Hryniak</w:t>
      </w:r>
      <w:proofErr w:type="spellEnd"/>
      <w:r w:rsidRPr="00F9597A">
        <w:rPr>
          <w:rFonts w:cs="Times New Roman"/>
          <w:lang w:val="fr-CA"/>
        </w:rPr>
        <w:t xml:space="preserve"> ou par MM. </w:t>
      </w:r>
      <w:proofErr w:type="spellStart"/>
      <w:r w:rsidRPr="00F9597A">
        <w:rPr>
          <w:rFonts w:cs="Times New Roman"/>
          <w:lang w:val="fr-CA"/>
        </w:rPr>
        <w:t>Hryniak</w:t>
      </w:r>
      <w:proofErr w:type="spellEnd"/>
      <w:r w:rsidRPr="00F9597A">
        <w:rPr>
          <w:rFonts w:cs="Times New Roman"/>
          <w:lang w:val="fr-CA"/>
        </w:rPr>
        <w:t xml:space="preserve"> et Cranston selon certaines proportions.</w:t>
      </w:r>
    </w:p>
    <w:p w:rsidR="003D761E" w:rsidRPr="00F9597A" w:rsidRDefault="003D761E" w:rsidP="003D761E">
      <w:pPr>
        <w:pStyle w:val="ParaNoNdepar-AltN"/>
        <w:rPr>
          <w:rFonts w:cs="Times New Roman"/>
          <w:lang w:val="fr-CA"/>
        </w:rPr>
      </w:pPr>
      <w:r w:rsidRPr="00F9597A">
        <w:rPr>
          <w:rFonts w:cs="Times New Roman"/>
          <w:lang w:val="fr-CA"/>
        </w:rPr>
        <w:t xml:space="preserve">Par conséquent, la Cour d’appel a ordonné l’instruction de l’action intentée par Bruno Appliance, sous réserve de certaines ordonnances relatives à la gestion de l’instance rendues conformément au par. 20.05(2) des Règles.  </w:t>
      </w:r>
    </w:p>
    <w:p w:rsidR="003D761E" w:rsidRPr="00F9597A" w:rsidRDefault="003D761E" w:rsidP="003D761E">
      <w:pPr>
        <w:pStyle w:val="Title1LevelTitre1Niveau-AltL"/>
        <w:rPr>
          <w:rFonts w:cs="Times New Roman"/>
          <w:lang w:val="fr-CA"/>
        </w:rPr>
      </w:pPr>
      <w:r w:rsidRPr="00F9597A">
        <w:rPr>
          <w:rFonts w:cs="Times New Roman"/>
          <w:lang w:val="fr-CA"/>
        </w:rPr>
        <w:t>Analyse</w:t>
      </w:r>
    </w:p>
    <w:p w:rsidR="003D761E" w:rsidRPr="00F9597A" w:rsidRDefault="003D761E" w:rsidP="003D761E">
      <w:pPr>
        <w:pStyle w:val="ParaNoNdepar-AltN"/>
        <w:rPr>
          <w:rFonts w:cs="Times New Roman"/>
          <w:lang w:val="fr-CA"/>
        </w:rPr>
      </w:pPr>
      <w:r w:rsidRPr="00F9597A">
        <w:rPr>
          <w:rFonts w:cs="Times New Roman"/>
          <w:lang w:val="fr-CA"/>
        </w:rPr>
        <w:t xml:space="preserve">Le pourvoi connexe </w:t>
      </w:r>
      <w:proofErr w:type="spellStart"/>
      <w:r w:rsidRPr="00F9597A">
        <w:rPr>
          <w:rFonts w:cs="Times New Roman"/>
          <w:i/>
          <w:lang w:val="fr-CA"/>
        </w:rPr>
        <w:t>Mauldin</w:t>
      </w:r>
      <w:proofErr w:type="spellEnd"/>
      <w:r w:rsidRPr="00F9597A">
        <w:rPr>
          <w:rFonts w:cs="Times New Roman"/>
          <w:lang w:val="fr-CA"/>
        </w:rPr>
        <w:t xml:space="preserve"> traite de la portée et de l’interprétation de la règle 20 modifiée.  Par conséquent, il reste à décider en l’espèce si la Cour d’appel a commis une erreur en décidant que Bruno Appliance ne doit pas obtenir un jugement sommaire contre M. </w:t>
      </w:r>
      <w:proofErr w:type="spellStart"/>
      <w:r w:rsidRPr="00F9597A">
        <w:rPr>
          <w:rFonts w:cs="Times New Roman"/>
          <w:lang w:val="fr-CA"/>
        </w:rPr>
        <w:t>Hryniak</w:t>
      </w:r>
      <w:proofErr w:type="spellEnd"/>
      <w:r w:rsidRPr="00F9597A">
        <w:rPr>
          <w:rFonts w:cs="Times New Roman"/>
          <w:lang w:val="fr-CA"/>
        </w:rPr>
        <w:t>.</w:t>
      </w:r>
    </w:p>
    <w:p w:rsidR="003D761E" w:rsidRPr="00F9597A" w:rsidRDefault="003D761E" w:rsidP="003D761E">
      <w:pPr>
        <w:pStyle w:val="Title2LevelTitre2Niveau"/>
        <w:rPr>
          <w:rFonts w:cs="Times New Roman"/>
          <w:lang w:val="fr-CA"/>
        </w:rPr>
      </w:pPr>
      <w:r w:rsidRPr="00F9597A">
        <w:rPr>
          <w:rFonts w:cs="Times New Roman"/>
          <w:lang w:val="fr-CA"/>
        </w:rPr>
        <w:lastRenderedPageBreak/>
        <w:t xml:space="preserve">Le délit de fraude civile </w:t>
      </w:r>
    </w:p>
    <w:p w:rsidR="003D761E" w:rsidRPr="00F9597A" w:rsidRDefault="003D761E" w:rsidP="003D761E">
      <w:pPr>
        <w:pStyle w:val="ParaNoNdepar-AltN"/>
        <w:rPr>
          <w:rFonts w:cs="Times New Roman"/>
          <w:lang w:val="fr-CA"/>
        </w:rPr>
      </w:pPr>
      <w:r w:rsidRPr="00F9597A">
        <w:rPr>
          <w:rFonts w:cs="Times New Roman"/>
          <w:lang w:val="fr-CA"/>
        </w:rPr>
        <w:t>Les parties ne s’entendent pas sur les éléments constitutifs du délit de fraude civile, plus particulièrement sur la question de savoir s’il faut prouver que M. </w:t>
      </w:r>
      <w:proofErr w:type="spellStart"/>
      <w:r w:rsidRPr="00F9597A">
        <w:rPr>
          <w:rFonts w:cs="Times New Roman"/>
          <w:lang w:val="fr-CA"/>
        </w:rPr>
        <w:t>Hryniak</w:t>
      </w:r>
      <w:proofErr w:type="spellEnd"/>
      <w:r w:rsidRPr="00F9597A">
        <w:rPr>
          <w:rFonts w:cs="Times New Roman"/>
          <w:lang w:val="fr-CA"/>
        </w:rPr>
        <w:t xml:space="preserve"> a incité Bruno Appliance à se départir de ses fonds.</w:t>
      </w:r>
    </w:p>
    <w:p w:rsidR="003D761E" w:rsidRPr="00F9597A" w:rsidRDefault="003D761E" w:rsidP="003D761E">
      <w:pPr>
        <w:pStyle w:val="ParaNoNdepar-AltN"/>
        <w:rPr>
          <w:rFonts w:cs="Times New Roman"/>
          <w:lang w:val="fr-CA"/>
        </w:rPr>
      </w:pPr>
      <w:r w:rsidRPr="00F9597A">
        <w:rPr>
          <w:rFonts w:cs="Times New Roman"/>
          <w:lang w:val="fr-CA"/>
        </w:rPr>
        <w:t xml:space="preserve">L’énoncé classique des éléments de la fraude civile tire son origine dans un arrêt rendu en 1889 par la Chambre des lords, </w:t>
      </w:r>
      <w:r w:rsidRPr="00F9597A">
        <w:rPr>
          <w:rFonts w:cs="Times New Roman"/>
          <w:i/>
          <w:lang w:val="fr-CA"/>
        </w:rPr>
        <w:t xml:space="preserve">Derry c. </w:t>
      </w:r>
      <w:proofErr w:type="spellStart"/>
      <w:r w:rsidRPr="00F9597A">
        <w:rPr>
          <w:rFonts w:cs="Times New Roman"/>
          <w:i/>
          <w:lang w:val="fr-CA"/>
        </w:rPr>
        <w:t>Peek</w:t>
      </w:r>
      <w:proofErr w:type="spellEnd"/>
      <w:r w:rsidRPr="00F9597A">
        <w:rPr>
          <w:rFonts w:cs="Times New Roman"/>
          <w:lang w:val="fr-CA"/>
        </w:rPr>
        <w:t xml:space="preserve"> (1889), 14 </w:t>
      </w:r>
      <w:proofErr w:type="spellStart"/>
      <w:r w:rsidRPr="00F9597A">
        <w:rPr>
          <w:rFonts w:cs="Times New Roman"/>
          <w:lang w:val="fr-CA"/>
        </w:rPr>
        <w:t>App</w:t>
      </w:r>
      <w:proofErr w:type="spellEnd"/>
      <w:r w:rsidRPr="00F9597A">
        <w:rPr>
          <w:rFonts w:cs="Times New Roman"/>
          <w:lang w:val="fr-CA"/>
        </w:rPr>
        <w:t>. Cas. 337, dans lequel lord Herschell a procédé à un examen approfondi de l’historique du délit de tromperie et a énoncé les trois propositions suivantes, à la p. 374 :</w:t>
      </w:r>
    </w:p>
    <w:p w:rsidR="003D761E" w:rsidRPr="00F9597A" w:rsidRDefault="003D761E" w:rsidP="003D761E">
      <w:pPr>
        <w:pStyle w:val="Citation-AltC"/>
        <w:ind w:hanging="1166"/>
        <w:rPr>
          <w:lang w:val="fr-CA"/>
        </w:rPr>
      </w:pPr>
      <w:r w:rsidRPr="00F9597A">
        <w:rPr>
          <w:lang w:val="fr-CA"/>
        </w:rPr>
        <w:tab/>
        <w:t>[</w:t>
      </w:r>
      <w:r w:rsidRPr="00F9597A">
        <w:rPr>
          <w:smallCaps/>
          <w:lang w:val="fr-CA"/>
        </w:rPr>
        <w:t>traduction</w:t>
      </w:r>
      <w:r w:rsidRPr="00F9597A">
        <w:rPr>
          <w:lang w:val="fr-CA"/>
        </w:rPr>
        <w:t>]  Premièrement, afin de fonder une action pour tromperie, il faut prouver qu’il y a eu fraude, et rien de moins que cela ne saurait suffire.  Deuxièmement, la fraude est établie par la preuve qu’une fausse déclaration a été faite (1) sciemment, ou (2) sans la croire vraie, ou encore (3) avec insouciance, sans se soucier qu’elle soit vraie ou fausse. [. . .] Troisièmement, si la fraude est établie, le mobile de l’auteur de la fraude n’a aucune importance.  Il importe peu que l’auteur de la déclaration n’eût pas l’intention de tromper son interlocuteur ou de lui faire du tort.</w:t>
      </w:r>
    </w:p>
    <w:p w:rsidR="003D761E" w:rsidRPr="00F9597A" w:rsidRDefault="003D761E" w:rsidP="003D761E">
      <w:pPr>
        <w:pStyle w:val="ParaNoNdepar-AltN"/>
        <w:rPr>
          <w:rFonts w:cs="Times New Roman"/>
          <w:lang w:val="fr-CA"/>
        </w:rPr>
      </w:pPr>
      <w:r w:rsidRPr="00F9597A">
        <w:rPr>
          <w:rFonts w:cs="Times New Roman"/>
          <w:lang w:val="fr-CA"/>
        </w:rPr>
        <w:t xml:space="preserve">Notre Cour a fait siens ces propos de lord Herschell dans </w:t>
      </w:r>
      <w:proofErr w:type="spellStart"/>
      <w:r w:rsidRPr="00F9597A">
        <w:rPr>
          <w:rFonts w:cs="Times New Roman"/>
          <w:i/>
          <w:lang w:val="fr-CA"/>
        </w:rPr>
        <w:t>Parna</w:t>
      </w:r>
      <w:proofErr w:type="spellEnd"/>
      <w:r w:rsidRPr="00F9597A">
        <w:rPr>
          <w:rFonts w:cs="Times New Roman"/>
          <w:i/>
          <w:lang w:val="fr-CA"/>
        </w:rPr>
        <w:t xml:space="preserve"> c. G. &amp; S. </w:t>
      </w:r>
      <w:proofErr w:type="spellStart"/>
      <w:r w:rsidRPr="00F9597A">
        <w:rPr>
          <w:rFonts w:cs="Times New Roman"/>
          <w:i/>
          <w:lang w:val="fr-CA"/>
        </w:rPr>
        <w:t>Properties</w:t>
      </w:r>
      <w:proofErr w:type="spellEnd"/>
      <w:r w:rsidRPr="00F9597A">
        <w:rPr>
          <w:rFonts w:cs="Times New Roman"/>
          <w:i/>
          <w:lang w:val="fr-CA"/>
        </w:rPr>
        <w:t xml:space="preserve"> Ltd.</w:t>
      </w:r>
      <w:r w:rsidRPr="00F9597A">
        <w:rPr>
          <w:rFonts w:cs="Times New Roman"/>
          <w:lang w:val="fr-CA"/>
        </w:rPr>
        <w:t xml:space="preserve">, [1971] R.C.S. 306, ajoutant que la fausse déclaration doit « porte[r] effectivement [le demandeur] à y donner suite » (p. 316, citant </w:t>
      </w:r>
      <w:proofErr w:type="spellStart"/>
      <w:r w:rsidRPr="00F9597A">
        <w:rPr>
          <w:rFonts w:cs="Times New Roman"/>
          <w:i/>
          <w:lang w:val="fr-CA"/>
        </w:rPr>
        <w:t>Anson</w:t>
      </w:r>
      <w:proofErr w:type="spellEnd"/>
      <w:r w:rsidRPr="00F9597A">
        <w:rPr>
          <w:rFonts w:cs="Times New Roman"/>
          <w:i/>
          <w:lang w:val="fr-CA"/>
        </w:rPr>
        <w:t xml:space="preserve"> on </w:t>
      </w:r>
      <w:proofErr w:type="spellStart"/>
      <w:r w:rsidRPr="00F9597A">
        <w:rPr>
          <w:rFonts w:cs="Times New Roman"/>
          <w:i/>
          <w:lang w:val="fr-CA"/>
        </w:rPr>
        <w:t>Contract</w:t>
      </w:r>
      <w:proofErr w:type="spellEnd"/>
      <w:r w:rsidRPr="00F9597A">
        <w:rPr>
          <w:rFonts w:cs="Times New Roman"/>
          <w:lang w:val="fr-CA"/>
        </w:rPr>
        <w:t xml:space="preserve">).  Obliger le demandeur à prouver qu’il y a eu incitation s’accorde avec le fait que la Cour ait ultérieurement reconnu dans </w:t>
      </w:r>
      <w:proofErr w:type="spellStart"/>
      <w:r w:rsidRPr="00F9597A">
        <w:rPr>
          <w:rFonts w:cs="Times New Roman"/>
          <w:i/>
          <w:lang w:val="fr-CA"/>
        </w:rPr>
        <w:t>Snell</w:t>
      </w:r>
      <w:proofErr w:type="spellEnd"/>
      <w:r w:rsidRPr="00F9597A">
        <w:rPr>
          <w:rFonts w:cs="Times New Roman"/>
          <w:i/>
          <w:lang w:val="fr-CA"/>
        </w:rPr>
        <w:t xml:space="preserve"> c. Farrell</w:t>
      </w:r>
      <w:r w:rsidRPr="00F9597A">
        <w:rPr>
          <w:rFonts w:cs="Times New Roman"/>
          <w:lang w:val="fr-CA"/>
        </w:rPr>
        <w:t>, [1990] 2 R.C.S. 311, p. 319</w:t>
      </w:r>
      <w:r w:rsidRPr="00F9597A">
        <w:rPr>
          <w:rFonts w:cs="Times New Roman"/>
          <w:lang w:val="fr-CA"/>
        </w:rPr>
        <w:noBreakHyphen/>
        <w:t xml:space="preserve">320, qu’en droit, en matière de responsabilité civile délictuelle, il faut démontrer que « n’eût été la conduite délictueuse du défendeur, le demandeur n’aurait pas subi le préjudice reproché ». </w:t>
      </w:r>
    </w:p>
    <w:p w:rsidR="003D761E" w:rsidRPr="00F9597A" w:rsidRDefault="003D761E" w:rsidP="003D761E">
      <w:pPr>
        <w:pStyle w:val="ParaNoNdepar-AltN"/>
        <w:rPr>
          <w:rFonts w:cs="Times New Roman"/>
          <w:lang w:val="fr-CA"/>
        </w:rPr>
      </w:pPr>
      <w:r w:rsidRPr="00F9597A">
        <w:rPr>
          <w:rFonts w:cs="Times New Roman"/>
          <w:lang w:val="fr-CA"/>
        </w:rPr>
        <w:lastRenderedPageBreak/>
        <w:t xml:space="preserve">Enfin, la Cour a reconnu qu’il faut aussi faire la preuve d’une perte.  Comme l’a dit le juge en chef Taschereau dans </w:t>
      </w:r>
      <w:r w:rsidRPr="00F9597A">
        <w:rPr>
          <w:rFonts w:cs="Times New Roman"/>
          <w:i/>
          <w:lang w:val="fr-CA"/>
        </w:rPr>
        <w:t xml:space="preserve">Angers c. </w:t>
      </w:r>
      <w:proofErr w:type="spellStart"/>
      <w:r w:rsidRPr="00F9597A">
        <w:rPr>
          <w:rFonts w:cs="Times New Roman"/>
          <w:i/>
          <w:lang w:val="fr-CA"/>
        </w:rPr>
        <w:t>Mutual</w:t>
      </w:r>
      <w:proofErr w:type="spellEnd"/>
      <w:r w:rsidRPr="00F9597A">
        <w:rPr>
          <w:rFonts w:cs="Times New Roman"/>
          <w:i/>
          <w:lang w:val="fr-CA"/>
        </w:rPr>
        <w:t xml:space="preserve"> Reserve </w:t>
      </w:r>
      <w:proofErr w:type="spellStart"/>
      <w:r w:rsidRPr="00F9597A">
        <w:rPr>
          <w:rFonts w:cs="Times New Roman"/>
          <w:i/>
          <w:lang w:val="fr-CA"/>
        </w:rPr>
        <w:t>Fund</w:t>
      </w:r>
      <w:proofErr w:type="spellEnd"/>
      <w:r w:rsidRPr="00F9597A">
        <w:rPr>
          <w:rFonts w:cs="Times New Roman"/>
          <w:i/>
          <w:lang w:val="fr-CA"/>
        </w:rPr>
        <w:t xml:space="preserve"> Life </w:t>
      </w:r>
      <w:proofErr w:type="spellStart"/>
      <w:r w:rsidRPr="00F9597A">
        <w:rPr>
          <w:rFonts w:cs="Times New Roman"/>
          <w:i/>
          <w:lang w:val="fr-CA"/>
        </w:rPr>
        <w:t>Assn</w:t>
      </w:r>
      <w:proofErr w:type="spellEnd"/>
      <w:r w:rsidRPr="00F9597A">
        <w:rPr>
          <w:rFonts w:cs="Times New Roman"/>
          <w:i/>
          <w:lang w:val="fr-CA"/>
        </w:rPr>
        <w:t>.</w:t>
      </w:r>
      <w:r w:rsidRPr="00F9597A">
        <w:rPr>
          <w:rFonts w:cs="Times New Roman"/>
          <w:lang w:val="fr-CA"/>
        </w:rPr>
        <w:t xml:space="preserve"> (1904), 35 R.C.S. 330, [</w:t>
      </w:r>
      <w:r w:rsidRPr="00F9597A">
        <w:rPr>
          <w:rFonts w:cs="Times New Roman"/>
          <w:smallCaps/>
          <w:lang w:val="fr-CA"/>
        </w:rPr>
        <w:t>traduction</w:t>
      </w:r>
      <w:r w:rsidRPr="00F9597A">
        <w:rPr>
          <w:rFonts w:cs="Times New Roman"/>
          <w:lang w:val="fr-CA"/>
        </w:rPr>
        <w:t>] « une fraude ne causant aucun préjudice ne [. . .] donne aucune cause d’action » (p. 340).</w:t>
      </w:r>
    </w:p>
    <w:p w:rsidR="003D761E" w:rsidRPr="00F9597A" w:rsidRDefault="003D761E" w:rsidP="003D761E">
      <w:pPr>
        <w:pStyle w:val="ParaNoNdepar-AltN"/>
        <w:rPr>
          <w:rFonts w:cs="Times New Roman"/>
          <w:lang w:val="fr-CA"/>
        </w:rPr>
      </w:pPr>
      <w:r w:rsidRPr="00F9597A">
        <w:rPr>
          <w:rFonts w:cs="Times New Roman"/>
          <w:lang w:val="fr-CA"/>
        </w:rPr>
        <w:t>Sur la base de cet historique jurisprudentiel, je résume ainsi les quatre éléments du délit de fraude civile : (1) le défendeur a fait une fausse déclaration; (2) le défendeur savait, jusqu’à un certain point, que sa déclaration était fausse (sciemment ou par insouciance); (3) la fausse déclaration a incité le demandeur à agir; (4) les actes du demandeur ont entraîné une perte.</w:t>
      </w:r>
    </w:p>
    <w:p w:rsidR="003D761E" w:rsidRPr="00F9597A" w:rsidRDefault="003D761E" w:rsidP="003D761E">
      <w:pPr>
        <w:pStyle w:val="Title2LevelTitre2Niveau"/>
        <w:rPr>
          <w:rFonts w:cs="Times New Roman"/>
          <w:lang w:val="fr-CA"/>
        </w:rPr>
      </w:pPr>
      <w:r w:rsidRPr="00F9597A">
        <w:rPr>
          <w:rFonts w:cs="Times New Roman"/>
          <w:lang w:val="fr-CA"/>
        </w:rPr>
        <w:t xml:space="preserve">Le juge saisi de la requête </w:t>
      </w:r>
      <w:proofErr w:type="spellStart"/>
      <w:r w:rsidRPr="00F9597A">
        <w:rPr>
          <w:rFonts w:cs="Times New Roman"/>
          <w:lang w:val="fr-CA"/>
        </w:rPr>
        <w:t>a</w:t>
      </w:r>
      <w:r w:rsidRPr="00F9597A">
        <w:rPr>
          <w:rFonts w:cs="Times New Roman"/>
          <w:lang w:val="fr-CA"/>
        </w:rPr>
        <w:noBreakHyphen/>
        <w:t>t</w:t>
      </w:r>
      <w:r w:rsidRPr="00F9597A">
        <w:rPr>
          <w:rFonts w:cs="Times New Roman"/>
          <w:lang w:val="fr-CA"/>
        </w:rPr>
        <w:noBreakHyphen/>
        <w:t>il</w:t>
      </w:r>
      <w:proofErr w:type="spellEnd"/>
      <w:r w:rsidRPr="00F9597A">
        <w:rPr>
          <w:rFonts w:cs="Times New Roman"/>
          <w:lang w:val="fr-CA"/>
        </w:rPr>
        <w:t xml:space="preserve"> commis une erreur en rendant un jugement sommaire?</w:t>
      </w:r>
    </w:p>
    <w:p w:rsidR="003D761E" w:rsidRPr="00F9597A" w:rsidRDefault="003D761E" w:rsidP="003D761E">
      <w:pPr>
        <w:pStyle w:val="ParaNoNdepar-AltN"/>
        <w:rPr>
          <w:rFonts w:cs="Times New Roman"/>
          <w:lang w:val="fr-CA"/>
        </w:rPr>
      </w:pPr>
      <w:r w:rsidRPr="00F9597A">
        <w:rPr>
          <w:rFonts w:cs="Times New Roman"/>
          <w:lang w:val="fr-CA"/>
        </w:rPr>
        <w:t xml:space="preserve">Un jugement sommaire ne peut pas être rendu en vertu de la règle 20 en présence d’une véritable question nécessitant la tenue d’un procès.  Comme il est souligné dans le pourvoi connexe </w:t>
      </w:r>
      <w:proofErr w:type="spellStart"/>
      <w:r w:rsidRPr="00F9597A">
        <w:rPr>
          <w:rFonts w:cs="Times New Roman"/>
          <w:i/>
          <w:lang w:val="fr-CA"/>
        </w:rPr>
        <w:t>Mauldin</w:t>
      </w:r>
      <w:proofErr w:type="spellEnd"/>
      <w:r w:rsidRPr="00F9597A">
        <w:rPr>
          <w:rFonts w:cs="Times New Roman"/>
          <w:lang w:val="fr-CA"/>
        </w:rPr>
        <w:t>, le juge saisi de la requête doit se demander si l’affaire peut être réglée de manière juste et équitable par voie de requête en jugement sommaire.  Ce sera le cas lorsque la procédure (1) lui permet de tirer les conclusions de fait qui s’imposent, (2) lui permet d’appliquer le droit aux faits et (3) constitue un moyen proportionné, plus expéditif et moins coûteux d’atteindre un résultat juste.  Si, compte tenu uniquement du dossier dont dispose le juge, il semble y avoir une véritable question nécessitant la tenue d’un procès, ce dernier doit alors se demander si l’exercice des nouveaux pouvoirs que confèrent les par. </w:t>
      </w:r>
      <w:proofErr w:type="gramStart"/>
      <w:r w:rsidRPr="00F9597A">
        <w:rPr>
          <w:rFonts w:cs="Times New Roman"/>
          <w:lang w:val="fr-CA"/>
        </w:rPr>
        <w:t>20.04(</w:t>
      </w:r>
      <w:proofErr w:type="gramEnd"/>
      <w:r w:rsidRPr="00F9597A">
        <w:rPr>
          <w:rFonts w:cs="Times New Roman"/>
          <w:lang w:val="fr-CA"/>
        </w:rPr>
        <w:t xml:space="preserve">2.1) et (2.2) des Règles permet d’écarter le besoin d’un procès.  Il peut, à son gré, exercer ces pouvoirs pourvu que leur exercice ne soit pas contraire à l’intérêt de la justice. </w:t>
      </w:r>
    </w:p>
    <w:p w:rsidR="003D761E" w:rsidRPr="00F9597A" w:rsidRDefault="003D761E" w:rsidP="003D761E">
      <w:pPr>
        <w:pStyle w:val="ParaNoNdepar-AltN"/>
        <w:rPr>
          <w:rFonts w:cs="Times New Roman"/>
          <w:lang w:val="fr-CA"/>
        </w:rPr>
      </w:pPr>
      <w:r w:rsidRPr="00F9597A">
        <w:rPr>
          <w:rFonts w:cs="Times New Roman"/>
          <w:lang w:val="fr-CA"/>
        </w:rPr>
        <w:lastRenderedPageBreak/>
        <w:t xml:space="preserve">Pour les motifs qui suivent, je suis d’avis qu’il existe une véritable question nécessitant la tenue d’un procès. </w:t>
      </w:r>
    </w:p>
    <w:p w:rsidR="003D761E" w:rsidRPr="00F9597A" w:rsidRDefault="003D761E" w:rsidP="003D761E">
      <w:pPr>
        <w:pStyle w:val="ParaNoNdepar-AltN"/>
        <w:rPr>
          <w:rFonts w:cs="Times New Roman"/>
          <w:lang w:val="fr-CA"/>
        </w:rPr>
      </w:pPr>
      <w:r w:rsidRPr="00F9597A">
        <w:rPr>
          <w:rFonts w:cs="Times New Roman"/>
          <w:lang w:val="fr-CA"/>
        </w:rPr>
        <w:t>Comme l’a indiqué la Cour d’appel et suivant l’analyse qui précède, la fraude civile exige que M. </w:t>
      </w:r>
      <w:proofErr w:type="spellStart"/>
      <w:r w:rsidRPr="00F9597A">
        <w:rPr>
          <w:rFonts w:cs="Times New Roman"/>
          <w:lang w:val="fr-CA"/>
        </w:rPr>
        <w:t>Hryniak</w:t>
      </w:r>
      <w:proofErr w:type="spellEnd"/>
      <w:r w:rsidRPr="00F9597A">
        <w:rPr>
          <w:rFonts w:cs="Times New Roman"/>
          <w:lang w:val="fr-CA"/>
        </w:rPr>
        <w:t xml:space="preserve"> ait fait une fausse déclaration ayant incité Bruno Appliance à investir.  Le juge saisi de la requête n’a ni souligné la nécessité qu’il y ait eu fausse déclaration, ni conclu que M. </w:t>
      </w:r>
      <w:proofErr w:type="spellStart"/>
      <w:r w:rsidRPr="00F9597A">
        <w:rPr>
          <w:rFonts w:cs="Times New Roman"/>
          <w:lang w:val="fr-CA"/>
        </w:rPr>
        <w:t>Hryniak</w:t>
      </w:r>
      <w:proofErr w:type="spellEnd"/>
      <w:r w:rsidRPr="00F9597A">
        <w:rPr>
          <w:rFonts w:cs="Times New Roman"/>
          <w:lang w:val="fr-CA"/>
        </w:rPr>
        <w:t xml:space="preserve"> avait fait une telle déclaration.</w:t>
      </w:r>
    </w:p>
    <w:p w:rsidR="003D761E" w:rsidRPr="00F9597A" w:rsidRDefault="003D761E" w:rsidP="003D761E">
      <w:pPr>
        <w:pStyle w:val="ParaNoNdepar-AltN"/>
        <w:rPr>
          <w:rFonts w:cs="Times New Roman"/>
          <w:lang w:val="fr-CA"/>
        </w:rPr>
      </w:pPr>
      <w:r w:rsidRPr="00F9597A">
        <w:rPr>
          <w:rFonts w:cs="Times New Roman"/>
          <w:lang w:val="fr-CA"/>
        </w:rPr>
        <w:t xml:space="preserve">Le juge saisi de la requête a conclu que </w:t>
      </w:r>
      <w:proofErr w:type="spellStart"/>
      <w:r w:rsidRPr="00F9597A">
        <w:rPr>
          <w:rFonts w:cs="Times New Roman"/>
          <w:lang w:val="fr-CA"/>
        </w:rPr>
        <w:t>Tropos</w:t>
      </w:r>
      <w:proofErr w:type="spellEnd"/>
      <w:r w:rsidRPr="00F9597A">
        <w:rPr>
          <w:rFonts w:cs="Times New Roman"/>
          <w:lang w:val="fr-CA"/>
        </w:rPr>
        <w:t xml:space="preserve"> n’avait pas investi les fonds de Bruno Appliance et qu’une fausse déclaration avait donc été faite aux investisseurs.  C’est à l’occasion d’une rencontre entre M. Peebles, M. Cranston et le dirigeant de Bruno Appliance en février 2002 que cette fausse représentation a été faite.  Il a conclu que M. </w:t>
      </w:r>
      <w:proofErr w:type="spellStart"/>
      <w:r w:rsidRPr="00F9597A">
        <w:rPr>
          <w:rFonts w:cs="Times New Roman"/>
          <w:lang w:val="fr-CA"/>
        </w:rPr>
        <w:t>Hryniak</w:t>
      </w:r>
      <w:proofErr w:type="spellEnd"/>
      <w:r w:rsidRPr="00F9597A">
        <w:rPr>
          <w:rFonts w:cs="Times New Roman"/>
          <w:lang w:val="fr-CA"/>
        </w:rPr>
        <w:t xml:space="preserve"> était censé assister à cette rencontre, que ce dernier connaissait l’objet de la rencontre et que l’entreprise de ce dernier avait payé pour la présence de M. Peebles.</w:t>
      </w:r>
    </w:p>
    <w:p w:rsidR="003D761E" w:rsidRPr="00F9597A" w:rsidRDefault="003D761E" w:rsidP="003D761E">
      <w:pPr>
        <w:pStyle w:val="ParaNoNdepar-AltN"/>
        <w:rPr>
          <w:rFonts w:cs="Times New Roman"/>
          <w:lang w:val="fr-CA"/>
        </w:rPr>
      </w:pPr>
      <w:r w:rsidRPr="00F9597A">
        <w:rPr>
          <w:rFonts w:cs="Times New Roman"/>
          <w:lang w:val="fr-CA"/>
        </w:rPr>
        <w:t>Cependant, M. </w:t>
      </w:r>
      <w:proofErr w:type="spellStart"/>
      <w:r w:rsidRPr="00F9597A">
        <w:rPr>
          <w:rFonts w:cs="Times New Roman"/>
          <w:lang w:val="fr-CA"/>
        </w:rPr>
        <w:t>Hryniak</w:t>
      </w:r>
      <w:proofErr w:type="spellEnd"/>
      <w:r w:rsidRPr="00F9597A">
        <w:rPr>
          <w:rFonts w:cs="Times New Roman"/>
          <w:lang w:val="fr-CA"/>
        </w:rPr>
        <w:t xml:space="preserve"> n’était pas présent à cette rencontre et il ne peut être tenu responsable de fausses déclarations faites par M. Peebles ou M. Cranston que si </w:t>
      </w:r>
      <w:r w:rsidR="00D1328C">
        <w:rPr>
          <w:rFonts w:cs="Times New Roman"/>
          <w:lang w:val="fr-CA"/>
        </w:rPr>
        <w:t>l</w:t>
      </w:r>
      <w:r w:rsidRPr="00F9597A">
        <w:rPr>
          <w:rFonts w:cs="Times New Roman"/>
          <w:lang w:val="fr-CA"/>
        </w:rPr>
        <w:t>es déclarations de ces derniers peuvent lui être attribuées.  Par exemple, la Cour d’appel a envisagé, puis a rejeté en fin de compte, la possibilité que M. Peebles ou M. Cranston ait agi comme mandataire de M. </w:t>
      </w:r>
      <w:proofErr w:type="spellStart"/>
      <w:r w:rsidRPr="00F9597A">
        <w:rPr>
          <w:rFonts w:cs="Times New Roman"/>
          <w:lang w:val="fr-CA"/>
        </w:rPr>
        <w:t>Hryniak</w:t>
      </w:r>
      <w:proofErr w:type="spellEnd"/>
      <w:r w:rsidRPr="00F9597A">
        <w:rPr>
          <w:rFonts w:cs="Times New Roman"/>
          <w:lang w:val="fr-CA"/>
        </w:rPr>
        <w:t>.</w:t>
      </w:r>
    </w:p>
    <w:p w:rsidR="003D761E" w:rsidRPr="00F9597A" w:rsidRDefault="003D761E" w:rsidP="003D761E">
      <w:pPr>
        <w:pStyle w:val="ParaNoNdepar-AltN"/>
        <w:rPr>
          <w:rFonts w:cs="Times New Roman"/>
          <w:lang w:val="fr-CA"/>
        </w:rPr>
      </w:pPr>
      <w:r w:rsidRPr="00F9597A">
        <w:rPr>
          <w:rFonts w:cs="Times New Roman"/>
          <w:lang w:val="fr-CA"/>
        </w:rPr>
        <w:t>À mon avis, les conclusions du juge saisi de la requête ne suffisent pas à prouver que des déclarations fausses faites lors de la rencontre peuvent être attribuées à M. </w:t>
      </w:r>
      <w:proofErr w:type="spellStart"/>
      <w:r w:rsidRPr="00F9597A">
        <w:rPr>
          <w:rFonts w:cs="Times New Roman"/>
          <w:lang w:val="fr-CA"/>
        </w:rPr>
        <w:t>Hryniak</w:t>
      </w:r>
      <w:proofErr w:type="spellEnd"/>
      <w:r w:rsidRPr="00F9597A">
        <w:rPr>
          <w:rFonts w:cs="Times New Roman"/>
          <w:lang w:val="fr-CA"/>
        </w:rPr>
        <w:t xml:space="preserve">.  Rien ne prouve que M. Peebles ou M. Cranston </w:t>
      </w:r>
      <w:proofErr w:type="gramStart"/>
      <w:r w:rsidRPr="00F9597A">
        <w:rPr>
          <w:rFonts w:cs="Times New Roman"/>
          <w:lang w:val="fr-CA"/>
        </w:rPr>
        <w:t>suivaient</w:t>
      </w:r>
      <w:proofErr w:type="gramEnd"/>
      <w:r w:rsidRPr="00F9597A">
        <w:rPr>
          <w:rFonts w:cs="Times New Roman"/>
          <w:lang w:val="fr-CA"/>
        </w:rPr>
        <w:t xml:space="preserve"> des directives de M. </w:t>
      </w:r>
      <w:proofErr w:type="spellStart"/>
      <w:r w:rsidRPr="00F9597A">
        <w:rPr>
          <w:rFonts w:cs="Times New Roman"/>
          <w:lang w:val="fr-CA"/>
        </w:rPr>
        <w:t>Hryniak</w:t>
      </w:r>
      <w:proofErr w:type="spellEnd"/>
      <w:r w:rsidRPr="00F9597A">
        <w:rPr>
          <w:rFonts w:cs="Times New Roman"/>
          <w:lang w:val="fr-CA"/>
        </w:rPr>
        <w:t xml:space="preserve"> quand ils ont rencontré M. Bruno.  Un dirigeant est </w:t>
      </w:r>
      <w:r w:rsidRPr="00F9597A">
        <w:rPr>
          <w:rFonts w:cs="Times New Roman"/>
          <w:lang w:val="fr-CA"/>
        </w:rPr>
        <w:lastRenderedPageBreak/>
        <w:t>généralement responsable du fait d’autrui [</w:t>
      </w:r>
      <w:r w:rsidRPr="00F9597A">
        <w:rPr>
          <w:rFonts w:cs="Times New Roman"/>
          <w:smallCaps/>
          <w:lang w:val="fr-CA"/>
        </w:rPr>
        <w:t>traduction</w:t>
      </w:r>
      <w:r w:rsidRPr="00F9597A">
        <w:rPr>
          <w:rFonts w:cs="Times New Roman"/>
          <w:lang w:val="fr-CA"/>
        </w:rPr>
        <w:t xml:space="preserve">] « pour les délits commis par son mandataire dans le cadre de son pouvoir réel ou apparent » (P. H. Osborne, </w:t>
      </w:r>
      <w:r w:rsidRPr="00F9597A">
        <w:rPr>
          <w:rFonts w:cs="Times New Roman"/>
          <w:i/>
          <w:lang w:val="fr-CA"/>
        </w:rPr>
        <w:t xml:space="preserve">The Law of Torts </w:t>
      </w:r>
      <w:r w:rsidRPr="00F9597A">
        <w:rPr>
          <w:rFonts w:cs="Times New Roman"/>
          <w:lang w:val="fr-CA"/>
        </w:rPr>
        <w:t>(4</w:t>
      </w:r>
      <w:r w:rsidRPr="00F9597A">
        <w:rPr>
          <w:rFonts w:cs="Times New Roman"/>
          <w:vertAlign w:val="superscript"/>
          <w:lang w:val="fr-CA"/>
        </w:rPr>
        <w:t>e</w:t>
      </w:r>
      <w:r w:rsidRPr="00F9597A">
        <w:rPr>
          <w:rFonts w:cs="Times New Roman"/>
          <w:lang w:val="fr-CA"/>
        </w:rPr>
        <w:t xml:space="preserve"> éd. 2011), p. 369), mais le juge saisi de la requête n’a pas conclu que M. Peebles ou M. Cranston étaient les mandataires de M. </w:t>
      </w:r>
      <w:proofErr w:type="spellStart"/>
      <w:r w:rsidRPr="00F9597A">
        <w:rPr>
          <w:rFonts w:cs="Times New Roman"/>
          <w:lang w:val="fr-CA"/>
        </w:rPr>
        <w:t>Hryniak</w:t>
      </w:r>
      <w:proofErr w:type="spellEnd"/>
      <w:r w:rsidRPr="00F9597A">
        <w:rPr>
          <w:rFonts w:cs="Times New Roman"/>
          <w:lang w:val="fr-CA"/>
        </w:rPr>
        <w:t xml:space="preserve"> et rien n’indique que, selon la preuve, ils étaient autorisés à faire des déclarations au nom de M. </w:t>
      </w:r>
      <w:proofErr w:type="spellStart"/>
      <w:r w:rsidRPr="00F9597A">
        <w:rPr>
          <w:rFonts w:cs="Times New Roman"/>
          <w:lang w:val="fr-CA"/>
        </w:rPr>
        <w:t>Hryniak</w:t>
      </w:r>
      <w:proofErr w:type="spellEnd"/>
      <w:r w:rsidRPr="00F9597A">
        <w:rPr>
          <w:rFonts w:cs="Times New Roman"/>
          <w:lang w:val="fr-CA"/>
        </w:rPr>
        <w:t xml:space="preserve"> et qu’ils n’ont rien fait de tel de leur propre initiative.  De même, la preuve était insuffisante pour établir que M. Peebles ou M. Cranston était la dupe de M. </w:t>
      </w:r>
      <w:proofErr w:type="spellStart"/>
      <w:r w:rsidRPr="00F9597A">
        <w:rPr>
          <w:rFonts w:cs="Times New Roman"/>
          <w:lang w:val="fr-CA"/>
        </w:rPr>
        <w:t>Hryniak</w:t>
      </w:r>
      <w:proofErr w:type="spellEnd"/>
      <w:r w:rsidRPr="00F9597A">
        <w:rPr>
          <w:rFonts w:cs="Times New Roman"/>
          <w:lang w:val="fr-CA"/>
        </w:rPr>
        <w:t xml:space="preserve"> et, comme l’a conclu le juge saisi de la requête, cette question nécessitait la tenue d’un procès.</w:t>
      </w:r>
    </w:p>
    <w:p w:rsidR="003D761E" w:rsidRPr="00F9597A" w:rsidRDefault="003D761E" w:rsidP="003D761E">
      <w:pPr>
        <w:pStyle w:val="ParaNoNdepar-AltN"/>
        <w:rPr>
          <w:rFonts w:cs="Times New Roman"/>
          <w:lang w:val="fr-CA"/>
        </w:rPr>
      </w:pPr>
      <w:r w:rsidRPr="00F9597A">
        <w:rPr>
          <w:rFonts w:cs="Times New Roman"/>
          <w:lang w:val="fr-CA"/>
        </w:rPr>
        <w:t>Bien que le juge saisi de la requête ait conclu que M. </w:t>
      </w:r>
      <w:proofErr w:type="spellStart"/>
      <w:r w:rsidRPr="00F9597A">
        <w:rPr>
          <w:rFonts w:cs="Times New Roman"/>
          <w:lang w:val="fr-CA"/>
        </w:rPr>
        <w:t>Hryniak</w:t>
      </w:r>
      <w:proofErr w:type="spellEnd"/>
      <w:r w:rsidRPr="00F9597A">
        <w:rPr>
          <w:rFonts w:cs="Times New Roman"/>
          <w:lang w:val="fr-CA"/>
        </w:rPr>
        <w:t xml:space="preserve"> était au courant de la fausseté des déclarations</w:t>
      </w:r>
      <w:r w:rsidRPr="00F9597A">
        <w:rPr>
          <w:rStyle w:val="FootnoteReference"/>
          <w:rFonts w:cs="Times New Roman"/>
          <w:lang w:val="fr-CA"/>
        </w:rPr>
        <w:footnoteReference w:id="1"/>
      </w:r>
      <w:r w:rsidRPr="00F9597A">
        <w:rPr>
          <w:rFonts w:cs="Times New Roman"/>
          <w:lang w:val="fr-CA"/>
        </w:rPr>
        <w:t xml:space="preserve"> et qu’il exerçait [</w:t>
      </w:r>
      <w:r w:rsidRPr="00F9597A">
        <w:rPr>
          <w:rFonts w:cs="Times New Roman"/>
          <w:smallCaps/>
          <w:lang w:val="fr-CA"/>
        </w:rPr>
        <w:t>traduction</w:t>
      </w:r>
      <w:r w:rsidRPr="00F9597A">
        <w:rPr>
          <w:rFonts w:cs="Times New Roman"/>
          <w:lang w:val="fr-CA"/>
        </w:rPr>
        <w:t>] « un plein contrôle » sur les fonds de Bruno Appliance (par. 169), comme l’a indiqué la Cour d’appel, cette conclusion justifierait l’imputation de responsabilité pour détournement, mais elle ne suffit pas pour établir la fraude.</w:t>
      </w:r>
    </w:p>
    <w:p w:rsidR="003D761E" w:rsidRPr="00F9597A" w:rsidRDefault="003D761E" w:rsidP="003D761E">
      <w:pPr>
        <w:pStyle w:val="ParaNoNdepar-AltN"/>
        <w:rPr>
          <w:rFonts w:cs="Times New Roman"/>
          <w:lang w:val="fr-CA"/>
        </w:rPr>
      </w:pPr>
      <w:r w:rsidRPr="00F9597A">
        <w:rPr>
          <w:rFonts w:cs="Times New Roman"/>
          <w:lang w:val="fr-CA"/>
        </w:rPr>
        <w:t>Je conviens avec le juge saisi de la requête que la preuve démontre clairement que M. </w:t>
      </w:r>
      <w:proofErr w:type="spellStart"/>
      <w:r w:rsidRPr="00F9597A">
        <w:rPr>
          <w:rFonts w:cs="Times New Roman"/>
          <w:lang w:val="fr-CA"/>
        </w:rPr>
        <w:t>Hryniak</w:t>
      </w:r>
      <w:proofErr w:type="spellEnd"/>
      <w:r w:rsidRPr="00F9597A">
        <w:rPr>
          <w:rFonts w:cs="Times New Roman"/>
          <w:lang w:val="fr-CA"/>
        </w:rPr>
        <w:t xml:space="preserve"> était </w:t>
      </w:r>
      <w:r w:rsidRPr="00F9597A">
        <w:rPr>
          <w:rFonts w:cs="Times New Roman"/>
          <w:i/>
          <w:lang w:val="fr-CA"/>
        </w:rPr>
        <w:t>au courant</w:t>
      </w:r>
      <w:r w:rsidRPr="00F9597A">
        <w:rPr>
          <w:rFonts w:cs="Times New Roman"/>
          <w:lang w:val="fr-CA"/>
        </w:rPr>
        <w:t xml:space="preserve"> de la fraude, et qu’il en a </w:t>
      </w:r>
      <w:proofErr w:type="spellStart"/>
      <w:r w:rsidRPr="00F9597A">
        <w:rPr>
          <w:rFonts w:cs="Times New Roman"/>
          <w:lang w:val="fr-CA"/>
        </w:rPr>
        <w:t>peut</w:t>
      </w:r>
      <w:r w:rsidRPr="00F9597A">
        <w:rPr>
          <w:rFonts w:cs="Times New Roman"/>
          <w:lang w:val="fr-CA"/>
        </w:rPr>
        <w:noBreakHyphen/>
        <w:t>être</w:t>
      </w:r>
      <w:proofErr w:type="spellEnd"/>
      <w:r w:rsidRPr="00F9597A">
        <w:rPr>
          <w:rFonts w:cs="Times New Roman"/>
          <w:lang w:val="fr-CA"/>
        </w:rPr>
        <w:t xml:space="preserve"> effectivement </w:t>
      </w:r>
      <w:r w:rsidRPr="00F9597A">
        <w:rPr>
          <w:rFonts w:cs="Times New Roman"/>
          <w:i/>
          <w:lang w:val="fr-CA"/>
        </w:rPr>
        <w:t>bénéficié</w:t>
      </w:r>
      <w:r w:rsidRPr="00F9597A">
        <w:rPr>
          <w:rFonts w:cs="Times New Roman"/>
          <w:lang w:val="fr-CA"/>
        </w:rPr>
        <w:t>, mais la question de savoir si M. </w:t>
      </w:r>
      <w:proofErr w:type="spellStart"/>
      <w:r w:rsidRPr="00F9597A">
        <w:rPr>
          <w:rFonts w:cs="Times New Roman"/>
          <w:lang w:val="fr-CA"/>
        </w:rPr>
        <w:t>Hryniak</w:t>
      </w:r>
      <w:proofErr w:type="spellEnd"/>
      <w:r w:rsidRPr="00F9597A">
        <w:rPr>
          <w:rFonts w:cs="Times New Roman"/>
          <w:lang w:val="fr-CA"/>
        </w:rPr>
        <w:t xml:space="preserve"> a </w:t>
      </w:r>
      <w:r w:rsidRPr="00F9597A">
        <w:rPr>
          <w:rFonts w:cs="Times New Roman"/>
          <w:i/>
          <w:lang w:val="fr-CA"/>
        </w:rPr>
        <w:t xml:space="preserve">commis </w:t>
      </w:r>
      <w:r w:rsidRPr="00F9597A">
        <w:rPr>
          <w:rFonts w:cs="Times New Roman"/>
          <w:lang w:val="fr-CA"/>
        </w:rPr>
        <w:t>la fraude en incitant Bruno Appliance à verser un million de dollars américains à un projet d’investissement inexistant constitue une véritable question nécessitant la tenue d’un procès.</w:t>
      </w:r>
    </w:p>
    <w:p w:rsidR="003D761E" w:rsidRPr="00F9597A" w:rsidRDefault="003D761E" w:rsidP="003D761E">
      <w:pPr>
        <w:pStyle w:val="ParaNoNdepar-AltN"/>
        <w:rPr>
          <w:rFonts w:cs="Times New Roman"/>
          <w:lang w:val="fr-CA"/>
        </w:rPr>
      </w:pPr>
      <w:r w:rsidRPr="00F9597A">
        <w:rPr>
          <w:rFonts w:cs="Times New Roman"/>
          <w:lang w:val="fr-CA"/>
        </w:rPr>
        <w:lastRenderedPageBreak/>
        <w:t>La Cour d’appel a aussi conclu que le montant du détournement des fonds de Bruno Appliance par M. </w:t>
      </w:r>
      <w:proofErr w:type="spellStart"/>
      <w:r w:rsidRPr="00F9597A">
        <w:rPr>
          <w:rFonts w:cs="Times New Roman"/>
          <w:lang w:val="fr-CA"/>
        </w:rPr>
        <w:t>Hryniak</w:t>
      </w:r>
      <w:proofErr w:type="spellEnd"/>
      <w:r w:rsidRPr="00F9597A">
        <w:rPr>
          <w:rFonts w:cs="Times New Roman"/>
          <w:lang w:val="fr-CA"/>
        </w:rPr>
        <w:t xml:space="preserve"> constituait une deuxième question nécessitant la tenue d’un procès.  Elle est parvenue à la conclusion que M. </w:t>
      </w:r>
      <w:proofErr w:type="spellStart"/>
      <w:r w:rsidRPr="00F9597A">
        <w:rPr>
          <w:rFonts w:cs="Times New Roman"/>
          <w:lang w:val="fr-CA"/>
        </w:rPr>
        <w:t>Hryniak</w:t>
      </w:r>
      <w:proofErr w:type="spellEnd"/>
      <w:r w:rsidRPr="00F9597A">
        <w:rPr>
          <w:rFonts w:cs="Times New Roman"/>
          <w:lang w:val="fr-CA"/>
        </w:rPr>
        <w:t xml:space="preserve"> avait détourné 450 000 $US, mais que le sort des 550 000 $US qui restaient nécessitait la tenue d’un procès.  Compte tenu des principes de responsabilité solidaire, je suis convaincue que cette question n’empêcherait pas normalement de conclure à l’absence d’une véritable question nécessitant la tenue d’un procès contre M. </w:t>
      </w:r>
      <w:proofErr w:type="spellStart"/>
      <w:r w:rsidRPr="00F9597A">
        <w:rPr>
          <w:rFonts w:cs="Times New Roman"/>
          <w:lang w:val="fr-CA"/>
        </w:rPr>
        <w:t>Hryniak</w:t>
      </w:r>
      <w:proofErr w:type="spellEnd"/>
      <w:r w:rsidRPr="00F9597A">
        <w:rPr>
          <w:rFonts w:cs="Times New Roman"/>
          <w:lang w:val="fr-CA"/>
        </w:rPr>
        <w:t>.</w:t>
      </w:r>
    </w:p>
    <w:p w:rsidR="003D761E" w:rsidRPr="00F9597A" w:rsidRDefault="003D761E" w:rsidP="003D761E">
      <w:pPr>
        <w:pStyle w:val="ParaNoNdepar-AltN"/>
        <w:rPr>
          <w:rFonts w:cs="Times New Roman"/>
          <w:lang w:val="fr-CA"/>
        </w:rPr>
      </w:pPr>
      <w:r w:rsidRPr="00F9597A">
        <w:rPr>
          <w:rFonts w:cs="Times New Roman"/>
          <w:lang w:val="fr-CA"/>
        </w:rPr>
        <w:t>Le juge saisi de la requête n’a pu conclure à l’existence d’un élément nécessaire de la fraude civile, ce qui constitue une erreur de droit, et n’a pas tiré de conclusions factuelles suffisantes pour lui permettre ou permettre à une cour d’appel de conclure à l’existence d’un tel élément.  Puisque l’action donnait lieu à un procès contre les autres défendeurs en tout état de cause, l’ordonnance de la Cour d’appel portant que toutes les autres actions soient instruites ensemble constitue la marche à suivre la plus proportionnée, opportune et économique.  À la lumière de cette conclusion, je n’ai pas à déterminer s’il était contraire à l’intérêt de la justice que le juge saisi de la requête exerce ses pouvoirs élargis en matière d’appréciation des faits.</w:t>
      </w:r>
    </w:p>
    <w:p w:rsidR="003D761E" w:rsidRPr="00F9597A" w:rsidRDefault="003D761E" w:rsidP="003D761E">
      <w:pPr>
        <w:pStyle w:val="Title1LevelTitre1Niveau-AltL"/>
        <w:rPr>
          <w:rFonts w:cs="Times New Roman"/>
          <w:lang w:val="fr-CA"/>
        </w:rPr>
      </w:pPr>
      <w:r w:rsidRPr="00F9597A">
        <w:rPr>
          <w:rFonts w:cs="Times New Roman"/>
          <w:lang w:val="fr-CA"/>
        </w:rPr>
        <w:t>Conclusion</w:t>
      </w:r>
    </w:p>
    <w:p w:rsidR="003D761E" w:rsidRPr="00F9597A" w:rsidRDefault="003D761E" w:rsidP="003D761E">
      <w:pPr>
        <w:pStyle w:val="ParaNoNdepar-AltN"/>
        <w:rPr>
          <w:rFonts w:cs="Times New Roman"/>
          <w:lang w:val="fr-CA"/>
        </w:rPr>
      </w:pPr>
      <w:r w:rsidRPr="00F9597A">
        <w:rPr>
          <w:rFonts w:cs="Times New Roman"/>
          <w:lang w:val="fr-CA"/>
        </w:rPr>
        <w:t>Par conséquent, je suis d’avis de rejeter le pourvoi avec dépens en faveur de l’intimé.  Je ne modifierais pas les ordonnances relatives à la gestion de l’instance rendues par la Cour d’appel.</w:t>
      </w:r>
    </w:p>
    <w:p w:rsidR="004D7D95" w:rsidRPr="00855688" w:rsidRDefault="004D7D95" w:rsidP="00F8598C">
      <w:pPr>
        <w:pStyle w:val="SCCNormalDoubleSpacing"/>
        <w:spacing w:before="480" w:after="480"/>
        <w:rPr>
          <w:lang w:val="fr-CA"/>
        </w:rPr>
      </w:pPr>
      <w:r w:rsidRPr="00B25BE2">
        <w:rPr>
          <w:lang w:val="fr-CA"/>
        </w:rPr>
        <w:tab/>
      </w:r>
      <w:r w:rsidR="00004D4D" w:rsidRPr="00855688">
        <w:rPr>
          <w:i/>
          <w:lang w:val="fr-CA"/>
        </w:rPr>
        <w:t>Pourvoi rejeté avec dépens.</w:t>
      </w:r>
    </w:p>
    <w:p w:rsidR="00004D4D" w:rsidRPr="00855688" w:rsidRDefault="00004D4D" w:rsidP="00F8598C">
      <w:pPr>
        <w:pStyle w:val="SCCLawFirm"/>
        <w:spacing w:before="480" w:after="480"/>
        <w:rPr>
          <w:lang w:val="fr-CA"/>
        </w:rPr>
      </w:pPr>
      <w:r w:rsidRPr="00855688">
        <w:rPr>
          <w:lang w:val="fr-CA"/>
        </w:rPr>
        <w:lastRenderedPageBreak/>
        <w:tab/>
        <w:t>Procureurs de l’appelante</w:t>
      </w:r>
      <w:r w:rsidR="00F8598C" w:rsidRPr="00855688">
        <w:rPr>
          <w:lang w:val="fr-CA"/>
        </w:rPr>
        <w:t> : </w:t>
      </w:r>
      <w:proofErr w:type="spellStart"/>
      <w:r w:rsidRPr="00855688">
        <w:rPr>
          <w:lang w:val="fr-CA"/>
        </w:rPr>
        <w:t>Heydary</w:t>
      </w:r>
      <w:proofErr w:type="spellEnd"/>
      <w:r w:rsidRPr="00855688">
        <w:rPr>
          <w:lang w:val="fr-CA"/>
        </w:rPr>
        <w:t xml:space="preserve"> Hamilton, Toronto.</w:t>
      </w:r>
    </w:p>
    <w:p w:rsidR="00004D4D" w:rsidRPr="00855688" w:rsidRDefault="00004D4D" w:rsidP="00F8598C">
      <w:pPr>
        <w:pStyle w:val="SCCLawFirm"/>
        <w:spacing w:before="480" w:after="480"/>
        <w:rPr>
          <w:lang w:val="fr-CA"/>
        </w:rPr>
      </w:pPr>
      <w:r w:rsidRPr="00855688">
        <w:rPr>
          <w:lang w:val="fr-CA"/>
        </w:rPr>
        <w:tab/>
        <w:t>Procureurs de l’intimé</w:t>
      </w:r>
      <w:r w:rsidR="00F8598C" w:rsidRPr="00855688">
        <w:rPr>
          <w:lang w:val="fr-CA"/>
        </w:rPr>
        <w:t> : </w:t>
      </w:r>
      <w:r w:rsidRPr="00855688">
        <w:rPr>
          <w:lang w:val="fr-CA"/>
        </w:rPr>
        <w:t xml:space="preserve">McCarthy </w:t>
      </w:r>
      <w:proofErr w:type="spellStart"/>
      <w:r w:rsidRPr="00855688">
        <w:rPr>
          <w:lang w:val="fr-CA"/>
        </w:rPr>
        <w:t>Tétrault</w:t>
      </w:r>
      <w:proofErr w:type="spellEnd"/>
      <w:r w:rsidRPr="00855688">
        <w:rPr>
          <w:lang w:val="fr-CA"/>
        </w:rPr>
        <w:t>, Toronto.</w:t>
      </w:r>
    </w:p>
    <w:p w:rsidR="00004D4D" w:rsidRPr="00855688" w:rsidRDefault="00004D4D" w:rsidP="00F8598C">
      <w:pPr>
        <w:pStyle w:val="SCCLawFirm"/>
        <w:spacing w:before="480" w:after="480"/>
        <w:rPr>
          <w:lang w:val="fr-CA"/>
        </w:rPr>
      </w:pPr>
      <w:r w:rsidRPr="00855688">
        <w:rPr>
          <w:lang w:val="fr-CA"/>
        </w:rPr>
        <w:tab/>
        <w:t>Procureur de l’intervenant le procureur général de l’Ontario</w:t>
      </w:r>
      <w:r w:rsidR="00F8598C" w:rsidRPr="00855688">
        <w:rPr>
          <w:lang w:val="fr-CA"/>
        </w:rPr>
        <w:t> : </w:t>
      </w:r>
      <w:r w:rsidRPr="00855688">
        <w:rPr>
          <w:lang w:val="fr-CA"/>
        </w:rPr>
        <w:t>Procureur général de l’Ontario, Toronto.</w:t>
      </w:r>
    </w:p>
    <w:p w:rsidR="00004D4D" w:rsidRPr="00855688" w:rsidRDefault="00004D4D" w:rsidP="00F8598C">
      <w:pPr>
        <w:pStyle w:val="SCCLawFirm"/>
        <w:spacing w:before="480" w:after="480"/>
      </w:pPr>
      <w:r w:rsidRPr="00855688">
        <w:rPr>
          <w:lang w:val="fr-CA"/>
        </w:rPr>
        <w:tab/>
      </w:r>
      <w:proofErr w:type="spellStart"/>
      <w:r w:rsidRPr="00855688">
        <w:rPr>
          <w:lang w:val="en-US"/>
        </w:rPr>
        <w:t>Procureurs</w:t>
      </w:r>
      <w:proofErr w:type="spellEnd"/>
      <w:r w:rsidRPr="00855688">
        <w:rPr>
          <w:lang w:val="en-US"/>
        </w:rPr>
        <w:t xml:space="preserve"> de </w:t>
      </w:r>
      <w:proofErr w:type="spellStart"/>
      <w:r w:rsidRPr="00855688">
        <w:rPr>
          <w:lang w:val="en-US"/>
        </w:rPr>
        <w:t>l’intervenante</w:t>
      </w:r>
      <w:proofErr w:type="spellEnd"/>
      <w:r w:rsidRPr="00855688">
        <w:rPr>
          <w:lang w:val="en-US"/>
        </w:rPr>
        <w:t xml:space="preserve"> Ontario Trial Lawyers </w:t>
      </w:r>
      <w:proofErr w:type="gramStart"/>
      <w:r w:rsidRPr="00855688">
        <w:rPr>
          <w:lang w:val="en-US"/>
        </w:rPr>
        <w:t>Association</w:t>
      </w:r>
      <w:r w:rsidR="00F8598C" w:rsidRPr="00855688">
        <w:rPr>
          <w:lang w:val="en-US"/>
        </w:rPr>
        <w:t> :</w:t>
      </w:r>
      <w:proofErr w:type="gramEnd"/>
      <w:r w:rsidR="00F8598C" w:rsidRPr="00855688">
        <w:rPr>
          <w:lang w:val="en-US"/>
        </w:rPr>
        <w:t> </w:t>
      </w:r>
      <w:r w:rsidRPr="00855688">
        <w:t xml:space="preserve">Allan </w:t>
      </w:r>
      <w:proofErr w:type="spellStart"/>
      <w:r w:rsidRPr="00855688">
        <w:t>Rouben</w:t>
      </w:r>
      <w:proofErr w:type="spellEnd"/>
      <w:r w:rsidRPr="00855688">
        <w:t>, Toronto; SBMB Law, Richmond Hill, Ontario.</w:t>
      </w:r>
    </w:p>
    <w:p w:rsidR="00004D4D" w:rsidRPr="00855688" w:rsidRDefault="00004D4D" w:rsidP="00F8598C">
      <w:pPr>
        <w:pStyle w:val="SCCLawFirm"/>
        <w:spacing w:before="480" w:after="480"/>
        <w:rPr>
          <w:lang w:val="en-US"/>
        </w:rPr>
      </w:pPr>
      <w:r w:rsidRPr="00855688">
        <w:rPr>
          <w:lang w:val="en-US"/>
        </w:rPr>
        <w:tab/>
      </w:r>
      <w:proofErr w:type="spellStart"/>
      <w:r w:rsidRPr="00855688">
        <w:rPr>
          <w:lang w:val="en-US"/>
        </w:rPr>
        <w:t>Procureurs</w:t>
      </w:r>
      <w:proofErr w:type="spellEnd"/>
      <w:r w:rsidRPr="00855688">
        <w:rPr>
          <w:lang w:val="en-US"/>
        </w:rPr>
        <w:t xml:space="preserve"> de </w:t>
      </w:r>
      <w:proofErr w:type="spellStart"/>
      <w:r w:rsidRPr="00855688">
        <w:rPr>
          <w:lang w:val="en-US"/>
        </w:rPr>
        <w:t>l’intervenante</w:t>
      </w:r>
      <w:proofErr w:type="spellEnd"/>
      <w:r w:rsidRPr="00855688">
        <w:rPr>
          <w:lang w:val="en-US"/>
        </w:rPr>
        <w:t xml:space="preserve"> Advocates’ </w:t>
      </w:r>
      <w:proofErr w:type="gramStart"/>
      <w:r w:rsidRPr="00855688">
        <w:rPr>
          <w:lang w:val="en-US"/>
        </w:rPr>
        <w:t>Society</w:t>
      </w:r>
      <w:r w:rsidR="00F8598C" w:rsidRPr="00855688">
        <w:rPr>
          <w:lang w:val="en-US"/>
        </w:rPr>
        <w:t> :</w:t>
      </w:r>
      <w:proofErr w:type="gramEnd"/>
      <w:r w:rsidR="00F8598C" w:rsidRPr="00855688">
        <w:rPr>
          <w:lang w:val="en-US"/>
        </w:rPr>
        <w:t> </w:t>
      </w:r>
      <w:r w:rsidRPr="00855688">
        <w:rPr>
          <w:lang w:val="en-US"/>
        </w:rPr>
        <w:t xml:space="preserve">Borden </w:t>
      </w:r>
      <w:proofErr w:type="spellStart"/>
      <w:r w:rsidRPr="00855688">
        <w:rPr>
          <w:lang w:val="en-US"/>
        </w:rPr>
        <w:t>Ladner</w:t>
      </w:r>
      <w:proofErr w:type="spellEnd"/>
      <w:r w:rsidRPr="00855688">
        <w:rPr>
          <w:lang w:val="en-US"/>
        </w:rPr>
        <w:t xml:space="preserve"> </w:t>
      </w:r>
      <w:proofErr w:type="spellStart"/>
      <w:r w:rsidRPr="00855688">
        <w:rPr>
          <w:lang w:val="en-US"/>
        </w:rPr>
        <w:t>Gervais</w:t>
      </w:r>
      <w:proofErr w:type="spellEnd"/>
      <w:r w:rsidRPr="00855688">
        <w:rPr>
          <w:lang w:val="en-US"/>
        </w:rPr>
        <w:t>, Ottawa</w:t>
      </w:r>
      <w:r w:rsidRPr="00855688">
        <w:t xml:space="preserve">; </w:t>
      </w:r>
      <w:proofErr w:type="spellStart"/>
      <w:r w:rsidRPr="00855688">
        <w:t>Torys</w:t>
      </w:r>
      <w:proofErr w:type="spellEnd"/>
      <w:r w:rsidRPr="00855688">
        <w:t>, Toronto.</w:t>
      </w:r>
    </w:p>
    <w:p w:rsidR="009B57B3" w:rsidRPr="00B25BE2" w:rsidRDefault="00004D4D" w:rsidP="003D761E">
      <w:pPr>
        <w:pStyle w:val="SCCLawFirm"/>
        <w:rPr>
          <w:b/>
          <w:i w:val="0"/>
          <w:lang w:val="en-US"/>
        </w:rPr>
      </w:pPr>
      <w:r w:rsidRPr="00855688">
        <w:rPr>
          <w:lang w:val="en-US"/>
        </w:rPr>
        <w:tab/>
      </w:r>
      <w:proofErr w:type="spellStart"/>
      <w:r w:rsidRPr="00855688">
        <w:rPr>
          <w:lang w:val="en-US"/>
        </w:rPr>
        <w:t>Procureurs</w:t>
      </w:r>
      <w:proofErr w:type="spellEnd"/>
      <w:r w:rsidRPr="00855688">
        <w:rPr>
          <w:lang w:val="en-US"/>
        </w:rPr>
        <w:t xml:space="preserve"> de </w:t>
      </w:r>
      <w:proofErr w:type="spellStart"/>
      <w:r w:rsidRPr="00855688">
        <w:rPr>
          <w:lang w:val="en-US"/>
        </w:rPr>
        <w:t>l’intervenante</w:t>
      </w:r>
      <w:proofErr w:type="spellEnd"/>
      <w:r w:rsidRPr="00855688">
        <w:rPr>
          <w:lang w:val="en-US"/>
        </w:rPr>
        <w:t xml:space="preserve"> </w:t>
      </w:r>
      <w:proofErr w:type="spellStart"/>
      <w:r w:rsidRPr="00855688">
        <w:rPr>
          <w:lang w:val="en-US"/>
        </w:rPr>
        <w:t>l’Association</w:t>
      </w:r>
      <w:proofErr w:type="spellEnd"/>
      <w:r w:rsidRPr="00855688">
        <w:rPr>
          <w:lang w:val="en-US"/>
        </w:rPr>
        <w:t xml:space="preserve"> du </w:t>
      </w:r>
      <w:proofErr w:type="spellStart"/>
      <w:r w:rsidRPr="00855688">
        <w:rPr>
          <w:lang w:val="en-US"/>
        </w:rPr>
        <w:t>Barreau</w:t>
      </w:r>
      <w:proofErr w:type="spellEnd"/>
      <w:r w:rsidRPr="00855688">
        <w:rPr>
          <w:lang w:val="en-US"/>
        </w:rPr>
        <w:t xml:space="preserve"> </w:t>
      </w:r>
      <w:proofErr w:type="spellStart"/>
      <w:proofErr w:type="gramStart"/>
      <w:r w:rsidRPr="00855688">
        <w:rPr>
          <w:lang w:val="en-US"/>
        </w:rPr>
        <w:t>canadien</w:t>
      </w:r>
      <w:proofErr w:type="spellEnd"/>
      <w:r w:rsidR="00F8598C" w:rsidRPr="00855688">
        <w:rPr>
          <w:lang w:val="en-US"/>
        </w:rPr>
        <w:t> :</w:t>
      </w:r>
      <w:proofErr w:type="gramEnd"/>
      <w:r w:rsidR="00F8598C" w:rsidRPr="00855688">
        <w:rPr>
          <w:lang w:val="en-US"/>
        </w:rPr>
        <w:t> </w:t>
      </w:r>
      <w:r w:rsidRPr="00855688">
        <w:rPr>
          <w:lang w:val="en-US"/>
        </w:rPr>
        <w:t xml:space="preserve">Evans Sweeny </w:t>
      </w:r>
      <w:proofErr w:type="spellStart"/>
      <w:r w:rsidRPr="00855688">
        <w:rPr>
          <w:lang w:val="en-US"/>
        </w:rPr>
        <w:t>Bordin</w:t>
      </w:r>
      <w:proofErr w:type="spellEnd"/>
      <w:r w:rsidRPr="00855688">
        <w:rPr>
          <w:lang w:val="en-US"/>
        </w:rPr>
        <w:t xml:space="preserve">, Hamilton; </w:t>
      </w:r>
      <w:proofErr w:type="spellStart"/>
      <w:r w:rsidRPr="00855688">
        <w:rPr>
          <w:lang w:val="en-US"/>
        </w:rPr>
        <w:t>Sotos</w:t>
      </w:r>
      <w:proofErr w:type="spellEnd"/>
      <w:r w:rsidRPr="00855688">
        <w:rPr>
          <w:lang w:val="en-US"/>
        </w:rPr>
        <w:t>, Toronto.</w:t>
      </w:r>
    </w:p>
    <w:p w:rsidR="003D761E" w:rsidRPr="00B25BE2" w:rsidRDefault="003D761E" w:rsidP="003D761E">
      <w:pPr>
        <w:pStyle w:val="SCCNormalDoubleSpacing"/>
        <w:rPr>
          <w:lang w:val="en-US"/>
        </w:rPr>
      </w:pPr>
    </w:p>
    <w:sectPr w:rsidR="003D761E" w:rsidRPr="00B25BE2" w:rsidSect="0058701C">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0D" w:rsidRDefault="00FA130D">
      <w:r>
        <w:separator/>
      </w:r>
    </w:p>
  </w:endnote>
  <w:endnote w:type="continuationSeparator" w:id="0">
    <w:p w:rsidR="00FA130D" w:rsidRDefault="00FA1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0D" w:rsidRDefault="00FA130D">
      <w:r>
        <w:separator/>
      </w:r>
    </w:p>
  </w:footnote>
  <w:footnote w:type="continuationSeparator" w:id="0">
    <w:p w:rsidR="00FA130D" w:rsidRDefault="00FA130D">
      <w:r>
        <w:continuationSeparator/>
      </w:r>
    </w:p>
  </w:footnote>
  <w:footnote w:id="1">
    <w:p w:rsidR="003D761E" w:rsidRPr="00071A79" w:rsidRDefault="003D761E" w:rsidP="003D761E">
      <w:pPr>
        <w:pStyle w:val="FootnoteText"/>
        <w:jc w:val="both"/>
        <w:rPr>
          <w:lang w:val="fr-CA"/>
        </w:rPr>
      </w:pPr>
      <w:r w:rsidRPr="00071A79">
        <w:rPr>
          <w:rStyle w:val="FootnoteReference"/>
          <w:lang w:val="fr-CA"/>
        </w:rPr>
        <w:footnoteRef/>
      </w:r>
      <w:r w:rsidRPr="00071A79">
        <w:rPr>
          <w:lang w:val="fr-CA"/>
        </w:rPr>
        <w:t xml:space="preserve">  C</w:t>
      </w:r>
      <w:r>
        <w:rPr>
          <w:lang w:val="fr-CA"/>
        </w:rPr>
        <w:t>’</w:t>
      </w:r>
      <w:r w:rsidRPr="00071A79">
        <w:rPr>
          <w:lang w:val="fr-CA"/>
        </w:rPr>
        <w:t>est ce qui res</w:t>
      </w:r>
      <w:r>
        <w:rPr>
          <w:lang w:val="fr-CA"/>
        </w:rPr>
        <w:t>s</w:t>
      </w:r>
      <w:r w:rsidRPr="00071A79">
        <w:rPr>
          <w:lang w:val="fr-CA"/>
        </w:rPr>
        <w:t xml:space="preserve">ort de sa conclusion </w:t>
      </w:r>
      <w:r>
        <w:rPr>
          <w:lang w:val="fr-CA"/>
        </w:rPr>
        <w:t>dans une note en bas de page rattachée au par. 178 de ses motifs selon laquelle il acceptait le témoignage de M. Peebles, qui a dit avoir examiné régulièrement les activités de la fiducie avec M. </w:t>
      </w:r>
      <w:proofErr w:type="spellStart"/>
      <w:r>
        <w:rPr>
          <w:lang w:val="fr-CA"/>
        </w:rPr>
        <w:t>Hryniak</w:t>
      </w:r>
      <w:proofErr w:type="spellEnd"/>
      <w:r>
        <w:rPr>
          <w:lang w:val="fr-CA"/>
        </w:rPr>
        <w:t xml:space="preserve"> (</w:t>
      </w:r>
      <w:proofErr w:type="gramStart"/>
      <w:r>
        <w:rPr>
          <w:lang w:val="fr-CA"/>
        </w:rPr>
        <w:t>d.a.,</w:t>
      </w:r>
      <w:proofErr w:type="gramEnd"/>
      <w:r>
        <w:rPr>
          <w:lang w:val="fr-CA"/>
        </w:rPr>
        <w:t xml:space="preserve"> vol. V</w:t>
      </w:r>
      <w:r w:rsidRPr="00071A79">
        <w:rPr>
          <w:lang w:val="fr-CA"/>
        </w:rPr>
        <w:t xml:space="preserve">, </w:t>
      </w:r>
      <w:r>
        <w:rPr>
          <w:lang w:val="fr-CA"/>
        </w:rPr>
        <w:t>p. 154</w:t>
      </w:r>
      <w:r>
        <w:rPr>
          <w:lang w:val="fr-CA"/>
        </w:rPr>
        <w:noBreakHyphen/>
        <w:t>159</w:t>
      </w:r>
      <w:r w:rsidRPr="00071A79">
        <w:rPr>
          <w:lang w:val="fr-C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603215"/>
    <w:multiLevelType w:val="hybridMultilevel"/>
    <w:tmpl w:val="CFFC773A"/>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61A280D"/>
    <w:multiLevelType w:val="hybridMultilevel"/>
    <w:tmpl w:val="767AA16C"/>
    <w:lvl w:ilvl="0" w:tplc="52E2138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A003650"/>
    <w:multiLevelType w:val="hybridMultilevel"/>
    <w:tmpl w:val="0CFEF1A2"/>
    <w:lvl w:ilvl="0" w:tplc="550C194E">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0"/>
  </w:num>
  <w:num w:numId="5">
    <w:abstractNumId w:val="5"/>
  </w:num>
  <w:num w:numId="6">
    <w:abstractNumId w:val="6"/>
  </w:num>
  <w:num w:numId="7">
    <w:abstractNumId w:val="4"/>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ED4"/>
    <w:rsid w:val="00004D4D"/>
    <w:rsid w:val="00023FC7"/>
    <w:rsid w:val="00025198"/>
    <w:rsid w:val="000578A3"/>
    <w:rsid w:val="000648CC"/>
    <w:rsid w:val="00073747"/>
    <w:rsid w:val="000A006E"/>
    <w:rsid w:val="000C59B8"/>
    <w:rsid w:val="000C6AF0"/>
    <w:rsid w:val="000D0A77"/>
    <w:rsid w:val="000F7993"/>
    <w:rsid w:val="00104F33"/>
    <w:rsid w:val="00111DE2"/>
    <w:rsid w:val="00116B38"/>
    <w:rsid w:val="001237F9"/>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30AD"/>
    <w:rsid w:val="001D4E88"/>
    <w:rsid w:val="00211F01"/>
    <w:rsid w:val="00220FC2"/>
    <w:rsid w:val="002222B4"/>
    <w:rsid w:val="002222F4"/>
    <w:rsid w:val="00224FC0"/>
    <w:rsid w:val="00225EA4"/>
    <w:rsid w:val="00226EAF"/>
    <w:rsid w:val="002317F2"/>
    <w:rsid w:val="00231F3A"/>
    <w:rsid w:val="002406EE"/>
    <w:rsid w:val="00243EC8"/>
    <w:rsid w:val="00270092"/>
    <w:rsid w:val="00270D93"/>
    <w:rsid w:val="002745CC"/>
    <w:rsid w:val="00281EEF"/>
    <w:rsid w:val="002B3D5B"/>
    <w:rsid w:val="002B6FBE"/>
    <w:rsid w:val="002B7924"/>
    <w:rsid w:val="002C10A6"/>
    <w:rsid w:val="002D28C3"/>
    <w:rsid w:val="002D39A4"/>
    <w:rsid w:val="002E6705"/>
    <w:rsid w:val="0030329A"/>
    <w:rsid w:val="00305EE1"/>
    <w:rsid w:val="0031086F"/>
    <w:rsid w:val="0031185C"/>
    <w:rsid w:val="003125AA"/>
    <w:rsid w:val="0031414C"/>
    <w:rsid w:val="00314E01"/>
    <w:rsid w:val="00316E03"/>
    <w:rsid w:val="003171B4"/>
    <w:rsid w:val="0032089D"/>
    <w:rsid w:val="003310DE"/>
    <w:rsid w:val="003323B0"/>
    <w:rsid w:val="00340A49"/>
    <w:rsid w:val="0035169A"/>
    <w:rsid w:val="0035259D"/>
    <w:rsid w:val="00357AB9"/>
    <w:rsid w:val="00364B18"/>
    <w:rsid w:val="003A125D"/>
    <w:rsid w:val="003A45E5"/>
    <w:rsid w:val="003A4C70"/>
    <w:rsid w:val="003B215F"/>
    <w:rsid w:val="003C799C"/>
    <w:rsid w:val="003D0399"/>
    <w:rsid w:val="003D4E9A"/>
    <w:rsid w:val="003D761E"/>
    <w:rsid w:val="003E1C71"/>
    <w:rsid w:val="003F327B"/>
    <w:rsid w:val="003F5824"/>
    <w:rsid w:val="00406166"/>
    <w:rsid w:val="0040704B"/>
    <w:rsid w:val="004100AC"/>
    <w:rsid w:val="00410A55"/>
    <w:rsid w:val="00411300"/>
    <w:rsid w:val="00413F17"/>
    <w:rsid w:val="00415417"/>
    <w:rsid w:val="00416559"/>
    <w:rsid w:val="00426659"/>
    <w:rsid w:val="00450352"/>
    <w:rsid w:val="00454BDB"/>
    <w:rsid w:val="00465132"/>
    <w:rsid w:val="00480C90"/>
    <w:rsid w:val="0048396F"/>
    <w:rsid w:val="00493C18"/>
    <w:rsid w:val="004A600C"/>
    <w:rsid w:val="004A6118"/>
    <w:rsid w:val="004C478D"/>
    <w:rsid w:val="004D39C8"/>
    <w:rsid w:val="004D7D95"/>
    <w:rsid w:val="004E2C26"/>
    <w:rsid w:val="005125A8"/>
    <w:rsid w:val="00517549"/>
    <w:rsid w:val="00520ABC"/>
    <w:rsid w:val="00521AE8"/>
    <w:rsid w:val="00527180"/>
    <w:rsid w:val="00555291"/>
    <w:rsid w:val="00566AD1"/>
    <w:rsid w:val="00583EDE"/>
    <w:rsid w:val="0058529F"/>
    <w:rsid w:val="0058701C"/>
    <w:rsid w:val="0059242F"/>
    <w:rsid w:val="005A6079"/>
    <w:rsid w:val="005C243E"/>
    <w:rsid w:val="005E4698"/>
    <w:rsid w:val="005F142D"/>
    <w:rsid w:val="00603924"/>
    <w:rsid w:val="00607413"/>
    <w:rsid w:val="00610539"/>
    <w:rsid w:val="0061373C"/>
    <w:rsid w:val="00613969"/>
    <w:rsid w:val="00625C35"/>
    <w:rsid w:val="00630E4E"/>
    <w:rsid w:val="00647E49"/>
    <w:rsid w:val="00656313"/>
    <w:rsid w:val="006565F4"/>
    <w:rsid w:val="00684EEA"/>
    <w:rsid w:val="0069689B"/>
    <w:rsid w:val="006B0F0B"/>
    <w:rsid w:val="006B5FF5"/>
    <w:rsid w:val="006F30AF"/>
    <w:rsid w:val="00701759"/>
    <w:rsid w:val="00705C15"/>
    <w:rsid w:val="00707082"/>
    <w:rsid w:val="007110F6"/>
    <w:rsid w:val="007208D1"/>
    <w:rsid w:val="007375B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37A1A"/>
    <w:rsid w:val="00855688"/>
    <w:rsid w:val="00856646"/>
    <w:rsid w:val="00864C8A"/>
    <w:rsid w:val="00864CF8"/>
    <w:rsid w:val="00874914"/>
    <w:rsid w:val="00882E25"/>
    <w:rsid w:val="00891422"/>
    <w:rsid w:val="00892E1A"/>
    <w:rsid w:val="008B660A"/>
    <w:rsid w:val="008B75DC"/>
    <w:rsid w:val="008C01DA"/>
    <w:rsid w:val="008D6FA9"/>
    <w:rsid w:val="008F2674"/>
    <w:rsid w:val="008F78E9"/>
    <w:rsid w:val="009038A8"/>
    <w:rsid w:val="0091542B"/>
    <w:rsid w:val="009179F9"/>
    <w:rsid w:val="00917C7A"/>
    <w:rsid w:val="00930D5E"/>
    <w:rsid w:val="00933E5E"/>
    <w:rsid w:val="00935218"/>
    <w:rsid w:val="009358F5"/>
    <w:rsid w:val="00937C52"/>
    <w:rsid w:val="009403F3"/>
    <w:rsid w:val="00941440"/>
    <w:rsid w:val="009555B7"/>
    <w:rsid w:val="009561AC"/>
    <w:rsid w:val="009567AA"/>
    <w:rsid w:val="009602C9"/>
    <w:rsid w:val="00967374"/>
    <w:rsid w:val="009A343A"/>
    <w:rsid w:val="009B2F23"/>
    <w:rsid w:val="009B57B3"/>
    <w:rsid w:val="009D2920"/>
    <w:rsid w:val="009D5AEB"/>
    <w:rsid w:val="009F0E33"/>
    <w:rsid w:val="00A149DF"/>
    <w:rsid w:val="00A1755C"/>
    <w:rsid w:val="00A21B90"/>
    <w:rsid w:val="00A22AAC"/>
    <w:rsid w:val="00A41805"/>
    <w:rsid w:val="00A5127A"/>
    <w:rsid w:val="00A51882"/>
    <w:rsid w:val="00A52AFB"/>
    <w:rsid w:val="00A548CB"/>
    <w:rsid w:val="00A5521C"/>
    <w:rsid w:val="00A56AE6"/>
    <w:rsid w:val="00A63497"/>
    <w:rsid w:val="00A643E7"/>
    <w:rsid w:val="00A73C38"/>
    <w:rsid w:val="00AB670D"/>
    <w:rsid w:val="00AC1750"/>
    <w:rsid w:val="00AD0BD6"/>
    <w:rsid w:val="00AF03C5"/>
    <w:rsid w:val="00B000D8"/>
    <w:rsid w:val="00B00F75"/>
    <w:rsid w:val="00B145B6"/>
    <w:rsid w:val="00B25BE2"/>
    <w:rsid w:val="00B279EB"/>
    <w:rsid w:val="00B325E3"/>
    <w:rsid w:val="00B50C81"/>
    <w:rsid w:val="00B557F8"/>
    <w:rsid w:val="00B815FC"/>
    <w:rsid w:val="00B93FBC"/>
    <w:rsid w:val="00BA7D43"/>
    <w:rsid w:val="00BA7DA0"/>
    <w:rsid w:val="00BB2EE4"/>
    <w:rsid w:val="00BB4C92"/>
    <w:rsid w:val="00BC2108"/>
    <w:rsid w:val="00BD0E9E"/>
    <w:rsid w:val="00BD1BEC"/>
    <w:rsid w:val="00BD32FF"/>
    <w:rsid w:val="00BD4276"/>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328C"/>
    <w:rsid w:val="00D17476"/>
    <w:rsid w:val="00D20533"/>
    <w:rsid w:val="00D2533D"/>
    <w:rsid w:val="00D32086"/>
    <w:rsid w:val="00D37A3F"/>
    <w:rsid w:val="00D4431D"/>
    <w:rsid w:val="00D4667A"/>
    <w:rsid w:val="00D47CA8"/>
    <w:rsid w:val="00D63055"/>
    <w:rsid w:val="00D63A1C"/>
    <w:rsid w:val="00D7516F"/>
    <w:rsid w:val="00D95F8E"/>
    <w:rsid w:val="00DA0590"/>
    <w:rsid w:val="00DA2AFE"/>
    <w:rsid w:val="00DC1739"/>
    <w:rsid w:val="00DC1788"/>
    <w:rsid w:val="00DE319C"/>
    <w:rsid w:val="00DF0CA8"/>
    <w:rsid w:val="00DF2B48"/>
    <w:rsid w:val="00DF49A7"/>
    <w:rsid w:val="00DF6D67"/>
    <w:rsid w:val="00E069A1"/>
    <w:rsid w:val="00E07EE2"/>
    <w:rsid w:val="00E07FD1"/>
    <w:rsid w:val="00E24573"/>
    <w:rsid w:val="00E25E1E"/>
    <w:rsid w:val="00E27EE7"/>
    <w:rsid w:val="00E35404"/>
    <w:rsid w:val="00E45109"/>
    <w:rsid w:val="00E47B7A"/>
    <w:rsid w:val="00E56A44"/>
    <w:rsid w:val="00E60269"/>
    <w:rsid w:val="00E97830"/>
    <w:rsid w:val="00EB2343"/>
    <w:rsid w:val="00EC4DCB"/>
    <w:rsid w:val="00EE0830"/>
    <w:rsid w:val="00EE6CB8"/>
    <w:rsid w:val="00EF0683"/>
    <w:rsid w:val="00F0070C"/>
    <w:rsid w:val="00F00EB7"/>
    <w:rsid w:val="00F36AB6"/>
    <w:rsid w:val="00F37A09"/>
    <w:rsid w:val="00F409CE"/>
    <w:rsid w:val="00F417E7"/>
    <w:rsid w:val="00F4379D"/>
    <w:rsid w:val="00F50D2D"/>
    <w:rsid w:val="00F566F1"/>
    <w:rsid w:val="00F56C8B"/>
    <w:rsid w:val="00F62639"/>
    <w:rsid w:val="00F66810"/>
    <w:rsid w:val="00F84616"/>
    <w:rsid w:val="00F84DF4"/>
    <w:rsid w:val="00F8598C"/>
    <w:rsid w:val="00F85C97"/>
    <w:rsid w:val="00F94E79"/>
    <w:rsid w:val="00FA130D"/>
    <w:rsid w:val="00FA28AC"/>
    <w:rsid w:val="00FB37D2"/>
    <w:rsid w:val="00FB7A2F"/>
    <w:rsid w:val="00FC4EFB"/>
    <w:rsid w:val="00FD068D"/>
    <w:rsid w:val="00FD2084"/>
    <w:rsid w:val="00FD4F28"/>
    <w:rsid w:val="00FE6784"/>
    <w:rsid w:val="00FE7A8B"/>
    <w:rsid w:val="00FF1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1D30A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D761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D761E"/>
    <w:rPr>
      <w:rFonts w:eastAsiaTheme="minorHAnsi" w:cstheme="minorBidi"/>
      <w:sz w:val="24"/>
      <w:szCs w:val="22"/>
      <w:lang w:eastAsia="en-US"/>
    </w:rPr>
  </w:style>
  <w:style w:type="character" w:customStyle="1" w:styleId="SCCBanSummaryChar">
    <w:name w:val="SCC.BanSummary Char"/>
    <w:basedOn w:val="DefaultParagraphFont"/>
    <w:link w:val="SCCBanSummary"/>
    <w:rsid w:val="003D761E"/>
    <w:rPr>
      <w:b/>
      <w:sz w:val="24"/>
    </w:rPr>
  </w:style>
  <w:style w:type="table" w:styleId="TableGrid">
    <w:name w:val="Table Grid"/>
    <w:basedOn w:val="TableNormal"/>
    <w:uiPriority w:val="59"/>
    <w:rsid w:val="003D761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D761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D761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D761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D761E"/>
    <w:pPr>
      <w:keepNext/>
      <w:numPr>
        <w:numId w:val="7"/>
      </w:numPr>
      <w:tabs>
        <w:tab w:val="left" w:pos="576"/>
      </w:tabs>
      <w:spacing w:after="720"/>
      <w:ind w:left="578" w:hanging="578"/>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D761E"/>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3D761E"/>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3D761E"/>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3D761E"/>
    <w:pPr>
      <w:numPr>
        <w:ilvl w:val="4"/>
      </w:numPr>
      <w:tabs>
        <w:tab w:val="clear" w:pos="576"/>
        <w:tab w:val="left" w:pos="1620"/>
      </w:tabs>
      <w:ind w:left="1620" w:hanging="540"/>
    </w:pPr>
  </w:style>
  <w:style w:type="paragraph" w:styleId="TOC1">
    <w:name w:val="toc 1"/>
    <w:basedOn w:val="Normal"/>
    <w:next w:val="Normal"/>
    <w:autoRedefine/>
    <w:uiPriority w:val="39"/>
    <w:unhideWhenUsed/>
    <w:rsid w:val="003D761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D761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D761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D761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D761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D761E"/>
    <w:pPr>
      <w:tabs>
        <w:tab w:val="left" w:pos="2160"/>
        <w:tab w:val="right" w:leader="dot" w:pos="8270"/>
      </w:tabs>
      <w:spacing w:after="100"/>
      <w:ind w:left="1800"/>
    </w:pPr>
    <w:rPr>
      <w:noProof/>
    </w:rPr>
  </w:style>
  <w:style w:type="table" w:customStyle="1" w:styleId="TableGrid1">
    <w:name w:val="Table Grid1"/>
    <w:basedOn w:val="TableNormal"/>
    <w:uiPriority w:val="59"/>
    <w:rsid w:val="003D761E"/>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3D761E"/>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3D761E"/>
    <w:rPr>
      <w:sz w:val="20"/>
    </w:rPr>
  </w:style>
  <w:style w:type="character" w:customStyle="1" w:styleId="FootnoteTextChar">
    <w:name w:val="Footnote Text Char"/>
    <w:basedOn w:val="DefaultParagraphFont"/>
    <w:link w:val="FootnoteText"/>
    <w:uiPriority w:val="99"/>
    <w:semiHidden/>
    <w:rsid w:val="003D761E"/>
  </w:style>
  <w:style w:type="character" w:styleId="FootnoteReference">
    <w:name w:val="footnote reference"/>
    <w:basedOn w:val="DefaultParagraphFont"/>
    <w:uiPriority w:val="99"/>
    <w:semiHidden/>
    <w:unhideWhenUsed/>
    <w:rsid w:val="003D761E"/>
    <w:rPr>
      <w:vertAlign w:val="superscript"/>
    </w:rPr>
  </w:style>
  <w:style w:type="paragraph" w:styleId="Quote">
    <w:name w:val="Quote"/>
    <w:basedOn w:val="Normal"/>
    <w:next w:val="Normal"/>
    <w:link w:val="QuoteChar"/>
    <w:uiPriority w:val="29"/>
    <w:qFormat/>
    <w:rsid w:val="005C243E"/>
    <w:rPr>
      <w:i/>
      <w:iCs/>
      <w:color w:val="000000" w:themeColor="text1"/>
    </w:rPr>
  </w:style>
  <w:style w:type="character" w:customStyle="1" w:styleId="QuoteChar">
    <w:name w:val="Quote Char"/>
    <w:basedOn w:val="DefaultParagraphFont"/>
    <w:link w:val="Quote"/>
    <w:uiPriority w:val="29"/>
    <w:rsid w:val="005C243E"/>
    <w:rPr>
      <w:i/>
      <w:iCs/>
      <w:color w:val="000000" w:themeColor="text1"/>
      <w:sz w:val="24"/>
    </w:rPr>
  </w:style>
  <w:style w:type="table" w:customStyle="1" w:styleId="TableGrid2">
    <w:name w:val="Table Grid2"/>
    <w:basedOn w:val="TableNormal"/>
    <w:next w:val="TableGrid"/>
    <w:uiPriority w:val="59"/>
    <w:rsid w:val="005C243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3679</Words>
  <Characters>18470</Characters>
  <Application>Microsoft Office Word</Application>
  <DocSecurity>0</DocSecurity>
  <Lines>153</Lines>
  <Paragraphs>44</Paragraphs>
  <ScaleCrop>false</ScaleCrop>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2014-06-24T20:26:00Z</dcterms:created>
  <dcterms:modified xsi:type="dcterms:W3CDTF">2014-06-24T20:26:00Z</dcterms:modified>
</cp:coreProperties>
</file>