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B" w:rsidRPr="008D735B" w:rsidRDefault="008D735B" w:rsidP="008D735B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val="fr-CA" w:eastAsia="en-US"/>
        </w:rPr>
      </w:pPr>
      <w:r w:rsidRPr="008D735B">
        <w:rPr>
          <w:rFonts w:eastAsiaTheme="minorHAnsi" w:cstheme="minorBidi"/>
          <w:szCs w:val="24"/>
          <w:lang w:val="fr-CA"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1pt;height:65pt" o:ole="">
            <v:imagedata r:id="rId6" o:title=""/>
          </v:shape>
          <o:OLEObject Type="Embed" ProgID="Presentations.Drawing.13" ShapeID="_x0000_i1031" DrawAspect="Content" ObjectID="_1465136005" r:id="rId7"/>
        </w:object>
      </w:r>
    </w:p>
    <w:p w:rsidR="008D735B" w:rsidRPr="008D735B" w:rsidRDefault="008D735B" w:rsidP="008D735B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val="fr-CA" w:eastAsia="en-US"/>
        </w:rPr>
      </w:pPr>
    </w:p>
    <w:p w:rsidR="008D735B" w:rsidRPr="008D735B" w:rsidRDefault="008D735B" w:rsidP="008D735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8D735B">
        <w:rPr>
          <w:rFonts w:eastAsiaTheme="minorHAnsi" w:cstheme="minorBidi"/>
          <w:b/>
          <w:szCs w:val="24"/>
          <w:lang w:val="fr-CA" w:eastAsia="en-US"/>
        </w:rPr>
        <w:t>COUR SUPRÊME DU CANADA</w:t>
      </w:r>
    </w:p>
    <w:p w:rsidR="008D735B" w:rsidRPr="008D735B" w:rsidRDefault="008D735B" w:rsidP="008D735B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8D735B" w:rsidRPr="008D735B" w:rsidTr="00C82175">
        <w:trPr>
          <w:cantSplit/>
        </w:trPr>
        <w:tc>
          <w:tcPr>
            <w:tcW w:w="6768" w:type="dxa"/>
          </w:tcPr>
          <w:p w:rsidR="008D735B" w:rsidRPr="008D735B" w:rsidRDefault="008D735B" w:rsidP="008D735B">
            <w:pPr>
              <w:rPr>
                <w:lang w:val="fr-CA"/>
              </w:rPr>
            </w:pPr>
            <w:r w:rsidRPr="008D735B">
              <w:rPr>
                <w:b/>
                <w:smallCaps/>
                <w:lang w:val="fr-CA"/>
              </w:rPr>
              <w:t>Référence :</w:t>
            </w:r>
            <w:r w:rsidRPr="008D735B">
              <w:rPr>
                <w:lang w:val="fr-CA"/>
              </w:rPr>
              <w:t xml:space="preserve"> </w:t>
            </w:r>
            <w:r w:rsidRPr="008D735B">
              <w:t xml:space="preserve">R. </w:t>
            </w:r>
            <w:r w:rsidRPr="008D735B">
              <w:rPr>
                <w:i/>
              </w:rPr>
              <w:t>c</w:t>
            </w:r>
            <w:r w:rsidRPr="008D735B">
              <w:t xml:space="preserve">. </w:t>
            </w:r>
            <w:proofErr w:type="spellStart"/>
            <w:r w:rsidRPr="008D735B">
              <w:t>Yelle</w:t>
            </w:r>
            <w:proofErr w:type="spellEnd"/>
            <w:r w:rsidRPr="008D735B">
              <w:rPr>
                <w:iCs/>
                <w:color w:val="000000" w:themeColor="text1"/>
              </w:rPr>
              <w:t>,</w:t>
            </w:r>
            <w:r w:rsidRPr="008D735B">
              <w:rPr>
                <w:lang w:val="fr-CA"/>
              </w:rPr>
              <w:t xml:space="preserve"> 2014 CSC 10, [2014] 1 R.C.S. 140</w:t>
            </w:r>
          </w:p>
        </w:tc>
        <w:tc>
          <w:tcPr>
            <w:tcW w:w="2808" w:type="dxa"/>
          </w:tcPr>
          <w:p w:rsidR="008D735B" w:rsidRPr="008D735B" w:rsidRDefault="008D735B" w:rsidP="008D735B">
            <w:pPr>
              <w:rPr>
                <w:lang w:val="fr-CA"/>
              </w:rPr>
            </w:pPr>
            <w:r w:rsidRPr="008D735B">
              <w:rPr>
                <w:b/>
                <w:smallCaps/>
                <w:lang w:val="fr-CA"/>
              </w:rPr>
              <w:t>Date :</w:t>
            </w:r>
            <w:r w:rsidRPr="008D735B">
              <w:rPr>
                <w:lang w:val="fr-CA"/>
              </w:rPr>
              <w:t xml:space="preserve"> 20140122</w:t>
            </w:r>
          </w:p>
          <w:p w:rsidR="008D735B" w:rsidRPr="008D735B" w:rsidRDefault="008D735B" w:rsidP="008D735B">
            <w:pPr>
              <w:rPr>
                <w:lang w:val="fr-CA"/>
              </w:rPr>
            </w:pPr>
            <w:r w:rsidRPr="008D735B">
              <w:rPr>
                <w:b/>
                <w:smallCaps/>
                <w:lang w:val="fr-CA"/>
              </w:rPr>
              <w:t>Dossier :</w:t>
            </w:r>
            <w:r w:rsidRPr="008D735B">
              <w:rPr>
                <w:lang w:val="fr-CA"/>
              </w:rPr>
              <w:t xml:space="preserve"> 35361</w:t>
            </w:r>
          </w:p>
        </w:tc>
      </w:tr>
    </w:tbl>
    <w:p w:rsidR="008D735B" w:rsidRPr="008D735B" w:rsidRDefault="008D735B" w:rsidP="008D735B">
      <w:pPr>
        <w:rPr>
          <w:rFonts w:eastAsiaTheme="minorHAnsi" w:cstheme="minorBidi"/>
          <w:szCs w:val="24"/>
          <w:lang w:val="fr-CA" w:eastAsia="en-US"/>
        </w:rPr>
      </w:pPr>
    </w:p>
    <w:p w:rsidR="008D735B" w:rsidRPr="008D735B" w:rsidRDefault="008D735B" w:rsidP="008D735B">
      <w:pPr>
        <w:rPr>
          <w:rFonts w:eastAsiaTheme="minorHAnsi" w:cstheme="minorBidi"/>
          <w:b/>
          <w:smallCaps/>
          <w:szCs w:val="24"/>
          <w:lang w:val="fr-CA" w:eastAsia="en-US"/>
        </w:rPr>
      </w:pPr>
      <w:r w:rsidRPr="008D735B">
        <w:rPr>
          <w:rFonts w:eastAsiaTheme="minorHAnsi" w:cstheme="minorBidi"/>
          <w:b/>
          <w:smallCaps/>
          <w:szCs w:val="24"/>
          <w:lang w:val="fr-CA" w:eastAsia="en-US"/>
        </w:rPr>
        <w:t>Entre :</w:t>
      </w:r>
    </w:p>
    <w:p w:rsidR="008D735B" w:rsidRPr="008D735B" w:rsidRDefault="008D735B" w:rsidP="008D735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8D735B">
        <w:rPr>
          <w:rFonts w:eastAsiaTheme="minorHAnsi" w:cstheme="minorBidi"/>
          <w:b/>
          <w:szCs w:val="24"/>
          <w:lang w:val="fr-CA" w:eastAsia="en-US"/>
        </w:rPr>
        <w:t xml:space="preserve">Gary Edward </w:t>
      </w:r>
      <w:proofErr w:type="spellStart"/>
      <w:r w:rsidRPr="008D735B">
        <w:rPr>
          <w:rFonts w:eastAsiaTheme="minorHAnsi" w:cstheme="minorBidi"/>
          <w:b/>
          <w:szCs w:val="24"/>
          <w:lang w:val="fr-CA" w:eastAsia="en-US"/>
        </w:rPr>
        <w:t>Yelle</w:t>
      </w:r>
      <w:proofErr w:type="spellEnd"/>
    </w:p>
    <w:p w:rsidR="008D735B" w:rsidRPr="008D735B" w:rsidRDefault="008D735B" w:rsidP="008D735B">
      <w:pPr>
        <w:jc w:val="center"/>
        <w:rPr>
          <w:rFonts w:eastAsiaTheme="minorHAnsi" w:cstheme="minorBidi"/>
          <w:szCs w:val="24"/>
          <w:lang w:val="fr-CA" w:eastAsia="en-US"/>
        </w:rPr>
      </w:pPr>
      <w:r w:rsidRPr="008D735B">
        <w:rPr>
          <w:rFonts w:eastAsiaTheme="minorHAnsi" w:cstheme="minorBidi"/>
          <w:szCs w:val="24"/>
          <w:lang w:val="fr-CA" w:eastAsia="en-US"/>
        </w:rPr>
        <w:t>Appelant</w:t>
      </w:r>
    </w:p>
    <w:p w:rsidR="008D735B" w:rsidRPr="008D735B" w:rsidRDefault="008D735B" w:rsidP="008D735B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8D735B">
        <w:rPr>
          <w:rFonts w:eastAsiaTheme="minorHAnsi" w:cstheme="minorBidi"/>
          <w:szCs w:val="24"/>
          <w:lang w:val="fr-CA" w:eastAsia="en-US"/>
        </w:rPr>
        <w:t>et</w:t>
      </w:r>
      <w:proofErr w:type="gramEnd"/>
    </w:p>
    <w:p w:rsidR="008D735B" w:rsidRPr="008D735B" w:rsidRDefault="008D735B" w:rsidP="008D735B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8D735B"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8D735B" w:rsidRPr="008D735B" w:rsidRDefault="008D735B" w:rsidP="008D735B">
      <w:pPr>
        <w:jc w:val="center"/>
        <w:rPr>
          <w:rFonts w:eastAsiaTheme="minorHAnsi" w:cstheme="minorBidi"/>
          <w:szCs w:val="24"/>
          <w:lang w:val="fr-CA" w:eastAsia="en-US"/>
        </w:rPr>
      </w:pPr>
      <w:r w:rsidRPr="008D735B">
        <w:rPr>
          <w:rFonts w:eastAsiaTheme="minorHAnsi" w:cstheme="minorBidi"/>
          <w:szCs w:val="24"/>
          <w:lang w:val="fr-CA" w:eastAsia="en-US"/>
        </w:rPr>
        <w:t>Intimée</w:t>
      </w:r>
    </w:p>
    <w:p w:rsidR="008D735B" w:rsidRPr="008D735B" w:rsidRDefault="008D735B" w:rsidP="008D735B">
      <w:pPr>
        <w:rPr>
          <w:rFonts w:eastAsiaTheme="minorHAnsi" w:cstheme="minorBidi"/>
          <w:szCs w:val="24"/>
          <w:lang w:val="fr-CA" w:eastAsia="en-US"/>
        </w:rPr>
      </w:pPr>
    </w:p>
    <w:p w:rsidR="008D735B" w:rsidRPr="008D735B" w:rsidRDefault="008D735B" w:rsidP="008D735B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8D735B">
        <w:rPr>
          <w:rFonts w:eastAsiaTheme="minorHAnsi" w:cstheme="minorBidi"/>
          <w:b/>
          <w:smallCaps/>
          <w:szCs w:val="24"/>
          <w:lang w:val="fr-CA" w:eastAsia="en-US"/>
        </w:rPr>
        <w:t>Traduction française officielle</w:t>
      </w:r>
    </w:p>
    <w:p w:rsidR="008D735B" w:rsidRPr="008D735B" w:rsidRDefault="008D735B" w:rsidP="008D735B">
      <w:pPr>
        <w:rPr>
          <w:rFonts w:eastAsiaTheme="minorHAnsi" w:cstheme="minorBidi"/>
          <w:szCs w:val="24"/>
          <w:lang w:val="fr-CA" w:eastAsia="en-US"/>
        </w:rPr>
      </w:pPr>
    </w:p>
    <w:p w:rsidR="008D735B" w:rsidRPr="008D735B" w:rsidRDefault="008D735B" w:rsidP="008D735B">
      <w:pPr>
        <w:rPr>
          <w:rFonts w:eastAsiaTheme="minorHAnsi" w:cstheme="minorBidi"/>
          <w:szCs w:val="24"/>
          <w:lang w:val="fr-CA" w:eastAsia="en-US"/>
        </w:rPr>
      </w:pPr>
      <w:r w:rsidRPr="008D735B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8D735B">
        <w:rPr>
          <w:rFonts w:eastAsiaTheme="minorHAnsi" w:cstheme="minorBidi"/>
          <w:szCs w:val="24"/>
          <w:lang w:val="fr-CA" w:eastAsia="en-US"/>
        </w:rPr>
        <w:t xml:space="preserve"> La juge en chef </w:t>
      </w:r>
      <w:proofErr w:type="spellStart"/>
      <w:r w:rsidRPr="008D735B">
        <w:rPr>
          <w:rFonts w:eastAsiaTheme="minorHAnsi" w:cstheme="minorBidi"/>
          <w:szCs w:val="24"/>
          <w:lang w:val="fr-CA" w:eastAsia="en-US"/>
        </w:rPr>
        <w:t>McLachlin</w:t>
      </w:r>
      <w:proofErr w:type="spellEnd"/>
      <w:r w:rsidRPr="008D735B">
        <w:rPr>
          <w:rFonts w:eastAsiaTheme="minorHAnsi" w:cstheme="minorBidi"/>
          <w:szCs w:val="24"/>
          <w:lang w:val="fr-CA" w:eastAsia="en-US"/>
        </w:rPr>
        <w:t xml:space="preserve"> et les juges Abella, </w:t>
      </w:r>
      <w:proofErr w:type="spellStart"/>
      <w:r w:rsidRPr="008D735B">
        <w:rPr>
          <w:rFonts w:eastAsiaTheme="minorHAnsi" w:cstheme="minorBidi"/>
          <w:szCs w:val="24"/>
          <w:lang w:val="fr-CA" w:eastAsia="en-US"/>
        </w:rPr>
        <w:t>Rothstein</w:t>
      </w:r>
      <w:proofErr w:type="spellEnd"/>
      <w:r w:rsidRPr="008D735B">
        <w:rPr>
          <w:rFonts w:eastAsiaTheme="minorHAnsi" w:cstheme="minorBidi"/>
          <w:szCs w:val="24"/>
          <w:lang w:val="fr-CA" w:eastAsia="en-US"/>
        </w:rPr>
        <w:t xml:space="preserve">, Cromwell et </w:t>
      </w:r>
      <w:proofErr w:type="spellStart"/>
      <w:r w:rsidRPr="008D735B">
        <w:rPr>
          <w:rFonts w:eastAsiaTheme="minorHAnsi" w:cstheme="minorBidi"/>
          <w:szCs w:val="24"/>
          <w:lang w:val="fr-CA" w:eastAsia="en-US"/>
        </w:rPr>
        <w:t>Moldaver</w:t>
      </w:r>
      <w:proofErr w:type="spellEnd"/>
    </w:p>
    <w:p w:rsidR="008D735B" w:rsidRPr="008D735B" w:rsidRDefault="008D735B" w:rsidP="008D735B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8D735B" w:rsidRPr="008D735B" w:rsidTr="00C82175">
        <w:trPr>
          <w:cantSplit/>
        </w:trPr>
        <w:tc>
          <w:tcPr>
            <w:tcW w:w="3618" w:type="dxa"/>
          </w:tcPr>
          <w:p w:rsidR="008D735B" w:rsidRPr="008D735B" w:rsidRDefault="008D735B" w:rsidP="008D735B">
            <w:pPr>
              <w:rPr>
                <w:b/>
                <w:smallCaps/>
                <w:lang w:val="fr-CA"/>
              </w:rPr>
            </w:pPr>
            <w:r w:rsidRPr="008D735B">
              <w:rPr>
                <w:b/>
                <w:smallCaps/>
                <w:lang w:val="fr-CA"/>
              </w:rPr>
              <w:t>Motifs de jugement :</w:t>
            </w:r>
          </w:p>
          <w:p w:rsidR="008D735B" w:rsidRPr="008D735B" w:rsidRDefault="008D735B" w:rsidP="008D735B">
            <w:pPr>
              <w:rPr>
                <w:lang w:val="fr-CA"/>
              </w:rPr>
            </w:pPr>
            <w:r w:rsidRPr="008D735B">
              <w:rPr>
                <w:lang w:val="fr-CA"/>
              </w:rPr>
              <w:t>(par. 1)</w:t>
            </w:r>
          </w:p>
        </w:tc>
        <w:tc>
          <w:tcPr>
            <w:tcW w:w="5958" w:type="dxa"/>
          </w:tcPr>
          <w:p w:rsidR="008D735B" w:rsidRPr="008D735B" w:rsidRDefault="008D735B" w:rsidP="008D735B">
            <w:pPr>
              <w:rPr>
                <w:lang w:val="fr-CA"/>
              </w:rPr>
            </w:pPr>
            <w:r w:rsidRPr="008D735B">
              <w:rPr>
                <w:lang w:val="fr-CA"/>
              </w:rPr>
              <w:t xml:space="preserve">La juge en chef </w:t>
            </w:r>
            <w:proofErr w:type="spellStart"/>
            <w:r w:rsidRPr="008D735B">
              <w:rPr>
                <w:lang w:val="fr-CA"/>
              </w:rPr>
              <w:t>McLachlin</w:t>
            </w:r>
            <w:proofErr w:type="spellEnd"/>
            <w:r w:rsidRPr="008D735B">
              <w:rPr>
                <w:lang w:val="fr-CA"/>
              </w:rPr>
              <w:t xml:space="preserve"> (avec l’accord des juges Abella, </w:t>
            </w:r>
            <w:proofErr w:type="spellStart"/>
            <w:r w:rsidRPr="008D735B">
              <w:rPr>
                <w:lang w:val="fr-CA"/>
              </w:rPr>
              <w:t>Rothstein</w:t>
            </w:r>
            <w:proofErr w:type="spellEnd"/>
            <w:r w:rsidRPr="008D735B">
              <w:rPr>
                <w:lang w:val="fr-CA"/>
              </w:rPr>
              <w:t xml:space="preserve">, Cromwell et </w:t>
            </w:r>
            <w:proofErr w:type="spellStart"/>
            <w:r w:rsidRPr="008D735B">
              <w:rPr>
                <w:lang w:val="fr-CA"/>
              </w:rPr>
              <w:t>Moldaver</w:t>
            </w:r>
            <w:proofErr w:type="spellEnd"/>
            <w:r w:rsidRPr="008D735B">
              <w:rPr>
                <w:lang w:val="fr-CA"/>
              </w:rPr>
              <w:t>)</w:t>
            </w:r>
          </w:p>
          <w:p w:rsidR="008D735B" w:rsidRPr="008D735B" w:rsidRDefault="008D735B" w:rsidP="008D735B">
            <w:pPr>
              <w:rPr>
                <w:lang w:val="fr-CA"/>
              </w:rPr>
            </w:pPr>
          </w:p>
        </w:tc>
      </w:tr>
    </w:tbl>
    <w:p w:rsidR="008D735B" w:rsidRPr="008D735B" w:rsidRDefault="008D735B" w:rsidP="008D735B">
      <w:pPr>
        <w:rPr>
          <w:rFonts w:eastAsiaTheme="minorHAnsi" w:cstheme="minorBidi"/>
          <w:szCs w:val="24"/>
          <w:lang w:val="fr-CA" w:eastAsia="en-US"/>
        </w:rPr>
      </w:pPr>
      <w:r w:rsidRPr="008D735B">
        <w:rPr>
          <w:rFonts w:eastAsiaTheme="minorHAnsi" w:cstheme="minorBidi"/>
          <w:noProof/>
          <w:szCs w:val="24"/>
          <w:lang w:val="fr-CA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8D735B" w:rsidRDefault="008D735B">
      <w:pPr>
        <w:pStyle w:val="SCCLsocLastPartyInRole"/>
        <w:rPr>
          <w:rFonts w:eastAsiaTheme="minorHAnsi"/>
          <w:b w:val="0"/>
          <w:lang w:val="fr-CA"/>
        </w:rPr>
      </w:pPr>
    </w:p>
    <w:p w:rsidR="0093158C" w:rsidRDefault="0093158C">
      <w:pPr>
        <w:pStyle w:val="SCCLsocLastPartyInRole"/>
        <w:rPr>
          <w:rFonts w:eastAsiaTheme="minorHAnsi" w:cstheme="minorBidi"/>
          <w:b w:val="0"/>
          <w:szCs w:val="24"/>
          <w:lang w:val="fr-CA" w:eastAsia="en-US"/>
        </w:rPr>
      </w:pPr>
      <w:r w:rsidRPr="0093158C">
        <w:rPr>
          <w:rFonts w:eastAsiaTheme="minorHAnsi"/>
          <w:b w:val="0"/>
          <w:lang w:val="fr-CA"/>
        </w:rPr>
        <w:t xml:space="preserve">R. </w:t>
      </w:r>
      <w:r w:rsidRPr="0093158C">
        <w:rPr>
          <w:rFonts w:eastAsiaTheme="minorHAnsi"/>
          <w:b w:val="0"/>
          <w:i/>
          <w:lang w:val="fr-CA"/>
        </w:rPr>
        <w:t>c.</w:t>
      </w:r>
      <w:r w:rsidRPr="0093158C">
        <w:rPr>
          <w:rFonts w:eastAsiaTheme="minorHAnsi"/>
          <w:b w:val="0"/>
          <w:lang w:val="fr-CA"/>
        </w:rPr>
        <w:t xml:space="preserve"> </w:t>
      </w:r>
      <w:proofErr w:type="spellStart"/>
      <w:r w:rsidRPr="0093158C">
        <w:rPr>
          <w:rFonts w:eastAsiaTheme="minorHAnsi"/>
          <w:b w:val="0"/>
          <w:lang w:val="fr-CA"/>
        </w:rPr>
        <w:t>Yelle</w:t>
      </w:r>
      <w:proofErr w:type="spellEnd"/>
      <w:r w:rsidRPr="0093158C">
        <w:rPr>
          <w:rFonts w:eastAsiaTheme="minorHAnsi"/>
          <w:b w:val="0"/>
          <w:iCs/>
          <w:color w:val="000000" w:themeColor="text1"/>
          <w:lang w:val="fr-CA"/>
        </w:rPr>
        <w:t>,</w:t>
      </w:r>
      <w:r w:rsidRPr="0093158C">
        <w:rPr>
          <w:rFonts w:eastAsiaTheme="minorHAnsi" w:cstheme="minorBidi"/>
          <w:b w:val="0"/>
          <w:szCs w:val="24"/>
          <w:lang w:val="fr-CA" w:eastAsia="en-US"/>
        </w:rPr>
        <w:t xml:space="preserve"> 2014 CSC 10, [2014] 1 R.C.S. 140</w:t>
      </w:r>
    </w:p>
    <w:p w:rsidR="003378AA" w:rsidRPr="00AD39F1" w:rsidRDefault="006B676F">
      <w:pPr>
        <w:pStyle w:val="SCCLsocLastPartyInRole"/>
        <w:rPr>
          <w:lang w:val="fr-CA"/>
        </w:rPr>
      </w:pPr>
      <w:r w:rsidRPr="00AD39F1">
        <w:rPr>
          <w:lang w:val="fr-CA"/>
        </w:rPr>
        <w:t xml:space="preserve">Gary Edward </w:t>
      </w:r>
      <w:proofErr w:type="spellStart"/>
      <w:r w:rsidRPr="00AD39F1">
        <w:rPr>
          <w:lang w:val="fr-CA"/>
        </w:rPr>
        <w:t>Yelle</w:t>
      </w:r>
      <w:proofErr w:type="spellEnd"/>
      <w:r w:rsidRPr="00AD39F1">
        <w:rPr>
          <w:rStyle w:val="SCCLsocPartyRole"/>
          <w:lang w:val="fr-CA"/>
        </w:rPr>
        <w:tab/>
        <w:t>Appelant</w:t>
      </w:r>
    </w:p>
    <w:p w:rsidR="003378AA" w:rsidRPr="00AD39F1" w:rsidRDefault="006B676F">
      <w:pPr>
        <w:pStyle w:val="SCCLsocVersus"/>
        <w:rPr>
          <w:lang w:val="fr-CA"/>
        </w:rPr>
      </w:pPr>
      <w:proofErr w:type="gramStart"/>
      <w:r w:rsidRPr="00AD39F1">
        <w:rPr>
          <w:lang w:val="fr-CA"/>
        </w:rPr>
        <w:t>c</w:t>
      </w:r>
      <w:proofErr w:type="gramEnd"/>
      <w:r w:rsidRPr="00AD39F1">
        <w:rPr>
          <w:lang w:val="fr-CA"/>
        </w:rPr>
        <w:t>.</w:t>
      </w:r>
    </w:p>
    <w:p w:rsidR="003378AA" w:rsidRPr="00AD39F1" w:rsidRDefault="006B676F">
      <w:pPr>
        <w:pStyle w:val="SCCLsocLastPartyInRole"/>
        <w:rPr>
          <w:lang w:val="fr-CA"/>
        </w:rPr>
      </w:pPr>
      <w:r w:rsidRPr="00AD39F1">
        <w:rPr>
          <w:lang w:val="fr-CA"/>
        </w:rPr>
        <w:t>Sa Majesté la Reine</w:t>
      </w:r>
      <w:r w:rsidR="00AD39F1">
        <w:rPr>
          <w:rStyle w:val="SCCLsocPartyRole"/>
          <w:lang w:val="fr-CA"/>
        </w:rPr>
        <w:tab/>
        <w:t>Intimé</w:t>
      </w:r>
      <w:r w:rsidRPr="00AD39F1">
        <w:rPr>
          <w:rStyle w:val="SCCLsocPartyRole"/>
          <w:lang w:val="fr-CA"/>
        </w:rPr>
        <w:t>e</w:t>
      </w:r>
    </w:p>
    <w:p w:rsidR="004D7D95" w:rsidRPr="00AD39F1" w:rsidRDefault="004D7D95" w:rsidP="007904BF">
      <w:pPr>
        <w:pStyle w:val="SCCLsocLastPartyInRole"/>
        <w:spacing w:line="480" w:lineRule="auto"/>
        <w:rPr>
          <w:b w:val="0"/>
          <w:lang w:val="fr-CA"/>
        </w:rPr>
      </w:pPr>
      <w:r w:rsidRPr="00BB4C92">
        <w:rPr>
          <w:lang w:val="fr-CA"/>
        </w:rPr>
        <w:t>Répertorié : </w:t>
      </w:r>
      <w:r w:rsidR="00AD39F1">
        <w:rPr>
          <w:lang w:val="fr-CA"/>
        </w:rPr>
        <w:t xml:space="preserve">R. </w:t>
      </w:r>
      <w:r w:rsidR="00AD39F1" w:rsidRPr="009078B2">
        <w:rPr>
          <w:i/>
          <w:lang w:val="fr-CA"/>
        </w:rPr>
        <w:t>c.</w:t>
      </w:r>
      <w:r w:rsidR="00AD39F1" w:rsidRPr="009078B2">
        <w:rPr>
          <w:b w:val="0"/>
          <w:lang w:val="fr-CA"/>
        </w:rPr>
        <w:t xml:space="preserve"> </w:t>
      </w:r>
      <w:proofErr w:type="spellStart"/>
      <w:r w:rsidRPr="009078B2">
        <w:rPr>
          <w:rStyle w:val="SCCAppellantForIndexChar"/>
          <w:b/>
          <w:lang w:val="fr-CA"/>
        </w:rPr>
        <w:t>Yelle</w:t>
      </w:r>
      <w:proofErr w:type="spellEnd"/>
    </w:p>
    <w:p w:rsidR="004D7D95" w:rsidRPr="00AD39F1" w:rsidRDefault="00F62639" w:rsidP="007904BF">
      <w:pPr>
        <w:pStyle w:val="SCCLsocLastPartyInRole"/>
        <w:spacing w:line="480" w:lineRule="auto"/>
        <w:rPr>
          <w:lang w:val="fr-CA"/>
        </w:rPr>
      </w:pPr>
      <w:r w:rsidRPr="00AD39F1">
        <w:rPr>
          <w:lang w:val="fr-CA"/>
        </w:rPr>
        <w:lastRenderedPageBreak/>
        <w:t>2014</w:t>
      </w:r>
      <w:r w:rsidR="004D7D95" w:rsidRPr="00AD39F1">
        <w:rPr>
          <w:lang w:val="fr-CA"/>
        </w:rPr>
        <w:t xml:space="preserve"> CSC </w:t>
      </w:r>
      <w:r w:rsidR="00AD39F1">
        <w:rPr>
          <w:lang w:val="fr-CA"/>
        </w:rPr>
        <w:t>10</w:t>
      </w:r>
    </w:p>
    <w:p w:rsidR="004D7D95" w:rsidRPr="00AD39F1" w:rsidRDefault="004D7D95" w:rsidP="007904BF">
      <w:pPr>
        <w:spacing w:after="720"/>
        <w:jc w:val="both"/>
        <w:rPr>
          <w:lang w:val="fr-CA"/>
        </w:rPr>
      </w:pPr>
      <w:r w:rsidRPr="00AD39F1">
        <w:rPr>
          <w:lang w:val="fr-CA"/>
        </w:rPr>
        <w:t>N</w:t>
      </w:r>
      <w:r w:rsidRPr="00AD39F1">
        <w:rPr>
          <w:vertAlign w:val="superscript"/>
          <w:lang w:val="fr-CA"/>
        </w:rPr>
        <w:t>o</w:t>
      </w:r>
      <w:r w:rsidRPr="00AD39F1">
        <w:rPr>
          <w:lang w:val="fr-CA"/>
        </w:rPr>
        <w:t xml:space="preserve"> du greffe : 35361.</w:t>
      </w:r>
    </w:p>
    <w:p w:rsidR="004D7D95" w:rsidRPr="00AD39F1" w:rsidRDefault="00F62639" w:rsidP="007904BF">
      <w:pPr>
        <w:spacing w:after="720"/>
        <w:jc w:val="both"/>
        <w:rPr>
          <w:lang w:val="fr-CA"/>
        </w:rPr>
      </w:pPr>
      <w:r w:rsidRPr="00AD39F1">
        <w:rPr>
          <w:lang w:val="fr-CA"/>
        </w:rPr>
        <w:t>2014</w:t>
      </w:r>
      <w:r w:rsidR="00D86A08">
        <w:rPr>
          <w:lang w:val="fr-CA"/>
        </w:rPr>
        <w:t> </w:t>
      </w:r>
      <w:r w:rsidRPr="00AD39F1">
        <w:rPr>
          <w:lang w:val="fr-CA"/>
        </w:rPr>
        <w:t>:</w:t>
      </w:r>
      <w:r w:rsidR="00D86A08">
        <w:rPr>
          <w:lang w:val="fr-CA"/>
        </w:rPr>
        <w:t> </w:t>
      </w:r>
      <w:r w:rsidRPr="00AD39F1">
        <w:rPr>
          <w:lang w:val="fr-CA"/>
        </w:rPr>
        <w:t>22 janvier</w:t>
      </w:r>
      <w:r w:rsidR="004D7D95" w:rsidRPr="00AD39F1">
        <w:rPr>
          <w:lang w:val="fr-CA"/>
        </w:rPr>
        <w:t>.</w:t>
      </w:r>
    </w:p>
    <w:p w:rsidR="004D7D95" w:rsidRPr="00AD39F1" w:rsidRDefault="004D7D95" w:rsidP="007904BF">
      <w:pPr>
        <w:spacing w:after="720"/>
        <w:jc w:val="both"/>
        <w:rPr>
          <w:lang w:val="fr-CA"/>
        </w:rPr>
      </w:pPr>
      <w:r w:rsidRPr="00AD39F1">
        <w:rPr>
          <w:lang w:val="fr-CA"/>
        </w:rPr>
        <w:t xml:space="preserve">Présents : La juge en chef </w:t>
      </w:r>
      <w:proofErr w:type="spellStart"/>
      <w:r w:rsidRPr="00AD39F1">
        <w:rPr>
          <w:lang w:val="fr-CA"/>
        </w:rPr>
        <w:t>McLachlin</w:t>
      </w:r>
      <w:proofErr w:type="spellEnd"/>
      <w:r w:rsidRPr="00AD39F1">
        <w:rPr>
          <w:lang w:val="fr-CA"/>
        </w:rPr>
        <w:t xml:space="preserve"> et les juges Abella, </w:t>
      </w:r>
      <w:proofErr w:type="spellStart"/>
      <w:r w:rsidRPr="00AD39F1">
        <w:rPr>
          <w:lang w:val="fr-CA"/>
        </w:rPr>
        <w:t>Rothstein</w:t>
      </w:r>
      <w:proofErr w:type="spellEnd"/>
      <w:r w:rsidRPr="00AD39F1">
        <w:rPr>
          <w:lang w:val="fr-CA"/>
        </w:rPr>
        <w:t xml:space="preserve">, Cromwell et </w:t>
      </w:r>
      <w:proofErr w:type="spellStart"/>
      <w:r w:rsidRPr="00AD39F1">
        <w:rPr>
          <w:lang w:val="fr-CA"/>
        </w:rPr>
        <w:t>Moldaver</w:t>
      </w:r>
      <w:proofErr w:type="spellEnd"/>
      <w:r w:rsidRPr="00AD39F1">
        <w:rPr>
          <w:lang w:val="fr-CA"/>
        </w:rPr>
        <w:t>.</w:t>
      </w:r>
    </w:p>
    <w:p w:rsidR="004D7D95" w:rsidRPr="00AD39F1" w:rsidRDefault="004D7D95" w:rsidP="007904BF">
      <w:pPr>
        <w:spacing w:after="720"/>
        <w:jc w:val="both"/>
        <w:rPr>
          <w:smallCaps/>
          <w:lang w:val="fr-CA"/>
        </w:rPr>
      </w:pPr>
      <w:r w:rsidRPr="00AD39F1">
        <w:rPr>
          <w:smallCaps/>
          <w:lang w:val="fr-CA"/>
        </w:rPr>
        <w:t>en appel de la cour d’appel des territoires du nord-ouest</w:t>
      </w:r>
    </w:p>
    <w:p w:rsidR="004D7D95" w:rsidRPr="00BE68F6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3C66F9" w:rsidRPr="00BE68F6">
        <w:rPr>
          <w:i/>
          <w:lang w:val="fr-CA"/>
        </w:rPr>
        <w:t xml:space="preserve">Droit criminel </w:t>
      </w:r>
      <w:r w:rsidR="00E04896">
        <w:rPr>
          <w:i/>
          <w:lang w:val="fr-CA"/>
        </w:rPr>
        <w:t>—</w:t>
      </w:r>
      <w:r w:rsidR="003C66F9" w:rsidRPr="00BE68F6">
        <w:rPr>
          <w:i/>
          <w:lang w:val="fr-CA"/>
        </w:rPr>
        <w:t xml:space="preserve"> Verdict raisonnable </w:t>
      </w:r>
      <w:r w:rsidR="00E04896">
        <w:rPr>
          <w:i/>
          <w:lang w:val="fr-CA"/>
        </w:rPr>
        <w:t>—</w:t>
      </w:r>
      <w:r w:rsidR="00E04896" w:rsidRPr="00BE68F6">
        <w:rPr>
          <w:i/>
          <w:lang w:val="fr-CA"/>
        </w:rPr>
        <w:t xml:space="preserve"> </w:t>
      </w:r>
      <w:r w:rsidR="003C66F9" w:rsidRPr="00BE68F6">
        <w:rPr>
          <w:i/>
          <w:lang w:val="fr-CA"/>
        </w:rPr>
        <w:t xml:space="preserve">Accusé inculpé d’agression sexuelle et d’avoir proféré des menaces </w:t>
      </w:r>
      <w:r w:rsidR="00E04896">
        <w:rPr>
          <w:i/>
          <w:lang w:val="fr-CA"/>
        </w:rPr>
        <w:t>—</w:t>
      </w:r>
      <w:r w:rsidR="00E04896" w:rsidRPr="00BE68F6">
        <w:rPr>
          <w:i/>
          <w:lang w:val="fr-CA"/>
        </w:rPr>
        <w:t xml:space="preserve"> </w:t>
      </w:r>
      <w:r w:rsidR="003C66F9" w:rsidRPr="00BE68F6">
        <w:rPr>
          <w:i/>
          <w:lang w:val="fr-CA"/>
        </w:rPr>
        <w:t xml:space="preserve">Verdict de culpabilité </w:t>
      </w:r>
      <w:r w:rsidR="006D61B5" w:rsidRPr="00BE68F6">
        <w:rPr>
          <w:i/>
          <w:lang w:val="fr-CA"/>
        </w:rPr>
        <w:t xml:space="preserve">prononcé par le jury </w:t>
      </w:r>
      <w:r w:rsidR="003C66F9" w:rsidRPr="00BE68F6">
        <w:rPr>
          <w:i/>
          <w:lang w:val="fr-CA"/>
        </w:rPr>
        <w:t xml:space="preserve">à l’égard de l’infraction moindre et incluse de voies de fait </w:t>
      </w:r>
      <w:r w:rsidR="00E04896">
        <w:rPr>
          <w:i/>
          <w:lang w:val="fr-CA"/>
        </w:rPr>
        <w:t>—</w:t>
      </w:r>
      <w:r w:rsidR="00E04896" w:rsidRPr="00BE68F6">
        <w:rPr>
          <w:i/>
          <w:lang w:val="fr-CA"/>
        </w:rPr>
        <w:t xml:space="preserve"> </w:t>
      </w:r>
      <w:r w:rsidR="003C66F9" w:rsidRPr="00BE68F6">
        <w:rPr>
          <w:i/>
          <w:lang w:val="fr-CA"/>
        </w:rPr>
        <w:t>Ce verdict est raisonnable compte tenu de la preuve photographique établissant hors de tout</w:t>
      </w:r>
      <w:r w:rsidR="00BE68F6" w:rsidRPr="00BE68F6">
        <w:rPr>
          <w:i/>
          <w:lang w:val="fr-CA"/>
        </w:rPr>
        <w:t xml:space="preserve"> </w:t>
      </w:r>
      <w:r w:rsidR="00E04896">
        <w:rPr>
          <w:i/>
          <w:lang w:val="fr-CA"/>
        </w:rPr>
        <w:t xml:space="preserve">doute </w:t>
      </w:r>
      <w:r w:rsidR="00BE68F6" w:rsidRPr="00BE68F6">
        <w:rPr>
          <w:i/>
          <w:lang w:val="fr-CA"/>
        </w:rPr>
        <w:t>raisonnable la perpétration de</w:t>
      </w:r>
      <w:r w:rsidR="003C66F9" w:rsidRPr="00BE68F6">
        <w:rPr>
          <w:i/>
          <w:lang w:val="fr-CA"/>
        </w:rPr>
        <w:t xml:space="preserve"> voies de fait </w:t>
      </w:r>
      <w:r w:rsidR="00E04896">
        <w:rPr>
          <w:i/>
          <w:lang w:val="fr-CA"/>
        </w:rPr>
        <w:t>—</w:t>
      </w:r>
      <w:r w:rsidR="00E04896" w:rsidRPr="00BE68F6">
        <w:rPr>
          <w:i/>
          <w:lang w:val="fr-CA"/>
        </w:rPr>
        <w:t xml:space="preserve"> </w:t>
      </w:r>
      <w:r w:rsidR="003C66F9" w:rsidRPr="00BE68F6">
        <w:rPr>
          <w:i/>
          <w:lang w:val="fr-CA"/>
        </w:rPr>
        <w:t xml:space="preserve">La juge du procès n’était pas tenue dans les circonstances de faire une mise en garde relativement à la fiabilité du témoin </w:t>
      </w:r>
      <w:r w:rsidR="00E04896">
        <w:rPr>
          <w:i/>
          <w:lang w:val="fr-CA"/>
        </w:rPr>
        <w:t>—</w:t>
      </w:r>
      <w:r w:rsidR="00E04896" w:rsidRPr="00BE68F6">
        <w:rPr>
          <w:i/>
          <w:lang w:val="fr-CA"/>
        </w:rPr>
        <w:t xml:space="preserve"> </w:t>
      </w:r>
      <w:r w:rsidR="003C66F9" w:rsidRPr="00BE68F6">
        <w:rPr>
          <w:i/>
          <w:lang w:val="fr-CA"/>
        </w:rPr>
        <w:t xml:space="preserve">La décision de la juge du procès de donner des directives au sujet de l’infraction moindre et incluse de voies de fait commande la déférence eu égard à l’ensemble de la preuve. </w:t>
      </w:r>
    </w:p>
    <w:p w:rsidR="003C66F9" w:rsidRPr="003C66F9" w:rsidRDefault="003C66F9" w:rsidP="004D7D95">
      <w:pPr>
        <w:pStyle w:val="SCCNormalDoubleSpacing"/>
        <w:rPr>
          <w:lang w:val="fr-CA"/>
        </w:rPr>
      </w:pPr>
    </w:p>
    <w:p w:rsidR="004D7D95" w:rsidRPr="004D7D95" w:rsidRDefault="004D7D95" w:rsidP="004D7D95">
      <w:pPr>
        <w:pStyle w:val="SCCNormalDoubleSpacing"/>
        <w:rPr>
          <w:lang w:val="fr-CA"/>
        </w:rPr>
      </w:pPr>
      <w:r w:rsidRPr="003C66F9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AD39F1">
        <w:rPr>
          <w:lang w:val="fr-CA"/>
        </w:rPr>
        <w:t>Cour d’appel des Territoires du Nord-Ouest</w:t>
      </w:r>
      <w:r w:rsidR="006B676F">
        <w:rPr>
          <w:lang w:val="fr-CA"/>
        </w:rPr>
        <w:t xml:space="preserve"> </w:t>
      </w:r>
      <w:r w:rsidR="006B676F" w:rsidRPr="006B676F">
        <w:rPr>
          <w:lang w:val="fr-CA"/>
        </w:rPr>
        <w:t>(</w:t>
      </w:r>
      <w:r w:rsidR="006B676F">
        <w:rPr>
          <w:lang w:val="fr-CA"/>
        </w:rPr>
        <w:t xml:space="preserve">les juges </w:t>
      </w:r>
      <w:proofErr w:type="spellStart"/>
      <w:r w:rsidR="006B676F" w:rsidRPr="006B676F">
        <w:rPr>
          <w:lang w:val="fr-CA"/>
        </w:rPr>
        <w:t>Paperny</w:t>
      </w:r>
      <w:proofErr w:type="spellEnd"/>
      <w:r w:rsidR="006B676F" w:rsidRPr="006B676F">
        <w:rPr>
          <w:lang w:val="fr-CA"/>
        </w:rPr>
        <w:t xml:space="preserve">, Martin </w:t>
      </w:r>
      <w:r w:rsidR="006B676F">
        <w:rPr>
          <w:lang w:val="fr-CA"/>
        </w:rPr>
        <w:t>et</w:t>
      </w:r>
      <w:r w:rsidR="006B676F" w:rsidRPr="006B676F">
        <w:rPr>
          <w:lang w:val="fr-CA"/>
        </w:rPr>
        <w:t xml:space="preserve"> Charbonneau), 2013 NWTCA 2, [2013] N.W.T.J. No. 47 (QL), 2013 </w:t>
      </w:r>
      <w:proofErr w:type="spellStart"/>
      <w:r w:rsidR="006B676F" w:rsidRPr="006B676F">
        <w:rPr>
          <w:lang w:val="fr-CA"/>
        </w:rPr>
        <w:t>CarswellNWT</w:t>
      </w:r>
      <w:proofErr w:type="spellEnd"/>
      <w:r w:rsidR="006B676F" w:rsidRPr="006B676F">
        <w:rPr>
          <w:lang w:val="fr-CA"/>
        </w:rPr>
        <w:t xml:space="preserve"> 49, </w:t>
      </w:r>
      <w:r w:rsidR="006B676F" w:rsidRPr="00B0428D">
        <w:rPr>
          <w:lang w:val="fr-CA"/>
        </w:rPr>
        <w:t xml:space="preserve">qui a confirmé </w:t>
      </w:r>
      <w:r w:rsidR="00B0428D" w:rsidRPr="00B0428D">
        <w:rPr>
          <w:lang w:val="fr-CA"/>
        </w:rPr>
        <w:t>la déclaration de culpabilité de voie</w:t>
      </w:r>
      <w:r w:rsidR="00087496">
        <w:rPr>
          <w:lang w:val="fr-CA"/>
        </w:rPr>
        <w:t>s</w:t>
      </w:r>
      <w:r w:rsidR="00B0428D" w:rsidRPr="00B0428D">
        <w:rPr>
          <w:lang w:val="fr-CA"/>
        </w:rPr>
        <w:t xml:space="preserve"> de fait inscrite par</w:t>
      </w:r>
      <w:r w:rsidR="00B64FEF">
        <w:rPr>
          <w:lang w:val="fr-CA"/>
        </w:rPr>
        <w:t xml:space="preserve"> la juge </w:t>
      </w:r>
      <w:proofErr w:type="spellStart"/>
      <w:r w:rsidR="006B676F" w:rsidRPr="006B676F">
        <w:rPr>
          <w:lang w:val="fr-CA"/>
        </w:rPr>
        <w:t>Shaner</w:t>
      </w:r>
      <w:proofErr w:type="spellEnd"/>
      <w:r w:rsidR="006B676F" w:rsidRPr="006B676F">
        <w:rPr>
          <w:lang w:val="fr-CA"/>
        </w:rPr>
        <w:t xml:space="preserve">, 2012 NWTSC 46, [2012] N.W.T.J. No. 52 (QL), 2012 </w:t>
      </w:r>
      <w:proofErr w:type="spellStart"/>
      <w:r w:rsidR="006B676F" w:rsidRPr="006B676F">
        <w:rPr>
          <w:lang w:val="fr-CA"/>
        </w:rPr>
        <w:t>CarswellNWT</w:t>
      </w:r>
      <w:proofErr w:type="spellEnd"/>
      <w:r w:rsidR="006B676F" w:rsidRPr="006B676F">
        <w:rPr>
          <w:lang w:val="fr-CA"/>
        </w:rPr>
        <w:t xml:space="preserve"> 48.  </w:t>
      </w:r>
      <w:r w:rsidR="00B64FEF">
        <w:rPr>
          <w:lang w:val="fr-CA"/>
        </w:rPr>
        <w:t>Pourvoi rejeté.</w:t>
      </w:r>
    </w:p>
    <w:p w:rsidR="00B64FEF" w:rsidRDefault="00B64FEF">
      <w:pPr>
        <w:pStyle w:val="SCCNormalDoubleSpacing"/>
        <w:rPr>
          <w:rStyle w:val="SCCCounselNameChar"/>
          <w:lang w:val="fr-CA"/>
        </w:rPr>
      </w:pPr>
    </w:p>
    <w:p w:rsidR="003378AA" w:rsidRPr="00AD39F1" w:rsidRDefault="006B676F">
      <w:pPr>
        <w:pStyle w:val="SCCNormalDoubleSpacing"/>
        <w:rPr>
          <w:lang w:val="fr-CA"/>
        </w:rPr>
      </w:pPr>
      <w:r w:rsidRPr="00AD39F1">
        <w:rPr>
          <w:rStyle w:val="SCCCounselNameChar"/>
          <w:lang w:val="fr-CA"/>
        </w:rPr>
        <w:tab/>
        <w:t>Charles B. Davison</w:t>
      </w:r>
      <w:r w:rsidRPr="00AD39F1">
        <w:rPr>
          <w:rStyle w:val="SCCCounselPartyRoleChar"/>
          <w:lang w:val="fr-CA"/>
        </w:rPr>
        <w:t>, pour l</w:t>
      </w:r>
      <w:r w:rsidR="00B64FEF">
        <w:rPr>
          <w:rStyle w:val="SCCCounselPartyRoleChar"/>
          <w:lang w:val="fr-CA"/>
        </w:rPr>
        <w:t>’</w:t>
      </w:r>
      <w:r w:rsidRPr="00AD39F1">
        <w:rPr>
          <w:rStyle w:val="SCCCounselPartyRoleChar"/>
          <w:lang w:val="fr-CA"/>
        </w:rPr>
        <w:t>appelant.</w:t>
      </w:r>
    </w:p>
    <w:p w:rsidR="003378AA" w:rsidRPr="00AD39F1" w:rsidRDefault="003378AA">
      <w:pPr>
        <w:pStyle w:val="SCCNormalDoubleSpacing"/>
        <w:rPr>
          <w:lang w:val="fr-CA"/>
        </w:rPr>
      </w:pPr>
    </w:p>
    <w:p w:rsidR="003378AA" w:rsidRDefault="006B676F">
      <w:pPr>
        <w:pStyle w:val="SCCNormalDoubleSpacing"/>
        <w:rPr>
          <w:rStyle w:val="SCCCounselPartyRoleChar"/>
          <w:lang w:val="fr-CA"/>
        </w:rPr>
      </w:pPr>
      <w:r w:rsidRPr="00AD39F1">
        <w:rPr>
          <w:rStyle w:val="SCCCounselNameChar"/>
          <w:lang w:val="fr-CA"/>
        </w:rPr>
        <w:tab/>
        <w:t>Susanne Boucher</w:t>
      </w:r>
      <w:r w:rsidR="00B64FEF">
        <w:rPr>
          <w:rStyle w:val="SCCCounselNameChar"/>
          <w:lang w:val="fr-CA"/>
        </w:rPr>
        <w:t xml:space="preserve"> </w:t>
      </w:r>
      <w:r w:rsidR="00B64FEF">
        <w:rPr>
          <w:rStyle w:val="SCCCounselNameChar"/>
          <w:i w:val="0"/>
          <w:lang w:val="fr-CA"/>
        </w:rPr>
        <w:t xml:space="preserve">et </w:t>
      </w:r>
      <w:r w:rsidR="00B64FEF">
        <w:rPr>
          <w:rStyle w:val="SCCCounselNameChar"/>
          <w:lang w:val="fr-CA"/>
        </w:rPr>
        <w:t xml:space="preserve">François </w:t>
      </w:r>
      <w:proofErr w:type="spellStart"/>
      <w:r w:rsidR="00B64FEF">
        <w:rPr>
          <w:rStyle w:val="SCCCounselNameChar"/>
          <w:lang w:val="fr-CA"/>
        </w:rPr>
        <w:t>Lacasse</w:t>
      </w:r>
      <w:proofErr w:type="spellEnd"/>
      <w:r w:rsidRPr="00AD39F1">
        <w:rPr>
          <w:rStyle w:val="SCCCounselPartyRoleChar"/>
          <w:lang w:val="fr-CA"/>
        </w:rPr>
        <w:t>, pour l</w:t>
      </w:r>
      <w:r w:rsidR="00B64FEF">
        <w:rPr>
          <w:rStyle w:val="SCCCounselPartyRoleChar"/>
          <w:lang w:val="fr-CA"/>
        </w:rPr>
        <w:t>’</w:t>
      </w:r>
      <w:r w:rsidRPr="00AD39F1">
        <w:rPr>
          <w:rStyle w:val="SCCCounselPartyRoleChar"/>
          <w:lang w:val="fr-CA"/>
        </w:rPr>
        <w:t>intimée.</w:t>
      </w:r>
    </w:p>
    <w:p w:rsidR="00D86A08" w:rsidRDefault="00D86A08">
      <w:pPr>
        <w:pStyle w:val="SCCNormalDoubleSpacing"/>
        <w:rPr>
          <w:rStyle w:val="SCCCounselPartyRoleChar"/>
          <w:lang w:val="fr-CA"/>
        </w:rPr>
      </w:pPr>
    </w:p>
    <w:p w:rsidR="00D86A08" w:rsidRPr="00B0428D" w:rsidRDefault="00D86A08">
      <w:pPr>
        <w:pStyle w:val="SCCNormalDoubleSpacing"/>
        <w:rPr>
          <w:lang w:val="fr-CA"/>
        </w:rPr>
      </w:pPr>
      <w:r>
        <w:rPr>
          <w:rStyle w:val="SCCCounselPartyRoleChar"/>
          <w:lang w:val="fr-CA"/>
        </w:rPr>
        <w:tab/>
      </w:r>
      <w:r w:rsidRPr="00B0428D">
        <w:rPr>
          <w:lang w:val="fr-CA"/>
        </w:rPr>
        <w:t>Version française du jugement de la Cour rendu oralement par</w:t>
      </w:r>
    </w:p>
    <w:p w:rsidR="00D86A08" w:rsidRPr="00B0428D" w:rsidRDefault="00D86A08">
      <w:pPr>
        <w:pStyle w:val="SCCNormalDoubleSpacing"/>
        <w:rPr>
          <w:lang w:val="fr-CA"/>
        </w:rPr>
      </w:pPr>
    </w:p>
    <w:p w:rsidR="00D86A08" w:rsidRPr="00AD39F1" w:rsidRDefault="00D86A08" w:rsidP="00D86A08">
      <w:pPr>
        <w:pStyle w:val="SCCNormalDoubleSpacing"/>
        <w:spacing w:after="480"/>
        <w:rPr>
          <w:lang w:val="fr-CA"/>
        </w:rPr>
      </w:pPr>
      <w:r w:rsidRPr="00B0428D">
        <w:rPr>
          <w:lang w:val="fr-CA"/>
        </w:rPr>
        <w:t>[1]</w:t>
      </w:r>
      <w:r w:rsidRPr="00B0428D">
        <w:rPr>
          <w:lang w:val="fr-CA"/>
        </w:rPr>
        <w:tab/>
      </w:r>
      <w:r w:rsidR="00F44FA3">
        <w:rPr>
          <w:smallCaps/>
          <w:lang w:val="fr-CA"/>
        </w:rPr>
        <w:t>La Juge en c</w:t>
      </w:r>
      <w:r>
        <w:rPr>
          <w:smallCaps/>
          <w:lang w:val="fr-CA"/>
        </w:rPr>
        <w:t xml:space="preserve">hef — </w:t>
      </w:r>
      <w:r>
        <w:rPr>
          <w:lang w:val="fr-CA"/>
        </w:rPr>
        <w:t xml:space="preserve">Nous partageons l’opinion </w:t>
      </w:r>
      <w:r w:rsidRPr="00B9284D">
        <w:rPr>
          <w:lang w:val="fr-CA"/>
        </w:rPr>
        <w:t xml:space="preserve">des juges majoritaires de la </w:t>
      </w:r>
      <w:r w:rsidR="00C93340">
        <w:rPr>
          <w:lang w:val="fr-CA"/>
        </w:rPr>
        <w:t>C</w:t>
      </w:r>
      <w:r w:rsidRPr="00B9284D">
        <w:rPr>
          <w:lang w:val="fr-CA"/>
        </w:rPr>
        <w:t xml:space="preserve">our d’appel selon laquelle le verdict n’était pas déraisonnable. </w:t>
      </w:r>
      <w:r>
        <w:rPr>
          <w:lang w:val="fr-CA"/>
        </w:rPr>
        <w:t xml:space="preserve"> </w:t>
      </w:r>
      <w:r w:rsidRPr="00B9284D">
        <w:rPr>
          <w:lang w:val="fr-CA"/>
        </w:rPr>
        <w:t>L’appel est par conséquent rejeté</w:t>
      </w:r>
      <w:r>
        <w:rPr>
          <w:smallCaps/>
          <w:lang w:val="fr-CA"/>
        </w:rPr>
        <w:t>.</w:t>
      </w:r>
    </w:p>
    <w:p w:rsidR="004D7D95" w:rsidRPr="00AD39F1" w:rsidRDefault="004D7D95" w:rsidP="004D7D95">
      <w:pPr>
        <w:pStyle w:val="SCCNormalDoubleSpacing"/>
        <w:rPr>
          <w:lang w:val="fr-CA"/>
        </w:rPr>
      </w:pPr>
      <w:r w:rsidRPr="00AD39F1">
        <w:rPr>
          <w:lang w:val="fr-CA"/>
        </w:rPr>
        <w:tab/>
      </w:r>
      <w:r w:rsidR="00D86A08">
        <w:rPr>
          <w:i/>
          <w:lang w:val="fr-CA"/>
        </w:rPr>
        <w:t>Jugement en conséquence</w:t>
      </w:r>
      <w:r w:rsidR="00B64FEF">
        <w:rPr>
          <w:i/>
          <w:lang w:val="fr-CA"/>
        </w:rPr>
        <w:t>.</w:t>
      </w:r>
    </w:p>
    <w:p w:rsidR="00B64FEF" w:rsidRDefault="00B64FEF" w:rsidP="00B64FEF">
      <w:pPr>
        <w:pStyle w:val="SCCLawFirm"/>
        <w:rPr>
          <w:lang w:val="fr-CA"/>
        </w:rPr>
      </w:pPr>
    </w:p>
    <w:p w:rsidR="00B64FEF" w:rsidRPr="00AD39F1" w:rsidRDefault="00B64FEF" w:rsidP="00B64FEF">
      <w:pPr>
        <w:pStyle w:val="SCCLawFirm"/>
        <w:rPr>
          <w:lang w:val="fr-CA"/>
        </w:rPr>
      </w:pPr>
      <w:r w:rsidRPr="00AD39F1">
        <w:rPr>
          <w:lang w:val="fr-CA"/>
        </w:rPr>
        <w:tab/>
        <w:t>Procureurs de l</w:t>
      </w:r>
      <w:r>
        <w:rPr>
          <w:lang w:val="fr-CA"/>
        </w:rPr>
        <w:t>’</w:t>
      </w:r>
      <w:r w:rsidRPr="00AD39F1">
        <w:rPr>
          <w:lang w:val="fr-CA"/>
        </w:rPr>
        <w:t xml:space="preserve">appelant : </w:t>
      </w:r>
      <w:proofErr w:type="spellStart"/>
      <w:r w:rsidRPr="00AD39F1">
        <w:rPr>
          <w:lang w:val="fr-CA"/>
        </w:rPr>
        <w:t>Somba</w:t>
      </w:r>
      <w:proofErr w:type="spellEnd"/>
      <w:r w:rsidRPr="00AD39F1">
        <w:rPr>
          <w:lang w:val="fr-CA"/>
        </w:rPr>
        <w:t xml:space="preserve"> </w:t>
      </w:r>
      <w:proofErr w:type="spellStart"/>
      <w:r w:rsidRPr="00AD39F1">
        <w:rPr>
          <w:lang w:val="fr-CA"/>
        </w:rPr>
        <w:t>K</w:t>
      </w:r>
      <w:r>
        <w:rPr>
          <w:lang w:val="fr-CA"/>
        </w:rPr>
        <w:t>’</w:t>
      </w:r>
      <w:r w:rsidRPr="00AD39F1">
        <w:rPr>
          <w:lang w:val="fr-CA"/>
        </w:rPr>
        <w:t>e</w:t>
      </w:r>
      <w:proofErr w:type="spellEnd"/>
      <w:r w:rsidRPr="00AD39F1">
        <w:rPr>
          <w:lang w:val="fr-CA"/>
        </w:rPr>
        <w:t xml:space="preserve"> Law Office, Yellowknife.</w:t>
      </w:r>
    </w:p>
    <w:p w:rsidR="00B64FEF" w:rsidRPr="00AD39F1" w:rsidRDefault="00B64FEF" w:rsidP="00B64FEF">
      <w:pPr>
        <w:pStyle w:val="SCCLawFirm"/>
        <w:rPr>
          <w:lang w:val="fr-CA"/>
        </w:rPr>
      </w:pPr>
    </w:p>
    <w:p w:rsidR="00B64FEF" w:rsidRPr="00AD39F1" w:rsidRDefault="00B64FEF" w:rsidP="00B64FEF">
      <w:pPr>
        <w:pStyle w:val="SCCLawFirm"/>
        <w:rPr>
          <w:lang w:val="fr-CA"/>
        </w:rPr>
      </w:pPr>
      <w:r w:rsidRPr="00AD39F1">
        <w:rPr>
          <w:lang w:val="fr-CA"/>
        </w:rPr>
        <w:tab/>
        <w:t>Procureur de l</w:t>
      </w:r>
      <w:r>
        <w:rPr>
          <w:lang w:val="fr-CA"/>
        </w:rPr>
        <w:t>’</w:t>
      </w:r>
      <w:r w:rsidRPr="00AD39F1">
        <w:rPr>
          <w:lang w:val="fr-CA"/>
        </w:rPr>
        <w:t xml:space="preserve">intimée : </w:t>
      </w:r>
      <w:r>
        <w:rPr>
          <w:lang w:val="fr-CA"/>
        </w:rPr>
        <w:t>Service des poursuites pénales du</w:t>
      </w:r>
      <w:r w:rsidRPr="00AD39F1">
        <w:rPr>
          <w:lang w:val="fr-CA"/>
        </w:rPr>
        <w:t xml:space="preserve"> Canada, Yellowknife.</w:t>
      </w:r>
    </w:p>
    <w:sectPr w:rsidR="00B64FEF" w:rsidRPr="00AD39F1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F9" w:rsidRDefault="003C66F9">
      <w:r>
        <w:separator/>
      </w:r>
    </w:p>
  </w:endnote>
  <w:endnote w:type="continuationSeparator" w:id="0">
    <w:p w:rsidR="003C66F9" w:rsidRDefault="003C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F9" w:rsidRDefault="003C66F9">
      <w:r>
        <w:separator/>
      </w:r>
    </w:p>
  </w:footnote>
  <w:footnote w:type="continuationSeparator" w:id="0">
    <w:p w:rsidR="003C66F9" w:rsidRDefault="003C6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3FC7"/>
    <w:rsid w:val="00025198"/>
    <w:rsid w:val="00030A73"/>
    <w:rsid w:val="000565B0"/>
    <w:rsid w:val="000578A3"/>
    <w:rsid w:val="000648CC"/>
    <w:rsid w:val="00087496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C66E3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378AA"/>
    <w:rsid w:val="00340A49"/>
    <w:rsid w:val="0035169A"/>
    <w:rsid w:val="0035259D"/>
    <w:rsid w:val="00364B18"/>
    <w:rsid w:val="00385F16"/>
    <w:rsid w:val="003A125D"/>
    <w:rsid w:val="003A4C70"/>
    <w:rsid w:val="003B215F"/>
    <w:rsid w:val="003C66F9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56D80"/>
    <w:rsid w:val="00566AD1"/>
    <w:rsid w:val="00572B7E"/>
    <w:rsid w:val="00583EDE"/>
    <w:rsid w:val="005A6079"/>
    <w:rsid w:val="005E4698"/>
    <w:rsid w:val="00603924"/>
    <w:rsid w:val="00610539"/>
    <w:rsid w:val="00613969"/>
    <w:rsid w:val="00625C35"/>
    <w:rsid w:val="00647E49"/>
    <w:rsid w:val="00656313"/>
    <w:rsid w:val="006565F4"/>
    <w:rsid w:val="00684EEA"/>
    <w:rsid w:val="0069689B"/>
    <w:rsid w:val="006B5FF5"/>
    <w:rsid w:val="006B676F"/>
    <w:rsid w:val="006D61B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6D14"/>
    <w:rsid w:val="00767A0F"/>
    <w:rsid w:val="007904B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024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B660A"/>
    <w:rsid w:val="008C01DA"/>
    <w:rsid w:val="008D735B"/>
    <w:rsid w:val="008F2674"/>
    <w:rsid w:val="008F78E9"/>
    <w:rsid w:val="009078B2"/>
    <w:rsid w:val="009179F9"/>
    <w:rsid w:val="00917C7A"/>
    <w:rsid w:val="0093158C"/>
    <w:rsid w:val="00933E5E"/>
    <w:rsid w:val="00935218"/>
    <w:rsid w:val="00937C52"/>
    <w:rsid w:val="009403F3"/>
    <w:rsid w:val="009555B7"/>
    <w:rsid w:val="009567AA"/>
    <w:rsid w:val="009602C9"/>
    <w:rsid w:val="00967374"/>
    <w:rsid w:val="00980A3B"/>
    <w:rsid w:val="009A343A"/>
    <w:rsid w:val="009B2F23"/>
    <w:rsid w:val="009B57B3"/>
    <w:rsid w:val="009D2920"/>
    <w:rsid w:val="009D5AEB"/>
    <w:rsid w:val="009F0E33"/>
    <w:rsid w:val="009F1E9D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B670D"/>
    <w:rsid w:val="00AD39F1"/>
    <w:rsid w:val="00AF03C5"/>
    <w:rsid w:val="00B000D8"/>
    <w:rsid w:val="00B00F75"/>
    <w:rsid w:val="00B0428D"/>
    <w:rsid w:val="00B145B6"/>
    <w:rsid w:val="00B279EB"/>
    <w:rsid w:val="00B50C81"/>
    <w:rsid w:val="00B557F8"/>
    <w:rsid w:val="00B64FEF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E68F6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93340"/>
    <w:rsid w:val="00CA6391"/>
    <w:rsid w:val="00CD305B"/>
    <w:rsid w:val="00CE036E"/>
    <w:rsid w:val="00CE3171"/>
    <w:rsid w:val="00CF1601"/>
    <w:rsid w:val="00D0172F"/>
    <w:rsid w:val="00D01E33"/>
    <w:rsid w:val="00D068A7"/>
    <w:rsid w:val="00D17476"/>
    <w:rsid w:val="00D32086"/>
    <w:rsid w:val="00D37A3F"/>
    <w:rsid w:val="00D4431D"/>
    <w:rsid w:val="00D4667A"/>
    <w:rsid w:val="00D63A1C"/>
    <w:rsid w:val="00D7516F"/>
    <w:rsid w:val="00D86A08"/>
    <w:rsid w:val="00D95F8E"/>
    <w:rsid w:val="00DA0590"/>
    <w:rsid w:val="00DA4407"/>
    <w:rsid w:val="00DC1739"/>
    <w:rsid w:val="00DC1788"/>
    <w:rsid w:val="00DE319C"/>
    <w:rsid w:val="00DF0CA8"/>
    <w:rsid w:val="00DF2B48"/>
    <w:rsid w:val="00DF49A7"/>
    <w:rsid w:val="00E04896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0AF7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44FA3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table" w:styleId="TableGrid">
    <w:name w:val="Table Grid"/>
    <w:basedOn w:val="TableNormal"/>
    <w:uiPriority w:val="59"/>
    <w:rsid w:val="008D735B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2014-06-24T21:27:00Z</dcterms:created>
  <dcterms:modified xsi:type="dcterms:W3CDTF">2014-06-24T21:27:00Z</dcterms:modified>
</cp:coreProperties>
</file>