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1C" w:rsidRPr="000D2A1C" w:rsidRDefault="000D2A1C" w:rsidP="000D2A1C">
      <w:pPr>
        <w:tabs>
          <w:tab w:val="center" w:pos="4680"/>
          <w:tab w:val="right" w:pos="9360"/>
        </w:tabs>
        <w:jc w:val="center"/>
        <w:rPr>
          <w:rFonts w:eastAsiaTheme="minorHAnsi" w:cstheme="minorBidi"/>
          <w:szCs w:val="24"/>
          <w:lang w:val="fr-CA" w:eastAsia="en-US"/>
        </w:rPr>
      </w:pPr>
      <w:r w:rsidRPr="000D2A1C">
        <w:rPr>
          <w:rFonts w:eastAsiaTheme="minorHAnsi" w:cstheme="minorBidi"/>
          <w:szCs w:val="24"/>
          <w:lang w:val="fr-CA" w:eastAsia="en-US"/>
        </w:rPr>
        <w:object w:dxaOrig="1365" w:dyaOrig="1440">
          <v:shape id="_x0000_i1032" type="#_x0000_t75" style="width:61.4pt;height:64.4pt" o:ole="">
            <v:imagedata r:id="rId8" o:title=""/>
          </v:shape>
          <o:OLEObject Type="Embed" ProgID="Presentations.Drawing.13" ShapeID="_x0000_i1032" DrawAspect="Content" ObjectID="_1465817513" r:id="rId9"/>
        </w:object>
      </w:r>
    </w:p>
    <w:p w:rsidR="000D2A1C" w:rsidRPr="000D2A1C" w:rsidRDefault="000D2A1C" w:rsidP="000D2A1C">
      <w:pPr>
        <w:tabs>
          <w:tab w:val="center" w:pos="4680"/>
          <w:tab w:val="right" w:pos="9360"/>
        </w:tabs>
        <w:rPr>
          <w:rFonts w:eastAsiaTheme="minorHAnsi" w:cstheme="minorBidi"/>
          <w:szCs w:val="24"/>
          <w:lang w:val="fr-CA" w:eastAsia="en-US"/>
        </w:rPr>
      </w:pPr>
    </w:p>
    <w:p w:rsidR="000D2A1C" w:rsidRPr="000D2A1C" w:rsidRDefault="000D2A1C" w:rsidP="000D2A1C">
      <w:pPr>
        <w:jc w:val="center"/>
        <w:rPr>
          <w:rFonts w:eastAsiaTheme="minorHAnsi" w:cstheme="minorBidi"/>
          <w:b/>
          <w:szCs w:val="24"/>
          <w:lang w:val="fr-CA" w:eastAsia="en-US"/>
        </w:rPr>
      </w:pPr>
      <w:r w:rsidRPr="000D2A1C">
        <w:rPr>
          <w:rFonts w:eastAsiaTheme="minorHAnsi" w:cstheme="minorBidi"/>
          <w:b/>
          <w:szCs w:val="24"/>
          <w:lang w:val="fr-CA" w:eastAsia="en-US"/>
        </w:rPr>
        <w:t>COUR SUPRÊME DU CANADA</w:t>
      </w:r>
    </w:p>
    <w:p w:rsidR="000D2A1C" w:rsidRPr="000D2A1C" w:rsidRDefault="000D2A1C" w:rsidP="000D2A1C">
      <w:pPr>
        <w:rPr>
          <w:rFonts w:eastAsiaTheme="minorHAnsi" w:cstheme="minorBidi"/>
          <w:szCs w:val="24"/>
          <w:lang w:val="fr-CA"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0D2A1C" w:rsidRPr="000D2A1C" w:rsidTr="00D84EB0">
        <w:trPr>
          <w:cantSplit/>
        </w:trPr>
        <w:tc>
          <w:tcPr>
            <w:tcW w:w="6768" w:type="dxa"/>
          </w:tcPr>
          <w:p w:rsidR="000D2A1C" w:rsidRPr="000D2A1C" w:rsidRDefault="000D2A1C" w:rsidP="000D2A1C">
            <w:pPr>
              <w:rPr>
                <w:lang w:val="fr-CA"/>
              </w:rPr>
            </w:pPr>
            <w:r w:rsidRPr="000D2A1C">
              <w:rPr>
                <w:b/>
                <w:smallCaps/>
                <w:lang w:val="fr-CA"/>
              </w:rPr>
              <w:t>Référence :</w:t>
            </w:r>
            <w:r w:rsidRPr="000D2A1C">
              <w:rPr>
                <w:lang w:val="fr-CA"/>
              </w:rPr>
              <w:t xml:space="preserve"> Bernard </w:t>
            </w:r>
            <w:r w:rsidRPr="000D2A1C">
              <w:rPr>
                <w:i/>
                <w:lang w:val="fr-CA"/>
              </w:rPr>
              <w:t>c.</w:t>
            </w:r>
            <w:r w:rsidRPr="000D2A1C">
              <w:rPr>
                <w:lang w:val="fr-CA"/>
              </w:rPr>
              <w:t xml:space="preserve"> Canada (Procureur général), 2014 CSC 13, [2014] 1 R.C.S. 227</w:t>
            </w:r>
          </w:p>
        </w:tc>
        <w:tc>
          <w:tcPr>
            <w:tcW w:w="2808" w:type="dxa"/>
          </w:tcPr>
          <w:p w:rsidR="000D2A1C" w:rsidRPr="000D2A1C" w:rsidRDefault="000D2A1C" w:rsidP="000D2A1C">
            <w:pPr>
              <w:rPr>
                <w:lang w:val="fr-CA"/>
              </w:rPr>
            </w:pPr>
            <w:r w:rsidRPr="000D2A1C">
              <w:rPr>
                <w:b/>
                <w:smallCaps/>
                <w:lang w:val="fr-CA"/>
              </w:rPr>
              <w:t>Date :</w:t>
            </w:r>
            <w:r w:rsidRPr="000D2A1C">
              <w:rPr>
                <w:lang w:val="fr-CA"/>
              </w:rPr>
              <w:t xml:space="preserve"> 20140207</w:t>
            </w:r>
          </w:p>
          <w:p w:rsidR="000D2A1C" w:rsidRPr="000D2A1C" w:rsidRDefault="000D2A1C" w:rsidP="000D2A1C">
            <w:pPr>
              <w:rPr>
                <w:lang w:val="fr-CA"/>
              </w:rPr>
            </w:pPr>
            <w:r w:rsidRPr="000D2A1C">
              <w:rPr>
                <w:b/>
                <w:smallCaps/>
                <w:lang w:val="fr-CA"/>
              </w:rPr>
              <w:t>Dossier :</w:t>
            </w:r>
            <w:r w:rsidRPr="000D2A1C">
              <w:rPr>
                <w:lang w:val="fr-CA"/>
              </w:rPr>
              <w:t xml:space="preserve"> 34819</w:t>
            </w:r>
          </w:p>
        </w:tc>
      </w:tr>
    </w:tbl>
    <w:p w:rsidR="000D2A1C" w:rsidRPr="000D2A1C" w:rsidRDefault="000D2A1C" w:rsidP="000D2A1C">
      <w:pPr>
        <w:rPr>
          <w:rFonts w:eastAsiaTheme="minorHAnsi" w:cstheme="minorBidi"/>
          <w:szCs w:val="24"/>
          <w:lang w:val="fr-CA" w:eastAsia="en-US"/>
        </w:rPr>
      </w:pPr>
    </w:p>
    <w:p w:rsidR="000D2A1C" w:rsidRPr="000D2A1C" w:rsidRDefault="000D2A1C" w:rsidP="000D2A1C">
      <w:pPr>
        <w:rPr>
          <w:rFonts w:eastAsiaTheme="minorHAnsi" w:cstheme="minorBidi"/>
          <w:b/>
          <w:smallCaps/>
          <w:szCs w:val="24"/>
          <w:lang w:val="fr-CA" w:eastAsia="en-US"/>
        </w:rPr>
      </w:pPr>
      <w:r w:rsidRPr="000D2A1C">
        <w:rPr>
          <w:rFonts w:eastAsiaTheme="minorHAnsi" w:cstheme="minorBidi"/>
          <w:b/>
          <w:smallCaps/>
          <w:szCs w:val="24"/>
          <w:lang w:val="fr-CA" w:eastAsia="en-US"/>
        </w:rPr>
        <w:t>Entre :</w:t>
      </w:r>
    </w:p>
    <w:p w:rsidR="000D2A1C" w:rsidRPr="000D2A1C" w:rsidRDefault="000D2A1C" w:rsidP="000D2A1C">
      <w:pPr>
        <w:jc w:val="center"/>
        <w:rPr>
          <w:rFonts w:eastAsiaTheme="minorHAnsi" w:cstheme="minorBidi"/>
          <w:b/>
          <w:szCs w:val="24"/>
          <w:lang w:val="fr-CA" w:eastAsia="en-US"/>
        </w:rPr>
      </w:pPr>
      <w:r w:rsidRPr="000D2A1C">
        <w:rPr>
          <w:rFonts w:eastAsiaTheme="minorHAnsi" w:cstheme="minorBidi"/>
          <w:b/>
          <w:szCs w:val="24"/>
          <w:lang w:val="fr-CA" w:eastAsia="en-US"/>
        </w:rPr>
        <w:t>Elizabeth Bernard</w:t>
      </w:r>
    </w:p>
    <w:p w:rsidR="000D2A1C" w:rsidRPr="000D2A1C" w:rsidRDefault="000D2A1C" w:rsidP="000D2A1C">
      <w:pPr>
        <w:jc w:val="center"/>
        <w:rPr>
          <w:rFonts w:eastAsiaTheme="minorHAnsi" w:cstheme="minorBidi"/>
          <w:szCs w:val="24"/>
          <w:lang w:val="fr-CA" w:eastAsia="en-US"/>
        </w:rPr>
      </w:pPr>
      <w:r w:rsidRPr="000D2A1C">
        <w:rPr>
          <w:rFonts w:eastAsiaTheme="minorHAnsi" w:cstheme="minorBidi"/>
          <w:szCs w:val="24"/>
          <w:lang w:val="fr-CA" w:eastAsia="en-US"/>
        </w:rPr>
        <w:t>Appelante</w:t>
      </w:r>
    </w:p>
    <w:p w:rsidR="000D2A1C" w:rsidRPr="000D2A1C" w:rsidRDefault="000D2A1C" w:rsidP="000D2A1C">
      <w:pPr>
        <w:jc w:val="center"/>
        <w:rPr>
          <w:rFonts w:eastAsiaTheme="minorHAnsi" w:cstheme="minorBidi"/>
          <w:szCs w:val="24"/>
          <w:lang w:val="fr-CA" w:eastAsia="en-US"/>
        </w:rPr>
      </w:pPr>
      <w:proofErr w:type="gramStart"/>
      <w:r w:rsidRPr="000D2A1C">
        <w:rPr>
          <w:rFonts w:eastAsiaTheme="minorHAnsi" w:cstheme="minorBidi"/>
          <w:szCs w:val="24"/>
          <w:lang w:val="fr-CA" w:eastAsia="en-US"/>
        </w:rPr>
        <w:t>et</w:t>
      </w:r>
      <w:proofErr w:type="gramEnd"/>
    </w:p>
    <w:p w:rsidR="000D2A1C" w:rsidRPr="000D2A1C" w:rsidRDefault="000D2A1C" w:rsidP="000D2A1C">
      <w:pPr>
        <w:jc w:val="center"/>
        <w:rPr>
          <w:rFonts w:eastAsiaTheme="minorHAnsi" w:cstheme="minorBidi"/>
          <w:b/>
          <w:szCs w:val="24"/>
          <w:lang w:val="fr-CA" w:eastAsia="en-US"/>
        </w:rPr>
      </w:pPr>
      <w:r w:rsidRPr="000D2A1C">
        <w:rPr>
          <w:rFonts w:eastAsiaTheme="minorHAnsi" w:cstheme="minorBidi"/>
          <w:b/>
          <w:szCs w:val="24"/>
          <w:lang w:val="fr-CA" w:eastAsia="en-US"/>
        </w:rPr>
        <w:t xml:space="preserve">Procureur général du Canada et </w:t>
      </w:r>
    </w:p>
    <w:p w:rsidR="000D2A1C" w:rsidRPr="000D2A1C" w:rsidRDefault="000D2A1C" w:rsidP="000D2A1C">
      <w:pPr>
        <w:jc w:val="center"/>
        <w:rPr>
          <w:rFonts w:eastAsiaTheme="minorHAnsi" w:cstheme="minorBidi"/>
          <w:b/>
          <w:szCs w:val="24"/>
          <w:lang w:val="fr-CA" w:eastAsia="en-US"/>
        </w:rPr>
      </w:pPr>
      <w:r w:rsidRPr="000D2A1C">
        <w:rPr>
          <w:rFonts w:eastAsiaTheme="minorHAnsi" w:cstheme="minorBidi"/>
          <w:b/>
          <w:szCs w:val="24"/>
          <w:lang w:val="fr-CA" w:eastAsia="en-US"/>
        </w:rPr>
        <w:t>Institut professionnel de la fonction publique du Canada</w:t>
      </w:r>
    </w:p>
    <w:p w:rsidR="000D2A1C" w:rsidRPr="000D2A1C" w:rsidRDefault="000D2A1C" w:rsidP="000D2A1C">
      <w:pPr>
        <w:jc w:val="center"/>
        <w:rPr>
          <w:rFonts w:eastAsiaTheme="minorHAnsi" w:cstheme="minorBidi"/>
          <w:szCs w:val="24"/>
          <w:lang w:val="fr-CA" w:eastAsia="en-US"/>
        </w:rPr>
      </w:pPr>
      <w:r w:rsidRPr="000D2A1C">
        <w:rPr>
          <w:rFonts w:eastAsiaTheme="minorHAnsi" w:cstheme="minorBidi"/>
          <w:szCs w:val="24"/>
          <w:lang w:val="fr-CA" w:eastAsia="en-US"/>
        </w:rPr>
        <w:t>Intimés</w:t>
      </w:r>
    </w:p>
    <w:p w:rsidR="000D2A1C" w:rsidRPr="000D2A1C" w:rsidRDefault="000D2A1C" w:rsidP="000D2A1C">
      <w:pPr>
        <w:jc w:val="center"/>
        <w:rPr>
          <w:rFonts w:eastAsiaTheme="minorHAnsi" w:cstheme="minorBidi"/>
          <w:szCs w:val="24"/>
          <w:lang w:val="fr-CA" w:eastAsia="en-US"/>
        </w:rPr>
      </w:pPr>
      <w:r w:rsidRPr="000D2A1C">
        <w:rPr>
          <w:rFonts w:eastAsiaTheme="minorHAnsi" w:cstheme="minorBidi"/>
          <w:szCs w:val="24"/>
          <w:lang w:val="fr-CA" w:eastAsia="en-US"/>
        </w:rPr>
        <w:t>- et -</w:t>
      </w:r>
    </w:p>
    <w:p w:rsidR="000D2A1C" w:rsidRPr="000D2A1C" w:rsidRDefault="000D2A1C" w:rsidP="000D2A1C">
      <w:pPr>
        <w:jc w:val="center"/>
        <w:rPr>
          <w:rFonts w:eastAsiaTheme="minorHAnsi" w:cstheme="minorBidi"/>
          <w:b/>
          <w:szCs w:val="24"/>
          <w:lang w:val="fr-CA" w:eastAsia="en-US"/>
        </w:rPr>
      </w:pPr>
      <w:r w:rsidRPr="000D2A1C">
        <w:rPr>
          <w:rFonts w:eastAsiaTheme="minorHAnsi" w:cstheme="minorBidi"/>
          <w:b/>
          <w:szCs w:val="24"/>
          <w:lang w:val="fr-CA" w:eastAsia="en-US"/>
        </w:rPr>
        <w:t xml:space="preserve">Procureur général de l’Ontario, procureur général de la Colombie-Britannique, </w:t>
      </w:r>
    </w:p>
    <w:p w:rsidR="000D2A1C" w:rsidRPr="000D2A1C" w:rsidRDefault="000D2A1C" w:rsidP="000D2A1C">
      <w:pPr>
        <w:jc w:val="center"/>
        <w:rPr>
          <w:rFonts w:eastAsiaTheme="minorHAnsi" w:cstheme="minorBidi"/>
          <w:b/>
          <w:szCs w:val="24"/>
          <w:lang w:val="fr-CA" w:eastAsia="en-US"/>
        </w:rPr>
      </w:pPr>
      <w:proofErr w:type="gramStart"/>
      <w:r w:rsidRPr="000D2A1C">
        <w:rPr>
          <w:rFonts w:eastAsiaTheme="minorHAnsi" w:cstheme="minorBidi"/>
          <w:b/>
          <w:szCs w:val="24"/>
          <w:lang w:val="fr-CA" w:eastAsia="en-US"/>
        </w:rPr>
        <w:t>procureur</w:t>
      </w:r>
      <w:proofErr w:type="gramEnd"/>
      <w:r w:rsidRPr="000D2A1C">
        <w:rPr>
          <w:rFonts w:eastAsiaTheme="minorHAnsi" w:cstheme="minorBidi"/>
          <w:b/>
          <w:szCs w:val="24"/>
          <w:lang w:val="fr-CA" w:eastAsia="en-US"/>
        </w:rPr>
        <w:t xml:space="preserve"> général de l’Alberta, Alliance de la Fonction publique du Canada, </w:t>
      </w:r>
    </w:p>
    <w:p w:rsidR="000D2A1C" w:rsidRPr="000D2A1C" w:rsidRDefault="000D2A1C" w:rsidP="000D2A1C">
      <w:pPr>
        <w:jc w:val="center"/>
        <w:rPr>
          <w:rFonts w:eastAsiaTheme="minorHAnsi" w:cstheme="minorBidi"/>
          <w:b/>
          <w:szCs w:val="24"/>
          <w:lang w:val="fr-CA" w:eastAsia="en-US"/>
        </w:rPr>
      </w:pPr>
      <w:r w:rsidRPr="000D2A1C">
        <w:rPr>
          <w:rFonts w:eastAsiaTheme="minorHAnsi" w:cstheme="minorBidi"/>
          <w:b/>
          <w:szCs w:val="24"/>
          <w:lang w:val="fr-CA" w:eastAsia="en-US"/>
        </w:rPr>
        <w:t xml:space="preserve">Commissaire à la protection de la vie privée du Canada, </w:t>
      </w:r>
    </w:p>
    <w:p w:rsidR="000D2A1C" w:rsidRPr="000D2A1C" w:rsidRDefault="000D2A1C" w:rsidP="000D2A1C">
      <w:pPr>
        <w:jc w:val="center"/>
        <w:rPr>
          <w:rFonts w:eastAsiaTheme="minorHAnsi" w:cstheme="minorBidi"/>
          <w:b/>
          <w:szCs w:val="24"/>
          <w:lang w:val="fr-CA" w:eastAsia="en-US"/>
        </w:rPr>
      </w:pPr>
      <w:r w:rsidRPr="000D2A1C">
        <w:rPr>
          <w:rFonts w:eastAsiaTheme="minorHAnsi" w:cstheme="minorBidi"/>
          <w:b/>
          <w:szCs w:val="24"/>
          <w:lang w:val="fr-CA" w:eastAsia="en-US"/>
        </w:rPr>
        <w:t xml:space="preserve">Association canadienne des avocats d’employeurs, </w:t>
      </w:r>
    </w:p>
    <w:p w:rsidR="000D2A1C" w:rsidRPr="000D2A1C" w:rsidRDefault="000D2A1C" w:rsidP="000D2A1C">
      <w:pPr>
        <w:jc w:val="center"/>
        <w:rPr>
          <w:rFonts w:eastAsiaTheme="minorHAnsi" w:cstheme="minorBidi"/>
          <w:b/>
          <w:szCs w:val="24"/>
          <w:lang w:val="fr-CA" w:eastAsia="en-US"/>
        </w:rPr>
      </w:pPr>
      <w:r w:rsidRPr="000D2A1C">
        <w:rPr>
          <w:rFonts w:eastAsiaTheme="minorHAnsi" w:cstheme="minorBidi"/>
          <w:b/>
          <w:szCs w:val="24"/>
          <w:lang w:val="fr-CA" w:eastAsia="en-US"/>
        </w:rPr>
        <w:t xml:space="preserve">Association canadienne des libertés civiles, Canadian Constitution </w:t>
      </w:r>
      <w:proofErr w:type="spellStart"/>
      <w:r w:rsidRPr="000D2A1C">
        <w:rPr>
          <w:rFonts w:eastAsiaTheme="minorHAnsi" w:cstheme="minorBidi"/>
          <w:b/>
          <w:szCs w:val="24"/>
          <w:lang w:val="fr-CA" w:eastAsia="en-US"/>
        </w:rPr>
        <w:t>Foundation</w:t>
      </w:r>
      <w:proofErr w:type="spellEnd"/>
      <w:r w:rsidRPr="000D2A1C">
        <w:rPr>
          <w:rFonts w:eastAsiaTheme="minorHAnsi" w:cstheme="minorBidi"/>
          <w:b/>
          <w:szCs w:val="24"/>
          <w:lang w:val="fr-CA" w:eastAsia="en-US"/>
        </w:rPr>
        <w:t xml:space="preserve">, </w:t>
      </w:r>
    </w:p>
    <w:p w:rsidR="000D2A1C" w:rsidRPr="000D2A1C" w:rsidRDefault="000D2A1C" w:rsidP="000D2A1C">
      <w:pPr>
        <w:jc w:val="center"/>
        <w:rPr>
          <w:rFonts w:eastAsiaTheme="minorHAnsi" w:cstheme="minorBidi"/>
          <w:b/>
          <w:szCs w:val="24"/>
          <w:lang w:val="fr-CA" w:eastAsia="en-US"/>
        </w:rPr>
      </w:pPr>
      <w:r w:rsidRPr="000D2A1C">
        <w:rPr>
          <w:rFonts w:eastAsiaTheme="minorHAnsi" w:cstheme="minorBidi"/>
          <w:b/>
          <w:szCs w:val="24"/>
          <w:lang w:val="fr-CA" w:eastAsia="en-US"/>
        </w:rPr>
        <w:t xml:space="preserve">Alberta </w:t>
      </w:r>
      <w:proofErr w:type="spellStart"/>
      <w:r w:rsidRPr="000D2A1C">
        <w:rPr>
          <w:rFonts w:eastAsiaTheme="minorHAnsi" w:cstheme="minorBidi"/>
          <w:b/>
          <w:szCs w:val="24"/>
          <w:lang w:val="fr-CA" w:eastAsia="en-US"/>
        </w:rPr>
        <w:t>Federation</w:t>
      </w:r>
      <w:proofErr w:type="spellEnd"/>
      <w:r w:rsidRPr="000D2A1C">
        <w:rPr>
          <w:rFonts w:eastAsiaTheme="minorHAnsi" w:cstheme="minorBidi"/>
          <w:b/>
          <w:szCs w:val="24"/>
          <w:lang w:val="fr-CA" w:eastAsia="en-US"/>
        </w:rPr>
        <w:t xml:space="preserve"> of Labour, Coalition of British Columbia Businesses, </w:t>
      </w:r>
      <w:proofErr w:type="spellStart"/>
      <w:r w:rsidRPr="000D2A1C">
        <w:rPr>
          <w:rFonts w:eastAsiaTheme="minorHAnsi" w:cstheme="minorBidi"/>
          <w:b/>
          <w:szCs w:val="24"/>
          <w:lang w:val="fr-CA" w:eastAsia="en-US"/>
        </w:rPr>
        <w:t>Merit</w:t>
      </w:r>
      <w:proofErr w:type="spellEnd"/>
      <w:r w:rsidRPr="000D2A1C">
        <w:rPr>
          <w:rFonts w:eastAsiaTheme="minorHAnsi" w:cstheme="minorBidi"/>
          <w:b/>
          <w:szCs w:val="24"/>
          <w:lang w:val="fr-CA" w:eastAsia="en-US"/>
        </w:rPr>
        <w:t xml:space="preserve"> Canada et Commission des relations de travail dans la fonction publique</w:t>
      </w:r>
    </w:p>
    <w:p w:rsidR="000D2A1C" w:rsidRPr="000D2A1C" w:rsidRDefault="000D2A1C" w:rsidP="000D2A1C">
      <w:pPr>
        <w:jc w:val="center"/>
        <w:rPr>
          <w:rFonts w:eastAsiaTheme="minorHAnsi" w:cstheme="minorBidi"/>
          <w:szCs w:val="24"/>
          <w:lang w:val="fr-CA" w:eastAsia="en-US"/>
        </w:rPr>
      </w:pPr>
      <w:r w:rsidRPr="000D2A1C">
        <w:rPr>
          <w:rFonts w:eastAsiaTheme="minorHAnsi" w:cstheme="minorBidi"/>
          <w:szCs w:val="24"/>
          <w:lang w:val="fr-CA" w:eastAsia="en-US"/>
        </w:rPr>
        <w:t>Intervenants</w:t>
      </w:r>
    </w:p>
    <w:p w:rsidR="000D2A1C" w:rsidRPr="000D2A1C" w:rsidRDefault="000D2A1C" w:rsidP="000D2A1C">
      <w:pPr>
        <w:rPr>
          <w:rFonts w:eastAsiaTheme="minorHAnsi" w:cstheme="minorBidi"/>
          <w:szCs w:val="24"/>
          <w:lang w:val="fr-CA" w:eastAsia="en-US"/>
        </w:rPr>
      </w:pPr>
    </w:p>
    <w:p w:rsidR="000D2A1C" w:rsidRPr="000D2A1C" w:rsidRDefault="000D2A1C" w:rsidP="000D2A1C">
      <w:pPr>
        <w:rPr>
          <w:rFonts w:eastAsiaTheme="minorHAnsi" w:cstheme="minorBidi"/>
          <w:szCs w:val="24"/>
          <w:lang w:val="fr-CA" w:eastAsia="en-US"/>
        </w:rPr>
      </w:pPr>
    </w:p>
    <w:p w:rsidR="000D2A1C" w:rsidRPr="000D2A1C" w:rsidRDefault="000D2A1C" w:rsidP="000D2A1C">
      <w:pPr>
        <w:jc w:val="center"/>
        <w:rPr>
          <w:rFonts w:eastAsiaTheme="minorHAnsi" w:cstheme="minorBidi"/>
          <w:b/>
          <w:smallCaps/>
          <w:szCs w:val="24"/>
          <w:lang w:val="fr-CA" w:eastAsia="en-US"/>
        </w:rPr>
      </w:pPr>
      <w:r w:rsidRPr="000D2A1C">
        <w:rPr>
          <w:rFonts w:eastAsiaTheme="minorHAnsi" w:cstheme="minorBidi"/>
          <w:b/>
          <w:smallCaps/>
          <w:szCs w:val="24"/>
          <w:lang w:val="fr-CA" w:eastAsia="en-US"/>
        </w:rPr>
        <w:t>Traduction française officielle</w:t>
      </w:r>
    </w:p>
    <w:p w:rsidR="000D2A1C" w:rsidRPr="000D2A1C" w:rsidRDefault="000D2A1C" w:rsidP="000D2A1C">
      <w:pPr>
        <w:rPr>
          <w:rFonts w:eastAsiaTheme="minorHAnsi" w:cstheme="minorBidi"/>
          <w:szCs w:val="24"/>
          <w:lang w:val="fr-CA" w:eastAsia="en-US"/>
        </w:rPr>
      </w:pPr>
    </w:p>
    <w:p w:rsidR="000D2A1C" w:rsidRPr="000D2A1C" w:rsidRDefault="000D2A1C" w:rsidP="000D2A1C">
      <w:pPr>
        <w:rPr>
          <w:rFonts w:eastAsiaTheme="minorHAnsi" w:cstheme="minorBidi"/>
          <w:szCs w:val="24"/>
          <w:lang w:val="fr-CA" w:eastAsia="en-US"/>
        </w:rPr>
      </w:pPr>
      <w:r w:rsidRPr="000D2A1C">
        <w:rPr>
          <w:rFonts w:eastAsiaTheme="minorHAnsi" w:cstheme="minorBidi"/>
          <w:b/>
          <w:smallCaps/>
          <w:szCs w:val="24"/>
          <w:lang w:val="fr-CA" w:eastAsia="en-US"/>
        </w:rPr>
        <w:t>Coram :</w:t>
      </w:r>
      <w:r w:rsidRPr="000D2A1C">
        <w:rPr>
          <w:rFonts w:eastAsiaTheme="minorHAnsi" w:cstheme="minorBidi"/>
          <w:szCs w:val="24"/>
          <w:lang w:val="fr-CA" w:eastAsia="en-US"/>
        </w:rPr>
        <w:t xml:space="preserve"> Les juges LeBel, Abella, </w:t>
      </w:r>
      <w:proofErr w:type="spellStart"/>
      <w:r w:rsidRPr="000D2A1C">
        <w:rPr>
          <w:rFonts w:eastAsiaTheme="minorHAnsi" w:cstheme="minorBidi"/>
          <w:szCs w:val="24"/>
          <w:lang w:val="fr-CA" w:eastAsia="en-US"/>
        </w:rPr>
        <w:t>Rothstein</w:t>
      </w:r>
      <w:proofErr w:type="spellEnd"/>
      <w:r w:rsidRPr="000D2A1C">
        <w:rPr>
          <w:rFonts w:eastAsiaTheme="minorHAnsi" w:cstheme="minorBidi"/>
          <w:szCs w:val="24"/>
          <w:lang w:val="fr-CA" w:eastAsia="en-US"/>
        </w:rPr>
        <w:t xml:space="preserve">, Cromwell, </w:t>
      </w:r>
      <w:proofErr w:type="spellStart"/>
      <w:r w:rsidRPr="000D2A1C">
        <w:rPr>
          <w:rFonts w:eastAsiaTheme="minorHAnsi" w:cstheme="minorBidi"/>
          <w:szCs w:val="24"/>
          <w:lang w:val="fr-CA" w:eastAsia="en-US"/>
        </w:rPr>
        <w:t>Moldaver</w:t>
      </w:r>
      <w:proofErr w:type="spellEnd"/>
      <w:r w:rsidRPr="000D2A1C">
        <w:rPr>
          <w:rFonts w:eastAsiaTheme="minorHAnsi" w:cstheme="minorBidi"/>
          <w:szCs w:val="24"/>
          <w:lang w:val="fr-CA" w:eastAsia="en-US"/>
        </w:rPr>
        <w:t xml:space="preserve">, </w:t>
      </w:r>
      <w:proofErr w:type="spellStart"/>
      <w:r w:rsidRPr="000D2A1C">
        <w:rPr>
          <w:rFonts w:eastAsiaTheme="minorHAnsi" w:cstheme="minorBidi"/>
          <w:szCs w:val="24"/>
          <w:lang w:val="fr-CA" w:eastAsia="en-US"/>
        </w:rPr>
        <w:t>Karakatsanis</w:t>
      </w:r>
      <w:proofErr w:type="spellEnd"/>
      <w:r w:rsidRPr="000D2A1C">
        <w:rPr>
          <w:rFonts w:eastAsiaTheme="minorHAnsi" w:cstheme="minorBidi"/>
          <w:szCs w:val="24"/>
          <w:lang w:val="fr-CA" w:eastAsia="en-US"/>
        </w:rPr>
        <w:t xml:space="preserve"> et Wagner</w:t>
      </w:r>
    </w:p>
    <w:p w:rsidR="000D2A1C" w:rsidRPr="000D2A1C" w:rsidRDefault="000D2A1C" w:rsidP="000D2A1C">
      <w:pPr>
        <w:rPr>
          <w:rFonts w:eastAsiaTheme="minorHAnsi" w:cstheme="minorBidi"/>
          <w:szCs w:val="24"/>
          <w:lang w:val="fr-CA"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0D2A1C" w:rsidRPr="000D2A1C" w:rsidTr="00D84EB0">
        <w:trPr>
          <w:cantSplit/>
        </w:trPr>
        <w:tc>
          <w:tcPr>
            <w:tcW w:w="3618" w:type="dxa"/>
          </w:tcPr>
          <w:p w:rsidR="000D2A1C" w:rsidRPr="000D2A1C" w:rsidRDefault="000D2A1C" w:rsidP="000D2A1C">
            <w:pPr>
              <w:rPr>
                <w:b/>
                <w:smallCaps/>
                <w:lang w:val="fr-CA"/>
              </w:rPr>
            </w:pPr>
            <w:r w:rsidRPr="000D2A1C">
              <w:rPr>
                <w:b/>
                <w:smallCaps/>
                <w:lang w:val="fr-CA"/>
              </w:rPr>
              <w:t>Motifs de jugement :</w:t>
            </w:r>
          </w:p>
          <w:p w:rsidR="000D2A1C" w:rsidRPr="000D2A1C" w:rsidRDefault="000D2A1C" w:rsidP="000D2A1C">
            <w:pPr>
              <w:rPr>
                <w:b/>
                <w:smallCaps/>
                <w:lang w:val="fr-CA"/>
              </w:rPr>
            </w:pPr>
            <w:r w:rsidRPr="000D2A1C">
              <w:rPr>
                <w:lang w:val="fr-CA"/>
              </w:rPr>
              <w:t>(par. 1 à 42)</w:t>
            </w:r>
          </w:p>
          <w:p w:rsidR="000D2A1C" w:rsidRPr="000D2A1C" w:rsidRDefault="000D2A1C" w:rsidP="000D2A1C">
            <w:pPr>
              <w:rPr>
                <w:b/>
                <w:smallCaps/>
                <w:lang w:val="fr-CA"/>
              </w:rPr>
            </w:pPr>
          </w:p>
          <w:p w:rsidR="000D2A1C" w:rsidRPr="000D2A1C" w:rsidRDefault="000D2A1C" w:rsidP="000D2A1C">
            <w:pPr>
              <w:rPr>
                <w:b/>
                <w:smallCaps/>
                <w:lang w:val="fr-CA"/>
              </w:rPr>
            </w:pPr>
            <w:r w:rsidRPr="000D2A1C">
              <w:rPr>
                <w:b/>
                <w:smallCaps/>
                <w:lang w:val="fr-CA"/>
              </w:rPr>
              <w:t>Motifs dissidents en partie :</w:t>
            </w:r>
          </w:p>
          <w:p w:rsidR="000D2A1C" w:rsidRPr="000D2A1C" w:rsidRDefault="000D2A1C" w:rsidP="000D2A1C">
            <w:pPr>
              <w:rPr>
                <w:lang w:val="fr-CA"/>
              </w:rPr>
            </w:pPr>
            <w:r w:rsidRPr="000D2A1C">
              <w:rPr>
                <w:lang w:val="fr-CA"/>
              </w:rPr>
              <w:t>(par. 43 à 114)</w:t>
            </w:r>
          </w:p>
        </w:tc>
        <w:tc>
          <w:tcPr>
            <w:tcW w:w="5958" w:type="dxa"/>
          </w:tcPr>
          <w:p w:rsidR="000D2A1C" w:rsidRPr="000D2A1C" w:rsidRDefault="000D2A1C" w:rsidP="000D2A1C">
            <w:pPr>
              <w:rPr>
                <w:lang w:val="fr-CA"/>
              </w:rPr>
            </w:pPr>
            <w:r w:rsidRPr="000D2A1C">
              <w:rPr>
                <w:lang w:val="fr-CA"/>
              </w:rPr>
              <w:t xml:space="preserve">Les juges Abella et Cromwell (avec l’accord des juges LeBel, </w:t>
            </w:r>
            <w:proofErr w:type="spellStart"/>
            <w:r w:rsidRPr="000D2A1C">
              <w:rPr>
                <w:lang w:val="fr-CA"/>
              </w:rPr>
              <w:t>Karakatsanis</w:t>
            </w:r>
            <w:proofErr w:type="spellEnd"/>
            <w:r w:rsidRPr="000D2A1C">
              <w:rPr>
                <w:lang w:val="fr-CA"/>
              </w:rPr>
              <w:t xml:space="preserve"> et Wagner)</w:t>
            </w:r>
          </w:p>
          <w:p w:rsidR="000D2A1C" w:rsidRPr="000D2A1C" w:rsidRDefault="000D2A1C" w:rsidP="000D2A1C">
            <w:pPr>
              <w:rPr>
                <w:lang w:val="fr-CA"/>
              </w:rPr>
            </w:pPr>
          </w:p>
          <w:p w:rsidR="000D2A1C" w:rsidRPr="000D2A1C" w:rsidRDefault="000D2A1C" w:rsidP="000D2A1C">
            <w:pPr>
              <w:rPr>
                <w:lang w:val="fr-CA"/>
              </w:rPr>
            </w:pPr>
            <w:r w:rsidRPr="000D2A1C">
              <w:rPr>
                <w:lang w:val="fr-CA"/>
              </w:rPr>
              <w:t xml:space="preserve">Le juge </w:t>
            </w:r>
            <w:proofErr w:type="spellStart"/>
            <w:r w:rsidRPr="000D2A1C">
              <w:rPr>
                <w:lang w:val="fr-CA"/>
              </w:rPr>
              <w:t>Rothstein</w:t>
            </w:r>
            <w:proofErr w:type="spellEnd"/>
            <w:r w:rsidRPr="000D2A1C">
              <w:rPr>
                <w:lang w:val="fr-CA"/>
              </w:rPr>
              <w:t xml:space="preserve"> (avec l’accord du juge </w:t>
            </w:r>
            <w:proofErr w:type="spellStart"/>
            <w:r w:rsidRPr="000D2A1C">
              <w:rPr>
                <w:lang w:val="fr-CA"/>
              </w:rPr>
              <w:t>Moldaver</w:t>
            </w:r>
            <w:proofErr w:type="spellEnd"/>
            <w:r w:rsidRPr="000D2A1C">
              <w:rPr>
                <w:lang w:val="fr-CA"/>
              </w:rPr>
              <w:t>)</w:t>
            </w:r>
          </w:p>
        </w:tc>
      </w:tr>
    </w:tbl>
    <w:p w:rsidR="000D2A1C" w:rsidRPr="000D2A1C" w:rsidRDefault="000D2A1C" w:rsidP="000D2A1C">
      <w:pPr>
        <w:rPr>
          <w:rFonts w:eastAsiaTheme="minorHAnsi" w:cstheme="minorBidi"/>
          <w:szCs w:val="24"/>
          <w:lang w:val="fr-CA" w:eastAsia="en-US"/>
        </w:rPr>
      </w:pPr>
      <w:r w:rsidRPr="000D2A1C">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8" type="#_x0000_t32" style="position:absolute;margin-left:126.75pt;margin-top:14.5pt;width:197.25pt;height:0;z-index:251660288;mso-position-horizontal-relative:text;mso-position-vertical-relative:text" o:connectortype="straight"/>
        </w:pict>
      </w:r>
    </w:p>
    <w:p w:rsidR="000D2A1C" w:rsidRDefault="000D2A1C" w:rsidP="004C788D">
      <w:pPr>
        <w:spacing w:after="720"/>
        <w:jc w:val="both"/>
        <w:rPr>
          <w:lang w:val="fr-CA"/>
        </w:rPr>
      </w:pPr>
    </w:p>
    <w:p w:rsidR="004D7D95" w:rsidRPr="00A3690B" w:rsidRDefault="00A3690B" w:rsidP="004C788D">
      <w:pPr>
        <w:spacing w:after="720"/>
        <w:jc w:val="both"/>
        <w:rPr>
          <w:lang w:val="en-US"/>
        </w:rPr>
      </w:pPr>
      <w:r w:rsidRPr="00A3690B">
        <w:rPr>
          <w:lang w:val="fr-CA"/>
        </w:rPr>
        <w:t xml:space="preserve">Bernard </w:t>
      </w:r>
      <w:r w:rsidRPr="00A3690B">
        <w:rPr>
          <w:i/>
          <w:lang w:val="fr-CA"/>
        </w:rPr>
        <w:t>c.</w:t>
      </w:r>
      <w:r w:rsidRPr="00A3690B">
        <w:rPr>
          <w:lang w:val="fr-CA"/>
        </w:rPr>
        <w:t xml:space="preserve"> Canada (Procureur général)</w:t>
      </w:r>
      <w:r>
        <w:rPr>
          <w:lang w:val="fr-CA"/>
        </w:rPr>
        <w:t>, 2014 CSC 13, [2014] 1 R.C.S. 227</w:t>
      </w:r>
    </w:p>
    <w:p w:rsidR="00DE173C" w:rsidRPr="00E26409" w:rsidRDefault="00E21F7E">
      <w:pPr>
        <w:pStyle w:val="SCCLsocLastPartyInRole"/>
        <w:rPr>
          <w:lang w:val="fr-CA"/>
        </w:rPr>
      </w:pPr>
      <w:r w:rsidRPr="00E26409">
        <w:rPr>
          <w:lang w:val="fr-CA"/>
        </w:rPr>
        <w:lastRenderedPageBreak/>
        <w:t>Elizabeth Bernard</w:t>
      </w:r>
      <w:r w:rsidRPr="00E26409">
        <w:rPr>
          <w:rStyle w:val="SCCLsocPartyRole"/>
          <w:lang w:val="fr-CA"/>
        </w:rPr>
        <w:tab/>
        <w:t>Appelante</w:t>
      </w:r>
    </w:p>
    <w:p w:rsidR="00DE173C" w:rsidRPr="00E26409" w:rsidRDefault="00E21F7E">
      <w:pPr>
        <w:pStyle w:val="SCCLsocVersus"/>
        <w:rPr>
          <w:lang w:val="fr-CA"/>
        </w:rPr>
      </w:pPr>
      <w:proofErr w:type="gramStart"/>
      <w:r w:rsidRPr="00E26409">
        <w:rPr>
          <w:lang w:val="fr-CA"/>
        </w:rPr>
        <w:t>c</w:t>
      </w:r>
      <w:proofErr w:type="gramEnd"/>
      <w:r w:rsidRPr="00E26409">
        <w:rPr>
          <w:lang w:val="fr-CA"/>
        </w:rPr>
        <w:t>.</w:t>
      </w:r>
    </w:p>
    <w:p w:rsidR="00DE173C" w:rsidRPr="00E26409" w:rsidRDefault="00AA19A6">
      <w:pPr>
        <w:pStyle w:val="SCCLsocParty"/>
        <w:rPr>
          <w:lang w:val="fr-CA"/>
        </w:rPr>
      </w:pPr>
      <w:r w:rsidRPr="00E26409">
        <w:rPr>
          <w:lang w:val="fr-CA"/>
        </w:rPr>
        <w:t xml:space="preserve">Procureur général du Canada </w:t>
      </w:r>
      <w:r w:rsidR="0060579D" w:rsidRPr="00E26409">
        <w:rPr>
          <w:lang w:val="fr-CA"/>
        </w:rPr>
        <w:t>et</w:t>
      </w:r>
    </w:p>
    <w:p w:rsidR="00DE173C" w:rsidRPr="00E26409" w:rsidRDefault="00E21F7E">
      <w:pPr>
        <w:pStyle w:val="SCCLsocLastPartyInRole"/>
        <w:rPr>
          <w:lang w:val="fr-CA"/>
        </w:rPr>
      </w:pPr>
      <w:r w:rsidRPr="00E26409">
        <w:rPr>
          <w:lang w:val="fr-CA"/>
        </w:rPr>
        <w:t>Institut professionnel de la fonction publique du Canada</w:t>
      </w:r>
      <w:r w:rsidRPr="00E26409">
        <w:rPr>
          <w:rStyle w:val="SCCLsocPartyRole"/>
          <w:lang w:val="fr-CA"/>
        </w:rPr>
        <w:tab/>
        <w:t>Intimés</w:t>
      </w:r>
    </w:p>
    <w:p w:rsidR="00DE173C" w:rsidRPr="00E26409" w:rsidRDefault="00E21F7E">
      <w:pPr>
        <w:pStyle w:val="SCCLsocOtherPartySeparator"/>
        <w:rPr>
          <w:lang w:val="fr-CA"/>
        </w:rPr>
      </w:pPr>
      <w:proofErr w:type="gramStart"/>
      <w:r w:rsidRPr="00E26409">
        <w:rPr>
          <w:lang w:val="fr-CA"/>
        </w:rPr>
        <w:t>et</w:t>
      </w:r>
      <w:proofErr w:type="gramEnd"/>
    </w:p>
    <w:p w:rsidR="00DE173C" w:rsidRPr="00E26409" w:rsidRDefault="00E21F7E">
      <w:pPr>
        <w:pStyle w:val="SCCLsocParty"/>
        <w:rPr>
          <w:lang w:val="fr-CA"/>
        </w:rPr>
      </w:pPr>
      <w:r w:rsidRPr="00E26409">
        <w:rPr>
          <w:lang w:val="fr-CA"/>
        </w:rPr>
        <w:t>Procureur général de l</w:t>
      </w:r>
      <w:r w:rsidR="00A13B74" w:rsidRPr="00E26409">
        <w:rPr>
          <w:lang w:val="fr-CA"/>
        </w:rPr>
        <w:t>’</w:t>
      </w:r>
      <w:r w:rsidRPr="00E26409">
        <w:rPr>
          <w:lang w:val="fr-CA"/>
        </w:rPr>
        <w:t>Ontario,</w:t>
      </w:r>
    </w:p>
    <w:p w:rsidR="00DE173C" w:rsidRPr="00E26409" w:rsidRDefault="009C6579">
      <w:pPr>
        <w:pStyle w:val="SCCLsocParty"/>
        <w:rPr>
          <w:lang w:val="fr-CA"/>
        </w:rPr>
      </w:pPr>
      <w:proofErr w:type="gramStart"/>
      <w:r w:rsidRPr="00E26409">
        <w:rPr>
          <w:lang w:val="fr-CA"/>
        </w:rPr>
        <w:t>p</w:t>
      </w:r>
      <w:r w:rsidR="00E21F7E" w:rsidRPr="00E26409">
        <w:rPr>
          <w:lang w:val="fr-CA"/>
        </w:rPr>
        <w:t>rocureur</w:t>
      </w:r>
      <w:proofErr w:type="gramEnd"/>
      <w:r w:rsidR="00E21F7E" w:rsidRPr="00E26409">
        <w:rPr>
          <w:lang w:val="fr-CA"/>
        </w:rPr>
        <w:t xml:space="preserve"> général de la </w:t>
      </w:r>
      <w:proofErr w:type="spellStart"/>
      <w:r w:rsidR="00E21F7E" w:rsidRPr="00E26409">
        <w:rPr>
          <w:lang w:val="fr-CA"/>
        </w:rPr>
        <w:t>Colombie</w:t>
      </w:r>
      <w:r w:rsidR="004C788D" w:rsidRPr="00E26409">
        <w:rPr>
          <w:lang w:val="fr-CA"/>
        </w:rPr>
        <w:noBreakHyphen/>
      </w:r>
      <w:r w:rsidR="00E21F7E" w:rsidRPr="00E26409">
        <w:rPr>
          <w:lang w:val="fr-CA"/>
        </w:rPr>
        <w:t>Britannique</w:t>
      </w:r>
      <w:proofErr w:type="spellEnd"/>
      <w:r w:rsidR="00E21F7E" w:rsidRPr="00E26409">
        <w:rPr>
          <w:lang w:val="fr-CA"/>
        </w:rPr>
        <w:t>,</w:t>
      </w:r>
    </w:p>
    <w:p w:rsidR="00DE173C" w:rsidRPr="00E26409" w:rsidRDefault="009C6579">
      <w:pPr>
        <w:pStyle w:val="SCCLsocParty"/>
        <w:rPr>
          <w:lang w:val="fr-CA"/>
        </w:rPr>
      </w:pPr>
      <w:proofErr w:type="gramStart"/>
      <w:r w:rsidRPr="00E26409">
        <w:rPr>
          <w:lang w:val="fr-CA"/>
        </w:rPr>
        <w:t>p</w:t>
      </w:r>
      <w:r w:rsidR="00E21F7E" w:rsidRPr="00E26409">
        <w:rPr>
          <w:lang w:val="fr-CA"/>
        </w:rPr>
        <w:t>rocureur</w:t>
      </w:r>
      <w:proofErr w:type="gramEnd"/>
      <w:r w:rsidR="00E21F7E" w:rsidRPr="00E26409">
        <w:rPr>
          <w:lang w:val="fr-CA"/>
        </w:rPr>
        <w:t xml:space="preserve"> général de l</w:t>
      </w:r>
      <w:r w:rsidR="00A13B74" w:rsidRPr="00E26409">
        <w:rPr>
          <w:lang w:val="fr-CA"/>
        </w:rPr>
        <w:t>’</w:t>
      </w:r>
      <w:r w:rsidR="00E21F7E" w:rsidRPr="00E26409">
        <w:rPr>
          <w:lang w:val="fr-CA"/>
        </w:rPr>
        <w:t>Alberta,</w:t>
      </w:r>
    </w:p>
    <w:p w:rsidR="00DE173C" w:rsidRPr="00E26409" w:rsidRDefault="00E21F7E">
      <w:pPr>
        <w:pStyle w:val="SCCLsocParty"/>
        <w:rPr>
          <w:lang w:val="fr-CA"/>
        </w:rPr>
      </w:pPr>
      <w:r w:rsidRPr="00E26409">
        <w:rPr>
          <w:lang w:val="fr-CA"/>
        </w:rPr>
        <w:t>Alliance de la Fonction publique du Canada,</w:t>
      </w:r>
    </w:p>
    <w:p w:rsidR="00DE173C" w:rsidRPr="00E26409" w:rsidRDefault="00E21F7E">
      <w:pPr>
        <w:pStyle w:val="SCCLsocParty"/>
        <w:rPr>
          <w:lang w:val="fr-CA"/>
        </w:rPr>
      </w:pPr>
      <w:r w:rsidRPr="00E26409">
        <w:rPr>
          <w:lang w:val="fr-CA"/>
        </w:rPr>
        <w:t>Commissaire à la protection de la vie privée du Canada,</w:t>
      </w:r>
    </w:p>
    <w:p w:rsidR="00DE173C" w:rsidRPr="00E26409" w:rsidRDefault="00E21F7E">
      <w:pPr>
        <w:pStyle w:val="SCCLsocParty"/>
        <w:rPr>
          <w:lang w:val="fr-CA"/>
        </w:rPr>
      </w:pPr>
      <w:r w:rsidRPr="00E26409">
        <w:rPr>
          <w:lang w:val="fr-CA"/>
        </w:rPr>
        <w:t>Association canadienne des avocats d</w:t>
      </w:r>
      <w:r w:rsidR="00A13B74" w:rsidRPr="00E26409">
        <w:rPr>
          <w:lang w:val="fr-CA"/>
        </w:rPr>
        <w:t>’</w:t>
      </w:r>
      <w:r w:rsidRPr="00E26409">
        <w:rPr>
          <w:lang w:val="fr-CA"/>
        </w:rPr>
        <w:t>employeurs,</w:t>
      </w:r>
    </w:p>
    <w:p w:rsidR="00DE173C" w:rsidRPr="00E26409" w:rsidRDefault="00E21F7E">
      <w:pPr>
        <w:pStyle w:val="SCCLsocParty"/>
        <w:rPr>
          <w:lang w:val="fr-CA"/>
        </w:rPr>
      </w:pPr>
      <w:r w:rsidRPr="00E26409">
        <w:rPr>
          <w:lang w:val="fr-CA"/>
        </w:rPr>
        <w:t>Association canadienne des libertés civiles,</w:t>
      </w:r>
    </w:p>
    <w:p w:rsidR="00DE173C" w:rsidRPr="00E26409" w:rsidRDefault="00E21F7E">
      <w:pPr>
        <w:pStyle w:val="SCCLsocParty"/>
      </w:pPr>
      <w:r w:rsidRPr="00E26409">
        <w:t>Canadian Constitution Foundation,</w:t>
      </w:r>
    </w:p>
    <w:p w:rsidR="00DE173C" w:rsidRPr="00E26409" w:rsidRDefault="00E21F7E">
      <w:pPr>
        <w:pStyle w:val="SCCLsocParty"/>
      </w:pPr>
      <w:r w:rsidRPr="00E26409">
        <w:t>Alberta Federation of Labour,</w:t>
      </w:r>
    </w:p>
    <w:p w:rsidR="00B25944" w:rsidRPr="00E26409" w:rsidRDefault="00E21F7E">
      <w:pPr>
        <w:pStyle w:val="SCCLsocParty"/>
      </w:pPr>
      <w:r w:rsidRPr="00E26409">
        <w:t>Coalition of British Colum</w:t>
      </w:r>
      <w:r w:rsidR="00AA19A6" w:rsidRPr="00E26409">
        <w:t>bia Businesses</w:t>
      </w:r>
      <w:r w:rsidR="0060579D" w:rsidRPr="00E26409">
        <w:t>,</w:t>
      </w:r>
    </w:p>
    <w:p w:rsidR="00DE173C" w:rsidRPr="00E26409" w:rsidRDefault="00AA19A6">
      <w:pPr>
        <w:pStyle w:val="SCCLsocParty"/>
        <w:rPr>
          <w:lang w:val="fr-FR"/>
        </w:rPr>
      </w:pPr>
      <w:proofErr w:type="spellStart"/>
      <w:r w:rsidRPr="00E26409">
        <w:rPr>
          <w:lang w:val="fr-FR"/>
        </w:rPr>
        <w:t>Merit</w:t>
      </w:r>
      <w:proofErr w:type="spellEnd"/>
      <w:r w:rsidRPr="00E26409">
        <w:rPr>
          <w:lang w:val="fr-FR"/>
        </w:rPr>
        <w:t xml:space="preserve"> Canada </w:t>
      </w:r>
      <w:r w:rsidR="00244954" w:rsidRPr="00E26409">
        <w:rPr>
          <w:lang w:val="fr-FR"/>
        </w:rPr>
        <w:t>et</w:t>
      </w:r>
    </w:p>
    <w:p w:rsidR="00DE173C" w:rsidRPr="00E26409" w:rsidRDefault="00E21F7E">
      <w:pPr>
        <w:pStyle w:val="SCCLsocLastPartyInRole"/>
        <w:rPr>
          <w:lang w:val="fr-CA"/>
        </w:rPr>
      </w:pPr>
      <w:r w:rsidRPr="00E26409">
        <w:rPr>
          <w:lang w:val="fr-CA"/>
        </w:rPr>
        <w:t>Commission des relations de travail dans la fonction publique</w:t>
      </w:r>
      <w:r w:rsidRPr="00E26409">
        <w:rPr>
          <w:rStyle w:val="SCCLsocPartyRole"/>
          <w:lang w:val="fr-CA"/>
        </w:rPr>
        <w:tab/>
        <w:t>Intervenants</w:t>
      </w:r>
    </w:p>
    <w:p w:rsidR="004D7D95" w:rsidRPr="00E26409" w:rsidRDefault="004D7D95" w:rsidP="004C788D">
      <w:pPr>
        <w:spacing w:after="720"/>
        <w:jc w:val="both"/>
        <w:rPr>
          <w:b/>
          <w:lang w:val="fr-CA"/>
        </w:rPr>
      </w:pPr>
      <w:r w:rsidRPr="00E26409">
        <w:rPr>
          <w:b/>
          <w:lang w:val="fr-CA"/>
        </w:rPr>
        <w:t>Répertorié</w:t>
      </w:r>
      <w:r w:rsidR="004C788D" w:rsidRPr="00E26409">
        <w:rPr>
          <w:b/>
          <w:lang w:val="fr-CA"/>
        </w:rPr>
        <w:t> :</w:t>
      </w:r>
      <w:r w:rsidRPr="00E26409">
        <w:rPr>
          <w:b/>
          <w:lang w:val="fr-CA"/>
        </w:rPr>
        <w:t xml:space="preserve"> Bernard </w:t>
      </w:r>
      <w:r w:rsidRPr="00E26409">
        <w:rPr>
          <w:b/>
          <w:i/>
          <w:lang w:val="fr-CA"/>
        </w:rPr>
        <w:t>c.</w:t>
      </w:r>
      <w:r w:rsidRPr="00E26409">
        <w:rPr>
          <w:b/>
          <w:lang w:val="fr-CA"/>
        </w:rPr>
        <w:t xml:space="preserve"> </w:t>
      </w:r>
      <w:r w:rsidR="00064C99" w:rsidRPr="00E26409">
        <w:rPr>
          <w:b/>
          <w:lang w:val="fr-CA"/>
        </w:rPr>
        <w:t>Canada (</w:t>
      </w:r>
      <w:r w:rsidRPr="00E26409">
        <w:rPr>
          <w:b/>
          <w:lang w:val="fr-CA"/>
        </w:rPr>
        <w:t>Procureur général</w:t>
      </w:r>
      <w:r w:rsidR="00064C99" w:rsidRPr="00E26409">
        <w:rPr>
          <w:b/>
          <w:lang w:val="fr-CA"/>
        </w:rPr>
        <w:t>)</w:t>
      </w:r>
    </w:p>
    <w:p w:rsidR="004D7D95" w:rsidRPr="00E26409" w:rsidRDefault="00F62639" w:rsidP="004C788D">
      <w:pPr>
        <w:pStyle w:val="SCCSystemYear"/>
        <w:spacing w:after="720"/>
        <w:jc w:val="both"/>
        <w:rPr>
          <w:lang w:val="fr-CA"/>
        </w:rPr>
      </w:pPr>
      <w:r w:rsidRPr="00E26409">
        <w:rPr>
          <w:lang w:val="fr-CA"/>
        </w:rPr>
        <w:t>201</w:t>
      </w:r>
      <w:r w:rsidR="002D234D" w:rsidRPr="00E26409">
        <w:rPr>
          <w:lang w:val="fr-CA"/>
        </w:rPr>
        <w:t>4</w:t>
      </w:r>
      <w:r w:rsidR="001A178B" w:rsidRPr="00E26409">
        <w:rPr>
          <w:lang w:val="fr-CA"/>
        </w:rPr>
        <w:t xml:space="preserve"> CSC 13</w:t>
      </w:r>
    </w:p>
    <w:p w:rsidR="004D7D95" w:rsidRPr="00E26409" w:rsidRDefault="004D7D95" w:rsidP="004C788D">
      <w:pPr>
        <w:spacing w:after="720"/>
        <w:jc w:val="both"/>
        <w:rPr>
          <w:lang w:val="fr-CA"/>
        </w:rPr>
      </w:pPr>
      <w:r w:rsidRPr="00E26409">
        <w:rPr>
          <w:lang w:val="fr-CA"/>
        </w:rPr>
        <w:t>N</w:t>
      </w:r>
      <w:r w:rsidRPr="00E26409">
        <w:rPr>
          <w:vertAlign w:val="superscript"/>
          <w:lang w:val="fr-CA"/>
        </w:rPr>
        <w:t>o</w:t>
      </w:r>
      <w:r w:rsidRPr="00E26409">
        <w:rPr>
          <w:lang w:val="fr-CA"/>
        </w:rPr>
        <w:t xml:space="preserve"> du greffe</w:t>
      </w:r>
      <w:r w:rsidR="004C788D" w:rsidRPr="00E26409">
        <w:rPr>
          <w:lang w:val="fr-CA"/>
        </w:rPr>
        <w:t> :</w:t>
      </w:r>
      <w:r w:rsidRPr="00E26409">
        <w:rPr>
          <w:lang w:val="fr-CA"/>
        </w:rPr>
        <w:t> 34819.</w:t>
      </w:r>
    </w:p>
    <w:p w:rsidR="004D7D95" w:rsidRPr="00E26409" w:rsidRDefault="00F62639" w:rsidP="004C788D">
      <w:pPr>
        <w:spacing w:after="720"/>
        <w:jc w:val="both"/>
        <w:rPr>
          <w:lang w:val="fr-CA"/>
        </w:rPr>
      </w:pPr>
      <w:r w:rsidRPr="00E26409">
        <w:rPr>
          <w:lang w:val="fr-CA"/>
        </w:rPr>
        <w:t>2013</w:t>
      </w:r>
      <w:r w:rsidR="004C788D" w:rsidRPr="00E26409">
        <w:rPr>
          <w:lang w:val="fr-CA"/>
        </w:rPr>
        <w:t> :</w:t>
      </w:r>
      <w:r w:rsidR="0060579D" w:rsidRPr="00E26409">
        <w:rPr>
          <w:lang w:val="fr-CA"/>
        </w:rPr>
        <w:t> </w:t>
      </w:r>
      <w:r w:rsidRPr="00E26409">
        <w:rPr>
          <w:lang w:val="fr-CA"/>
        </w:rPr>
        <w:t>4</w:t>
      </w:r>
      <w:r w:rsidR="0060579D" w:rsidRPr="00E26409">
        <w:rPr>
          <w:lang w:val="fr-CA"/>
        </w:rPr>
        <w:t> </w:t>
      </w:r>
      <w:r w:rsidRPr="00E26409">
        <w:rPr>
          <w:lang w:val="fr-CA"/>
        </w:rPr>
        <w:t>novembre</w:t>
      </w:r>
      <w:r w:rsidR="00B25944" w:rsidRPr="00E26409">
        <w:rPr>
          <w:lang w:val="fr-CA"/>
        </w:rPr>
        <w:t>; 2014</w:t>
      </w:r>
      <w:r w:rsidR="004C788D" w:rsidRPr="00E26409">
        <w:rPr>
          <w:lang w:val="fr-CA"/>
        </w:rPr>
        <w:t> :</w:t>
      </w:r>
      <w:r w:rsidR="00B25944" w:rsidRPr="00E26409">
        <w:rPr>
          <w:lang w:val="fr-CA"/>
        </w:rPr>
        <w:t> </w:t>
      </w:r>
      <w:r w:rsidR="001A178B" w:rsidRPr="00E26409">
        <w:rPr>
          <w:lang w:val="fr-CA"/>
        </w:rPr>
        <w:t>7 février</w:t>
      </w:r>
      <w:r w:rsidR="004D7D95" w:rsidRPr="00E26409">
        <w:rPr>
          <w:lang w:val="fr-CA"/>
        </w:rPr>
        <w:t>.</w:t>
      </w:r>
    </w:p>
    <w:p w:rsidR="004D7D95" w:rsidRPr="00E26409" w:rsidRDefault="004D7D95" w:rsidP="004C788D">
      <w:pPr>
        <w:spacing w:after="720"/>
        <w:jc w:val="both"/>
        <w:rPr>
          <w:lang w:val="fr-CA"/>
        </w:rPr>
      </w:pPr>
      <w:r w:rsidRPr="00E26409">
        <w:rPr>
          <w:lang w:val="fr-CA"/>
        </w:rPr>
        <w:t>Présents</w:t>
      </w:r>
      <w:r w:rsidR="004C788D" w:rsidRPr="00E26409">
        <w:rPr>
          <w:lang w:val="fr-CA"/>
        </w:rPr>
        <w:t> :</w:t>
      </w:r>
      <w:r w:rsidRPr="00E26409">
        <w:rPr>
          <w:lang w:val="fr-CA"/>
        </w:rPr>
        <w:t xml:space="preserve"> Les juges LeBel, Abella, </w:t>
      </w:r>
      <w:proofErr w:type="spellStart"/>
      <w:r w:rsidRPr="00E26409">
        <w:rPr>
          <w:lang w:val="fr-CA"/>
        </w:rPr>
        <w:t>Rothstein</w:t>
      </w:r>
      <w:proofErr w:type="spellEnd"/>
      <w:r w:rsidRPr="00E26409">
        <w:rPr>
          <w:lang w:val="fr-CA"/>
        </w:rPr>
        <w:t xml:space="preserve">, Cromwell, </w:t>
      </w:r>
      <w:proofErr w:type="spellStart"/>
      <w:r w:rsidRPr="00E26409">
        <w:rPr>
          <w:lang w:val="fr-CA"/>
        </w:rPr>
        <w:t>Moldaver</w:t>
      </w:r>
      <w:proofErr w:type="spellEnd"/>
      <w:r w:rsidRPr="00E26409">
        <w:rPr>
          <w:lang w:val="fr-CA"/>
        </w:rPr>
        <w:t xml:space="preserve">, </w:t>
      </w:r>
      <w:proofErr w:type="spellStart"/>
      <w:r w:rsidRPr="00E26409">
        <w:rPr>
          <w:lang w:val="fr-CA"/>
        </w:rPr>
        <w:t>Karakatsanis</w:t>
      </w:r>
      <w:proofErr w:type="spellEnd"/>
      <w:r w:rsidRPr="00E26409">
        <w:rPr>
          <w:lang w:val="fr-CA"/>
        </w:rPr>
        <w:t xml:space="preserve"> et Wagner.</w:t>
      </w:r>
    </w:p>
    <w:p w:rsidR="004D7D95" w:rsidRPr="00E26409" w:rsidRDefault="004D7D95" w:rsidP="004C788D">
      <w:pPr>
        <w:spacing w:after="720"/>
        <w:jc w:val="both"/>
        <w:rPr>
          <w:smallCaps/>
          <w:lang w:val="fr-CA"/>
        </w:rPr>
      </w:pPr>
      <w:r w:rsidRPr="00E26409">
        <w:rPr>
          <w:smallCaps/>
          <w:lang w:val="fr-CA"/>
        </w:rPr>
        <w:lastRenderedPageBreak/>
        <w:t xml:space="preserve">en appel de la </w:t>
      </w:r>
      <w:r w:rsidR="0060579D" w:rsidRPr="00E26409">
        <w:rPr>
          <w:smallCaps/>
          <w:lang w:val="fr-CA"/>
        </w:rPr>
        <w:t>cour d</w:t>
      </w:r>
      <w:r w:rsidR="00A13B74" w:rsidRPr="00E26409">
        <w:rPr>
          <w:smallCaps/>
          <w:lang w:val="fr-CA"/>
        </w:rPr>
        <w:t>’</w:t>
      </w:r>
      <w:r w:rsidR="0060579D" w:rsidRPr="00E26409">
        <w:rPr>
          <w:smallCaps/>
          <w:lang w:val="fr-CA"/>
        </w:rPr>
        <w:t>appel fédérale</w:t>
      </w:r>
    </w:p>
    <w:p w:rsidR="00131B24" w:rsidRPr="00E26409" w:rsidRDefault="004D7D95" w:rsidP="00EE5B8B">
      <w:pPr>
        <w:pStyle w:val="SCCNormalDoubleSpacing"/>
        <w:spacing w:before="480" w:after="480"/>
        <w:rPr>
          <w:i/>
          <w:lang w:val="fr-CA"/>
        </w:rPr>
      </w:pPr>
      <w:r w:rsidRPr="00E26409">
        <w:rPr>
          <w:lang w:val="fr-CA"/>
        </w:rPr>
        <w:tab/>
      </w:r>
      <w:r w:rsidR="00131B24" w:rsidRPr="00E26409">
        <w:rPr>
          <w:i/>
          <w:lang w:val="fr-CA"/>
        </w:rPr>
        <w:t>Relations d</w:t>
      </w:r>
      <w:r w:rsidR="00893F79">
        <w:rPr>
          <w:i/>
          <w:lang w:val="fr-CA"/>
        </w:rPr>
        <w:t>u</w:t>
      </w:r>
      <w:r w:rsidR="00131B24" w:rsidRPr="00E26409">
        <w:rPr>
          <w:i/>
          <w:lang w:val="fr-CA"/>
        </w:rPr>
        <w:t xml:space="preserve"> travail</w:t>
      </w:r>
      <w:r w:rsidR="00EE5B8B" w:rsidRPr="00E26409">
        <w:rPr>
          <w:i/>
          <w:lang w:val="fr-CA"/>
        </w:rPr>
        <w:t xml:space="preserve"> — </w:t>
      </w:r>
      <w:r w:rsidR="00131B24" w:rsidRPr="00E26409">
        <w:rPr>
          <w:i/>
          <w:lang w:val="fr-CA"/>
        </w:rPr>
        <w:t>Droit administratif</w:t>
      </w:r>
      <w:r w:rsidR="00EE5B8B" w:rsidRPr="00E26409">
        <w:rPr>
          <w:i/>
          <w:lang w:val="fr-CA"/>
        </w:rPr>
        <w:t xml:space="preserve"> — </w:t>
      </w:r>
      <w:r w:rsidR="00131B24" w:rsidRPr="00E26409">
        <w:rPr>
          <w:i/>
          <w:lang w:val="fr-CA"/>
        </w:rPr>
        <w:t>Norme de contrôle</w:t>
      </w:r>
      <w:r w:rsidR="00EE5B8B" w:rsidRPr="00E26409">
        <w:rPr>
          <w:i/>
          <w:lang w:val="fr-CA"/>
        </w:rPr>
        <w:t xml:space="preserve"> — </w:t>
      </w:r>
      <w:r w:rsidR="00131B24" w:rsidRPr="00E26409">
        <w:rPr>
          <w:i/>
          <w:lang w:val="fr-CA"/>
        </w:rPr>
        <w:t>Syndicats</w:t>
      </w:r>
      <w:r w:rsidR="00EE5B8B" w:rsidRPr="00E26409">
        <w:rPr>
          <w:i/>
          <w:lang w:val="fr-CA"/>
        </w:rPr>
        <w:t xml:space="preserve"> — </w:t>
      </w:r>
      <w:r w:rsidR="00131B24" w:rsidRPr="00E26409">
        <w:rPr>
          <w:i/>
          <w:lang w:val="fr-CA"/>
        </w:rPr>
        <w:t>Obligations de représentation</w:t>
      </w:r>
      <w:r w:rsidR="00EE5B8B" w:rsidRPr="00E26409">
        <w:rPr>
          <w:i/>
          <w:lang w:val="fr-CA"/>
        </w:rPr>
        <w:t xml:space="preserve"> — </w:t>
      </w:r>
      <w:r w:rsidR="00131B24" w:rsidRPr="00E26409">
        <w:rPr>
          <w:i/>
          <w:lang w:val="fr-CA"/>
        </w:rPr>
        <w:t>Ordonnance d</w:t>
      </w:r>
      <w:r w:rsidR="0011289A" w:rsidRPr="00E26409">
        <w:rPr>
          <w:i/>
          <w:lang w:val="fr-CA"/>
        </w:rPr>
        <w:t>e la</w:t>
      </w:r>
      <w:r w:rsidR="00131B24" w:rsidRPr="00E26409">
        <w:rPr>
          <w:i/>
          <w:lang w:val="fr-CA"/>
        </w:rPr>
        <w:t xml:space="preserve"> Co</w:t>
      </w:r>
      <w:r w:rsidR="0011289A" w:rsidRPr="00E26409">
        <w:rPr>
          <w:i/>
          <w:lang w:val="fr-CA"/>
        </w:rPr>
        <w:t>mmission</w:t>
      </w:r>
      <w:r w:rsidR="00131B24" w:rsidRPr="00E26409">
        <w:rPr>
          <w:i/>
          <w:lang w:val="fr-CA"/>
        </w:rPr>
        <w:t xml:space="preserve"> des relations de travail pour que l</w:t>
      </w:r>
      <w:r w:rsidR="00A13B74" w:rsidRPr="00E26409">
        <w:rPr>
          <w:i/>
          <w:lang w:val="fr-CA"/>
        </w:rPr>
        <w:t>’</w:t>
      </w:r>
      <w:r w:rsidR="00131B24" w:rsidRPr="00E26409">
        <w:rPr>
          <w:i/>
          <w:lang w:val="fr-CA"/>
        </w:rPr>
        <w:t>employeur communique les coordonnées résidentielles des membres d</w:t>
      </w:r>
      <w:r w:rsidR="00A13B74" w:rsidRPr="00E26409">
        <w:rPr>
          <w:i/>
          <w:lang w:val="fr-CA"/>
        </w:rPr>
        <w:t>’</w:t>
      </w:r>
      <w:r w:rsidR="00AD6322" w:rsidRPr="00E26409">
        <w:rPr>
          <w:i/>
          <w:lang w:val="fr-CA"/>
        </w:rPr>
        <w:t xml:space="preserve">une </w:t>
      </w:r>
      <w:r w:rsidR="00131B24" w:rsidRPr="00E26409">
        <w:rPr>
          <w:i/>
          <w:lang w:val="fr-CA"/>
        </w:rPr>
        <w:t xml:space="preserve">unité de négociation </w:t>
      </w:r>
      <w:r w:rsidR="00AD6322" w:rsidRPr="00E26409">
        <w:rPr>
          <w:i/>
          <w:lang w:val="fr-CA"/>
        </w:rPr>
        <w:t>a</w:t>
      </w:r>
      <w:r w:rsidR="00131B24" w:rsidRPr="00E26409">
        <w:rPr>
          <w:i/>
          <w:lang w:val="fr-CA"/>
        </w:rPr>
        <w:t xml:space="preserve">u syndicat </w:t>
      </w:r>
      <w:r w:rsidR="00131B24" w:rsidRPr="00E26409">
        <w:rPr>
          <w:lang w:val="fr-CA"/>
        </w:rPr>
        <w:t>—</w:t>
      </w:r>
      <w:r w:rsidR="00131B24" w:rsidRPr="00E26409">
        <w:rPr>
          <w:i/>
          <w:lang w:val="fr-CA"/>
        </w:rPr>
        <w:t xml:space="preserve"> Décision </w:t>
      </w:r>
      <w:r w:rsidR="00AD6322" w:rsidRPr="00E26409">
        <w:rPr>
          <w:i/>
          <w:lang w:val="fr-CA"/>
        </w:rPr>
        <w:t>de la Commission</w:t>
      </w:r>
      <w:r w:rsidR="00131B24" w:rsidRPr="00E26409">
        <w:rPr>
          <w:i/>
          <w:lang w:val="fr-CA"/>
        </w:rPr>
        <w:t xml:space="preserve"> selon laquelle la communication est nécessaire pour que le syndicat puisse s</w:t>
      </w:r>
      <w:r w:rsidR="00A13B74" w:rsidRPr="00E26409">
        <w:rPr>
          <w:i/>
          <w:lang w:val="fr-CA"/>
        </w:rPr>
        <w:t>’</w:t>
      </w:r>
      <w:r w:rsidR="00131B24" w:rsidRPr="00E26409">
        <w:rPr>
          <w:i/>
          <w:lang w:val="fr-CA"/>
        </w:rPr>
        <w:t>acquitter de ses obligations de représentation — Ordonnance contestée par une employée</w:t>
      </w:r>
      <w:r w:rsidR="0011289A" w:rsidRPr="00E26409">
        <w:rPr>
          <w:i/>
          <w:lang w:val="fr-CA"/>
        </w:rPr>
        <w:t xml:space="preserve"> qui invoque la violation de ses droits protégés par la Loi sur la protection </w:t>
      </w:r>
      <w:r w:rsidR="00AD6322" w:rsidRPr="00E26409">
        <w:rPr>
          <w:i/>
          <w:lang w:val="fr-CA"/>
        </w:rPr>
        <w:t>des renseignements personnels</w:t>
      </w:r>
      <w:r w:rsidR="0011289A" w:rsidRPr="00E26409">
        <w:rPr>
          <w:i/>
          <w:lang w:val="fr-CA"/>
        </w:rPr>
        <w:t xml:space="preserve"> et par l</w:t>
      </w:r>
      <w:r w:rsidR="00A13B74" w:rsidRPr="00E26409">
        <w:rPr>
          <w:i/>
          <w:lang w:val="fr-CA"/>
        </w:rPr>
        <w:t>’</w:t>
      </w:r>
      <w:r w:rsidR="005D3EDE">
        <w:rPr>
          <w:i/>
          <w:lang w:val="fr-CA"/>
        </w:rPr>
        <w:t>art</w:t>
      </w:r>
      <w:r w:rsidR="0011289A" w:rsidRPr="00E26409">
        <w:rPr>
          <w:i/>
          <w:lang w:val="fr-CA"/>
        </w:rPr>
        <w:t>. 2d) de la Charte — La décision de la Commission selon laquelle l</w:t>
      </w:r>
      <w:r w:rsidR="00A13B74" w:rsidRPr="00E26409">
        <w:rPr>
          <w:i/>
          <w:lang w:val="fr-CA"/>
        </w:rPr>
        <w:t>’</w:t>
      </w:r>
      <w:r w:rsidR="0011289A" w:rsidRPr="00E26409">
        <w:rPr>
          <w:i/>
          <w:lang w:val="fr-CA"/>
        </w:rPr>
        <w:t xml:space="preserve">ordonnance ne contrevenait pas à la Loi sur la </w:t>
      </w:r>
      <w:r w:rsidR="00AD6322" w:rsidRPr="00E26409">
        <w:rPr>
          <w:i/>
          <w:lang w:val="fr-CA"/>
        </w:rPr>
        <w:t>protection des renseignements personnels</w:t>
      </w:r>
      <w:r w:rsidR="0011289A" w:rsidRPr="00E26409">
        <w:rPr>
          <w:i/>
          <w:lang w:val="fr-CA"/>
        </w:rPr>
        <w:t xml:space="preserve"> était-elle raisonnable? — Loi sur les relations de travail dans la fonction publique, L.C. 2003, ch. 22, art. 2</w:t>
      </w:r>
      <w:r w:rsidR="00411207">
        <w:rPr>
          <w:i/>
          <w:lang w:val="fr-CA"/>
        </w:rPr>
        <w:t xml:space="preserve">, </w:t>
      </w:r>
      <w:r w:rsidR="0011289A" w:rsidRPr="00E26409">
        <w:rPr>
          <w:i/>
          <w:lang w:val="fr-CA"/>
        </w:rPr>
        <w:t xml:space="preserve">186(1)a) — Loi sur la </w:t>
      </w:r>
      <w:r w:rsidR="00AD6322" w:rsidRPr="00E26409">
        <w:rPr>
          <w:i/>
          <w:lang w:val="fr-CA"/>
        </w:rPr>
        <w:t>protection des renseignements personnels</w:t>
      </w:r>
      <w:r w:rsidR="00A13B74" w:rsidRPr="00E26409">
        <w:rPr>
          <w:i/>
          <w:lang w:val="fr-CA"/>
        </w:rPr>
        <w:t xml:space="preserve">, </w:t>
      </w:r>
      <w:r w:rsidR="008D3768">
        <w:rPr>
          <w:i/>
          <w:lang w:val="fr-CA"/>
        </w:rPr>
        <w:t>L.R</w:t>
      </w:r>
      <w:r w:rsidR="00A13B74" w:rsidRPr="00E26409">
        <w:rPr>
          <w:i/>
          <w:lang w:val="fr-CA"/>
        </w:rPr>
        <w:t>.C. 1985, ch. </w:t>
      </w:r>
      <w:r w:rsidR="0011289A" w:rsidRPr="00E26409">
        <w:rPr>
          <w:i/>
          <w:lang w:val="fr-CA"/>
        </w:rPr>
        <w:t>P-21, art. 8(2)a).</w:t>
      </w:r>
    </w:p>
    <w:p w:rsidR="00EE5B8B" w:rsidRPr="00E26409" w:rsidRDefault="00EE5B8B" w:rsidP="00EE5B8B">
      <w:pPr>
        <w:pStyle w:val="SCCNormalDoubleSpacing"/>
        <w:spacing w:before="480" w:after="480"/>
        <w:rPr>
          <w:lang w:val="fr-CA"/>
        </w:rPr>
      </w:pPr>
      <w:r w:rsidRPr="00E26409">
        <w:rPr>
          <w:lang w:val="fr-CA"/>
        </w:rPr>
        <w:tab/>
      </w:r>
      <w:r w:rsidR="00EE0D93" w:rsidRPr="00E26409">
        <w:rPr>
          <w:lang w:val="fr-CA"/>
        </w:rPr>
        <w:t>B appartient à une unité de négociation dans la fonction publique fédérale, mais n</w:t>
      </w:r>
      <w:r w:rsidR="00A13B74" w:rsidRPr="00E26409">
        <w:rPr>
          <w:lang w:val="fr-CA"/>
        </w:rPr>
        <w:t>’</w:t>
      </w:r>
      <w:r w:rsidR="00EE0D93" w:rsidRPr="00E26409">
        <w:rPr>
          <w:lang w:val="fr-CA"/>
        </w:rPr>
        <w:t>est pas membre du syndicat investi de droits de négociation exclusifs à l</w:t>
      </w:r>
      <w:r w:rsidR="00A13B74" w:rsidRPr="00E26409">
        <w:rPr>
          <w:lang w:val="fr-CA"/>
        </w:rPr>
        <w:t>’</w:t>
      </w:r>
      <w:r w:rsidR="00EE0D93" w:rsidRPr="00E26409">
        <w:rPr>
          <w:lang w:val="fr-CA"/>
        </w:rPr>
        <w:t xml:space="preserve">égard de </w:t>
      </w:r>
      <w:r w:rsidR="00AD6322" w:rsidRPr="00E26409">
        <w:rPr>
          <w:lang w:val="fr-CA"/>
        </w:rPr>
        <w:t>cette</w:t>
      </w:r>
      <w:r w:rsidR="00EE0D93" w:rsidRPr="00E26409">
        <w:rPr>
          <w:lang w:val="fr-CA"/>
        </w:rPr>
        <w:t xml:space="preserve"> unité.  Autrement dit, elle est une « employée assujettie à la formule Rand » qui, bien qu</w:t>
      </w:r>
      <w:r w:rsidR="00A13B74" w:rsidRPr="00E26409">
        <w:rPr>
          <w:lang w:val="fr-CA"/>
        </w:rPr>
        <w:t>’</w:t>
      </w:r>
      <w:r w:rsidR="00EE0D93" w:rsidRPr="00E26409">
        <w:rPr>
          <w:lang w:val="fr-CA"/>
        </w:rPr>
        <w:t>elle ne soit pas syndiquée, bénéficie des avantages de la convention collective, a droit à la représentation du syndicat et est tenue de verser les cotisations syndicales.  Le syndicat est l</w:t>
      </w:r>
      <w:r w:rsidR="00A13B74" w:rsidRPr="00E26409">
        <w:rPr>
          <w:lang w:val="fr-CA"/>
        </w:rPr>
        <w:t>’</w:t>
      </w:r>
      <w:r w:rsidR="00EE0D93" w:rsidRPr="00E26409">
        <w:rPr>
          <w:lang w:val="fr-CA"/>
        </w:rPr>
        <w:t>agent négociateur exclusif de tous les membres de l</w:t>
      </w:r>
      <w:r w:rsidR="00A13B74" w:rsidRPr="00E26409">
        <w:rPr>
          <w:lang w:val="fr-CA"/>
        </w:rPr>
        <w:t>’</w:t>
      </w:r>
      <w:r w:rsidR="00EE0D93" w:rsidRPr="00E26409">
        <w:rPr>
          <w:lang w:val="fr-CA"/>
        </w:rPr>
        <w:t>unité</w:t>
      </w:r>
      <w:r w:rsidR="00B07F49" w:rsidRPr="00E26409">
        <w:rPr>
          <w:lang w:val="fr-CA"/>
        </w:rPr>
        <w:t xml:space="preserve"> de négociation</w:t>
      </w:r>
      <w:r w:rsidR="00EE0D93" w:rsidRPr="00E26409">
        <w:rPr>
          <w:lang w:val="fr-CA"/>
        </w:rPr>
        <w:t>.  Il a en outre envers chacun d</w:t>
      </w:r>
      <w:r w:rsidR="00A13B74" w:rsidRPr="00E26409">
        <w:rPr>
          <w:lang w:val="fr-CA"/>
        </w:rPr>
        <w:t>’</w:t>
      </w:r>
      <w:r w:rsidR="00EE0D93" w:rsidRPr="00E26409">
        <w:rPr>
          <w:lang w:val="fr-CA"/>
        </w:rPr>
        <w:t>entre eux — qu</w:t>
      </w:r>
      <w:r w:rsidR="00A13B74" w:rsidRPr="00E26409">
        <w:rPr>
          <w:lang w:val="fr-CA"/>
        </w:rPr>
        <w:t>’</w:t>
      </w:r>
      <w:r w:rsidR="00EE0D93" w:rsidRPr="00E26409">
        <w:rPr>
          <w:lang w:val="fr-CA"/>
        </w:rPr>
        <w:t xml:space="preserve">ils soient ou non syndiqués — des obligations de représentation, en ce qui concerne </w:t>
      </w:r>
      <w:r w:rsidR="00EE0D93" w:rsidRPr="00E26409">
        <w:rPr>
          <w:lang w:val="fr-CA"/>
        </w:rPr>
        <w:lastRenderedPageBreak/>
        <w:t xml:space="preserve">notamment la négociation collective, la procédure relative aux griefs, le réaménagement des effectifs, la poursuite de plaintes et la tenue de votes de grève. </w:t>
      </w:r>
    </w:p>
    <w:p w:rsidR="00EE5B8B" w:rsidRPr="00E26409" w:rsidRDefault="00EE5B8B" w:rsidP="00EE5B8B">
      <w:pPr>
        <w:pStyle w:val="SCCNormalDoubleSpacing"/>
        <w:spacing w:before="480" w:after="480"/>
        <w:rPr>
          <w:lang w:val="fr-CA"/>
        </w:rPr>
      </w:pPr>
      <w:r w:rsidRPr="00E26409">
        <w:rPr>
          <w:lang w:val="fr-CA"/>
        </w:rPr>
        <w:tab/>
      </w:r>
      <w:r w:rsidR="00EE0D93" w:rsidRPr="00E26409">
        <w:rPr>
          <w:lang w:val="fr-CA"/>
        </w:rPr>
        <w:t xml:space="preserve">Par suite des modifications apportées en 2005 à la </w:t>
      </w:r>
      <w:r w:rsidR="00EE0D93" w:rsidRPr="00E26409">
        <w:rPr>
          <w:i/>
          <w:lang w:val="fr-CA"/>
        </w:rPr>
        <w:t>Loi sur les relations de travail dans la fonction publique</w:t>
      </w:r>
      <w:r w:rsidR="00EE0D93" w:rsidRPr="00E26409">
        <w:rPr>
          <w:lang w:val="fr-CA"/>
        </w:rPr>
        <w:t>,</w:t>
      </w:r>
      <w:r w:rsidR="00EE0D93" w:rsidRPr="00E26409">
        <w:rPr>
          <w:i/>
          <w:lang w:val="fr-CA"/>
        </w:rPr>
        <w:t xml:space="preserve"> </w:t>
      </w:r>
      <w:r w:rsidR="00EE0D93" w:rsidRPr="00E26409">
        <w:rPr>
          <w:lang w:val="fr-CA"/>
        </w:rPr>
        <w:t>les obligations syndicales de représentation ont été considérablement étendues.  Compte tenu de ces nouvelles obligations, le syndicat a demandé à l</w:t>
      </w:r>
      <w:r w:rsidR="00A13B74" w:rsidRPr="00E26409">
        <w:rPr>
          <w:lang w:val="fr-CA"/>
        </w:rPr>
        <w:t>’</w:t>
      </w:r>
      <w:r w:rsidR="00EE0D93" w:rsidRPr="00E26409">
        <w:rPr>
          <w:lang w:val="fr-CA"/>
        </w:rPr>
        <w:t>employeur les coordonnées résidentielles des membres de l</w:t>
      </w:r>
      <w:r w:rsidR="00A13B74" w:rsidRPr="00E26409">
        <w:rPr>
          <w:lang w:val="fr-CA"/>
        </w:rPr>
        <w:t>’</w:t>
      </w:r>
      <w:r w:rsidR="00EE0D93" w:rsidRPr="00E26409">
        <w:rPr>
          <w:lang w:val="fr-CA"/>
        </w:rPr>
        <w:t>unité de négociation.  L</w:t>
      </w:r>
      <w:r w:rsidR="00A13B74" w:rsidRPr="00E26409">
        <w:rPr>
          <w:lang w:val="fr-CA"/>
        </w:rPr>
        <w:t>’</w:t>
      </w:r>
      <w:r w:rsidR="00EE0D93" w:rsidRPr="00E26409">
        <w:rPr>
          <w:lang w:val="fr-CA"/>
        </w:rPr>
        <w:t xml:space="preserve">employeur a refusé.  Le syndicat a donc déposé des plaintes auprès de la </w:t>
      </w:r>
      <w:r w:rsidR="007D73BC" w:rsidRPr="00E26409">
        <w:rPr>
          <w:lang w:val="fr-CA"/>
        </w:rPr>
        <w:t>Commission des relations de travail dans la fonction publique</w:t>
      </w:r>
      <w:r w:rsidR="00EE0D93" w:rsidRPr="00E26409">
        <w:rPr>
          <w:lang w:val="fr-CA"/>
        </w:rPr>
        <w:t xml:space="preserve"> dans lesquelles il alléguait que le refus de fournir ces renseignements constituait une pratique déloyale de travail.  Le refus de lui fournir les coordonnées résidentielles des membres de l</w:t>
      </w:r>
      <w:r w:rsidR="00A13B74" w:rsidRPr="00E26409">
        <w:rPr>
          <w:lang w:val="fr-CA"/>
        </w:rPr>
        <w:t>’</w:t>
      </w:r>
      <w:r w:rsidR="00EE0D93" w:rsidRPr="00E26409">
        <w:rPr>
          <w:lang w:val="fr-CA"/>
        </w:rPr>
        <w:t xml:space="preserve">unité </w:t>
      </w:r>
      <w:r w:rsidR="007D73BC" w:rsidRPr="00E26409">
        <w:rPr>
          <w:lang w:val="fr-CA"/>
        </w:rPr>
        <w:t xml:space="preserve">de négociation </w:t>
      </w:r>
      <w:r w:rsidR="00EE0D93" w:rsidRPr="00E26409">
        <w:rPr>
          <w:lang w:val="fr-CA"/>
        </w:rPr>
        <w:t xml:space="preserve">constituait, selon lui, une entrave indue à sa capacité de </w:t>
      </w:r>
      <w:r w:rsidR="007D73BC" w:rsidRPr="00E26409">
        <w:rPr>
          <w:lang w:val="fr-CA"/>
        </w:rPr>
        <w:t xml:space="preserve">les </w:t>
      </w:r>
      <w:r w:rsidR="00EE0D93" w:rsidRPr="00E26409">
        <w:rPr>
          <w:lang w:val="fr-CA"/>
        </w:rPr>
        <w:t>représenter.</w:t>
      </w:r>
      <w:r w:rsidRPr="00E26409">
        <w:rPr>
          <w:lang w:val="fr-CA"/>
        </w:rPr>
        <w:t xml:space="preserve">  </w:t>
      </w:r>
      <w:r w:rsidR="006A635A" w:rsidRPr="00E26409">
        <w:rPr>
          <w:lang w:val="fr-CA"/>
        </w:rPr>
        <w:t>La Commission a conclu que le refus de l</w:t>
      </w:r>
      <w:r w:rsidR="00A13B74" w:rsidRPr="00E26409">
        <w:rPr>
          <w:lang w:val="fr-CA"/>
        </w:rPr>
        <w:t>’</w:t>
      </w:r>
      <w:r w:rsidR="006A635A" w:rsidRPr="00E26409">
        <w:rPr>
          <w:lang w:val="fr-CA"/>
        </w:rPr>
        <w:t>employeur de donner au syndicat « au moins une partie des renseignements qu</w:t>
      </w:r>
      <w:r w:rsidR="00A13B74" w:rsidRPr="00E26409">
        <w:rPr>
          <w:lang w:val="fr-CA"/>
        </w:rPr>
        <w:t>’</w:t>
      </w:r>
      <w:r w:rsidR="006A635A" w:rsidRPr="00E26409">
        <w:rPr>
          <w:lang w:val="fr-CA"/>
        </w:rPr>
        <w:t>il avait demandés » constituait une pratique déloyale de travail parce que l</w:t>
      </w:r>
      <w:r w:rsidR="00A13B74" w:rsidRPr="00E26409">
        <w:rPr>
          <w:lang w:val="fr-CA"/>
        </w:rPr>
        <w:t>’</w:t>
      </w:r>
      <w:r w:rsidR="006A635A" w:rsidRPr="00E26409">
        <w:rPr>
          <w:lang w:val="fr-CA"/>
        </w:rPr>
        <w:t>employeur inter</w:t>
      </w:r>
      <w:r w:rsidR="00690487" w:rsidRPr="00E26409">
        <w:rPr>
          <w:lang w:val="fr-CA"/>
        </w:rPr>
        <w:t>ven</w:t>
      </w:r>
      <w:r w:rsidR="006A635A" w:rsidRPr="00E26409">
        <w:rPr>
          <w:lang w:val="fr-CA"/>
        </w:rPr>
        <w:t>ait ainsi dans la représentation des fonctionnaires par le syndicat</w:t>
      </w:r>
      <w:r w:rsidR="00B07F49" w:rsidRPr="00E26409">
        <w:rPr>
          <w:lang w:val="fr-CA"/>
        </w:rPr>
        <w:t>.</w:t>
      </w:r>
    </w:p>
    <w:p w:rsidR="00C53300" w:rsidRPr="00E26409" w:rsidRDefault="000C3AD5" w:rsidP="000C3AD5">
      <w:pPr>
        <w:pStyle w:val="SCCNormalDoubleSpacing"/>
        <w:spacing w:before="480" w:after="480"/>
        <w:rPr>
          <w:lang w:val="fr-CA"/>
        </w:rPr>
      </w:pPr>
      <w:r w:rsidRPr="00E26409">
        <w:rPr>
          <w:lang w:val="fr-CA"/>
        </w:rPr>
        <w:tab/>
      </w:r>
      <w:r w:rsidR="00C53300" w:rsidRPr="00E26409">
        <w:rPr>
          <w:lang w:val="fr-CA"/>
        </w:rPr>
        <w:t xml:space="preserve">Cependant, à titre de </w:t>
      </w:r>
      <w:r w:rsidR="00B07F49" w:rsidRPr="00E26409">
        <w:rPr>
          <w:lang w:val="fr-CA"/>
        </w:rPr>
        <w:t>réparation</w:t>
      </w:r>
      <w:r w:rsidR="00C53300" w:rsidRPr="00E26409">
        <w:rPr>
          <w:lang w:val="fr-CA"/>
        </w:rPr>
        <w:t>, la Commission a demandé à obtenir plus de détails relativement à plusieurs questions liées à la</w:t>
      </w:r>
      <w:r w:rsidR="00893F79">
        <w:rPr>
          <w:lang w:val="fr-CA"/>
        </w:rPr>
        <w:t xml:space="preserve"> protection de la vie privée : D</w:t>
      </w:r>
      <w:r w:rsidR="00C53300" w:rsidRPr="00E26409">
        <w:rPr>
          <w:lang w:val="fr-CA"/>
        </w:rPr>
        <w:t xml:space="preserve">e quels renseignements le syndicat </w:t>
      </w:r>
      <w:proofErr w:type="spellStart"/>
      <w:r w:rsidR="00C53300" w:rsidRPr="00E26409">
        <w:rPr>
          <w:lang w:val="fr-CA"/>
        </w:rPr>
        <w:t>avait</w:t>
      </w:r>
      <w:r w:rsidR="00C53300" w:rsidRPr="00E26409">
        <w:rPr>
          <w:lang w:val="fr-CA"/>
        </w:rPr>
        <w:noBreakHyphen/>
        <w:t>il</w:t>
      </w:r>
      <w:proofErr w:type="spellEnd"/>
      <w:r w:rsidR="00C53300" w:rsidRPr="00E26409">
        <w:rPr>
          <w:lang w:val="fr-CA"/>
        </w:rPr>
        <w:t xml:space="preserve"> besoin pour s</w:t>
      </w:r>
      <w:r w:rsidR="00A13B74" w:rsidRPr="00E26409">
        <w:rPr>
          <w:lang w:val="fr-CA"/>
        </w:rPr>
        <w:t>’</w:t>
      </w:r>
      <w:r w:rsidR="00C53300" w:rsidRPr="00E26409">
        <w:rPr>
          <w:lang w:val="fr-CA"/>
        </w:rPr>
        <w:t xml:space="preserve">acquitter de ses obligations de représentation? </w:t>
      </w:r>
      <w:r w:rsidR="00E627C3" w:rsidRPr="00E26409">
        <w:rPr>
          <w:lang w:val="fr-CA"/>
        </w:rPr>
        <w:t xml:space="preserve"> </w:t>
      </w:r>
      <w:r w:rsidR="00C53300" w:rsidRPr="00E26409">
        <w:rPr>
          <w:lang w:val="fr-CA"/>
        </w:rPr>
        <w:t>Quelles coordonnées d</w:t>
      </w:r>
      <w:r w:rsidR="00A13B74" w:rsidRPr="00E26409">
        <w:rPr>
          <w:lang w:val="fr-CA"/>
        </w:rPr>
        <w:t>’</w:t>
      </w:r>
      <w:r w:rsidR="00C53300" w:rsidRPr="00E26409">
        <w:rPr>
          <w:lang w:val="fr-CA"/>
        </w:rPr>
        <w:t>employés l</w:t>
      </w:r>
      <w:r w:rsidR="00A13B74" w:rsidRPr="00E26409">
        <w:rPr>
          <w:lang w:val="fr-CA"/>
        </w:rPr>
        <w:t>’</w:t>
      </w:r>
      <w:r w:rsidR="00C53300" w:rsidRPr="00E26409">
        <w:rPr>
          <w:lang w:val="fr-CA"/>
        </w:rPr>
        <w:t xml:space="preserve">employeur </w:t>
      </w:r>
      <w:proofErr w:type="spellStart"/>
      <w:r w:rsidR="00C53300" w:rsidRPr="00E26409">
        <w:rPr>
          <w:lang w:val="fr-CA"/>
        </w:rPr>
        <w:t>avait</w:t>
      </w:r>
      <w:r w:rsidR="00C53300" w:rsidRPr="00E26409">
        <w:rPr>
          <w:lang w:val="fr-CA"/>
        </w:rPr>
        <w:noBreakHyphen/>
        <w:t>il</w:t>
      </w:r>
      <w:proofErr w:type="spellEnd"/>
      <w:r w:rsidR="00C53300" w:rsidRPr="00E26409">
        <w:rPr>
          <w:lang w:val="fr-CA"/>
        </w:rPr>
        <w:t xml:space="preserve"> en sa possession et qu</w:t>
      </w:r>
      <w:r w:rsidR="00A13B74" w:rsidRPr="00E26409">
        <w:rPr>
          <w:lang w:val="fr-CA"/>
        </w:rPr>
        <w:t>’</w:t>
      </w:r>
      <w:r w:rsidR="00C53300" w:rsidRPr="00E26409">
        <w:rPr>
          <w:lang w:val="fr-CA"/>
        </w:rPr>
        <w:t xml:space="preserve">en </w:t>
      </w:r>
      <w:proofErr w:type="spellStart"/>
      <w:r w:rsidR="00C53300" w:rsidRPr="00E26409">
        <w:rPr>
          <w:lang w:val="fr-CA"/>
        </w:rPr>
        <w:t>était</w:t>
      </w:r>
      <w:r w:rsidR="00C53300" w:rsidRPr="00E26409">
        <w:rPr>
          <w:lang w:val="fr-CA"/>
        </w:rPr>
        <w:noBreakHyphen/>
        <w:t>il</w:t>
      </w:r>
      <w:proofErr w:type="spellEnd"/>
      <w:r w:rsidR="00C53300" w:rsidRPr="00E26409">
        <w:rPr>
          <w:lang w:val="fr-CA"/>
        </w:rPr>
        <w:t xml:space="preserve"> de leur exactitude?  L</w:t>
      </w:r>
      <w:r w:rsidR="00A13B74" w:rsidRPr="00E26409">
        <w:rPr>
          <w:lang w:val="fr-CA"/>
        </w:rPr>
        <w:t>’</w:t>
      </w:r>
      <w:r w:rsidR="00C53300" w:rsidRPr="00E26409">
        <w:rPr>
          <w:lang w:val="fr-CA"/>
        </w:rPr>
        <w:t xml:space="preserve">employeur </w:t>
      </w:r>
      <w:proofErr w:type="spellStart"/>
      <w:r w:rsidR="00C53300" w:rsidRPr="00E26409">
        <w:rPr>
          <w:lang w:val="fr-CA"/>
        </w:rPr>
        <w:t>pouvait</w:t>
      </w:r>
      <w:r w:rsidR="00C53300" w:rsidRPr="00E26409">
        <w:rPr>
          <w:lang w:val="fr-CA"/>
        </w:rPr>
        <w:noBreakHyphen/>
        <w:t>il</w:t>
      </w:r>
      <w:proofErr w:type="spellEnd"/>
      <w:r w:rsidR="00C53300" w:rsidRPr="00E26409">
        <w:rPr>
          <w:lang w:val="fr-CA"/>
        </w:rPr>
        <w:t xml:space="preserve"> satisfaire à son obligation de fournir ces renseignements d</w:t>
      </w:r>
      <w:r w:rsidR="00A13B74" w:rsidRPr="00E26409">
        <w:rPr>
          <w:lang w:val="fr-CA"/>
        </w:rPr>
        <w:t>’</w:t>
      </w:r>
      <w:r w:rsidR="00C53300" w:rsidRPr="00E26409">
        <w:rPr>
          <w:lang w:val="fr-CA"/>
        </w:rPr>
        <w:t>une façon qui répond</w:t>
      </w:r>
      <w:r w:rsidR="00AD1C85">
        <w:rPr>
          <w:lang w:val="fr-CA"/>
        </w:rPr>
        <w:t>e</w:t>
      </w:r>
      <w:r w:rsidR="00C53300" w:rsidRPr="00E26409">
        <w:rPr>
          <w:lang w:val="fr-CA"/>
        </w:rPr>
        <w:t xml:space="preserve"> raisonnablement à toutes les préoccupations susceptibles d</w:t>
      </w:r>
      <w:r w:rsidR="00A13B74" w:rsidRPr="00E26409">
        <w:rPr>
          <w:lang w:val="fr-CA"/>
        </w:rPr>
        <w:t>’</w:t>
      </w:r>
      <w:r w:rsidR="00C53300" w:rsidRPr="00E26409">
        <w:rPr>
          <w:lang w:val="fr-CA"/>
        </w:rPr>
        <w:t xml:space="preserve">être soulevées sous le régime de la </w:t>
      </w:r>
      <w:r w:rsidR="00B07F49" w:rsidRPr="00E26409">
        <w:rPr>
          <w:i/>
          <w:lang w:val="fr-CA"/>
        </w:rPr>
        <w:t xml:space="preserve">Loi sur la </w:t>
      </w:r>
      <w:r w:rsidR="00B07F49" w:rsidRPr="00E26409">
        <w:rPr>
          <w:i/>
          <w:lang w:val="fr-CA"/>
        </w:rPr>
        <w:lastRenderedPageBreak/>
        <w:t>protection des renseignements personnels</w:t>
      </w:r>
      <w:r w:rsidR="00C53300" w:rsidRPr="00E26409">
        <w:rPr>
          <w:lang w:val="fr-CA"/>
        </w:rPr>
        <w:t>?  La Commission a ordonné aux parties de se consulter pour qu</w:t>
      </w:r>
      <w:r w:rsidR="00A13B74" w:rsidRPr="00E26409">
        <w:rPr>
          <w:lang w:val="fr-CA"/>
        </w:rPr>
        <w:t>’</w:t>
      </w:r>
      <w:r w:rsidR="00C53300" w:rsidRPr="00E26409">
        <w:rPr>
          <w:lang w:val="fr-CA"/>
        </w:rPr>
        <w:t>elles déterminent si elles pouvaient s</w:t>
      </w:r>
      <w:r w:rsidR="00A13B74" w:rsidRPr="00E26409">
        <w:rPr>
          <w:lang w:val="fr-CA"/>
        </w:rPr>
        <w:t>’</w:t>
      </w:r>
      <w:r w:rsidR="00C53300" w:rsidRPr="00E26409">
        <w:rPr>
          <w:lang w:val="fr-CA"/>
        </w:rPr>
        <w:t>entendre sur les modalités de la communication, faute de quoi elle tiendrait une nouvelle audience pour examiner la question de la réparation.</w:t>
      </w:r>
      <w:r w:rsidR="00E627C3" w:rsidRPr="00E26409">
        <w:rPr>
          <w:lang w:val="fr-CA"/>
        </w:rPr>
        <w:t xml:space="preserve"> </w:t>
      </w:r>
      <w:r w:rsidR="00C53300" w:rsidRPr="00E26409">
        <w:rPr>
          <w:lang w:val="fr-CA"/>
        </w:rPr>
        <w:t xml:space="preserve"> Les parties sont bel et bien parvenues à une entente</w:t>
      </w:r>
      <w:r w:rsidR="00AD1C85">
        <w:rPr>
          <w:lang w:val="fr-CA"/>
        </w:rPr>
        <w:t>,</w:t>
      </w:r>
      <w:r w:rsidR="00C53300" w:rsidRPr="00E26409">
        <w:rPr>
          <w:lang w:val="fr-CA"/>
        </w:rPr>
        <w:t xml:space="preserve"> </w:t>
      </w:r>
      <w:r w:rsidR="00AC0DBF" w:rsidRPr="00E26409">
        <w:rPr>
          <w:lang w:val="fr-CA"/>
        </w:rPr>
        <w:t>au sujet de la réparation</w:t>
      </w:r>
      <w:r w:rsidR="00AD1C85">
        <w:rPr>
          <w:lang w:val="fr-CA"/>
        </w:rPr>
        <w:t>,</w:t>
      </w:r>
      <w:r w:rsidR="00AC0DBF" w:rsidRPr="00E26409">
        <w:rPr>
          <w:lang w:val="fr-CA"/>
        </w:rPr>
        <w:t xml:space="preserve"> </w:t>
      </w:r>
      <w:r w:rsidR="00C53300" w:rsidRPr="00E26409">
        <w:rPr>
          <w:lang w:val="fr-CA"/>
        </w:rPr>
        <w:t xml:space="preserve">que </w:t>
      </w:r>
      <w:r w:rsidR="00AC0DBF" w:rsidRPr="00E26409">
        <w:rPr>
          <w:lang w:val="fr-CA"/>
        </w:rPr>
        <w:t>la Commission</w:t>
      </w:r>
      <w:r w:rsidR="00C53300" w:rsidRPr="00E26409">
        <w:rPr>
          <w:lang w:val="fr-CA"/>
        </w:rPr>
        <w:t xml:space="preserve"> a </w:t>
      </w:r>
      <w:r w:rsidR="00AC0DBF" w:rsidRPr="00E26409">
        <w:rPr>
          <w:lang w:val="fr-CA"/>
        </w:rPr>
        <w:t>intégrée</w:t>
      </w:r>
      <w:r w:rsidR="00C53300" w:rsidRPr="00E26409">
        <w:rPr>
          <w:lang w:val="fr-CA"/>
        </w:rPr>
        <w:t xml:space="preserve"> à une ordonnance</w:t>
      </w:r>
      <w:r w:rsidR="00AC0DBF" w:rsidRPr="00E26409">
        <w:rPr>
          <w:lang w:val="fr-CA"/>
        </w:rPr>
        <w:t xml:space="preserve"> sur consentement.</w:t>
      </w:r>
      <w:r w:rsidR="00C53300" w:rsidRPr="00E26409">
        <w:rPr>
          <w:lang w:val="fr-CA"/>
        </w:rPr>
        <w:t xml:space="preserve">  </w:t>
      </w:r>
    </w:p>
    <w:p w:rsidR="00EE5B8B" w:rsidRPr="00E26409" w:rsidRDefault="00AC0DBF" w:rsidP="00EE5B8B">
      <w:pPr>
        <w:pStyle w:val="SCCNormalDoubleSpacing"/>
        <w:spacing w:before="480" w:after="480"/>
        <w:rPr>
          <w:lang w:val="fr-CA"/>
        </w:rPr>
      </w:pPr>
      <w:r w:rsidRPr="00E26409">
        <w:rPr>
          <w:lang w:val="fr-CA"/>
        </w:rPr>
        <w:tab/>
        <w:t>Aux termes de l</w:t>
      </w:r>
      <w:r w:rsidR="00A13B74" w:rsidRPr="00E26409">
        <w:rPr>
          <w:lang w:val="fr-CA"/>
        </w:rPr>
        <w:t>’</w:t>
      </w:r>
      <w:r w:rsidRPr="00E26409">
        <w:rPr>
          <w:lang w:val="fr-CA"/>
        </w:rPr>
        <w:t>entente, l</w:t>
      </w:r>
      <w:r w:rsidR="00A13B74" w:rsidRPr="00E26409">
        <w:rPr>
          <w:lang w:val="fr-CA"/>
        </w:rPr>
        <w:t>’</w:t>
      </w:r>
      <w:r w:rsidRPr="00E26409">
        <w:rPr>
          <w:lang w:val="fr-CA"/>
        </w:rPr>
        <w:t>employeur devait, sous réserve de certaines conditions — toutes liées à la sécurité et au caractère privé des renseignements en cause —, communiquer tous les trimestres au syndicat les adresses postales et les numéros de téléphone à domicile des membres de l</w:t>
      </w:r>
      <w:r w:rsidR="00A13B74" w:rsidRPr="00E26409">
        <w:rPr>
          <w:lang w:val="fr-CA"/>
        </w:rPr>
        <w:t>’</w:t>
      </w:r>
      <w:r w:rsidRPr="00E26409">
        <w:rPr>
          <w:lang w:val="fr-CA"/>
        </w:rPr>
        <w:t>unité de négociation.  Le syndicat s</w:t>
      </w:r>
      <w:r w:rsidR="00A13B74" w:rsidRPr="00E26409">
        <w:rPr>
          <w:lang w:val="fr-CA"/>
        </w:rPr>
        <w:t>’</w:t>
      </w:r>
      <w:r w:rsidRPr="00E26409">
        <w:rPr>
          <w:lang w:val="fr-CA"/>
        </w:rPr>
        <w:t>engageait à ne communiquer ces renseignements qu</w:t>
      </w:r>
      <w:r w:rsidR="00A13B74" w:rsidRPr="00E26409">
        <w:rPr>
          <w:lang w:val="fr-CA"/>
        </w:rPr>
        <w:t>’</w:t>
      </w:r>
      <w:r w:rsidRPr="00E26409">
        <w:rPr>
          <w:lang w:val="fr-CA"/>
        </w:rPr>
        <w:t>aux représentants syndicaux autorisés; à ne pas les utiliser, les copier ou les compiler à d</w:t>
      </w:r>
      <w:r w:rsidR="00A13B74" w:rsidRPr="00E26409">
        <w:rPr>
          <w:lang w:val="fr-CA"/>
        </w:rPr>
        <w:t>’</w:t>
      </w:r>
      <w:r w:rsidRPr="00E26409">
        <w:rPr>
          <w:lang w:val="fr-CA"/>
        </w:rPr>
        <w:t>autres fins; et à s</w:t>
      </w:r>
      <w:r w:rsidR="00A13B74" w:rsidRPr="00E26409">
        <w:rPr>
          <w:lang w:val="fr-CA"/>
        </w:rPr>
        <w:t>’</w:t>
      </w:r>
      <w:r w:rsidRPr="00E26409">
        <w:rPr>
          <w:lang w:val="fr-CA"/>
        </w:rPr>
        <w:t>assurer que les personnes y ayant accès se conforment à toutes les dispositions de l</w:t>
      </w:r>
      <w:r w:rsidR="00A13B74" w:rsidRPr="00E26409">
        <w:rPr>
          <w:lang w:val="fr-CA"/>
        </w:rPr>
        <w:t>’</w:t>
      </w:r>
      <w:r w:rsidRPr="00E26409">
        <w:rPr>
          <w:lang w:val="fr-CA"/>
        </w:rPr>
        <w:t>entente.</w:t>
      </w:r>
      <w:r w:rsidR="00EE5B8B" w:rsidRPr="00E26409">
        <w:rPr>
          <w:lang w:val="fr-CA"/>
        </w:rPr>
        <w:t xml:space="preserve">  </w:t>
      </w:r>
      <w:r w:rsidRPr="00E26409">
        <w:rPr>
          <w:lang w:val="fr-CA"/>
        </w:rPr>
        <w:t>L</w:t>
      </w:r>
      <w:r w:rsidR="00A13B74" w:rsidRPr="00E26409">
        <w:rPr>
          <w:lang w:val="fr-CA"/>
        </w:rPr>
        <w:t>’</w:t>
      </w:r>
      <w:r w:rsidRPr="00E26409">
        <w:rPr>
          <w:lang w:val="fr-CA"/>
        </w:rPr>
        <w:t>employeur et le syndicat ont également convenu d</w:t>
      </w:r>
      <w:r w:rsidR="00A13B74" w:rsidRPr="00E26409">
        <w:rPr>
          <w:lang w:val="fr-CA"/>
        </w:rPr>
        <w:t>’</w:t>
      </w:r>
      <w:r w:rsidRPr="00E26409">
        <w:rPr>
          <w:lang w:val="fr-CA"/>
        </w:rPr>
        <w:t>aviser les employés, préalablement et de façon conjointe, des renseignements qui seraient communiqués; ils se sont aussi entendus sur le texte de cet avis.  Un courriel a donc été envoyé à tous les membres de l</w:t>
      </w:r>
      <w:r w:rsidR="00A13B74" w:rsidRPr="00E26409">
        <w:rPr>
          <w:lang w:val="fr-CA"/>
        </w:rPr>
        <w:t>’</w:t>
      </w:r>
      <w:r w:rsidRPr="00E26409">
        <w:rPr>
          <w:lang w:val="fr-CA"/>
        </w:rPr>
        <w:t>unité de négociation, y compris B, qui a répondu par une demande de contrôle judiciaire de l</w:t>
      </w:r>
      <w:r w:rsidR="00A13B74" w:rsidRPr="00E26409">
        <w:rPr>
          <w:lang w:val="fr-CA"/>
        </w:rPr>
        <w:t>’</w:t>
      </w:r>
      <w:r w:rsidRPr="00E26409">
        <w:rPr>
          <w:lang w:val="fr-CA"/>
        </w:rPr>
        <w:t>ordonnance sur consentement.</w:t>
      </w:r>
    </w:p>
    <w:p w:rsidR="00EE5B8B" w:rsidRPr="00E26409" w:rsidRDefault="00EE5B8B" w:rsidP="00EE5B8B">
      <w:pPr>
        <w:pStyle w:val="SCCNormalDoubleSpacing"/>
        <w:spacing w:before="480" w:after="480"/>
        <w:rPr>
          <w:lang w:val="fr-CA"/>
        </w:rPr>
      </w:pPr>
      <w:r w:rsidRPr="00E26409">
        <w:rPr>
          <w:lang w:val="fr-CA"/>
        </w:rPr>
        <w:tab/>
      </w:r>
      <w:r w:rsidR="00690487" w:rsidRPr="00E26409">
        <w:rPr>
          <w:lang w:val="fr-CA"/>
        </w:rPr>
        <w:t>Selon la Cour d</w:t>
      </w:r>
      <w:r w:rsidR="00A13B74" w:rsidRPr="00E26409">
        <w:rPr>
          <w:lang w:val="fr-CA"/>
        </w:rPr>
        <w:t>’</w:t>
      </w:r>
      <w:r w:rsidR="00690487" w:rsidRPr="00E26409">
        <w:rPr>
          <w:lang w:val="fr-CA"/>
        </w:rPr>
        <w:t>appel fédérale, au lieu de simplement adopter l</w:t>
      </w:r>
      <w:r w:rsidR="00A13B74" w:rsidRPr="00E26409">
        <w:rPr>
          <w:lang w:val="fr-CA"/>
        </w:rPr>
        <w:t>’</w:t>
      </w:r>
      <w:r w:rsidR="00690487" w:rsidRPr="00E26409">
        <w:rPr>
          <w:lang w:val="fr-CA"/>
        </w:rPr>
        <w:t>accord conclu par les parties, la Commission aurait dû examiner l</w:t>
      </w:r>
      <w:r w:rsidR="00A13B74" w:rsidRPr="00E26409">
        <w:rPr>
          <w:lang w:val="fr-CA"/>
        </w:rPr>
        <w:t>’</w:t>
      </w:r>
      <w:r w:rsidR="00690487" w:rsidRPr="00E26409">
        <w:rPr>
          <w:lang w:val="fr-CA"/>
        </w:rPr>
        <w:t xml:space="preserve">application de la </w:t>
      </w:r>
      <w:r w:rsidR="00B07F49" w:rsidRPr="00E26409">
        <w:rPr>
          <w:i/>
          <w:lang w:val="fr-CA"/>
        </w:rPr>
        <w:t>Loi sur la protection des renseignements personnels</w:t>
      </w:r>
      <w:r w:rsidR="00690487" w:rsidRPr="00E26409">
        <w:rPr>
          <w:lang w:val="fr-CA"/>
        </w:rPr>
        <w:t xml:space="preserve"> à la communication des coordonnées résidentielles</w:t>
      </w:r>
      <w:r w:rsidR="00B07F49" w:rsidRPr="00E26409">
        <w:rPr>
          <w:lang w:val="fr-CA"/>
        </w:rPr>
        <w:t xml:space="preserve">.  </w:t>
      </w:r>
      <w:r w:rsidR="00690487" w:rsidRPr="00E26409">
        <w:rPr>
          <w:lang w:val="fr-CA"/>
        </w:rPr>
        <w:t>Elle a donc renvoyé l</w:t>
      </w:r>
      <w:r w:rsidR="00A13B74" w:rsidRPr="00E26409">
        <w:rPr>
          <w:lang w:val="fr-CA"/>
        </w:rPr>
        <w:t>’</w:t>
      </w:r>
      <w:r w:rsidR="00690487" w:rsidRPr="00E26409">
        <w:rPr>
          <w:lang w:val="fr-CA"/>
        </w:rPr>
        <w:t>affaire à la Commission pour qu</w:t>
      </w:r>
      <w:r w:rsidR="00A13B74" w:rsidRPr="00E26409">
        <w:rPr>
          <w:lang w:val="fr-CA"/>
        </w:rPr>
        <w:t>’</w:t>
      </w:r>
      <w:r w:rsidR="00690487" w:rsidRPr="00E26409">
        <w:rPr>
          <w:lang w:val="fr-CA"/>
        </w:rPr>
        <w:t xml:space="preserve">elle rende une </w:t>
      </w:r>
      <w:r w:rsidR="00690487" w:rsidRPr="00E26409">
        <w:rPr>
          <w:lang w:val="fr-CA"/>
        </w:rPr>
        <w:lastRenderedPageBreak/>
        <w:t xml:space="preserve">nouvelle décision, et a ordonné que le Commissariat à la protection de la vie privée et B </w:t>
      </w:r>
      <w:proofErr w:type="gramStart"/>
      <w:r w:rsidR="00690487" w:rsidRPr="00E26409">
        <w:rPr>
          <w:lang w:val="fr-CA"/>
        </w:rPr>
        <w:t>soient</w:t>
      </w:r>
      <w:proofErr w:type="gramEnd"/>
      <w:r w:rsidR="00690487" w:rsidRPr="00E26409">
        <w:rPr>
          <w:lang w:val="fr-CA"/>
        </w:rPr>
        <w:t xml:space="preserve"> avisés de la procédure de réexamen et invités à présenter des observations</w:t>
      </w:r>
      <w:r w:rsidRPr="00E26409">
        <w:rPr>
          <w:lang w:val="fr-CA"/>
        </w:rPr>
        <w:t xml:space="preserve">.  </w:t>
      </w:r>
      <w:r w:rsidR="00912E9C" w:rsidRPr="00E26409">
        <w:rPr>
          <w:lang w:val="fr-CA"/>
        </w:rPr>
        <w:t>Dans le cadre de l</w:t>
      </w:r>
      <w:r w:rsidR="00A13B74" w:rsidRPr="00E26409">
        <w:rPr>
          <w:lang w:val="fr-CA"/>
        </w:rPr>
        <w:t>’</w:t>
      </w:r>
      <w:r w:rsidR="00912E9C" w:rsidRPr="00E26409">
        <w:rPr>
          <w:lang w:val="fr-CA"/>
        </w:rPr>
        <w:t xml:space="preserve">audience en réexamen, B a fait valoir que la communication de </w:t>
      </w:r>
      <w:proofErr w:type="gramStart"/>
      <w:r w:rsidR="00912E9C" w:rsidRPr="00E26409">
        <w:rPr>
          <w:lang w:val="fr-CA"/>
        </w:rPr>
        <w:t>ses adresse</w:t>
      </w:r>
      <w:proofErr w:type="gramEnd"/>
      <w:r w:rsidR="00912E9C" w:rsidRPr="00E26409">
        <w:rPr>
          <w:lang w:val="fr-CA"/>
        </w:rPr>
        <w:t xml:space="preserve"> et numéro de téléphone à domicile portait atteinte à son droit à la vie privée ainsi qu</w:t>
      </w:r>
      <w:r w:rsidR="00A13B74" w:rsidRPr="00E26409">
        <w:rPr>
          <w:lang w:val="fr-CA"/>
        </w:rPr>
        <w:t>’</w:t>
      </w:r>
      <w:r w:rsidR="00912E9C" w:rsidRPr="00E26409">
        <w:rPr>
          <w:lang w:val="fr-CA"/>
        </w:rPr>
        <w:t xml:space="preserve">à son droit protégé par la </w:t>
      </w:r>
      <w:r w:rsidR="00912E9C" w:rsidRPr="00E26409">
        <w:rPr>
          <w:i/>
          <w:lang w:val="fr-CA"/>
        </w:rPr>
        <w:t>Charte</w:t>
      </w:r>
      <w:r w:rsidR="00912E9C" w:rsidRPr="00E26409">
        <w:rPr>
          <w:lang w:val="fr-CA"/>
        </w:rPr>
        <w:t xml:space="preserve"> de ne pas s</w:t>
      </w:r>
      <w:r w:rsidR="00A13B74" w:rsidRPr="00E26409">
        <w:rPr>
          <w:lang w:val="fr-CA"/>
        </w:rPr>
        <w:t>’</w:t>
      </w:r>
      <w:r w:rsidR="00912E9C" w:rsidRPr="00E26409">
        <w:rPr>
          <w:lang w:val="fr-CA"/>
        </w:rPr>
        <w:t xml:space="preserve">associer au syndicat.  </w:t>
      </w:r>
      <w:r w:rsidRPr="00E26409">
        <w:rPr>
          <w:lang w:val="fr-CA"/>
        </w:rPr>
        <w:t xml:space="preserve">  </w:t>
      </w:r>
    </w:p>
    <w:p w:rsidR="00EE5B8B" w:rsidRPr="00E26409" w:rsidRDefault="00EE5B8B" w:rsidP="00EE5B8B">
      <w:pPr>
        <w:pStyle w:val="SCCNormalDoubleSpacing"/>
        <w:spacing w:before="480" w:after="480"/>
        <w:rPr>
          <w:lang w:val="fr-CA"/>
        </w:rPr>
      </w:pPr>
      <w:r w:rsidRPr="00E26409">
        <w:rPr>
          <w:lang w:val="fr-CA"/>
        </w:rPr>
        <w:tab/>
      </w:r>
      <w:r w:rsidR="00941493" w:rsidRPr="00E26409">
        <w:rPr>
          <w:lang w:val="fr-CA"/>
        </w:rPr>
        <w:t>La Commission a conclu à l</w:t>
      </w:r>
      <w:r w:rsidR="00A13B74" w:rsidRPr="00E26409">
        <w:rPr>
          <w:lang w:val="fr-CA"/>
        </w:rPr>
        <w:t>’</w:t>
      </w:r>
      <w:r w:rsidR="00941493" w:rsidRPr="00E26409">
        <w:rPr>
          <w:lang w:val="fr-CA"/>
        </w:rPr>
        <w:t>insuffisance des coordonnées au travail pour permettre à l</w:t>
      </w:r>
      <w:r w:rsidR="00A13B74" w:rsidRPr="00E26409">
        <w:rPr>
          <w:lang w:val="fr-CA"/>
        </w:rPr>
        <w:t>’</w:t>
      </w:r>
      <w:r w:rsidR="00941493" w:rsidRPr="00E26409">
        <w:rPr>
          <w:lang w:val="fr-CA"/>
        </w:rPr>
        <w:t>agent négociateur de satisfaire à ses obligations de représentation envers tous les employés de l</w:t>
      </w:r>
      <w:r w:rsidR="00A13B74" w:rsidRPr="00E26409">
        <w:rPr>
          <w:lang w:val="fr-CA"/>
        </w:rPr>
        <w:t>’</w:t>
      </w:r>
      <w:r w:rsidR="00941493" w:rsidRPr="00E26409">
        <w:rPr>
          <w:lang w:val="fr-CA"/>
        </w:rPr>
        <w:t xml:space="preserve">unité de négociation et </w:t>
      </w:r>
      <w:r w:rsidR="00921F1D">
        <w:rPr>
          <w:lang w:val="fr-CA"/>
        </w:rPr>
        <w:t xml:space="preserve">a </w:t>
      </w:r>
      <w:r w:rsidR="00941493" w:rsidRPr="00E26409">
        <w:rPr>
          <w:lang w:val="fr-CA"/>
        </w:rPr>
        <w:t>ajouté qu</w:t>
      </w:r>
      <w:r w:rsidR="00A13B74" w:rsidRPr="00E26409">
        <w:rPr>
          <w:lang w:val="fr-CA"/>
        </w:rPr>
        <w:t>’</w:t>
      </w:r>
      <w:r w:rsidR="00941493" w:rsidRPr="00E26409">
        <w:rPr>
          <w:lang w:val="fr-CA"/>
        </w:rPr>
        <w:t>un agent négociateur a le droit de communiquer avec tous les employés directement</w:t>
      </w:r>
      <w:r w:rsidRPr="00E26409">
        <w:rPr>
          <w:lang w:val="fr-CA"/>
        </w:rPr>
        <w:t xml:space="preserve">.  </w:t>
      </w:r>
      <w:r w:rsidR="00941493" w:rsidRPr="00E26409">
        <w:rPr>
          <w:lang w:val="fr-CA"/>
        </w:rPr>
        <w:t>Elle a aussi conclu qu</w:t>
      </w:r>
      <w:r w:rsidR="00A13B74" w:rsidRPr="00E26409">
        <w:rPr>
          <w:lang w:val="fr-CA"/>
        </w:rPr>
        <w:t>’</w:t>
      </w:r>
      <w:r w:rsidR="00941493" w:rsidRPr="00E26409">
        <w:rPr>
          <w:lang w:val="fr-CA"/>
        </w:rPr>
        <w:t>il n</w:t>
      </w:r>
      <w:r w:rsidR="00A13B74" w:rsidRPr="00E26409">
        <w:rPr>
          <w:lang w:val="fr-CA"/>
        </w:rPr>
        <w:t>’</w:t>
      </w:r>
      <w:r w:rsidR="00941493" w:rsidRPr="00E26409">
        <w:rPr>
          <w:lang w:val="fr-CA"/>
        </w:rPr>
        <w:t xml:space="preserve">y a eu aucune violation de la </w:t>
      </w:r>
      <w:r w:rsidR="00B07F49" w:rsidRPr="00E26409">
        <w:rPr>
          <w:i/>
          <w:lang w:val="fr-CA"/>
        </w:rPr>
        <w:t>Loi sur la protection des renseignements personnels</w:t>
      </w:r>
      <w:r w:rsidR="00941493" w:rsidRPr="00E26409">
        <w:rPr>
          <w:i/>
          <w:lang w:val="fr-CA"/>
        </w:rPr>
        <w:t xml:space="preserve"> </w:t>
      </w:r>
      <w:r w:rsidR="00941493" w:rsidRPr="00E26409">
        <w:rPr>
          <w:lang w:val="fr-CA"/>
        </w:rPr>
        <w:t>lors de la communication d</w:t>
      </w:r>
      <w:r w:rsidR="00A13B74" w:rsidRPr="00E26409">
        <w:rPr>
          <w:lang w:val="fr-CA"/>
        </w:rPr>
        <w:t>’</w:t>
      </w:r>
      <w:r w:rsidR="00941493" w:rsidRPr="00E26409">
        <w:rPr>
          <w:lang w:val="fr-CA"/>
        </w:rPr>
        <w:t xml:space="preserve">adresses et de numéros de téléphone résidentiels aux agents négociateurs, parce que </w:t>
      </w:r>
      <w:proofErr w:type="spellStart"/>
      <w:r w:rsidR="00941493" w:rsidRPr="00E26409">
        <w:rPr>
          <w:lang w:val="fr-CA"/>
        </w:rPr>
        <w:t>celle</w:t>
      </w:r>
      <w:r w:rsidR="00941493" w:rsidRPr="00E26409">
        <w:rPr>
          <w:lang w:val="fr-CA"/>
        </w:rPr>
        <w:noBreakHyphen/>
        <w:t>ci</w:t>
      </w:r>
      <w:proofErr w:type="spellEnd"/>
      <w:r w:rsidR="00941493" w:rsidRPr="00E26409">
        <w:rPr>
          <w:lang w:val="fr-CA"/>
        </w:rPr>
        <w:t xml:space="preserve"> était compatible avec les fins auxquelles ces renseignements avaient été recueillis et qu</w:t>
      </w:r>
      <w:r w:rsidR="00A13B74" w:rsidRPr="00E26409">
        <w:rPr>
          <w:lang w:val="fr-CA"/>
        </w:rPr>
        <w:t>’</w:t>
      </w:r>
      <w:r w:rsidR="00941493" w:rsidRPr="00E26409">
        <w:rPr>
          <w:lang w:val="fr-CA"/>
        </w:rPr>
        <w:t>elle constituait donc un « usage compatible » au sens où il faut l</w:t>
      </w:r>
      <w:r w:rsidR="00A13B74" w:rsidRPr="00E26409">
        <w:rPr>
          <w:lang w:val="fr-CA"/>
        </w:rPr>
        <w:t>’</w:t>
      </w:r>
      <w:r w:rsidR="00941493" w:rsidRPr="00E26409">
        <w:rPr>
          <w:lang w:val="fr-CA"/>
        </w:rPr>
        <w:t>entendre pour l</w:t>
      </w:r>
      <w:r w:rsidR="00A13B74" w:rsidRPr="00E26409">
        <w:rPr>
          <w:lang w:val="fr-CA"/>
        </w:rPr>
        <w:t>’</w:t>
      </w:r>
      <w:r w:rsidR="00941493" w:rsidRPr="00E26409">
        <w:rPr>
          <w:lang w:val="fr-CA"/>
        </w:rPr>
        <w:t>application de l</w:t>
      </w:r>
      <w:r w:rsidR="00A13B74" w:rsidRPr="00E26409">
        <w:rPr>
          <w:lang w:val="fr-CA"/>
        </w:rPr>
        <w:t>’</w:t>
      </w:r>
      <w:r w:rsidR="00941493" w:rsidRPr="00E26409">
        <w:rPr>
          <w:lang w:val="fr-CA"/>
        </w:rPr>
        <w:t>al. 8(2)</w:t>
      </w:r>
      <w:r w:rsidR="00941493" w:rsidRPr="00E26409">
        <w:rPr>
          <w:i/>
          <w:lang w:val="fr-CA"/>
        </w:rPr>
        <w:t>a</w:t>
      </w:r>
      <w:r w:rsidR="00941493" w:rsidRPr="00E26409">
        <w:rPr>
          <w:lang w:val="fr-CA"/>
        </w:rPr>
        <w:t xml:space="preserve">) de la </w:t>
      </w:r>
      <w:r w:rsidR="00B07F49" w:rsidRPr="00E26409">
        <w:rPr>
          <w:i/>
          <w:lang w:val="fr-CA"/>
        </w:rPr>
        <w:t>Loi sur la protection des renseignements personnels</w:t>
      </w:r>
      <w:r w:rsidRPr="00E26409">
        <w:rPr>
          <w:lang w:val="fr-CA"/>
        </w:rPr>
        <w:t xml:space="preserve">.  </w:t>
      </w:r>
      <w:r w:rsidR="00941493" w:rsidRPr="00E26409">
        <w:rPr>
          <w:lang w:val="fr-CA"/>
        </w:rPr>
        <w:t>Elle a néanmoins mis en place deux mesures de protection supplémentaires</w:t>
      </w:r>
      <w:r w:rsidR="00AD1C85">
        <w:rPr>
          <w:lang w:val="fr-CA"/>
        </w:rPr>
        <w:t>,</w:t>
      </w:r>
      <w:r w:rsidR="00941493" w:rsidRPr="00E26409">
        <w:rPr>
          <w:lang w:val="fr-CA"/>
        </w:rPr>
        <w:t xml:space="preserve"> à savoir : l</w:t>
      </w:r>
      <w:r w:rsidR="00A13B74" w:rsidRPr="00E26409">
        <w:rPr>
          <w:lang w:val="fr-CA"/>
        </w:rPr>
        <w:t>’</w:t>
      </w:r>
      <w:r w:rsidR="00941493" w:rsidRPr="00E26409">
        <w:rPr>
          <w:lang w:val="fr-CA"/>
        </w:rPr>
        <w:t>obligation pour l</w:t>
      </w:r>
      <w:r w:rsidR="00A13B74" w:rsidRPr="00E26409">
        <w:rPr>
          <w:lang w:val="fr-CA"/>
        </w:rPr>
        <w:t>’</w:t>
      </w:r>
      <w:r w:rsidR="00941493" w:rsidRPr="00E26409">
        <w:rPr>
          <w:lang w:val="fr-CA"/>
        </w:rPr>
        <w:t>employeur de transmettre les renseignements au syndicat exclusivement au moyen de dispositifs cryptés ou protégés par mot de passe; et l</w:t>
      </w:r>
      <w:r w:rsidR="00A13B74" w:rsidRPr="00E26409">
        <w:rPr>
          <w:lang w:val="fr-CA"/>
        </w:rPr>
        <w:t>’</w:t>
      </w:r>
      <w:r w:rsidR="00941493" w:rsidRPr="00E26409">
        <w:rPr>
          <w:lang w:val="fr-CA"/>
        </w:rPr>
        <w:t>obligation pour le syndicat de dûment disposer des coordonnées résidentielles désuètes lorsque des renseignements à jour lui sont fournis.  Ayant conclu que la Cour d</w:t>
      </w:r>
      <w:r w:rsidR="00A13B74" w:rsidRPr="00E26409">
        <w:rPr>
          <w:lang w:val="fr-CA"/>
        </w:rPr>
        <w:t>’</w:t>
      </w:r>
      <w:r w:rsidR="00941493" w:rsidRPr="00E26409">
        <w:rPr>
          <w:lang w:val="fr-CA"/>
        </w:rPr>
        <w:t>appel fédérale lui ordonnait uniquement d</w:t>
      </w:r>
      <w:r w:rsidR="00A13B74" w:rsidRPr="00E26409">
        <w:rPr>
          <w:lang w:val="fr-CA"/>
        </w:rPr>
        <w:t>’</w:t>
      </w:r>
      <w:r w:rsidR="00941493" w:rsidRPr="00E26409">
        <w:rPr>
          <w:lang w:val="fr-CA"/>
        </w:rPr>
        <w:t>examiner la question du droit à la vie privée des employés de l</w:t>
      </w:r>
      <w:r w:rsidR="00A13B74" w:rsidRPr="00E26409">
        <w:rPr>
          <w:lang w:val="fr-CA"/>
        </w:rPr>
        <w:t>’</w:t>
      </w:r>
      <w:r w:rsidR="00941493" w:rsidRPr="00E26409">
        <w:rPr>
          <w:lang w:val="fr-CA"/>
        </w:rPr>
        <w:t>unité de négociation, la Commission ne s</w:t>
      </w:r>
      <w:r w:rsidR="00A13B74" w:rsidRPr="00E26409">
        <w:rPr>
          <w:lang w:val="fr-CA"/>
        </w:rPr>
        <w:t>’</w:t>
      </w:r>
      <w:r w:rsidR="00941493" w:rsidRPr="00E26409">
        <w:rPr>
          <w:lang w:val="fr-CA"/>
        </w:rPr>
        <w:t xml:space="preserve">est pas penchée sur les arguments de B fondés sur la </w:t>
      </w:r>
      <w:r w:rsidR="00941493" w:rsidRPr="00E26409">
        <w:rPr>
          <w:i/>
          <w:lang w:val="fr-CA"/>
        </w:rPr>
        <w:t>Charte</w:t>
      </w:r>
      <w:r w:rsidRPr="00E26409">
        <w:rPr>
          <w:lang w:val="fr-CA"/>
        </w:rPr>
        <w:t>.</w:t>
      </w:r>
    </w:p>
    <w:p w:rsidR="00EE5B8B" w:rsidRPr="00E26409" w:rsidRDefault="00EE5B8B" w:rsidP="00EE5B8B">
      <w:pPr>
        <w:pStyle w:val="SCCNormalDoubleSpacing"/>
        <w:spacing w:before="480" w:after="480"/>
        <w:rPr>
          <w:lang w:val="fr-CA"/>
        </w:rPr>
      </w:pPr>
      <w:r w:rsidRPr="00E26409">
        <w:rPr>
          <w:lang w:val="fr-CA"/>
        </w:rPr>
        <w:lastRenderedPageBreak/>
        <w:tab/>
      </w:r>
      <w:r w:rsidR="00ED7676" w:rsidRPr="00E26409">
        <w:rPr>
          <w:lang w:val="fr-CA"/>
        </w:rPr>
        <w:t>B a présenté une nouvelle demande de contrôle judiciaire.  La Cour d</w:t>
      </w:r>
      <w:r w:rsidR="00A13B74" w:rsidRPr="00E26409">
        <w:rPr>
          <w:lang w:val="fr-CA"/>
        </w:rPr>
        <w:t>’</w:t>
      </w:r>
      <w:r w:rsidR="00ED7676" w:rsidRPr="00E26409">
        <w:rPr>
          <w:lang w:val="fr-CA"/>
        </w:rPr>
        <w:t>appel fédérale a alors conclu que la Commission avait rendu une décision raisonnable en concluant que le syndicat avait besoin des coordonnées résidentielles des employés pour satisfaire à ses obligations de représentation et qu</w:t>
      </w:r>
      <w:r w:rsidR="00A13B74" w:rsidRPr="00E26409">
        <w:rPr>
          <w:lang w:val="fr-CA"/>
        </w:rPr>
        <w:t>’</w:t>
      </w:r>
      <w:r w:rsidR="00ED7676" w:rsidRPr="00E26409">
        <w:rPr>
          <w:lang w:val="fr-CA"/>
        </w:rPr>
        <w:t>il avait fait un « usage compatible » de ces renseignements au sens où il faut l</w:t>
      </w:r>
      <w:r w:rsidR="00A13B74" w:rsidRPr="00E26409">
        <w:rPr>
          <w:lang w:val="fr-CA"/>
        </w:rPr>
        <w:t>’</w:t>
      </w:r>
      <w:r w:rsidR="00ED7676" w:rsidRPr="00E26409">
        <w:rPr>
          <w:lang w:val="fr-CA"/>
        </w:rPr>
        <w:t>entendre pour l</w:t>
      </w:r>
      <w:r w:rsidR="00A13B74" w:rsidRPr="00E26409">
        <w:rPr>
          <w:lang w:val="fr-CA"/>
        </w:rPr>
        <w:t>’</w:t>
      </w:r>
      <w:r w:rsidR="00ED7676" w:rsidRPr="00E26409">
        <w:rPr>
          <w:lang w:val="fr-CA"/>
        </w:rPr>
        <w:t>application de l</w:t>
      </w:r>
      <w:r w:rsidR="00A13B74" w:rsidRPr="00E26409">
        <w:rPr>
          <w:lang w:val="fr-CA"/>
        </w:rPr>
        <w:t>’</w:t>
      </w:r>
      <w:r w:rsidR="00ED7676" w:rsidRPr="00E26409">
        <w:rPr>
          <w:lang w:val="fr-CA"/>
        </w:rPr>
        <w:t>al. 8(2)</w:t>
      </w:r>
      <w:r w:rsidR="00ED7676" w:rsidRPr="00E26409">
        <w:rPr>
          <w:i/>
          <w:lang w:val="fr-CA"/>
        </w:rPr>
        <w:t>a</w:t>
      </w:r>
      <w:r w:rsidR="00ED7676" w:rsidRPr="00E26409">
        <w:rPr>
          <w:lang w:val="fr-CA"/>
        </w:rPr>
        <w:t xml:space="preserve">) de la </w:t>
      </w:r>
      <w:r w:rsidR="00166760" w:rsidRPr="00E26409">
        <w:rPr>
          <w:i/>
          <w:lang w:val="fr-FR"/>
        </w:rPr>
        <w:t>Loi sur la protection des renseignements personnels</w:t>
      </w:r>
      <w:r w:rsidRPr="00E26409">
        <w:rPr>
          <w:lang w:val="fr-CA"/>
        </w:rPr>
        <w:t xml:space="preserve">. </w:t>
      </w:r>
    </w:p>
    <w:p w:rsidR="00EE5B8B" w:rsidRPr="00E26409" w:rsidRDefault="00EE5B8B" w:rsidP="00EE5B8B">
      <w:pPr>
        <w:pStyle w:val="SCCNormalDoubleSpacing"/>
        <w:spacing w:before="480" w:after="480"/>
        <w:rPr>
          <w:lang w:val="fr-CA"/>
        </w:rPr>
      </w:pPr>
      <w:r w:rsidRPr="00E26409">
        <w:rPr>
          <w:lang w:val="fr-CA"/>
        </w:rPr>
        <w:tab/>
      </w:r>
      <w:r w:rsidRPr="00E26409">
        <w:rPr>
          <w:i/>
          <w:lang w:val="fr-CA"/>
        </w:rPr>
        <w:t>Arrêt</w:t>
      </w:r>
      <w:r w:rsidRPr="00E26409">
        <w:rPr>
          <w:lang w:val="fr-CA"/>
        </w:rPr>
        <w:t xml:space="preserve"> (les juges </w:t>
      </w:r>
      <w:proofErr w:type="spellStart"/>
      <w:r w:rsidRPr="00E26409">
        <w:rPr>
          <w:lang w:val="fr-CA"/>
        </w:rPr>
        <w:t>Rothstein</w:t>
      </w:r>
      <w:proofErr w:type="spellEnd"/>
      <w:r w:rsidRPr="00E26409">
        <w:rPr>
          <w:lang w:val="fr-CA"/>
        </w:rPr>
        <w:t xml:space="preserve"> et </w:t>
      </w:r>
      <w:proofErr w:type="spellStart"/>
      <w:r w:rsidRPr="00E26409">
        <w:rPr>
          <w:lang w:val="fr-CA"/>
        </w:rPr>
        <w:t>Moldaver</w:t>
      </w:r>
      <w:proofErr w:type="spellEnd"/>
      <w:r w:rsidRPr="00E26409">
        <w:rPr>
          <w:lang w:val="fr-CA"/>
        </w:rPr>
        <w:t xml:space="preserve"> sont dissidents en partie) </w:t>
      </w:r>
      <w:r w:rsidRPr="00542EF6">
        <w:rPr>
          <w:lang w:val="fr-CA"/>
        </w:rPr>
        <w:t>:</w:t>
      </w:r>
      <w:r w:rsidRPr="00E26409">
        <w:rPr>
          <w:lang w:val="fr-CA"/>
        </w:rPr>
        <w:t xml:space="preserve"> Le pourvoi est rejeté.</w:t>
      </w:r>
    </w:p>
    <w:p w:rsidR="00EE5B8B" w:rsidRPr="00E26409" w:rsidRDefault="00EE5B8B" w:rsidP="00EE5B8B">
      <w:pPr>
        <w:pStyle w:val="SCCNormalDoubleSpacing"/>
        <w:spacing w:before="480" w:after="480"/>
        <w:rPr>
          <w:lang w:val="fr-CA"/>
        </w:rPr>
      </w:pPr>
      <w:r w:rsidRPr="00E26409">
        <w:rPr>
          <w:lang w:val="fr-CA"/>
        </w:rPr>
        <w:tab/>
      </w:r>
      <w:r w:rsidRPr="00E26409">
        <w:rPr>
          <w:i/>
          <w:lang w:val="fr-CA"/>
        </w:rPr>
        <w:t>L</w:t>
      </w:r>
      <w:r w:rsidR="00166760" w:rsidRPr="00E26409">
        <w:rPr>
          <w:i/>
          <w:lang w:val="fr-CA"/>
        </w:rPr>
        <w:t>es</w:t>
      </w:r>
      <w:r w:rsidRPr="00E26409">
        <w:rPr>
          <w:lang w:val="fr-CA"/>
        </w:rPr>
        <w:t xml:space="preserve"> juges LeBel, </w:t>
      </w:r>
      <w:r w:rsidRPr="00AD1C85">
        <w:rPr>
          <w:lang w:val="fr-CA"/>
        </w:rPr>
        <w:t>Abella</w:t>
      </w:r>
      <w:r w:rsidRPr="00E26409">
        <w:rPr>
          <w:lang w:val="fr-CA"/>
        </w:rPr>
        <w:t xml:space="preserve">, </w:t>
      </w:r>
      <w:r w:rsidRPr="00AD1C85">
        <w:rPr>
          <w:lang w:val="fr-CA"/>
        </w:rPr>
        <w:t>Cromwell</w:t>
      </w:r>
      <w:r w:rsidRPr="00E26409">
        <w:rPr>
          <w:lang w:val="fr-CA"/>
        </w:rPr>
        <w:t xml:space="preserve">, </w:t>
      </w:r>
      <w:proofErr w:type="spellStart"/>
      <w:r w:rsidRPr="00E26409">
        <w:rPr>
          <w:lang w:val="fr-CA"/>
        </w:rPr>
        <w:t>Karakatsanis</w:t>
      </w:r>
      <w:proofErr w:type="spellEnd"/>
      <w:r w:rsidRPr="00E26409">
        <w:rPr>
          <w:lang w:val="fr-CA"/>
        </w:rPr>
        <w:t xml:space="preserve"> et Wagner : </w:t>
      </w:r>
      <w:r w:rsidR="00625011" w:rsidRPr="00E26409">
        <w:rPr>
          <w:lang w:val="fr-CA"/>
        </w:rPr>
        <w:t>La norme de contrôle applicable à la décision de la Commission est celle de la décision raisonnable.  Dans le contexte des relations du travail dans lequel s</w:t>
      </w:r>
      <w:r w:rsidR="00A13B74" w:rsidRPr="00E26409">
        <w:rPr>
          <w:lang w:val="fr-CA"/>
        </w:rPr>
        <w:t>’</w:t>
      </w:r>
      <w:r w:rsidR="00625011" w:rsidRPr="00E26409">
        <w:rPr>
          <w:lang w:val="fr-CA"/>
        </w:rPr>
        <w:t>inscrivent les plaintes en matière de vie privée déposées par B, la décision de la</w:t>
      </w:r>
      <w:r w:rsidR="00166760" w:rsidRPr="00E26409">
        <w:rPr>
          <w:lang w:val="fr-CA"/>
        </w:rPr>
        <w:t xml:space="preserve"> Commission était raisonnable. </w:t>
      </w:r>
    </w:p>
    <w:p w:rsidR="00EE5B8B" w:rsidRPr="00E26409" w:rsidRDefault="00EE5B8B" w:rsidP="00EE5B8B">
      <w:pPr>
        <w:pStyle w:val="SCCNormalDoubleSpacing"/>
        <w:spacing w:before="480" w:after="480"/>
        <w:rPr>
          <w:lang w:val="fr-CA"/>
        </w:rPr>
      </w:pPr>
      <w:r w:rsidRPr="00E26409">
        <w:rPr>
          <w:lang w:val="fr-CA"/>
        </w:rPr>
        <w:tab/>
      </w:r>
      <w:r w:rsidR="00625011" w:rsidRPr="00E26409">
        <w:rPr>
          <w:lang w:val="fr-CA"/>
        </w:rPr>
        <w:t>Le syndicat a le droit exclusif de négocier au nom de tous les employés d</w:t>
      </w:r>
      <w:r w:rsidR="00A13B74" w:rsidRPr="00E26409">
        <w:rPr>
          <w:lang w:val="fr-CA"/>
        </w:rPr>
        <w:t>’</w:t>
      </w:r>
      <w:r w:rsidR="00625011" w:rsidRPr="00E26409">
        <w:rPr>
          <w:lang w:val="fr-CA"/>
        </w:rPr>
        <w:t>une unité de négociation donnée, y compris ceux assujettis à la formule Rand.  Il est l</w:t>
      </w:r>
      <w:r w:rsidR="00A13B74" w:rsidRPr="00E26409">
        <w:rPr>
          <w:lang w:val="fr-CA"/>
        </w:rPr>
        <w:t>’</w:t>
      </w:r>
      <w:r w:rsidR="00625011" w:rsidRPr="00E26409">
        <w:rPr>
          <w:lang w:val="fr-CA"/>
        </w:rPr>
        <w:t>agent exclusif de ces employés en ce qui concerne les droits que leur confère la convention collective et il doit les représenter avec équité et bonne foi.  Un employé est certes libre de ne pas adhérer au syndicat et de devenir ainsi un employé assujetti à la formule Rand; il ne dispose toutefois d</w:t>
      </w:r>
      <w:r w:rsidR="00A13B74" w:rsidRPr="00E26409">
        <w:rPr>
          <w:lang w:val="fr-CA"/>
        </w:rPr>
        <w:t>’</w:t>
      </w:r>
      <w:r w:rsidR="00625011" w:rsidRPr="00E26409">
        <w:rPr>
          <w:lang w:val="fr-CA"/>
        </w:rPr>
        <w:t>aucun droit de retrait en ce qui concerne la relation de négociation exclusive ainsi que les obligations de représentation du syndicat</w:t>
      </w:r>
      <w:r w:rsidRPr="00E26409">
        <w:rPr>
          <w:lang w:val="fr-CA"/>
        </w:rPr>
        <w:t>.</w:t>
      </w:r>
    </w:p>
    <w:p w:rsidR="00EE5B8B" w:rsidRPr="00E26409" w:rsidRDefault="00EE5B8B" w:rsidP="00EE5B8B">
      <w:pPr>
        <w:pStyle w:val="SCCNormalDoubleSpacing"/>
        <w:spacing w:before="480" w:after="480"/>
        <w:rPr>
          <w:lang w:val="fr-CA"/>
        </w:rPr>
      </w:pPr>
      <w:r w:rsidRPr="00E26409">
        <w:rPr>
          <w:lang w:val="fr-CA"/>
        </w:rPr>
        <w:lastRenderedPageBreak/>
        <w:tab/>
      </w:r>
      <w:r w:rsidR="0092758F" w:rsidRPr="00E26409">
        <w:rPr>
          <w:lang w:val="fr-CA"/>
        </w:rPr>
        <w:t xml:space="preserve">La </w:t>
      </w:r>
      <w:r w:rsidR="0092758F" w:rsidRPr="00E26409">
        <w:rPr>
          <w:i/>
          <w:lang w:val="fr-CA"/>
        </w:rPr>
        <w:t>Loi sur les relations de travail dans la fonction publique</w:t>
      </w:r>
      <w:r w:rsidR="0092758F" w:rsidRPr="00E26409">
        <w:rPr>
          <w:lang w:val="fr-CA"/>
        </w:rPr>
        <w:t xml:space="preserve"> impose au</w:t>
      </w:r>
      <w:r w:rsidR="00AD1C85">
        <w:rPr>
          <w:lang w:val="fr-CA"/>
        </w:rPr>
        <w:t>x</w:t>
      </w:r>
      <w:r w:rsidR="0092758F" w:rsidRPr="00E26409">
        <w:rPr>
          <w:lang w:val="fr-CA"/>
        </w:rPr>
        <w:t xml:space="preserve"> syndicat</w:t>
      </w:r>
      <w:r w:rsidR="00AD1C85">
        <w:rPr>
          <w:lang w:val="fr-CA"/>
        </w:rPr>
        <w:t>s</w:t>
      </w:r>
      <w:r w:rsidR="0092758F" w:rsidRPr="00E26409">
        <w:rPr>
          <w:lang w:val="fr-CA"/>
        </w:rPr>
        <w:t xml:space="preserve"> un certain nombre d</w:t>
      </w:r>
      <w:r w:rsidR="00A13B74" w:rsidRPr="00E26409">
        <w:rPr>
          <w:lang w:val="fr-CA"/>
        </w:rPr>
        <w:t>’</w:t>
      </w:r>
      <w:r w:rsidR="0092758F" w:rsidRPr="00E26409">
        <w:rPr>
          <w:lang w:val="fr-CA"/>
        </w:rPr>
        <w:t>obligations précises à l</w:t>
      </w:r>
      <w:r w:rsidR="00A13B74" w:rsidRPr="00E26409">
        <w:rPr>
          <w:lang w:val="fr-CA"/>
        </w:rPr>
        <w:t>’</w:t>
      </w:r>
      <w:r w:rsidR="0092758F" w:rsidRPr="00E26409">
        <w:rPr>
          <w:lang w:val="fr-CA"/>
        </w:rPr>
        <w:t>égard</w:t>
      </w:r>
      <w:r w:rsidR="00AD1C85">
        <w:rPr>
          <w:lang w:val="fr-CA"/>
        </w:rPr>
        <w:t xml:space="preserve"> des employés d’une unité de négociation donnée</w:t>
      </w:r>
      <w:r w:rsidR="0092758F" w:rsidRPr="00E26409">
        <w:rPr>
          <w:lang w:val="fr-CA"/>
        </w:rPr>
        <w:t>, notamment celle de leur donner la possibilité de participer aux votes de grève et d</w:t>
      </w:r>
      <w:r w:rsidR="00A13B74" w:rsidRPr="00E26409">
        <w:rPr>
          <w:lang w:val="fr-CA"/>
        </w:rPr>
        <w:t>’</w:t>
      </w:r>
      <w:r w:rsidR="0092758F" w:rsidRPr="00E26409">
        <w:rPr>
          <w:lang w:val="fr-CA"/>
        </w:rPr>
        <w:t xml:space="preserve">être informés des résultats de </w:t>
      </w:r>
      <w:proofErr w:type="spellStart"/>
      <w:r w:rsidR="0092758F" w:rsidRPr="00E26409">
        <w:rPr>
          <w:lang w:val="fr-CA"/>
        </w:rPr>
        <w:t>ceux</w:t>
      </w:r>
      <w:r w:rsidR="0092758F" w:rsidRPr="00E26409">
        <w:rPr>
          <w:lang w:val="fr-CA"/>
        </w:rPr>
        <w:noBreakHyphen/>
        <w:t>ci</w:t>
      </w:r>
      <w:proofErr w:type="spellEnd"/>
      <w:r w:rsidR="0092758F" w:rsidRPr="00E26409">
        <w:rPr>
          <w:lang w:val="fr-CA"/>
        </w:rPr>
        <w:t>.</w:t>
      </w:r>
      <w:r w:rsidRPr="00E26409">
        <w:rPr>
          <w:lang w:val="fr-CA"/>
        </w:rPr>
        <w:t xml:space="preserve">  </w:t>
      </w:r>
      <w:r w:rsidR="0092758F" w:rsidRPr="00E26409">
        <w:rPr>
          <w:lang w:val="fr-CA"/>
        </w:rPr>
        <w:t>Un employé ne peut renoncer à son droit d</w:t>
      </w:r>
      <w:r w:rsidR="00A13B74" w:rsidRPr="00E26409">
        <w:rPr>
          <w:lang w:val="fr-CA"/>
        </w:rPr>
        <w:t>’</w:t>
      </w:r>
      <w:r w:rsidR="0092758F" w:rsidRPr="00E26409">
        <w:rPr>
          <w:lang w:val="fr-CA"/>
        </w:rPr>
        <w:t>être représenté de façon équitable — et exclusive — par le syndicat.  Compte tenu de ses obligations légales envers tous les employés — qu</w:t>
      </w:r>
      <w:r w:rsidR="00A13B74" w:rsidRPr="00E26409">
        <w:rPr>
          <w:lang w:val="fr-CA"/>
        </w:rPr>
        <w:t>’</w:t>
      </w:r>
      <w:r w:rsidR="0092758F" w:rsidRPr="00E26409">
        <w:rPr>
          <w:lang w:val="fr-CA"/>
        </w:rPr>
        <w:t>ils soient ou non des employés assujettis à la formule Rand — et du fait qu</w:t>
      </w:r>
      <w:r w:rsidR="00A13B74" w:rsidRPr="00E26409">
        <w:rPr>
          <w:lang w:val="fr-CA"/>
        </w:rPr>
        <w:t>’</w:t>
      </w:r>
      <w:r w:rsidR="0092758F" w:rsidRPr="00E26409">
        <w:rPr>
          <w:lang w:val="fr-CA"/>
        </w:rPr>
        <w:t>il peut avoir à communiquer rapidement avec eux, le syndicat ne devrait pas être privé des renseignements dont dispose l</w:t>
      </w:r>
      <w:r w:rsidR="00A13B74" w:rsidRPr="00E26409">
        <w:rPr>
          <w:lang w:val="fr-CA"/>
        </w:rPr>
        <w:t>’</w:t>
      </w:r>
      <w:r w:rsidR="0092758F" w:rsidRPr="00E26409">
        <w:rPr>
          <w:lang w:val="fr-CA"/>
        </w:rPr>
        <w:t xml:space="preserve">employeur et </w:t>
      </w:r>
      <w:r w:rsidR="00AD1C85">
        <w:rPr>
          <w:lang w:val="fr-CA"/>
        </w:rPr>
        <w:t xml:space="preserve">qui sont </w:t>
      </w:r>
      <w:r w:rsidR="0092758F" w:rsidRPr="00E26409">
        <w:rPr>
          <w:lang w:val="fr-CA"/>
        </w:rPr>
        <w:t>susceptibles de l</w:t>
      </w:r>
      <w:r w:rsidR="00A13B74" w:rsidRPr="00E26409">
        <w:rPr>
          <w:lang w:val="fr-CA"/>
        </w:rPr>
        <w:t>’</w:t>
      </w:r>
      <w:r w:rsidR="0092758F" w:rsidRPr="00E26409">
        <w:rPr>
          <w:lang w:val="fr-CA"/>
        </w:rPr>
        <w:t>aider à s</w:t>
      </w:r>
      <w:r w:rsidR="00A13B74" w:rsidRPr="00E26409">
        <w:rPr>
          <w:lang w:val="fr-CA"/>
        </w:rPr>
        <w:t>’</w:t>
      </w:r>
      <w:r w:rsidR="0092758F" w:rsidRPr="00E26409">
        <w:rPr>
          <w:lang w:val="fr-CA"/>
        </w:rPr>
        <w:t>acquitter de ces obligations</w:t>
      </w:r>
      <w:r w:rsidRPr="00E26409">
        <w:rPr>
          <w:lang w:val="fr-CA"/>
        </w:rPr>
        <w:t>.</w:t>
      </w:r>
    </w:p>
    <w:p w:rsidR="00EE5B8B" w:rsidRPr="00E26409" w:rsidRDefault="00EE5B8B" w:rsidP="00EE5B8B">
      <w:pPr>
        <w:pStyle w:val="SCCNormalDoubleSpacing"/>
        <w:spacing w:before="480" w:after="480"/>
        <w:rPr>
          <w:lang w:val="fr-CA"/>
        </w:rPr>
      </w:pPr>
      <w:r w:rsidRPr="00E26409">
        <w:rPr>
          <w:lang w:val="fr-CA"/>
        </w:rPr>
        <w:tab/>
      </w:r>
      <w:r w:rsidR="0092758F" w:rsidRPr="00E26409">
        <w:rPr>
          <w:lang w:val="fr-CA"/>
        </w:rPr>
        <w:t>Pour pouvoir s</w:t>
      </w:r>
      <w:r w:rsidR="00A13B74" w:rsidRPr="00E26409">
        <w:rPr>
          <w:lang w:val="fr-CA"/>
        </w:rPr>
        <w:t>’</w:t>
      </w:r>
      <w:r w:rsidR="0092758F" w:rsidRPr="00E26409">
        <w:rPr>
          <w:lang w:val="fr-CA"/>
        </w:rPr>
        <w:t>acquitter de ses obligations de représentation, le syndicat doit disposer de moyens efficaces de communiquer avec les employés</w:t>
      </w:r>
      <w:r w:rsidRPr="00E26409">
        <w:rPr>
          <w:lang w:val="fr-CA"/>
        </w:rPr>
        <w:t xml:space="preserve">.  </w:t>
      </w:r>
      <w:r w:rsidR="0092758F" w:rsidRPr="00E26409">
        <w:rPr>
          <w:lang w:val="fr-CA"/>
        </w:rPr>
        <w:t>Les coordonnées des employés au travail sont insuffisantes pour permettre au syndicat de satisfaire à ses obligations envers les employés de l</w:t>
      </w:r>
      <w:r w:rsidR="00A13B74" w:rsidRPr="00E26409">
        <w:rPr>
          <w:lang w:val="fr-CA"/>
        </w:rPr>
        <w:t>’</w:t>
      </w:r>
      <w:r w:rsidR="0092758F" w:rsidRPr="00E26409">
        <w:rPr>
          <w:lang w:val="fr-CA"/>
        </w:rPr>
        <w:t>unité de négociation, et ce, pour plusieurs raisons : il n</w:t>
      </w:r>
      <w:r w:rsidR="00A13B74" w:rsidRPr="00E26409">
        <w:rPr>
          <w:lang w:val="fr-CA"/>
        </w:rPr>
        <w:t>’</w:t>
      </w:r>
      <w:r w:rsidR="0092758F" w:rsidRPr="00E26409">
        <w:rPr>
          <w:lang w:val="fr-CA"/>
        </w:rPr>
        <w:t>est pas convenable que l</w:t>
      </w:r>
      <w:r w:rsidR="00A13B74" w:rsidRPr="00E26409">
        <w:rPr>
          <w:lang w:val="fr-CA"/>
        </w:rPr>
        <w:t>’</w:t>
      </w:r>
      <w:r w:rsidR="0092758F" w:rsidRPr="00E26409">
        <w:rPr>
          <w:lang w:val="fr-CA"/>
        </w:rPr>
        <w:t>agent négociateur utilise les installations de l</w:t>
      </w:r>
      <w:r w:rsidR="00A13B74" w:rsidRPr="00E26409">
        <w:rPr>
          <w:lang w:val="fr-CA"/>
        </w:rPr>
        <w:t>’</w:t>
      </w:r>
      <w:r w:rsidR="0092758F" w:rsidRPr="00E26409">
        <w:rPr>
          <w:lang w:val="fr-CA"/>
        </w:rPr>
        <w:t>employeur pour mener ses activités; les informations que les agents négociateurs souhaitent communiquer au travail doivent être examinées par l</w:t>
      </w:r>
      <w:r w:rsidR="00A13B74" w:rsidRPr="00E26409">
        <w:rPr>
          <w:lang w:val="fr-CA"/>
        </w:rPr>
        <w:t>’</w:t>
      </w:r>
      <w:r w:rsidR="0092758F" w:rsidRPr="00E26409">
        <w:rPr>
          <w:lang w:val="fr-CA"/>
        </w:rPr>
        <w:t>employeur avant d</w:t>
      </w:r>
      <w:r w:rsidR="00A13B74" w:rsidRPr="00E26409">
        <w:rPr>
          <w:lang w:val="fr-CA"/>
        </w:rPr>
        <w:t>’</w:t>
      </w:r>
      <w:r w:rsidR="0092758F" w:rsidRPr="00E26409">
        <w:rPr>
          <w:lang w:val="fr-CA"/>
        </w:rPr>
        <w:t>être diffusées; les communications électroniques effectuées au travail ne donnent lieu à aucune attente en matière de respect de la vie privée; et le syndicat doit pouvoir communiquer avec les employés rapidement et efficacement</w:t>
      </w:r>
      <w:r w:rsidRPr="00E26409">
        <w:rPr>
          <w:lang w:val="fr-CA"/>
        </w:rPr>
        <w:t xml:space="preserve">.  </w:t>
      </w:r>
      <w:r w:rsidR="0092758F" w:rsidRPr="00E26409">
        <w:rPr>
          <w:lang w:val="fr-CA"/>
        </w:rPr>
        <w:t xml:space="preserve">Un employeur peut contrôler les moyens de communication au travail, mettre en application des politiques restreignant toutes les communications échangées au travail, y compris celles avec le syndicat, et surveiller </w:t>
      </w:r>
      <w:proofErr w:type="spellStart"/>
      <w:r w:rsidR="0092758F" w:rsidRPr="00E26409">
        <w:rPr>
          <w:lang w:val="fr-CA"/>
        </w:rPr>
        <w:t>celles</w:t>
      </w:r>
      <w:r w:rsidR="0092758F" w:rsidRPr="00E26409">
        <w:rPr>
          <w:lang w:val="fr-CA"/>
        </w:rPr>
        <w:noBreakHyphen/>
        <w:t>ci</w:t>
      </w:r>
      <w:proofErr w:type="spellEnd"/>
      <w:r w:rsidR="0092758F" w:rsidRPr="00E26409">
        <w:rPr>
          <w:lang w:val="fr-CA"/>
        </w:rPr>
        <w:t xml:space="preserve">.  De plus, le syndicat </w:t>
      </w:r>
      <w:r w:rsidR="0092758F" w:rsidRPr="00E26409">
        <w:rPr>
          <w:lang w:val="fr-CA"/>
        </w:rPr>
        <w:lastRenderedPageBreak/>
        <w:t>peut avoir des obligations de représentation envers des employés avec lesquels il ne peut communiquer au travail, notamment des employés en congé ou absents en raison d</w:t>
      </w:r>
      <w:r w:rsidR="00A13B74" w:rsidRPr="00E26409">
        <w:rPr>
          <w:lang w:val="fr-CA"/>
        </w:rPr>
        <w:t>’</w:t>
      </w:r>
      <w:r w:rsidR="0092758F" w:rsidRPr="00E26409">
        <w:rPr>
          <w:lang w:val="fr-CA"/>
        </w:rPr>
        <w:t>un conflit de travail</w:t>
      </w:r>
      <w:r w:rsidRPr="00E26409">
        <w:rPr>
          <w:lang w:val="fr-CA"/>
        </w:rPr>
        <w:t>.</w:t>
      </w:r>
    </w:p>
    <w:p w:rsidR="00EE5B8B" w:rsidRPr="00E26409" w:rsidRDefault="00EE5B8B" w:rsidP="00EE5B8B">
      <w:pPr>
        <w:pStyle w:val="SCCNormalDoubleSpacing"/>
        <w:spacing w:before="480" w:after="480"/>
        <w:rPr>
          <w:lang w:val="fr-CA"/>
        </w:rPr>
      </w:pPr>
      <w:r w:rsidRPr="00E26409">
        <w:rPr>
          <w:lang w:val="fr-CA"/>
        </w:rPr>
        <w:tab/>
      </w:r>
      <w:r w:rsidR="0048268A" w:rsidRPr="00E26409">
        <w:rPr>
          <w:lang w:val="fr-CA"/>
        </w:rPr>
        <w:t xml:space="preserve">Des préoccupations quant au respect de la vie privée découlent de la </w:t>
      </w:r>
      <w:r w:rsidR="0048268A" w:rsidRPr="00E26409">
        <w:rPr>
          <w:i/>
          <w:lang w:val="fr-CA"/>
        </w:rPr>
        <w:t>Loi sur la protection des renseignements personnels</w:t>
      </w:r>
      <w:r w:rsidR="0048268A" w:rsidRPr="00E26409">
        <w:rPr>
          <w:lang w:val="fr-CA"/>
        </w:rPr>
        <w:t xml:space="preserve">.  </w:t>
      </w:r>
      <w:r w:rsidR="00B07F49" w:rsidRPr="00E26409">
        <w:rPr>
          <w:lang w:val="fr-CA"/>
        </w:rPr>
        <w:t>Celle-ci</w:t>
      </w:r>
      <w:r w:rsidR="0048268A" w:rsidRPr="00E26409">
        <w:rPr>
          <w:lang w:val="fr-CA"/>
        </w:rPr>
        <w:t xml:space="preserve"> interdit la communication de renseignements personnels détenus par le gouvernement — lesquels comprennent les adresses et numéros de téléphone à domicile —, sous réserve d</w:t>
      </w:r>
      <w:r w:rsidR="00A13B74" w:rsidRPr="00E26409">
        <w:rPr>
          <w:lang w:val="fr-CA"/>
        </w:rPr>
        <w:t>’</w:t>
      </w:r>
      <w:r w:rsidR="0048268A" w:rsidRPr="00E26409">
        <w:rPr>
          <w:lang w:val="fr-CA"/>
        </w:rPr>
        <w:t>un certain nombre d</w:t>
      </w:r>
      <w:r w:rsidR="00A13B74" w:rsidRPr="00E26409">
        <w:rPr>
          <w:lang w:val="fr-CA"/>
        </w:rPr>
        <w:t>’</w:t>
      </w:r>
      <w:r w:rsidR="0048268A" w:rsidRPr="00E26409">
        <w:rPr>
          <w:lang w:val="fr-CA"/>
        </w:rPr>
        <w:t>exceptions énumérées à son par. 8(2), dont celle de l</w:t>
      </w:r>
      <w:r w:rsidR="00A13B74" w:rsidRPr="00E26409">
        <w:rPr>
          <w:lang w:val="fr-CA"/>
        </w:rPr>
        <w:t>’</w:t>
      </w:r>
      <w:r w:rsidR="0048268A" w:rsidRPr="00E26409">
        <w:rPr>
          <w:lang w:val="fr-CA"/>
        </w:rPr>
        <w:t>« usage compatible »</w:t>
      </w:r>
      <w:r w:rsidRPr="00E26409">
        <w:rPr>
          <w:lang w:val="fr-CA"/>
        </w:rPr>
        <w:t xml:space="preserve">.  </w:t>
      </w:r>
      <w:r w:rsidR="0048268A" w:rsidRPr="00E26409">
        <w:rPr>
          <w:lang w:val="fr-CA"/>
        </w:rPr>
        <w:t>Pour qu</w:t>
      </w:r>
      <w:r w:rsidR="00A13B74" w:rsidRPr="00E26409">
        <w:rPr>
          <w:lang w:val="fr-CA"/>
        </w:rPr>
        <w:t>’</w:t>
      </w:r>
      <w:r w:rsidR="0048268A" w:rsidRPr="00E26409">
        <w:rPr>
          <w:lang w:val="fr-CA"/>
        </w:rPr>
        <w:t>il soit visé par l</w:t>
      </w:r>
      <w:r w:rsidR="00A13B74" w:rsidRPr="00E26409">
        <w:rPr>
          <w:lang w:val="fr-CA"/>
        </w:rPr>
        <w:t>’</w:t>
      </w:r>
      <w:r w:rsidR="0048268A" w:rsidRPr="00E26409">
        <w:rPr>
          <w:lang w:val="fr-CA"/>
        </w:rPr>
        <w:t>al. 8(2)</w:t>
      </w:r>
      <w:r w:rsidR="0048268A" w:rsidRPr="00E26409">
        <w:rPr>
          <w:i/>
          <w:lang w:val="fr-CA"/>
        </w:rPr>
        <w:t>a</w:t>
      </w:r>
      <w:r w:rsidR="0048268A" w:rsidRPr="00E26409">
        <w:rPr>
          <w:lang w:val="fr-CA"/>
        </w:rPr>
        <w:t xml:space="preserve">) de la </w:t>
      </w:r>
      <w:r w:rsidR="00B07F49" w:rsidRPr="00E26409">
        <w:rPr>
          <w:i/>
          <w:lang w:val="fr-CA"/>
        </w:rPr>
        <w:t>Loi sur la protection des renseignements personnels</w:t>
      </w:r>
      <w:r w:rsidR="0048268A" w:rsidRPr="00E26409">
        <w:rPr>
          <w:lang w:val="fr-CA"/>
        </w:rPr>
        <w:t>, l</w:t>
      </w:r>
      <w:r w:rsidR="00A13B74" w:rsidRPr="00E26409">
        <w:rPr>
          <w:lang w:val="fr-CA"/>
        </w:rPr>
        <w:t>’</w:t>
      </w:r>
      <w:r w:rsidR="0048268A" w:rsidRPr="00E26409">
        <w:rPr>
          <w:lang w:val="fr-CA"/>
        </w:rPr>
        <w:t>usage n</w:t>
      </w:r>
      <w:r w:rsidR="00A13B74" w:rsidRPr="00E26409">
        <w:rPr>
          <w:lang w:val="fr-CA"/>
        </w:rPr>
        <w:t>’</w:t>
      </w:r>
      <w:r w:rsidR="0048268A" w:rsidRPr="00E26409">
        <w:rPr>
          <w:lang w:val="fr-CA"/>
        </w:rPr>
        <w:t>a pas à être identique aux fins auxquelles les renseignements ont été recueillis; il n</w:t>
      </w:r>
      <w:r w:rsidR="00A13B74" w:rsidRPr="00E26409">
        <w:rPr>
          <w:lang w:val="fr-CA"/>
        </w:rPr>
        <w:t>’</w:t>
      </w:r>
      <w:r w:rsidR="0048268A" w:rsidRPr="00E26409">
        <w:rPr>
          <w:lang w:val="fr-CA"/>
        </w:rPr>
        <w:t>a qu</w:t>
      </w:r>
      <w:r w:rsidR="00A13B74" w:rsidRPr="00E26409">
        <w:rPr>
          <w:lang w:val="fr-CA"/>
        </w:rPr>
        <w:t>’</w:t>
      </w:r>
      <w:r w:rsidR="0048268A" w:rsidRPr="00E26409">
        <w:rPr>
          <w:lang w:val="fr-CA"/>
        </w:rPr>
        <w:t xml:space="preserve">à être compatible avec </w:t>
      </w:r>
      <w:proofErr w:type="spellStart"/>
      <w:r w:rsidR="0048268A" w:rsidRPr="00E26409">
        <w:rPr>
          <w:lang w:val="fr-CA"/>
        </w:rPr>
        <w:t>celles</w:t>
      </w:r>
      <w:r w:rsidR="0048268A" w:rsidRPr="00E26409">
        <w:rPr>
          <w:lang w:val="fr-CA"/>
        </w:rPr>
        <w:noBreakHyphen/>
        <w:t>ci</w:t>
      </w:r>
      <w:proofErr w:type="spellEnd"/>
      <w:r w:rsidR="0048268A" w:rsidRPr="00E26409">
        <w:rPr>
          <w:lang w:val="fr-CA"/>
        </w:rPr>
        <w:t>.  Il suffit qu</w:t>
      </w:r>
      <w:r w:rsidR="00A13B74" w:rsidRPr="00E26409">
        <w:rPr>
          <w:lang w:val="fr-CA"/>
        </w:rPr>
        <w:t>’</w:t>
      </w:r>
      <w:r w:rsidR="0048268A" w:rsidRPr="00E26409">
        <w:rPr>
          <w:lang w:val="fr-CA"/>
        </w:rPr>
        <w:t>il existe un lien suffisamment direct entre les fins et l</w:t>
      </w:r>
      <w:r w:rsidR="00A13B74" w:rsidRPr="00E26409">
        <w:rPr>
          <w:lang w:val="fr-CA"/>
        </w:rPr>
        <w:t>’</w:t>
      </w:r>
      <w:r w:rsidR="0048268A" w:rsidRPr="00E26409">
        <w:rPr>
          <w:lang w:val="fr-CA"/>
        </w:rPr>
        <w:t>usage projeté de sorte qu</w:t>
      </w:r>
      <w:r w:rsidR="00A13B74" w:rsidRPr="00E26409">
        <w:rPr>
          <w:lang w:val="fr-CA"/>
        </w:rPr>
        <w:t>’</w:t>
      </w:r>
      <w:r w:rsidR="0048268A" w:rsidRPr="00E26409">
        <w:rPr>
          <w:lang w:val="fr-CA"/>
        </w:rPr>
        <w:t>il serait raisonnable que l</w:t>
      </w:r>
      <w:r w:rsidR="00A13B74" w:rsidRPr="00E26409">
        <w:rPr>
          <w:lang w:val="fr-CA"/>
        </w:rPr>
        <w:t>’</w:t>
      </w:r>
      <w:r w:rsidR="0048268A" w:rsidRPr="00E26409">
        <w:rPr>
          <w:lang w:val="fr-CA"/>
        </w:rPr>
        <w:t>employé s</w:t>
      </w:r>
      <w:r w:rsidR="00A13B74" w:rsidRPr="00E26409">
        <w:rPr>
          <w:lang w:val="fr-CA"/>
        </w:rPr>
        <w:t>’</w:t>
      </w:r>
      <w:r w:rsidR="0048268A" w:rsidRPr="00E26409">
        <w:rPr>
          <w:lang w:val="fr-CA"/>
        </w:rPr>
        <w:t>attende à ce que les renseignements soient utilisés de la manière proposée</w:t>
      </w:r>
      <w:r w:rsidRPr="00E26409">
        <w:rPr>
          <w:lang w:val="fr-CA"/>
        </w:rPr>
        <w:t xml:space="preserve">.  </w:t>
      </w:r>
      <w:r w:rsidR="0048268A" w:rsidRPr="00E26409">
        <w:rPr>
          <w:lang w:val="fr-CA"/>
        </w:rPr>
        <w:t>Le syndicat avait besoin des coordonnées résidentielles des employés pour représenter les intérêts de ces derniers</w:t>
      </w:r>
      <w:r w:rsidR="003A51DA">
        <w:rPr>
          <w:lang w:val="fr-CA"/>
        </w:rPr>
        <w:t>,</w:t>
      </w:r>
      <w:r w:rsidR="0048268A" w:rsidRPr="00E26409">
        <w:rPr>
          <w:lang w:val="fr-CA"/>
        </w:rPr>
        <w:t xml:space="preserve"> et il s</w:t>
      </w:r>
      <w:r w:rsidR="00A13B74" w:rsidRPr="00E26409">
        <w:rPr>
          <w:lang w:val="fr-CA"/>
        </w:rPr>
        <w:t>’</w:t>
      </w:r>
      <w:r w:rsidR="0048268A" w:rsidRPr="00E26409">
        <w:rPr>
          <w:lang w:val="fr-CA"/>
        </w:rPr>
        <w:t>agissait d</w:t>
      </w:r>
      <w:r w:rsidR="00A13B74" w:rsidRPr="00E26409">
        <w:rPr>
          <w:lang w:val="fr-CA"/>
        </w:rPr>
        <w:t>’</w:t>
      </w:r>
      <w:r w:rsidR="0048268A" w:rsidRPr="00E26409">
        <w:rPr>
          <w:lang w:val="fr-CA"/>
        </w:rPr>
        <w:t>un usage compatible avec les fins auxquelles le gouvernement employeur recueillait ces renseignements, à savoir informer les employés des conditions de leur emploi.  L</w:t>
      </w:r>
      <w:r w:rsidR="00A13B74" w:rsidRPr="00E26409">
        <w:rPr>
          <w:lang w:val="fr-CA"/>
        </w:rPr>
        <w:t>’</w:t>
      </w:r>
      <w:r w:rsidR="0048268A" w:rsidRPr="00E26409">
        <w:rPr>
          <w:lang w:val="fr-CA"/>
        </w:rPr>
        <w:t>employeur recueillait ces informations pour la bonne administration de la relation d</w:t>
      </w:r>
      <w:r w:rsidR="00A13B74" w:rsidRPr="00E26409">
        <w:rPr>
          <w:lang w:val="fr-CA"/>
        </w:rPr>
        <w:t>’</w:t>
      </w:r>
      <w:r w:rsidR="0048268A" w:rsidRPr="00E26409">
        <w:rPr>
          <w:lang w:val="fr-CA"/>
        </w:rPr>
        <w:t>emploi</w:t>
      </w:r>
      <w:r w:rsidR="00E627C3" w:rsidRPr="00E26409">
        <w:rPr>
          <w:lang w:val="fr-CA"/>
        </w:rPr>
        <w:t xml:space="preserve">. </w:t>
      </w:r>
      <w:r w:rsidRPr="00E26409">
        <w:rPr>
          <w:lang w:val="fr-CA"/>
        </w:rPr>
        <w:t xml:space="preserve"> </w:t>
      </w:r>
      <w:r w:rsidR="0048268A" w:rsidRPr="00E26409">
        <w:rPr>
          <w:lang w:val="fr-CA"/>
        </w:rPr>
        <w:t>Cet objectif est conforme à l</w:t>
      </w:r>
      <w:r w:rsidR="00A13B74" w:rsidRPr="00E26409">
        <w:rPr>
          <w:lang w:val="fr-CA"/>
        </w:rPr>
        <w:t>’</w:t>
      </w:r>
      <w:r w:rsidR="0048268A" w:rsidRPr="00E26409">
        <w:rPr>
          <w:lang w:val="fr-CA"/>
        </w:rPr>
        <w:t>usage que le syndicat entend faire des coordonnées</w:t>
      </w:r>
      <w:r w:rsidRPr="00E26409">
        <w:rPr>
          <w:lang w:val="fr-CA"/>
        </w:rPr>
        <w:t>.</w:t>
      </w:r>
    </w:p>
    <w:p w:rsidR="00EE5B8B" w:rsidRPr="00E26409" w:rsidRDefault="00EE5B8B" w:rsidP="00EE5B8B">
      <w:pPr>
        <w:pStyle w:val="SCCNormalDoubleSpacing"/>
        <w:spacing w:before="480" w:after="480"/>
        <w:rPr>
          <w:lang w:val="fr-CA"/>
        </w:rPr>
      </w:pPr>
      <w:r w:rsidRPr="00E26409">
        <w:rPr>
          <w:lang w:val="fr-CA"/>
        </w:rPr>
        <w:tab/>
      </w:r>
      <w:r w:rsidR="003E5079">
        <w:rPr>
          <w:lang w:val="fr-CA"/>
        </w:rPr>
        <w:t>La Commission a conclu à</w:t>
      </w:r>
      <w:r w:rsidR="00F47CC6" w:rsidRPr="00E26409">
        <w:rPr>
          <w:lang w:val="fr-CA"/>
        </w:rPr>
        <w:t xml:space="preserve"> bon droit que son mandat dans le cadre du réexamen consistait uniquement à déterminer quelles coordonnées résidentielles </w:t>
      </w:r>
      <w:r w:rsidR="00F47CC6" w:rsidRPr="00E26409">
        <w:rPr>
          <w:lang w:val="fr-CA"/>
        </w:rPr>
        <w:lastRenderedPageBreak/>
        <w:t>l</w:t>
      </w:r>
      <w:r w:rsidR="00A13B74" w:rsidRPr="00E26409">
        <w:rPr>
          <w:lang w:val="fr-CA"/>
        </w:rPr>
        <w:t>’</w:t>
      </w:r>
      <w:r w:rsidR="00F47CC6" w:rsidRPr="00E26409">
        <w:rPr>
          <w:lang w:val="fr-CA"/>
        </w:rPr>
        <w:t xml:space="preserve">employeur pouvait communiquer au syndicat sans porter atteinte aux droits des employés protégés sous le régime de la </w:t>
      </w:r>
      <w:r w:rsidR="00F47CC6" w:rsidRPr="00E26409">
        <w:rPr>
          <w:i/>
          <w:lang w:val="fr-CA"/>
        </w:rPr>
        <w:t>Loi sur la protection des renseignements personnels</w:t>
      </w:r>
      <w:r w:rsidR="008777C5">
        <w:rPr>
          <w:lang w:val="fr-CA"/>
        </w:rPr>
        <w:t xml:space="preserve">, </w:t>
      </w:r>
      <w:r w:rsidR="00F47CC6" w:rsidRPr="00E26409">
        <w:rPr>
          <w:lang w:val="fr-CA"/>
        </w:rPr>
        <w:t>et qu</w:t>
      </w:r>
      <w:r w:rsidR="00A13B74" w:rsidRPr="00E26409">
        <w:rPr>
          <w:lang w:val="fr-CA"/>
        </w:rPr>
        <w:t>’</w:t>
      </w:r>
      <w:r w:rsidR="00F47CC6" w:rsidRPr="00E26409">
        <w:rPr>
          <w:lang w:val="fr-CA"/>
        </w:rPr>
        <w:t>il ne comprenait pas l</w:t>
      </w:r>
      <w:r w:rsidR="00A13B74" w:rsidRPr="00E26409">
        <w:rPr>
          <w:lang w:val="fr-CA"/>
        </w:rPr>
        <w:t>’</w:t>
      </w:r>
      <w:r w:rsidR="00F47CC6" w:rsidRPr="00E26409">
        <w:rPr>
          <w:lang w:val="fr-CA"/>
        </w:rPr>
        <w:t>argument de B selon lequel obliger l</w:t>
      </w:r>
      <w:r w:rsidR="00A13B74" w:rsidRPr="00E26409">
        <w:rPr>
          <w:lang w:val="fr-CA"/>
        </w:rPr>
        <w:t>’</w:t>
      </w:r>
      <w:r w:rsidR="00F47CC6" w:rsidRPr="00E26409">
        <w:rPr>
          <w:lang w:val="fr-CA"/>
        </w:rPr>
        <w:t>employeur à fournir à l</w:t>
      </w:r>
      <w:r w:rsidR="00A13B74" w:rsidRPr="00E26409">
        <w:rPr>
          <w:lang w:val="fr-CA"/>
        </w:rPr>
        <w:t>’</w:t>
      </w:r>
      <w:r w:rsidR="00F47CC6" w:rsidRPr="00E26409">
        <w:rPr>
          <w:lang w:val="fr-CA"/>
        </w:rPr>
        <w:t>agent négociateur les adresses et numéros de téléphone à domicile de ses employés porte atteinte à son droit à la liberté d</w:t>
      </w:r>
      <w:r w:rsidR="00A13B74" w:rsidRPr="00E26409">
        <w:rPr>
          <w:lang w:val="fr-CA"/>
        </w:rPr>
        <w:t>’</w:t>
      </w:r>
      <w:r w:rsidR="00F47CC6" w:rsidRPr="00E26409">
        <w:rPr>
          <w:lang w:val="fr-CA"/>
        </w:rPr>
        <w:t>association garanti par l</w:t>
      </w:r>
      <w:r w:rsidR="00A13B74" w:rsidRPr="00E26409">
        <w:rPr>
          <w:lang w:val="fr-CA"/>
        </w:rPr>
        <w:t>’</w:t>
      </w:r>
      <w:r w:rsidR="00F47CC6" w:rsidRPr="00E26409">
        <w:rPr>
          <w:lang w:val="fr-CA"/>
        </w:rPr>
        <w:t>al. 2</w:t>
      </w:r>
      <w:r w:rsidR="00F47CC6" w:rsidRPr="00E26409">
        <w:rPr>
          <w:i/>
          <w:lang w:val="fr-CA"/>
        </w:rPr>
        <w:t>d</w:t>
      </w:r>
      <w:r w:rsidR="00F47CC6" w:rsidRPr="00E26409">
        <w:rPr>
          <w:lang w:val="fr-CA"/>
        </w:rPr>
        <w:t xml:space="preserve">) de la </w:t>
      </w:r>
      <w:r w:rsidR="00F47CC6" w:rsidRPr="00E26409">
        <w:rPr>
          <w:i/>
          <w:lang w:val="fr-CA"/>
        </w:rPr>
        <w:t>Charte</w:t>
      </w:r>
      <w:r w:rsidRPr="00E26409">
        <w:rPr>
          <w:lang w:val="fr-CA"/>
        </w:rPr>
        <w:t xml:space="preserve">.  </w:t>
      </w:r>
      <w:r w:rsidR="00B07F49" w:rsidRPr="00E26409">
        <w:rPr>
          <w:lang w:val="fr-CA"/>
        </w:rPr>
        <w:t>La</w:t>
      </w:r>
      <w:r w:rsidR="00F47CC6" w:rsidRPr="00E26409">
        <w:rPr>
          <w:lang w:val="fr-CA"/>
        </w:rPr>
        <w:t xml:space="preserve"> communication obligatoire des coordonnées résidentielles visant à permettre au syndicat de s</w:t>
      </w:r>
      <w:r w:rsidR="00A13B74" w:rsidRPr="00E26409">
        <w:rPr>
          <w:lang w:val="fr-CA"/>
        </w:rPr>
        <w:t>’</w:t>
      </w:r>
      <w:r w:rsidR="00F47CC6" w:rsidRPr="00E26409">
        <w:rPr>
          <w:lang w:val="fr-CA"/>
        </w:rPr>
        <w:t>acquitter de ses obligations de représentation envers tous les membres de l</w:t>
      </w:r>
      <w:r w:rsidR="00A13B74" w:rsidRPr="00E26409">
        <w:rPr>
          <w:lang w:val="fr-CA"/>
        </w:rPr>
        <w:t>’</w:t>
      </w:r>
      <w:r w:rsidR="00F47CC6" w:rsidRPr="00E26409">
        <w:rPr>
          <w:lang w:val="fr-CA"/>
        </w:rPr>
        <w:t>unité de négociation ne porte pas atteinte à la liberté de B</w:t>
      </w:r>
      <w:r w:rsidR="00D25A13">
        <w:rPr>
          <w:lang w:val="fr-CA"/>
        </w:rPr>
        <w:t xml:space="preserve"> </w:t>
      </w:r>
      <w:r w:rsidR="00F47CC6" w:rsidRPr="00E26409">
        <w:rPr>
          <w:lang w:val="fr-CA"/>
        </w:rPr>
        <w:t>de ne pas s</w:t>
      </w:r>
      <w:r w:rsidR="00A13B74" w:rsidRPr="00E26409">
        <w:rPr>
          <w:lang w:val="fr-CA"/>
        </w:rPr>
        <w:t>’</w:t>
      </w:r>
      <w:r w:rsidR="00F47CC6" w:rsidRPr="00E26409">
        <w:rPr>
          <w:lang w:val="fr-CA"/>
        </w:rPr>
        <w:t>associer au syndicat</w:t>
      </w:r>
      <w:r w:rsidRPr="00E26409">
        <w:rPr>
          <w:lang w:val="fr-CA"/>
        </w:rPr>
        <w:t xml:space="preserve">.  </w:t>
      </w:r>
      <w:r w:rsidR="00F47CC6" w:rsidRPr="00E26409">
        <w:rPr>
          <w:lang w:val="fr-CA"/>
        </w:rPr>
        <w:t>Quoi qu</w:t>
      </w:r>
      <w:r w:rsidR="00A13B74" w:rsidRPr="00E26409">
        <w:rPr>
          <w:lang w:val="fr-CA"/>
        </w:rPr>
        <w:t>’</w:t>
      </w:r>
      <w:r w:rsidR="00F47CC6" w:rsidRPr="00E26409">
        <w:rPr>
          <w:lang w:val="fr-CA"/>
        </w:rPr>
        <w:t xml:space="preserve">il en soit, cet argument était sans fondement et </w:t>
      </w:r>
      <w:r w:rsidR="00B07F49" w:rsidRPr="00E26409">
        <w:rPr>
          <w:lang w:val="fr-CA"/>
        </w:rPr>
        <w:t xml:space="preserve">manifestement </w:t>
      </w:r>
      <w:r w:rsidR="00F47CC6" w:rsidRPr="00E26409">
        <w:rPr>
          <w:lang w:val="fr-CA"/>
        </w:rPr>
        <w:t>voué à l</w:t>
      </w:r>
      <w:r w:rsidR="00A13B74" w:rsidRPr="00E26409">
        <w:rPr>
          <w:lang w:val="fr-CA"/>
        </w:rPr>
        <w:t>’</w:t>
      </w:r>
      <w:r w:rsidR="00F47CC6" w:rsidRPr="00E26409">
        <w:rPr>
          <w:lang w:val="fr-CA"/>
        </w:rPr>
        <w:t xml:space="preserve">échec, peu importe le moment ou le lieu où il </w:t>
      </w:r>
      <w:r w:rsidR="00B07F49" w:rsidRPr="00E26409">
        <w:rPr>
          <w:lang w:val="fr-CA"/>
        </w:rPr>
        <w:t>a été</w:t>
      </w:r>
      <w:r w:rsidR="00F47CC6" w:rsidRPr="00E26409">
        <w:rPr>
          <w:lang w:val="fr-CA"/>
        </w:rPr>
        <w:t xml:space="preserve"> invoqué.  L</w:t>
      </w:r>
      <w:r w:rsidR="00A13B74" w:rsidRPr="00E26409">
        <w:rPr>
          <w:lang w:val="fr-CA"/>
        </w:rPr>
        <w:t>’</w:t>
      </w:r>
      <w:r w:rsidR="00F47CC6" w:rsidRPr="00E26409">
        <w:rPr>
          <w:lang w:val="fr-CA"/>
        </w:rPr>
        <w:t>argument de B fondé sur l</w:t>
      </w:r>
      <w:r w:rsidR="00A13B74" w:rsidRPr="00E26409">
        <w:rPr>
          <w:lang w:val="fr-CA"/>
        </w:rPr>
        <w:t>’</w:t>
      </w:r>
      <w:r w:rsidR="00F47CC6" w:rsidRPr="00E26409">
        <w:rPr>
          <w:lang w:val="fr-CA"/>
        </w:rPr>
        <w:t xml:space="preserve">art. 8 de la </w:t>
      </w:r>
      <w:r w:rsidR="00F47CC6" w:rsidRPr="00E26409">
        <w:rPr>
          <w:i/>
          <w:lang w:val="fr-CA"/>
        </w:rPr>
        <w:t>Charte</w:t>
      </w:r>
      <w:r w:rsidR="00F47CC6" w:rsidRPr="00E26409">
        <w:rPr>
          <w:lang w:val="fr-CA"/>
        </w:rPr>
        <w:t xml:space="preserve"> selon lequel la communication en question constituait une fouille ou saisie inconstitutionnelle est également sans fondement</w:t>
      </w:r>
      <w:r w:rsidRPr="00E26409">
        <w:rPr>
          <w:lang w:val="fr-CA"/>
        </w:rPr>
        <w:t xml:space="preserve">.  </w:t>
      </w:r>
    </w:p>
    <w:p w:rsidR="00EE5B8B" w:rsidRPr="00E26409" w:rsidRDefault="00EE5B8B" w:rsidP="00EE5B8B">
      <w:pPr>
        <w:pStyle w:val="SCCNormalDoubleSpacing"/>
        <w:spacing w:before="480" w:after="480"/>
        <w:rPr>
          <w:lang w:val="fr-CA"/>
        </w:rPr>
      </w:pPr>
      <w:r w:rsidRPr="00E26409">
        <w:rPr>
          <w:i/>
          <w:lang w:val="fr-CA"/>
        </w:rPr>
        <w:tab/>
        <w:t>Les</w:t>
      </w:r>
      <w:r w:rsidRPr="00E26409">
        <w:rPr>
          <w:lang w:val="fr-CA"/>
        </w:rPr>
        <w:t xml:space="preserve"> juges </w:t>
      </w:r>
      <w:proofErr w:type="spellStart"/>
      <w:r w:rsidRPr="00C8000D">
        <w:rPr>
          <w:lang w:val="fr-CA"/>
        </w:rPr>
        <w:t>Rothstein</w:t>
      </w:r>
      <w:proofErr w:type="spellEnd"/>
      <w:r w:rsidRPr="00E26409">
        <w:rPr>
          <w:lang w:val="fr-CA"/>
        </w:rPr>
        <w:t xml:space="preserve"> et </w:t>
      </w:r>
      <w:proofErr w:type="spellStart"/>
      <w:r w:rsidRPr="00E26409">
        <w:rPr>
          <w:lang w:val="fr-CA"/>
        </w:rPr>
        <w:t>Moldaver</w:t>
      </w:r>
      <w:proofErr w:type="spellEnd"/>
      <w:r w:rsidRPr="00E26409">
        <w:rPr>
          <w:lang w:val="fr-CA"/>
        </w:rPr>
        <w:t xml:space="preserve"> (dissidents en partie)</w:t>
      </w:r>
      <w:r w:rsidR="00166760" w:rsidRPr="00E26409">
        <w:rPr>
          <w:lang w:val="fr-CA"/>
        </w:rPr>
        <w:t> </w:t>
      </w:r>
      <w:r w:rsidRPr="00E26409">
        <w:rPr>
          <w:lang w:val="fr-CA"/>
        </w:rPr>
        <w:t xml:space="preserve">: </w:t>
      </w:r>
      <w:r w:rsidR="007A0665" w:rsidRPr="00E26409">
        <w:rPr>
          <w:lang w:val="fr-CA"/>
        </w:rPr>
        <w:t>Le présent appel concerne le refus injustifié d</w:t>
      </w:r>
      <w:r w:rsidR="00A13B74" w:rsidRPr="00E26409">
        <w:rPr>
          <w:lang w:val="fr-CA"/>
        </w:rPr>
        <w:t>’</w:t>
      </w:r>
      <w:r w:rsidR="007A0665" w:rsidRPr="00E26409">
        <w:rPr>
          <w:lang w:val="fr-CA"/>
        </w:rPr>
        <w:t>un tribunal d</w:t>
      </w:r>
      <w:r w:rsidR="00A13B74" w:rsidRPr="00E26409">
        <w:rPr>
          <w:lang w:val="fr-CA"/>
        </w:rPr>
        <w:t>’</w:t>
      </w:r>
      <w:r w:rsidR="007A0665" w:rsidRPr="00E26409">
        <w:rPr>
          <w:lang w:val="fr-CA"/>
        </w:rPr>
        <w:t xml:space="preserve">exercer sa compétence pour examiner des arguments fondés sur la </w:t>
      </w:r>
      <w:r w:rsidR="007A0665" w:rsidRPr="00E26409">
        <w:rPr>
          <w:i/>
          <w:lang w:val="fr-CA"/>
        </w:rPr>
        <w:t>Charte</w:t>
      </w:r>
      <w:r w:rsidRPr="00E26409">
        <w:rPr>
          <w:lang w:val="fr-CA"/>
        </w:rPr>
        <w:t xml:space="preserve">.  </w:t>
      </w:r>
      <w:r w:rsidR="007A0665" w:rsidRPr="00E26409">
        <w:rPr>
          <w:lang w:val="fr-CA"/>
        </w:rPr>
        <w:t>Un tribunal administratif qui, parce qu</w:t>
      </w:r>
      <w:r w:rsidR="00A13B74" w:rsidRPr="00E26409">
        <w:rPr>
          <w:lang w:val="fr-CA"/>
        </w:rPr>
        <w:t>’</w:t>
      </w:r>
      <w:r w:rsidR="007A0665" w:rsidRPr="00E26409">
        <w:rPr>
          <w:lang w:val="fr-CA"/>
        </w:rPr>
        <w:t>il interprète mal sa compétence, ne se prononce pas sur une contestation constitutionnelle décline à tort la compétence qui lui est non seulement conférée, mais qu</w:t>
      </w:r>
      <w:r w:rsidR="00A13B74" w:rsidRPr="00E26409">
        <w:rPr>
          <w:lang w:val="fr-CA"/>
        </w:rPr>
        <w:t>’</w:t>
      </w:r>
      <w:r w:rsidR="007A0665" w:rsidRPr="00E26409">
        <w:rPr>
          <w:lang w:val="fr-CA"/>
        </w:rPr>
        <w:t>il doit aussi exercer</w:t>
      </w:r>
      <w:r w:rsidRPr="00E26409">
        <w:rPr>
          <w:lang w:val="fr-CA"/>
        </w:rPr>
        <w:t xml:space="preserve">.  </w:t>
      </w:r>
      <w:r w:rsidR="007A0665" w:rsidRPr="00E26409">
        <w:rPr>
          <w:lang w:val="fr-CA"/>
        </w:rPr>
        <w:t xml:space="preserve">Cela constitue une erreur de droit.  </w:t>
      </w:r>
      <w:r w:rsidRPr="00E26409">
        <w:rPr>
          <w:lang w:val="fr-CA"/>
        </w:rPr>
        <w:t xml:space="preserve"> </w:t>
      </w:r>
    </w:p>
    <w:p w:rsidR="00EE5B8B" w:rsidRPr="00E26409" w:rsidRDefault="00EE5B8B" w:rsidP="00EE5B8B">
      <w:pPr>
        <w:pStyle w:val="SCCNormalDoubleSpacing"/>
        <w:spacing w:before="480" w:after="480"/>
        <w:rPr>
          <w:lang w:val="fr-CA"/>
        </w:rPr>
      </w:pPr>
      <w:r w:rsidRPr="00E26409">
        <w:rPr>
          <w:lang w:val="fr-CA"/>
        </w:rPr>
        <w:tab/>
      </w:r>
      <w:r w:rsidR="007A0665" w:rsidRPr="00E26409">
        <w:rPr>
          <w:lang w:val="fr-CA"/>
        </w:rPr>
        <w:t>La Commission des relations de travail dans la fonction publique a rendu une décision raisonnable en concluant que l</w:t>
      </w:r>
      <w:r w:rsidR="00A13B74" w:rsidRPr="00E26409">
        <w:rPr>
          <w:lang w:val="fr-CA"/>
        </w:rPr>
        <w:t>’</w:t>
      </w:r>
      <w:r w:rsidR="007A0665" w:rsidRPr="00E26409">
        <w:rPr>
          <w:lang w:val="fr-CA"/>
        </w:rPr>
        <w:t>al. 186(1)</w:t>
      </w:r>
      <w:r w:rsidR="007A0665" w:rsidRPr="00E26409">
        <w:rPr>
          <w:i/>
          <w:lang w:val="fr-CA"/>
        </w:rPr>
        <w:t>a</w:t>
      </w:r>
      <w:r w:rsidR="007A0665" w:rsidRPr="00E26409">
        <w:rPr>
          <w:lang w:val="fr-CA"/>
        </w:rPr>
        <w:t xml:space="preserve">) de la </w:t>
      </w:r>
      <w:r w:rsidR="007A0665" w:rsidRPr="00E26409">
        <w:rPr>
          <w:i/>
          <w:lang w:val="fr-CA"/>
        </w:rPr>
        <w:t xml:space="preserve">Loi sur les relations de travail dans la fonction publique </w:t>
      </w:r>
      <w:r w:rsidR="007A0665" w:rsidRPr="00E26409">
        <w:rPr>
          <w:lang w:val="fr-CA"/>
        </w:rPr>
        <w:t>oblige l</w:t>
      </w:r>
      <w:r w:rsidR="00A13B74" w:rsidRPr="00E26409">
        <w:rPr>
          <w:lang w:val="fr-CA"/>
        </w:rPr>
        <w:t>’</w:t>
      </w:r>
      <w:r w:rsidR="007A0665" w:rsidRPr="00E26409">
        <w:rPr>
          <w:lang w:val="fr-CA"/>
        </w:rPr>
        <w:t xml:space="preserve">employeur à communiquer au syndicat </w:t>
      </w:r>
      <w:r w:rsidR="007A0665" w:rsidRPr="00E26409">
        <w:rPr>
          <w:lang w:val="fr-CA"/>
        </w:rPr>
        <w:lastRenderedPageBreak/>
        <w:t>certaines des coordonnées des employés et que cela respecte les exigences de l</w:t>
      </w:r>
      <w:r w:rsidR="00A13B74" w:rsidRPr="00E26409">
        <w:rPr>
          <w:lang w:val="fr-CA"/>
        </w:rPr>
        <w:t>’</w:t>
      </w:r>
      <w:r w:rsidR="007A0665" w:rsidRPr="00E26409">
        <w:rPr>
          <w:lang w:val="fr-CA"/>
        </w:rPr>
        <w:t>al. 8(2)</w:t>
      </w:r>
      <w:r w:rsidR="007A0665" w:rsidRPr="00E26409">
        <w:rPr>
          <w:i/>
          <w:lang w:val="fr-CA"/>
        </w:rPr>
        <w:t>a</w:t>
      </w:r>
      <w:r w:rsidR="007A0665" w:rsidRPr="00E26409">
        <w:rPr>
          <w:lang w:val="fr-CA"/>
        </w:rPr>
        <w:t xml:space="preserve">) de la </w:t>
      </w:r>
      <w:r w:rsidR="007A0665" w:rsidRPr="00E26409">
        <w:rPr>
          <w:i/>
          <w:lang w:val="fr-CA"/>
        </w:rPr>
        <w:t>Loi sur la protection des renseignements personnels</w:t>
      </w:r>
      <w:r w:rsidRPr="00E26409">
        <w:rPr>
          <w:lang w:val="fr-CA"/>
        </w:rPr>
        <w:t xml:space="preserve">.  </w:t>
      </w:r>
      <w:r w:rsidR="002C539E" w:rsidRPr="00E26409">
        <w:rPr>
          <w:lang w:val="fr-CA"/>
        </w:rPr>
        <w:t>La Commission a toutefois refusé à tort de se prononcer sur les arguments de B fondés sur l</w:t>
      </w:r>
      <w:r w:rsidR="00A13B74" w:rsidRPr="00E26409">
        <w:rPr>
          <w:lang w:val="fr-CA"/>
        </w:rPr>
        <w:t>’</w:t>
      </w:r>
      <w:r w:rsidR="002C539E" w:rsidRPr="00E26409">
        <w:rPr>
          <w:lang w:val="fr-CA"/>
        </w:rPr>
        <w:t>al. 2</w:t>
      </w:r>
      <w:r w:rsidR="002C539E" w:rsidRPr="00E26409">
        <w:rPr>
          <w:i/>
          <w:lang w:val="fr-CA"/>
        </w:rPr>
        <w:t>d</w:t>
      </w:r>
      <w:r w:rsidR="002C539E" w:rsidRPr="00E26409">
        <w:rPr>
          <w:lang w:val="fr-CA"/>
        </w:rPr>
        <w:t xml:space="preserve">) de la </w:t>
      </w:r>
      <w:r w:rsidR="002C539E" w:rsidRPr="00E26409">
        <w:rPr>
          <w:i/>
          <w:lang w:val="fr-CA"/>
        </w:rPr>
        <w:t>Charte</w:t>
      </w:r>
      <w:r w:rsidRPr="00E26409">
        <w:rPr>
          <w:lang w:val="fr-CA"/>
        </w:rPr>
        <w:t xml:space="preserve">.  </w:t>
      </w:r>
      <w:r w:rsidR="002C539E" w:rsidRPr="00E26409">
        <w:rPr>
          <w:lang w:val="fr-CA"/>
        </w:rPr>
        <w:t>La Commission avait à la fois le pouvoir et l</w:t>
      </w:r>
      <w:r w:rsidR="00A13B74" w:rsidRPr="00E26409">
        <w:rPr>
          <w:lang w:val="fr-CA"/>
        </w:rPr>
        <w:t>’</w:t>
      </w:r>
      <w:r w:rsidR="002C539E" w:rsidRPr="00E26409">
        <w:rPr>
          <w:lang w:val="fr-CA"/>
        </w:rPr>
        <w:t xml:space="preserve">obligation de statuer sur ses arguments fondés sur la </w:t>
      </w:r>
      <w:r w:rsidR="002C539E" w:rsidRPr="00E26409">
        <w:rPr>
          <w:i/>
          <w:lang w:val="fr-CA"/>
        </w:rPr>
        <w:t>Charte</w:t>
      </w:r>
      <w:r w:rsidRPr="00E26409">
        <w:rPr>
          <w:lang w:val="fr-CA"/>
        </w:rPr>
        <w:t xml:space="preserve">.  </w:t>
      </w:r>
      <w:r w:rsidR="002C539E" w:rsidRPr="00E26409">
        <w:rPr>
          <w:lang w:val="fr-CA"/>
        </w:rPr>
        <w:t>Conclure qu</w:t>
      </w:r>
      <w:r w:rsidR="00A13B74" w:rsidRPr="00E26409">
        <w:rPr>
          <w:lang w:val="fr-CA"/>
        </w:rPr>
        <w:t>’</w:t>
      </w:r>
      <w:r w:rsidR="002C539E" w:rsidRPr="00E26409">
        <w:rPr>
          <w:lang w:val="fr-CA"/>
        </w:rPr>
        <w:t xml:space="preserve">une cour de révision peut exclure un aspect aussi fondamental de la compétence </w:t>
      </w:r>
      <w:r w:rsidR="00B07F49" w:rsidRPr="00E26409">
        <w:rPr>
          <w:lang w:val="fr-CA"/>
        </w:rPr>
        <w:t>de la Commission</w:t>
      </w:r>
      <w:r w:rsidR="002C539E" w:rsidRPr="00E26409">
        <w:rPr>
          <w:lang w:val="fr-CA"/>
        </w:rPr>
        <w:t xml:space="preserve"> irait à l</w:t>
      </w:r>
      <w:r w:rsidR="00A13B74" w:rsidRPr="00E26409">
        <w:rPr>
          <w:lang w:val="fr-CA"/>
        </w:rPr>
        <w:t>’</w:t>
      </w:r>
      <w:r w:rsidR="002C539E" w:rsidRPr="00E26409">
        <w:rPr>
          <w:lang w:val="fr-CA"/>
        </w:rPr>
        <w:t>encontre de la jurisprudence de la Cour</w:t>
      </w:r>
      <w:r w:rsidRPr="00E26409">
        <w:rPr>
          <w:lang w:val="fr-CA"/>
        </w:rPr>
        <w:t xml:space="preserve">.  </w:t>
      </w:r>
      <w:r w:rsidR="002C539E" w:rsidRPr="00E26409">
        <w:rPr>
          <w:lang w:val="fr-CA"/>
        </w:rPr>
        <w:t xml:space="preserve">En concluant que la Commission ne pouvait pas examiner les arguments de B fondés sur la </w:t>
      </w:r>
      <w:r w:rsidR="002C539E" w:rsidRPr="00E26409">
        <w:rPr>
          <w:i/>
          <w:lang w:val="fr-CA"/>
        </w:rPr>
        <w:t>Charte</w:t>
      </w:r>
      <w:r w:rsidR="00B07F49" w:rsidRPr="00E26409">
        <w:rPr>
          <w:i/>
          <w:lang w:val="fr-CA"/>
        </w:rPr>
        <w:t xml:space="preserve"> </w:t>
      </w:r>
      <w:r w:rsidR="00B07F49" w:rsidRPr="00E26409">
        <w:rPr>
          <w:lang w:val="fr-CA"/>
        </w:rPr>
        <w:t>dans le cadre du réexamen</w:t>
      </w:r>
      <w:r w:rsidR="002C539E" w:rsidRPr="00E26409">
        <w:rPr>
          <w:lang w:val="fr-CA"/>
        </w:rPr>
        <w:t>, tant la Commission que la Cour d</w:t>
      </w:r>
      <w:r w:rsidR="00A13B74" w:rsidRPr="00E26409">
        <w:rPr>
          <w:lang w:val="fr-CA"/>
        </w:rPr>
        <w:t>’</w:t>
      </w:r>
      <w:r w:rsidR="002C539E" w:rsidRPr="00E26409">
        <w:rPr>
          <w:lang w:val="fr-CA"/>
        </w:rPr>
        <w:t xml:space="preserve">appel fédérale </w:t>
      </w:r>
      <w:proofErr w:type="gramStart"/>
      <w:r w:rsidR="002C539E" w:rsidRPr="00E26409">
        <w:rPr>
          <w:lang w:val="fr-CA"/>
        </w:rPr>
        <w:t>ont</w:t>
      </w:r>
      <w:proofErr w:type="gramEnd"/>
      <w:r w:rsidR="002C539E" w:rsidRPr="00E26409">
        <w:rPr>
          <w:lang w:val="fr-CA"/>
        </w:rPr>
        <w:t xml:space="preserve"> commis une erreur de droit.  Cette erreur quant à la compétence a entraîné un manquement à l</w:t>
      </w:r>
      <w:r w:rsidR="00A13B74" w:rsidRPr="00E26409">
        <w:rPr>
          <w:lang w:val="fr-CA"/>
        </w:rPr>
        <w:t>’</w:t>
      </w:r>
      <w:r w:rsidR="002C539E" w:rsidRPr="00E26409">
        <w:rPr>
          <w:lang w:val="fr-CA"/>
        </w:rPr>
        <w:t>équité procédurale dans la mesure où B</w:t>
      </w:r>
      <w:r w:rsidR="00B07F49" w:rsidRPr="00E26409">
        <w:rPr>
          <w:lang w:val="fr-CA"/>
        </w:rPr>
        <w:t xml:space="preserve"> </w:t>
      </w:r>
      <w:r w:rsidR="002C539E" w:rsidRPr="00E26409">
        <w:rPr>
          <w:lang w:val="fr-CA"/>
        </w:rPr>
        <w:t xml:space="preserve">a été </w:t>
      </w:r>
      <w:proofErr w:type="gramStart"/>
      <w:r w:rsidR="002C539E" w:rsidRPr="00E26409">
        <w:rPr>
          <w:lang w:val="fr-CA"/>
        </w:rPr>
        <w:t>privée</w:t>
      </w:r>
      <w:proofErr w:type="gramEnd"/>
      <w:r w:rsidR="002C539E" w:rsidRPr="00E26409">
        <w:rPr>
          <w:lang w:val="fr-CA"/>
        </w:rPr>
        <w:t xml:space="preserve"> de son droit de présenter des observations fondées sur la </w:t>
      </w:r>
      <w:r w:rsidR="002C539E" w:rsidRPr="00E26409">
        <w:rPr>
          <w:i/>
          <w:lang w:val="fr-CA"/>
        </w:rPr>
        <w:t>Charte</w:t>
      </w:r>
      <w:r w:rsidR="002C539E" w:rsidRPr="00E26409">
        <w:rPr>
          <w:lang w:val="fr-CA"/>
        </w:rPr>
        <w:t xml:space="preserve">, </w:t>
      </w:r>
      <w:r w:rsidR="00411207">
        <w:rPr>
          <w:lang w:val="fr-CA"/>
        </w:rPr>
        <w:t xml:space="preserve">ainsi que </w:t>
      </w:r>
      <w:r w:rsidR="002C539E" w:rsidRPr="00E26409">
        <w:rPr>
          <w:lang w:val="fr-CA"/>
        </w:rPr>
        <w:t>de son droit de les voir prises en considération et tranchées</w:t>
      </w:r>
      <w:r w:rsidRPr="00E26409">
        <w:rPr>
          <w:lang w:val="fr-CA"/>
        </w:rPr>
        <w:t>.</w:t>
      </w:r>
    </w:p>
    <w:p w:rsidR="00EE5B8B" w:rsidRPr="00E26409" w:rsidRDefault="00EE5B8B" w:rsidP="00EE5B8B">
      <w:pPr>
        <w:pStyle w:val="SCCNormalDoubleSpacing"/>
        <w:spacing w:before="480" w:after="480"/>
        <w:rPr>
          <w:lang w:val="fr-CA"/>
        </w:rPr>
      </w:pPr>
      <w:r w:rsidRPr="00E26409">
        <w:rPr>
          <w:lang w:val="fr-CA"/>
        </w:rPr>
        <w:tab/>
      </w:r>
      <w:r w:rsidR="002C539E" w:rsidRPr="00E26409">
        <w:rPr>
          <w:lang w:val="fr-CA"/>
        </w:rPr>
        <w:t>La Cour doit statuer sur les arguments de B fondés sur l</w:t>
      </w:r>
      <w:r w:rsidR="00A13B74" w:rsidRPr="00E26409">
        <w:rPr>
          <w:lang w:val="fr-CA"/>
        </w:rPr>
        <w:t>’</w:t>
      </w:r>
      <w:r w:rsidR="002C539E" w:rsidRPr="00E26409">
        <w:rPr>
          <w:lang w:val="fr-CA"/>
        </w:rPr>
        <w:t>al. 2</w:t>
      </w:r>
      <w:r w:rsidR="002C539E" w:rsidRPr="00E26409">
        <w:rPr>
          <w:i/>
          <w:lang w:val="fr-CA"/>
        </w:rPr>
        <w:t>d</w:t>
      </w:r>
      <w:r w:rsidR="002C539E" w:rsidRPr="00E26409">
        <w:rPr>
          <w:lang w:val="fr-CA"/>
        </w:rPr>
        <w:t>) et l</w:t>
      </w:r>
      <w:r w:rsidR="00A13B74" w:rsidRPr="00E26409">
        <w:rPr>
          <w:lang w:val="fr-CA"/>
        </w:rPr>
        <w:t>’</w:t>
      </w:r>
      <w:r w:rsidR="002C539E" w:rsidRPr="00E26409">
        <w:rPr>
          <w:lang w:val="fr-CA"/>
        </w:rPr>
        <w:t xml:space="preserve">art. 8 de la </w:t>
      </w:r>
      <w:r w:rsidR="002C539E" w:rsidRPr="00E26409">
        <w:rPr>
          <w:i/>
          <w:lang w:val="fr-CA"/>
        </w:rPr>
        <w:t>Charte</w:t>
      </w:r>
      <w:r w:rsidR="002C539E" w:rsidRPr="00E26409">
        <w:rPr>
          <w:lang w:val="fr-CA"/>
        </w:rPr>
        <w:t xml:space="preserve"> conformément au test à deux volets énoncé dans </w:t>
      </w:r>
      <w:proofErr w:type="spellStart"/>
      <w:r w:rsidRPr="00E26409">
        <w:rPr>
          <w:i/>
          <w:lang w:val="fr-CA"/>
        </w:rPr>
        <w:t>Quan</w:t>
      </w:r>
      <w:proofErr w:type="spellEnd"/>
      <w:r w:rsidRPr="00E26409">
        <w:rPr>
          <w:i/>
          <w:lang w:val="fr-CA"/>
        </w:rPr>
        <w:t xml:space="preserve"> </w:t>
      </w:r>
      <w:r w:rsidR="002C539E" w:rsidRPr="00E26409">
        <w:rPr>
          <w:i/>
          <w:lang w:val="fr-CA"/>
        </w:rPr>
        <w:t>c</w:t>
      </w:r>
      <w:r w:rsidRPr="00E26409">
        <w:rPr>
          <w:i/>
          <w:lang w:val="fr-CA"/>
        </w:rPr>
        <w:t xml:space="preserve">. </w:t>
      </w:r>
      <w:proofErr w:type="spellStart"/>
      <w:r w:rsidRPr="00E26409">
        <w:rPr>
          <w:i/>
          <w:lang w:val="fr-CA"/>
        </w:rPr>
        <w:t>Cusson</w:t>
      </w:r>
      <w:proofErr w:type="spellEnd"/>
      <w:r w:rsidRPr="00E26409">
        <w:rPr>
          <w:lang w:val="fr-CA"/>
        </w:rPr>
        <w:t xml:space="preserve">.  </w:t>
      </w:r>
      <w:r w:rsidR="002C539E" w:rsidRPr="00E26409">
        <w:rPr>
          <w:lang w:val="fr-CA"/>
        </w:rPr>
        <w:t>Le simple fait de communiquer l</w:t>
      </w:r>
      <w:r w:rsidR="00A13B74" w:rsidRPr="00E26409">
        <w:rPr>
          <w:lang w:val="fr-CA"/>
        </w:rPr>
        <w:t>’</w:t>
      </w:r>
      <w:r w:rsidR="002C539E" w:rsidRPr="00E26409">
        <w:rPr>
          <w:lang w:val="fr-CA"/>
        </w:rPr>
        <w:t>adresse et le numéro de téléphone résidentiels de B à l</w:t>
      </w:r>
      <w:r w:rsidR="00A13B74" w:rsidRPr="00E26409">
        <w:rPr>
          <w:lang w:val="fr-CA"/>
        </w:rPr>
        <w:t>’</w:t>
      </w:r>
      <w:r w:rsidR="002C539E" w:rsidRPr="00E26409">
        <w:rPr>
          <w:lang w:val="fr-CA"/>
        </w:rPr>
        <w:t>agent négociateur ne peut pas être considéré comme une association forcée</w:t>
      </w:r>
      <w:r w:rsidRPr="00E26409">
        <w:rPr>
          <w:lang w:val="fr-CA"/>
        </w:rPr>
        <w:t xml:space="preserve">, </w:t>
      </w:r>
      <w:r w:rsidR="00F22DB7" w:rsidRPr="00E26409">
        <w:rPr>
          <w:lang w:val="fr-CA"/>
        </w:rPr>
        <w:t>et ne constitue pas non plus une forme de conformité idéologique forcée</w:t>
      </w:r>
      <w:r w:rsidRPr="00E26409">
        <w:rPr>
          <w:lang w:val="fr-CA"/>
        </w:rPr>
        <w:t xml:space="preserve">.  </w:t>
      </w:r>
      <w:r w:rsidR="00F22DB7" w:rsidRPr="00E26409">
        <w:rPr>
          <w:lang w:val="fr-CA"/>
        </w:rPr>
        <w:t>En conséquence, il n</w:t>
      </w:r>
      <w:r w:rsidR="00A13B74" w:rsidRPr="00E26409">
        <w:rPr>
          <w:lang w:val="fr-CA"/>
        </w:rPr>
        <w:t>’</w:t>
      </w:r>
      <w:r w:rsidR="00F22DB7" w:rsidRPr="00E26409">
        <w:rPr>
          <w:lang w:val="fr-CA"/>
        </w:rPr>
        <w:t>y a pas atteinte au droit à la liberté d</w:t>
      </w:r>
      <w:r w:rsidR="00A13B74" w:rsidRPr="00E26409">
        <w:rPr>
          <w:lang w:val="fr-CA"/>
        </w:rPr>
        <w:t>’</w:t>
      </w:r>
      <w:r w:rsidR="00F22DB7" w:rsidRPr="00E26409">
        <w:rPr>
          <w:lang w:val="fr-CA"/>
        </w:rPr>
        <w:t>association protégé par l</w:t>
      </w:r>
      <w:r w:rsidR="00A13B74" w:rsidRPr="00E26409">
        <w:rPr>
          <w:lang w:val="fr-CA"/>
        </w:rPr>
        <w:t>’</w:t>
      </w:r>
      <w:r w:rsidR="00F22DB7" w:rsidRPr="00E26409">
        <w:rPr>
          <w:lang w:val="fr-CA"/>
        </w:rPr>
        <w:t>al.</w:t>
      </w:r>
      <w:r w:rsidR="00B07F49" w:rsidRPr="00E26409">
        <w:rPr>
          <w:lang w:val="fr-CA"/>
        </w:rPr>
        <w:t> </w:t>
      </w:r>
      <w:r w:rsidR="00F22DB7" w:rsidRPr="00E26409">
        <w:rPr>
          <w:lang w:val="fr-CA"/>
        </w:rPr>
        <w:t>2</w:t>
      </w:r>
      <w:r w:rsidR="00F22DB7" w:rsidRPr="00E26409">
        <w:rPr>
          <w:i/>
          <w:lang w:val="fr-CA"/>
        </w:rPr>
        <w:t>d</w:t>
      </w:r>
      <w:r w:rsidR="00F22DB7" w:rsidRPr="00E26409">
        <w:rPr>
          <w:lang w:val="fr-CA"/>
        </w:rPr>
        <w:t xml:space="preserve">) de la </w:t>
      </w:r>
      <w:r w:rsidR="00F22DB7" w:rsidRPr="00E26409">
        <w:rPr>
          <w:i/>
          <w:lang w:val="fr-CA"/>
        </w:rPr>
        <w:t>Charte</w:t>
      </w:r>
      <w:r w:rsidR="00F22DB7" w:rsidRPr="00E26409">
        <w:rPr>
          <w:lang w:val="fr-CA"/>
        </w:rPr>
        <w:t>.  La communication au syndicat des coordonnées résidentielles de B ne déclenche pas l</w:t>
      </w:r>
      <w:r w:rsidR="00A13B74" w:rsidRPr="00E26409">
        <w:rPr>
          <w:lang w:val="fr-CA"/>
        </w:rPr>
        <w:t>’</w:t>
      </w:r>
      <w:r w:rsidR="00F22DB7" w:rsidRPr="00E26409">
        <w:rPr>
          <w:lang w:val="fr-CA"/>
        </w:rPr>
        <w:t>application de la protection garantie par l</w:t>
      </w:r>
      <w:r w:rsidR="00A13B74" w:rsidRPr="00E26409">
        <w:rPr>
          <w:lang w:val="fr-CA"/>
        </w:rPr>
        <w:t>’</w:t>
      </w:r>
      <w:r w:rsidR="00F22DB7" w:rsidRPr="00E26409">
        <w:rPr>
          <w:lang w:val="fr-CA"/>
        </w:rPr>
        <w:t xml:space="preserve">art. 8 de la </w:t>
      </w:r>
      <w:r w:rsidR="00F22DB7" w:rsidRPr="00E26409">
        <w:rPr>
          <w:i/>
          <w:lang w:val="fr-CA"/>
        </w:rPr>
        <w:t>Charte</w:t>
      </w:r>
      <w:r w:rsidR="00F22DB7" w:rsidRPr="00E26409">
        <w:rPr>
          <w:lang w:val="fr-CA"/>
        </w:rPr>
        <w:t xml:space="preserve"> parce que B n</w:t>
      </w:r>
      <w:r w:rsidR="00A13B74" w:rsidRPr="00E26409">
        <w:rPr>
          <w:lang w:val="fr-CA"/>
        </w:rPr>
        <w:t>’</w:t>
      </w:r>
      <w:r w:rsidR="00F22DB7" w:rsidRPr="00E26409">
        <w:rPr>
          <w:lang w:val="fr-CA"/>
        </w:rPr>
        <w:t xml:space="preserve">avait pas une attente raisonnable en matière de respect de sa vie privée relativement aux renseignements personnels </w:t>
      </w:r>
      <w:r w:rsidR="005A0075" w:rsidRPr="00E26409">
        <w:rPr>
          <w:lang w:val="fr-CA"/>
        </w:rPr>
        <w:t xml:space="preserve">communiqués. </w:t>
      </w:r>
      <w:r w:rsidR="00E627C3" w:rsidRPr="00E26409">
        <w:rPr>
          <w:lang w:val="fr-CA"/>
        </w:rPr>
        <w:t xml:space="preserve"> </w:t>
      </w:r>
      <w:r w:rsidR="00F22DB7" w:rsidRPr="00E26409">
        <w:rPr>
          <w:lang w:val="fr-CA"/>
        </w:rPr>
        <w:t>Quoi qu</w:t>
      </w:r>
      <w:r w:rsidR="00A13B74" w:rsidRPr="00E26409">
        <w:rPr>
          <w:lang w:val="fr-CA"/>
        </w:rPr>
        <w:t>’</w:t>
      </w:r>
      <w:r w:rsidR="00F22DB7" w:rsidRPr="00E26409">
        <w:rPr>
          <w:lang w:val="fr-CA"/>
        </w:rPr>
        <w:t xml:space="preserve">il en soit, la </w:t>
      </w:r>
      <w:r w:rsidR="00F22DB7" w:rsidRPr="00E26409">
        <w:rPr>
          <w:lang w:val="fr-CA"/>
        </w:rPr>
        <w:lastRenderedPageBreak/>
        <w:t xml:space="preserve">communication ne peut </w:t>
      </w:r>
      <w:r w:rsidR="00B07F49" w:rsidRPr="00E26409">
        <w:rPr>
          <w:lang w:val="fr-CA"/>
        </w:rPr>
        <w:t>constituer</w:t>
      </w:r>
      <w:r w:rsidR="00F22DB7" w:rsidRPr="00E26409">
        <w:rPr>
          <w:lang w:val="fr-CA"/>
        </w:rPr>
        <w:t xml:space="preserve"> une « saisie » aux fins de l</w:t>
      </w:r>
      <w:r w:rsidR="00A13B74" w:rsidRPr="00E26409">
        <w:rPr>
          <w:lang w:val="fr-CA"/>
        </w:rPr>
        <w:t>’</w:t>
      </w:r>
      <w:r w:rsidR="00F22DB7" w:rsidRPr="00E26409">
        <w:rPr>
          <w:lang w:val="fr-CA"/>
        </w:rPr>
        <w:t>application de l</w:t>
      </w:r>
      <w:r w:rsidR="00A13B74" w:rsidRPr="00E26409">
        <w:rPr>
          <w:lang w:val="fr-CA"/>
        </w:rPr>
        <w:t>’</w:t>
      </w:r>
      <w:r w:rsidR="00F22DB7" w:rsidRPr="00E26409">
        <w:rPr>
          <w:lang w:val="fr-CA"/>
        </w:rPr>
        <w:t xml:space="preserve">art. 8 de la </w:t>
      </w:r>
      <w:r w:rsidR="00F22DB7" w:rsidRPr="00E26409">
        <w:rPr>
          <w:i/>
          <w:lang w:val="fr-CA"/>
        </w:rPr>
        <w:t>Charte</w:t>
      </w:r>
      <w:r w:rsidR="00F22DB7" w:rsidRPr="00E26409">
        <w:rPr>
          <w:lang w:val="fr-CA"/>
        </w:rPr>
        <w:t xml:space="preserve"> puisque les renseignements ont été </w:t>
      </w:r>
      <w:r w:rsidR="005A0075" w:rsidRPr="00E26409">
        <w:rPr>
          <w:lang w:val="fr-CA"/>
        </w:rPr>
        <w:t>communiqués</w:t>
      </w:r>
      <w:r w:rsidR="00F22DB7" w:rsidRPr="00E26409">
        <w:rPr>
          <w:lang w:val="fr-CA"/>
        </w:rPr>
        <w:t xml:space="preserve"> non pas à l</w:t>
      </w:r>
      <w:r w:rsidR="00A13B74" w:rsidRPr="00E26409">
        <w:rPr>
          <w:lang w:val="fr-CA"/>
        </w:rPr>
        <w:t>’</w:t>
      </w:r>
      <w:r w:rsidR="00F22DB7" w:rsidRPr="00E26409">
        <w:rPr>
          <w:lang w:val="fr-CA"/>
        </w:rPr>
        <w:t xml:space="preserve">État, mais à une organisation syndicale.  </w:t>
      </w:r>
    </w:p>
    <w:p w:rsidR="00EE5B8B" w:rsidRPr="00E26409" w:rsidRDefault="00EE5B8B" w:rsidP="00EE5B8B">
      <w:pPr>
        <w:pStyle w:val="SCCNormalDoubleSpacing"/>
        <w:spacing w:before="480" w:after="480"/>
        <w:rPr>
          <w:lang w:val="fr-CA"/>
        </w:rPr>
      </w:pPr>
      <w:r w:rsidRPr="00E26409">
        <w:rPr>
          <w:lang w:val="fr-CA"/>
        </w:rPr>
        <w:tab/>
      </w:r>
      <w:r w:rsidR="00F22DB7" w:rsidRPr="00E26409">
        <w:rPr>
          <w:lang w:val="fr-CA"/>
        </w:rPr>
        <w:t>L</w:t>
      </w:r>
      <w:r w:rsidR="00A13B74" w:rsidRPr="00E26409">
        <w:rPr>
          <w:lang w:val="fr-CA"/>
        </w:rPr>
        <w:t>’</w:t>
      </w:r>
      <w:r w:rsidR="00F22DB7" w:rsidRPr="00E26409">
        <w:rPr>
          <w:lang w:val="fr-CA"/>
        </w:rPr>
        <w:t xml:space="preserve">appel devrait être accueilli, </w:t>
      </w:r>
      <w:r w:rsidR="002D27E0" w:rsidRPr="00E26409">
        <w:rPr>
          <w:lang w:val="fr-CA"/>
        </w:rPr>
        <w:t>mais seulement à l</w:t>
      </w:r>
      <w:r w:rsidR="00A13B74" w:rsidRPr="00E26409">
        <w:rPr>
          <w:lang w:val="fr-CA"/>
        </w:rPr>
        <w:t>’</w:t>
      </w:r>
      <w:r w:rsidR="002D27E0" w:rsidRPr="00E26409">
        <w:rPr>
          <w:lang w:val="fr-CA"/>
        </w:rPr>
        <w:t>égard de l</w:t>
      </w:r>
      <w:r w:rsidR="00A13B74" w:rsidRPr="00E26409">
        <w:rPr>
          <w:lang w:val="fr-CA"/>
        </w:rPr>
        <w:t>’</w:t>
      </w:r>
      <w:r w:rsidR="002D27E0" w:rsidRPr="00E26409">
        <w:rPr>
          <w:lang w:val="fr-CA"/>
        </w:rPr>
        <w:t>ordonnance d</w:t>
      </w:r>
      <w:r w:rsidR="00A13B74" w:rsidRPr="00E26409">
        <w:rPr>
          <w:lang w:val="fr-CA"/>
        </w:rPr>
        <w:t>’</w:t>
      </w:r>
      <w:r w:rsidR="002D27E0" w:rsidRPr="00E26409">
        <w:rPr>
          <w:lang w:val="fr-CA"/>
        </w:rPr>
        <w:t>adjudication des dépens rendue par la Cour d</w:t>
      </w:r>
      <w:r w:rsidR="00A13B74" w:rsidRPr="00E26409">
        <w:rPr>
          <w:lang w:val="fr-CA"/>
        </w:rPr>
        <w:t>’</w:t>
      </w:r>
      <w:r w:rsidR="002D27E0" w:rsidRPr="00E26409">
        <w:rPr>
          <w:lang w:val="fr-CA"/>
        </w:rPr>
        <w:t>appel fédérale selon laquelle B doit verser les dépens aux intimés</w:t>
      </w:r>
      <w:r w:rsidRPr="00E26409">
        <w:rPr>
          <w:lang w:val="fr-CA"/>
        </w:rPr>
        <w:t>.</w:t>
      </w:r>
    </w:p>
    <w:p w:rsidR="004D7D95" w:rsidRPr="00E26409" w:rsidRDefault="004D7D95" w:rsidP="00E627C3">
      <w:pPr>
        <w:pStyle w:val="SCCNormalDoubleSpacing"/>
        <w:keepNext/>
        <w:spacing w:before="480" w:after="480"/>
        <w:rPr>
          <w:b/>
          <w:lang w:val="fr-CA"/>
        </w:rPr>
      </w:pPr>
      <w:r w:rsidRPr="00E26409">
        <w:rPr>
          <w:b/>
          <w:lang w:val="fr-CA"/>
        </w:rPr>
        <w:t>Jurisprudence</w:t>
      </w:r>
    </w:p>
    <w:p w:rsidR="00FD56B3" w:rsidRPr="00E26409" w:rsidRDefault="00FD56B3" w:rsidP="004C788D">
      <w:pPr>
        <w:pStyle w:val="SCCNormalDoubleSpacing"/>
        <w:keepNext/>
        <w:spacing w:after="720" w:line="240" w:lineRule="auto"/>
        <w:rPr>
          <w:lang w:val="fr-CA"/>
        </w:rPr>
      </w:pPr>
      <w:r w:rsidRPr="00E26409">
        <w:rPr>
          <w:lang w:val="fr-CA"/>
        </w:rPr>
        <w:t>Citée par les juges Abella et Cromwell</w:t>
      </w:r>
    </w:p>
    <w:p w:rsidR="004D7D95" w:rsidRPr="00E26409" w:rsidRDefault="004D7D95" w:rsidP="004C788D">
      <w:pPr>
        <w:pStyle w:val="SCCNormalDoubleSpacing"/>
        <w:spacing w:before="480" w:after="480"/>
        <w:rPr>
          <w:lang w:val="fr-CA"/>
        </w:rPr>
      </w:pPr>
      <w:r w:rsidRPr="00E26409">
        <w:rPr>
          <w:lang w:val="fr-CA"/>
        </w:rPr>
        <w:tab/>
      </w:r>
      <w:r w:rsidRPr="00E26409">
        <w:rPr>
          <w:b/>
          <w:lang w:val="fr-CA"/>
        </w:rPr>
        <w:t>Arrêts mentionnés</w:t>
      </w:r>
      <w:r w:rsidR="004C788D" w:rsidRPr="00E26409">
        <w:rPr>
          <w:b/>
          <w:lang w:val="fr-CA"/>
        </w:rPr>
        <w:t> :</w:t>
      </w:r>
      <w:r w:rsidRPr="00E26409">
        <w:rPr>
          <w:lang w:val="fr-CA"/>
        </w:rPr>
        <w:t xml:space="preserve"> </w:t>
      </w:r>
      <w:proofErr w:type="spellStart"/>
      <w:r w:rsidR="00D6667B" w:rsidRPr="00E26409">
        <w:rPr>
          <w:i/>
          <w:lang w:val="fr-CA"/>
        </w:rPr>
        <w:t>Millcroft</w:t>
      </w:r>
      <w:proofErr w:type="spellEnd"/>
      <w:r w:rsidR="00D6667B" w:rsidRPr="00E26409">
        <w:rPr>
          <w:i/>
          <w:lang w:val="fr-CA"/>
        </w:rPr>
        <w:t xml:space="preserve"> Inn Ltd. and </w:t>
      </w:r>
      <w:proofErr w:type="spellStart"/>
      <w:r w:rsidR="00D6667B" w:rsidRPr="00E26409">
        <w:rPr>
          <w:i/>
          <w:lang w:val="fr-CA"/>
        </w:rPr>
        <w:t>CAW</w:t>
      </w:r>
      <w:r w:rsidR="004C788D" w:rsidRPr="00E26409">
        <w:rPr>
          <w:i/>
          <w:lang w:val="fr-CA"/>
        </w:rPr>
        <w:noBreakHyphen/>
      </w:r>
      <w:r w:rsidR="00D6667B" w:rsidRPr="00E26409">
        <w:rPr>
          <w:i/>
          <w:lang w:val="fr-CA"/>
        </w:rPr>
        <w:t>Canada</w:t>
      </w:r>
      <w:proofErr w:type="spellEnd"/>
      <w:r w:rsidR="00D6667B" w:rsidRPr="00E26409">
        <w:rPr>
          <w:i/>
          <w:lang w:val="fr-CA"/>
        </w:rPr>
        <w:t>, Local 448</w:t>
      </w:r>
      <w:r w:rsidR="00D6667B" w:rsidRPr="00E26409">
        <w:rPr>
          <w:lang w:val="fr-CA"/>
        </w:rPr>
        <w:t xml:space="preserve"> (2000), 63 C.L.R.B.R. (2d) 181; </w:t>
      </w:r>
      <w:proofErr w:type="spellStart"/>
      <w:r w:rsidR="00D6667B" w:rsidRPr="00E26409">
        <w:rPr>
          <w:i/>
          <w:lang w:val="fr-CA"/>
        </w:rPr>
        <w:t>Monarch</w:t>
      </w:r>
      <w:proofErr w:type="spellEnd"/>
      <w:r w:rsidR="00D6667B" w:rsidRPr="00E26409">
        <w:rPr>
          <w:i/>
          <w:lang w:val="fr-CA"/>
        </w:rPr>
        <w:t xml:space="preserve"> Transport Inc. </w:t>
      </w:r>
      <w:r w:rsidR="00CB72DD">
        <w:rPr>
          <w:i/>
          <w:lang w:val="fr-CA"/>
        </w:rPr>
        <w:t>et</w:t>
      </w:r>
      <w:r w:rsidR="00D6667B" w:rsidRPr="00E26409">
        <w:rPr>
          <w:i/>
          <w:lang w:val="fr-CA"/>
        </w:rPr>
        <w:t xml:space="preserve"> Dempsey </w:t>
      </w:r>
      <w:proofErr w:type="spellStart"/>
      <w:r w:rsidR="00D6667B" w:rsidRPr="00E26409">
        <w:rPr>
          <w:i/>
          <w:lang w:val="fr-CA"/>
        </w:rPr>
        <w:t>Freight</w:t>
      </w:r>
      <w:proofErr w:type="spellEnd"/>
      <w:r w:rsidR="00D6667B" w:rsidRPr="00E26409">
        <w:rPr>
          <w:i/>
          <w:lang w:val="fr-CA"/>
        </w:rPr>
        <w:t xml:space="preserve"> Systems Ltd.</w:t>
      </w:r>
      <w:r w:rsidR="00D6667B" w:rsidRPr="00E26409">
        <w:rPr>
          <w:lang w:val="fr-CA"/>
        </w:rPr>
        <w:t>, 2003 C</w:t>
      </w:r>
      <w:r w:rsidR="00166760" w:rsidRPr="00E26409">
        <w:rPr>
          <w:lang w:val="fr-CA"/>
        </w:rPr>
        <w:t>C</w:t>
      </w:r>
      <w:r w:rsidR="00D6667B" w:rsidRPr="00E26409">
        <w:rPr>
          <w:lang w:val="fr-CA"/>
        </w:rPr>
        <w:t>R</w:t>
      </w:r>
      <w:r w:rsidR="00166760" w:rsidRPr="00E26409">
        <w:rPr>
          <w:lang w:val="fr-CA"/>
        </w:rPr>
        <w:t>I</w:t>
      </w:r>
      <w:r w:rsidR="00D6667B" w:rsidRPr="00E26409">
        <w:rPr>
          <w:lang w:val="fr-CA"/>
        </w:rPr>
        <w:t xml:space="preserve"> 249 (</w:t>
      </w:r>
      <w:proofErr w:type="spellStart"/>
      <w:r w:rsidR="00D6667B" w:rsidRPr="00E26409">
        <w:rPr>
          <w:lang w:val="fr-CA"/>
        </w:rPr>
        <w:t>CanLII</w:t>
      </w:r>
      <w:proofErr w:type="spellEnd"/>
      <w:r w:rsidR="00D6667B" w:rsidRPr="00E26409">
        <w:rPr>
          <w:lang w:val="fr-CA"/>
        </w:rPr>
        <w:t xml:space="preserve">); </w:t>
      </w:r>
      <w:r w:rsidR="004C788D" w:rsidRPr="00E26409">
        <w:rPr>
          <w:i/>
          <w:lang w:val="fr-CA"/>
        </w:rPr>
        <w:t>P. </w:t>
      </w:r>
      <w:proofErr w:type="spellStart"/>
      <w:r w:rsidR="00D6667B" w:rsidRPr="00E26409">
        <w:rPr>
          <w:i/>
          <w:lang w:val="fr-CA"/>
        </w:rPr>
        <w:t>Sun</w:t>
      </w:r>
      <w:r w:rsidR="00A13B74" w:rsidRPr="00E26409">
        <w:rPr>
          <w:i/>
          <w:lang w:val="fr-CA"/>
        </w:rPr>
        <w:t>’</w:t>
      </w:r>
      <w:r w:rsidR="00D6667B" w:rsidRPr="00E26409">
        <w:rPr>
          <w:i/>
          <w:lang w:val="fr-CA"/>
        </w:rPr>
        <w:t>s</w:t>
      </w:r>
      <w:proofErr w:type="spellEnd"/>
      <w:r w:rsidR="00D6667B" w:rsidRPr="00E26409">
        <w:rPr>
          <w:i/>
          <w:lang w:val="fr-CA"/>
        </w:rPr>
        <w:t xml:space="preserve"> </w:t>
      </w:r>
      <w:proofErr w:type="spellStart"/>
      <w:r w:rsidR="00D6667B" w:rsidRPr="00E26409">
        <w:rPr>
          <w:i/>
          <w:lang w:val="fr-CA"/>
        </w:rPr>
        <w:t>Enterprises</w:t>
      </w:r>
      <w:proofErr w:type="spellEnd"/>
      <w:r w:rsidR="00D6667B" w:rsidRPr="00E26409">
        <w:rPr>
          <w:i/>
          <w:lang w:val="fr-CA"/>
        </w:rPr>
        <w:t xml:space="preserve"> (Vancouver) Ltd. and </w:t>
      </w:r>
      <w:proofErr w:type="spellStart"/>
      <w:r w:rsidR="00D6667B" w:rsidRPr="00E26409">
        <w:rPr>
          <w:i/>
          <w:lang w:val="fr-CA"/>
        </w:rPr>
        <w:t>CAW</w:t>
      </w:r>
      <w:r w:rsidR="004C788D" w:rsidRPr="00E26409">
        <w:rPr>
          <w:i/>
          <w:lang w:val="fr-CA"/>
        </w:rPr>
        <w:noBreakHyphen/>
      </w:r>
      <w:r w:rsidR="00D6667B" w:rsidRPr="00E26409">
        <w:rPr>
          <w:i/>
          <w:lang w:val="fr-CA"/>
        </w:rPr>
        <w:t>Canada</w:t>
      </w:r>
      <w:proofErr w:type="spellEnd"/>
      <w:r w:rsidR="00D6667B" w:rsidRPr="00E26409">
        <w:rPr>
          <w:i/>
          <w:lang w:val="fr-CA"/>
        </w:rPr>
        <w:t>, Local 114</w:t>
      </w:r>
      <w:r w:rsidR="00D6667B" w:rsidRPr="00E26409">
        <w:rPr>
          <w:lang w:val="fr-CA"/>
        </w:rPr>
        <w:t xml:space="preserve"> (2003), 99 C.L.R.B.R. (2d) 110; </w:t>
      </w:r>
      <w:r w:rsidR="004F51BA" w:rsidRPr="00E26409">
        <w:rPr>
          <w:i/>
          <w:lang w:val="fr-CA"/>
        </w:rPr>
        <w:t>Lavigne c. Syndicat des employés de la fonction publique de l</w:t>
      </w:r>
      <w:r w:rsidR="00A13B74" w:rsidRPr="00E26409">
        <w:rPr>
          <w:i/>
          <w:lang w:val="fr-CA"/>
        </w:rPr>
        <w:t>’</w:t>
      </w:r>
      <w:r w:rsidR="004F51BA" w:rsidRPr="00E26409">
        <w:rPr>
          <w:i/>
          <w:lang w:val="fr-CA"/>
        </w:rPr>
        <w:t>Ontario</w:t>
      </w:r>
      <w:r w:rsidR="004F51BA" w:rsidRPr="00E26409">
        <w:rPr>
          <w:lang w:val="fr-CA"/>
        </w:rPr>
        <w:t xml:space="preserve">, [1991] 2 R.C.S. 211; </w:t>
      </w:r>
      <w:r w:rsidR="004F51BA" w:rsidRPr="00E26409">
        <w:rPr>
          <w:i/>
          <w:lang w:val="fr-CA"/>
        </w:rPr>
        <w:t xml:space="preserve">R. c. </w:t>
      </w:r>
      <w:proofErr w:type="spellStart"/>
      <w:r w:rsidR="004F51BA" w:rsidRPr="00E26409">
        <w:rPr>
          <w:i/>
          <w:lang w:val="fr-CA"/>
        </w:rPr>
        <w:t>Advance</w:t>
      </w:r>
      <w:proofErr w:type="spellEnd"/>
      <w:r w:rsidR="004F51BA" w:rsidRPr="00E26409">
        <w:rPr>
          <w:i/>
          <w:lang w:val="fr-CA"/>
        </w:rPr>
        <w:t xml:space="preserve"> </w:t>
      </w:r>
      <w:proofErr w:type="spellStart"/>
      <w:r w:rsidR="004F51BA" w:rsidRPr="00E26409">
        <w:rPr>
          <w:i/>
          <w:lang w:val="fr-CA"/>
        </w:rPr>
        <w:t>Cutting</w:t>
      </w:r>
      <w:proofErr w:type="spellEnd"/>
      <w:r w:rsidR="004F51BA" w:rsidRPr="00E26409">
        <w:rPr>
          <w:i/>
          <w:lang w:val="fr-CA"/>
        </w:rPr>
        <w:t xml:space="preserve"> &amp; </w:t>
      </w:r>
      <w:proofErr w:type="spellStart"/>
      <w:r w:rsidR="004F51BA" w:rsidRPr="00E26409">
        <w:rPr>
          <w:i/>
          <w:lang w:val="fr-CA"/>
        </w:rPr>
        <w:t>Coring</w:t>
      </w:r>
      <w:proofErr w:type="spellEnd"/>
      <w:r w:rsidR="004F51BA" w:rsidRPr="00E26409">
        <w:rPr>
          <w:i/>
          <w:lang w:val="fr-CA"/>
        </w:rPr>
        <w:t xml:space="preserve"> Ltd.</w:t>
      </w:r>
      <w:r w:rsidR="004F51BA" w:rsidRPr="00E26409">
        <w:rPr>
          <w:lang w:val="fr-CA"/>
        </w:rPr>
        <w:t>, 2001 CSC 70, [2001] 3 R.C.S. 209.</w:t>
      </w:r>
    </w:p>
    <w:p w:rsidR="00FD56B3" w:rsidRPr="00E26409" w:rsidRDefault="00FD56B3" w:rsidP="004C788D">
      <w:pPr>
        <w:pStyle w:val="SCCNormalDoubleSpacing"/>
        <w:keepNext/>
        <w:spacing w:after="720" w:line="240" w:lineRule="auto"/>
        <w:rPr>
          <w:lang w:val="fr-FR"/>
        </w:rPr>
      </w:pPr>
      <w:r w:rsidRPr="00E26409">
        <w:rPr>
          <w:lang w:val="fr-FR"/>
        </w:rPr>
        <w:t xml:space="preserve">Citée par le juge </w:t>
      </w:r>
      <w:proofErr w:type="spellStart"/>
      <w:r w:rsidRPr="00E26409">
        <w:rPr>
          <w:lang w:val="fr-FR"/>
        </w:rPr>
        <w:t>Rothstein</w:t>
      </w:r>
      <w:proofErr w:type="spellEnd"/>
      <w:r w:rsidR="00C46F3A" w:rsidRPr="00E26409">
        <w:rPr>
          <w:lang w:val="fr-FR"/>
        </w:rPr>
        <w:t xml:space="preserve"> (dissident en partie)</w:t>
      </w:r>
    </w:p>
    <w:p w:rsidR="00FD56B3" w:rsidRPr="00E26409" w:rsidRDefault="00FD56B3" w:rsidP="004C788D">
      <w:pPr>
        <w:pStyle w:val="SCCNormalDoubleSpacing"/>
        <w:spacing w:before="480" w:after="480"/>
        <w:rPr>
          <w:lang w:val="fr-CA"/>
        </w:rPr>
      </w:pPr>
      <w:r w:rsidRPr="00E26409">
        <w:rPr>
          <w:lang w:val="fr-CA"/>
        </w:rPr>
        <w:tab/>
      </w:r>
      <w:r w:rsidR="003C7310" w:rsidRPr="00E26409">
        <w:rPr>
          <w:i/>
          <w:lang w:val="fr-FR"/>
        </w:rPr>
        <w:t>Alliance de la Fonction publique du Canada c. Conseil du Trésor (Agence des services frontaliers du Canada)</w:t>
      </w:r>
      <w:r w:rsidR="00F46A83" w:rsidRPr="00E26409">
        <w:rPr>
          <w:lang w:val="fr-FR"/>
        </w:rPr>
        <w:t>, 2012 CRTFP 58</w:t>
      </w:r>
      <w:r w:rsidR="003C7310" w:rsidRPr="00E26409">
        <w:rPr>
          <w:lang w:val="fr-FR"/>
        </w:rPr>
        <w:t xml:space="preserve"> (</w:t>
      </w:r>
      <w:proofErr w:type="spellStart"/>
      <w:r w:rsidR="003C7310" w:rsidRPr="00E26409">
        <w:rPr>
          <w:lang w:val="fr-FR"/>
        </w:rPr>
        <w:t>CanLII</w:t>
      </w:r>
      <w:proofErr w:type="spellEnd"/>
      <w:r w:rsidR="003C7310" w:rsidRPr="00E26409">
        <w:rPr>
          <w:lang w:val="fr-FR"/>
        </w:rPr>
        <w:t>)</w:t>
      </w:r>
      <w:r w:rsidR="00F46A83" w:rsidRPr="00E26409">
        <w:rPr>
          <w:lang w:val="fr-FR"/>
        </w:rPr>
        <w:t xml:space="preserve">; </w:t>
      </w:r>
      <w:r w:rsidR="003C7310" w:rsidRPr="00E26409">
        <w:rPr>
          <w:i/>
          <w:lang w:val="fr-FR"/>
        </w:rPr>
        <w:t>Compagnie des chemins de fer nationaux du Canada</w:t>
      </w:r>
      <w:r w:rsidR="00F46A83" w:rsidRPr="00E26409">
        <w:rPr>
          <w:lang w:val="fr-FR"/>
        </w:rPr>
        <w:t xml:space="preserve"> (1994), 95 di 78; </w:t>
      </w:r>
      <w:proofErr w:type="spellStart"/>
      <w:r w:rsidR="00F46A83" w:rsidRPr="00E26409">
        <w:rPr>
          <w:i/>
          <w:lang w:val="fr-FR"/>
        </w:rPr>
        <w:t>Consolidated</w:t>
      </w:r>
      <w:proofErr w:type="spellEnd"/>
      <w:r w:rsidR="00F46A83" w:rsidRPr="00E26409">
        <w:rPr>
          <w:i/>
          <w:lang w:val="fr-FR"/>
        </w:rPr>
        <w:t xml:space="preserve"> Bathurst Packaging Ltd.</w:t>
      </w:r>
      <w:r w:rsidR="00F46A83" w:rsidRPr="00E26409">
        <w:rPr>
          <w:lang w:val="fr-FR"/>
        </w:rPr>
        <w:t xml:space="preserve">, [1983] OLRB </w:t>
      </w:r>
      <w:proofErr w:type="spellStart"/>
      <w:r w:rsidR="00F46A83" w:rsidRPr="00E26409">
        <w:rPr>
          <w:lang w:val="fr-FR"/>
        </w:rPr>
        <w:t>Re</w:t>
      </w:r>
      <w:r w:rsidR="004C788D" w:rsidRPr="00E26409">
        <w:rPr>
          <w:lang w:val="fr-FR"/>
        </w:rPr>
        <w:t>p</w:t>
      </w:r>
      <w:proofErr w:type="spellEnd"/>
      <w:r w:rsidR="004C788D" w:rsidRPr="00E26409">
        <w:rPr>
          <w:lang w:val="fr-FR"/>
        </w:rPr>
        <w:t>. </w:t>
      </w:r>
      <w:r w:rsidR="00F46A83" w:rsidRPr="00E26409">
        <w:rPr>
          <w:lang w:val="fr-FR"/>
        </w:rPr>
        <w:t xml:space="preserve">1411; </w:t>
      </w:r>
      <w:r w:rsidR="00F46A83" w:rsidRPr="00E26409">
        <w:rPr>
          <w:i/>
          <w:lang w:val="fr-FR"/>
        </w:rPr>
        <w:t>CFTO</w:t>
      </w:r>
      <w:r w:rsidR="004C788D" w:rsidRPr="00E26409">
        <w:rPr>
          <w:i/>
          <w:lang w:val="fr-FR"/>
        </w:rPr>
        <w:noBreakHyphen/>
      </w:r>
      <w:r w:rsidR="00F46A83" w:rsidRPr="00E26409">
        <w:rPr>
          <w:i/>
          <w:lang w:val="fr-FR"/>
        </w:rPr>
        <w:t>TV L</w:t>
      </w:r>
      <w:r w:rsidR="008D72A8" w:rsidRPr="00E26409">
        <w:rPr>
          <w:i/>
          <w:lang w:val="fr-FR"/>
        </w:rPr>
        <w:t>imi</w:t>
      </w:r>
      <w:r w:rsidR="00F46A83" w:rsidRPr="00E26409">
        <w:rPr>
          <w:i/>
          <w:lang w:val="fr-FR"/>
        </w:rPr>
        <w:t>t</w:t>
      </w:r>
      <w:r w:rsidR="008D72A8" w:rsidRPr="00E26409">
        <w:rPr>
          <w:i/>
          <w:lang w:val="fr-FR"/>
        </w:rPr>
        <w:t>e</w:t>
      </w:r>
      <w:r w:rsidR="00F46A83" w:rsidRPr="00E26409">
        <w:rPr>
          <w:i/>
          <w:lang w:val="fr-FR"/>
        </w:rPr>
        <w:t>d</w:t>
      </w:r>
      <w:r w:rsidR="00F46A83" w:rsidRPr="00E26409">
        <w:rPr>
          <w:lang w:val="fr-FR"/>
        </w:rPr>
        <w:t xml:space="preserve"> (1995), 97 di 35; </w:t>
      </w:r>
      <w:r w:rsidR="00F46A83" w:rsidRPr="00E26409">
        <w:rPr>
          <w:i/>
          <w:lang w:val="fr-FR"/>
        </w:rPr>
        <w:t xml:space="preserve">Ford </w:t>
      </w:r>
      <w:r w:rsidR="00F46A83" w:rsidRPr="00E26409">
        <w:rPr>
          <w:i/>
          <w:lang w:val="fr-FR"/>
        </w:rPr>
        <w:lastRenderedPageBreak/>
        <w:t>Glass L</w:t>
      </w:r>
      <w:r w:rsidR="008D72A8" w:rsidRPr="00E26409">
        <w:rPr>
          <w:i/>
          <w:lang w:val="fr-FR"/>
        </w:rPr>
        <w:t>imi</w:t>
      </w:r>
      <w:r w:rsidR="00F46A83" w:rsidRPr="00E26409">
        <w:rPr>
          <w:i/>
          <w:lang w:val="fr-FR"/>
        </w:rPr>
        <w:t>t</w:t>
      </w:r>
      <w:r w:rsidR="008D72A8" w:rsidRPr="00E26409">
        <w:rPr>
          <w:i/>
          <w:lang w:val="fr-FR"/>
        </w:rPr>
        <w:t>e</w:t>
      </w:r>
      <w:r w:rsidR="00F46A83" w:rsidRPr="00E26409">
        <w:rPr>
          <w:i/>
          <w:lang w:val="fr-FR"/>
        </w:rPr>
        <w:t>d</w:t>
      </w:r>
      <w:r w:rsidR="00F46A83" w:rsidRPr="00E26409">
        <w:rPr>
          <w:lang w:val="fr-FR"/>
        </w:rPr>
        <w:t xml:space="preserve">, [1986] OLRB </w:t>
      </w:r>
      <w:proofErr w:type="spellStart"/>
      <w:r w:rsidR="00F46A83" w:rsidRPr="00E26409">
        <w:rPr>
          <w:lang w:val="fr-FR"/>
        </w:rPr>
        <w:t>Re</w:t>
      </w:r>
      <w:r w:rsidR="004C788D" w:rsidRPr="00E26409">
        <w:rPr>
          <w:lang w:val="fr-FR"/>
        </w:rPr>
        <w:t>p</w:t>
      </w:r>
      <w:proofErr w:type="spellEnd"/>
      <w:r w:rsidR="004C788D" w:rsidRPr="00E26409">
        <w:rPr>
          <w:lang w:val="fr-FR"/>
        </w:rPr>
        <w:t>. </w:t>
      </w:r>
      <w:r w:rsidR="00F46A83" w:rsidRPr="00E26409">
        <w:rPr>
          <w:lang w:val="fr-FR"/>
        </w:rPr>
        <w:t xml:space="preserve">624; </w:t>
      </w:r>
      <w:r w:rsidR="008D72A8" w:rsidRPr="00E26409">
        <w:rPr>
          <w:i/>
          <w:lang w:val="fr-FR"/>
        </w:rPr>
        <w:t>Société canadienne des postes</w:t>
      </w:r>
      <w:r w:rsidR="00F46A83" w:rsidRPr="00E26409">
        <w:rPr>
          <w:lang w:val="fr-FR"/>
        </w:rPr>
        <w:t xml:space="preserve"> (1994), 96 di 48; </w:t>
      </w:r>
      <w:r w:rsidR="00F46A83" w:rsidRPr="00E26409">
        <w:rPr>
          <w:i/>
          <w:lang w:val="fr-FR"/>
        </w:rPr>
        <w:t xml:space="preserve">York </w:t>
      </w:r>
      <w:proofErr w:type="spellStart"/>
      <w:r w:rsidR="00F46A83" w:rsidRPr="00E26409">
        <w:rPr>
          <w:i/>
          <w:lang w:val="fr-FR"/>
        </w:rPr>
        <w:t>University</w:t>
      </w:r>
      <w:proofErr w:type="spellEnd"/>
      <w:r w:rsidR="00F46A83" w:rsidRPr="00E26409">
        <w:rPr>
          <w:lang w:val="fr-FR"/>
        </w:rPr>
        <w:t xml:space="preserve">, [2007] OLRB </w:t>
      </w:r>
      <w:proofErr w:type="spellStart"/>
      <w:r w:rsidR="00F46A83" w:rsidRPr="00E26409">
        <w:rPr>
          <w:lang w:val="fr-FR"/>
        </w:rPr>
        <w:t>Re</w:t>
      </w:r>
      <w:r w:rsidR="004C788D" w:rsidRPr="00E26409">
        <w:rPr>
          <w:lang w:val="fr-FR"/>
        </w:rPr>
        <w:t>p</w:t>
      </w:r>
      <w:proofErr w:type="spellEnd"/>
      <w:r w:rsidR="004C788D" w:rsidRPr="00E26409">
        <w:rPr>
          <w:lang w:val="fr-FR"/>
        </w:rPr>
        <w:t>. </w:t>
      </w:r>
      <w:r w:rsidR="00F46A83" w:rsidRPr="00E26409">
        <w:rPr>
          <w:lang w:val="fr-FR"/>
        </w:rPr>
        <w:t xml:space="preserve">659; </w:t>
      </w:r>
      <w:r w:rsidR="00F46A83" w:rsidRPr="00E26409">
        <w:rPr>
          <w:i/>
          <w:lang w:val="fr-FR"/>
        </w:rPr>
        <w:t xml:space="preserve">R. c. </w:t>
      </w:r>
      <w:proofErr w:type="spellStart"/>
      <w:r w:rsidR="00F46A83" w:rsidRPr="00E26409">
        <w:rPr>
          <w:i/>
          <w:lang w:val="fr-FR"/>
        </w:rPr>
        <w:t>Conway</w:t>
      </w:r>
      <w:proofErr w:type="spellEnd"/>
      <w:r w:rsidR="00F46A83" w:rsidRPr="00E26409">
        <w:rPr>
          <w:lang w:val="fr-FR"/>
        </w:rPr>
        <w:t xml:space="preserve">, 2010 CSC 22, [2010] 1 R.C.S. 765; </w:t>
      </w:r>
      <w:proofErr w:type="spellStart"/>
      <w:r w:rsidR="00F46A83" w:rsidRPr="00E26409">
        <w:rPr>
          <w:i/>
          <w:lang w:val="fr-FR"/>
        </w:rPr>
        <w:t>Quan</w:t>
      </w:r>
      <w:proofErr w:type="spellEnd"/>
      <w:r w:rsidR="00F46A83" w:rsidRPr="00E26409">
        <w:rPr>
          <w:i/>
          <w:lang w:val="fr-FR"/>
        </w:rPr>
        <w:t xml:space="preserve"> c. </w:t>
      </w:r>
      <w:proofErr w:type="spellStart"/>
      <w:r w:rsidR="00F46A83" w:rsidRPr="00E26409">
        <w:rPr>
          <w:i/>
          <w:lang w:val="fr-FR"/>
        </w:rPr>
        <w:t>Cusson</w:t>
      </w:r>
      <w:proofErr w:type="spellEnd"/>
      <w:r w:rsidR="00F46A83" w:rsidRPr="00E26409">
        <w:rPr>
          <w:lang w:val="fr-FR"/>
        </w:rPr>
        <w:t xml:space="preserve">, 2009 CSC 62, [2009] 3 R.C.S. 712; </w:t>
      </w:r>
      <w:r w:rsidR="00F46A83" w:rsidRPr="00E26409">
        <w:rPr>
          <w:i/>
          <w:lang w:val="fr-FR"/>
        </w:rPr>
        <w:t xml:space="preserve">Alberta (Information and </w:t>
      </w:r>
      <w:proofErr w:type="spellStart"/>
      <w:r w:rsidR="00F46A83" w:rsidRPr="00E26409">
        <w:rPr>
          <w:i/>
          <w:lang w:val="fr-FR"/>
        </w:rPr>
        <w:t>Privacy</w:t>
      </w:r>
      <w:proofErr w:type="spellEnd"/>
      <w:r w:rsidR="00F46A83" w:rsidRPr="00E26409">
        <w:rPr>
          <w:i/>
          <w:lang w:val="fr-FR"/>
        </w:rPr>
        <w:t xml:space="preserve"> </w:t>
      </w:r>
      <w:proofErr w:type="spellStart"/>
      <w:r w:rsidR="00F46A83" w:rsidRPr="00E26409">
        <w:rPr>
          <w:i/>
          <w:lang w:val="fr-FR"/>
        </w:rPr>
        <w:t>Commissioner</w:t>
      </w:r>
      <w:proofErr w:type="spellEnd"/>
      <w:r w:rsidR="00F46A83" w:rsidRPr="00E26409">
        <w:rPr>
          <w:i/>
          <w:lang w:val="fr-FR"/>
        </w:rPr>
        <w:t xml:space="preserve">) c. Alberta </w:t>
      </w:r>
      <w:proofErr w:type="spellStart"/>
      <w:r w:rsidR="00F46A83" w:rsidRPr="00E26409">
        <w:rPr>
          <w:i/>
          <w:lang w:val="fr-FR"/>
        </w:rPr>
        <w:t>Teachers</w:t>
      </w:r>
      <w:proofErr w:type="spellEnd"/>
      <w:r w:rsidR="00A13B74" w:rsidRPr="00E26409">
        <w:rPr>
          <w:i/>
          <w:lang w:val="fr-FR"/>
        </w:rPr>
        <w:t>’</w:t>
      </w:r>
      <w:r w:rsidR="00F46A83" w:rsidRPr="00E26409">
        <w:rPr>
          <w:i/>
          <w:lang w:val="fr-FR"/>
        </w:rPr>
        <w:t xml:space="preserve"> Association</w:t>
      </w:r>
      <w:r w:rsidR="00F46A83" w:rsidRPr="00E26409">
        <w:rPr>
          <w:lang w:val="fr-FR"/>
        </w:rPr>
        <w:t xml:space="preserve">, 2011 CSC 61, [2011] 3 R.C.S. 654; </w:t>
      </w:r>
      <w:r w:rsidR="00AC01E7" w:rsidRPr="00E26409">
        <w:rPr>
          <w:i/>
          <w:lang w:val="fr-FR"/>
        </w:rPr>
        <w:t>Lavigne c. Syndicat des employés de la fonction publique de l</w:t>
      </w:r>
      <w:r w:rsidR="00A13B74" w:rsidRPr="00E26409">
        <w:rPr>
          <w:i/>
          <w:lang w:val="fr-FR"/>
        </w:rPr>
        <w:t>’</w:t>
      </w:r>
      <w:r w:rsidR="00AC01E7" w:rsidRPr="00E26409">
        <w:rPr>
          <w:i/>
          <w:lang w:val="fr-FR"/>
        </w:rPr>
        <w:t>Ontario</w:t>
      </w:r>
      <w:r w:rsidR="00AC01E7" w:rsidRPr="00E26409">
        <w:rPr>
          <w:lang w:val="fr-FR"/>
        </w:rPr>
        <w:t xml:space="preserve">, [1991] 2 R.C.S. 211; </w:t>
      </w:r>
      <w:r w:rsidR="00F46A83" w:rsidRPr="00E26409">
        <w:rPr>
          <w:i/>
          <w:lang w:val="fr-FR"/>
        </w:rPr>
        <w:t xml:space="preserve">R. c. </w:t>
      </w:r>
      <w:proofErr w:type="spellStart"/>
      <w:r w:rsidR="00F46A83" w:rsidRPr="00E26409">
        <w:rPr>
          <w:i/>
          <w:lang w:val="fr-FR"/>
        </w:rPr>
        <w:t>Advance</w:t>
      </w:r>
      <w:proofErr w:type="spellEnd"/>
      <w:r w:rsidR="00F46A83" w:rsidRPr="00E26409">
        <w:rPr>
          <w:i/>
          <w:lang w:val="fr-FR"/>
        </w:rPr>
        <w:t xml:space="preserve"> </w:t>
      </w:r>
      <w:proofErr w:type="spellStart"/>
      <w:r w:rsidR="00F46A83" w:rsidRPr="00E26409">
        <w:rPr>
          <w:i/>
          <w:lang w:val="fr-FR"/>
        </w:rPr>
        <w:t>Cutting</w:t>
      </w:r>
      <w:proofErr w:type="spellEnd"/>
      <w:r w:rsidR="00F46A83" w:rsidRPr="00E26409">
        <w:rPr>
          <w:i/>
          <w:lang w:val="fr-FR"/>
        </w:rPr>
        <w:t xml:space="preserve"> &amp; </w:t>
      </w:r>
      <w:proofErr w:type="spellStart"/>
      <w:r w:rsidR="00F46A83" w:rsidRPr="00E26409">
        <w:rPr>
          <w:i/>
          <w:lang w:val="fr-FR"/>
        </w:rPr>
        <w:t>Coring</w:t>
      </w:r>
      <w:proofErr w:type="spellEnd"/>
      <w:r w:rsidR="00F46A83" w:rsidRPr="00E26409">
        <w:rPr>
          <w:i/>
          <w:lang w:val="fr-FR"/>
        </w:rPr>
        <w:t xml:space="preserve"> Ltd.</w:t>
      </w:r>
      <w:r w:rsidR="00F46A83" w:rsidRPr="00E26409">
        <w:rPr>
          <w:lang w:val="fr-FR"/>
        </w:rPr>
        <w:t xml:space="preserve">, 2001 CSC 70, [2001] 3 R.C.S. 209; </w:t>
      </w:r>
      <w:r w:rsidR="00F46A83" w:rsidRPr="00E26409">
        <w:rPr>
          <w:i/>
          <w:lang w:val="fr-FR"/>
        </w:rPr>
        <w:t xml:space="preserve">S.D.G.M.R., section locale 558 c. </w:t>
      </w:r>
      <w:proofErr w:type="spellStart"/>
      <w:r w:rsidR="00F46A83" w:rsidRPr="00E26409">
        <w:rPr>
          <w:i/>
          <w:lang w:val="fr-FR"/>
        </w:rPr>
        <w:t>Pepsi</w:t>
      </w:r>
      <w:r w:rsidR="004C788D" w:rsidRPr="00E26409">
        <w:rPr>
          <w:i/>
          <w:lang w:val="fr-FR"/>
        </w:rPr>
        <w:noBreakHyphen/>
      </w:r>
      <w:r w:rsidR="00F46A83" w:rsidRPr="00E26409">
        <w:rPr>
          <w:i/>
          <w:lang w:val="fr-FR"/>
        </w:rPr>
        <w:t>Cola</w:t>
      </w:r>
      <w:proofErr w:type="spellEnd"/>
      <w:r w:rsidR="00F46A83" w:rsidRPr="00E26409">
        <w:rPr>
          <w:i/>
          <w:lang w:val="fr-FR"/>
        </w:rPr>
        <w:t xml:space="preserve"> Canada </w:t>
      </w:r>
      <w:proofErr w:type="spellStart"/>
      <w:r w:rsidR="00F46A83" w:rsidRPr="00E26409">
        <w:rPr>
          <w:i/>
          <w:lang w:val="fr-FR"/>
        </w:rPr>
        <w:t>Beverages</w:t>
      </w:r>
      <w:proofErr w:type="spellEnd"/>
      <w:r w:rsidR="00F46A83" w:rsidRPr="00E26409">
        <w:rPr>
          <w:i/>
          <w:lang w:val="fr-FR"/>
        </w:rPr>
        <w:t xml:space="preserve"> (West) Ltd.</w:t>
      </w:r>
      <w:r w:rsidR="00F46A83" w:rsidRPr="00E26409">
        <w:rPr>
          <w:lang w:val="fr-FR"/>
        </w:rPr>
        <w:t xml:space="preserve">, 2002 CSC 8, [2002] 1 R.C.S. 156; </w:t>
      </w:r>
      <w:r w:rsidR="00F46A83" w:rsidRPr="00E26409">
        <w:rPr>
          <w:i/>
          <w:lang w:val="fr-FR"/>
        </w:rPr>
        <w:t>R. c. Cole</w:t>
      </w:r>
      <w:r w:rsidR="00F46A83" w:rsidRPr="00E26409">
        <w:rPr>
          <w:lang w:val="fr-FR"/>
        </w:rPr>
        <w:t xml:space="preserve">, 2012 CSC 53, [2012] 3 R.C.S. 34; </w:t>
      </w:r>
      <w:r w:rsidR="00F46A83" w:rsidRPr="00E26409">
        <w:rPr>
          <w:i/>
          <w:lang w:val="fr-FR"/>
        </w:rPr>
        <w:t>R. c. Plant</w:t>
      </w:r>
      <w:r w:rsidR="00F46A83" w:rsidRPr="00E26409">
        <w:rPr>
          <w:lang w:val="fr-FR"/>
        </w:rPr>
        <w:t xml:space="preserve">, [1993] 3 R.C.S. 281; </w:t>
      </w:r>
      <w:r w:rsidR="00F46A83" w:rsidRPr="00E26409">
        <w:rPr>
          <w:i/>
          <w:lang w:val="fr-FR"/>
        </w:rPr>
        <w:t xml:space="preserve">R. c. </w:t>
      </w:r>
      <w:proofErr w:type="spellStart"/>
      <w:r w:rsidR="00F46A83" w:rsidRPr="00E26409">
        <w:rPr>
          <w:i/>
          <w:lang w:val="fr-FR"/>
        </w:rPr>
        <w:t>Dyment</w:t>
      </w:r>
      <w:proofErr w:type="spellEnd"/>
      <w:r w:rsidR="00F46A83" w:rsidRPr="00E26409">
        <w:rPr>
          <w:lang w:val="fr-FR"/>
        </w:rPr>
        <w:t>, [1988] 2 R.C.S. 417.</w:t>
      </w:r>
    </w:p>
    <w:p w:rsidR="004D7D95" w:rsidRPr="00E26409" w:rsidRDefault="004D7D95" w:rsidP="004C788D">
      <w:pPr>
        <w:pStyle w:val="SCCNormalDoubleSpacing"/>
        <w:keepNext/>
        <w:spacing w:after="720" w:line="240" w:lineRule="auto"/>
        <w:rPr>
          <w:b/>
          <w:lang w:val="fr-CA"/>
        </w:rPr>
      </w:pPr>
      <w:r w:rsidRPr="00E26409">
        <w:rPr>
          <w:b/>
          <w:lang w:val="fr-CA"/>
        </w:rPr>
        <w:t>Lois et règlements cités</w:t>
      </w:r>
    </w:p>
    <w:p w:rsidR="004F51BA" w:rsidRPr="00E26409" w:rsidRDefault="004F51BA" w:rsidP="004C788D">
      <w:pPr>
        <w:pStyle w:val="SCCNormalDoubleSpacing"/>
        <w:spacing w:after="240" w:line="240" w:lineRule="auto"/>
        <w:ind w:left="547" w:hanging="547"/>
        <w:rPr>
          <w:lang w:val="fr-FR"/>
        </w:rPr>
      </w:pPr>
      <w:r w:rsidRPr="00E26409">
        <w:rPr>
          <w:i/>
          <w:lang w:val="fr-FR"/>
        </w:rPr>
        <w:t>Charte</w:t>
      </w:r>
      <w:r w:rsidR="000B2BAD" w:rsidRPr="00E26409">
        <w:rPr>
          <w:i/>
          <w:lang w:val="fr-FR"/>
        </w:rPr>
        <w:t xml:space="preserve"> canadienne des droits et libertés</w:t>
      </w:r>
      <w:r w:rsidRPr="00E26409">
        <w:rPr>
          <w:lang w:val="fr-FR"/>
        </w:rPr>
        <w:t xml:space="preserve">, </w:t>
      </w:r>
      <w:r w:rsidR="004C788D" w:rsidRPr="00E26409">
        <w:rPr>
          <w:lang w:val="fr-FR"/>
        </w:rPr>
        <w:t>art. </w:t>
      </w:r>
      <w:r w:rsidRPr="00E26409">
        <w:rPr>
          <w:lang w:val="fr-FR"/>
        </w:rPr>
        <w:t>2</w:t>
      </w:r>
      <w:r w:rsidRPr="00E26409">
        <w:rPr>
          <w:i/>
          <w:lang w:val="fr-FR"/>
        </w:rPr>
        <w:t>d</w:t>
      </w:r>
      <w:r w:rsidRPr="00E26409">
        <w:rPr>
          <w:lang w:val="fr-FR"/>
        </w:rPr>
        <w:t>)</w:t>
      </w:r>
      <w:r w:rsidR="00FD56B3" w:rsidRPr="00E26409">
        <w:rPr>
          <w:lang w:val="fr-FR"/>
        </w:rPr>
        <w:t>, 8</w:t>
      </w:r>
      <w:r w:rsidRPr="00E26409">
        <w:rPr>
          <w:lang w:val="fr-FR"/>
        </w:rPr>
        <w:t>.</w:t>
      </w:r>
    </w:p>
    <w:p w:rsidR="004F51BA" w:rsidRPr="00E26409" w:rsidRDefault="000B2BAD" w:rsidP="004C788D">
      <w:pPr>
        <w:pStyle w:val="SCCNormalDoubleSpacing"/>
        <w:spacing w:after="240" w:line="240" w:lineRule="auto"/>
        <w:ind w:left="547" w:hanging="547"/>
        <w:rPr>
          <w:lang w:val="fr-FR"/>
        </w:rPr>
      </w:pPr>
      <w:r w:rsidRPr="00E26409">
        <w:rPr>
          <w:i/>
          <w:lang w:val="fr-FR"/>
        </w:rPr>
        <w:t>Loi sur la protection des renseignements personnels</w:t>
      </w:r>
      <w:r w:rsidR="004F51BA" w:rsidRPr="00E26409">
        <w:rPr>
          <w:lang w:val="fr-FR"/>
        </w:rPr>
        <w:t xml:space="preserve">, </w:t>
      </w:r>
      <w:r w:rsidRPr="00E26409">
        <w:rPr>
          <w:lang w:val="fr-FR"/>
        </w:rPr>
        <w:t>L.</w:t>
      </w:r>
      <w:r w:rsidR="004F51BA" w:rsidRPr="00E26409">
        <w:rPr>
          <w:lang w:val="fr-FR"/>
        </w:rPr>
        <w:t xml:space="preserve">R.C. 1985, </w:t>
      </w:r>
      <w:r w:rsidR="004C788D" w:rsidRPr="00E26409">
        <w:rPr>
          <w:lang w:val="fr-FR"/>
        </w:rPr>
        <w:t>ch. </w:t>
      </w:r>
      <w:r w:rsidR="004F51BA" w:rsidRPr="00E26409">
        <w:rPr>
          <w:lang w:val="fr-FR"/>
        </w:rPr>
        <w:t>P</w:t>
      </w:r>
      <w:r w:rsidR="004C788D" w:rsidRPr="00E26409">
        <w:rPr>
          <w:lang w:val="fr-FR"/>
        </w:rPr>
        <w:noBreakHyphen/>
      </w:r>
      <w:r w:rsidR="004F51BA" w:rsidRPr="00E26409">
        <w:rPr>
          <w:lang w:val="fr-FR"/>
        </w:rPr>
        <w:t xml:space="preserve">21, </w:t>
      </w:r>
      <w:r w:rsidR="004C788D" w:rsidRPr="00E26409">
        <w:rPr>
          <w:lang w:val="fr-FR"/>
        </w:rPr>
        <w:t>art. </w:t>
      </w:r>
      <w:r w:rsidR="004F51BA" w:rsidRPr="00E26409">
        <w:rPr>
          <w:lang w:val="fr-FR"/>
        </w:rPr>
        <w:t>8(2)</w:t>
      </w:r>
      <w:r w:rsidR="004F51BA" w:rsidRPr="00E26409">
        <w:rPr>
          <w:i/>
          <w:lang w:val="fr-FR"/>
        </w:rPr>
        <w:t>a</w:t>
      </w:r>
      <w:r w:rsidR="004F51BA" w:rsidRPr="00E26409">
        <w:rPr>
          <w:lang w:val="fr-FR"/>
        </w:rPr>
        <w:t>).</w:t>
      </w:r>
    </w:p>
    <w:p w:rsidR="004F51BA" w:rsidRPr="00E26409" w:rsidRDefault="000B2BAD" w:rsidP="004C788D">
      <w:pPr>
        <w:pStyle w:val="SCCNormalDoubleSpacing"/>
        <w:spacing w:after="720" w:line="240" w:lineRule="auto"/>
        <w:ind w:left="547" w:hanging="547"/>
        <w:rPr>
          <w:lang w:val="fr-FR"/>
        </w:rPr>
      </w:pPr>
      <w:r w:rsidRPr="00E26409">
        <w:rPr>
          <w:i/>
          <w:lang w:val="fr-FR"/>
        </w:rPr>
        <w:t>Loi sur les relations de travail dans la fonction publique</w:t>
      </w:r>
      <w:r w:rsidRPr="00E26409">
        <w:rPr>
          <w:lang w:val="fr-FR"/>
        </w:rPr>
        <w:t xml:space="preserve">, L.C. 2003, </w:t>
      </w:r>
      <w:r w:rsidR="004C788D" w:rsidRPr="00E26409">
        <w:rPr>
          <w:lang w:val="fr-FR"/>
        </w:rPr>
        <w:t>ch. </w:t>
      </w:r>
      <w:r w:rsidRPr="00E26409">
        <w:rPr>
          <w:lang w:val="fr-FR"/>
        </w:rPr>
        <w:t xml:space="preserve">22 [éd. par la </w:t>
      </w:r>
      <w:r w:rsidRPr="00E26409">
        <w:rPr>
          <w:i/>
          <w:lang w:val="fr-FR"/>
        </w:rPr>
        <w:t>Loi sur la modernisation de la fonction publique</w:t>
      </w:r>
      <w:r w:rsidRPr="00E26409">
        <w:rPr>
          <w:lang w:val="fr-FR"/>
        </w:rPr>
        <w:t xml:space="preserve">, L.C. 2003, </w:t>
      </w:r>
      <w:r w:rsidR="004C788D" w:rsidRPr="00E26409">
        <w:rPr>
          <w:lang w:val="fr-FR"/>
        </w:rPr>
        <w:t>ch. </w:t>
      </w:r>
      <w:r w:rsidRPr="00E26409">
        <w:rPr>
          <w:lang w:val="fr-FR"/>
        </w:rPr>
        <w:t xml:space="preserve">22, </w:t>
      </w:r>
      <w:r w:rsidR="004C788D" w:rsidRPr="00E26409">
        <w:rPr>
          <w:lang w:val="fr-FR"/>
        </w:rPr>
        <w:t>art. </w:t>
      </w:r>
      <w:r w:rsidRPr="00E26409">
        <w:rPr>
          <w:lang w:val="fr-FR"/>
        </w:rPr>
        <w:t>2]</w:t>
      </w:r>
      <w:r w:rsidR="004F51BA" w:rsidRPr="00E26409">
        <w:rPr>
          <w:lang w:val="fr-FR"/>
        </w:rPr>
        <w:t xml:space="preserve">, </w:t>
      </w:r>
      <w:r w:rsidR="004C788D" w:rsidRPr="00E26409">
        <w:rPr>
          <w:lang w:val="fr-FR"/>
        </w:rPr>
        <w:t>art. </w:t>
      </w:r>
      <w:r w:rsidR="00FD56B3" w:rsidRPr="00E26409">
        <w:rPr>
          <w:lang w:val="fr-FR"/>
        </w:rPr>
        <w:t xml:space="preserve">36, 42, </w:t>
      </w:r>
      <w:r w:rsidR="004F51BA" w:rsidRPr="00E26409">
        <w:rPr>
          <w:lang w:val="fr-FR"/>
        </w:rPr>
        <w:t>183, 184, 185, 186(1)</w:t>
      </w:r>
      <w:r w:rsidR="004F51BA" w:rsidRPr="00E26409">
        <w:rPr>
          <w:i/>
          <w:lang w:val="fr-FR"/>
        </w:rPr>
        <w:t>a</w:t>
      </w:r>
      <w:r w:rsidR="004F51BA" w:rsidRPr="00E26409">
        <w:rPr>
          <w:lang w:val="fr-FR"/>
        </w:rPr>
        <w:t>)</w:t>
      </w:r>
      <w:r w:rsidR="00FD56B3" w:rsidRPr="00E26409">
        <w:rPr>
          <w:lang w:val="fr-FR"/>
        </w:rPr>
        <w:t>, 190(1)</w:t>
      </w:r>
      <w:r w:rsidR="00FD56B3" w:rsidRPr="00E26409">
        <w:rPr>
          <w:i/>
          <w:lang w:val="fr-FR"/>
        </w:rPr>
        <w:t>b</w:t>
      </w:r>
      <w:r w:rsidR="00FD56B3" w:rsidRPr="00E26409">
        <w:rPr>
          <w:lang w:val="fr-FR"/>
        </w:rPr>
        <w:t>), (1)</w:t>
      </w:r>
      <w:r w:rsidR="00FD56B3" w:rsidRPr="00E26409">
        <w:rPr>
          <w:i/>
          <w:lang w:val="fr-FR"/>
        </w:rPr>
        <w:t>g</w:t>
      </w:r>
      <w:r w:rsidR="00FD56B3" w:rsidRPr="00E26409">
        <w:rPr>
          <w:lang w:val="fr-FR"/>
        </w:rPr>
        <w:t>).</w:t>
      </w:r>
    </w:p>
    <w:p w:rsidR="004D7D95" w:rsidRPr="00E26409" w:rsidRDefault="00D110CF" w:rsidP="004C788D">
      <w:pPr>
        <w:pStyle w:val="SCCNormalDoubleSpacing"/>
        <w:spacing w:before="480" w:after="480"/>
        <w:rPr>
          <w:lang w:val="fr-CA"/>
        </w:rPr>
      </w:pPr>
      <w:r w:rsidRPr="00E26409">
        <w:rPr>
          <w:lang w:val="fr-CA"/>
        </w:rPr>
        <w:tab/>
      </w:r>
      <w:r w:rsidR="004D7D95" w:rsidRPr="00E26409">
        <w:rPr>
          <w:lang w:val="fr-CA"/>
        </w:rPr>
        <w:t>POURVOI contre un arrêt de la Cour d</w:t>
      </w:r>
      <w:r w:rsidR="00A13B74" w:rsidRPr="00E26409">
        <w:rPr>
          <w:lang w:val="fr-CA"/>
        </w:rPr>
        <w:t>’</w:t>
      </w:r>
      <w:r w:rsidR="004D7D95" w:rsidRPr="00E26409">
        <w:rPr>
          <w:lang w:val="fr-CA"/>
        </w:rPr>
        <w:t>appel fédérale</w:t>
      </w:r>
      <w:r w:rsidRPr="00E26409">
        <w:rPr>
          <w:lang w:val="fr-CA"/>
        </w:rPr>
        <w:t xml:space="preserve"> (</w:t>
      </w:r>
      <w:r w:rsidR="006F471D" w:rsidRPr="00E26409">
        <w:rPr>
          <w:lang w:val="fr-CA"/>
        </w:rPr>
        <w:t>l</w:t>
      </w:r>
      <w:r w:rsidR="0060579D" w:rsidRPr="00E26409">
        <w:rPr>
          <w:lang w:val="fr-CA"/>
        </w:rPr>
        <w:t>e</w:t>
      </w:r>
      <w:r w:rsidR="006F471D" w:rsidRPr="00E26409">
        <w:rPr>
          <w:lang w:val="fr-CA"/>
        </w:rPr>
        <w:t xml:space="preserve"> juge en chef </w:t>
      </w:r>
      <w:r w:rsidRPr="00E26409">
        <w:rPr>
          <w:lang w:val="fr-CA"/>
        </w:rPr>
        <w:t>Blais</w:t>
      </w:r>
      <w:r w:rsidR="006F471D" w:rsidRPr="00E26409">
        <w:rPr>
          <w:lang w:val="fr-CA"/>
        </w:rPr>
        <w:t xml:space="preserve"> et les juges</w:t>
      </w:r>
      <w:r w:rsidRPr="00E26409">
        <w:rPr>
          <w:lang w:val="fr-CA"/>
        </w:rPr>
        <w:t xml:space="preserve"> Evans </w:t>
      </w:r>
      <w:r w:rsidR="00166760" w:rsidRPr="00E26409">
        <w:rPr>
          <w:lang w:val="fr-CA"/>
        </w:rPr>
        <w:t>et</w:t>
      </w:r>
      <w:r w:rsidRPr="00E26409">
        <w:rPr>
          <w:lang w:val="fr-CA"/>
        </w:rPr>
        <w:t xml:space="preserve"> </w:t>
      </w:r>
      <w:proofErr w:type="spellStart"/>
      <w:r w:rsidRPr="00E26409">
        <w:rPr>
          <w:lang w:val="fr-CA"/>
        </w:rPr>
        <w:t>Sharlow</w:t>
      </w:r>
      <w:proofErr w:type="spellEnd"/>
      <w:r w:rsidRPr="00E26409">
        <w:rPr>
          <w:lang w:val="fr-CA"/>
        </w:rPr>
        <w:t xml:space="preserve">), 2012 CAF 92, 431 N.R. 317, </w:t>
      </w:r>
      <w:r w:rsidR="00FF6965" w:rsidRPr="00E26409">
        <w:rPr>
          <w:lang w:val="fr-CA"/>
        </w:rPr>
        <w:t xml:space="preserve">347 D.L.R. (4th) 577, </w:t>
      </w:r>
      <w:r w:rsidRPr="00E26409">
        <w:rPr>
          <w:lang w:val="fr-CA"/>
        </w:rPr>
        <w:t xml:space="preserve">[2012] A.C.F. </w:t>
      </w:r>
      <w:r w:rsidR="0060579D" w:rsidRPr="00E26409">
        <w:rPr>
          <w:lang w:val="fr-CA"/>
        </w:rPr>
        <w:t>n</w:t>
      </w:r>
      <w:r w:rsidR="0060579D" w:rsidRPr="00E26409">
        <w:rPr>
          <w:vertAlign w:val="superscript"/>
          <w:lang w:val="fr-CA"/>
        </w:rPr>
        <w:t>o</w:t>
      </w:r>
      <w:r w:rsidR="004C788D" w:rsidRPr="00E26409">
        <w:rPr>
          <w:lang w:val="fr-CA"/>
        </w:rPr>
        <w:t> </w:t>
      </w:r>
      <w:r w:rsidRPr="00E26409">
        <w:rPr>
          <w:lang w:val="fr-CA"/>
        </w:rPr>
        <w:t xml:space="preserve">467 (QL), 2012 </w:t>
      </w:r>
      <w:proofErr w:type="spellStart"/>
      <w:r w:rsidRPr="00E26409">
        <w:rPr>
          <w:lang w:val="fr-CA"/>
        </w:rPr>
        <w:t>CarswellNat</w:t>
      </w:r>
      <w:proofErr w:type="spellEnd"/>
      <w:r w:rsidRPr="00E26409">
        <w:rPr>
          <w:lang w:val="fr-CA"/>
        </w:rPr>
        <w:t xml:space="preserve"> 2834,</w:t>
      </w:r>
      <w:r w:rsidR="00AF7061" w:rsidRPr="00E26409">
        <w:rPr>
          <w:lang w:val="fr-CA"/>
        </w:rPr>
        <w:t xml:space="preserve"> </w:t>
      </w:r>
      <w:r w:rsidR="00A34B11" w:rsidRPr="00E26409">
        <w:rPr>
          <w:lang w:val="fr-CA"/>
        </w:rPr>
        <w:t>qui a confirmé</w:t>
      </w:r>
      <w:r w:rsidR="00AF7061" w:rsidRPr="00E26409">
        <w:rPr>
          <w:lang w:val="fr-CA"/>
        </w:rPr>
        <w:t xml:space="preserve"> une décision</w:t>
      </w:r>
      <w:r w:rsidR="006F471D" w:rsidRPr="00E26409">
        <w:rPr>
          <w:lang w:val="fr-CA"/>
        </w:rPr>
        <w:t xml:space="preserve"> de la Commission des relations de travail dans la fonction publique</w:t>
      </w:r>
      <w:r w:rsidR="00AF7061" w:rsidRPr="00E26409">
        <w:rPr>
          <w:lang w:val="fr-CA"/>
        </w:rPr>
        <w:t>, 2011 CRTFP 34, [2011] C.R.T.F.P.C. n</w:t>
      </w:r>
      <w:r w:rsidR="00AF7061" w:rsidRPr="00E26409">
        <w:rPr>
          <w:vertAlign w:val="superscript"/>
          <w:lang w:val="fr-CA"/>
        </w:rPr>
        <w:t>o</w:t>
      </w:r>
      <w:r w:rsidR="004C788D" w:rsidRPr="00E26409">
        <w:rPr>
          <w:lang w:val="fr-CA"/>
        </w:rPr>
        <w:t> </w:t>
      </w:r>
      <w:r w:rsidR="00AF7061" w:rsidRPr="00E26409">
        <w:rPr>
          <w:lang w:val="fr-CA"/>
        </w:rPr>
        <w:t xml:space="preserve">36 (QL), 2011 </w:t>
      </w:r>
      <w:proofErr w:type="spellStart"/>
      <w:r w:rsidR="00AF7061" w:rsidRPr="00E26409">
        <w:rPr>
          <w:lang w:val="fr-CA"/>
        </w:rPr>
        <w:t>CarswellNat</w:t>
      </w:r>
      <w:proofErr w:type="spellEnd"/>
      <w:r w:rsidR="00AF7061" w:rsidRPr="00E26409">
        <w:rPr>
          <w:lang w:val="fr-CA"/>
        </w:rPr>
        <w:t xml:space="preserve"> 1297.</w:t>
      </w:r>
      <w:r w:rsidR="003D1C0A" w:rsidRPr="00E26409">
        <w:rPr>
          <w:lang w:val="fr-CA"/>
        </w:rPr>
        <w:t xml:space="preserve"> </w:t>
      </w:r>
      <w:r w:rsidR="0060579D" w:rsidRPr="00E26409">
        <w:rPr>
          <w:lang w:val="fr-CA"/>
        </w:rPr>
        <w:t xml:space="preserve"> </w:t>
      </w:r>
      <w:r w:rsidR="003D1C0A" w:rsidRPr="00E26409">
        <w:rPr>
          <w:lang w:val="fr-CA"/>
        </w:rPr>
        <w:t xml:space="preserve">Pourvoi </w:t>
      </w:r>
      <w:r w:rsidR="001A178B" w:rsidRPr="00E26409">
        <w:rPr>
          <w:lang w:val="fr-CA"/>
        </w:rPr>
        <w:t>rejeté</w:t>
      </w:r>
      <w:r w:rsidR="00C46F3A" w:rsidRPr="00E26409">
        <w:rPr>
          <w:lang w:val="fr-CA"/>
        </w:rPr>
        <w:t>, le</w:t>
      </w:r>
      <w:r w:rsidR="001A178B" w:rsidRPr="00E26409">
        <w:rPr>
          <w:lang w:val="fr-CA"/>
        </w:rPr>
        <w:t>s</w:t>
      </w:r>
      <w:r w:rsidR="00C46F3A" w:rsidRPr="00E26409">
        <w:rPr>
          <w:lang w:val="fr-CA"/>
        </w:rPr>
        <w:t xml:space="preserve"> juge</w:t>
      </w:r>
      <w:r w:rsidR="001A178B" w:rsidRPr="00E26409">
        <w:rPr>
          <w:lang w:val="fr-CA"/>
        </w:rPr>
        <w:t>s</w:t>
      </w:r>
      <w:r w:rsidR="00C46F3A" w:rsidRPr="00E26409">
        <w:rPr>
          <w:lang w:val="fr-CA"/>
        </w:rPr>
        <w:t xml:space="preserve"> </w:t>
      </w:r>
      <w:proofErr w:type="spellStart"/>
      <w:r w:rsidR="00C46F3A" w:rsidRPr="00E26409">
        <w:rPr>
          <w:lang w:val="fr-CA"/>
        </w:rPr>
        <w:t>Rothstein</w:t>
      </w:r>
      <w:proofErr w:type="spellEnd"/>
      <w:r w:rsidR="00C46F3A" w:rsidRPr="00E26409">
        <w:rPr>
          <w:lang w:val="fr-CA"/>
        </w:rPr>
        <w:t xml:space="preserve"> </w:t>
      </w:r>
      <w:r w:rsidR="001A178B" w:rsidRPr="00E26409">
        <w:rPr>
          <w:lang w:val="fr-CA"/>
        </w:rPr>
        <w:t xml:space="preserve">et </w:t>
      </w:r>
      <w:proofErr w:type="spellStart"/>
      <w:r w:rsidR="001A178B" w:rsidRPr="00E26409">
        <w:rPr>
          <w:lang w:val="fr-CA"/>
        </w:rPr>
        <w:t>Moldaver</w:t>
      </w:r>
      <w:proofErr w:type="spellEnd"/>
      <w:r w:rsidR="001A178B" w:rsidRPr="00E26409">
        <w:rPr>
          <w:lang w:val="fr-CA"/>
        </w:rPr>
        <w:t xml:space="preserve"> sont</w:t>
      </w:r>
      <w:r w:rsidR="00C46F3A" w:rsidRPr="00E26409">
        <w:rPr>
          <w:lang w:val="fr-CA"/>
        </w:rPr>
        <w:t xml:space="preserve"> dissident</w:t>
      </w:r>
      <w:r w:rsidR="001A178B" w:rsidRPr="00E26409">
        <w:rPr>
          <w:lang w:val="fr-CA"/>
        </w:rPr>
        <w:t>s</w:t>
      </w:r>
      <w:r w:rsidR="00C46F3A" w:rsidRPr="00E26409">
        <w:rPr>
          <w:lang w:val="fr-CA"/>
        </w:rPr>
        <w:t xml:space="preserve"> en partie</w:t>
      </w:r>
      <w:r w:rsidR="0060579D" w:rsidRPr="00E26409">
        <w:rPr>
          <w:lang w:val="fr-CA"/>
        </w:rPr>
        <w:t>.</w:t>
      </w:r>
    </w:p>
    <w:p w:rsidR="004D7D95" w:rsidRPr="00E26409" w:rsidRDefault="00F250E4" w:rsidP="004C788D">
      <w:pPr>
        <w:pStyle w:val="SCCNormalDoubleSpacing"/>
        <w:spacing w:before="480" w:after="480"/>
        <w:rPr>
          <w:lang w:val="fr-CA"/>
        </w:rPr>
      </w:pPr>
      <w:r w:rsidRPr="00E26409">
        <w:rPr>
          <w:i/>
          <w:lang w:val="fr-CA"/>
        </w:rPr>
        <w:lastRenderedPageBreak/>
        <w:tab/>
        <w:t>Elizabeth Bernard</w:t>
      </w:r>
      <w:r w:rsidRPr="00E26409">
        <w:rPr>
          <w:lang w:val="fr-CA"/>
        </w:rPr>
        <w:t>, en personne.</w:t>
      </w:r>
    </w:p>
    <w:p w:rsidR="00DE173C" w:rsidRPr="00E26409" w:rsidRDefault="00E21F7E" w:rsidP="004C788D">
      <w:pPr>
        <w:pStyle w:val="SCCNormalDoubleSpacing"/>
        <w:spacing w:before="480" w:after="480"/>
        <w:rPr>
          <w:lang w:val="fr-CA"/>
        </w:rPr>
      </w:pPr>
      <w:r w:rsidRPr="00E26409">
        <w:rPr>
          <w:i/>
          <w:lang w:val="fr-CA"/>
        </w:rPr>
        <w:tab/>
      </w:r>
      <w:r w:rsidR="004C788D" w:rsidRPr="00E26409">
        <w:rPr>
          <w:i/>
          <w:lang w:val="fr-CA"/>
        </w:rPr>
        <w:t>Anne </w:t>
      </w:r>
      <w:r w:rsidR="00F250E4" w:rsidRPr="00E26409">
        <w:rPr>
          <w:i/>
          <w:lang w:val="fr-CA"/>
        </w:rPr>
        <w:t xml:space="preserve">M. </w:t>
      </w:r>
      <w:proofErr w:type="spellStart"/>
      <w:r w:rsidRPr="00E26409">
        <w:rPr>
          <w:i/>
          <w:lang w:val="fr-CA"/>
        </w:rPr>
        <w:t>Turley</w:t>
      </w:r>
      <w:proofErr w:type="spellEnd"/>
      <w:r w:rsidRPr="00E26409">
        <w:rPr>
          <w:lang w:val="fr-CA"/>
        </w:rPr>
        <w:t>, pour l</w:t>
      </w:r>
      <w:r w:rsidR="00A13B74" w:rsidRPr="00E26409">
        <w:rPr>
          <w:lang w:val="fr-CA"/>
        </w:rPr>
        <w:t>’</w:t>
      </w:r>
      <w:r w:rsidR="00F250E4" w:rsidRPr="00E26409">
        <w:rPr>
          <w:lang w:val="fr-CA"/>
        </w:rPr>
        <w:t xml:space="preserve">intimé </w:t>
      </w:r>
      <w:r w:rsidR="0060579D" w:rsidRPr="00E26409">
        <w:rPr>
          <w:lang w:val="fr-CA"/>
        </w:rPr>
        <w:t>le procureur général du Canada</w:t>
      </w:r>
      <w:r w:rsidRPr="00E26409">
        <w:rPr>
          <w:lang w:val="fr-CA"/>
        </w:rPr>
        <w:t>.</w:t>
      </w:r>
    </w:p>
    <w:p w:rsidR="00DE173C" w:rsidRPr="00E26409" w:rsidRDefault="004C788D" w:rsidP="004C788D">
      <w:pPr>
        <w:pStyle w:val="SCCNormalDoubleSpacing"/>
        <w:spacing w:before="480" w:after="480"/>
        <w:rPr>
          <w:lang w:val="fr-CA"/>
        </w:rPr>
      </w:pPr>
      <w:r w:rsidRPr="00E26409">
        <w:rPr>
          <w:i/>
          <w:lang w:val="fr-CA"/>
        </w:rPr>
        <w:tab/>
        <w:t>Peter </w:t>
      </w:r>
      <w:r w:rsidR="00E21F7E" w:rsidRPr="00E26409">
        <w:rPr>
          <w:i/>
          <w:lang w:val="fr-CA"/>
        </w:rPr>
        <w:t>C. Engelmann</w:t>
      </w:r>
      <w:r w:rsidR="00E21F7E" w:rsidRPr="00E26409">
        <w:rPr>
          <w:lang w:val="fr-CA"/>
        </w:rPr>
        <w:t xml:space="preserve">, </w:t>
      </w:r>
      <w:proofErr w:type="spellStart"/>
      <w:r w:rsidR="00E21F7E" w:rsidRPr="00E26409">
        <w:rPr>
          <w:i/>
          <w:lang w:val="fr-CA"/>
        </w:rPr>
        <w:t>Colleen</w:t>
      </w:r>
      <w:proofErr w:type="spellEnd"/>
      <w:r w:rsidR="00E21F7E" w:rsidRPr="00E26409">
        <w:rPr>
          <w:i/>
          <w:lang w:val="fr-CA"/>
        </w:rPr>
        <w:t xml:space="preserve"> </w:t>
      </w:r>
      <w:proofErr w:type="spellStart"/>
      <w:r w:rsidR="00E21F7E" w:rsidRPr="00E26409">
        <w:rPr>
          <w:i/>
          <w:lang w:val="fr-CA"/>
        </w:rPr>
        <w:t>Bauman</w:t>
      </w:r>
      <w:proofErr w:type="spellEnd"/>
      <w:r w:rsidR="00E21F7E" w:rsidRPr="00E26409">
        <w:rPr>
          <w:lang w:val="fr-CA"/>
        </w:rPr>
        <w:t xml:space="preserve"> et </w:t>
      </w:r>
      <w:r w:rsidR="00E21F7E" w:rsidRPr="00E26409">
        <w:rPr>
          <w:i/>
          <w:lang w:val="fr-CA"/>
        </w:rPr>
        <w:t>Isabelle</w:t>
      </w:r>
      <w:r w:rsidR="00F250E4" w:rsidRPr="00E26409">
        <w:rPr>
          <w:i/>
          <w:lang w:val="fr-CA"/>
        </w:rPr>
        <w:t xml:space="preserve"> </w:t>
      </w:r>
      <w:r w:rsidR="00E21F7E" w:rsidRPr="00E26409">
        <w:rPr>
          <w:i/>
          <w:lang w:val="fr-CA"/>
        </w:rPr>
        <w:t>Roy</w:t>
      </w:r>
      <w:r w:rsidR="00E21F7E" w:rsidRPr="00E26409">
        <w:rPr>
          <w:lang w:val="fr-CA"/>
        </w:rPr>
        <w:t>, pour l</w:t>
      </w:r>
      <w:r w:rsidR="00A13B74" w:rsidRPr="00E26409">
        <w:rPr>
          <w:lang w:val="fr-CA"/>
        </w:rPr>
        <w:t>’</w:t>
      </w:r>
      <w:r w:rsidR="00F250E4" w:rsidRPr="00E26409">
        <w:rPr>
          <w:lang w:val="fr-CA"/>
        </w:rPr>
        <w:t>intimé</w:t>
      </w:r>
      <w:r w:rsidR="00995175" w:rsidRPr="00E26409">
        <w:rPr>
          <w:lang w:val="fr-CA"/>
        </w:rPr>
        <w:t xml:space="preserve"> l</w:t>
      </w:r>
      <w:r w:rsidR="00A13B74" w:rsidRPr="00E26409">
        <w:rPr>
          <w:lang w:val="fr-CA"/>
        </w:rPr>
        <w:t>’</w:t>
      </w:r>
      <w:r w:rsidR="00995175" w:rsidRPr="00E26409">
        <w:rPr>
          <w:lang w:val="fr-CA"/>
        </w:rPr>
        <w:t>Institut professionnel de la fonction publique du Canada.</w:t>
      </w:r>
    </w:p>
    <w:p w:rsidR="00EB4782" w:rsidRPr="00E26409" w:rsidRDefault="004C788D" w:rsidP="004C788D">
      <w:pPr>
        <w:pStyle w:val="SCCNormalDoubleSpacing"/>
        <w:spacing w:before="480" w:after="480"/>
        <w:rPr>
          <w:lang w:val="fr-CA"/>
        </w:rPr>
      </w:pPr>
      <w:r w:rsidRPr="00E26409">
        <w:rPr>
          <w:i/>
          <w:lang w:val="fr-CA"/>
        </w:rPr>
        <w:tab/>
        <w:t>Michael </w:t>
      </w:r>
      <w:r w:rsidR="00EB4782" w:rsidRPr="00E26409">
        <w:rPr>
          <w:i/>
          <w:lang w:val="fr-CA"/>
        </w:rPr>
        <w:t xml:space="preserve">A. </w:t>
      </w:r>
      <w:proofErr w:type="spellStart"/>
      <w:r w:rsidR="00EB4782" w:rsidRPr="00E26409">
        <w:rPr>
          <w:i/>
          <w:lang w:val="fr-CA"/>
        </w:rPr>
        <w:t>Feder</w:t>
      </w:r>
      <w:proofErr w:type="spellEnd"/>
      <w:r w:rsidR="00EB4782" w:rsidRPr="00E26409">
        <w:rPr>
          <w:lang w:val="fr-CA"/>
        </w:rPr>
        <w:t xml:space="preserve"> et </w:t>
      </w:r>
      <w:r w:rsidRPr="00E26409">
        <w:rPr>
          <w:i/>
          <w:lang w:val="fr-CA"/>
        </w:rPr>
        <w:t>Angela </w:t>
      </w:r>
      <w:r w:rsidR="00EB4782" w:rsidRPr="00E26409">
        <w:rPr>
          <w:i/>
          <w:lang w:val="fr-CA"/>
        </w:rPr>
        <w:t>M. Juba</w:t>
      </w:r>
      <w:r w:rsidR="00EB4782" w:rsidRPr="00E26409">
        <w:rPr>
          <w:lang w:val="fr-CA"/>
        </w:rPr>
        <w:t xml:space="preserve">, </w:t>
      </w:r>
      <w:r w:rsidR="006603C1" w:rsidRPr="00E26409">
        <w:rPr>
          <w:lang w:val="fr-CA"/>
        </w:rPr>
        <w:t>pour l</w:t>
      </w:r>
      <w:r w:rsidR="00A13B74" w:rsidRPr="00E26409">
        <w:rPr>
          <w:lang w:val="fr-CA"/>
        </w:rPr>
        <w:t>’</w:t>
      </w:r>
      <w:proofErr w:type="spellStart"/>
      <w:r w:rsidR="00EB4782" w:rsidRPr="00E26409">
        <w:rPr>
          <w:i/>
          <w:lang w:val="fr-CA"/>
        </w:rPr>
        <w:t>amicus</w:t>
      </w:r>
      <w:proofErr w:type="spellEnd"/>
      <w:r w:rsidR="00EB4782" w:rsidRPr="00E26409">
        <w:rPr>
          <w:i/>
          <w:lang w:val="fr-CA"/>
        </w:rPr>
        <w:t xml:space="preserve"> </w:t>
      </w:r>
      <w:proofErr w:type="spellStart"/>
      <w:r w:rsidR="00EB4782" w:rsidRPr="00E26409">
        <w:rPr>
          <w:i/>
          <w:lang w:val="fr-CA"/>
        </w:rPr>
        <w:t>curiae</w:t>
      </w:r>
      <w:proofErr w:type="spellEnd"/>
      <w:r w:rsidR="00EB4782" w:rsidRPr="00E26409">
        <w:rPr>
          <w:lang w:val="fr-CA"/>
        </w:rPr>
        <w:t>.</w:t>
      </w:r>
    </w:p>
    <w:p w:rsidR="00DE173C" w:rsidRPr="00E26409" w:rsidRDefault="004C788D" w:rsidP="004C788D">
      <w:pPr>
        <w:pStyle w:val="SCCNormalDoubleSpacing"/>
        <w:spacing w:before="480" w:after="480"/>
        <w:rPr>
          <w:lang w:val="fr-CA"/>
        </w:rPr>
      </w:pPr>
      <w:r w:rsidRPr="00E26409">
        <w:rPr>
          <w:i/>
          <w:lang w:val="fr-CA"/>
        </w:rPr>
        <w:tab/>
        <w:t>S. </w:t>
      </w:r>
      <w:r w:rsidR="00E21F7E" w:rsidRPr="00E26409">
        <w:rPr>
          <w:i/>
          <w:lang w:val="fr-CA"/>
        </w:rPr>
        <w:t>Zachary Green</w:t>
      </w:r>
      <w:r w:rsidR="00E21F7E" w:rsidRPr="00E26409">
        <w:rPr>
          <w:lang w:val="fr-CA"/>
        </w:rPr>
        <w:t>, pour l</w:t>
      </w:r>
      <w:r w:rsidR="00A13B74" w:rsidRPr="00E26409">
        <w:rPr>
          <w:lang w:val="fr-CA"/>
        </w:rPr>
        <w:t>’</w:t>
      </w:r>
      <w:r w:rsidR="00E21F7E" w:rsidRPr="00E26409">
        <w:rPr>
          <w:lang w:val="fr-CA"/>
        </w:rPr>
        <w:t>intervenant</w:t>
      </w:r>
      <w:r w:rsidR="00A83B4A" w:rsidRPr="00E26409">
        <w:rPr>
          <w:lang w:val="fr-CA"/>
        </w:rPr>
        <w:t xml:space="preserve"> le p</w:t>
      </w:r>
      <w:r w:rsidR="00E21F7E" w:rsidRPr="00E26409">
        <w:rPr>
          <w:lang w:val="fr-CA"/>
        </w:rPr>
        <w:t>rocureur général de l</w:t>
      </w:r>
      <w:r w:rsidR="00A13B74" w:rsidRPr="00E26409">
        <w:rPr>
          <w:lang w:val="fr-CA"/>
        </w:rPr>
        <w:t>’</w:t>
      </w:r>
      <w:r w:rsidR="00E21F7E" w:rsidRPr="00E26409">
        <w:rPr>
          <w:lang w:val="fr-CA"/>
        </w:rPr>
        <w:t>Ontario.</w:t>
      </w:r>
    </w:p>
    <w:p w:rsidR="00DE173C" w:rsidRPr="00E26409" w:rsidRDefault="00E21F7E" w:rsidP="004C788D">
      <w:pPr>
        <w:pStyle w:val="SCCNormalDoubleSpacing"/>
        <w:spacing w:before="480" w:after="480"/>
        <w:rPr>
          <w:lang w:val="fr-CA"/>
        </w:rPr>
      </w:pPr>
      <w:r w:rsidRPr="00E26409">
        <w:rPr>
          <w:i/>
          <w:lang w:val="fr-CA"/>
        </w:rPr>
        <w:tab/>
        <w:t>Keith Evans</w:t>
      </w:r>
      <w:r w:rsidRPr="00E26409">
        <w:rPr>
          <w:lang w:val="fr-CA"/>
        </w:rPr>
        <w:t>, pour l</w:t>
      </w:r>
      <w:r w:rsidR="00A13B74" w:rsidRPr="00E26409">
        <w:rPr>
          <w:lang w:val="fr-CA"/>
        </w:rPr>
        <w:t>’</w:t>
      </w:r>
      <w:r w:rsidRPr="00E26409">
        <w:rPr>
          <w:lang w:val="fr-CA"/>
        </w:rPr>
        <w:t>intervenant</w:t>
      </w:r>
      <w:r w:rsidR="00EF0993" w:rsidRPr="00E26409">
        <w:rPr>
          <w:lang w:val="fr-CA"/>
        </w:rPr>
        <w:t xml:space="preserve"> le p</w:t>
      </w:r>
      <w:r w:rsidRPr="00E26409">
        <w:rPr>
          <w:lang w:val="fr-CA"/>
        </w:rPr>
        <w:t xml:space="preserve">rocureur général de la </w:t>
      </w:r>
      <w:proofErr w:type="spellStart"/>
      <w:r w:rsidRPr="00E26409">
        <w:rPr>
          <w:lang w:val="fr-CA"/>
        </w:rPr>
        <w:t>Colombie</w:t>
      </w:r>
      <w:r w:rsidR="004C788D" w:rsidRPr="00E26409">
        <w:rPr>
          <w:lang w:val="fr-CA"/>
        </w:rPr>
        <w:noBreakHyphen/>
      </w:r>
      <w:r w:rsidRPr="00E26409">
        <w:rPr>
          <w:lang w:val="fr-CA"/>
        </w:rPr>
        <w:t>Britannique</w:t>
      </w:r>
      <w:proofErr w:type="spellEnd"/>
      <w:r w:rsidRPr="00E26409">
        <w:rPr>
          <w:lang w:val="fr-CA"/>
        </w:rPr>
        <w:t>.</w:t>
      </w:r>
    </w:p>
    <w:p w:rsidR="00DE173C" w:rsidRPr="00E26409" w:rsidRDefault="004C788D" w:rsidP="004C788D">
      <w:pPr>
        <w:pStyle w:val="SCCNormalDoubleSpacing"/>
        <w:spacing w:before="480" w:after="480"/>
        <w:rPr>
          <w:lang w:val="fr-CA"/>
        </w:rPr>
      </w:pPr>
      <w:r w:rsidRPr="00E26409">
        <w:rPr>
          <w:i/>
          <w:lang w:val="fr-CA"/>
        </w:rPr>
        <w:tab/>
      </w:r>
      <w:proofErr w:type="spellStart"/>
      <w:r w:rsidRPr="00E26409">
        <w:rPr>
          <w:i/>
          <w:lang w:val="fr-CA"/>
        </w:rPr>
        <w:t>Roderick</w:t>
      </w:r>
      <w:proofErr w:type="spellEnd"/>
      <w:r w:rsidRPr="00E26409">
        <w:rPr>
          <w:i/>
          <w:lang w:val="fr-CA"/>
        </w:rPr>
        <w:t> </w:t>
      </w:r>
      <w:r w:rsidR="00EF0993" w:rsidRPr="00E26409">
        <w:rPr>
          <w:i/>
          <w:lang w:val="fr-CA"/>
        </w:rPr>
        <w:t xml:space="preserve">S. </w:t>
      </w:r>
      <w:r w:rsidR="00E21F7E" w:rsidRPr="00E26409">
        <w:rPr>
          <w:i/>
          <w:lang w:val="fr-CA"/>
        </w:rPr>
        <w:t>Wiltshire</w:t>
      </w:r>
      <w:r w:rsidR="00E21F7E" w:rsidRPr="00E26409">
        <w:rPr>
          <w:lang w:val="fr-CA"/>
        </w:rPr>
        <w:t>, pour l</w:t>
      </w:r>
      <w:r w:rsidR="00A13B74" w:rsidRPr="00E26409">
        <w:rPr>
          <w:lang w:val="fr-CA"/>
        </w:rPr>
        <w:t>’</w:t>
      </w:r>
      <w:r w:rsidR="00E21F7E" w:rsidRPr="00E26409">
        <w:rPr>
          <w:lang w:val="fr-CA"/>
        </w:rPr>
        <w:t>intervenant</w:t>
      </w:r>
      <w:r w:rsidR="00EF0993" w:rsidRPr="00E26409">
        <w:rPr>
          <w:lang w:val="fr-CA"/>
        </w:rPr>
        <w:t xml:space="preserve"> le p</w:t>
      </w:r>
      <w:r w:rsidR="00E21F7E" w:rsidRPr="00E26409">
        <w:rPr>
          <w:lang w:val="fr-CA"/>
        </w:rPr>
        <w:t>rocureur général de l</w:t>
      </w:r>
      <w:r w:rsidR="00A13B74" w:rsidRPr="00E26409">
        <w:rPr>
          <w:lang w:val="fr-CA"/>
        </w:rPr>
        <w:t>’</w:t>
      </w:r>
      <w:r w:rsidR="00E21F7E" w:rsidRPr="00E26409">
        <w:rPr>
          <w:lang w:val="fr-CA"/>
        </w:rPr>
        <w:t>Alberta.</w:t>
      </w:r>
    </w:p>
    <w:p w:rsidR="00EF0993" w:rsidRPr="00E26409" w:rsidRDefault="00EF0993" w:rsidP="004C788D">
      <w:pPr>
        <w:pStyle w:val="SCCNormalDoubleSpacing"/>
        <w:spacing w:before="480" w:after="480"/>
        <w:rPr>
          <w:lang w:val="fr-CA"/>
        </w:rPr>
      </w:pPr>
      <w:r w:rsidRPr="00E26409">
        <w:rPr>
          <w:i/>
          <w:lang w:val="fr-CA"/>
        </w:rPr>
        <w:tab/>
        <w:t xml:space="preserve">Andrew </w:t>
      </w:r>
      <w:proofErr w:type="spellStart"/>
      <w:r w:rsidRPr="00E26409">
        <w:rPr>
          <w:i/>
          <w:lang w:val="fr-CA"/>
        </w:rPr>
        <w:t>Raven</w:t>
      </w:r>
      <w:proofErr w:type="spellEnd"/>
      <w:r w:rsidRPr="00E26409">
        <w:rPr>
          <w:lang w:val="fr-CA"/>
        </w:rPr>
        <w:t>, pour l</w:t>
      </w:r>
      <w:r w:rsidR="00A13B74" w:rsidRPr="00E26409">
        <w:rPr>
          <w:lang w:val="fr-CA"/>
        </w:rPr>
        <w:t>’</w:t>
      </w:r>
      <w:r w:rsidRPr="00E26409">
        <w:rPr>
          <w:lang w:val="fr-CA"/>
        </w:rPr>
        <w:t>intervenante l</w:t>
      </w:r>
      <w:r w:rsidR="00A13B74" w:rsidRPr="00E26409">
        <w:rPr>
          <w:lang w:val="fr-CA"/>
        </w:rPr>
        <w:t>’</w:t>
      </w:r>
      <w:r w:rsidR="00764401" w:rsidRPr="00E26409">
        <w:rPr>
          <w:lang w:val="fr-CA"/>
        </w:rPr>
        <w:t>Alliance de la F</w:t>
      </w:r>
      <w:r w:rsidRPr="00E26409">
        <w:rPr>
          <w:lang w:val="fr-CA"/>
        </w:rPr>
        <w:t>onction publique du Canada.</w:t>
      </w:r>
    </w:p>
    <w:p w:rsidR="00DE173C" w:rsidRPr="00E26409" w:rsidRDefault="00E21F7E" w:rsidP="004C788D">
      <w:pPr>
        <w:pStyle w:val="SCCNormalDoubleSpacing"/>
        <w:spacing w:before="480" w:after="480"/>
        <w:rPr>
          <w:lang w:val="fr-CA"/>
        </w:rPr>
      </w:pPr>
      <w:r w:rsidRPr="00E26409">
        <w:rPr>
          <w:i/>
          <w:lang w:val="fr-CA"/>
        </w:rPr>
        <w:tab/>
        <w:t xml:space="preserve">Eugene </w:t>
      </w:r>
      <w:proofErr w:type="spellStart"/>
      <w:r w:rsidRPr="00E26409">
        <w:rPr>
          <w:i/>
          <w:lang w:val="fr-CA"/>
        </w:rPr>
        <w:t>Meehan</w:t>
      </w:r>
      <w:proofErr w:type="spellEnd"/>
      <w:r w:rsidRPr="00DA25AC">
        <w:rPr>
          <w:lang w:val="fr-CA"/>
        </w:rPr>
        <w:t xml:space="preserve">, </w:t>
      </w:r>
      <w:proofErr w:type="gramStart"/>
      <w:r w:rsidR="00764401" w:rsidRPr="00E26409">
        <w:rPr>
          <w:i/>
          <w:lang w:val="fr-CA"/>
        </w:rPr>
        <w:t>c.r.</w:t>
      </w:r>
      <w:r w:rsidRPr="00E26409">
        <w:rPr>
          <w:lang w:val="fr-CA"/>
        </w:rPr>
        <w:t>,</w:t>
      </w:r>
      <w:proofErr w:type="gramEnd"/>
      <w:r w:rsidRPr="00E26409">
        <w:rPr>
          <w:lang w:val="fr-CA"/>
        </w:rPr>
        <w:t xml:space="preserve"> </w:t>
      </w:r>
      <w:r w:rsidRPr="00E26409">
        <w:rPr>
          <w:i/>
          <w:lang w:val="fr-CA"/>
        </w:rPr>
        <w:t xml:space="preserve">Patricia </w:t>
      </w:r>
      <w:proofErr w:type="spellStart"/>
      <w:r w:rsidRPr="00E26409">
        <w:rPr>
          <w:i/>
          <w:lang w:val="fr-CA"/>
        </w:rPr>
        <w:t>Kosseim</w:t>
      </w:r>
      <w:proofErr w:type="spellEnd"/>
      <w:r w:rsidRPr="00E26409">
        <w:rPr>
          <w:lang w:val="fr-CA"/>
        </w:rPr>
        <w:t xml:space="preserve"> et </w:t>
      </w:r>
      <w:r w:rsidRPr="00E26409">
        <w:rPr>
          <w:i/>
          <w:lang w:val="fr-CA"/>
        </w:rPr>
        <w:t>Kate Wilson</w:t>
      </w:r>
      <w:r w:rsidRPr="00E26409">
        <w:rPr>
          <w:lang w:val="fr-CA"/>
        </w:rPr>
        <w:t>, pour l</w:t>
      </w:r>
      <w:r w:rsidR="00A13B74" w:rsidRPr="00E26409">
        <w:rPr>
          <w:lang w:val="fr-CA"/>
        </w:rPr>
        <w:t>’</w:t>
      </w:r>
      <w:r w:rsidRPr="00E26409">
        <w:rPr>
          <w:lang w:val="fr-CA"/>
        </w:rPr>
        <w:t xml:space="preserve">intervenant </w:t>
      </w:r>
      <w:r w:rsidR="009F75DE" w:rsidRPr="00E26409">
        <w:rPr>
          <w:lang w:val="fr-CA"/>
        </w:rPr>
        <w:t>l</w:t>
      </w:r>
      <w:r w:rsidR="00B25944" w:rsidRPr="00E26409">
        <w:rPr>
          <w:lang w:val="fr-CA"/>
        </w:rPr>
        <w:t>e</w:t>
      </w:r>
      <w:r w:rsidR="00EF0993" w:rsidRPr="00E26409">
        <w:rPr>
          <w:lang w:val="fr-CA"/>
        </w:rPr>
        <w:t xml:space="preserve"> </w:t>
      </w:r>
      <w:r w:rsidRPr="00E26409">
        <w:rPr>
          <w:lang w:val="fr-CA"/>
        </w:rPr>
        <w:t>Commissaire à la protection de la vie privée du Canada.</w:t>
      </w:r>
    </w:p>
    <w:p w:rsidR="00DE173C" w:rsidRPr="00E26409" w:rsidRDefault="00E21F7E" w:rsidP="004C788D">
      <w:pPr>
        <w:pStyle w:val="SCCNormalDoubleSpacing"/>
        <w:spacing w:before="480" w:after="480"/>
        <w:rPr>
          <w:lang w:val="fr-CA"/>
        </w:rPr>
      </w:pPr>
      <w:r w:rsidRPr="00E26409">
        <w:rPr>
          <w:i/>
          <w:lang w:val="fr-CA"/>
        </w:rPr>
        <w:tab/>
      </w:r>
      <w:r w:rsidR="00EF0993" w:rsidRPr="00E26409">
        <w:rPr>
          <w:lang w:val="fr-CA"/>
        </w:rPr>
        <w:t xml:space="preserve">Argumentation écrite seulement par </w:t>
      </w:r>
      <w:r w:rsidR="004C788D" w:rsidRPr="00E26409">
        <w:rPr>
          <w:i/>
          <w:lang w:val="fr-CA"/>
        </w:rPr>
        <w:t>Hugh </w:t>
      </w:r>
      <w:r w:rsidRPr="00E26409">
        <w:rPr>
          <w:i/>
          <w:lang w:val="fr-CA"/>
        </w:rPr>
        <w:t>J.</w:t>
      </w:r>
      <w:r w:rsidR="00764401" w:rsidRPr="00E26409">
        <w:rPr>
          <w:i/>
          <w:lang w:val="fr-CA"/>
        </w:rPr>
        <w:t> </w:t>
      </w:r>
      <w:r w:rsidRPr="00E26409">
        <w:rPr>
          <w:i/>
          <w:lang w:val="fr-CA"/>
        </w:rPr>
        <w:t xml:space="preserve">D. </w:t>
      </w:r>
      <w:proofErr w:type="spellStart"/>
      <w:r w:rsidRPr="00E26409">
        <w:rPr>
          <w:i/>
          <w:lang w:val="fr-CA"/>
        </w:rPr>
        <w:t>McPhail</w:t>
      </w:r>
      <w:proofErr w:type="spellEnd"/>
      <w:r w:rsidR="00EF0993" w:rsidRPr="00DA25AC">
        <w:rPr>
          <w:lang w:val="fr-CA"/>
        </w:rPr>
        <w:t xml:space="preserve">, </w:t>
      </w:r>
      <w:proofErr w:type="gramStart"/>
      <w:r w:rsidR="00764401" w:rsidRPr="00E26409">
        <w:rPr>
          <w:i/>
          <w:lang w:val="fr-CA"/>
        </w:rPr>
        <w:t>c.r.</w:t>
      </w:r>
      <w:r w:rsidR="00EF0993" w:rsidRPr="00E26409">
        <w:rPr>
          <w:lang w:val="fr-CA"/>
        </w:rPr>
        <w:t>,</w:t>
      </w:r>
      <w:proofErr w:type="gramEnd"/>
      <w:r w:rsidRPr="00E26409">
        <w:rPr>
          <w:lang w:val="fr-CA"/>
        </w:rPr>
        <w:t xml:space="preserve"> pour l</w:t>
      </w:r>
      <w:r w:rsidR="00A13B74" w:rsidRPr="00E26409">
        <w:rPr>
          <w:lang w:val="fr-CA"/>
        </w:rPr>
        <w:t>’</w:t>
      </w:r>
      <w:r w:rsidRPr="00E26409">
        <w:rPr>
          <w:lang w:val="fr-CA"/>
        </w:rPr>
        <w:t xml:space="preserve">intervenante </w:t>
      </w:r>
      <w:r w:rsidR="00EF0993" w:rsidRPr="00E26409">
        <w:rPr>
          <w:lang w:val="fr-CA"/>
        </w:rPr>
        <w:t>l</w:t>
      </w:r>
      <w:r w:rsidR="00A13B74" w:rsidRPr="00E26409">
        <w:rPr>
          <w:lang w:val="fr-CA"/>
        </w:rPr>
        <w:t>’</w:t>
      </w:r>
      <w:r w:rsidRPr="00E26409">
        <w:rPr>
          <w:lang w:val="fr-CA"/>
        </w:rPr>
        <w:t>Association canadienne des avocats d</w:t>
      </w:r>
      <w:r w:rsidR="00A13B74" w:rsidRPr="00E26409">
        <w:rPr>
          <w:lang w:val="fr-CA"/>
        </w:rPr>
        <w:t>’</w:t>
      </w:r>
      <w:r w:rsidRPr="00E26409">
        <w:rPr>
          <w:lang w:val="fr-CA"/>
        </w:rPr>
        <w:t>employeurs.</w:t>
      </w:r>
    </w:p>
    <w:p w:rsidR="00DE173C" w:rsidRPr="00E26409" w:rsidRDefault="00E21F7E" w:rsidP="004C788D">
      <w:pPr>
        <w:pStyle w:val="SCCNormalDoubleSpacing"/>
        <w:spacing w:before="480" w:after="480"/>
        <w:rPr>
          <w:lang w:val="fr-CA"/>
        </w:rPr>
      </w:pPr>
      <w:r w:rsidRPr="00E26409">
        <w:rPr>
          <w:i/>
          <w:lang w:val="fr-CA"/>
        </w:rPr>
        <w:lastRenderedPageBreak/>
        <w:tab/>
        <w:t>Tim</w:t>
      </w:r>
      <w:r w:rsidR="004934CC" w:rsidRPr="00E26409">
        <w:rPr>
          <w:i/>
          <w:lang w:val="fr-CA"/>
        </w:rPr>
        <w:t>othy</w:t>
      </w:r>
      <w:r w:rsidRPr="00E26409">
        <w:rPr>
          <w:i/>
          <w:lang w:val="fr-CA"/>
        </w:rPr>
        <w:t xml:space="preserve"> </w:t>
      </w:r>
      <w:proofErr w:type="spellStart"/>
      <w:r w:rsidRPr="00E26409">
        <w:rPr>
          <w:i/>
          <w:lang w:val="fr-CA"/>
        </w:rPr>
        <w:t>Gleason</w:t>
      </w:r>
      <w:proofErr w:type="spellEnd"/>
      <w:r w:rsidR="004934CC" w:rsidRPr="00DA25AC">
        <w:rPr>
          <w:lang w:val="fr-CA"/>
        </w:rPr>
        <w:t xml:space="preserve"> et </w:t>
      </w:r>
      <w:r w:rsidR="004934CC" w:rsidRPr="00E26409">
        <w:rPr>
          <w:i/>
          <w:lang w:val="fr-CA"/>
        </w:rPr>
        <w:t xml:space="preserve">Sean </w:t>
      </w:r>
      <w:proofErr w:type="spellStart"/>
      <w:r w:rsidR="004934CC" w:rsidRPr="00E26409">
        <w:rPr>
          <w:i/>
          <w:lang w:val="fr-CA"/>
        </w:rPr>
        <w:t>Dewart</w:t>
      </w:r>
      <w:proofErr w:type="spellEnd"/>
      <w:r w:rsidRPr="00E26409">
        <w:rPr>
          <w:lang w:val="fr-CA"/>
        </w:rPr>
        <w:t>, pour l</w:t>
      </w:r>
      <w:r w:rsidR="00A13B74" w:rsidRPr="00E26409">
        <w:rPr>
          <w:lang w:val="fr-CA"/>
        </w:rPr>
        <w:t>’</w:t>
      </w:r>
      <w:r w:rsidRPr="00E26409">
        <w:rPr>
          <w:lang w:val="fr-CA"/>
        </w:rPr>
        <w:t xml:space="preserve">intervenante </w:t>
      </w:r>
      <w:r w:rsidR="004934CC" w:rsidRPr="00E26409">
        <w:rPr>
          <w:lang w:val="fr-CA"/>
        </w:rPr>
        <w:t>l</w:t>
      </w:r>
      <w:r w:rsidR="00A13B74" w:rsidRPr="00E26409">
        <w:rPr>
          <w:lang w:val="fr-CA"/>
        </w:rPr>
        <w:t>’</w:t>
      </w:r>
      <w:r w:rsidRPr="00E26409">
        <w:rPr>
          <w:lang w:val="fr-CA"/>
        </w:rPr>
        <w:t>Association canadienne des libertés civiles.</w:t>
      </w:r>
    </w:p>
    <w:p w:rsidR="00DE173C" w:rsidRPr="00E26409" w:rsidRDefault="004C788D" w:rsidP="004C788D">
      <w:pPr>
        <w:pStyle w:val="SCCNormalDoubleSpacing"/>
        <w:spacing w:before="480" w:after="480"/>
        <w:rPr>
          <w:lang w:val="fr-CA"/>
        </w:rPr>
      </w:pPr>
      <w:r w:rsidRPr="00E26409">
        <w:rPr>
          <w:i/>
          <w:lang w:val="fr-CA"/>
        </w:rPr>
        <w:tab/>
        <w:t>Mark </w:t>
      </w:r>
      <w:r w:rsidR="00E21F7E" w:rsidRPr="00E26409">
        <w:rPr>
          <w:i/>
          <w:lang w:val="fr-CA"/>
        </w:rPr>
        <w:t xml:space="preserve">A. </w:t>
      </w:r>
      <w:proofErr w:type="spellStart"/>
      <w:r w:rsidR="00E21F7E" w:rsidRPr="00E26409">
        <w:rPr>
          <w:i/>
          <w:lang w:val="fr-CA"/>
        </w:rPr>
        <w:t>Gelowitz</w:t>
      </w:r>
      <w:proofErr w:type="spellEnd"/>
      <w:r w:rsidR="00E21F7E" w:rsidRPr="00E26409">
        <w:rPr>
          <w:lang w:val="fr-CA"/>
        </w:rPr>
        <w:t xml:space="preserve"> et </w:t>
      </w:r>
      <w:proofErr w:type="spellStart"/>
      <w:r w:rsidRPr="00E26409">
        <w:rPr>
          <w:i/>
          <w:lang w:val="fr-CA"/>
        </w:rPr>
        <w:t>Gerard</w:t>
      </w:r>
      <w:proofErr w:type="spellEnd"/>
      <w:r w:rsidRPr="00E26409">
        <w:rPr>
          <w:i/>
          <w:lang w:val="fr-CA"/>
        </w:rPr>
        <w:t> </w:t>
      </w:r>
      <w:r w:rsidR="00E21F7E" w:rsidRPr="00E26409">
        <w:rPr>
          <w:i/>
          <w:lang w:val="fr-CA"/>
        </w:rPr>
        <w:t>J. Kennedy</w:t>
      </w:r>
      <w:r w:rsidR="00E21F7E" w:rsidRPr="00E26409">
        <w:rPr>
          <w:lang w:val="fr-CA"/>
        </w:rPr>
        <w:t>, pour l</w:t>
      </w:r>
      <w:r w:rsidR="00A13B74" w:rsidRPr="00E26409">
        <w:rPr>
          <w:lang w:val="fr-CA"/>
        </w:rPr>
        <w:t>’</w:t>
      </w:r>
      <w:r w:rsidR="00E21F7E" w:rsidRPr="00E26409">
        <w:rPr>
          <w:lang w:val="fr-CA"/>
        </w:rPr>
        <w:t xml:space="preserve">intervenante Canadian Constitution </w:t>
      </w:r>
      <w:proofErr w:type="spellStart"/>
      <w:r w:rsidR="00E21F7E" w:rsidRPr="00E26409">
        <w:rPr>
          <w:lang w:val="fr-CA"/>
        </w:rPr>
        <w:t>Foundation</w:t>
      </w:r>
      <w:proofErr w:type="spellEnd"/>
      <w:r w:rsidR="00E21F7E" w:rsidRPr="00E26409">
        <w:rPr>
          <w:lang w:val="fr-CA"/>
        </w:rPr>
        <w:t>.</w:t>
      </w:r>
    </w:p>
    <w:p w:rsidR="00DE173C" w:rsidRPr="00E26409" w:rsidRDefault="004C788D" w:rsidP="004C788D">
      <w:pPr>
        <w:pStyle w:val="SCCNormalDoubleSpacing"/>
        <w:spacing w:before="480" w:after="480"/>
        <w:rPr>
          <w:lang w:val="fr-CA"/>
        </w:rPr>
      </w:pPr>
      <w:r w:rsidRPr="00E26409">
        <w:rPr>
          <w:i/>
          <w:lang w:val="fr-CA"/>
        </w:rPr>
        <w:tab/>
        <w:t>John </w:t>
      </w:r>
      <w:r w:rsidR="00E21F7E" w:rsidRPr="00E26409">
        <w:rPr>
          <w:i/>
          <w:lang w:val="fr-CA"/>
        </w:rPr>
        <w:t>R. Carpenter</w:t>
      </w:r>
      <w:r w:rsidR="00E21F7E" w:rsidRPr="00E26409">
        <w:rPr>
          <w:lang w:val="fr-CA"/>
        </w:rPr>
        <w:t xml:space="preserve"> et </w:t>
      </w:r>
      <w:r w:rsidR="00E21F7E" w:rsidRPr="00E26409">
        <w:rPr>
          <w:i/>
          <w:lang w:val="fr-CA"/>
        </w:rPr>
        <w:t xml:space="preserve">Kara </w:t>
      </w:r>
      <w:proofErr w:type="spellStart"/>
      <w:r w:rsidR="00E21F7E" w:rsidRPr="00E26409">
        <w:rPr>
          <w:i/>
          <w:lang w:val="fr-CA"/>
        </w:rPr>
        <w:t>O</w:t>
      </w:r>
      <w:r w:rsidR="00A13B74" w:rsidRPr="00E26409">
        <w:rPr>
          <w:i/>
          <w:lang w:val="fr-CA"/>
        </w:rPr>
        <w:t>’</w:t>
      </w:r>
      <w:r w:rsidR="00E21F7E" w:rsidRPr="00E26409">
        <w:rPr>
          <w:i/>
          <w:lang w:val="fr-CA"/>
        </w:rPr>
        <w:t>Halloran</w:t>
      </w:r>
      <w:proofErr w:type="spellEnd"/>
      <w:r w:rsidR="00E21F7E" w:rsidRPr="00E26409">
        <w:rPr>
          <w:lang w:val="fr-CA"/>
        </w:rPr>
        <w:t>, pour l</w:t>
      </w:r>
      <w:r w:rsidR="00A13B74" w:rsidRPr="00E26409">
        <w:rPr>
          <w:lang w:val="fr-CA"/>
        </w:rPr>
        <w:t>’</w:t>
      </w:r>
      <w:r w:rsidR="00E21F7E" w:rsidRPr="00E26409">
        <w:rPr>
          <w:lang w:val="fr-CA"/>
        </w:rPr>
        <w:t xml:space="preserve">intervenante Alberta </w:t>
      </w:r>
      <w:proofErr w:type="spellStart"/>
      <w:r w:rsidR="00E21F7E" w:rsidRPr="00E26409">
        <w:rPr>
          <w:lang w:val="fr-CA"/>
        </w:rPr>
        <w:t>Federation</w:t>
      </w:r>
      <w:proofErr w:type="spellEnd"/>
      <w:r w:rsidR="00E21F7E" w:rsidRPr="00E26409">
        <w:rPr>
          <w:lang w:val="fr-CA"/>
        </w:rPr>
        <w:t xml:space="preserve"> of Labour.</w:t>
      </w:r>
    </w:p>
    <w:p w:rsidR="00DE173C" w:rsidRPr="00E26409" w:rsidRDefault="00E21F7E" w:rsidP="004C788D">
      <w:pPr>
        <w:pStyle w:val="SCCNormalDoubleSpacing"/>
        <w:spacing w:before="480" w:after="480"/>
        <w:rPr>
          <w:lang w:val="fr-CA"/>
        </w:rPr>
      </w:pPr>
      <w:r w:rsidRPr="00E26409">
        <w:rPr>
          <w:i/>
          <w:lang w:val="fr-CA"/>
        </w:rPr>
        <w:tab/>
      </w:r>
      <w:r w:rsidR="00BB61C4" w:rsidRPr="00E26409">
        <w:rPr>
          <w:lang w:val="fr-CA"/>
        </w:rPr>
        <w:t xml:space="preserve">Argumentation écrite seulement par </w:t>
      </w:r>
      <w:r w:rsidR="00EB4782" w:rsidRPr="00E26409">
        <w:rPr>
          <w:i/>
          <w:lang w:val="fr-CA"/>
        </w:rPr>
        <w:t xml:space="preserve">Andrea </w:t>
      </w:r>
      <w:proofErr w:type="spellStart"/>
      <w:r w:rsidR="00EB4782" w:rsidRPr="00E26409">
        <w:rPr>
          <w:i/>
          <w:lang w:val="fr-CA"/>
        </w:rPr>
        <w:t>Zwack</w:t>
      </w:r>
      <w:proofErr w:type="spellEnd"/>
      <w:r w:rsidR="00EB4782" w:rsidRPr="00E26409">
        <w:rPr>
          <w:i/>
          <w:lang w:val="fr-CA"/>
        </w:rPr>
        <w:t xml:space="preserve"> </w:t>
      </w:r>
      <w:r w:rsidR="00EB4782" w:rsidRPr="00E26409">
        <w:rPr>
          <w:lang w:val="fr-CA"/>
        </w:rPr>
        <w:t>et</w:t>
      </w:r>
      <w:r w:rsidR="00EB4782" w:rsidRPr="00E26409">
        <w:rPr>
          <w:i/>
          <w:lang w:val="fr-CA"/>
        </w:rPr>
        <w:t xml:space="preserve"> </w:t>
      </w:r>
      <w:r w:rsidRPr="00E26409">
        <w:rPr>
          <w:i/>
          <w:lang w:val="fr-CA"/>
        </w:rPr>
        <w:t>Simon Ruel</w:t>
      </w:r>
      <w:r w:rsidRPr="00E26409">
        <w:rPr>
          <w:lang w:val="fr-CA"/>
        </w:rPr>
        <w:t>, pour l</w:t>
      </w:r>
      <w:r w:rsidR="00764401" w:rsidRPr="00E26409">
        <w:rPr>
          <w:lang w:val="fr-CA"/>
        </w:rPr>
        <w:t xml:space="preserve">es </w:t>
      </w:r>
      <w:r w:rsidR="00BB61C4" w:rsidRPr="00E26409">
        <w:rPr>
          <w:lang w:val="fr-CA"/>
        </w:rPr>
        <w:t>intervenant</w:t>
      </w:r>
      <w:r w:rsidRPr="00E26409">
        <w:rPr>
          <w:lang w:val="fr-CA"/>
        </w:rPr>
        <w:t>e</w:t>
      </w:r>
      <w:r w:rsidR="00764401" w:rsidRPr="00E26409">
        <w:rPr>
          <w:lang w:val="fr-CA"/>
        </w:rPr>
        <w:t>s</w:t>
      </w:r>
      <w:r w:rsidRPr="00E26409">
        <w:rPr>
          <w:lang w:val="fr-CA"/>
        </w:rPr>
        <w:t xml:space="preserve"> Coalition of British Columbia Businesses </w:t>
      </w:r>
      <w:r w:rsidR="00764401" w:rsidRPr="00E26409">
        <w:rPr>
          <w:lang w:val="fr-CA"/>
        </w:rPr>
        <w:t>et</w:t>
      </w:r>
      <w:r w:rsidRPr="00E26409">
        <w:rPr>
          <w:lang w:val="fr-CA"/>
        </w:rPr>
        <w:t xml:space="preserve"> </w:t>
      </w:r>
      <w:proofErr w:type="spellStart"/>
      <w:r w:rsidRPr="00E26409">
        <w:rPr>
          <w:lang w:val="fr-CA"/>
        </w:rPr>
        <w:t>Merit</w:t>
      </w:r>
      <w:proofErr w:type="spellEnd"/>
      <w:r w:rsidRPr="00E26409">
        <w:rPr>
          <w:lang w:val="fr-CA"/>
        </w:rPr>
        <w:t xml:space="preserve"> Canada.</w:t>
      </w:r>
    </w:p>
    <w:p w:rsidR="00F44815" w:rsidRPr="00E26409" w:rsidRDefault="00E21F7E" w:rsidP="004C788D">
      <w:pPr>
        <w:pStyle w:val="SCCNormalDoubleSpacing"/>
        <w:spacing w:before="480" w:after="480"/>
        <w:rPr>
          <w:lang w:val="fr-CA"/>
        </w:rPr>
      </w:pPr>
      <w:r w:rsidRPr="00E26409">
        <w:rPr>
          <w:i/>
          <w:lang w:val="fr-CA"/>
        </w:rPr>
        <w:tab/>
      </w:r>
      <w:r w:rsidR="004C788D" w:rsidRPr="00E26409">
        <w:rPr>
          <w:i/>
          <w:lang w:val="fr-CA"/>
        </w:rPr>
        <w:t>John </w:t>
      </w:r>
      <w:r w:rsidRPr="00E26409">
        <w:rPr>
          <w:i/>
          <w:lang w:val="fr-CA"/>
        </w:rPr>
        <w:t xml:space="preserve">B. </w:t>
      </w:r>
      <w:proofErr w:type="spellStart"/>
      <w:r w:rsidRPr="00E26409">
        <w:rPr>
          <w:i/>
          <w:lang w:val="fr-CA"/>
        </w:rPr>
        <w:t>Laskin</w:t>
      </w:r>
      <w:proofErr w:type="spellEnd"/>
      <w:r w:rsidRPr="00E26409">
        <w:rPr>
          <w:lang w:val="fr-CA"/>
        </w:rPr>
        <w:t>, pour l</w:t>
      </w:r>
      <w:r w:rsidR="00A13B74" w:rsidRPr="00E26409">
        <w:rPr>
          <w:lang w:val="fr-CA"/>
        </w:rPr>
        <w:t>’</w:t>
      </w:r>
      <w:r w:rsidR="00BB61C4" w:rsidRPr="00E26409">
        <w:rPr>
          <w:lang w:val="fr-CA"/>
        </w:rPr>
        <w:t>intervenant</w:t>
      </w:r>
      <w:r w:rsidRPr="00E26409">
        <w:rPr>
          <w:lang w:val="fr-CA"/>
        </w:rPr>
        <w:t xml:space="preserve">e </w:t>
      </w:r>
      <w:r w:rsidR="00BB61C4" w:rsidRPr="00E26409">
        <w:rPr>
          <w:lang w:val="fr-CA"/>
        </w:rPr>
        <w:t xml:space="preserve">la </w:t>
      </w:r>
      <w:r w:rsidRPr="00E26409">
        <w:rPr>
          <w:lang w:val="fr-CA"/>
        </w:rPr>
        <w:t>Commission des relations de travail dans la fonction publique.</w:t>
      </w:r>
    </w:p>
    <w:p w:rsidR="008777C5" w:rsidRDefault="00C17322" w:rsidP="008777C5">
      <w:pPr>
        <w:pStyle w:val="SCCNormalDoubleSpacing"/>
        <w:spacing w:before="480" w:after="480"/>
        <w:rPr>
          <w:lang w:val="fr-CA"/>
        </w:rPr>
      </w:pPr>
      <w:r>
        <w:rPr>
          <w:i/>
          <w:lang w:val="fr-CA"/>
        </w:rPr>
        <w:tab/>
      </w:r>
      <w:r>
        <w:rPr>
          <w:lang w:val="fr-CA"/>
        </w:rPr>
        <w:t xml:space="preserve">Version française du jugement des juges LeBel, Abella, Cromwell, </w:t>
      </w:r>
      <w:proofErr w:type="spellStart"/>
      <w:r>
        <w:rPr>
          <w:lang w:val="fr-CA"/>
        </w:rPr>
        <w:t>Karakatsanis</w:t>
      </w:r>
      <w:proofErr w:type="spellEnd"/>
      <w:r>
        <w:rPr>
          <w:lang w:val="fr-CA"/>
        </w:rPr>
        <w:t xml:space="preserve"> et Wagner rendu par</w:t>
      </w:r>
    </w:p>
    <w:p w:rsidR="00046CA9" w:rsidRPr="00EE22A1" w:rsidRDefault="008777C5" w:rsidP="008777C5">
      <w:pPr>
        <w:pStyle w:val="ParaNoNdepar-AltN"/>
        <w:rPr>
          <w:rFonts w:cs="Times New Roman"/>
          <w:lang w:val="fr-CA"/>
        </w:rPr>
      </w:pPr>
      <w:r w:rsidRPr="008777C5">
        <w:rPr>
          <w:smallCaps/>
          <w:lang w:val="fr-CA"/>
        </w:rPr>
        <w:t xml:space="preserve">Les </w:t>
      </w:r>
      <w:r w:rsidRPr="008777C5">
        <w:rPr>
          <w:rFonts w:cs="Times New Roman"/>
          <w:smallCaps/>
          <w:lang w:val="fr-CA"/>
        </w:rPr>
        <w:t>juges</w:t>
      </w:r>
      <w:r w:rsidRPr="008777C5">
        <w:rPr>
          <w:smallCaps/>
          <w:lang w:val="fr-CA"/>
        </w:rPr>
        <w:t xml:space="preserve"> Abella et Cromwell</w:t>
      </w:r>
      <w:r w:rsidRPr="00EE22A1">
        <w:rPr>
          <w:lang w:val="fr-CA"/>
        </w:rPr>
        <w:t xml:space="preserve"> — </w:t>
      </w:r>
      <w:r w:rsidR="00046CA9" w:rsidRPr="00EE22A1">
        <w:rPr>
          <w:rFonts w:cs="Times New Roman"/>
          <w:lang w:val="fr-CA"/>
        </w:rPr>
        <w:t>La Commission des relations de travail dans la fonction publique (« Commission ») a conclu qu</w:t>
      </w:r>
      <w:r w:rsidR="00046CA9">
        <w:rPr>
          <w:rFonts w:cs="Times New Roman"/>
          <w:lang w:val="fr-CA"/>
        </w:rPr>
        <w:t>’</w:t>
      </w:r>
      <w:r w:rsidR="00046CA9" w:rsidRPr="00EE22A1">
        <w:rPr>
          <w:rFonts w:cs="Times New Roman"/>
          <w:lang w:val="fr-CA"/>
        </w:rPr>
        <w:t>un employeur est tenu de communiquer les coordonnées résidentielles des membres d</w:t>
      </w:r>
      <w:r w:rsidR="00046CA9">
        <w:rPr>
          <w:rFonts w:cs="Times New Roman"/>
          <w:lang w:val="fr-CA"/>
        </w:rPr>
        <w:t>’</w:t>
      </w:r>
      <w:r w:rsidR="00046CA9" w:rsidRPr="00EE22A1">
        <w:rPr>
          <w:rFonts w:cs="Times New Roman"/>
          <w:lang w:val="fr-CA"/>
        </w:rPr>
        <w:t>une unité de négociation au syndicat qui les représente, parce que ce dernier en a besoin pour s</w:t>
      </w:r>
      <w:r w:rsidR="00046CA9">
        <w:rPr>
          <w:rFonts w:cs="Times New Roman"/>
          <w:lang w:val="fr-CA"/>
        </w:rPr>
        <w:t>’</w:t>
      </w:r>
      <w:r w:rsidR="00046CA9" w:rsidRPr="00EE22A1">
        <w:rPr>
          <w:rFonts w:cs="Times New Roman"/>
          <w:lang w:val="fr-CA"/>
        </w:rPr>
        <w:t>acquitter de ses obligations de représentation.  Cela dit, le syndicat doit veiller à ce que ces renseignements soient conservés en sûreté et ne servent qu</w:t>
      </w:r>
      <w:r w:rsidR="00046CA9">
        <w:rPr>
          <w:rFonts w:cs="Times New Roman"/>
          <w:lang w:val="fr-CA"/>
        </w:rPr>
        <w:t>’</w:t>
      </w:r>
      <w:r w:rsidR="00046CA9" w:rsidRPr="00EE22A1">
        <w:rPr>
          <w:rFonts w:cs="Times New Roman"/>
          <w:lang w:val="fr-CA"/>
        </w:rPr>
        <w:t xml:space="preserve">à des fins de </w:t>
      </w:r>
      <w:r w:rsidR="00046CA9" w:rsidRPr="00EE22A1">
        <w:rPr>
          <w:rFonts w:cs="Times New Roman"/>
          <w:lang w:val="fr-CA"/>
        </w:rPr>
        <w:lastRenderedPageBreak/>
        <w:t>représentation.  La question principale soulevée en l</w:t>
      </w:r>
      <w:r w:rsidR="00046CA9">
        <w:rPr>
          <w:rFonts w:cs="Times New Roman"/>
          <w:lang w:val="fr-CA"/>
        </w:rPr>
        <w:t>’</w:t>
      </w:r>
      <w:r w:rsidR="00046CA9" w:rsidRPr="00EE22A1">
        <w:rPr>
          <w:rFonts w:cs="Times New Roman"/>
          <w:lang w:val="fr-CA"/>
        </w:rPr>
        <w:t>espèce est celle de savoir si cette décision était raisonnable.  Nous estimons que oui.</w:t>
      </w:r>
    </w:p>
    <w:p w:rsidR="00046CA9" w:rsidRPr="00EE22A1" w:rsidRDefault="00046CA9" w:rsidP="00046CA9">
      <w:pPr>
        <w:pStyle w:val="TitleTitre-AltT"/>
        <w:keepNext/>
        <w:spacing w:before="0"/>
        <w:rPr>
          <w:rFonts w:cs="Times New Roman"/>
          <w:u w:val="single"/>
          <w:lang w:val="fr-CA"/>
        </w:rPr>
      </w:pPr>
      <w:r w:rsidRPr="00EE22A1">
        <w:rPr>
          <w:rFonts w:cs="Times New Roman"/>
          <w:u w:val="single"/>
          <w:lang w:val="fr-CA"/>
        </w:rPr>
        <w:t>Contexte</w:t>
      </w:r>
    </w:p>
    <w:p w:rsidR="00046CA9" w:rsidRPr="00EE22A1" w:rsidRDefault="00046CA9" w:rsidP="00046CA9">
      <w:pPr>
        <w:pStyle w:val="ParaNoNdepar-AltN"/>
        <w:rPr>
          <w:rFonts w:cs="Times New Roman"/>
          <w:lang w:val="fr-CA"/>
        </w:rPr>
      </w:pPr>
      <w:r w:rsidRPr="00EE22A1">
        <w:rPr>
          <w:rFonts w:cs="Times New Roman"/>
          <w:lang w:val="fr-CA"/>
        </w:rPr>
        <w:t xml:space="preserve">Elizabeth Bernard est </w:t>
      </w:r>
      <w:proofErr w:type="gramStart"/>
      <w:r w:rsidRPr="00EE22A1">
        <w:rPr>
          <w:rFonts w:cs="Times New Roman"/>
          <w:lang w:val="fr-CA"/>
        </w:rPr>
        <w:t>la</w:t>
      </w:r>
      <w:proofErr w:type="gramEnd"/>
      <w:r w:rsidRPr="00EE22A1">
        <w:rPr>
          <w:rFonts w:cs="Times New Roman"/>
          <w:lang w:val="fr-CA"/>
        </w:rPr>
        <w:t xml:space="preserve"> protagoniste d</w:t>
      </w:r>
      <w:r>
        <w:rPr>
          <w:rFonts w:cs="Times New Roman"/>
          <w:lang w:val="fr-CA"/>
        </w:rPr>
        <w:t>’</w:t>
      </w:r>
      <w:r w:rsidRPr="00EE22A1">
        <w:rPr>
          <w:rFonts w:cs="Times New Roman"/>
          <w:lang w:val="fr-CA"/>
        </w:rPr>
        <w:t>une véritable odyssée judiciaire l</w:t>
      </w:r>
      <w:r>
        <w:rPr>
          <w:rFonts w:cs="Times New Roman"/>
          <w:lang w:val="fr-CA"/>
        </w:rPr>
        <w:t>’</w:t>
      </w:r>
      <w:r w:rsidRPr="00EE22A1">
        <w:rPr>
          <w:rFonts w:cs="Times New Roman"/>
          <w:lang w:val="fr-CA"/>
        </w:rPr>
        <w:t>ayant entraîné dans trois procédures administratives, deux contrôles judiciaires en Cour d</w:t>
      </w:r>
      <w:r>
        <w:rPr>
          <w:rFonts w:cs="Times New Roman"/>
          <w:lang w:val="fr-CA"/>
        </w:rPr>
        <w:t>’</w:t>
      </w:r>
      <w:r w:rsidRPr="00EE22A1">
        <w:rPr>
          <w:rFonts w:cs="Times New Roman"/>
          <w:lang w:val="fr-CA"/>
        </w:rPr>
        <w:t>appel fédérale et, maintenant, un pourvoi devant la Cour.  Elle appartient à une unité de négociation dans la fonction publique fédérale, mais n</w:t>
      </w:r>
      <w:r>
        <w:rPr>
          <w:rFonts w:cs="Times New Roman"/>
          <w:lang w:val="fr-CA"/>
        </w:rPr>
        <w:t>’</w:t>
      </w:r>
      <w:r w:rsidRPr="00EE22A1">
        <w:rPr>
          <w:rFonts w:cs="Times New Roman"/>
          <w:lang w:val="fr-CA"/>
        </w:rPr>
        <w:t>est pas membre du syndicat investi de droits de négociation exclusifs à l</w:t>
      </w:r>
      <w:r>
        <w:rPr>
          <w:rFonts w:cs="Times New Roman"/>
          <w:lang w:val="fr-CA"/>
        </w:rPr>
        <w:t>’</w:t>
      </w:r>
      <w:r w:rsidRPr="00EE22A1">
        <w:rPr>
          <w:rFonts w:cs="Times New Roman"/>
          <w:lang w:val="fr-CA"/>
        </w:rPr>
        <w:t>égard de son unité.  Dans le jargon des relations de travail, cela signifie que M</w:t>
      </w:r>
      <w:r w:rsidRPr="00EE22A1">
        <w:rPr>
          <w:rFonts w:cs="Times New Roman"/>
          <w:vertAlign w:val="superscript"/>
          <w:lang w:val="fr-CA"/>
        </w:rPr>
        <w:t>me</w:t>
      </w:r>
      <w:r w:rsidRPr="00EE22A1">
        <w:rPr>
          <w:rFonts w:cs="Times New Roman"/>
          <w:lang w:val="fr-CA"/>
        </w:rPr>
        <w:t> Bernard est une « employée assujettie à la formule Rand »; autrement dit, bien qu</w:t>
      </w:r>
      <w:r>
        <w:rPr>
          <w:rFonts w:cs="Times New Roman"/>
          <w:lang w:val="fr-CA"/>
        </w:rPr>
        <w:t>’</w:t>
      </w:r>
      <w:r w:rsidRPr="00EE22A1">
        <w:rPr>
          <w:rFonts w:cs="Times New Roman"/>
          <w:lang w:val="fr-CA"/>
        </w:rPr>
        <w:t>elle ne soit pas syndiquée, elle bénéficie des avantages de la convention collective, a droit à la représentation du syndicat et est tenue de verser les cotisations syndicales.  Le syndicat est l</w:t>
      </w:r>
      <w:r>
        <w:rPr>
          <w:rFonts w:cs="Times New Roman"/>
          <w:lang w:val="fr-CA"/>
        </w:rPr>
        <w:t>’</w:t>
      </w:r>
      <w:r w:rsidRPr="00EE22A1">
        <w:rPr>
          <w:rFonts w:cs="Times New Roman"/>
          <w:lang w:val="fr-CA"/>
        </w:rPr>
        <w:t xml:space="preserve">agent négociateur </w:t>
      </w:r>
      <w:r w:rsidRPr="00EE22A1">
        <w:rPr>
          <w:rFonts w:cs="Times New Roman"/>
          <w:i/>
          <w:lang w:val="fr-CA"/>
        </w:rPr>
        <w:t>exclusif</w:t>
      </w:r>
      <w:r w:rsidRPr="00EE22A1">
        <w:rPr>
          <w:rFonts w:cs="Times New Roman"/>
          <w:lang w:val="fr-CA"/>
        </w:rPr>
        <w:t xml:space="preserve"> de </w:t>
      </w:r>
      <w:r w:rsidRPr="00EE22A1">
        <w:rPr>
          <w:rFonts w:cs="Times New Roman"/>
          <w:i/>
          <w:lang w:val="fr-CA"/>
        </w:rPr>
        <w:t>tous</w:t>
      </w:r>
      <w:r w:rsidRPr="00EE22A1">
        <w:rPr>
          <w:rFonts w:cs="Times New Roman"/>
          <w:lang w:val="fr-CA"/>
        </w:rPr>
        <w:t xml:space="preserve"> les membres de l</w:t>
      </w:r>
      <w:r>
        <w:rPr>
          <w:rFonts w:cs="Times New Roman"/>
          <w:lang w:val="fr-CA"/>
        </w:rPr>
        <w:t>’</w:t>
      </w:r>
      <w:r w:rsidRPr="00EE22A1">
        <w:rPr>
          <w:rFonts w:cs="Times New Roman"/>
          <w:lang w:val="fr-CA"/>
        </w:rPr>
        <w:t xml:space="preserve">unité.  Il a en outre envers </w:t>
      </w:r>
      <w:r w:rsidRPr="00EE22A1">
        <w:rPr>
          <w:rFonts w:cs="Times New Roman"/>
          <w:i/>
          <w:lang w:val="fr-CA"/>
        </w:rPr>
        <w:t>chacun</w:t>
      </w:r>
      <w:r w:rsidRPr="00EE22A1">
        <w:rPr>
          <w:rFonts w:cs="Times New Roman"/>
          <w:lang w:val="fr-CA"/>
        </w:rPr>
        <w:t xml:space="preserve"> d</w:t>
      </w:r>
      <w:r>
        <w:rPr>
          <w:rFonts w:cs="Times New Roman"/>
          <w:lang w:val="fr-CA"/>
        </w:rPr>
        <w:t>’</w:t>
      </w:r>
      <w:r w:rsidRPr="00EE22A1">
        <w:rPr>
          <w:rFonts w:cs="Times New Roman"/>
          <w:lang w:val="fr-CA"/>
        </w:rPr>
        <w:t>entre eux — qu</w:t>
      </w:r>
      <w:r>
        <w:rPr>
          <w:rFonts w:cs="Times New Roman"/>
          <w:lang w:val="fr-CA"/>
        </w:rPr>
        <w:t>’</w:t>
      </w:r>
      <w:r w:rsidRPr="00EE22A1">
        <w:rPr>
          <w:rFonts w:cs="Times New Roman"/>
          <w:lang w:val="fr-CA"/>
        </w:rPr>
        <w:t>ils soient ou non syndiqués — des obligations de représentation, en ce qui concerne notamment la négociation collective, la procédure relative aux griefs, le réaménagement des effectifs, la poursuite de plaintes et la tenue de votes de grève.  Bien qu</w:t>
      </w:r>
      <w:r>
        <w:rPr>
          <w:rFonts w:cs="Times New Roman"/>
          <w:lang w:val="fr-CA"/>
        </w:rPr>
        <w:t>’</w:t>
      </w:r>
      <w:r w:rsidRPr="00EE22A1">
        <w:rPr>
          <w:rFonts w:cs="Times New Roman"/>
          <w:lang w:val="fr-CA"/>
        </w:rPr>
        <w:t>elle soit libre de ne pas adhérer au syndicat, M</w:t>
      </w:r>
      <w:r w:rsidRPr="00EE22A1">
        <w:rPr>
          <w:rFonts w:cs="Times New Roman"/>
          <w:vertAlign w:val="superscript"/>
          <w:lang w:val="fr-CA"/>
        </w:rPr>
        <w:t>me</w:t>
      </w:r>
      <w:r w:rsidRPr="00EE22A1">
        <w:rPr>
          <w:rFonts w:cs="Times New Roman"/>
          <w:lang w:val="fr-CA"/>
        </w:rPr>
        <w:t> Bernard n</w:t>
      </w:r>
      <w:r>
        <w:rPr>
          <w:rFonts w:cs="Times New Roman"/>
          <w:lang w:val="fr-CA"/>
        </w:rPr>
        <w:t>’</w:t>
      </w:r>
      <w:r w:rsidRPr="00EE22A1">
        <w:rPr>
          <w:rFonts w:cs="Times New Roman"/>
          <w:lang w:val="fr-CA"/>
        </w:rPr>
        <w:t xml:space="preserve">a pas de droit de retrait quant au rôle exercé par </w:t>
      </w:r>
      <w:proofErr w:type="spellStart"/>
      <w:r w:rsidRPr="00EE22A1">
        <w:rPr>
          <w:rFonts w:cs="Times New Roman"/>
          <w:lang w:val="fr-CA"/>
        </w:rPr>
        <w:t>celui</w:t>
      </w:r>
      <w:r w:rsidRPr="00EE22A1">
        <w:rPr>
          <w:rFonts w:cs="Times New Roman"/>
          <w:lang w:val="fr-CA"/>
        </w:rPr>
        <w:noBreakHyphen/>
        <w:t>ci</w:t>
      </w:r>
      <w:proofErr w:type="spellEnd"/>
      <w:r w:rsidRPr="00EE22A1">
        <w:rPr>
          <w:rFonts w:cs="Times New Roman"/>
          <w:lang w:val="fr-CA"/>
        </w:rPr>
        <w:t xml:space="preserve"> en tant qu</w:t>
      </w:r>
      <w:r>
        <w:rPr>
          <w:rFonts w:cs="Times New Roman"/>
          <w:lang w:val="fr-CA"/>
        </w:rPr>
        <w:t>’</w:t>
      </w:r>
      <w:r w:rsidRPr="00EE22A1">
        <w:rPr>
          <w:rFonts w:cs="Times New Roman"/>
          <w:lang w:val="fr-CA"/>
        </w:rPr>
        <w:t>agent négociateur exclusif de tous les employés de l</w:t>
      </w:r>
      <w:r>
        <w:rPr>
          <w:rFonts w:cs="Times New Roman"/>
          <w:lang w:val="fr-CA"/>
        </w:rPr>
        <w:t>’</w:t>
      </w:r>
      <w:r w:rsidRPr="00EE22A1">
        <w:rPr>
          <w:rFonts w:cs="Times New Roman"/>
          <w:lang w:val="fr-CA"/>
        </w:rPr>
        <w:t xml:space="preserve">unité, y compris elle. </w:t>
      </w:r>
    </w:p>
    <w:p w:rsidR="00046CA9" w:rsidRPr="00EE22A1" w:rsidRDefault="00046CA9" w:rsidP="00046CA9">
      <w:pPr>
        <w:pStyle w:val="ParaNoNdepar-AltN"/>
        <w:rPr>
          <w:rFonts w:cs="Times New Roman"/>
          <w:lang w:val="fr-CA"/>
        </w:rPr>
      </w:pPr>
      <w:r w:rsidRPr="00EE22A1">
        <w:rPr>
          <w:rFonts w:cs="Times New Roman"/>
          <w:lang w:val="fr-CA"/>
        </w:rPr>
        <w:t>Au début de 1992, M</w:t>
      </w:r>
      <w:r w:rsidRPr="00EE22A1">
        <w:rPr>
          <w:rFonts w:cs="Times New Roman"/>
          <w:vertAlign w:val="superscript"/>
          <w:lang w:val="fr-CA"/>
        </w:rPr>
        <w:t>me</w:t>
      </w:r>
      <w:r w:rsidRPr="00EE22A1">
        <w:rPr>
          <w:rFonts w:cs="Times New Roman"/>
          <w:lang w:val="fr-CA"/>
        </w:rPr>
        <w:t xml:space="preserve"> Bernard a déposé une plainte au Commissariat à la protection de la vie privée parce que son employeur avait donné son adresse </w:t>
      </w:r>
      <w:r w:rsidRPr="00EE22A1">
        <w:rPr>
          <w:rFonts w:cs="Times New Roman"/>
          <w:lang w:val="fr-CA"/>
        </w:rPr>
        <w:lastRenderedPageBreak/>
        <w:t>résidentielle au syndicat.  En mai 1993, le Commissariat a conclu que, sans le consentement de l</w:t>
      </w:r>
      <w:r>
        <w:rPr>
          <w:rFonts w:cs="Times New Roman"/>
          <w:lang w:val="fr-CA"/>
        </w:rPr>
        <w:t>’</w:t>
      </w:r>
      <w:r w:rsidRPr="00EE22A1">
        <w:rPr>
          <w:rFonts w:cs="Times New Roman"/>
          <w:lang w:val="fr-CA"/>
        </w:rPr>
        <w:t>employée, une telle communication n</w:t>
      </w:r>
      <w:r>
        <w:rPr>
          <w:rFonts w:cs="Times New Roman"/>
          <w:lang w:val="fr-CA"/>
        </w:rPr>
        <w:t>’</w:t>
      </w:r>
      <w:r w:rsidRPr="00EE22A1">
        <w:rPr>
          <w:rFonts w:cs="Times New Roman"/>
          <w:lang w:val="fr-CA"/>
        </w:rPr>
        <w:t xml:space="preserve">était pas autorisée par la </w:t>
      </w:r>
      <w:r w:rsidRPr="00EE22A1">
        <w:rPr>
          <w:rFonts w:cs="Times New Roman"/>
          <w:i/>
          <w:lang w:val="fr-CA"/>
        </w:rPr>
        <w:t>Loi sur la protection des renseignements personnels</w:t>
      </w:r>
      <w:r w:rsidRPr="00EE22A1">
        <w:rPr>
          <w:rFonts w:cs="Times New Roman"/>
          <w:lang w:val="fr-CA"/>
        </w:rPr>
        <w:t>, L.R.C. 1985, ch. P</w:t>
      </w:r>
      <w:r w:rsidRPr="00EE22A1">
        <w:rPr>
          <w:rFonts w:cs="Times New Roman"/>
          <w:lang w:val="fr-CA"/>
        </w:rPr>
        <w:noBreakHyphen/>
        <w:t>21 (« </w:t>
      </w:r>
      <w:r w:rsidRPr="00EE22A1">
        <w:rPr>
          <w:rFonts w:cs="Times New Roman"/>
          <w:i/>
          <w:lang w:val="fr-CA"/>
        </w:rPr>
        <w:t>LPRP</w:t>
      </w:r>
      <w:r w:rsidRPr="00EE22A1">
        <w:rPr>
          <w:rFonts w:cs="Times New Roman"/>
          <w:lang w:val="fr-CA"/>
        </w:rPr>
        <w:t> »).  L</w:t>
      </w:r>
      <w:r>
        <w:rPr>
          <w:rFonts w:cs="Times New Roman"/>
          <w:lang w:val="fr-CA"/>
        </w:rPr>
        <w:t>’</w:t>
      </w:r>
      <w:r w:rsidRPr="00EE22A1">
        <w:rPr>
          <w:rFonts w:cs="Times New Roman"/>
          <w:lang w:val="fr-CA"/>
        </w:rPr>
        <w:t>employeur a donc décidé d</w:t>
      </w:r>
      <w:r>
        <w:rPr>
          <w:rFonts w:cs="Times New Roman"/>
          <w:lang w:val="fr-CA"/>
        </w:rPr>
        <w:t>’</w:t>
      </w:r>
      <w:r w:rsidRPr="00EE22A1">
        <w:rPr>
          <w:rFonts w:cs="Times New Roman"/>
          <w:lang w:val="fr-CA"/>
        </w:rPr>
        <w:t>abandonner cette pratique.  Le Commissariat n</w:t>
      </w:r>
      <w:r>
        <w:rPr>
          <w:rFonts w:cs="Times New Roman"/>
          <w:lang w:val="fr-CA"/>
        </w:rPr>
        <w:t>’</w:t>
      </w:r>
      <w:r w:rsidRPr="00EE22A1">
        <w:rPr>
          <w:rFonts w:cs="Times New Roman"/>
          <w:lang w:val="fr-CA"/>
        </w:rPr>
        <w:t>avait aucun pouvoir juridictionnel ou pouvoir de rendre des ordonnances; les conclusions qu</w:t>
      </w:r>
      <w:r>
        <w:rPr>
          <w:rFonts w:cs="Times New Roman"/>
          <w:lang w:val="fr-CA"/>
        </w:rPr>
        <w:t>’</w:t>
      </w:r>
      <w:r w:rsidRPr="00EE22A1">
        <w:rPr>
          <w:rFonts w:cs="Times New Roman"/>
          <w:lang w:val="fr-CA"/>
        </w:rPr>
        <w:t>il a tirées ne conféraient donc aucun droit à M</w:t>
      </w:r>
      <w:r w:rsidRPr="00EE22A1">
        <w:rPr>
          <w:rFonts w:cs="Times New Roman"/>
          <w:vertAlign w:val="superscript"/>
          <w:lang w:val="fr-CA"/>
        </w:rPr>
        <w:t>me</w:t>
      </w:r>
      <w:r w:rsidRPr="00EE22A1">
        <w:rPr>
          <w:rFonts w:cs="Times New Roman"/>
          <w:lang w:val="fr-CA"/>
        </w:rPr>
        <w:t> Bernard ou à qui que ce soit d</w:t>
      </w:r>
      <w:r>
        <w:rPr>
          <w:rFonts w:cs="Times New Roman"/>
          <w:lang w:val="fr-CA"/>
        </w:rPr>
        <w:t>’</w:t>
      </w:r>
      <w:r w:rsidRPr="00EE22A1">
        <w:rPr>
          <w:rFonts w:cs="Times New Roman"/>
          <w:lang w:val="fr-CA"/>
        </w:rPr>
        <w:t>autre.</w:t>
      </w:r>
    </w:p>
    <w:p w:rsidR="00046CA9" w:rsidRPr="00EE22A1" w:rsidRDefault="00046CA9" w:rsidP="00046CA9">
      <w:pPr>
        <w:pStyle w:val="ParaNoNdepar-AltN"/>
        <w:rPr>
          <w:rFonts w:cs="Times New Roman"/>
          <w:lang w:val="fr-CA"/>
        </w:rPr>
      </w:pPr>
      <w:r w:rsidRPr="00EE22A1">
        <w:rPr>
          <w:rFonts w:cs="Times New Roman"/>
          <w:lang w:val="fr-CA"/>
        </w:rPr>
        <w:t>En 1995, M</w:t>
      </w:r>
      <w:r w:rsidRPr="00EE22A1">
        <w:rPr>
          <w:rFonts w:cs="Times New Roman"/>
          <w:vertAlign w:val="superscript"/>
          <w:lang w:val="fr-CA"/>
        </w:rPr>
        <w:t>me</w:t>
      </w:r>
      <w:r w:rsidRPr="00EE22A1">
        <w:rPr>
          <w:rFonts w:cs="Times New Roman"/>
          <w:lang w:val="fr-CA"/>
        </w:rPr>
        <w:t> Bernard a changé d</w:t>
      </w:r>
      <w:r>
        <w:rPr>
          <w:rFonts w:cs="Times New Roman"/>
          <w:lang w:val="fr-CA"/>
        </w:rPr>
        <w:t>’</w:t>
      </w:r>
      <w:r w:rsidRPr="00EE22A1">
        <w:rPr>
          <w:rFonts w:cs="Times New Roman"/>
          <w:lang w:val="fr-CA"/>
        </w:rPr>
        <w:t>emploi et est devenue membre d</w:t>
      </w:r>
      <w:r>
        <w:rPr>
          <w:rFonts w:cs="Times New Roman"/>
          <w:lang w:val="fr-CA"/>
        </w:rPr>
        <w:t>’</w:t>
      </w:r>
      <w:r w:rsidRPr="00EE22A1">
        <w:rPr>
          <w:rFonts w:cs="Times New Roman"/>
          <w:lang w:val="fr-CA"/>
        </w:rPr>
        <w:t>une unité de négociation représentée par l</w:t>
      </w:r>
      <w:r>
        <w:rPr>
          <w:rFonts w:cs="Times New Roman"/>
          <w:lang w:val="fr-CA"/>
        </w:rPr>
        <w:t>’</w:t>
      </w:r>
      <w:r w:rsidRPr="00EE22A1">
        <w:rPr>
          <w:rFonts w:cs="Times New Roman"/>
          <w:lang w:val="fr-CA"/>
        </w:rPr>
        <w:t>Institut professionnel de la fonction publique du Canada.  Encore une fois, elle n</w:t>
      </w:r>
      <w:r>
        <w:rPr>
          <w:rFonts w:cs="Times New Roman"/>
          <w:lang w:val="fr-CA"/>
        </w:rPr>
        <w:t>’</w:t>
      </w:r>
      <w:r w:rsidRPr="00EE22A1">
        <w:rPr>
          <w:rFonts w:cs="Times New Roman"/>
          <w:lang w:val="fr-CA"/>
        </w:rPr>
        <w:t>a pas adhéré au syndicat et était donc une « employée assujettie à la formule Rand » dans sa nouvelle unité de négociation.</w:t>
      </w:r>
    </w:p>
    <w:p w:rsidR="00046CA9" w:rsidRPr="00EE22A1" w:rsidRDefault="00046CA9" w:rsidP="00046CA9">
      <w:pPr>
        <w:pStyle w:val="ParaNoNdepar-AltN"/>
        <w:rPr>
          <w:rFonts w:cs="Times New Roman"/>
          <w:lang w:val="fr-CA"/>
        </w:rPr>
      </w:pPr>
      <w:r w:rsidRPr="00EE22A1">
        <w:rPr>
          <w:rFonts w:cs="Times New Roman"/>
          <w:lang w:val="fr-CA"/>
        </w:rPr>
        <w:t xml:space="preserve">Les modifications apportées en 2005 à la </w:t>
      </w:r>
      <w:r w:rsidRPr="00EE22A1">
        <w:rPr>
          <w:rFonts w:cs="Times New Roman"/>
          <w:i/>
          <w:lang w:val="fr-CA"/>
        </w:rPr>
        <w:t>Loi sur les relations de travail dans la fonction publique</w:t>
      </w:r>
      <w:r w:rsidRPr="00EE22A1">
        <w:rPr>
          <w:rFonts w:cs="Times New Roman"/>
          <w:lang w:val="fr-CA"/>
        </w:rPr>
        <w:t>, L.C. 2003, ch. 22, art. 2 (« </w:t>
      </w:r>
      <w:r w:rsidRPr="00EE22A1">
        <w:rPr>
          <w:rFonts w:cs="Times New Roman"/>
          <w:i/>
          <w:lang w:val="fr-CA"/>
        </w:rPr>
        <w:t>LRTFP</w:t>
      </w:r>
      <w:r w:rsidRPr="00EE22A1">
        <w:rPr>
          <w:rFonts w:cs="Times New Roman"/>
          <w:lang w:val="fr-CA"/>
        </w:rPr>
        <w:t> »), ont considérablement étendu les obligations syndicales de représentation.  Compte tenu de ces nouvelles obligations, le syndicat de M</w:t>
      </w:r>
      <w:r w:rsidRPr="00EE22A1">
        <w:rPr>
          <w:rFonts w:cs="Times New Roman"/>
          <w:vertAlign w:val="superscript"/>
          <w:lang w:val="fr-CA"/>
        </w:rPr>
        <w:t>me</w:t>
      </w:r>
      <w:r w:rsidRPr="00EE22A1">
        <w:rPr>
          <w:rFonts w:cs="Times New Roman"/>
          <w:lang w:val="fr-CA"/>
        </w:rPr>
        <w:t> Bernard a estimé avoir besoin des coordonnées résidentielles des membres de l</w:t>
      </w:r>
      <w:r>
        <w:rPr>
          <w:rFonts w:cs="Times New Roman"/>
          <w:lang w:val="fr-CA"/>
        </w:rPr>
        <w:t>’</w:t>
      </w:r>
      <w:r w:rsidRPr="00EE22A1">
        <w:rPr>
          <w:rFonts w:cs="Times New Roman"/>
          <w:lang w:val="fr-CA"/>
        </w:rPr>
        <w:t>unité de négociation.  Il a demandé à l</w:t>
      </w:r>
      <w:r>
        <w:rPr>
          <w:rFonts w:cs="Times New Roman"/>
          <w:lang w:val="fr-CA"/>
        </w:rPr>
        <w:t>’</w:t>
      </w:r>
      <w:r w:rsidRPr="00EE22A1">
        <w:rPr>
          <w:rFonts w:cs="Times New Roman"/>
          <w:lang w:val="fr-CA"/>
        </w:rPr>
        <w:t>employeur de les lui fournir afin de pouvoir s</w:t>
      </w:r>
      <w:r>
        <w:rPr>
          <w:rFonts w:cs="Times New Roman"/>
          <w:lang w:val="fr-CA"/>
        </w:rPr>
        <w:t>’</w:t>
      </w:r>
      <w:r w:rsidRPr="00EE22A1">
        <w:rPr>
          <w:rFonts w:cs="Times New Roman"/>
          <w:lang w:val="fr-CA"/>
        </w:rPr>
        <w:t>acquitter de ces obligations.  L</w:t>
      </w:r>
      <w:r>
        <w:rPr>
          <w:rFonts w:cs="Times New Roman"/>
          <w:lang w:val="fr-CA"/>
        </w:rPr>
        <w:t>’</w:t>
      </w:r>
      <w:r w:rsidRPr="00EE22A1">
        <w:rPr>
          <w:rFonts w:cs="Times New Roman"/>
          <w:lang w:val="fr-CA"/>
        </w:rPr>
        <w:t>employeur a refusé.  En septembre 2007, le syndicat a donc déposé des plaintes regroupées dans lesquelles il alléguait que le refus de fournir ces renseignements constituait une pratique déloyale de travail.  Le refus de lui fournir les coordonnées résidentielles des membres de l</w:t>
      </w:r>
      <w:r>
        <w:rPr>
          <w:rFonts w:cs="Times New Roman"/>
          <w:lang w:val="fr-CA"/>
        </w:rPr>
        <w:t>’</w:t>
      </w:r>
      <w:r w:rsidRPr="00EE22A1">
        <w:rPr>
          <w:rFonts w:cs="Times New Roman"/>
          <w:lang w:val="fr-CA"/>
        </w:rPr>
        <w:t xml:space="preserve">unité constituait, selon lui, une entrave indue à sa capacité de représenter ces derniers.  Les parties aux plaintes regroupées étaient, </w:t>
      </w:r>
      <w:r w:rsidRPr="00EE22A1">
        <w:rPr>
          <w:rFonts w:cs="Times New Roman"/>
          <w:lang w:val="fr-CA"/>
        </w:rPr>
        <w:lastRenderedPageBreak/>
        <w:t>comme c</w:t>
      </w:r>
      <w:r>
        <w:rPr>
          <w:rFonts w:cs="Times New Roman"/>
          <w:lang w:val="fr-CA"/>
        </w:rPr>
        <w:t>’</w:t>
      </w:r>
      <w:r w:rsidRPr="00EE22A1">
        <w:rPr>
          <w:rFonts w:cs="Times New Roman"/>
          <w:lang w:val="fr-CA"/>
        </w:rPr>
        <w:t>est toujours le cas, les employeurs (le Conseil du Trésor du Canada et l</w:t>
      </w:r>
      <w:r>
        <w:rPr>
          <w:rFonts w:cs="Times New Roman"/>
          <w:lang w:val="fr-CA"/>
        </w:rPr>
        <w:t>’</w:t>
      </w:r>
      <w:r w:rsidRPr="00EE22A1">
        <w:rPr>
          <w:rFonts w:cs="Times New Roman"/>
          <w:lang w:val="fr-CA"/>
        </w:rPr>
        <w:t>Agence du revenu du Canada) et le syndicat en tant qu</w:t>
      </w:r>
      <w:r>
        <w:rPr>
          <w:rFonts w:cs="Times New Roman"/>
          <w:lang w:val="fr-CA"/>
        </w:rPr>
        <w:t>’</w:t>
      </w:r>
      <w:r w:rsidRPr="00EE22A1">
        <w:rPr>
          <w:rFonts w:cs="Times New Roman"/>
          <w:lang w:val="fr-CA"/>
        </w:rPr>
        <w:t>agent négociateur exclusif des membres de l</w:t>
      </w:r>
      <w:r>
        <w:rPr>
          <w:rFonts w:cs="Times New Roman"/>
          <w:lang w:val="fr-CA"/>
        </w:rPr>
        <w:t>’</w:t>
      </w:r>
      <w:r w:rsidRPr="00EE22A1">
        <w:rPr>
          <w:rFonts w:cs="Times New Roman"/>
          <w:lang w:val="fr-CA"/>
        </w:rPr>
        <w:t>unité.  Comme le veut la pratique habituelle, M</w:t>
      </w:r>
      <w:r w:rsidRPr="00EE22A1">
        <w:rPr>
          <w:rFonts w:cs="Times New Roman"/>
          <w:vertAlign w:val="superscript"/>
          <w:lang w:val="fr-CA"/>
        </w:rPr>
        <w:t>me</w:t>
      </w:r>
      <w:r w:rsidRPr="00EE22A1">
        <w:rPr>
          <w:rFonts w:cs="Times New Roman"/>
          <w:lang w:val="fr-CA"/>
        </w:rPr>
        <w:t> Bernard n</w:t>
      </w:r>
      <w:r>
        <w:rPr>
          <w:rFonts w:cs="Times New Roman"/>
          <w:lang w:val="fr-CA"/>
        </w:rPr>
        <w:t>’</w:t>
      </w:r>
      <w:r w:rsidRPr="00EE22A1">
        <w:rPr>
          <w:rFonts w:cs="Times New Roman"/>
          <w:lang w:val="fr-CA"/>
        </w:rPr>
        <w:t xml:space="preserve">a pas été personnellement avisée de la procédure à ce </w:t>
      </w:r>
      <w:proofErr w:type="spellStart"/>
      <w:r w:rsidRPr="00EE22A1">
        <w:rPr>
          <w:rFonts w:cs="Times New Roman"/>
          <w:lang w:val="fr-CA"/>
        </w:rPr>
        <w:t>moment</w:t>
      </w:r>
      <w:r w:rsidRPr="00EE22A1">
        <w:rPr>
          <w:rFonts w:cs="Times New Roman"/>
          <w:lang w:val="fr-CA"/>
        </w:rPr>
        <w:noBreakHyphen/>
        <w:t>là</w:t>
      </w:r>
      <w:proofErr w:type="spellEnd"/>
      <w:r w:rsidRPr="00EE22A1">
        <w:rPr>
          <w:rFonts w:cs="Times New Roman"/>
          <w:lang w:val="fr-CA"/>
        </w:rPr>
        <w:t>, à l</w:t>
      </w:r>
      <w:r>
        <w:rPr>
          <w:rFonts w:cs="Times New Roman"/>
          <w:lang w:val="fr-CA"/>
        </w:rPr>
        <w:t>’</w:t>
      </w:r>
      <w:r w:rsidRPr="00EE22A1">
        <w:rPr>
          <w:rFonts w:cs="Times New Roman"/>
          <w:lang w:val="fr-CA"/>
        </w:rPr>
        <w:t>instar des dizaines de milliers d</w:t>
      </w:r>
      <w:r>
        <w:rPr>
          <w:rFonts w:cs="Times New Roman"/>
          <w:lang w:val="fr-CA"/>
        </w:rPr>
        <w:t>’</w:t>
      </w:r>
      <w:r w:rsidRPr="00EE22A1">
        <w:rPr>
          <w:rFonts w:cs="Times New Roman"/>
          <w:lang w:val="fr-CA"/>
        </w:rPr>
        <w:t>autres membres de l</w:t>
      </w:r>
      <w:r>
        <w:rPr>
          <w:rFonts w:cs="Times New Roman"/>
          <w:lang w:val="fr-CA"/>
        </w:rPr>
        <w:t>’</w:t>
      </w:r>
      <w:r w:rsidRPr="00EE22A1">
        <w:rPr>
          <w:rFonts w:cs="Times New Roman"/>
          <w:lang w:val="fr-CA"/>
        </w:rPr>
        <w:t>unité à l</w:t>
      </w:r>
      <w:r>
        <w:rPr>
          <w:rFonts w:cs="Times New Roman"/>
          <w:lang w:val="fr-CA"/>
        </w:rPr>
        <w:t>’</w:t>
      </w:r>
      <w:r w:rsidRPr="00EE22A1">
        <w:rPr>
          <w:rFonts w:cs="Times New Roman"/>
          <w:lang w:val="fr-CA"/>
        </w:rPr>
        <w:t xml:space="preserve">égard desquels le syndicat avait des droits de négociation exclusifs et dont les renseignements personnels étaient en cause dans les plaintes regroupées. </w:t>
      </w:r>
    </w:p>
    <w:p w:rsidR="00046CA9" w:rsidRPr="00EE22A1" w:rsidRDefault="00046CA9" w:rsidP="00046CA9">
      <w:pPr>
        <w:pStyle w:val="ParaNoNdepar-AltN"/>
        <w:rPr>
          <w:rFonts w:cs="Times New Roman"/>
          <w:lang w:val="fr-CA"/>
        </w:rPr>
      </w:pPr>
      <w:r w:rsidRPr="00EE22A1">
        <w:rPr>
          <w:rFonts w:cs="Times New Roman"/>
          <w:lang w:val="fr-CA"/>
        </w:rPr>
        <w:t>En guise de réparation, le syndicat a sollicité une ordonnance intimant à l</w:t>
      </w:r>
      <w:r>
        <w:rPr>
          <w:rFonts w:cs="Times New Roman"/>
          <w:lang w:val="fr-CA"/>
        </w:rPr>
        <w:t>’</w:t>
      </w:r>
      <w:r w:rsidRPr="00EE22A1">
        <w:rPr>
          <w:rFonts w:cs="Times New Roman"/>
          <w:lang w:val="fr-CA"/>
        </w:rPr>
        <w:t>employeur de lui fournir les noms, les titres de poste, les numéros de téléphone ainsi que les adresses résidentielles et électroniques de tous les employés faisant partie de six unités de négociation nationales, dont celle à laquelle appartenait M</w:t>
      </w:r>
      <w:r w:rsidRPr="00EE22A1">
        <w:rPr>
          <w:rFonts w:cs="Times New Roman"/>
          <w:vertAlign w:val="superscript"/>
          <w:lang w:val="fr-CA"/>
        </w:rPr>
        <w:t>me</w:t>
      </w:r>
      <w:r w:rsidRPr="00EE22A1">
        <w:rPr>
          <w:rFonts w:cs="Times New Roman"/>
          <w:lang w:val="fr-CA"/>
        </w:rPr>
        <w:t xml:space="preserve"> Bernard. </w:t>
      </w:r>
    </w:p>
    <w:p w:rsidR="00046CA9" w:rsidRPr="00EE22A1" w:rsidRDefault="00046CA9" w:rsidP="00046CA9">
      <w:pPr>
        <w:pStyle w:val="ParaNoNdepar-AltN"/>
        <w:rPr>
          <w:rFonts w:cs="Times New Roman"/>
        </w:rPr>
      </w:pPr>
      <w:r w:rsidRPr="00EE22A1">
        <w:rPr>
          <w:rFonts w:cs="Times New Roman"/>
          <w:lang w:val="fr-CA"/>
        </w:rPr>
        <w:t>En réponse, l</w:t>
      </w:r>
      <w:r>
        <w:rPr>
          <w:rFonts w:cs="Times New Roman"/>
          <w:lang w:val="fr-CA"/>
        </w:rPr>
        <w:t>’</w:t>
      </w:r>
      <w:r w:rsidRPr="00EE22A1">
        <w:rPr>
          <w:rFonts w:cs="Times New Roman"/>
          <w:lang w:val="fr-CA"/>
        </w:rPr>
        <w:t>employeur n</w:t>
      </w:r>
      <w:r>
        <w:rPr>
          <w:rFonts w:cs="Times New Roman"/>
          <w:lang w:val="fr-CA"/>
        </w:rPr>
        <w:t>’</w:t>
      </w:r>
      <w:r w:rsidRPr="00EE22A1">
        <w:rPr>
          <w:rFonts w:cs="Times New Roman"/>
          <w:lang w:val="fr-CA"/>
        </w:rPr>
        <w:t>a pas contesté la jurisprudence invoquée par le syndicat qui confirme l</w:t>
      </w:r>
      <w:r>
        <w:rPr>
          <w:rFonts w:cs="Times New Roman"/>
          <w:lang w:val="fr-CA"/>
        </w:rPr>
        <w:t>’</w:t>
      </w:r>
      <w:r w:rsidRPr="00EE22A1">
        <w:rPr>
          <w:rFonts w:cs="Times New Roman"/>
          <w:lang w:val="fr-CA"/>
        </w:rPr>
        <w:t>obligation de communiquer des renseignements personnels aux syndicats aux fins légitimes de négociation.  Autrement dit, l</w:t>
      </w:r>
      <w:r>
        <w:rPr>
          <w:rFonts w:cs="Times New Roman"/>
          <w:lang w:val="fr-CA"/>
        </w:rPr>
        <w:t>’</w:t>
      </w:r>
      <w:r w:rsidRPr="00EE22A1">
        <w:rPr>
          <w:rFonts w:cs="Times New Roman"/>
          <w:lang w:val="fr-CA"/>
        </w:rPr>
        <w:t>employeur n</w:t>
      </w:r>
      <w:r>
        <w:rPr>
          <w:rFonts w:cs="Times New Roman"/>
          <w:lang w:val="fr-CA"/>
        </w:rPr>
        <w:t>’</w:t>
      </w:r>
      <w:r w:rsidRPr="00EE22A1">
        <w:rPr>
          <w:rFonts w:cs="Times New Roman"/>
          <w:lang w:val="fr-CA"/>
        </w:rPr>
        <w:t>a pas contesté la prémisse sur laquelle reposait la plainte du syndicat, soit qu</w:t>
      </w:r>
      <w:r>
        <w:rPr>
          <w:rFonts w:cs="Times New Roman"/>
          <w:lang w:val="fr-CA"/>
        </w:rPr>
        <w:t>’</w:t>
      </w:r>
      <w:r w:rsidRPr="00EE22A1">
        <w:rPr>
          <w:rFonts w:cs="Times New Roman"/>
          <w:lang w:val="fr-CA"/>
        </w:rPr>
        <w:t>il devait fournir certains renseignements relatifs aux employés et que le refus de le faire pouvait constituer une pratique déloyale de travail.  Cependant, l</w:t>
      </w:r>
      <w:r>
        <w:rPr>
          <w:rFonts w:cs="Times New Roman"/>
          <w:lang w:val="fr-CA"/>
        </w:rPr>
        <w:t>’</w:t>
      </w:r>
      <w:r w:rsidRPr="00EE22A1">
        <w:rPr>
          <w:rFonts w:cs="Times New Roman"/>
          <w:lang w:val="fr-CA"/>
        </w:rPr>
        <w:t>employeur a soulevé certaines préoccupations d</w:t>
      </w:r>
      <w:r>
        <w:rPr>
          <w:rFonts w:cs="Times New Roman"/>
          <w:lang w:val="fr-CA"/>
        </w:rPr>
        <w:t>’</w:t>
      </w:r>
      <w:r w:rsidRPr="00EE22A1">
        <w:rPr>
          <w:rFonts w:cs="Times New Roman"/>
          <w:lang w:val="fr-CA"/>
        </w:rPr>
        <w:t>ordre pratique en ce qui a trait au respect de la vie privée des employés ainsi qu</w:t>
      </w:r>
      <w:r>
        <w:rPr>
          <w:rFonts w:cs="Times New Roman"/>
          <w:lang w:val="fr-CA"/>
        </w:rPr>
        <w:t>’</w:t>
      </w:r>
      <w:r w:rsidRPr="00EE22A1">
        <w:rPr>
          <w:rFonts w:cs="Times New Roman"/>
          <w:lang w:val="fr-CA"/>
        </w:rPr>
        <w:t>à l</w:t>
      </w:r>
      <w:r>
        <w:rPr>
          <w:rFonts w:cs="Times New Roman"/>
          <w:lang w:val="fr-CA"/>
        </w:rPr>
        <w:t>’</w:t>
      </w:r>
      <w:r w:rsidRPr="00EE22A1">
        <w:rPr>
          <w:rFonts w:cs="Times New Roman"/>
          <w:lang w:val="fr-CA"/>
        </w:rPr>
        <w:t>exactitude et à l</w:t>
      </w:r>
      <w:r>
        <w:rPr>
          <w:rFonts w:cs="Times New Roman"/>
          <w:lang w:val="fr-CA"/>
        </w:rPr>
        <w:t>’</w:t>
      </w:r>
      <w:r w:rsidRPr="00EE22A1">
        <w:rPr>
          <w:rFonts w:cs="Times New Roman"/>
          <w:lang w:val="fr-CA"/>
        </w:rPr>
        <w:t>exhaustivité des renseignements dont il disposait alors.  L</w:t>
      </w:r>
      <w:r>
        <w:rPr>
          <w:rFonts w:cs="Times New Roman"/>
          <w:lang w:val="fr-CA"/>
        </w:rPr>
        <w:t>’</w:t>
      </w:r>
      <w:r w:rsidRPr="00EE22A1">
        <w:rPr>
          <w:rFonts w:cs="Times New Roman"/>
          <w:lang w:val="fr-CA"/>
        </w:rPr>
        <w:t>employeur a déposé auprès de la Commission une opinion exprimée à cet égard par le Commissariat à la protection de la vie privée.  La Commission a conclu que, « en principe », le refus de l</w:t>
      </w:r>
      <w:r>
        <w:rPr>
          <w:rFonts w:cs="Times New Roman"/>
          <w:lang w:val="fr-CA"/>
        </w:rPr>
        <w:t>’</w:t>
      </w:r>
      <w:r w:rsidRPr="00EE22A1">
        <w:rPr>
          <w:rFonts w:cs="Times New Roman"/>
          <w:lang w:val="fr-CA"/>
        </w:rPr>
        <w:t xml:space="preserve">employeur de donner au </w:t>
      </w:r>
      <w:r w:rsidRPr="00EE22A1">
        <w:rPr>
          <w:rFonts w:cs="Times New Roman"/>
          <w:lang w:val="fr-CA"/>
        </w:rPr>
        <w:lastRenderedPageBreak/>
        <w:t>syndicat « au moins une partie des renseignements qu</w:t>
      </w:r>
      <w:r>
        <w:rPr>
          <w:rFonts w:cs="Times New Roman"/>
          <w:lang w:val="fr-CA"/>
        </w:rPr>
        <w:t>’</w:t>
      </w:r>
      <w:r w:rsidRPr="00EE22A1">
        <w:rPr>
          <w:rFonts w:cs="Times New Roman"/>
          <w:lang w:val="fr-CA"/>
        </w:rPr>
        <w:t>il avait demandés » constituait une pratique déloyale de travail parce que l</w:t>
      </w:r>
      <w:r>
        <w:rPr>
          <w:rFonts w:cs="Times New Roman"/>
          <w:lang w:val="fr-CA"/>
        </w:rPr>
        <w:t>’</w:t>
      </w:r>
      <w:r w:rsidRPr="00EE22A1">
        <w:rPr>
          <w:rFonts w:cs="Times New Roman"/>
          <w:lang w:val="fr-CA"/>
        </w:rPr>
        <w:t>employeur inter</w:t>
      </w:r>
      <w:r>
        <w:rPr>
          <w:rFonts w:cs="Times New Roman"/>
          <w:lang w:val="fr-CA"/>
        </w:rPr>
        <w:t>ven</w:t>
      </w:r>
      <w:r w:rsidRPr="00EE22A1">
        <w:rPr>
          <w:rFonts w:cs="Times New Roman"/>
          <w:lang w:val="fr-CA"/>
        </w:rPr>
        <w:t>ait ainsi dans la représentation des fonctionnaires par le syndicat au sens de l</w:t>
      </w:r>
      <w:r>
        <w:rPr>
          <w:rFonts w:cs="Times New Roman"/>
          <w:lang w:val="fr-CA"/>
        </w:rPr>
        <w:t>’</w:t>
      </w:r>
      <w:r w:rsidRPr="00EE22A1">
        <w:rPr>
          <w:rFonts w:cs="Times New Roman"/>
          <w:lang w:val="fr-CA"/>
        </w:rPr>
        <w:t>al. 186(1)</w:t>
      </w:r>
      <w:r w:rsidRPr="00EE22A1">
        <w:rPr>
          <w:rFonts w:cs="Times New Roman"/>
          <w:i/>
          <w:lang w:val="fr-CA"/>
        </w:rPr>
        <w:t>a</w:t>
      </w:r>
      <w:r w:rsidRPr="00EE22A1">
        <w:rPr>
          <w:rFonts w:cs="Times New Roman"/>
          <w:lang w:val="fr-CA"/>
        </w:rPr>
        <w:t xml:space="preserve">) de la </w:t>
      </w:r>
      <w:r w:rsidRPr="00EE22A1">
        <w:rPr>
          <w:rFonts w:cs="Times New Roman"/>
          <w:i/>
          <w:lang w:val="fr-CA"/>
        </w:rPr>
        <w:t>LRTFP. </w:t>
      </w:r>
      <w:r w:rsidRPr="00EE22A1">
        <w:rPr>
          <w:rFonts w:cs="Times New Roman"/>
          <w:lang w:val="fr-CA"/>
        </w:rPr>
        <w:t xml:space="preserve"> La Commission a insisté tout particulièrement sur le fait que les responsabilités syndicales relatives à la tenue d</w:t>
      </w:r>
      <w:r>
        <w:rPr>
          <w:rFonts w:cs="Times New Roman"/>
          <w:lang w:val="fr-CA"/>
        </w:rPr>
        <w:t>’</w:t>
      </w:r>
      <w:r w:rsidRPr="00EE22A1">
        <w:rPr>
          <w:rFonts w:cs="Times New Roman"/>
          <w:lang w:val="fr-CA"/>
        </w:rPr>
        <w:t>un vote de grève (art. 184) et d</w:t>
      </w:r>
      <w:r>
        <w:rPr>
          <w:rFonts w:cs="Times New Roman"/>
          <w:lang w:val="fr-CA"/>
        </w:rPr>
        <w:t>’</w:t>
      </w:r>
      <w:r w:rsidRPr="00EE22A1">
        <w:rPr>
          <w:rFonts w:cs="Times New Roman"/>
          <w:lang w:val="fr-CA"/>
        </w:rPr>
        <w:t>un vote sur les dernières offres de l</w:t>
      </w:r>
      <w:r>
        <w:rPr>
          <w:rFonts w:cs="Times New Roman"/>
          <w:lang w:val="fr-CA"/>
        </w:rPr>
        <w:t>’</w:t>
      </w:r>
      <w:r w:rsidRPr="00EE22A1">
        <w:rPr>
          <w:rFonts w:cs="Times New Roman"/>
          <w:lang w:val="fr-CA"/>
        </w:rPr>
        <w:t>employeur (art. 183) constituaient des « fins de représentation légitimes » justifiant la communication des renseignements personnels du type de ceux demandés par le syndicat.  En tirant cette conclusion, la Commission s</w:t>
      </w:r>
      <w:r>
        <w:rPr>
          <w:rFonts w:cs="Times New Roman"/>
          <w:lang w:val="fr-CA"/>
        </w:rPr>
        <w:t>’</w:t>
      </w:r>
      <w:r w:rsidRPr="00EE22A1">
        <w:rPr>
          <w:rFonts w:cs="Times New Roman"/>
          <w:lang w:val="fr-CA"/>
        </w:rPr>
        <w:t>est fondée sur une jurisprudence abondante selon laquelle l</w:t>
      </w:r>
      <w:r>
        <w:rPr>
          <w:rFonts w:cs="Times New Roman"/>
          <w:lang w:val="fr-CA"/>
        </w:rPr>
        <w:t>’</w:t>
      </w:r>
      <w:r w:rsidRPr="00EE22A1">
        <w:rPr>
          <w:rFonts w:cs="Times New Roman"/>
          <w:lang w:val="fr-CA"/>
        </w:rPr>
        <w:t xml:space="preserve">employeur doit communiquer au syndicat les coordonnées de ses employés pour permettre la réalisation de ces fins : </w:t>
      </w:r>
      <w:proofErr w:type="spellStart"/>
      <w:r w:rsidRPr="00EE22A1">
        <w:rPr>
          <w:rFonts w:cs="Times New Roman"/>
          <w:i/>
          <w:lang w:val="fr-CA"/>
        </w:rPr>
        <w:t>Millcroft</w:t>
      </w:r>
      <w:proofErr w:type="spellEnd"/>
      <w:r w:rsidRPr="00EE22A1">
        <w:rPr>
          <w:rFonts w:cs="Times New Roman"/>
          <w:i/>
          <w:lang w:val="fr-CA"/>
        </w:rPr>
        <w:t xml:space="preserve"> Inn Ltd</w:t>
      </w:r>
      <w:r w:rsidRPr="00EE22A1">
        <w:rPr>
          <w:rFonts w:cs="Times New Roman"/>
          <w:lang w:val="fr-CA"/>
        </w:rPr>
        <w:t xml:space="preserve">. </w:t>
      </w:r>
      <w:r w:rsidRPr="00EE22A1">
        <w:rPr>
          <w:rFonts w:cs="Times New Roman"/>
          <w:i/>
          <w:lang w:val="fr-CA"/>
        </w:rPr>
        <w:t xml:space="preserve">and </w:t>
      </w:r>
      <w:proofErr w:type="spellStart"/>
      <w:r w:rsidRPr="00EE22A1">
        <w:rPr>
          <w:rFonts w:cs="Times New Roman"/>
          <w:i/>
          <w:lang w:val="fr-CA"/>
        </w:rPr>
        <w:t>CAW</w:t>
      </w:r>
      <w:r w:rsidRPr="00EE22A1">
        <w:rPr>
          <w:rFonts w:cs="Times New Roman"/>
          <w:i/>
          <w:lang w:val="fr-CA"/>
        </w:rPr>
        <w:noBreakHyphen/>
        <w:t>Canada</w:t>
      </w:r>
      <w:proofErr w:type="spellEnd"/>
      <w:r w:rsidRPr="00EE22A1">
        <w:rPr>
          <w:rFonts w:cs="Times New Roman"/>
          <w:i/>
          <w:lang w:val="fr-CA"/>
        </w:rPr>
        <w:t xml:space="preserve">, Local 448 </w:t>
      </w:r>
      <w:r w:rsidRPr="00EE22A1">
        <w:rPr>
          <w:rFonts w:cs="Times New Roman"/>
          <w:lang w:val="fr-CA"/>
        </w:rPr>
        <w:t xml:space="preserve">(2000), 63 C.L.R.B.R. (2d) 181 (Ont.) </w:t>
      </w:r>
      <w:r w:rsidRPr="00EE22A1">
        <w:rPr>
          <w:rFonts w:cs="Times New Roman"/>
        </w:rPr>
        <w:t>(« </w:t>
      </w:r>
      <w:proofErr w:type="spellStart"/>
      <w:r w:rsidRPr="00EE22A1">
        <w:rPr>
          <w:rFonts w:cs="Times New Roman"/>
          <w:i/>
        </w:rPr>
        <w:t>Millcroft</w:t>
      </w:r>
      <w:proofErr w:type="spellEnd"/>
      <w:r w:rsidRPr="00EE22A1">
        <w:rPr>
          <w:rFonts w:cs="Times New Roman"/>
        </w:rPr>
        <w:t xml:space="preserve"> »); </w:t>
      </w:r>
      <w:r w:rsidRPr="00EE22A1">
        <w:rPr>
          <w:rFonts w:cs="Times New Roman"/>
          <w:i/>
        </w:rPr>
        <w:t>Monarch Transport Inc</w:t>
      </w:r>
      <w:r>
        <w:rPr>
          <w:rFonts w:cs="Times New Roman"/>
          <w:i/>
        </w:rPr>
        <w:t xml:space="preserve">. </w:t>
      </w:r>
      <w:proofErr w:type="gramStart"/>
      <w:r w:rsidR="004C0C98">
        <w:rPr>
          <w:rFonts w:cs="Times New Roman"/>
          <w:i/>
        </w:rPr>
        <w:t>et</w:t>
      </w:r>
      <w:proofErr w:type="gramEnd"/>
      <w:r w:rsidR="004C0C98">
        <w:rPr>
          <w:rFonts w:cs="Times New Roman"/>
          <w:i/>
        </w:rPr>
        <w:t xml:space="preserve"> </w:t>
      </w:r>
      <w:r w:rsidRPr="00EE22A1">
        <w:rPr>
          <w:rFonts w:cs="Times New Roman"/>
          <w:i/>
        </w:rPr>
        <w:t>Dempsey Freight Systems Ltd.</w:t>
      </w:r>
      <w:r w:rsidRPr="00EE22A1">
        <w:rPr>
          <w:rFonts w:cs="Times New Roman"/>
        </w:rPr>
        <w:t>, 2003 C</w:t>
      </w:r>
      <w:r w:rsidR="004C0C98">
        <w:rPr>
          <w:rFonts w:cs="Times New Roman"/>
        </w:rPr>
        <w:t>CRI</w:t>
      </w:r>
      <w:r w:rsidRPr="00EE22A1">
        <w:rPr>
          <w:rFonts w:cs="Times New Roman"/>
        </w:rPr>
        <w:t xml:space="preserve"> 249 (CanLII); </w:t>
      </w:r>
      <w:r w:rsidRPr="00EE22A1">
        <w:rPr>
          <w:rFonts w:cs="Times New Roman"/>
          <w:i/>
        </w:rPr>
        <w:t>P. Sun</w:t>
      </w:r>
      <w:r>
        <w:rPr>
          <w:rFonts w:cs="Times New Roman"/>
          <w:i/>
        </w:rPr>
        <w:t>’</w:t>
      </w:r>
      <w:r w:rsidRPr="00EE22A1">
        <w:rPr>
          <w:rFonts w:cs="Times New Roman"/>
          <w:i/>
        </w:rPr>
        <w:t>s Enterprises (Vancouver) Ltd. and CAW</w:t>
      </w:r>
      <w:r w:rsidRPr="00EE22A1">
        <w:rPr>
          <w:rFonts w:cs="Times New Roman"/>
          <w:i/>
        </w:rPr>
        <w:noBreakHyphen/>
      </w:r>
      <w:proofErr w:type="spellStart"/>
      <w:r w:rsidRPr="00EE22A1">
        <w:rPr>
          <w:rFonts w:cs="Times New Roman"/>
          <w:i/>
        </w:rPr>
        <w:t>Canada</w:t>
      </w:r>
      <w:proofErr w:type="spellEnd"/>
      <w:r w:rsidRPr="00EE22A1">
        <w:rPr>
          <w:rFonts w:cs="Times New Roman"/>
          <w:i/>
        </w:rPr>
        <w:t>, Local 114</w:t>
      </w:r>
      <w:r w:rsidRPr="00EE22A1">
        <w:rPr>
          <w:rFonts w:cs="Times New Roman"/>
        </w:rPr>
        <w:t xml:space="preserve"> (2003), 99 C.L.R.B.R. (2d) 110 (C.</w:t>
      </w:r>
      <w:r w:rsidRPr="00EE22A1">
        <w:rPr>
          <w:rFonts w:cs="Times New Roman"/>
        </w:rPr>
        <w:noBreakHyphen/>
        <w:t xml:space="preserve">B.). </w:t>
      </w:r>
    </w:p>
    <w:p w:rsidR="00046CA9" w:rsidRPr="00EE22A1" w:rsidRDefault="00046CA9" w:rsidP="00046CA9">
      <w:pPr>
        <w:pStyle w:val="ParaNoNdepar-AltN"/>
        <w:rPr>
          <w:rFonts w:cs="Times New Roman"/>
          <w:lang w:val="fr-CA"/>
        </w:rPr>
      </w:pPr>
      <w:r w:rsidRPr="00EE22A1">
        <w:rPr>
          <w:rFonts w:cs="Times New Roman"/>
          <w:lang w:val="fr-CA"/>
        </w:rPr>
        <w:t>Pour ce qui est de la réparation, la Commission était certes consciente des questions de protection des renseignements personnels soulevées dans l</w:t>
      </w:r>
      <w:r>
        <w:rPr>
          <w:rFonts w:cs="Times New Roman"/>
          <w:lang w:val="fr-CA"/>
        </w:rPr>
        <w:t>’</w:t>
      </w:r>
      <w:r w:rsidRPr="00EE22A1">
        <w:rPr>
          <w:rFonts w:cs="Times New Roman"/>
          <w:lang w:val="fr-CA"/>
        </w:rPr>
        <w:t>opinion du commissaire à la protection de la vie privée et a affirmé qu</w:t>
      </w:r>
      <w:r>
        <w:rPr>
          <w:rFonts w:cs="Times New Roman"/>
          <w:lang w:val="fr-CA"/>
        </w:rPr>
        <w:t>’</w:t>
      </w:r>
      <w:r w:rsidRPr="00EE22A1">
        <w:rPr>
          <w:rFonts w:cs="Times New Roman"/>
          <w:lang w:val="fr-CA"/>
        </w:rPr>
        <w:t>elle n</w:t>
      </w:r>
      <w:r>
        <w:rPr>
          <w:rFonts w:cs="Times New Roman"/>
          <w:lang w:val="fr-CA"/>
        </w:rPr>
        <w:t>’</w:t>
      </w:r>
      <w:r w:rsidRPr="00EE22A1">
        <w:rPr>
          <w:rFonts w:cs="Times New Roman"/>
          <w:lang w:val="fr-CA"/>
        </w:rPr>
        <w:t>avait pas de bases solides pour trancher ces questions.  Elle a donc demandé à obtenir plus de détails relativement à plusieurs questions liées à la protection de la vi</w:t>
      </w:r>
      <w:r w:rsidR="00B30814">
        <w:rPr>
          <w:rFonts w:cs="Times New Roman"/>
          <w:lang w:val="fr-CA"/>
        </w:rPr>
        <w:t>e privée, dont les suivantes : D</w:t>
      </w:r>
      <w:r w:rsidRPr="00EE22A1">
        <w:rPr>
          <w:rFonts w:cs="Times New Roman"/>
          <w:lang w:val="fr-CA"/>
        </w:rPr>
        <w:t xml:space="preserve">e quels renseignements le syndicat </w:t>
      </w:r>
      <w:proofErr w:type="spellStart"/>
      <w:r w:rsidRPr="00EE22A1">
        <w:rPr>
          <w:rFonts w:cs="Times New Roman"/>
          <w:lang w:val="fr-CA"/>
        </w:rPr>
        <w:t>avait</w:t>
      </w:r>
      <w:r w:rsidRPr="00EE22A1">
        <w:rPr>
          <w:rFonts w:cs="Times New Roman"/>
          <w:lang w:val="fr-CA"/>
        </w:rPr>
        <w:noBreakHyphen/>
        <w:t>il</w:t>
      </w:r>
      <w:proofErr w:type="spellEnd"/>
      <w:r w:rsidRPr="00EE22A1">
        <w:rPr>
          <w:rFonts w:cs="Times New Roman"/>
          <w:lang w:val="fr-CA"/>
        </w:rPr>
        <w:t xml:space="preserve"> besoin pour s</w:t>
      </w:r>
      <w:r>
        <w:rPr>
          <w:rFonts w:cs="Times New Roman"/>
          <w:lang w:val="fr-CA"/>
        </w:rPr>
        <w:t>’</w:t>
      </w:r>
      <w:r w:rsidRPr="00EE22A1">
        <w:rPr>
          <w:rFonts w:cs="Times New Roman"/>
          <w:lang w:val="fr-CA"/>
        </w:rPr>
        <w:t>acquitter de ses obligations de représentation? Quelles coordonnées d</w:t>
      </w:r>
      <w:r>
        <w:rPr>
          <w:rFonts w:cs="Times New Roman"/>
          <w:lang w:val="fr-CA"/>
        </w:rPr>
        <w:t>’</w:t>
      </w:r>
      <w:r w:rsidRPr="00EE22A1">
        <w:rPr>
          <w:rFonts w:cs="Times New Roman"/>
          <w:lang w:val="fr-CA"/>
        </w:rPr>
        <w:t>employés l</w:t>
      </w:r>
      <w:r>
        <w:rPr>
          <w:rFonts w:cs="Times New Roman"/>
          <w:lang w:val="fr-CA"/>
        </w:rPr>
        <w:t>’</w:t>
      </w:r>
      <w:r w:rsidRPr="00EE22A1">
        <w:rPr>
          <w:rFonts w:cs="Times New Roman"/>
          <w:lang w:val="fr-CA"/>
        </w:rPr>
        <w:t xml:space="preserve">employeur </w:t>
      </w:r>
      <w:proofErr w:type="spellStart"/>
      <w:r w:rsidRPr="00EE22A1">
        <w:rPr>
          <w:rFonts w:cs="Times New Roman"/>
          <w:lang w:val="fr-CA"/>
        </w:rPr>
        <w:t>avait</w:t>
      </w:r>
      <w:r w:rsidRPr="00EE22A1">
        <w:rPr>
          <w:rFonts w:cs="Times New Roman"/>
          <w:lang w:val="fr-CA"/>
        </w:rPr>
        <w:noBreakHyphen/>
        <w:t>il</w:t>
      </w:r>
      <w:proofErr w:type="spellEnd"/>
      <w:r w:rsidRPr="00EE22A1">
        <w:rPr>
          <w:rFonts w:cs="Times New Roman"/>
          <w:lang w:val="fr-CA"/>
        </w:rPr>
        <w:t xml:space="preserve"> en sa possession et qu</w:t>
      </w:r>
      <w:r>
        <w:rPr>
          <w:rFonts w:cs="Times New Roman"/>
          <w:lang w:val="fr-CA"/>
        </w:rPr>
        <w:t>’</w:t>
      </w:r>
      <w:r w:rsidRPr="00EE22A1">
        <w:rPr>
          <w:rFonts w:cs="Times New Roman"/>
          <w:lang w:val="fr-CA"/>
        </w:rPr>
        <w:t xml:space="preserve">en </w:t>
      </w:r>
      <w:proofErr w:type="spellStart"/>
      <w:r w:rsidRPr="00EE22A1">
        <w:rPr>
          <w:rFonts w:cs="Times New Roman"/>
          <w:lang w:val="fr-CA"/>
        </w:rPr>
        <w:t>était</w:t>
      </w:r>
      <w:r w:rsidRPr="00EE22A1">
        <w:rPr>
          <w:rFonts w:cs="Times New Roman"/>
          <w:lang w:val="fr-CA"/>
        </w:rPr>
        <w:noBreakHyphen/>
        <w:t>il</w:t>
      </w:r>
      <w:proofErr w:type="spellEnd"/>
      <w:r w:rsidRPr="00EE22A1">
        <w:rPr>
          <w:rFonts w:cs="Times New Roman"/>
          <w:lang w:val="fr-CA"/>
        </w:rPr>
        <w:t xml:space="preserve"> de leur exactitude?  L</w:t>
      </w:r>
      <w:r>
        <w:rPr>
          <w:rFonts w:cs="Times New Roman"/>
          <w:lang w:val="fr-CA"/>
        </w:rPr>
        <w:t>’</w:t>
      </w:r>
      <w:r w:rsidRPr="00EE22A1">
        <w:rPr>
          <w:rFonts w:cs="Times New Roman"/>
          <w:lang w:val="fr-CA"/>
        </w:rPr>
        <w:t xml:space="preserve">employeur </w:t>
      </w:r>
      <w:proofErr w:type="spellStart"/>
      <w:r w:rsidRPr="00EE22A1">
        <w:rPr>
          <w:rFonts w:cs="Times New Roman"/>
          <w:lang w:val="fr-CA"/>
        </w:rPr>
        <w:t>pouvait</w:t>
      </w:r>
      <w:r w:rsidRPr="00EE22A1">
        <w:rPr>
          <w:rFonts w:cs="Times New Roman"/>
          <w:lang w:val="fr-CA"/>
        </w:rPr>
        <w:noBreakHyphen/>
        <w:t>il</w:t>
      </w:r>
      <w:proofErr w:type="spellEnd"/>
      <w:r w:rsidRPr="00EE22A1">
        <w:rPr>
          <w:rFonts w:cs="Times New Roman"/>
          <w:lang w:val="fr-CA"/>
        </w:rPr>
        <w:t xml:space="preserve"> satisfaire à son obligation de fournir ces renseignements d</w:t>
      </w:r>
      <w:r>
        <w:rPr>
          <w:rFonts w:cs="Times New Roman"/>
          <w:lang w:val="fr-CA"/>
        </w:rPr>
        <w:t>’</w:t>
      </w:r>
      <w:r w:rsidRPr="00EE22A1">
        <w:rPr>
          <w:rFonts w:cs="Times New Roman"/>
          <w:lang w:val="fr-CA"/>
        </w:rPr>
        <w:t>une façon qui répond</w:t>
      </w:r>
      <w:r w:rsidR="00B30814">
        <w:rPr>
          <w:rFonts w:cs="Times New Roman"/>
          <w:lang w:val="fr-CA"/>
        </w:rPr>
        <w:t>e</w:t>
      </w:r>
      <w:r w:rsidRPr="00EE22A1">
        <w:rPr>
          <w:rFonts w:cs="Times New Roman"/>
          <w:lang w:val="fr-CA"/>
        </w:rPr>
        <w:t xml:space="preserve"> </w:t>
      </w:r>
      <w:r w:rsidRPr="00EE22A1">
        <w:rPr>
          <w:rFonts w:cs="Times New Roman"/>
          <w:lang w:val="fr-CA"/>
        </w:rPr>
        <w:lastRenderedPageBreak/>
        <w:t>raisonnablement à toutes les préoccupations susceptibles d</w:t>
      </w:r>
      <w:r>
        <w:rPr>
          <w:rFonts w:cs="Times New Roman"/>
          <w:lang w:val="fr-CA"/>
        </w:rPr>
        <w:t>’</w:t>
      </w:r>
      <w:r w:rsidRPr="00EE22A1">
        <w:rPr>
          <w:rFonts w:cs="Times New Roman"/>
          <w:lang w:val="fr-CA"/>
        </w:rPr>
        <w:t xml:space="preserve">être soulevées sous le régime de la </w:t>
      </w:r>
      <w:r w:rsidRPr="00EE22A1">
        <w:rPr>
          <w:rFonts w:cs="Times New Roman"/>
          <w:i/>
          <w:lang w:val="fr-CA"/>
        </w:rPr>
        <w:t>LPRP</w:t>
      </w:r>
      <w:r w:rsidRPr="00EE22A1">
        <w:rPr>
          <w:rFonts w:cs="Times New Roman"/>
          <w:lang w:val="fr-CA"/>
        </w:rPr>
        <w:t>?  La Commission a ordonné aux parties de se consulter pour qu</w:t>
      </w:r>
      <w:r>
        <w:rPr>
          <w:rFonts w:cs="Times New Roman"/>
          <w:lang w:val="fr-CA"/>
        </w:rPr>
        <w:t>’</w:t>
      </w:r>
      <w:r w:rsidRPr="00EE22A1">
        <w:rPr>
          <w:rFonts w:cs="Times New Roman"/>
          <w:lang w:val="fr-CA"/>
        </w:rPr>
        <w:t>elles déterminent si elles pouvaient s</w:t>
      </w:r>
      <w:r>
        <w:rPr>
          <w:rFonts w:cs="Times New Roman"/>
          <w:lang w:val="fr-CA"/>
        </w:rPr>
        <w:t>’</w:t>
      </w:r>
      <w:r w:rsidRPr="00EE22A1">
        <w:rPr>
          <w:rFonts w:cs="Times New Roman"/>
          <w:lang w:val="fr-CA"/>
        </w:rPr>
        <w:t xml:space="preserve">entendre sur les modalités de la communication, faute de quoi elle tiendrait une nouvelle audience pour examiner la question de la réparation.   </w:t>
      </w:r>
    </w:p>
    <w:p w:rsidR="00046CA9" w:rsidRPr="00EE22A1" w:rsidRDefault="00046CA9" w:rsidP="00046CA9">
      <w:pPr>
        <w:pStyle w:val="ParaNoNdepar-AltN"/>
        <w:rPr>
          <w:rFonts w:cs="Times New Roman"/>
          <w:lang w:val="fr-CA"/>
        </w:rPr>
      </w:pPr>
      <w:r w:rsidRPr="00EE22A1">
        <w:rPr>
          <w:rFonts w:cs="Times New Roman"/>
          <w:lang w:val="fr-CA"/>
        </w:rPr>
        <w:t>Les parties sont bel et bien parvenues à une entente au sujet de la réparation et ont remis à la Commission un projet d</w:t>
      </w:r>
      <w:r>
        <w:rPr>
          <w:rFonts w:cs="Times New Roman"/>
          <w:lang w:val="fr-CA"/>
        </w:rPr>
        <w:t>’</w:t>
      </w:r>
      <w:r w:rsidRPr="00EE22A1">
        <w:rPr>
          <w:rFonts w:cs="Times New Roman"/>
          <w:lang w:val="fr-CA"/>
        </w:rPr>
        <w:t>ordonnance sur consentement</w:t>
      </w:r>
      <w:r w:rsidR="00B30814">
        <w:rPr>
          <w:rFonts w:cs="Times New Roman"/>
          <w:lang w:val="fr-CA"/>
        </w:rPr>
        <w:t xml:space="preserve">, </w:t>
      </w:r>
      <w:r w:rsidRPr="00EE22A1">
        <w:rPr>
          <w:rFonts w:cs="Times New Roman"/>
          <w:lang w:val="fr-CA"/>
        </w:rPr>
        <w:t xml:space="preserve">que </w:t>
      </w:r>
      <w:proofErr w:type="spellStart"/>
      <w:r w:rsidRPr="00EE22A1">
        <w:rPr>
          <w:rFonts w:cs="Times New Roman"/>
          <w:lang w:val="fr-CA"/>
        </w:rPr>
        <w:t>celle</w:t>
      </w:r>
      <w:r w:rsidRPr="00EE22A1">
        <w:rPr>
          <w:rFonts w:cs="Times New Roman"/>
          <w:lang w:val="fr-CA"/>
        </w:rPr>
        <w:noBreakHyphen/>
        <w:t>ci</w:t>
      </w:r>
      <w:proofErr w:type="spellEnd"/>
      <w:r w:rsidRPr="00EE22A1">
        <w:rPr>
          <w:rFonts w:cs="Times New Roman"/>
          <w:lang w:val="fr-CA"/>
        </w:rPr>
        <w:t xml:space="preserve"> a intégré à une ordonnance rendue le 18 juillet 2008. </w:t>
      </w:r>
    </w:p>
    <w:p w:rsidR="00046CA9" w:rsidRPr="00EE22A1" w:rsidRDefault="00046CA9" w:rsidP="00046CA9">
      <w:pPr>
        <w:pStyle w:val="ParaNoNdepar-AltN"/>
        <w:rPr>
          <w:rFonts w:cs="Times New Roman"/>
          <w:lang w:val="fr-CA"/>
        </w:rPr>
      </w:pPr>
      <w:r w:rsidRPr="00EE22A1">
        <w:rPr>
          <w:rFonts w:cs="Times New Roman"/>
          <w:lang w:val="fr-CA"/>
        </w:rPr>
        <w:t>Aux termes de l</w:t>
      </w:r>
      <w:r>
        <w:rPr>
          <w:rFonts w:cs="Times New Roman"/>
          <w:lang w:val="fr-CA"/>
        </w:rPr>
        <w:t>’</w:t>
      </w:r>
      <w:r w:rsidRPr="00EE22A1">
        <w:rPr>
          <w:rFonts w:cs="Times New Roman"/>
          <w:lang w:val="fr-CA"/>
        </w:rPr>
        <w:t>entente, l</w:t>
      </w:r>
      <w:r>
        <w:rPr>
          <w:rFonts w:cs="Times New Roman"/>
          <w:lang w:val="fr-CA"/>
        </w:rPr>
        <w:t>’</w:t>
      </w:r>
      <w:r w:rsidRPr="00EE22A1">
        <w:rPr>
          <w:rFonts w:cs="Times New Roman"/>
          <w:lang w:val="fr-CA"/>
        </w:rPr>
        <w:t>employeur devait, sous réserve de certaines conditions — toutes liées à la sécurité et au caractère privé des renseignements en cause —, communiquer tous les trimestres au syndicat les adresses postales et les numéros de téléphone à domicile des membres de l</w:t>
      </w:r>
      <w:r>
        <w:rPr>
          <w:rFonts w:cs="Times New Roman"/>
          <w:lang w:val="fr-CA"/>
        </w:rPr>
        <w:t>’</w:t>
      </w:r>
      <w:r w:rsidRPr="00EE22A1">
        <w:rPr>
          <w:rFonts w:cs="Times New Roman"/>
          <w:lang w:val="fr-CA"/>
        </w:rPr>
        <w:t>unité de négociation.  Le syndicat reconnaissait [</w:t>
      </w:r>
      <w:r w:rsidRPr="00EE22A1">
        <w:rPr>
          <w:rFonts w:cs="Times New Roman"/>
          <w:smallCaps/>
          <w:lang w:val="fr-CA"/>
        </w:rPr>
        <w:t>traduction</w:t>
      </w:r>
      <w:r w:rsidRPr="00EE22A1">
        <w:rPr>
          <w:rFonts w:cs="Times New Roman"/>
          <w:lang w:val="fr-CA"/>
        </w:rPr>
        <w:t>] « la nature délicate des renseignements communiqués » et s</w:t>
      </w:r>
      <w:r>
        <w:rPr>
          <w:rFonts w:cs="Times New Roman"/>
          <w:lang w:val="fr-CA"/>
        </w:rPr>
        <w:t>’</w:t>
      </w:r>
      <w:r w:rsidRPr="00EE22A1">
        <w:rPr>
          <w:rFonts w:cs="Times New Roman"/>
          <w:lang w:val="fr-CA"/>
        </w:rPr>
        <w:t>engageait dans l</w:t>
      </w:r>
      <w:r>
        <w:rPr>
          <w:rFonts w:cs="Times New Roman"/>
          <w:lang w:val="fr-CA"/>
        </w:rPr>
        <w:t>’</w:t>
      </w:r>
      <w:r w:rsidRPr="00EE22A1">
        <w:rPr>
          <w:rFonts w:cs="Times New Roman"/>
          <w:lang w:val="fr-CA"/>
        </w:rPr>
        <w:t>entente à « veiller à mettre en place des mesures efficaces de contrôle de gestion et de surveillance permanente de ces renseignements ».  Plus particulièrement, il s</w:t>
      </w:r>
      <w:r>
        <w:rPr>
          <w:rFonts w:cs="Times New Roman"/>
          <w:lang w:val="fr-CA"/>
        </w:rPr>
        <w:t>’</w:t>
      </w:r>
      <w:r w:rsidRPr="00EE22A1">
        <w:rPr>
          <w:rFonts w:cs="Times New Roman"/>
          <w:lang w:val="fr-CA"/>
        </w:rPr>
        <w:t>engageait à ne communiquer ces renseignements qu</w:t>
      </w:r>
      <w:r>
        <w:rPr>
          <w:rFonts w:cs="Times New Roman"/>
          <w:lang w:val="fr-CA"/>
        </w:rPr>
        <w:t>’</w:t>
      </w:r>
      <w:r w:rsidRPr="00EE22A1">
        <w:rPr>
          <w:rFonts w:cs="Times New Roman"/>
          <w:lang w:val="fr-CA"/>
        </w:rPr>
        <w:t>aux représentants syndicaux autorisés; à ne pas les utiliser, les copier ou les compiler à d</w:t>
      </w:r>
      <w:r>
        <w:rPr>
          <w:rFonts w:cs="Times New Roman"/>
          <w:lang w:val="fr-CA"/>
        </w:rPr>
        <w:t>’</w:t>
      </w:r>
      <w:r w:rsidRPr="00EE22A1">
        <w:rPr>
          <w:rFonts w:cs="Times New Roman"/>
          <w:lang w:val="fr-CA"/>
        </w:rPr>
        <w:t>autres fins; et à s</w:t>
      </w:r>
      <w:r>
        <w:rPr>
          <w:rFonts w:cs="Times New Roman"/>
          <w:lang w:val="fr-CA"/>
        </w:rPr>
        <w:t>’</w:t>
      </w:r>
      <w:r w:rsidRPr="00EE22A1">
        <w:rPr>
          <w:rFonts w:cs="Times New Roman"/>
          <w:lang w:val="fr-CA"/>
        </w:rPr>
        <w:t>assurer que les personnes y ayant accès se conforment à toutes les dispositions de l</w:t>
      </w:r>
      <w:r>
        <w:rPr>
          <w:rFonts w:cs="Times New Roman"/>
          <w:lang w:val="fr-CA"/>
        </w:rPr>
        <w:t>’</w:t>
      </w:r>
      <w:r w:rsidRPr="00EE22A1">
        <w:rPr>
          <w:rFonts w:cs="Times New Roman"/>
          <w:lang w:val="fr-CA"/>
        </w:rPr>
        <w:t xml:space="preserve">entente. </w:t>
      </w:r>
    </w:p>
    <w:p w:rsidR="00046CA9" w:rsidRPr="00EE22A1" w:rsidRDefault="00046CA9" w:rsidP="00046CA9">
      <w:pPr>
        <w:pStyle w:val="ParaNoNdepar-AltN"/>
        <w:rPr>
          <w:rFonts w:cs="Times New Roman"/>
          <w:lang w:val="fr-CA"/>
        </w:rPr>
      </w:pPr>
      <w:r w:rsidRPr="00EE22A1">
        <w:rPr>
          <w:rFonts w:cs="Times New Roman"/>
          <w:lang w:val="fr-CA"/>
        </w:rPr>
        <w:t>L</w:t>
      </w:r>
      <w:r>
        <w:rPr>
          <w:rFonts w:cs="Times New Roman"/>
          <w:lang w:val="fr-CA"/>
        </w:rPr>
        <w:t>’</w:t>
      </w:r>
      <w:r w:rsidRPr="00EE22A1">
        <w:rPr>
          <w:rFonts w:cs="Times New Roman"/>
          <w:lang w:val="fr-CA"/>
        </w:rPr>
        <w:t>employeur et le syndicat ont également convenu d</w:t>
      </w:r>
      <w:r>
        <w:rPr>
          <w:rFonts w:cs="Times New Roman"/>
          <w:lang w:val="fr-CA"/>
        </w:rPr>
        <w:t>’</w:t>
      </w:r>
      <w:r w:rsidRPr="00EE22A1">
        <w:rPr>
          <w:rFonts w:cs="Times New Roman"/>
          <w:lang w:val="fr-CA"/>
        </w:rPr>
        <w:t xml:space="preserve">aviser les employés, préalablement et de façon conjointe, des renseignements qui seraient communiqués; </w:t>
      </w:r>
      <w:r w:rsidRPr="00EE22A1">
        <w:rPr>
          <w:rFonts w:cs="Times New Roman"/>
          <w:lang w:val="fr-CA"/>
        </w:rPr>
        <w:lastRenderedPageBreak/>
        <w:t>ils se sont aussi entendus sur le texte de cet avis.  Le 16 octobre 2008, un courriel a donc été envoyé à tous les membres de l</w:t>
      </w:r>
      <w:r>
        <w:rPr>
          <w:rFonts w:cs="Times New Roman"/>
          <w:lang w:val="fr-CA"/>
        </w:rPr>
        <w:t>’</w:t>
      </w:r>
      <w:r w:rsidRPr="00EE22A1">
        <w:rPr>
          <w:rFonts w:cs="Times New Roman"/>
          <w:lang w:val="fr-CA"/>
        </w:rPr>
        <w:t>unité de négociation, y compris à M</w:t>
      </w:r>
      <w:r w:rsidRPr="00EE22A1">
        <w:rPr>
          <w:rFonts w:cs="Times New Roman"/>
          <w:vertAlign w:val="superscript"/>
          <w:lang w:val="fr-CA"/>
        </w:rPr>
        <w:t>me</w:t>
      </w:r>
      <w:r w:rsidRPr="00EE22A1">
        <w:rPr>
          <w:rFonts w:cs="Times New Roman"/>
          <w:lang w:val="fr-CA"/>
        </w:rPr>
        <w:t> Bernard, qui a répondu par une demande de contrôle judiciaire de l</w:t>
      </w:r>
      <w:r>
        <w:rPr>
          <w:rFonts w:cs="Times New Roman"/>
          <w:lang w:val="fr-CA"/>
        </w:rPr>
        <w:t>’</w:t>
      </w:r>
      <w:r w:rsidRPr="00EE22A1">
        <w:rPr>
          <w:rFonts w:cs="Times New Roman"/>
          <w:lang w:val="fr-CA"/>
        </w:rPr>
        <w:t>ordonnance sur consentement.  Elle y soulevait les arguments suivants </w:t>
      </w:r>
      <w:r w:rsidR="00B30814">
        <w:rPr>
          <w:rFonts w:cs="Times New Roman"/>
          <w:lang w:val="fr-CA"/>
        </w:rPr>
        <w:t xml:space="preserve">: </w:t>
      </w:r>
      <w:r w:rsidRPr="00EE22A1">
        <w:rPr>
          <w:rFonts w:cs="Times New Roman"/>
          <w:lang w:val="fr-CA"/>
        </w:rPr>
        <w:t>a) l</w:t>
      </w:r>
      <w:r>
        <w:rPr>
          <w:rFonts w:cs="Times New Roman"/>
          <w:lang w:val="fr-CA"/>
        </w:rPr>
        <w:t>’</w:t>
      </w:r>
      <w:r w:rsidRPr="00EE22A1">
        <w:rPr>
          <w:rFonts w:cs="Times New Roman"/>
          <w:lang w:val="fr-CA"/>
        </w:rPr>
        <w:t>ordonnance de la Commission enjoignant à l</w:t>
      </w:r>
      <w:r>
        <w:rPr>
          <w:rFonts w:cs="Times New Roman"/>
          <w:lang w:val="fr-CA"/>
        </w:rPr>
        <w:t>’</w:t>
      </w:r>
      <w:r w:rsidRPr="00EE22A1">
        <w:rPr>
          <w:rFonts w:cs="Times New Roman"/>
          <w:lang w:val="fr-CA"/>
        </w:rPr>
        <w:t xml:space="preserve">employeur de communiquer ses renseignements personnels sans son consentement obligeait ce dernier à contrevenir à la </w:t>
      </w:r>
      <w:r w:rsidRPr="00EE22A1">
        <w:rPr>
          <w:rFonts w:cs="Times New Roman"/>
          <w:i/>
          <w:lang w:val="fr-CA"/>
        </w:rPr>
        <w:t>LPRP</w:t>
      </w:r>
      <w:r w:rsidR="00D037F0">
        <w:rPr>
          <w:rFonts w:cs="Times New Roman"/>
          <w:lang w:val="fr-CA"/>
        </w:rPr>
        <w:t xml:space="preserve">; </w:t>
      </w:r>
      <w:r w:rsidRPr="00EE22A1">
        <w:rPr>
          <w:rFonts w:cs="Times New Roman"/>
          <w:lang w:val="fr-CA"/>
        </w:rPr>
        <w:t>b) la Commission devait s</w:t>
      </w:r>
      <w:r>
        <w:rPr>
          <w:rFonts w:cs="Times New Roman"/>
          <w:lang w:val="fr-CA"/>
        </w:rPr>
        <w:t>’</w:t>
      </w:r>
      <w:r w:rsidRPr="00EE22A1">
        <w:rPr>
          <w:rFonts w:cs="Times New Roman"/>
          <w:lang w:val="fr-CA"/>
        </w:rPr>
        <w:t xml:space="preserve">en remettre au Commissariat à la protection de la vie privée et, plus particulièrement, à la façon dont </w:t>
      </w:r>
      <w:proofErr w:type="spellStart"/>
      <w:r w:rsidRPr="00EE22A1">
        <w:rPr>
          <w:rFonts w:cs="Times New Roman"/>
          <w:lang w:val="fr-CA"/>
        </w:rPr>
        <w:t>celui</w:t>
      </w:r>
      <w:r w:rsidRPr="00EE22A1">
        <w:rPr>
          <w:rFonts w:cs="Times New Roman"/>
          <w:lang w:val="fr-CA"/>
        </w:rPr>
        <w:noBreakHyphen/>
        <w:t>ci</w:t>
      </w:r>
      <w:proofErr w:type="spellEnd"/>
      <w:r w:rsidRPr="00EE22A1">
        <w:rPr>
          <w:rFonts w:cs="Times New Roman"/>
          <w:lang w:val="fr-CA"/>
        </w:rPr>
        <w:t xml:space="preserve"> s</w:t>
      </w:r>
      <w:r>
        <w:rPr>
          <w:rFonts w:cs="Times New Roman"/>
          <w:lang w:val="fr-CA"/>
        </w:rPr>
        <w:t>’</w:t>
      </w:r>
      <w:r w:rsidRPr="00EE22A1">
        <w:rPr>
          <w:rFonts w:cs="Times New Roman"/>
          <w:lang w:val="fr-CA"/>
        </w:rPr>
        <w:t>était pr</w:t>
      </w:r>
      <w:r w:rsidR="00D037F0">
        <w:rPr>
          <w:rFonts w:cs="Times New Roman"/>
          <w:lang w:val="fr-CA"/>
        </w:rPr>
        <w:t xml:space="preserve">ononcé sur sa plainte en 1993; </w:t>
      </w:r>
      <w:r w:rsidRPr="00EE22A1">
        <w:rPr>
          <w:rFonts w:cs="Times New Roman"/>
          <w:lang w:val="fr-CA"/>
        </w:rPr>
        <w:t>c) on aurait dû l</w:t>
      </w:r>
      <w:r>
        <w:rPr>
          <w:rFonts w:cs="Times New Roman"/>
          <w:lang w:val="fr-CA"/>
        </w:rPr>
        <w:t>’</w:t>
      </w:r>
      <w:r w:rsidRPr="00EE22A1">
        <w:rPr>
          <w:rFonts w:cs="Times New Roman"/>
          <w:lang w:val="fr-CA"/>
        </w:rPr>
        <w:t>aviser de l</w:t>
      </w:r>
      <w:r>
        <w:rPr>
          <w:rFonts w:cs="Times New Roman"/>
          <w:lang w:val="fr-CA"/>
        </w:rPr>
        <w:t>’</w:t>
      </w:r>
      <w:r w:rsidRPr="00EE22A1">
        <w:rPr>
          <w:rFonts w:cs="Times New Roman"/>
          <w:lang w:val="fr-CA"/>
        </w:rPr>
        <w:t>instance introduite devant la Commission; et d) l</w:t>
      </w:r>
      <w:r>
        <w:rPr>
          <w:rFonts w:cs="Times New Roman"/>
          <w:lang w:val="fr-CA"/>
        </w:rPr>
        <w:t>’</w:t>
      </w:r>
      <w:r w:rsidRPr="00EE22A1">
        <w:rPr>
          <w:rFonts w:cs="Times New Roman"/>
          <w:lang w:val="fr-CA"/>
        </w:rPr>
        <w:t xml:space="preserve">ordonnance de la Commission portait atteinte à son droit garanti par la </w:t>
      </w:r>
      <w:r w:rsidRPr="00EE22A1">
        <w:rPr>
          <w:rFonts w:cs="Times New Roman"/>
          <w:i/>
          <w:lang w:val="fr-CA"/>
        </w:rPr>
        <w:t>Charte</w:t>
      </w:r>
      <w:r w:rsidRPr="00EE22A1">
        <w:rPr>
          <w:rFonts w:cs="Times New Roman"/>
          <w:lang w:val="fr-CA"/>
        </w:rPr>
        <w:t xml:space="preserve"> de ne pas s</w:t>
      </w:r>
      <w:r>
        <w:rPr>
          <w:rFonts w:cs="Times New Roman"/>
          <w:lang w:val="fr-CA"/>
        </w:rPr>
        <w:t>’</w:t>
      </w:r>
      <w:r w:rsidRPr="00EE22A1">
        <w:rPr>
          <w:rFonts w:cs="Times New Roman"/>
          <w:lang w:val="fr-CA"/>
        </w:rPr>
        <w:t xml:space="preserve">associer au syndicat.  </w:t>
      </w:r>
    </w:p>
    <w:p w:rsidR="00046CA9" w:rsidRPr="00EE22A1" w:rsidRDefault="00046CA9" w:rsidP="00046CA9">
      <w:pPr>
        <w:pStyle w:val="ParaNoNdepar-AltN"/>
        <w:rPr>
          <w:rFonts w:cs="Times New Roman"/>
          <w:lang w:val="fr-CA"/>
        </w:rPr>
      </w:pPr>
      <w:r w:rsidRPr="00EE22A1">
        <w:rPr>
          <w:rFonts w:cs="Times New Roman"/>
          <w:lang w:val="fr-CA"/>
        </w:rPr>
        <w:t>La Cour d</w:t>
      </w:r>
      <w:r>
        <w:rPr>
          <w:rFonts w:cs="Times New Roman"/>
          <w:lang w:val="fr-CA"/>
        </w:rPr>
        <w:t>’</w:t>
      </w:r>
      <w:r w:rsidRPr="00EE22A1">
        <w:rPr>
          <w:rFonts w:cs="Times New Roman"/>
          <w:lang w:val="fr-CA"/>
        </w:rPr>
        <w:t>appel fédérale (le juge en chef Blais et les juges Pelletier et Trudel) a confirmé qu</w:t>
      </w:r>
      <w:r>
        <w:rPr>
          <w:rFonts w:cs="Times New Roman"/>
          <w:lang w:val="fr-CA"/>
        </w:rPr>
        <w:t>’</w:t>
      </w:r>
      <w:r w:rsidRPr="00EE22A1">
        <w:rPr>
          <w:rFonts w:cs="Times New Roman"/>
          <w:lang w:val="fr-CA"/>
        </w:rPr>
        <w:t xml:space="preserve">« une partie » des coordonnées des employés devait être communiquée aux termes de la décision initiale rendue par la Commission, laquelle, </w:t>
      </w:r>
      <w:proofErr w:type="spellStart"/>
      <w:r w:rsidRPr="00EE22A1">
        <w:rPr>
          <w:rFonts w:cs="Times New Roman"/>
          <w:lang w:val="fr-CA"/>
        </w:rPr>
        <w:t>a</w:t>
      </w:r>
      <w:r w:rsidRPr="00EE22A1">
        <w:rPr>
          <w:rFonts w:cs="Times New Roman"/>
          <w:lang w:val="fr-CA"/>
        </w:rPr>
        <w:noBreakHyphen/>
        <w:t>t</w:t>
      </w:r>
      <w:r w:rsidRPr="00EE22A1">
        <w:rPr>
          <w:rFonts w:cs="Times New Roman"/>
          <w:lang w:val="fr-CA"/>
        </w:rPr>
        <w:noBreakHyphen/>
        <w:t>elle</w:t>
      </w:r>
      <w:proofErr w:type="spellEnd"/>
      <w:r w:rsidRPr="00EE22A1">
        <w:rPr>
          <w:rFonts w:cs="Times New Roman"/>
          <w:lang w:val="fr-CA"/>
        </w:rPr>
        <w:t xml:space="preserve"> souligné, n</w:t>
      </w:r>
      <w:r>
        <w:rPr>
          <w:rFonts w:cs="Times New Roman"/>
          <w:lang w:val="fr-CA"/>
        </w:rPr>
        <w:t>’</w:t>
      </w:r>
      <w:r w:rsidRPr="00EE22A1">
        <w:rPr>
          <w:rFonts w:cs="Times New Roman"/>
          <w:lang w:val="fr-CA"/>
        </w:rPr>
        <w:t>était pas visée par le contrôle judiciaire.  La décision de la Commission selon laquelle le défaut de communiquer de tels renseignements constituait une ingérence dans l</w:t>
      </w:r>
      <w:r>
        <w:rPr>
          <w:rFonts w:cs="Times New Roman"/>
          <w:lang w:val="fr-CA"/>
        </w:rPr>
        <w:t>’</w:t>
      </w:r>
      <w:r w:rsidRPr="00EE22A1">
        <w:rPr>
          <w:rFonts w:cs="Times New Roman"/>
          <w:lang w:val="fr-CA"/>
        </w:rPr>
        <w:t>administration du syndicat n</w:t>
      </w:r>
      <w:r>
        <w:rPr>
          <w:rFonts w:cs="Times New Roman"/>
          <w:lang w:val="fr-CA"/>
        </w:rPr>
        <w:t>’</w:t>
      </w:r>
      <w:r w:rsidRPr="00EE22A1">
        <w:rPr>
          <w:rFonts w:cs="Times New Roman"/>
          <w:lang w:val="fr-CA"/>
        </w:rPr>
        <w:t>était pas non plus assujettie à ce contrôle.  La question en litige portait plutôt « </w:t>
      </w:r>
      <w:r w:rsidR="00D037F0" w:rsidRPr="00EE22A1">
        <w:rPr>
          <w:rFonts w:cs="Times New Roman"/>
          <w:lang w:val="fr-CA"/>
        </w:rPr>
        <w:t xml:space="preserve">sur </w:t>
      </w:r>
      <w:r w:rsidRPr="00EE22A1">
        <w:rPr>
          <w:rFonts w:cs="Times New Roman"/>
          <w:lang w:val="fr-CA"/>
        </w:rPr>
        <w:t>la nature des renseignements devant être fournis et sur les circonstances en vertu desquelles ils doivent l</w:t>
      </w:r>
      <w:r>
        <w:rPr>
          <w:rFonts w:cs="Times New Roman"/>
          <w:lang w:val="fr-CA"/>
        </w:rPr>
        <w:t>’</w:t>
      </w:r>
      <w:r w:rsidRPr="00EE22A1">
        <w:rPr>
          <w:rFonts w:cs="Times New Roman"/>
          <w:lang w:val="fr-CA"/>
        </w:rPr>
        <w:t xml:space="preserve">être ».  </w:t>
      </w:r>
    </w:p>
    <w:p w:rsidR="00046CA9" w:rsidRPr="00EE22A1" w:rsidRDefault="00046CA9" w:rsidP="00046CA9">
      <w:pPr>
        <w:pStyle w:val="ParaNoNdepar-AltN"/>
        <w:rPr>
          <w:rFonts w:cs="Times New Roman"/>
          <w:lang w:val="fr-CA"/>
        </w:rPr>
      </w:pPr>
      <w:r w:rsidRPr="00EE22A1">
        <w:rPr>
          <w:rFonts w:cs="Times New Roman"/>
          <w:lang w:val="fr-CA"/>
        </w:rPr>
        <w:t>Selon la Cour d</w:t>
      </w:r>
      <w:r>
        <w:rPr>
          <w:rFonts w:cs="Times New Roman"/>
          <w:lang w:val="fr-CA"/>
        </w:rPr>
        <w:t>’</w:t>
      </w:r>
      <w:r w:rsidRPr="00EE22A1">
        <w:rPr>
          <w:rFonts w:cs="Times New Roman"/>
          <w:lang w:val="fr-CA"/>
        </w:rPr>
        <w:t>appel fédérale, au lieu de simplement adopter l</w:t>
      </w:r>
      <w:r>
        <w:rPr>
          <w:rFonts w:cs="Times New Roman"/>
          <w:lang w:val="fr-CA"/>
        </w:rPr>
        <w:t>’</w:t>
      </w:r>
      <w:r w:rsidRPr="00EE22A1">
        <w:rPr>
          <w:rFonts w:cs="Times New Roman"/>
          <w:lang w:val="fr-CA"/>
        </w:rPr>
        <w:t>accord conclu par les parties, la Commission aurait dû examiner l</w:t>
      </w:r>
      <w:r>
        <w:rPr>
          <w:rFonts w:cs="Times New Roman"/>
          <w:lang w:val="fr-CA"/>
        </w:rPr>
        <w:t>’</w:t>
      </w:r>
      <w:r w:rsidRPr="00EE22A1">
        <w:rPr>
          <w:rFonts w:cs="Times New Roman"/>
          <w:lang w:val="fr-CA"/>
        </w:rPr>
        <w:t xml:space="preserve">application de la </w:t>
      </w:r>
      <w:r w:rsidRPr="00EE22A1">
        <w:rPr>
          <w:rFonts w:cs="Times New Roman"/>
          <w:i/>
          <w:lang w:val="fr-CA"/>
        </w:rPr>
        <w:t>LPRP</w:t>
      </w:r>
      <w:r w:rsidRPr="00EE22A1">
        <w:rPr>
          <w:rFonts w:cs="Times New Roman"/>
          <w:lang w:val="fr-CA"/>
        </w:rPr>
        <w:t xml:space="preserve"> à </w:t>
      </w:r>
      <w:r w:rsidRPr="00EE22A1">
        <w:rPr>
          <w:rFonts w:cs="Times New Roman"/>
          <w:lang w:val="fr-CA"/>
        </w:rPr>
        <w:lastRenderedPageBreak/>
        <w:t xml:space="preserve">la communication des coordonnées résidentielles sous le régime de la </w:t>
      </w:r>
      <w:r w:rsidRPr="00EE22A1">
        <w:rPr>
          <w:rFonts w:cs="Times New Roman"/>
          <w:i/>
          <w:lang w:val="fr-CA"/>
        </w:rPr>
        <w:t>LRTFP</w:t>
      </w:r>
      <w:r w:rsidRPr="008450AC">
        <w:rPr>
          <w:rFonts w:cs="Times New Roman"/>
          <w:lang w:val="fr-CA"/>
        </w:rPr>
        <w:t>.</w:t>
      </w:r>
      <w:r w:rsidRPr="00EE22A1">
        <w:rPr>
          <w:rFonts w:cs="Times New Roman"/>
          <w:i/>
          <w:lang w:val="fr-CA"/>
        </w:rPr>
        <w:t xml:space="preserve"> </w:t>
      </w:r>
      <w:r w:rsidRPr="00EE22A1">
        <w:rPr>
          <w:rFonts w:cs="Times New Roman"/>
          <w:lang w:val="fr-CA"/>
        </w:rPr>
        <w:t xml:space="preserve"> Elle a donc renvoyé l</w:t>
      </w:r>
      <w:r>
        <w:rPr>
          <w:rFonts w:cs="Times New Roman"/>
          <w:lang w:val="fr-CA"/>
        </w:rPr>
        <w:t>’</w:t>
      </w:r>
      <w:r w:rsidRPr="00EE22A1">
        <w:rPr>
          <w:rFonts w:cs="Times New Roman"/>
          <w:lang w:val="fr-CA"/>
        </w:rPr>
        <w:t>affaire à la Commission pour qu</w:t>
      </w:r>
      <w:r>
        <w:rPr>
          <w:rFonts w:cs="Times New Roman"/>
          <w:lang w:val="fr-CA"/>
        </w:rPr>
        <w:t>’</w:t>
      </w:r>
      <w:r w:rsidRPr="00EE22A1">
        <w:rPr>
          <w:rFonts w:cs="Times New Roman"/>
          <w:lang w:val="fr-CA"/>
        </w:rPr>
        <w:t>elle rende une nouvelle décision, et a ordonné que le Commissariat à la protection de la vie privée et M</w:t>
      </w:r>
      <w:r w:rsidRPr="00EE22A1">
        <w:rPr>
          <w:rFonts w:cs="Times New Roman"/>
          <w:vertAlign w:val="superscript"/>
          <w:lang w:val="fr-CA"/>
        </w:rPr>
        <w:t>me</w:t>
      </w:r>
      <w:r w:rsidRPr="00EE22A1">
        <w:rPr>
          <w:rFonts w:cs="Times New Roman"/>
          <w:lang w:val="fr-CA"/>
        </w:rPr>
        <w:t xml:space="preserve"> Bernard </w:t>
      </w:r>
      <w:proofErr w:type="gramStart"/>
      <w:r w:rsidRPr="00EE22A1">
        <w:rPr>
          <w:rFonts w:cs="Times New Roman"/>
          <w:lang w:val="fr-CA"/>
        </w:rPr>
        <w:t>soient</w:t>
      </w:r>
      <w:proofErr w:type="gramEnd"/>
      <w:r w:rsidRPr="00EE22A1">
        <w:rPr>
          <w:rFonts w:cs="Times New Roman"/>
          <w:lang w:val="fr-CA"/>
        </w:rPr>
        <w:t xml:space="preserve"> avisés de la procédure de réexamen et invités à présenter des observations.  La Cour d</w:t>
      </w:r>
      <w:r>
        <w:rPr>
          <w:rFonts w:cs="Times New Roman"/>
          <w:lang w:val="fr-CA"/>
        </w:rPr>
        <w:t>’</w:t>
      </w:r>
      <w:r w:rsidRPr="00EE22A1">
        <w:rPr>
          <w:rFonts w:cs="Times New Roman"/>
          <w:lang w:val="fr-CA"/>
        </w:rPr>
        <w:t>appel fédérale n</w:t>
      </w:r>
      <w:r>
        <w:rPr>
          <w:rFonts w:cs="Times New Roman"/>
          <w:lang w:val="fr-CA"/>
        </w:rPr>
        <w:t>’</w:t>
      </w:r>
      <w:r w:rsidRPr="00EE22A1">
        <w:rPr>
          <w:rFonts w:cs="Times New Roman"/>
          <w:lang w:val="fr-CA"/>
        </w:rPr>
        <w:t>a pas examiné l</w:t>
      </w:r>
      <w:r>
        <w:rPr>
          <w:rFonts w:cs="Times New Roman"/>
          <w:lang w:val="fr-CA"/>
        </w:rPr>
        <w:t>’</w:t>
      </w:r>
      <w:r w:rsidRPr="00EE22A1">
        <w:rPr>
          <w:rFonts w:cs="Times New Roman"/>
          <w:lang w:val="fr-CA"/>
        </w:rPr>
        <w:t>argument de M</w:t>
      </w:r>
      <w:r w:rsidRPr="00EE22A1">
        <w:rPr>
          <w:rFonts w:cs="Times New Roman"/>
          <w:vertAlign w:val="superscript"/>
          <w:lang w:val="fr-CA"/>
        </w:rPr>
        <w:t>me</w:t>
      </w:r>
      <w:r w:rsidRPr="00EE22A1">
        <w:rPr>
          <w:rFonts w:cs="Times New Roman"/>
          <w:lang w:val="fr-CA"/>
        </w:rPr>
        <w:t> Bernard relatif à la liberté d</w:t>
      </w:r>
      <w:r>
        <w:rPr>
          <w:rFonts w:cs="Times New Roman"/>
          <w:lang w:val="fr-CA"/>
        </w:rPr>
        <w:t>’</w:t>
      </w:r>
      <w:r w:rsidRPr="00EE22A1">
        <w:rPr>
          <w:rFonts w:cs="Times New Roman"/>
          <w:lang w:val="fr-CA"/>
        </w:rPr>
        <w:t>association, ni celui selon lequel elle aurait dû être avisée de l</w:t>
      </w:r>
      <w:r>
        <w:rPr>
          <w:rFonts w:cs="Times New Roman"/>
          <w:lang w:val="fr-CA"/>
        </w:rPr>
        <w:t>’</w:t>
      </w:r>
      <w:r w:rsidRPr="00EE22A1">
        <w:rPr>
          <w:rFonts w:cs="Times New Roman"/>
          <w:lang w:val="fr-CA"/>
        </w:rPr>
        <w:t>instance introduite antérieurement devant la Commission.</w:t>
      </w:r>
    </w:p>
    <w:p w:rsidR="00046CA9" w:rsidRPr="00EE22A1" w:rsidRDefault="00046CA9" w:rsidP="00046CA9">
      <w:pPr>
        <w:pStyle w:val="ParaNoNdepar-AltN"/>
        <w:rPr>
          <w:rFonts w:cs="Times New Roman"/>
          <w:lang w:val="fr-CA"/>
        </w:rPr>
      </w:pPr>
      <w:r w:rsidRPr="00EE22A1">
        <w:rPr>
          <w:rFonts w:cs="Times New Roman"/>
          <w:lang w:val="fr-CA"/>
        </w:rPr>
        <w:t>À l</w:t>
      </w:r>
      <w:r>
        <w:rPr>
          <w:rFonts w:cs="Times New Roman"/>
          <w:lang w:val="fr-CA"/>
        </w:rPr>
        <w:t>’</w:t>
      </w:r>
      <w:r w:rsidRPr="00EE22A1">
        <w:rPr>
          <w:rFonts w:cs="Times New Roman"/>
          <w:lang w:val="fr-CA"/>
        </w:rPr>
        <w:t xml:space="preserve">audience sur le réexamen, la commissaire à la protection de la vie privée a reconnu que la Commission pouvait ordonner la communication de renseignements personnels sous le régime de la </w:t>
      </w:r>
      <w:r w:rsidRPr="00EE22A1">
        <w:rPr>
          <w:rFonts w:cs="Times New Roman"/>
          <w:i/>
          <w:lang w:val="fr-CA"/>
        </w:rPr>
        <w:t>LRTFP</w:t>
      </w:r>
      <w:r w:rsidRPr="00EE22A1">
        <w:rPr>
          <w:rFonts w:cs="Times New Roman"/>
          <w:lang w:val="fr-CA"/>
        </w:rPr>
        <w:t>, qualifiant la décision qu</w:t>
      </w:r>
      <w:r>
        <w:rPr>
          <w:rFonts w:cs="Times New Roman"/>
          <w:lang w:val="fr-CA"/>
        </w:rPr>
        <w:t>’</w:t>
      </w:r>
      <w:r w:rsidRPr="00EE22A1">
        <w:rPr>
          <w:rFonts w:cs="Times New Roman"/>
          <w:lang w:val="fr-CA"/>
        </w:rPr>
        <w:t>elle avait rendue en 1993 de [</w:t>
      </w:r>
      <w:r w:rsidRPr="00EE22A1">
        <w:rPr>
          <w:rFonts w:cs="Times New Roman"/>
          <w:smallCaps/>
          <w:lang w:val="fr-CA"/>
        </w:rPr>
        <w:t>traduction</w:t>
      </w:r>
      <w:r w:rsidRPr="00EE22A1">
        <w:rPr>
          <w:rFonts w:cs="Times New Roman"/>
          <w:lang w:val="fr-CA"/>
        </w:rPr>
        <w:t>] « </w:t>
      </w:r>
      <w:r w:rsidRPr="00EE22A1">
        <w:rPr>
          <w:rFonts w:cs="Times New Roman"/>
          <w:i/>
          <w:lang w:val="fr-CA"/>
        </w:rPr>
        <w:t>rapport de conclusions non contraignant </w:t>
      </w:r>
      <w:r w:rsidRPr="00EE22A1">
        <w:rPr>
          <w:rFonts w:cs="Times New Roman"/>
          <w:lang w:val="fr-CA"/>
        </w:rPr>
        <w:t>», destiné à M</w:t>
      </w:r>
      <w:r w:rsidRPr="00EE22A1">
        <w:rPr>
          <w:rFonts w:cs="Times New Roman"/>
          <w:vertAlign w:val="superscript"/>
          <w:lang w:val="fr-CA"/>
        </w:rPr>
        <w:t>me</w:t>
      </w:r>
      <w:r w:rsidRPr="00EE22A1">
        <w:rPr>
          <w:rFonts w:cs="Times New Roman"/>
          <w:lang w:val="fr-CA"/>
        </w:rPr>
        <w:t> Bernard et à son employeur (italiques ajoutés).  Cependant, la commissaire a exhorté la Commission</w:t>
      </w:r>
      <w:r w:rsidR="008450AC">
        <w:rPr>
          <w:rFonts w:cs="Times New Roman"/>
          <w:lang w:val="fr-CA"/>
        </w:rPr>
        <w:t xml:space="preserve"> </w:t>
      </w:r>
      <w:r w:rsidRPr="00EE22A1">
        <w:rPr>
          <w:rFonts w:cs="Times New Roman"/>
          <w:lang w:val="fr-CA"/>
        </w:rPr>
        <w:t>« à déterminer soigneusement quels renseignements personnels devaient être fournis au minimum par l</w:t>
      </w:r>
      <w:r>
        <w:rPr>
          <w:rFonts w:cs="Times New Roman"/>
          <w:lang w:val="fr-CA"/>
        </w:rPr>
        <w:t>’</w:t>
      </w:r>
      <w:r w:rsidRPr="00EE22A1">
        <w:rPr>
          <w:rFonts w:cs="Times New Roman"/>
          <w:lang w:val="fr-CA"/>
        </w:rPr>
        <w:t>employeur » pour permettre le respect des obligations syndicales de représentation, à envisager « d</w:t>
      </w:r>
      <w:r>
        <w:rPr>
          <w:rFonts w:cs="Times New Roman"/>
          <w:lang w:val="fr-CA"/>
        </w:rPr>
        <w:t>’</w:t>
      </w:r>
      <w:r w:rsidRPr="00EE22A1">
        <w:rPr>
          <w:rFonts w:cs="Times New Roman"/>
          <w:lang w:val="fr-CA"/>
        </w:rPr>
        <w:t>autres moyens » pour que le syndicat satisfasse à ses obligations légales, et à « faire en sorte que des mesures de protection suffisantes soient en place pour tous les renseignements personnels des employés, et des pratiques exemplaires en matière de respect de la vie privée mises en œuvre ».</w:t>
      </w:r>
    </w:p>
    <w:p w:rsidR="00046CA9" w:rsidRPr="00EE22A1" w:rsidRDefault="00046CA9" w:rsidP="00046CA9">
      <w:pPr>
        <w:pStyle w:val="ParaNoNdepar-AltN"/>
        <w:rPr>
          <w:rFonts w:cs="Times New Roman"/>
          <w:lang w:val="fr-CA"/>
        </w:rPr>
      </w:pPr>
      <w:r w:rsidRPr="00EE22A1">
        <w:rPr>
          <w:rFonts w:cs="Times New Roman"/>
          <w:lang w:val="fr-CA"/>
        </w:rPr>
        <w:t>Selon M</w:t>
      </w:r>
      <w:r w:rsidRPr="00EE22A1">
        <w:rPr>
          <w:rFonts w:cs="Times New Roman"/>
          <w:vertAlign w:val="superscript"/>
          <w:lang w:val="fr-CA"/>
        </w:rPr>
        <w:t>me</w:t>
      </w:r>
      <w:r w:rsidRPr="00EE22A1">
        <w:rPr>
          <w:rFonts w:cs="Times New Roman"/>
          <w:lang w:val="fr-CA"/>
        </w:rPr>
        <w:t xml:space="preserve"> Bernard, la communication de </w:t>
      </w:r>
      <w:proofErr w:type="gramStart"/>
      <w:r w:rsidRPr="00EE22A1">
        <w:rPr>
          <w:rFonts w:cs="Times New Roman"/>
          <w:lang w:val="fr-CA"/>
        </w:rPr>
        <w:t>ses adresse</w:t>
      </w:r>
      <w:proofErr w:type="gramEnd"/>
      <w:r w:rsidRPr="00EE22A1">
        <w:rPr>
          <w:rFonts w:cs="Times New Roman"/>
          <w:lang w:val="fr-CA"/>
        </w:rPr>
        <w:t xml:space="preserve"> et numéro de téléphone à domicile portait atteinte à son droit à la vie privée ainsi qu</w:t>
      </w:r>
      <w:r>
        <w:rPr>
          <w:rFonts w:cs="Times New Roman"/>
          <w:lang w:val="fr-CA"/>
        </w:rPr>
        <w:t>’</w:t>
      </w:r>
      <w:r w:rsidRPr="00EE22A1">
        <w:rPr>
          <w:rFonts w:cs="Times New Roman"/>
          <w:lang w:val="fr-CA"/>
        </w:rPr>
        <w:t>à son droit de ne pas s</w:t>
      </w:r>
      <w:r>
        <w:rPr>
          <w:rFonts w:cs="Times New Roman"/>
          <w:lang w:val="fr-CA"/>
        </w:rPr>
        <w:t>’</w:t>
      </w:r>
      <w:r w:rsidRPr="00EE22A1">
        <w:rPr>
          <w:rFonts w:cs="Times New Roman"/>
          <w:lang w:val="fr-CA"/>
        </w:rPr>
        <w:t xml:space="preserve">associer au syndicat.  La Commission a examiné toutes les préoccupations </w:t>
      </w:r>
      <w:r w:rsidRPr="00EE22A1">
        <w:rPr>
          <w:rFonts w:cs="Times New Roman"/>
          <w:lang w:val="fr-CA"/>
        </w:rPr>
        <w:lastRenderedPageBreak/>
        <w:t>relatives à la vie privée soulevées par M</w:t>
      </w:r>
      <w:r w:rsidRPr="00EE22A1">
        <w:rPr>
          <w:rFonts w:cs="Times New Roman"/>
          <w:vertAlign w:val="superscript"/>
          <w:lang w:val="fr-CA"/>
        </w:rPr>
        <w:t>me</w:t>
      </w:r>
      <w:r w:rsidRPr="00EE22A1">
        <w:rPr>
          <w:rFonts w:cs="Times New Roman"/>
          <w:lang w:val="fr-CA"/>
        </w:rPr>
        <w:t> Bernard et la commissaire.  Elle a ensuite conclu à l</w:t>
      </w:r>
      <w:r>
        <w:rPr>
          <w:rFonts w:cs="Times New Roman"/>
          <w:lang w:val="fr-CA"/>
        </w:rPr>
        <w:t>’</w:t>
      </w:r>
      <w:r w:rsidRPr="00EE22A1">
        <w:rPr>
          <w:rFonts w:cs="Times New Roman"/>
          <w:lang w:val="fr-CA"/>
        </w:rPr>
        <w:t>insuffisance des coordonnées au travail pour permettre à l</w:t>
      </w:r>
      <w:r>
        <w:rPr>
          <w:rFonts w:cs="Times New Roman"/>
          <w:lang w:val="fr-CA"/>
        </w:rPr>
        <w:t>’</w:t>
      </w:r>
      <w:r w:rsidRPr="00EE22A1">
        <w:rPr>
          <w:rFonts w:cs="Times New Roman"/>
          <w:lang w:val="fr-CA"/>
        </w:rPr>
        <w:t>agent négociateur de satisfaire à ses obligations de représentation envers tous les employés de l</w:t>
      </w:r>
      <w:r>
        <w:rPr>
          <w:rFonts w:cs="Times New Roman"/>
          <w:lang w:val="fr-CA"/>
        </w:rPr>
        <w:t>’</w:t>
      </w:r>
      <w:r w:rsidRPr="00EE22A1">
        <w:rPr>
          <w:rFonts w:cs="Times New Roman"/>
          <w:lang w:val="fr-CA"/>
        </w:rPr>
        <w:t>unité de négociation.  À son avis, « un agent négociateur a le droit de communiquer avec tous les employés directement — présumer que les employés consulteront le site Web ou discuteront avec un délégué ne satisfait pas à cette obligation » : 2011 CRTFP 34 (</w:t>
      </w:r>
      <w:proofErr w:type="spellStart"/>
      <w:r w:rsidRPr="00EE22A1">
        <w:rPr>
          <w:rFonts w:cs="Times New Roman"/>
          <w:lang w:val="fr-CA"/>
        </w:rPr>
        <w:t>CanLII</w:t>
      </w:r>
      <w:proofErr w:type="spellEnd"/>
      <w:r w:rsidRPr="00EE22A1">
        <w:rPr>
          <w:rFonts w:cs="Times New Roman"/>
          <w:lang w:val="fr-CA"/>
        </w:rPr>
        <w:t xml:space="preserve">), par. 164. </w:t>
      </w:r>
    </w:p>
    <w:p w:rsidR="00046CA9" w:rsidRPr="00EE22A1" w:rsidRDefault="00046CA9" w:rsidP="00046CA9">
      <w:pPr>
        <w:pStyle w:val="ParaNoNdepar-AltN"/>
        <w:rPr>
          <w:rFonts w:cs="Times New Roman"/>
          <w:lang w:val="fr-CA"/>
        </w:rPr>
      </w:pPr>
      <w:r w:rsidRPr="00EE22A1">
        <w:rPr>
          <w:rFonts w:cs="Times New Roman"/>
          <w:lang w:val="fr-CA"/>
        </w:rPr>
        <w:t>Enfin, la Commission s</w:t>
      </w:r>
      <w:r>
        <w:rPr>
          <w:rFonts w:cs="Times New Roman"/>
          <w:lang w:val="fr-CA"/>
        </w:rPr>
        <w:t>’</w:t>
      </w:r>
      <w:r w:rsidRPr="00EE22A1">
        <w:rPr>
          <w:rFonts w:cs="Times New Roman"/>
          <w:lang w:val="fr-CA"/>
        </w:rPr>
        <w:t>est penchée sur la question de savoir si l</w:t>
      </w:r>
      <w:r>
        <w:rPr>
          <w:rFonts w:cs="Times New Roman"/>
          <w:lang w:val="fr-CA"/>
        </w:rPr>
        <w:t>’</w:t>
      </w:r>
      <w:r w:rsidRPr="00EE22A1">
        <w:rPr>
          <w:rFonts w:cs="Times New Roman"/>
          <w:lang w:val="fr-CA"/>
        </w:rPr>
        <w:t>ordonnance sur consentement protégeait suffisamment le droit à la vie privée des employés.  Elle a fait ressortir les caractéristiques suivantes de l</w:t>
      </w:r>
      <w:r>
        <w:rPr>
          <w:rFonts w:cs="Times New Roman"/>
          <w:lang w:val="fr-CA"/>
        </w:rPr>
        <w:t>’</w:t>
      </w:r>
      <w:r w:rsidRPr="00EE22A1">
        <w:rPr>
          <w:rFonts w:cs="Times New Roman"/>
          <w:lang w:val="fr-CA"/>
        </w:rPr>
        <w:t xml:space="preserve">ordonnance sur consentement initiale, destinées à accroître le respect de la vie privée : le syndicat pouvait utiliser les coordonnées résidentielles des employés uniquement aux fins légitimes prévues par la </w:t>
      </w:r>
      <w:r w:rsidRPr="00EE22A1">
        <w:rPr>
          <w:rFonts w:cs="Times New Roman"/>
          <w:i/>
          <w:lang w:val="fr-CA"/>
        </w:rPr>
        <w:t>LRTFP</w:t>
      </w:r>
      <w:r w:rsidRPr="00EE22A1">
        <w:rPr>
          <w:rFonts w:cs="Times New Roman"/>
          <w:lang w:val="fr-CA"/>
        </w:rPr>
        <w:t>; et il ne pouvait communiquer les renseignements personnels obtenus qu</w:t>
      </w:r>
      <w:r>
        <w:rPr>
          <w:rFonts w:cs="Times New Roman"/>
          <w:lang w:val="fr-CA"/>
        </w:rPr>
        <w:t>’</w:t>
      </w:r>
      <w:r w:rsidRPr="00EE22A1">
        <w:rPr>
          <w:rFonts w:cs="Times New Roman"/>
          <w:lang w:val="fr-CA"/>
        </w:rPr>
        <w:t>aux représentants chargés de s</w:t>
      </w:r>
      <w:r>
        <w:rPr>
          <w:rFonts w:cs="Times New Roman"/>
          <w:lang w:val="fr-CA"/>
        </w:rPr>
        <w:t>’</w:t>
      </w:r>
      <w:r w:rsidRPr="00EE22A1">
        <w:rPr>
          <w:rFonts w:cs="Times New Roman"/>
          <w:lang w:val="fr-CA"/>
        </w:rPr>
        <w:t>acquitter de ses obligations.  La Commission a également souligné que le syndicat avait expressément accepté d</w:t>
      </w:r>
      <w:r>
        <w:rPr>
          <w:rFonts w:cs="Times New Roman"/>
          <w:lang w:val="fr-CA"/>
        </w:rPr>
        <w:t>’</w:t>
      </w:r>
      <w:r w:rsidRPr="00EE22A1">
        <w:rPr>
          <w:rFonts w:cs="Times New Roman"/>
          <w:lang w:val="fr-CA"/>
        </w:rPr>
        <w:t xml:space="preserve">être assujetti aux principes de la </w:t>
      </w:r>
      <w:r w:rsidRPr="00EE22A1">
        <w:rPr>
          <w:rFonts w:cs="Times New Roman"/>
          <w:i/>
          <w:lang w:val="fr-CA"/>
        </w:rPr>
        <w:t xml:space="preserve">LPRP </w:t>
      </w:r>
      <w:r w:rsidRPr="00EE22A1">
        <w:rPr>
          <w:rFonts w:cs="Times New Roman"/>
          <w:lang w:val="fr-CA"/>
        </w:rPr>
        <w:t>et de son règlement ainsi qu</w:t>
      </w:r>
      <w:r>
        <w:rPr>
          <w:rFonts w:cs="Times New Roman"/>
          <w:lang w:val="fr-CA"/>
        </w:rPr>
        <w:t>’</w:t>
      </w:r>
      <w:r w:rsidRPr="00EE22A1">
        <w:rPr>
          <w:rFonts w:cs="Times New Roman"/>
          <w:lang w:val="fr-CA"/>
        </w:rPr>
        <w:t xml:space="preserve">à ceux établis dans la </w:t>
      </w:r>
      <w:r w:rsidRPr="005762A6">
        <w:rPr>
          <w:rFonts w:cs="Times New Roman"/>
          <w:lang w:val="fr-CA"/>
        </w:rPr>
        <w:t>Politique sur la sécurité</w:t>
      </w:r>
      <w:r w:rsidRPr="00EE22A1">
        <w:rPr>
          <w:rFonts w:cs="Times New Roman"/>
          <w:lang w:val="fr-CA"/>
        </w:rPr>
        <w:t xml:space="preserve"> du gouvernement en vigueur à ce </w:t>
      </w:r>
      <w:proofErr w:type="spellStart"/>
      <w:r w:rsidRPr="00EE22A1">
        <w:rPr>
          <w:rFonts w:cs="Times New Roman"/>
          <w:lang w:val="fr-CA"/>
        </w:rPr>
        <w:t>moment</w:t>
      </w:r>
      <w:r w:rsidRPr="00EE22A1">
        <w:rPr>
          <w:rFonts w:cs="Times New Roman"/>
          <w:lang w:val="fr-CA"/>
        </w:rPr>
        <w:noBreakHyphen/>
        <w:t>là</w:t>
      </w:r>
      <w:proofErr w:type="spellEnd"/>
      <w:r w:rsidRPr="00EE22A1">
        <w:rPr>
          <w:rFonts w:cs="Times New Roman"/>
          <w:lang w:val="fr-CA"/>
        </w:rPr>
        <w:t>.  Elle a néanmoins mis en place deux mesures de protection supplémentaires</w:t>
      </w:r>
      <w:r w:rsidR="00CA3C3F">
        <w:rPr>
          <w:rFonts w:cs="Times New Roman"/>
          <w:lang w:val="fr-CA"/>
        </w:rPr>
        <w:t>,</w:t>
      </w:r>
      <w:r w:rsidRPr="00EE22A1">
        <w:rPr>
          <w:rFonts w:cs="Times New Roman"/>
          <w:lang w:val="fr-CA"/>
        </w:rPr>
        <w:t xml:space="preserve"> à savoir : l</w:t>
      </w:r>
      <w:r>
        <w:rPr>
          <w:rFonts w:cs="Times New Roman"/>
          <w:lang w:val="fr-CA"/>
        </w:rPr>
        <w:t>’</w:t>
      </w:r>
      <w:r w:rsidRPr="00EE22A1">
        <w:rPr>
          <w:rFonts w:cs="Times New Roman"/>
          <w:lang w:val="fr-CA"/>
        </w:rPr>
        <w:t>obligation pour l</w:t>
      </w:r>
      <w:r>
        <w:rPr>
          <w:rFonts w:cs="Times New Roman"/>
          <w:lang w:val="fr-CA"/>
        </w:rPr>
        <w:t>’</w:t>
      </w:r>
      <w:r w:rsidRPr="00EE22A1">
        <w:rPr>
          <w:rFonts w:cs="Times New Roman"/>
          <w:lang w:val="fr-CA"/>
        </w:rPr>
        <w:t>employeur de transmettre les renseignements au syndicat exclusivement au moyen de dispositifs cryptés ou protégés par mot de passe; et l</w:t>
      </w:r>
      <w:r>
        <w:rPr>
          <w:rFonts w:cs="Times New Roman"/>
          <w:lang w:val="fr-CA"/>
        </w:rPr>
        <w:t>’</w:t>
      </w:r>
      <w:r w:rsidRPr="00EE22A1">
        <w:rPr>
          <w:rFonts w:cs="Times New Roman"/>
          <w:lang w:val="fr-CA"/>
        </w:rPr>
        <w:t>obligation pour le syndicat de dûment disposer des coordonnées résidentielles désuètes lorsque des renseignements à jour lui sont fournis.</w:t>
      </w:r>
    </w:p>
    <w:p w:rsidR="00046CA9" w:rsidRPr="00EE22A1" w:rsidRDefault="00046CA9" w:rsidP="00046CA9">
      <w:pPr>
        <w:pStyle w:val="ParaNoNdepar-AltN"/>
        <w:rPr>
          <w:rFonts w:cs="Times New Roman"/>
          <w:lang w:val="fr-CA"/>
        </w:rPr>
      </w:pPr>
      <w:r w:rsidRPr="00EE22A1">
        <w:rPr>
          <w:rFonts w:cs="Times New Roman"/>
          <w:lang w:val="fr-CA"/>
        </w:rPr>
        <w:lastRenderedPageBreak/>
        <w:t>Il n</w:t>
      </w:r>
      <w:r>
        <w:rPr>
          <w:rFonts w:cs="Times New Roman"/>
          <w:lang w:val="fr-CA"/>
        </w:rPr>
        <w:t>’</w:t>
      </w:r>
      <w:r w:rsidRPr="00EE22A1">
        <w:rPr>
          <w:rFonts w:cs="Times New Roman"/>
          <w:lang w:val="fr-CA"/>
        </w:rPr>
        <w:t xml:space="preserve">y a eu aucune violation de la </w:t>
      </w:r>
      <w:r w:rsidRPr="00EE22A1">
        <w:rPr>
          <w:rFonts w:cs="Times New Roman"/>
          <w:i/>
          <w:lang w:val="fr-CA"/>
        </w:rPr>
        <w:t xml:space="preserve">LPRP </w:t>
      </w:r>
      <w:r w:rsidRPr="00EE22A1">
        <w:rPr>
          <w:rFonts w:cs="Times New Roman"/>
          <w:lang w:val="fr-CA"/>
        </w:rPr>
        <w:t>lors de la communication d</w:t>
      </w:r>
      <w:r>
        <w:rPr>
          <w:rFonts w:cs="Times New Roman"/>
          <w:lang w:val="fr-CA"/>
        </w:rPr>
        <w:t>’</w:t>
      </w:r>
      <w:r w:rsidRPr="00EE22A1">
        <w:rPr>
          <w:rFonts w:cs="Times New Roman"/>
          <w:lang w:val="fr-CA"/>
        </w:rPr>
        <w:t xml:space="preserve">adresses et de numéros de téléphone résidentiels aux agents négociateurs, parce que </w:t>
      </w:r>
      <w:proofErr w:type="spellStart"/>
      <w:r w:rsidRPr="00EE22A1">
        <w:rPr>
          <w:rFonts w:cs="Times New Roman"/>
          <w:lang w:val="fr-CA"/>
        </w:rPr>
        <w:t>celle</w:t>
      </w:r>
      <w:r w:rsidRPr="00EE22A1">
        <w:rPr>
          <w:rFonts w:cs="Times New Roman"/>
          <w:lang w:val="fr-CA"/>
        </w:rPr>
        <w:noBreakHyphen/>
        <w:t>ci</w:t>
      </w:r>
      <w:proofErr w:type="spellEnd"/>
      <w:r w:rsidRPr="00EE22A1">
        <w:rPr>
          <w:rFonts w:cs="Times New Roman"/>
          <w:lang w:val="fr-CA"/>
        </w:rPr>
        <w:t xml:space="preserve"> était compatible avec les fins auxquelles ces renseignements avaient été recueillis et qu</w:t>
      </w:r>
      <w:r>
        <w:rPr>
          <w:rFonts w:cs="Times New Roman"/>
          <w:lang w:val="fr-CA"/>
        </w:rPr>
        <w:t>’</w:t>
      </w:r>
      <w:r w:rsidR="00CA3C3F">
        <w:rPr>
          <w:rFonts w:cs="Times New Roman"/>
          <w:lang w:val="fr-CA"/>
        </w:rPr>
        <w:t>elle constituait donc un « usag</w:t>
      </w:r>
      <w:r w:rsidRPr="00EE22A1">
        <w:rPr>
          <w:rFonts w:cs="Times New Roman"/>
          <w:lang w:val="fr-CA"/>
        </w:rPr>
        <w:t>e compatible » au sens où il faut l</w:t>
      </w:r>
      <w:r>
        <w:rPr>
          <w:rFonts w:cs="Times New Roman"/>
          <w:lang w:val="fr-CA"/>
        </w:rPr>
        <w:t>’</w:t>
      </w:r>
      <w:r w:rsidRPr="00EE22A1">
        <w:rPr>
          <w:rFonts w:cs="Times New Roman"/>
          <w:lang w:val="fr-CA"/>
        </w:rPr>
        <w:t>entendre pour l</w:t>
      </w:r>
      <w:r>
        <w:rPr>
          <w:rFonts w:cs="Times New Roman"/>
          <w:lang w:val="fr-CA"/>
        </w:rPr>
        <w:t>’</w:t>
      </w:r>
      <w:r w:rsidRPr="00EE22A1">
        <w:rPr>
          <w:rFonts w:cs="Times New Roman"/>
          <w:lang w:val="fr-CA"/>
        </w:rPr>
        <w:t>application de l</w:t>
      </w:r>
      <w:r>
        <w:rPr>
          <w:rFonts w:cs="Times New Roman"/>
          <w:lang w:val="fr-CA"/>
        </w:rPr>
        <w:t>’</w:t>
      </w:r>
      <w:r w:rsidRPr="00EE22A1">
        <w:rPr>
          <w:rFonts w:cs="Times New Roman"/>
          <w:lang w:val="fr-CA"/>
        </w:rPr>
        <w:t>al. 8(2)</w:t>
      </w:r>
      <w:r w:rsidRPr="00EE22A1">
        <w:rPr>
          <w:rFonts w:cs="Times New Roman"/>
          <w:i/>
          <w:lang w:val="fr-CA"/>
        </w:rPr>
        <w:t>a</w:t>
      </w:r>
      <w:r w:rsidRPr="00EE22A1">
        <w:rPr>
          <w:rFonts w:cs="Times New Roman"/>
          <w:lang w:val="fr-CA"/>
        </w:rPr>
        <w:t xml:space="preserve">) de la </w:t>
      </w:r>
      <w:r w:rsidRPr="00EE22A1">
        <w:rPr>
          <w:rFonts w:cs="Times New Roman"/>
          <w:i/>
          <w:lang w:val="fr-CA"/>
        </w:rPr>
        <w:t>LPRP</w:t>
      </w:r>
      <w:r w:rsidRPr="00EE22A1">
        <w:rPr>
          <w:rFonts w:cs="Times New Roman"/>
          <w:lang w:val="fr-CA"/>
        </w:rPr>
        <w:t>.</w:t>
      </w:r>
    </w:p>
    <w:p w:rsidR="00046CA9" w:rsidRPr="00EE22A1" w:rsidRDefault="00046CA9" w:rsidP="00046CA9">
      <w:pPr>
        <w:pStyle w:val="ParaNoNdepar-AltN"/>
        <w:rPr>
          <w:rFonts w:cs="Times New Roman"/>
          <w:lang w:val="fr-CA"/>
        </w:rPr>
      </w:pPr>
      <w:r w:rsidRPr="00EE22A1">
        <w:rPr>
          <w:rFonts w:cs="Times New Roman"/>
          <w:lang w:val="fr-CA"/>
        </w:rPr>
        <w:t>Ayant conclu que la Cour d</w:t>
      </w:r>
      <w:r>
        <w:rPr>
          <w:rFonts w:cs="Times New Roman"/>
          <w:lang w:val="fr-CA"/>
        </w:rPr>
        <w:t>’</w:t>
      </w:r>
      <w:r w:rsidRPr="00EE22A1">
        <w:rPr>
          <w:rFonts w:cs="Times New Roman"/>
          <w:lang w:val="fr-CA"/>
        </w:rPr>
        <w:t>appel fédérale lui ordonnait uniquement d</w:t>
      </w:r>
      <w:r>
        <w:rPr>
          <w:rFonts w:cs="Times New Roman"/>
          <w:lang w:val="fr-CA"/>
        </w:rPr>
        <w:t>’</w:t>
      </w:r>
      <w:r w:rsidRPr="00EE22A1">
        <w:rPr>
          <w:rFonts w:cs="Times New Roman"/>
          <w:lang w:val="fr-CA"/>
        </w:rPr>
        <w:t>examiner la question du droit à la vie privée des employés de l</w:t>
      </w:r>
      <w:r>
        <w:rPr>
          <w:rFonts w:cs="Times New Roman"/>
          <w:lang w:val="fr-CA"/>
        </w:rPr>
        <w:t>’</w:t>
      </w:r>
      <w:r w:rsidRPr="00EE22A1">
        <w:rPr>
          <w:rFonts w:cs="Times New Roman"/>
          <w:lang w:val="fr-CA"/>
        </w:rPr>
        <w:t>unité de négociation, la Commission ne s</w:t>
      </w:r>
      <w:r>
        <w:rPr>
          <w:rFonts w:cs="Times New Roman"/>
          <w:lang w:val="fr-CA"/>
        </w:rPr>
        <w:t>’</w:t>
      </w:r>
      <w:r w:rsidRPr="00EE22A1">
        <w:rPr>
          <w:rFonts w:cs="Times New Roman"/>
          <w:lang w:val="fr-CA"/>
        </w:rPr>
        <w:t>est pas penchée sur l</w:t>
      </w:r>
      <w:r>
        <w:rPr>
          <w:rFonts w:cs="Times New Roman"/>
          <w:lang w:val="fr-CA"/>
        </w:rPr>
        <w:t>’</w:t>
      </w:r>
      <w:r w:rsidRPr="00EE22A1">
        <w:rPr>
          <w:rFonts w:cs="Times New Roman"/>
          <w:lang w:val="fr-CA"/>
        </w:rPr>
        <w:t>argument de M</w:t>
      </w:r>
      <w:r w:rsidRPr="00EE22A1">
        <w:rPr>
          <w:rFonts w:cs="Times New Roman"/>
          <w:vertAlign w:val="superscript"/>
          <w:lang w:val="fr-CA"/>
        </w:rPr>
        <w:t>me</w:t>
      </w:r>
      <w:r w:rsidRPr="00EE22A1">
        <w:rPr>
          <w:rFonts w:cs="Times New Roman"/>
          <w:lang w:val="fr-CA"/>
        </w:rPr>
        <w:t> Bernard relatif à la liberté d</w:t>
      </w:r>
      <w:r>
        <w:rPr>
          <w:rFonts w:cs="Times New Roman"/>
          <w:lang w:val="fr-CA"/>
        </w:rPr>
        <w:t>’</w:t>
      </w:r>
      <w:r w:rsidRPr="00EE22A1">
        <w:rPr>
          <w:rFonts w:cs="Times New Roman"/>
          <w:lang w:val="fr-CA"/>
        </w:rPr>
        <w:t>association.</w:t>
      </w:r>
    </w:p>
    <w:p w:rsidR="00046CA9" w:rsidRPr="00EE22A1" w:rsidRDefault="00046CA9" w:rsidP="00046CA9">
      <w:pPr>
        <w:pStyle w:val="ParaNoNdepar-AltN"/>
        <w:tabs>
          <w:tab w:val="clear" w:pos="1152"/>
          <w:tab w:val="left" w:pos="1166"/>
        </w:tabs>
        <w:rPr>
          <w:rFonts w:cs="Times New Roman"/>
          <w:lang w:val="fr-CA"/>
        </w:rPr>
      </w:pPr>
      <w:r w:rsidRPr="00EE22A1">
        <w:rPr>
          <w:rFonts w:cs="Times New Roman"/>
          <w:lang w:val="fr-CA"/>
        </w:rPr>
        <w:t>M</w:t>
      </w:r>
      <w:r w:rsidRPr="00EE22A1">
        <w:rPr>
          <w:rFonts w:cs="Times New Roman"/>
          <w:vertAlign w:val="superscript"/>
          <w:lang w:val="fr-CA"/>
        </w:rPr>
        <w:t>me</w:t>
      </w:r>
      <w:r w:rsidRPr="00EE22A1">
        <w:rPr>
          <w:rFonts w:cs="Times New Roman"/>
          <w:lang w:val="fr-CA"/>
        </w:rPr>
        <w:t> Bernard a présenté une nouvelle demande de contrôle judiciaire.  La Cour d</w:t>
      </w:r>
      <w:r>
        <w:rPr>
          <w:rFonts w:cs="Times New Roman"/>
          <w:lang w:val="fr-CA"/>
        </w:rPr>
        <w:t>’</w:t>
      </w:r>
      <w:r w:rsidRPr="00EE22A1">
        <w:rPr>
          <w:rFonts w:cs="Times New Roman"/>
          <w:lang w:val="fr-CA"/>
        </w:rPr>
        <w:t xml:space="preserve">appel fédérale (le juge en chef Blais et les juges Evans et </w:t>
      </w:r>
      <w:proofErr w:type="spellStart"/>
      <w:r w:rsidRPr="00EE22A1">
        <w:rPr>
          <w:rFonts w:cs="Times New Roman"/>
          <w:lang w:val="fr-CA"/>
        </w:rPr>
        <w:t>Sharlow</w:t>
      </w:r>
      <w:proofErr w:type="spellEnd"/>
      <w:r w:rsidRPr="00EE22A1">
        <w:rPr>
          <w:rFonts w:cs="Times New Roman"/>
          <w:lang w:val="fr-CA"/>
        </w:rPr>
        <w:t>) a alors conclu que la décision de la Commission était assujettie à la norme de la décision raisonnable.  Elle a ajouté que la Commission avait rendu une décision raisonnable en concluant que le syndicat avait besoin des coordonnées résidentielles des employés pour satisfaire à ses obligations de représentation et qu</w:t>
      </w:r>
      <w:r>
        <w:rPr>
          <w:rFonts w:cs="Times New Roman"/>
          <w:lang w:val="fr-CA"/>
        </w:rPr>
        <w:t>’</w:t>
      </w:r>
      <w:r w:rsidRPr="00EE22A1">
        <w:rPr>
          <w:rFonts w:cs="Times New Roman"/>
          <w:lang w:val="fr-CA"/>
        </w:rPr>
        <w:t>il avait fait un « usage compatible » de ces renseignements au sens où il faut l</w:t>
      </w:r>
      <w:r>
        <w:rPr>
          <w:rFonts w:cs="Times New Roman"/>
          <w:lang w:val="fr-CA"/>
        </w:rPr>
        <w:t>’</w:t>
      </w:r>
      <w:r w:rsidRPr="00EE22A1">
        <w:rPr>
          <w:rFonts w:cs="Times New Roman"/>
          <w:lang w:val="fr-CA"/>
        </w:rPr>
        <w:t>entendre pour l</w:t>
      </w:r>
      <w:r>
        <w:rPr>
          <w:rFonts w:cs="Times New Roman"/>
          <w:lang w:val="fr-CA"/>
        </w:rPr>
        <w:t>’</w:t>
      </w:r>
      <w:r w:rsidRPr="00EE22A1">
        <w:rPr>
          <w:rFonts w:cs="Times New Roman"/>
          <w:lang w:val="fr-CA"/>
        </w:rPr>
        <w:t>application de l</w:t>
      </w:r>
      <w:r>
        <w:rPr>
          <w:rFonts w:cs="Times New Roman"/>
          <w:lang w:val="fr-CA"/>
        </w:rPr>
        <w:t>’</w:t>
      </w:r>
      <w:r w:rsidRPr="00EE22A1">
        <w:rPr>
          <w:rFonts w:cs="Times New Roman"/>
          <w:lang w:val="fr-CA"/>
        </w:rPr>
        <w:t>al. 8(2)</w:t>
      </w:r>
      <w:r w:rsidRPr="00EE22A1">
        <w:rPr>
          <w:rFonts w:cs="Times New Roman"/>
          <w:i/>
          <w:lang w:val="fr-CA"/>
        </w:rPr>
        <w:t>a</w:t>
      </w:r>
      <w:r w:rsidRPr="00EE22A1">
        <w:rPr>
          <w:rFonts w:cs="Times New Roman"/>
          <w:lang w:val="fr-CA"/>
        </w:rPr>
        <w:t xml:space="preserve">) de la </w:t>
      </w:r>
      <w:r w:rsidRPr="00EE22A1">
        <w:rPr>
          <w:rFonts w:cs="Times New Roman"/>
          <w:i/>
          <w:lang w:val="fr-CA"/>
        </w:rPr>
        <w:t>LPRP. </w:t>
      </w:r>
      <w:r w:rsidRPr="00EE22A1">
        <w:rPr>
          <w:rFonts w:cs="Times New Roman"/>
          <w:lang w:val="fr-CA"/>
        </w:rPr>
        <w:t xml:space="preserve"> </w:t>
      </w:r>
    </w:p>
    <w:p w:rsidR="00046CA9" w:rsidRPr="00EE22A1" w:rsidRDefault="00046CA9" w:rsidP="00046CA9">
      <w:pPr>
        <w:pStyle w:val="ParaNoNdepar-AltN"/>
        <w:tabs>
          <w:tab w:val="clear" w:pos="1152"/>
          <w:tab w:val="left" w:pos="1166"/>
        </w:tabs>
        <w:rPr>
          <w:rFonts w:cs="Times New Roman"/>
          <w:lang w:val="fr-CA"/>
        </w:rPr>
      </w:pPr>
      <w:r w:rsidRPr="00EE22A1">
        <w:rPr>
          <w:rFonts w:cs="Times New Roman"/>
          <w:lang w:val="fr-CA"/>
        </w:rPr>
        <w:t>Nous convenons que la norme de contrôle applicable est celle de la décision raisonnable.  Pour les motifs qui suivent, nous souscrivons également à la conclusion selon laquelle la décision de la Commission était raisonnable.</w:t>
      </w:r>
    </w:p>
    <w:p w:rsidR="00046CA9" w:rsidRPr="00EE22A1" w:rsidRDefault="00046CA9" w:rsidP="00046CA9">
      <w:pPr>
        <w:pStyle w:val="TitleTitre-AltT"/>
        <w:keepNext/>
        <w:spacing w:before="0"/>
        <w:rPr>
          <w:rFonts w:cs="Times New Roman"/>
          <w:u w:val="single"/>
          <w:lang w:val="fr-CA"/>
        </w:rPr>
      </w:pPr>
      <w:r w:rsidRPr="00EE22A1">
        <w:rPr>
          <w:rFonts w:cs="Times New Roman"/>
          <w:u w:val="single"/>
          <w:lang w:val="fr-CA"/>
        </w:rPr>
        <w:lastRenderedPageBreak/>
        <w:t>Analyse</w:t>
      </w:r>
    </w:p>
    <w:p w:rsidR="00046CA9" w:rsidRPr="00EE22A1" w:rsidRDefault="00046CA9" w:rsidP="00046CA9">
      <w:pPr>
        <w:pStyle w:val="ParaNoNdepar-AltN"/>
        <w:rPr>
          <w:rFonts w:cs="Times New Roman"/>
          <w:lang w:val="fr-CA"/>
        </w:rPr>
      </w:pPr>
      <w:r w:rsidRPr="00EE22A1">
        <w:rPr>
          <w:rFonts w:cs="Times New Roman"/>
          <w:lang w:val="fr-CA"/>
        </w:rPr>
        <w:t>Il est important de bien comprendre le contexte des relations du travail dans lequel s</w:t>
      </w:r>
      <w:r>
        <w:rPr>
          <w:rFonts w:cs="Times New Roman"/>
          <w:lang w:val="fr-CA"/>
        </w:rPr>
        <w:t>’</w:t>
      </w:r>
      <w:r w:rsidRPr="00EE22A1">
        <w:rPr>
          <w:rFonts w:cs="Times New Roman"/>
          <w:lang w:val="fr-CA"/>
        </w:rPr>
        <w:t>inscrivent les plaintes en matière de vie privée déposées par M</w:t>
      </w:r>
      <w:r w:rsidRPr="00EE22A1">
        <w:rPr>
          <w:rFonts w:cs="Times New Roman"/>
          <w:vertAlign w:val="superscript"/>
          <w:lang w:val="fr-CA"/>
        </w:rPr>
        <w:t>me</w:t>
      </w:r>
      <w:r w:rsidRPr="00EE22A1">
        <w:rPr>
          <w:rFonts w:cs="Times New Roman"/>
          <w:lang w:val="fr-CA"/>
        </w:rPr>
        <w:t xml:space="preserve"> Bernard.  Le principe du monopole syndical conféré par un vote majoritaire — une assise fondamentale de notre droit du travail — constitue un élément clé de ce contexte.  Le syndicat a le droit </w:t>
      </w:r>
      <w:r w:rsidRPr="00EE22A1">
        <w:rPr>
          <w:rFonts w:cs="Times New Roman"/>
          <w:i/>
          <w:lang w:val="fr-CA"/>
        </w:rPr>
        <w:t>exclusif</w:t>
      </w:r>
      <w:r w:rsidRPr="00EE22A1">
        <w:rPr>
          <w:rFonts w:cs="Times New Roman"/>
          <w:lang w:val="fr-CA"/>
        </w:rPr>
        <w:t xml:space="preserve"> de négocier au nom de </w:t>
      </w:r>
      <w:r w:rsidRPr="00EE22A1">
        <w:rPr>
          <w:rFonts w:cs="Times New Roman"/>
          <w:i/>
          <w:lang w:val="fr-CA"/>
        </w:rPr>
        <w:t>tous</w:t>
      </w:r>
      <w:r w:rsidRPr="00EE22A1">
        <w:rPr>
          <w:rFonts w:cs="Times New Roman"/>
          <w:lang w:val="fr-CA"/>
        </w:rPr>
        <w:t xml:space="preserve"> les employés d</w:t>
      </w:r>
      <w:r>
        <w:rPr>
          <w:rFonts w:cs="Times New Roman"/>
          <w:lang w:val="fr-CA"/>
        </w:rPr>
        <w:t>’</w:t>
      </w:r>
      <w:r w:rsidRPr="00EE22A1">
        <w:rPr>
          <w:rFonts w:cs="Times New Roman"/>
          <w:lang w:val="fr-CA"/>
        </w:rPr>
        <w:t>une unité de négociation donnée, y compris ceux assujettis à la formule Rand.  Le syndicat est l</w:t>
      </w:r>
      <w:r>
        <w:rPr>
          <w:rFonts w:cs="Times New Roman"/>
          <w:lang w:val="fr-CA"/>
        </w:rPr>
        <w:t>’</w:t>
      </w:r>
      <w:r w:rsidRPr="00EE22A1">
        <w:rPr>
          <w:rFonts w:cs="Times New Roman"/>
          <w:lang w:val="fr-CA"/>
        </w:rPr>
        <w:t>agent exclusif de ces employés en ce qui concerne les droits que leur confère la convention collective.  Un employé est certes libre de ne pas adhérer au syndicat et de devenir ainsi un employé assujetti à la formule Rand; il ne dispose toutefois d</w:t>
      </w:r>
      <w:r>
        <w:rPr>
          <w:rFonts w:cs="Times New Roman"/>
          <w:lang w:val="fr-CA"/>
        </w:rPr>
        <w:t>’</w:t>
      </w:r>
      <w:r w:rsidRPr="00EE22A1">
        <w:rPr>
          <w:rFonts w:cs="Times New Roman"/>
          <w:lang w:val="fr-CA"/>
        </w:rPr>
        <w:t>aucun droit de retrait en ce qui concerne la relation de négociation exclusive ainsi que les obligations de représentation du syndicat.</w:t>
      </w:r>
    </w:p>
    <w:p w:rsidR="00046CA9" w:rsidRPr="00EE22A1" w:rsidRDefault="00046CA9" w:rsidP="00046CA9">
      <w:pPr>
        <w:pStyle w:val="ParaNoNdepar-AltN"/>
        <w:rPr>
          <w:rFonts w:cs="Times New Roman"/>
          <w:lang w:val="fr-CA"/>
        </w:rPr>
      </w:pPr>
      <w:r w:rsidRPr="00EE22A1">
        <w:rPr>
          <w:rFonts w:cs="Times New Roman"/>
          <w:lang w:val="fr-CA"/>
        </w:rPr>
        <w:t>La nature des obligations de représentation du syndicat constitue un élément important du contexte dans lequel la Commission a rendu sa décision.  Le syndicat doit représenter tous les employés de l</w:t>
      </w:r>
      <w:r>
        <w:rPr>
          <w:rFonts w:cs="Times New Roman"/>
          <w:lang w:val="fr-CA"/>
        </w:rPr>
        <w:t>’</w:t>
      </w:r>
      <w:r w:rsidRPr="00EE22A1">
        <w:rPr>
          <w:rFonts w:cs="Times New Roman"/>
          <w:lang w:val="fr-CA"/>
        </w:rPr>
        <w:t xml:space="preserve">unité de négociation avec équité et bonne foi.  La </w:t>
      </w:r>
      <w:r w:rsidRPr="00EE22A1">
        <w:rPr>
          <w:rFonts w:cs="Times New Roman"/>
          <w:i/>
          <w:lang w:val="fr-CA"/>
        </w:rPr>
        <w:t>LRTFP</w:t>
      </w:r>
      <w:r w:rsidRPr="00EE22A1">
        <w:rPr>
          <w:rFonts w:cs="Times New Roman"/>
          <w:lang w:val="fr-CA"/>
        </w:rPr>
        <w:t xml:space="preserve"> lui impose un certain nombre d</w:t>
      </w:r>
      <w:r>
        <w:rPr>
          <w:rFonts w:cs="Times New Roman"/>
          <w:lang w:val="fr-CA"/>
        </w:rPr>
        <w:t>’</w:t>
      </w:r>
      <w:r w:rsidRPr="00EE22A1">
        <w:rPr>
          <w:rFonts w:cs="Times New Roman"/>
          <w:lang w:val="fr-CA"/>
        </w:rPr>
        <w:t>obligations précises à l</w:t>
      </w:r>
      <w:r>
        <w:rPr>
          <w:rFonts w:cs="Times New Roman"/>
          <w:lang w:val="fr-CA"/>
        </w:rPr>
        <w:t>’</w:t>
      </w:r>
      <w:r w:rsidRPr="00EE22A1">
        <w:rPr>
          <w:rFonts w:cs="Times New Roman"/>
          <w:lang w:val="fr-CA"/>
        </w:rPr>
        <w:t xml:space="preserve">égard de </w:t>
      </w:r>
      <w:proofErr w:type="spellStart"/>
      <w:r w:rsidRPr="00EE22A1">
        <w:rPr>
          <w:rFonts w:cs="Times New Roman"/>
          <w:lang w:val="fr-CA"/>
        </w:rPr>
        <w:t>ceux</w:t>
      </w:r>
      <w:r w:rsidRPr="00EE22A1">
        <w:rPr>
          <w:rFonts w:cs="Times New Roman"/>
          <w:lang w:val="fr-CA"/>
        </w:rPr>
        <w:noBreakHyphen/>
        <w:t>ci</w:t>
      </w:r>
      <w:proofErr w:type="spellEnd"/>
      <w:r w:rsidRPr="00EE22A1">
        <w:rPr>
          <w:rFonts w:cs="Times New Roman"/>
          <w:lang w:val="fr-CA"/>
        </w:rPr>
        <w:t>, notamment celle de leur donner la possibilité de participer aux votes de grève et d</w:t>
      </w:r>
      <w:r>
        <w:rPr>
          <w:rFonts w:cs="Times New Roman"/>
          <w:lang w:val="fr-CA"/>
        </w:rPr>
        <w:t>’</w:t>
      </w:r>
      <w:r w:rsidRPr="00EE22A1">
        <w:rPr>
          <w:rFonts w:cs="Times New Roman"/>
          <w:lang w:val="fr-CA"/>
        </w:rPr>
        <w:t xml:space="preserve">être informés des résultats de </w:t>
      </w:r>
      <w:proofErr w:type="spellStart"/>
      <w:r w:rsidRPr="00EE22A1">
        <w:rPr>
          <w:rFonts w:cs="Times New Roman"/>
          <w:lang w:val="fr-CA"/>
        </w:rPr>
        <w:t>ceux</w:t>
      </w:r>
      <w:r w:rsidRPr="00EE22A1">
        <w:rPr>
          <w:rFonts w:cs="Times New Roman"/>
          <w:lang w:val="fr-CA"/>
        </w:rPr>
        <w:noBreakHyphen/>
        <w:t>ci</w:t>
      </w:r>
      <w:proofErr w:type="spellEnd"/>
      <w:r w:rsidRPr="00EE22A1">
        <w:rPr>
          <w:rFonts w:cs="Times New Roman"/>
          <w:lang w:val="fr-CA"/>
        </w:rPr>
        <w:t xml:space="preserve"> (art. 184).  Selon la Commission, des obligations semblables s</w:t>
      </w:r>
      <w:r>
        <w:rPr>
          <w:rFonts w:cs="Times New Roman"/>
          <w:lang w:val="fr-CA"/>
        </w:rPr>
        <w:t>’</w:t>
      </w:r>
      <w:r w:rsidRPr="00EE22A1">
        <w:rPr>
          <w:rFonts w:cs="Times New Roman"/>
          <w:lang w:val="fr-CA"/>
        </w:rPr>
        <w:t>appliquent à la tenue de votes sur les dernières offres de l</w:t>
      </w:r>
      <w:r>
        <w:rPr>
          <w:rFonts w:cs="Times New Roman"/>
          <w:lang w:val="fr-CA"/>
        </w:rPr>
        <w:t>’</w:t>
      </w:r>
      <w:r w:rsidRPr="00EE22A1">
        <w:rPr>
          <w:rFonts w:cs="Times New Roman"/>
          <w:lang w:val="fr-CA"/>
        </w:rPr>
        <w:t>employeur suivant l</w:t>
      </w:r>
      <w:r>
        <w:rPr>
          <w:rFonts w:cs="Times New Roman"/>
          <w:lang w:val="fr-CA"/>
        </w:rPr>
        <w:t>’</w:t>
      </w:r>
      <w:r w:rsidRPr="00EE22A1">
        <w:rPr>
          <w:rFonts w:cs="Times New Roman"/>
          <w:lang w:val="fr-CA"/>
        </w:rPr>
        <w:t xml:space="preserve">art. 183 de la </w:t>
      </w:r>
      <w:r w:rsidRPr="00EE22A1">
        <w:rPr>
          <w:rFonts w:cs="Times New Roman"/>
          <w:i/>
          <w:lang w:val="fr-CA"/>
        </w:rPr>
        <w:t>Loi</w:t>
      </w:r>
      <w:r w:rsidRPr="00EE22A1">
        <w:rPr>
          <w:rFonts w:cs="Times New Roman"/>
          <w:lang w:val="fr-CA"/>
        </w:rPr>
        <w:t xml:space="preserve">. </w:t>
      </w:r>
    </w:p>
    <w:p w:rsidR="00046CA9" w:rsidRPr="00EE22A1" w:rsidRDefault="00046CA9" w:rsidP="00046CA9">
      <w:pPr>
        <w:pStyle w:val="ParaNoNdepar-AltN"/>
        <w:rPr>
          <w:rFonts w:cs="Times New Roman"/>
          <w:lang w:val="fr-CA"/>
        </w:rPr>
      </w:pPr>
      <w:r w:rsidRPr="00EE22A1">
        <w:rPr>
          <w:rFonts w:cs="Times New Roman"/>
          <w:lang w:val="fr-CA"/>
        </w:rPr>
        <w:lastRenderedPageBreak/>
        <w:t>C</w:t>
      </w:r>
      <w:r>
        <w:rPr>
          <w:rFonts w:cs="Times New Roman"/>
          <w:lang w:val="fr-CA"/>
        </w:rPr>
        <w:t>’</w:t>
      </w:r>
      <w:r w:rsidRPr="00EE22A1">
        <w:rPr>
          <w:rFonts w:cs="Times New Roman"/>
          <w:lang w:val="fr-CA"/>
        </w:rPr>
        <w:t>est dans ce contexte qu</w:t>
      </w:r>
      <w:r>
        <w:rPr>
          <w:rFonts w:cs="Times New Roman"/>
          <w:lang w:val="fr-CA"/>
        </w:rPr>
        <w:t>’</w:t>
      </w:r>
      <w:r w:rsidRPr="00EE22A1">
        <w:rPr>
          <w:rFonts w:cs="Times New Roman"/>
          <w:lang w:val="fr-CA"/>
        </w:rPr>
        <w:t xml:space="preserve">il faut examiner le caractère raisonnable des conclusions de la Commission selon lesquelles la communication des coordonnées résidentielles est requise sous le régime de la </w:t>
      </w:r>
      <w:r w:rsidRPr="00EE22A1">
        <w:rPr>
          <w:rFonts w:cs="Times New Roman"/>
          <w:i/>
          <w:lang w:val="fr-CA"/>
        </w:rPr>
        <w:t>LRTFP</w:t>
      </w:r>
      <w:r w:rsidRPr="00EE22A1">
        <w:rPr>
          <w:rFonts w:cs="Times New Roman"/>
          <w:lang w:val="fr-CA"/>
        </w:rPr>
        <w:t xml:space="preserve"> et autorisée par l</w:t>
      </w:r>
      <w:r>
        <w:rPr>
          <w:rFonts w:cs="Times New Roman"/>
          <w:lang w:val="fr-CA"/>
        </w:rPr>
        <w:t>’</w:t>
      </w:r>
      <w:r w:rsidRPr="00EE22A1">
        <w:rPr>
          <w:rFonts w:cs="Times New Roman"/>
          <w:lang w:val="fr-CA"/>
        </w:rPr>
        <w:t>al. 8(2)</w:t>
      </w:r>
      <w:r w:rsidRPr="00EE22A1">
        <w:rPr>
          <w:rFonts w:cs="Times New Roman"/>
          <w:i/>
          <w:lang w:val="fr-CA"/>
        </w:rPr>
        <w:t>a</w:t>
      </w:r>
      <w:r w:rsidRPr="00EE22A1">
        <w:rPr>
          <w:rFonts w:cs="Times New Roman"/>
          <w:lang w:val="fr-CA"/>
        </w:rPr>
        <w:t xml:space="preserve">) de la </w:t>
      </w:r>
      <w:r w:rsidRPr="00EE22A1">
        <w:rPr>
          <w:rFonts w:cs="Times New Roman"/>
          <w:i/>
          <w:lang w:val="fr-CA"/>
        </w:rPr>
        <w:t xml:space="preserve">LPRP. </w:t>
      </w:r>
      <w:r w:rsidRPr="00EE22A1">
        <w:rPr>
          <w:rFonts w:cs="Times New Roman"/>
          <w:lang w:val="fr-CA"/>
        </w:rPr>
        <w:t xml:space="preserve"> Les dispositions pertinentes de la </w:t>
      </w:r>
      <w:r w:rsidRPr="00EE22A1">
        <w:rPr>
          <w:rFonts w:cs="Times New Roman"/>
          <w:i/>
          <w:lang w:val="fr-CA"/>
        </w:rPr>
        <w:t>LRTFP</w:t>
      </w:r>
      <w:r w:rsidRPr="00EE22A1">
        <w:rPr>
          <w:rFonts w:cs="Times New Roman"/>
          <w:lang w:val="fr-CA"/>
        </w:rPr>
        <w:t xml:space="preserve"> sont rédigées en ces termes : </w:t>
      </w:r>
    </w:p>
    <w:p w:rsidR="00046CA9" w:rsidRPr="00EE22A1" w:rsidRDefault="00CA3C3F" w:rsidP="00CA3C3F">
      <w:pPr>
        <w:pStyle w:val="Citation-AltC"/>
        <w:tabs>
          <w:tab w:val="left" w:pos="1620"/>
        </w:tabs>
        <w:spacing w:after="240"/>
        <w:ind w:left="1170" w:hanging="1170"/>
        <w:contextualSpacing w:val="0"/>
        <w:rPr>
          <w:lang w:val="fr-CA"/>
        </w:rPr>
      </w:pPr>
      <w:r>
        <w:rPr>
          <w:b/>
          <w:bCs/>
          <w:lang w:val="fr-CA"/>
        </w:rPr>
        <w:tab/>
      </w:r>
      <w:r>
        <w:rPr>
          <w:b/>
          <w:bCs/>
          <w:lang w:val="fr-CA"/>
        </w:rPr>
        <w:tab/>
      </w:r>
      <w:r w:rsidR="00046CA9" w:rsidRPr="00EE22A1">
        <w:rPr>
          <w:b/>
          <w:bCs/>
          <w:lang w:val="fr-CA"/>
        </w:rPr>
        <w:t>185.</w:t>
      </w:r>
      <w:r>
        <w:rPr>
          <w:b/>
          <w:bCs/>
          <w:lang w:val="fr-CA"/>
        </w:rPr>
        <w:t xml:space="preserve"> </w:t>
      </w:r>
      <w:r w:rsidRPr="00CA3C3F">
        <w:rPr>
          <w:bCs/>
          <w:lang w:val="fr-CA"/>
        </w:rPr>
        <w:t>[</w:t>
      </w:r>
      <w:r w:rsidRPr="00EE22A1">
        <w:rPr>
          <w:lang w:val="fr-CA"/>
        </w:rPr>
        <w:t>Définition de « pratiques déloyales »</w:t>
      </w:r>
      <w:r>
        <w:rPr>
          <w:lang w:val="fr-CA"/>
        </w:rPr>
        <w:t xml:space="preserve">] </w:t>
      </w:r>
      <w:r w:rsidR="00046CA9" w:rsidRPr="00EE22A1">
        <w:rPr>
          <w:lang w:val="fr-CA"/>
        </w:rPr>
        <w:t>Dans la présente section, « </w:t>
      </w:r>
      <w:r w:rsidR="00046CA9" w:rsidRPr="00EE22A1">
        <w:rPr>
          <w:i/>
          <w:lang w:val="fr-CA"/>
        </w:rPr>
        <w:t>pratiques déloyales</w:t>
      </w:r>
      <w:r w:rsidR="00046CA9" w:rsidRPr="00EE22A1">
        <w:rPr>
          <w:lang w:val="fr-CA"/>
        </w:rPr>
        <w:t> » s</w:t>
      </w:r>
      <w:r w:rsidR="00046CA9">
        <w:rPr>
          <w:lang w:val="fr-CA"/>
        </w:rPr>
        <w:t>’</w:t>
      </w:r>
      <w:r w:rsidR="00046CA9" w:rsidRPr="00EE22A1">
        <w:rPr>
          <w:lang w:val="fr-CA"/>
        </w:rPr>
        <w:t>entend de tout ce qui est interdit par les paragraphes 186(1) et (2), les articles 187 et 188 et le paragraphe 189(1).</w:t>
      </w:r>
    </w:p>
    <w:p w:rsidR="00046CA9" w:rsidRPr="00EE22A1" w:rsidRDefault="00046CA9" w:rsidP="00CA3C3F">
      <w:pPr>
        <w:pStyle w:val="Citation-AltC"/>
        <w:tabs>
          <w:tab w:val="left" w:pos="1620"/>
        </w:tabs>
        <w:spacing w:after="240"/>
        <w:ind w:left="1170" w:hanging="1170"/>
        <w:contextualSpacing w:val="0"/>
        <w:rPr>
          <w:lang w:val="fr-CA"/>
        </w:rPr>
      </w:pPr>
      <w:r w:rsidRPr="00EE22A1">
        <w:rPr>
          <w:lang w:val="fr-CA"/>
        </w:rPr>
        <w:tab/>
      </w:r>
      <w:r w:rsidR="00CA3C3F">
        <w:rPr>
          <w:b/>
          <w:lang w:val="fr-CA"/>
        </w:rPr>
        <w:tab/>
      </w:r>
      <w:r w:rsidRPr="00EE22A1">
        <w:rPr>
          <w:b/>
          <w:lang w:val="fr-CA"/>
        </w:rPr>
        <w:t>186. </w:t>
      </w:r>
      <w:r w:rsidR="00CA3C3F">
        <w:rPr>
          <w:lang w:val="fr-CA"/>
        </w:rPr>
        <w:t>[</w:t>
      </w:r>
      <w:r w:rsidR="00CA3C3F" w:rsidRPr="00EE22A1">
        <w:rPr>
          <w:lang w:val="fr-CA"/>
        </w:rPr>
        <w:t>Pratiques déloyales par l</w:t>
      </w:r>
      <w:r w:rsidR="00CA3C3F">
        <w:rPr>
          <w:lang w:val="fr-CA"/>
        </w:rPr>
        <w:t>’</w:t>
      </w:r>
      <w:r w:rsidR="00CA3C3F" w:rsidRPr="00EE22A1">
        <w:rPr>
          <w:lang w:val="fr-CA"/>
        </w:rPr>
        <w:t>employeur</w:t>
      </w:r>
      <w:r w:rsidR="00CA3C3F">
        <w:rPr>
          <w:lang w:val="fr-CA"/>
        </w:rPr>
        <w:t>]</w:t>
      </w:r>
      <w:r w:rsidRPr="00EE22A1">
        <w:rPr>
          <w:b/>
          <w:lang w:val="fr-CA"/>
        </w:rPr>
        <w:t> </w:t>
      </w:r>
      <w:r w:rsidR="00CA3C3F">
        <w:rPr>
          <w:lang w:val="fr-CA"/>
        </w:rPr>
        <w:t xml:space="preserve">(1) </w:t>
      </w:r>
      <w:r w:rsidRPr="00EE22A1">
        <w:rPr>
          <w:lang w:val="fr-CA"/>
        </w:rPr>
        <w:t>Il est interdit à l</w:t>
      </w:r>
      <w:r>
        <w:rPr>
          <w:lang w:val="fr-CA"/>
        </w:rPr>
        <w:t>’</w:t>
      </w:r>
      <w:r w:rsidRPr="00EE22A1">
        <w:rPr>
          <w:lang w:val="fr-CA"/>
        </w:rPr>
        <w:t>employeur et au titulaire d</w:t>
      </w:r>
      <w:r>
        <w:rPr>
          <w:lang w:val="fr-CA"/>
        </w:rPr>
        <w:t>’</w:t>
      </w:r>
      <w:r w:rsidRPr="00EE22A1">
        <w:rPr>
          <w:lang w:val="fr-CA"/>
        </w:rPr>
        <w:t>un poste de direction ou de confiance, qu</w:t>
      </w:r>
      <w:r>
        <w:rPr>
          <w:lang w:val="fr-CA"/>
        </w:rPr>
        <w:t>’</w:t>
      </w:r>
      <w:r w:rsidRPr="00EE22A1">
        <w:rPr>
          <w:lang w:val="fr-CA"/>
        </w:rPr>
        <w:t>il agisse ou non pour le compte de l</w:t>
      </w:r>
      <w:r>
        <w:rPr>
          <w:lang w:val="fr-CA"/>
        </w:rPr>
        <w:t>’</w:t>
      </w:r>
      <w:r w:rsidRPr="00EE22A1">
        <w:rPr>
          <w:lang w:val="fr-CA"/>
        </w:rPr>
        <w:t>employeur :</w:t>
      </w:r>
    </w:p>
    <w:p w:rsidR="00411207" w:rsidRDefault="00411207" w:rsidP="00411207">
      <w:pPr>
        <w:pStyle w:val="Citation-AltC"/>
        <w:tabs>
          <w:tab w:val="left" w:pos="1620"/>
        </w:tabs>
        <w:ind w:left="1620" w:hanging="1620"/>
        <w:contextualSpacing w:val="0"/>
        <w:rPr>
          <w:lang w:val="fr-CA"/>
        </w:rPr>
      </w:pPr>
      <w:r>
        <w:rPr>
          <w:i/>
          <w:lang w:val="fr-CA"/>
        </w:rPr>
        <w:tab/>
      </w:r>
      <w:r w:rsidR="00046CA9" w:rsidRPr="00EE22A1">
        <w:rPr>
          <w:i/>
          <w:lang w:val="fr-CA"/>
        </w:rPr>
        <w:t>a</w:t>
      </w:r>
      <w:r w:rsidR="00046CA9" w:rsidRPr="00EE22A1">
        <w:rPr>
          <w:lang w:val="fr-CA"/>
        </w:rPr>
        <w:t>)</w:t>
      </w:r>
      <w:r>
        <w:rPr>
          <w:lang w:val="fr-CA"/>
        </w:rPr>
        <w:t xml:space="preserve"> </w:t>
      </w:r>
      <w:r w:rsidR="00046CA9" w:rsidRPr="00EE22A1">
        <w:rPr>
          <w:lang w:val="fr-CA"/>
        </w:rPr>
        <w:t>de participer à la formation ou à l</w:t>
      </w:r>
      <w:r w:rsidR="00046CA9">
        <w:rPr>
          <w:lang w:val="fr-CA"/>
        </w:rPr>
        <w:t>’</w:t>
      </w:r>
      <w:r w:rsidR="00046CA9" w:rsidRPr="00EE22A1">
        <w:rPr>
          <w:lang w:val="fr-CA"/>
        </w:rPr>
        <w:t>administration d</w:t>
      </w:r>
      <w:r w:rsidR="00046CA9">
        <w:rPr>
          <w:lang w:val="fr-CA"/>
        </w:rPr>
        <w:t>’</w:t>
      </w:r>
      <w:r w:rsidR="00046CA9" w:rsidRPr="00EE22A1">
        <w:rPr>
          <w:lang w:val="fr-CA"/>
        </w:rPr>
        <w:t>une organisation syndicale ou d</w:t>
      </w:r>
      <w:r w:rsidR="00046CA9">
        <w:rPr>
          <w:lang w:val="fr-CA"/>
        </w:rPr>
        <w:t>’</w:t>
      </w:r>
      <w:r w:rsidR="00046CA9" w:rsidRPr="00EE22A1">
        <w:rPr>
          <w:lang w:val="fr-CA"/>
        </w:rPr>
        <w:t>intervenir dans l</w:t>
      </w:r>
      <w:r w:rsidR="00046CA9">
        <w:rPr>
          <w:lang w:val="fr-CA"/>
        </w:rPr>
        <w:t>’</w:t>
      </w:r>
      <w:r w:rsidR="00046CA9" w:rsidRPr="00EE22A1">
        <w:rPr>
          <w:lang w:val="fr-CA"/>
        </w:rPr>
        <w:t>une ou l</w:t>
      </w:r>
      <w:r w:rsidR="00046CA9">
        <w:rPr>
          <w:lang w:val="fr-CA"/>
        </w:rPr>
        <w:t>’</w:t>
      </w:r>
      <w:r w:rsidR="00046CA9" w:rsidRPr="00EE22A1">
        <w:rPr>
          <w:lang w:val="fr-CA"/>
        </w:rPr>
        <w:t>autre ou dans la représentation des fonctionnaires par celle</w:t>
      </w:r>
      <w:r w:rsidR="00CA3C3F">
        <w:rPr>
          <w:lang w:val="fr-CA"/>
        </w:rPr>
        <w:t>-</w:t>
      </w:r>
      <w:r w:rsidR="00046CA9" w:rsidRPr="00EE22A1">
        <w:rPr>
          <w:lang w:val="fr-CA"/>
        </w:rPr>
        <w:t>ci</w:t>
      </w:r>
      <w:r>
        <w:rPr>
          <w:lang w:val="fr-CA"/>
        </w:rPr>
        <w:t xml:space="preserve"> . . .</w:t>
      </w:r>
    </w:p>
    <w:p w:rsidR="00046CA9" w:rsidRPr="00EE22A1" w:rsidRDefault="00046CA9" w:rsidP="00046CA9">
      <w:pPr>
        <w:pStyle w:val="ParaNoNdepar-AltN"/>
        <w:rPr>
          <w:rFonts w:cs="Times New Roman"/>
          <w:lang w:val="fr-CA"/>
        </w:rPr>
      </w:pPr>
      <w:r w:rsidRPr="00EE22A1">
        <w:rPr>
          <w:rFonts w:cs="Times New Roman"/>
          <w:lang w:val="fr-CA"/>
        </w:rPr>
        <w:t>La Commission a conclu que le refus de l</w:t>
      </w:r>
      <w:r>
        <w:rPr>
          <w:rFonts w:cs="Times New Roman"/>
          <w:lang w:val="fr-CA"/>
        </w:rPr>
        <w:t>’</w:t>
      </w:r>
      <w:r w:rsidRPr="00EE22A1">
        <w:rPr>
          <w:rFonts w:cs="Times New Roman"/>
          <w:lang w:val="fr-CA"/>
        </w:rPr>
        <w:t>employeur de communiquer les coordonnées résidentielles des employés constituait une pratique déloyale de travail parce qu</w:t>
      </w:r>
      <w:r>
        <w:rPr>
          <w:rFonts w:cs="Times New Roman"/>
          <w:lang w:val="fr-CA"/>
        </w:rPr>
        <w:t>’</w:t>
      </w:r>
      <w:r w:rsidRPr="00EE22A1">
        <w:rPr>
          <w:rFonts w:cs="Times New Roman"/>
          <w:lang w:val="fr-CA"/>
        </w:rPr>
        <w:t>il inter</w:t>
      </w:r>
      <w:r>
        <w:rPr>
          <w:rFonts w:cs="Times New Roman"/>
          <w:lang w:val="fr-CA"/>
        </w:rPr>
        <w:t>ven</w:t>
      </w:r>
      <w:r w:rsidRPr="00EE22A1">
        <w:rPr>
          <w:rFonts w:cs="Times New Roman"/>
          <w:lang w:val="fr-CA"/>
        </w:rPr>
        <w:t xml:space="preserve">ait ainsi dans la représentation des fonctionnaires par le syndicat.  Cette conclusion repose sur deux fondements.  </w:t>
      </w:r>
      <w:r w:rsidR="00CA3C3F">
        <w:rPr>
          <w:rFonts w:cs="Times New Roman"/>
          <w:lang w:val="fr-CA"/>
        </w:rPr>
        <w:t>Selon le premier</w:t>
      </w:r>
      <w:r w:rsidRPr="00EE22A1">
        <w:rPr>
          <w:rFonts w:cs="Times New Roman"/>
          <w:lang w:val="fr-CA"/>
        </w:rPr>
        <w:t>, pour pouvoir s</w:t>
      </w:r>
      <w:r>
        <w:rPr>
          <w:rFonts w:cs="Times New Roman"/>
          <w:lang w:val="fr-CA"/>
        </w:rPr>
        <w:t>’</w:t>
      </w:r>
      <w:r w:rsidRPr="00EE22A1">
        <w:rPr>
          <w:rFonts w:cs="Times New Roman"/>
          <w:lang w:val="fr-CA"/>
        </w:rPr>
        <w:t xml:space="preserve">acquitter de ses obligations de représentation, le syndicat doit disposer de moyens </w:t>
      </w:r>
      <w:r w:rsidRPr="00EE22A1">
        <w:rPr>
          <w:rFonts w:cs="Times New Roman"/>
          <w:i/>
          <w:lang w:val="fr-CA"/>
        </w:rPr>
        <w:t>efficaces</w:t>
      </w:r>
      <w:r w:rsidRPr="00EE22A1">
        <w:rPr>
          <w:rFonts w:cs="Times New Roman"/>
          <w:lang w:val="fr-CA"/>
        </w:rPr>
        <w:t xml:space="preserve"> de communiquer avec les employés.  C</w:t>
      </w:r>
      <w:r>
        <w:rPr>
          <w:rFonts w:cs="Times New Roman"/>
          <w:lang w:val="fr-CA"/>
        </w:rPr>
        <w:t>’</w:t>
      </w:r>
      <w:r w:rsidRPr="00EE22A1">
        <w:rPr>
          <w:rFonts w:cs="Times New Roman"/>
          <w:lang w:val="fr-CA"/>
        </w:rPr>
        <w:t xml:space="preserve">est ce qui a été expliqué dans la décision </w:t>
      </w:r>
      <w:proofErr w:type="spellStart"/>
      <w:r w:rsidRPr="00EE22A1">
        <w:rPr>
          <w:rFonts w:cs="Times New Roman"/>
          <w:i/>
          <w:lang w:val="fr-CA"/>
        </w:rPr>
        <w:t>Millcroft</w:t>
      </w:r>
      <w:proofErr w:type="spellEnd"/>
      <w:r w:rsidRPr="00EE22A1">
        <w:rPr>
          <w:rFonts w:cs="Times New Roman"/>
          <w:lang w:val="fr-CA"/>
        </w:rPr>
        <w:t>, dans laquelle la Commission des relations de travail de l</w:t>
      </w:r>
      <w:r>
        <w:rPr>
          <w:rFonts w:cs="Times New Roman"/>
          <w:lang w:val="fr-CA"/>
        </w:rPr>
        <w:t>’</w:t>
      </w:r>
      <w:r w:rsidRPr="00EE22A1">
        <w:rPr>
          <w:rFonts w:cs="Times New Roman"/>
          <w:lang w:val="fr-CA"/>
        </w:rPr>
        <w:t>Ontario a examiné en profondeur les obligations du syndicat et conclu que, pour s</w:t>
      </w:r>
      <w:r>
        <w:rPr>
          <w:rFonts w:cs="Times New Roman"/>
          <w:lang w:val="fr-CA"/>
        </w:rPr>
        <w:t>’</w:t>
      </w:r>
      <w:r w:rsidRPr="00EE22A1">
        <w:rPr>
          <w:rFonts w:cs="Times New Roman"/>
          <w:lang w:val="fr-CA"/>
        </w:rPr>
        <w:t xml:space="preserve">acquitter de </w:t>
      </w:r>
      <w:proofErr w:type="spellStart"/>
      <w:r w:rsidRPr="00EE22A1">
        <w:rPr>
          <w:rFonts w:cs="Times New Roman"/>
          <w:lang w:val="fr-CA"/>
        </w:rPr>
        <w:t>celles</w:t>
      </w:r>
      <w:r w:rsidRPr="00EE22A1">
        <w:rPr>
          <w:rFonts w:cs="Times New Roman"/>
          <w:lang w:val="fr-CA"/>
        </w:rPr>
        <w:noBreakHyphen/>
        <w:t>ci</w:t>
      </w:r>
      <w:proofErr w:type="spellEnd"/>
      <w:r w:rsidRPr="00EE22A1">
        <w:rPr>
          <w:rFonts w:cs="Times New Roman"/>
          <w:lang w:val="fr-CA"/>
        </w:rPr>
        <w:t>, le syndicat doit [</w:t>
      </w:r>
      <w:r w:rsidRPr="00EE22A1">
        <w:rPr>
          <w:rFonts w:cs="Times New Roman"/>
          <w:smallCaps/>
          <w:lang w:val="fr-CA"/>
        </w:rPr>
        <w:t>traduction</w:t>
      </w:r>
      <w:r w:rsidRPr="00EE22A1">
        <w:rPr>
          <w:rFonts w:cs="Times New Roman"/>
          <w:lang w:val="fr-CA"/>
        </w:rPr>
        <w:t>] « pouvoir communiquer sans difficulté avec les employés » et « obtenir [leurs coordonnées] sans devoir surmonter les obstacles qu</w:t>
      </w:r>
      <w:r>
        <w:rPr>
          <w:rFonts w:cs="Times New Roman"/>
          <w:lang w:val="fr-CA"/>
        </w:rPr>
        <w:t>’</w:t>
      </w:r>
      <w:r w:rsidRPr="00EE22A1">
        <w:rPr>
          <w:rFonts w:cs="Times New Roman"/>
          <w:lang w:val="fr-CA"/>
        </w:rPr>
        <w:t>évoque l</w:t>
      </w:r>
      <w:r>
        <w:rPr>
          <w:rFonts w:cs="Times New Roman"/>
          <w:lang w:val="fr-CA"/>
        </w:rPr>
        <w:t>’</w:t>
      </w:r>
      <w:r w:rsidRPr="00EE22A1">
        <w:rPr>
          <w:rFonts w:cs="Times New Roman"/>
          <w:lang w:val="fr-CA"/>
        </w:rPr>
        <w:t xml:space="preserve">employeur » : par. 33. </w:t>
      </w:r>
    </w:p>
    <w:p w:rsidR="00046CA9" w:rsidRPr="00EE22A1" w:rsidRDefault="00046CA9" w:rsidP="00046CA9">
      <w:pPr>
        <w:pStyle w:val="ParaNoNdepar-AltN"/>
        <w:rPr>
          <w:rFonts w:cs="Times New Roman"/>
          <w:lang w:val="fr-CA"/>
        </w:rPr>
      </w:pPr>
      <w:r w:rsidRPr="00EE22A1">
        <w:rPr>
          <w:rFonts w:cs="Times New Roman"/>
          <w:lang w:val="fr-CA"/>
        </w:rPr>
        <w:lastRenderedPageBreak/>
        <w:t>La Commission a expliqué pourquoi les coordonnées des employés au travail sont insuffisantes pour permettre au syndicat de satisfaire à ses obligations envers les employés de l</w:t>
      </w:r>
      <w:r>
        <w:rPr>
          <w:rFonts w:cs="Times New Roman"/>
          <w:lang w:val="fr-CA"/>
        </w:rPr>
        <w:t>’</w:t>
      </w:r>
      <w:r w:rsidRPr="00EE22A1">
        <w:rPr>
          <w:rFonts w:cs="Times New Roman"/>
          <w:lang w:val="fr-CA"/>
        </w:rPr>
        <w:t>unité de négociation : il n</w:t>
      </w:r>
      <w:r>
        <w:rPr>
          <w:rFonts w:cs="Times New Roman"/>
          <w:lang w:val="fr-CA"/>
        </w:rPr>
        <w:t>’</w:t>
      </w:r>
      <w:r w:rsidRPr="00EE22A1">
        <w:rPr>
          <w:rFonts w:cs="Times New Roman"/>
          <w:lang w:val="fr-CA"/>
        </w:rPr>
        <w:t>est pas convenable que l</w:t>
      </w:r>
      <w:r>
        <w:rPr>
          <w:rFonts w:cs="Times New Roman"/>
          <w:lang w:val="fr-CA"/>
        </w:rPr>
        <w:t>’</w:t>
      </w:r>
      <w:r w:rsidRPr="00EE22A1">
        <w:rPr>
          <w:rFonts w:cs="Times New Roman"/>
          <w:lang w:val="fr-CA"/>
        </w:rPr>
        <w:t>agent négociateur utilise les installations de l</w:t>
      </w:r>
      <w:r>
        <w:rPr>
          <w:rFonts w:cs="Times New Roman"/>
          <w:lang w:val="fr-CA"/>
        </w:rPr>
        <w:t>’</w:t>
      </w:r>
      <w:r w:rsidRPr="00EE22A1">
        <w:rPr>
          <w:rFonts w:cs="Times New Roman"/>
          <w:lang w:val="fr-CA"/>
        </w:rPr>
        <w:t>employeur pour mener ses activités; les informations que les agents négociateurs souhaitent communiquer au travail doivent être examinées par l</w:t>
      </w:r>
      <w:r>
        <w:rPr>
          <w:rFonts w:cs="Times New Roman"/>
          <w:lang w:val="fr-CA"/>
        </w:rPr>
        <w:t>’</w:t>
      </w:r>
      <w:r w:rsidRPr="00EE22A1">
        <w:rPr>
          <w:rFonts w:cs="Times New Roman"/>
          <w:lang w:val="fr-CA"/>
        </w:rPr>
        <w:t>employeur avant d</w:t>
      </w:r>
      <w:r>
        <w:rPr>
          <w:rFonts w:cs="Times New Roman"/>
          <w:lang w:val="fr-CA"/>
        </w:rPr>
        <w:t>’</w:t>
      </w:r>
      <w:r w:rsidRPr="00EE22A1">
        <w:rPr>
          <w:rFonts w:cs="Times New Roman"/>
          <w:lang w:val="fr-CA"/>
        </w:rPr>
        <w:t xml:space="preserve">être diffusées; les communications électroniques effectuées au travail ne donnent lieu à aucune attente en matière de respect de la vie privée; et le syndicat doit pouvoir communiquer avec les employés rapidement et efficacement, surtout lorsque </w:t>
      </w:r>
      <w:proofErr w:type="spellStart"/>
      <w:r w:rsidRPr="00EE22A1">
        <w:rPr>
          <w:rFonts w:cs="Times New Roman"/>
          <w:lang w:val="fr-CA"/>
        </w:rPr>
        <w:t>ceux</w:t>
      </w:r>
      <w:r w:rsidRPr="00EE22A1">
        <w:rPr>
          <w:rFonts w:cs="Times New Roman"/>
          <w:lang w:val="fr-CA"/>
        </w:rPr>
        <w:noBreakHyphen/>
        <w:t>ci</w:t>
      </w:r>
      <w:proofErr w:type="spellEnd"/>
      <w:r w:rsidRPr="00EE22A1">
        <w:rPr>
          <w:rFonts w:cs="Times New Roman"/>
          <w:lang w:val="fr-CA"/>
        </w:rPr>
        <w:t xml:space="preserve"> sont dispersés. </w:t>
      </w:r>
    </w:p>
    <w:p w:rsidR="00046CA9" w:rsidRPr="00EE22A1" w:rsidRDefault="00046CA9" w:rsidP="00046CA9">
      <w:pPr>
        <w:pStyle w:val="ParaNoNdepar-AltN"/>
        <w:rPr>
          <w:rFonts w:cs="Times New Roman"/>
          <w:lang w:val="fr-CA"/>
        </w:rPr>
      </w:pPr>
      <w:r w:rsidRPr="00EE22A1">
        <w:rPr>
          <w:rFonts w:cs="Times New Roman"/>
          <w:lang w:val="fr-CA"/>
        </w:rPr>
        <w:t>Le deuxième fondement — plus théorique — sur lequel repose l</w:t>
      </w:r>
      <w:r>
        <w:rPr>
          <w:rFonts w:cs="Times New Roman"/>
          <w:lang w:val="fr-CA"/>
        </w:rPr>
        <w:t>’</w:t>
      </w:r>
      <w:r w:rsidRPr="00EE22A1">
        <w:rPr>
          <w:rFonts w:cs="Times New Roman"/>
          <w:lang w:val="fr-CA"/>
        </w:rPr>
        <w:t>obligation de l</w:t>
      </w:r>
      <w:r>
        <w:rPr>
          <w:rFonts w:cs="Times New Roman"/>
          <w:lang w:val="fr-CA"/>
        </w:rPr>
        <w:t>’</w:t>
      </w:r>
      <w:r w:rsidRPr="00EE22A1">
        <w:rPr>
          <w:rFonts w:cs="Times New Roman"/>
          <w:lang w:val="fr-CA"/>
        </w:rPr>
        <w:t>employeur de communiquer les coordonnées résidentielles des employés est le suivant : le syndicat et l</w:t>
      </w:r>
      <w:r>
        <w:rPr>
          <w:rFonts w:cs="Times New Roman"/>
          <w:lang w:val="fr-CA"/>
        </w:rPr>
        <w:t>’</w:t>
      </w:r>
      <w:r w:rsidRPr="00EE22A1">
        <w:rPr>
          <w:rFonts w:cs="Times New Roman"/>
          <w:lang w:val="fr-CA"/>
        </w:rPr>
        <w:t>employeur doivent être sur un pied d</w:t>
      </w:r>
      <w:r>
        <w:rPr>
          <w:rFonts w:cs="Times New Roman"/>
          <w:lang w:val="fr-CA"/>
        </w:rPr>
        <w:t>’</w:t>
      </w:r>
      <w:r w:rsidRPr="00EE22A1">
        <w:rPr>
          <w:rFonts w:cs="Times New Roman"/>
          <w:lang w:val="fr-CA"/>
        </w:rPr>
        <w:t>égalité en ce qui concerne les renseignements pertinents quant à la relation de négociation collective.  En outre, compte tenu de la relation tripartite qui lie l</w:t>
      </w:r>
      <w:r>
        <w:rPr>
          <w:rFonts w:cs="Times New Roman"/>
          <w:lang w:val="fr-CA"/>
        </w:rPr>
        <w:t>’</w:t>
      </w:r>
      <w:r w:rsidRPr="00EE22A1">
        <w:rPr>
          <w:rFonts w:cs="Times New Roman"/>
          <w:lang w:val="fr-CA"/>
        </w:rPr>
        <w:t>employé, l</w:t>
      </w:r>
      <w:r>
        <w:rPr>
          <w:rFonts w:cs="Times New Roman"/>
          <w:lang w:val="fr-CA"/>
        </w:rPr>
        <w:t>’</w:t>
      </w:r>
      <w:r w:rsidRPr="00EE22A1">
        <w:rPr>
          <w:rFonts w:cs="Times New Roman"/>
          <w:lang w:val="fr-CA"/>
        </w:rPr>
        <w:t>employeur et le syndicat, la communication de renseignements personnels au syndicat n</w:t>
      </w:r>
      <w:r>
        <w:rPr>
          <w:rFonts w:cs="Times New Roman"/>
          <w:lang w:val="fr-CA"/>
        </w:rPr>
        <w:t>’</w:t>
      </w:r>
      <w:r w:rsidRPr="00EE22A1">
        <w:rPr>
          <w:rFonts w:cs="Times New Roman"/>
          <w:lang w:val="fr-CA"/>
        </w:rPr>
        <w:t>est pas assimilable à la divulgation de renseignements personnels au public.  Dans la mesure où l</w:t>
      </w:r>
      <w:r>
        <w:rPr>
          <w:rFonts w:cs="Times New Roman"/>
          <w:lang w:val="fr-CA"/>
        </w:rPr>
        <w:t>’</w:t>
      </w:r>
      <w:r w:rsidRPr="00EE22A1">
        <w:rPr>
          <w:rFonts w:cs="Times New Roman"/>
          <w:lang w:val="fr-CA"/>
        </w:rPr>
        <w:t>employeur détient des renseignements importants pour le syndicat dans l</w:t>
      </w:r>
      <w:r>
        <w:rPr>
          <w:rFonts w:cs="Times New Roman"/>
          <w:lang w:val="fr-CA"/>
        </w:rPr>
        <w:t>’</w:t>
      </w:r>
      <w:r w:rsidRPr="00EE22A1">
        <w:rPr>
          <w:rFonts w:cs="Times New Roman"/>
          <w:lang w:val="fr-CA"/>
        </w:rPr>
        <w:t>exercice de ses fonctions de représentation des employés, il doit les lui communiquer.  C</w:t>
      </w:r>
      <w:r>
        <w:rPr>
          <w:rFonts w:cs="Times New Roman"/>
          <w:lang w:val="fr-CA"/>
        </w:rPr>
        <w:t>’</w:t>
      </w:r>
      <w:r w:rsidRPr="00EE22A1">
        <w:rPr>
          <w:rFonts w:cs="Times New Roman"/>
          <w:lang w:val="fr-CA"/>
        </w:rPr>
        <w:t xml:space="preserve">est ce qui a été expliqué dans </w:t>
      </w:r>
      <w:proofErr w:type="spellStart"/>
      <w:r w:rsidRPr="00EE22A1">
        <w:rPr>
          <w:rFonts w:cs="Times New Roman"/>
          <w:i/>
          <w:lang w:val="fr-CA"/>
        </w:rPr>
        <w:t>Millcroft</w:t>
      </w:r>
      <w:proofErr w:type="spellEnd"/>
      <w:r w:rsidRPr="00EE22A1">
        <w:rPr>
          <w:rFonts w:cs="Times New Roman"/>
          <w:i/>
          <w:lang w:val="fr-CA"/>
        </w:rPr>
        <w:t> </w:t>
      </w:r>
      <w:r w:rsidRPr="00A41B4A">
        <w:rPr>
          <w:rFonts w:cs="Times New Roman"/>
          <w:lang w:val="fr-CA"/>
        </w:rPr>
        <w:t>:</w:t>
      </w:r>
    </w:p>
    <w:p w:rsidR="00046CA9" w:rsidRPr="00EE22A1" w:rsidRDefault="00046CA9" w:rsidP="00046CA9">
      <w:pPr>
        <w:pStyle w:val="Citation-AltC"/>
        <w:ind w:hanging="1166"/>
        <w:contextualSpacing w:val="0"/>
        <w:rPr>
          <w:lang w:val="fr-CA"/>
        </w:rPr>
      </w:pPr>
      <w:r w:rsidRPr="00EE22A1">
        <w:rPr>
          <w:lang w:val="fr-CA"/>
        </w:rPr>
        <w:tab/>
      </w:r>
      <w:r w:rsidR="00A41B4A">
        <w:rPr>
          <w:lang w:val="fr-CA"/>
        </w:rPr>
        <w:tab/>
      </w:r>
      <w:r w:rsidRPr="00EE22A1">
        <w:rPr>
          <w:lang w:val="fr-CA"/>
        </w:rPr>
        <w:t>[</w:t>
      </w:r>
      <w:r w:rsidRPr="00EE22A1">
        <w:rPr>
          <w:smallCaps/>
          <w:lang w:val="fr-CA"/>
        </w:rPr>
        <w:t>traduction</w:t>
      </w:r>
      <w:r w:rsidRPr="00EE22A1">
        <w:rPr>
          <w:lang w:val="fr-CA"/>
        </w:rPr>
        <w:t>]  Du statut du syndicat d</w:t>
      </w:r>
      <w:r>
        <w:rPr>
          <w:lang w:val="fr-CA"/>
        </w:rPr>
        <w:t>’</w:t>
      </w:r>
      <w:r w:rsidRPr="00EE22A1">
        <w:rPr>
          <w:lang w:val="fr-CA"/>
        </w:rPr>
        <w:t>agent négociateur exclusif des employés découle notamment le fait qu</w:t>
      </w:r>
      <w:r>
        <w:rPr>
          <w:lang w:val="fr-CA"/>
        </w:rPr>
        <w:t>’</w:t>
      </w:r>
      <w:r w:rsidRPr="00EE22A1">
        <w:rPr>
          <w:lang w:val="fr-CA"/>
        </w:rPr>
        <w:t>il est l</w:t>
      </w:r>
      <w:r>
        <w:rPr>
          <w:lang w:val="fr-CA"/>
        </w:rPr>
        <w:t>’</w:t>
      </w:r>
      <w:r w:rsidRPr="00EE22A1">
        <w:rPr>
          <w:lang w:val="fr-CA"/>
        </w:rPr>
        <w:t>égal de l</w:t>
      </w:r>
      <w:r>
        <w:rPr>
          <w:lang w:val="fr-CA"/>
        </w:rPr>
        <w:t>’</w:t>
      </w:r>
      <w:r w:rsidRPr="00EE22A1">
        <w:rPr>
          <w:lang w:val="fr-CA"/>
        </w:rPr>
        <w:t>employeur dans sa relation de négociation collective.  Dans la mesure où l</w:t>
      </w:r>
      <w:r>
        <w:rPr>
          <w:lang w:val="fr-CA"/>
        </w:rPr>
        <w:t>’</w:t>
      </w:r>
      <w:r w:rsidRPr="00EE22A1">
        <w:rPr>
          <w:lang w:val="fr-CA"/>
        </w:rPr>
        <w:t xml:space="preserve">employeur détient des renseignements importants pour la capacité du syndicat de représenter les employés (comme leur nom, leur adresse et leur numéro </w:t>
      </w:r>
      <w:r w:rsidRPr="00EE22A1">
        <w:rPr>
          <w:lang w:val="fr-CA"/>
        </w:rPr>
        <w:lastRenderedPageBreak/>
        <w:t>de téléphone), le syndicat devrait aussi les avoir.  Les droits à la protection des renseignements personnels des employés sont sapés (sans aucun doute à juste titre) du fait que l</w:t>
      </w:r>
      <w:r>
        <w:rPr>
          <w:lang w:val="fr-CA"/>
        </w:rPr>
        <w:t>’</w:t>
      </w:r>
      <w:r w:rsidRPr="00EE22A1">
        <w:rPr>
          <w:lang w:val="fr-CA"/>
        </w:rPr>
        <w:t>employeur connaît leur nom, leur adresse et leur numéro de téléphone.  L</w:t>
      </w:r>
      <w:r>
        <w:rPr>
          <w:lang w:val="fr-CA"/>
        </w:rPr>
        <w:t>’</w:t>
      </w:r>
      <w:r w:rsidRPr="00EE22A1">
        <w:rPr>
          <w:lang w:val="fr-CA"/>
        </w:rPr>
        <w:t>acquisition de ces renseignements par le syndicat ne saperait pas davantage les droits des employés et ne serait pas moins légitime.  [</w:t>
      </w:r>
      <w:proofErr w:type="gramStart"/>
      <w:r w:rsidRPr="00EE22A1">
        <w:rPr>
          <w:lang w:val="fr-CA"/>
        </w:rPr>
        <w:t>par</w:t>
      </w:r>
      <w:proofErr w:type="gramEnd"/>
      <w:r w:rsidRPr="00EE22A1">
        <w:rPr>
          <w:lang w:val="fr-CA"/>
        </w:rPr>
        <w:t>. 31]</w:t>
      </w:r>
    </w:p>
    <w:p w:rsidR="00046CA9" w:rsidRPr="00EE22A1" w:rsidRDefault="00046CA9" w:rsidP="00046CA9">
      <w:pPr>
        <w:pStyle w:val="ParaNoNdepar-AltN"/>
        <w:rPr>
          <w:rFonts w:cs="Times New Roman"/>
          <w:lang w:val="fr-CA"/>
        </w:rPr>
      </w:pPr>
      <w:r w:rsidRPr="00EE22A1">
        <w:rPr>
          <w:rFonts w:cs="Times New Roman"/>
          <w:lang w:val="fr-CA"/>
        </w:rPr>
        <w:t>Les conclusions de la Commission sont clairement justifiées.  Le besoin du syndicat de pouvoir communiquer avec les employés de l</w:t>
      </w:r>
      <w:r>
        <w:rPr>
          <w:rFonts w:cs="Times New Roman"/>
          <w:lang w:val="fr-CA"/>
        </w:rPr>
        <w:t>’</w:t>
      </w:r>
      <w:r w:rsidRPr="00EE22A1">
        <w:rPr>
          <w:rFonts w:cs="Times New Roman"/>
          <w:lang w:val="fr-CA"/>
        </w:rPr>
        <w:t>unité de négociation ne peut être tributaire de l</w:t>
      </w:r>
      <w:r>
        <w:rPr>
          <w:rFonts w:cs="Times New Roman"/>
          <w:lang w:val="fr-CA"/>
        </w:rPr>
        <w:t>’</w:t>
      </w:r>
      <w:r w:rsidRPr="00EE22A1">
        <w:rPr>
          <w:rFonts w:cs="Times New Roman"/>
          <w:lang w:val="fr-CA"/>
        </w:rPr>
        <w:t>utilisation des installations de l</w:t>
      </w:r>
      <w:r>
        <w:rPr>
          <w:rFonts w:cs="Times New Roman"/>
          <w:lang w:val="fr-CA"/>
        </w:rPr>
        <w:t>’</w:t>
      </w:r>
      <w:r w:rsidRPr="00EE22A1">
        <w:rPr>
          <w:rFonts w:cs="Times New Roman"/>
          <w:lang w:val="fr-CA"/>
        </w:rPr>
        <w:t>employeur.  Comme l</w:t>
      </w:r>
      <w:r>
        <w:rPr>
          <w:rFonts w:cs="Times New Roman"/>
          <w:lang w:val="fr-CA"/>
        </w:rPr>
        <w:t>’</w:t>
      </w:r>
      <w:r w:rsidRPr="00EE22A1">
        <w:rPr>
          <w:rFonts w:cs="Times New Roman"/>
          <w:lang w:val="fr-CA"/>
        </w:rPr>
        <w:t>a souligné la Commission, l</w:t>
      </w:r>
      <w:r>
        <w:rPr>
          <w:rFonts w:cs="Times New Roman"/>
          <w:lang w:val="fr-CA"/>
        </w:rPr>
        <w:t>’</w:t>
      </w:r>
      <w:r w:rsidRPr="00EE22A1">
        <w:rPr>
          <w:rFonts w:cs="Times New Roman"/>
          <w:lang w:val="fr-CA"/>
        </w:rPr>
        <w:t xml:space="preserve">employeur peut contrôler les moyens de communication au travail, mettre en application des politiques restreignant toutes les communications échangées au travail, y compris celles avec le syndicat, et surveiller </w:t>
      </w:r>
      <w:proofErr w:type="spellStart"/>
      <w:r w:rsidRPr="00EE22A1">
        <w:rPr>
          <w:rFonts w:cs="Times New Roman"/>
          <w:lang w:val="fr-CA"/>
        </w:rPr>
        <w:t>celles</w:t>
      </w:r>
      <w:r w:rsidRPr="00EE22A1">
        <w:rPr>
          <w:rFonts w:cs="Times New Roman"/>
          <w:lang w:val="fr-CA"/>
        </w:rPr>
        <w:noBreakHyphen/>
        <w:t>ci</w:t>
      </w:r>
      <w:proofErr w:type="spellEnd"/>
      <w:r w:rsidRPr="00EE22A1">
        <w:rPr>
          <w:rFonts w:cs="Times New Roman"/>
          <w:lang w:val="fr-CA"/>
        </w:rPr>
        <w:t>.  De plus, le syndicat peut avoir des obligations de représentation envers des employés avec lesquels il ne peut communiquer au travail, notamment des employés en congé ou absents en raison d</w:t>
      </w:r>
      <w:r>
        <w:rPr>
          <w:rFonts w:cs="Times New Roman"/>
          <w:lang w:val="fr-CA"/>
        </w:rPr>
        <w:t>’</w:t>
      </w:r>
      <w:r w:rsidRPr="00EE22A1">
        <w:rPr>
          <w:rFonts w:cs="Times New Roman"/>
          <w:lang w:val="fr-CA"/>
        </w:rPr>
        <w:t xml:space="preserve">un conflit de travail. </w:t>
      </w:r>
    </w:p>
    <w:p w:rsidR="00046CA9" w:rsidRPr="00EE22A1" w:rsidRDefault="00046CA9" w:rsidP="00046CA9">
      <w:pPr>
        <w:pStyle w:val="ParaNoNdepar-AltN"/>
        <w:rPr>
          <w:rFonts w:cs="Times New Roman"/>
          <w:lang w:val="fr-CA"/>
        </w:rPr>
      </w:pPr>
      <w:r w:rsidRPr="00EE22A1">
        <w:rPr>
          <w:rFonts w:cs="Times New Roman"/>
          <w:lang w:val="fr-CA"/>
        </w:rPr>
        <w:t>Le deuxième fondement — selon lequel l</w:t>
      </w:r>
      <w:r>
        <w:rPr>
          <w:rFonts w:cs="Times New Roman"/>
          <w:lang w:val="fr-CA"/>
        </w:rPr>
        <w:t>’</w:t>
      </w:r>
      <w:r w:rsidRPr="00EE22A1">
        <w:rPr>
          <w:rFonts w:cs="Times New Roman"/>
          <w:lang w:val="fr-CA"/>
        </w:rPr>
        <w:t>employeur et le syndicat doivent disposer des mêmes renseignements — étaye davantage la conclusion de la Commission.  En effet, la nature tripartite de la relation d</w:t>
      </w:r>
      <w:r>
        <w:rPr>
          <w:rFonts w:cs="Times New Roman"/>
          <w:lang w:val="fr-CA"/>
        </w:rPr>
        <w:t>’</w:t>
      </w:r>
      <w:r w:rsidRPr="00EE22A1">
        <w:rPr>
          <w:rFonts w:cs="Times New Roman"/>
          <w:lang w:val="fr-CA"/>
        </w:rPr>
        <w:t>emploi exige que les renseignements nécessaires à l</w:t>
      </w:r>
      <w:r>
        <w:rPr>
          <w:rFonts w:cs="Times New Roman"/>
          <w:lang w:val="fr-CA"/>
        </w:rPr>
        <w:t>’</w:t>
      </w:r>
      <w:r w:rsidRPr="00EE22A1">
        <w:rPr>
          <w:rFonts w:cs="Times New Roman"/>
          <w:lang w:val="fr-CA"/>
        </w:rPr>
        <w:t>accomplissement des obligations syndicales de représentation que détient l</w:t>
      </w:r>
      <w:r>
        <w:rPr>
          <w:rFonts w:cs="Times New Roman"/>
          <w:lang w:val="fr-CA"/>
        </w:rPr>
        <w:t>’</w:t>
      </w:r>
      <w:r w:rsidRPr="00EE22A1">
        <w:rPr>
          <w:rFonts w:cs="Times New Roman"/>
          <w:lang w:val="fr-CA"/>
        </w:rPr>
        <w:t xml:space="preserve">employeur soient communiqués au syndicat afin que </w:t>
      </w:r>
      <w:proofErr w:type="spellStart"/>
      <w:r w:rsidRPr="00EE22A1">
        <w:rPr>
          <w:rFonts w:cs="Times New Roman"/>
          <w:lang w:val="fr-CA"/>
        </w:rPr>
        <w:t>ceux</w:t>
      </w:r>
      <w:r w:rsidRPr="00EE22A1">
        <w:rPr>
          <w:rFonts w:cs="Times New Roman"/>
          <w:lang w:val="fr-CA"/>
        </w:rPr>
        <w:noBreakHyphen/>
        <w:t>ci</w:t>
      </w:r>
      <w:proofErr w:type="spellEnd"/>
      <w:r w:rsidRPr="00EE22A1">
        <w:rPr>
          <w:rFonts w:cs="Times New Roman"/>
          <w:lang w:val="fr-CA"/>
        </w:rPr>
        <w:t xml:space="preserve"> soient sur un pied d</w:t>
      </w:r>
      <w:r>
        <w:rPr>
          <w:rFonts w:cs="Times New Roman"/>
          <w:lang w:val="fr-CA"/>
        </w:rPr>
        <w:t>’</w:t>
      </w:r>
      <w:r w:rsidRPr="00EE22A1">
        <w:rPr>
          <w:rFonts w:cs="Times New Roman"/>
          <w:lang w:val="fr-CA"/>
        </w:rPr>
        <w:t xml:space="preserve">égalité quant aux renseignements relatifs à la relation de négociation collective. </w:t>
      </w:r>
    </w:p>
    <w:p w:rsidR="00046CA9" w:rsidRPr="00EE22A1" w:rsidRDefault="00046CA9" w:rsidP="00046CA9">
      <w:pPr>
        <w:pStyle w:val="ParaNoNdepar-AltN"/>
        <w:rPr>
          <w:rFonts w:cs="Times New Roman"/>
          <w:lang w:val="fr-CA"/>
        </w:rPr>
      </w:pPr>
      <w:r w:rsidRPr="00EE22A1">
        <w:rPr>
          <w:rFonts w:cs="Times New Roman"/>
          <w:lang w:val="fr-CA"/>
        </w:rPr>
        <w:t>De plus, un employé ne peut renoncer à son droit d</w:t>
      </w:r>
      <w:r>
        <w:rPr>
          <w:rFonts w:cs="Times New Roman"/>
          <w:lang w:val="fr-CA"/>
        </w:rPr>
        <w:t>’</w:t>
      </w:r>
      <w:r w:rsidRPr="00EE22A1">
        <w:rPr>
          <w:rFonts w:cs="Times New Roman"/>
          <w:lang w:val="fr-CA"/>
        </w:rPr>
        <w:t xml:space="preserve">être représenté de façon équitable — et exclusive — par le syndicat.  Compte tenu de ses obligations </w:t>
      </w:r>
      <w:r w:rsidRPr="00EE22A1">
        <w:rPr>
          <w:rFonts w:cs="Times New Roman"/>
          <w:lang w:val="fr-CA"/>
        </w:rPr>
        <w:lastRenderedPageBreak/>
        <w:t>légales enver</w:t>
      </w:r>
      <w:r w:rsidRPr="00EE22A1">
        <w:rPr>
          <w:rFonts w:cs="Times New Roman"/>
          <w:i/>
          <w:lang w:val="fr-CA"/>
        </w:rPr>
        <w:t>s tous</w:t>
      </w:r>
      <w:r w:rsidRPr="00EE22A1">
        <w:rPr>
          <w:rFonts w:cs="Times New Roman"/>
          <w:lang w:val="fr-CA"/>
        </w:rPr>
        <w:t xml:space="preserve"> les employés — qu</w:t>
      </w:r>
      <w:r>
        <w:rPr>
          <w:rFonts w:cs="Times New Roman"/>
          <w:lang w:val="fr-CA"/>
        </w:rPr>
        <w:t>’</w:t>
      </w:r>
      <w:r w:rsidRPr="00EE22A1">
        <w:rPr>
          <w:rFonts w:cs="Times New Roman"/>
          <w:lang w:val="fr-CA"/>
        </w:rPr>
        <w:t>ils soient ou non des employés assujettis à la formule Rand — et du fait qu</w:t>
      </w:r>
      <w:r>
        <w:rPr>
          <w:rFonts w:cs="Times New Roman"/>
          <w:lang w:val="fr-CA"/>
        </w:rPr>
        <w:t>’</w:t>
      </w:r>
      <w:r w:rsidRPr="00EE22A1">
        <w:rPr>
          <w:rFonts w:cs="Times New Roman"/>
          <w:lang w:val="fr-CA"/>
        </w:rPr>
        <w:t>il peut avoir à communiquer rapidement avec eux, le syndicat ne devrait pas être privé des renseignements dont dispose l</w:t>
      </w:r>
      <w:r>
        <w:rPr>
          <w:rFonts w:cs="Times New Roman"/>
          <w:lang w:val="fr-CA"/>
        </w:rPr>
        <w:t>’</w:t>
      </w:r>
      <w:r w:rsidRPr="00EE22A1">
        <w:rPr>
          <w:rFonts w:cs="Times New Roman"/>
          <w:lang w:val="fr-CA"/>
        </w:rPr>
        <w:t xml:space="preserve">employeur et </w:t>
      </w:r>
      <w:r w:rsidR="00A41B4A">
        <w:rPr>
          <w:rFonts w:cs="Times New Roman"/>
          <w:lang w:val="fr-CA"/>
        </w:rPr>
        <w:t xml:space="preserve">qui sont </w:t>
      </w:r>
      <w:r w:rsidRPr="00EE22A1">
        <w:rPr>
          <w:rFonts w:cs="Times New Roman"/>
          <w:lang w:val="fr-CA"/>
        </w:rPr>
        <w:t>susceptibles de l</w:t>
      </w:r>
      <w:r>
        <w:rPr>
          <w:rFonts w:cs="Times New Roman"/>
          <w:lang w:val="fr-CA"/>
        </w:rPr>
        <w:t>’</w:t>
      </w:r>
      <w:r w:rsidRPr="00EE22A1">
        <w:rPr>
          <w:rFonts w:cs="Times New Roman"/>
          <w:lang w:val="fr-CA"/>
        </w:rPr>
        <w:t>aider à s</w:t>
      </w:r>
      <w:r>
        <w:rPr>
          <w:rFonts w:cs="Times New Roman"/>
          <w:lang w:val="fr-CA"/>
        </w:rPr>
        <w:t>’</w:t>
      </w:r>
      <w:r w:rsidRPr="00EE22A1">
        <w:rPr>
          <w:rFonts w:cs="Times New Roman"/>
          <w:lang w:val="fr-CA"/>
        </w:rPr>
        <w:t xml:space="preserve">acquitter de ces obligations. </w:t>
      </w:r>
    </w:p>
    <w:p w:rsidR="00046CA9" w:rsidRPr="00EE22A1" w:rsidRDefault="00046CA9" w:rsidP="00046CA9">
      <w:pPr>
        <w:pStyle w:val="ParaNoNdepar-AltN"/>
        <w:rPr>
          <w:rFonts w:cs="Times New Roman"/>
          <w:lang w:val="fr-CA"/>
        </w:rPr>
      </w:pPr>
      <w:proofErr w:type="spellStart"/>
      <w:r w:rsidRPr="00EE22A1">
        <w:rPr>
          <w:rFonts w:cs="Times New Roman"/>
          <w:lang w:val="fr-CA"/>
        </w:rPr>
        <w:t>Penchons</w:t>
      </w:r>
      <w:r w:rsidRPr="00EE22A1">
        <w:rPr>
          <w:rFonts w:cs="Times New Roman"/>
          <w:lang w:val="fr-CA"/>
        </w:rPr>
        <w:noBreakHyphen/>
        <w:t>nous</w:t>
      </w:r>
      <w:proofErr w:type="spellEnd"/>
      <w:r w:rsidRPr="00EE22A1">
        <w:rPr>
          <w:rFonts w:cs="Times New Roman"/>
          <w:lang w:val="fr-CA"/>
        </w:rPr>
        <w:t xml:space="preserve"> maintenant sur les préoccupations que cela suscite quant au respect de la vie privée.  La </w:t>
      </w:r>
      <w:r w:rsidRPr="00EE22A1">
        <w:rPr>
          <w:rFonts w:cs="Times New Roman"/>
          <w:i/>
          <w:lang w:val="fr-CA"/>
        </w:rPr>
        <w:t>LPRP</w:t>
      </w:r>
      <w:r w:rsidRPr="00EE22A1">
        <w:rPr>
          <w:rFonts w:cs="Times New Roman"/>
          <w:lang w:val="fr-CA"/>
        </w:rPr>
        <w:t xml:space="preserve"> interdit la communication de renseignements personnels détenus par le gouvernement — lesquels comprennent les adresses et numéros de téléphone à domicile —, sous réserve d</w:t>
      </w:r>
      <w:r>
        <w:rPr>
          <w:rFonts w:cs="Times New Roman"/>
          <w:lang w:val="fr-CA"/>
        </w:rPr>
        <w:t>’</w:t>
      </w:r>
      <w:r w:rsidRPr="00EE22A1">
        <w:rPr>
          <w:rFonts w:cs="Times New Roman"/>
          <w:lang w:val="fr-CA"/>
        </w:rPr>
        <w:t>un certain nombre d</w:t>
      </w:r>
      <w:r>
        <w:rPr>
          <w:rFonts w:cs="Times New Roman"/>
          <w:lang w:val="fr-CA"/>
        </w:rPr>
        <w:t>’</w:t>
      </w:r>
      <w:r w:rsidRPr="00EE22A1">
        <w:rPr>
          <w:rFonts w:cs="Times New Roman"/>
          <w:lang w:val="fr-CA"/>
        </w:rPr>
        <w:t>exceptions énumérées à son par. 8(2), dont celle de l</w:t>
      </w:r>
      <w:r>
        <w:rPr>
          <w:rFonts w:cs="Times New Roman"/>
          <w:lang w:val="fr-CA"/>
        </w:rPr>
        <w:t>’</w:t>
      </w:r>
      <w:r w:rsidRPr="00EE22A1">
        <w:rPr>
          <w:rFonts w:cs="Times New Roman"/>
          <w:lang w:val="fr-CA"/>
        </w:rPr>
        <w:t>usage compatible :</w:t>
      </w:r>
    </w:p>
    <w:p w:rsidR="00046CA9" w:rsidRPr="00EE22A1" w:rsidRDefault="00046CA9" w:rsidP="00046CA9">
      <w:pPr>
        <w:pStyle w:val="Citation-AltC"/>
        <w:tabs>
          <w:tab w:val="left" w:pos="1200"/>
          <w:tab w:val="left" w:pos="1680"/>
        </w:tabs>
        <w:spacing w:after="240"/>
        <w:ind w:left="1200" w:hanging="1200"/>
        <w:contextualSpacing w:val="0"/>
        <w:rPr>
          <w:lang w:val="fr-CA"/>
        </w:rPr>
      </w:pPr>
      <w:r w:rsidRPr="00EE22A1">
        <w:rPr>
          <w:b/>
          <w:lang w:val="fr-CA"/>
        </w:rPr>
        <w:tab/>
      </w:r>
      <w:r>
        <w:rPr>
          <w:b/>
          <w:lang w:val="fr-CA"/>
        </w:rPr>
        <w:tab/>
      </w:r>
      <w:r w:rsidRPr="00EE22A1">
        <w:rPr>
          <w:b/>
          <w:lang w:val="fr-CA"/>
        </w:rPr>
        <w:t>8.</w:t>
      </w:r>
      <w:r w:rsidRPr="00EE22A1">
        <w:rPr>
          <w:lang w:val="fr-CA"/>
        </w:rPr>
        <w:t xml:space="preserve"> </w:t>
      </w:r>
      <w:r w:rsidR="00A41B4A">
        <w:rPr>
          <w:lang w:val="fr-CA"/>
        </w:rPr>
        <w:t>. . .</w:t>
      </w:r>
    </w:p>
    <w:p w:rsidR="00046CA9" w:rsidRPr="00EE22A1" w:rsidRDefault="00046CA9" w:rsidP="00046CA9">
      <w:pPr>
        <w:pStyle w:val="Citation-AltC"/>
        <w:tabs>
          <w:tab w:val="left" w:pos="1680"/>
        </w:tabs>
        <w:spacing w:after="240"/>
        <w:ind w:left="1200" w:hanging="1680"/>
        <w:contextualSpacing w:val="0"/>
        <w:rPr>
          <w:lang w:val="fr-CA"/>
        </w:rPr>
      </w:pPr>
      <w:r w:rsidRPr="00EE22A1">
        <w:rPr>
          <w:lang w:val="fr-CA"/>
        </w:rPr>
        <w:tab/>
      </w:r>
      <w:r>
        <w:rPr>
          <w:lang w:val="fr-CA"/>
        </w:rPr>
        <w:tab/>
      </w:r>
      <w:r w:rsidRPr="00EE22A1">
        <w:rPr>
          <w:lang w:val="fr-CA"/>
        </w:rPr>
        <w:t>(2)</w:t>
      </w:r>
      <w:r w:rsidRPr="00EE22A1">
        <w:rPr>
          <w:lang w:val="fr-CA"/>
        </w:rPr>
        <w:tab/>
        <w:t>Sous réserve d</w:t>
      </w:r>
      <w:r>
        <w:rPr>
          <w:lang w:val="fr-CA"/>
        </w:rPr>
        <w:t>’</w:t>
      </w:r>
      <w:r w:rsidRPr="00EE22A1">
        <w:rPr>
          <w:lang w:val="fr-CA"/>
        </w:rPr>
        <w:t>autres lois fédérales, la communication des renseignements personnels qui relèvent d</w:t>
      </w:r>
      <w:r>
        <w:rPr>
          <w:lang w:val="fr-CA"/>
        </w:rPr>
        <w:t>’</w:t>
      </w:r>
      <w:r w:rsidRPr="00EE22A1">
        <w:rPr>
          <w:lang w:val="fr-CA"/>
        </w:rPr>
        <w:t>une institution fédérale est autorisée dans les cas suivants :</w:t>
      </w:r>
    </w:p>
    <w:p w:rsidR="00046CA9" w:rsidRPr="00EE22A1" w:rsidRDefault="00046CA9" w:rsidP="00046CA9">
      <w:pPr>
        <w:pStyle w:val="Citation-AltC"/>
        <w:tabs>
          <w:tab w:val="left" w:pos="2040"/>
        </w:tabs>
        <w:ind w:left="1680" w:hanging="1680"/>
        <w:contextualSpacing w:val="0"/>
        <w:rPr>
          <w:lang w:val="fr-CA"/>
        </w:rPr>
      </w:pPr>
      <w:r w:rsidRPr="00EE22A1">
        <w:rPr>
          <w:i/>
          <w:lang w:val="fr-CA"/>
        </w:rPr>
        <w:tab/>
        <w:t>a</w:t>
      </w:r>
      <w:r w:rsidRPr="00EE22A1">
        <w:rPr>
          <w:lang w:val="fr-CA"/>
        </w:rPr>
        <w:t>)</w:t>
      </w:r>
      <w:r w:rsidRPr="00EE22A1">
        <w:rPr>
          <w:lang w:val="fr-CA"/>
        </w:rPr>
        <w:tab/>
        <w:t>communication aux fins auxquelles ils ont été recueillis ou préparés par l</w:t>
      </w:r>
      <w:r>
        <w:rPr>
          <w:lang w:val="fr-CA"/>
        </w:rPr>
        <w:t>’</w:t>
      </w:r>
      <w:r w:rsidRPr="00EE22A1">
        <w:rPr>
          <w:lang w:val="fr-CA"/>
        </w:rPr>
        <w:t xml:space="preserve">institution ou </w:t>
      </w:r>
      <w:r w:rsidRPr="00EE22A1">
        <w:rPr>
          <w:i/>
          <w:lang w:val="fr-CA"/>
        </w:rPr>
        <w:t>pour les usages qui sont compatibles avec ces fins</w:t>
      </w:r>
      <w:r w:rsidRPr="00EE22A1">
        <w:rPr>
          <w:lang w:val="fr-CA"/>
        </w:rPr>
        <w:t>;</w:t>
      </w:r>
    </w:p>
    <w:p w:rsidR="00046CA9" w:rsidRPr="00EE22A1" w:rsidRDefault="00046CA9" w:rsidP="00046CA9">
      <w:pPr>
        <w:pStyle w:val="ParaNoNdepar-AltN"/>
        <w:rPr>
          <w:rFonts w:cs="Times New Roman"/>
          <w:lang w:val="fr-CA"/>
        </w:rPr>
      </w:pPr>
      <w:r w:rsidRPr="00EE22A1">
        <w:rPr>
          <w:rFonts w:cs="Times New Roman"/>
          <w:lang w:val="fr-CA"/>
        </w:rPr>
        <w:t>Pour qu</w:t>
      </w:r>
      <w:r>
        <w:rPr>
          <w:rFonts w:cs="Times New Roman"/>
          <w:lang w:val="fr-CA"/>
        </w:rPr>
        <w:t>’</w:t>
      </w:r>
      <w:r w:rsidRPr="00EE22A1">
        <w:rPr>
          <w:rFonts w:cs="Times New Roman"/>
          <w:lang w:val="fr-CA"/>
        </w:rPr>
        <w:t>il soit visé par l</w:t>
      </w:r>
      <w:r>
        <w:rPr>
          <w:rFonts w:cs="Times New Roman"/>
          <w:lang w:val="fr-CA"/>
        </w:rPr>
        <w:t>’</w:t>
      </w:r>
      <w:r w:rsidRPr="00EE22A1">
        <w:rPr>
          <w:rFonts w:cs="Times New Roman"/>
          <w:lang w:val="fr-CA"/>
        </w:rPr>
        <w:t>al. 8(2)</w:t>
      </w:r>
      <w:r w:rsidRPr="00EE22A1">
        <w:rPr>
          <w:rFonts w:cs="Times New Roman"/>
          <w:i/>
          <w:lang w:val="fr-CA"/>
        </w:rPr>
        <w:t>a</w:t>
      </w:r>
      <w:r w:rsidRPr="00EE22A1">
        <w:rPr>
          <w:rFonts w:cs="Times New Roman"/>
          <w:lang w:val="fr-CA"/>
        </w:rPr>
        <w:t xml:space="preserve">) de la </w:t>
      </w:r>
      <w:r w:rsidRPr="00EE22A1">
        <w:rPr>
          <w:rFonts w:cs="Times New Roman"/>
          <w:i/>
          <w:lang w:val="fr-CA"/>
        </w:rPr>
        <w:t>LPRP</w:t>
      </w:r>
      <w:r w:rsidRPr="00EE22A1">
        <w:rPr>
          <w:rFonts w:cs="Times New Roman"/>
          <w:lang w:val="fr-CA"/>
        </w:rPr>
        <w:t>, l</w:t>
      </w:r>
      <w:r>
        <w:rPr>
          <w:rFonts w:cs="Times New Roman"/>
          <w:lang w:val="fr-CA"/>
        </w:rPr>
        <w:t>’</w:t>
      </w:r>
      <w:r w:rsidRPr="00EE22A1">
        <w:rPr>
          <w:rFonts w:cs="Times New Roman"/>
          <w:lang w:val="fr-CA"/>
        </w:rPr>
        <w:t>usage n</w:t>
      </w:r>
      <w:r>
        <w:rPr>
          <w:rFonts w:cs="Times New Roman"/>
          <w:lang w:val="fr-CA"/>
        </w:rPr>
        <w:t>’</w:t>
      </w:r>
      <w:r w:rsidRPr="00EE22A1">
        <w:rPr>
          <w:rFonts w:cs="Times New Roman"/>
          <w:lang w:val="fr-CA"/>
        </w:rPr>
        <w:t>a pas à être identique aux fins auxquelles les renseignements ont été recueillis; il n</w:t>
      </w:r>
      <w:r>
        <w:rPr>
          <w:rFonts w:cs="Times New Roman"/>
          <w:lang w:val="fr-CA"/>
        </w:rPr>
        <w:t>’</w:t>
      </w:r>
      <w:r w:rsidRPr="00EE22A1">
        <w:rPr>
          <w:rFonts w:cs="Times New Roman"/>
          <w:lang w:val="fr-CA"/>
        </w:rPr>
        <w:t>a qu</w:t>
      </w:r>
      <w:r>
        <w:rPr>
          <w:rFonts w:cs="Times New Roman"/>
          <w:lang w:val="fr-CA"/>
        </w:rPr>
        <w:t>’</w:t>
      </w:r>
      <w:r w:rsidRPr="00EE22A1">
        <w:rPr>
          <w:rFonts w:cs="Times New Roman"/>
          <w:lang w:val="fr-CA"/>
        </w:rPr>
        <w:t xml:space="preserve">à être </w:t>
      </w:r>
      <w:r w:rsidRPr="00EE22A1">
        <w:rPr>
          <w:rFonts w:cs="Times New Roman"/>
          <w:i/>
          <w:lang w:val="fr-CA"/>
        </w:rPr>
        <w:t xml:space="preserve">compatible </w:t>
      </w:r>
      <w:r w:rsidRPr="00EE22A1">
        <w:rPr>
          <w:rFonts w:cs="Times New Roman"/>
          <w:lang w:val="fr-CA"/>
        </w:rPr>
        <w:t xml:space="preserve">avec </w:t>
      </w:r>
      <w:proofErr w:type="spellStart"/>
      <w:r w:rsidRPr="00EE22A1">
        <w:rPr>
          <w:rFonts w:cs="Times New Roman"/>
          <w:lang w:val="fr-CA"/>
        </w:rPr>
        <w:t>celles</w:t>
      </w:r>
      <w:r w:rsidRPr="00EE22A1">
        <w:rPr>
          <w:rFonts w:cs="Times New Roman"/>
          <w:lang w:val="fr-CA"/>
        </w:rPr>
        <w:noBreakHyphen/>
        <w:t>ci</w:t>
      </w:r>
      <w:proofErr w:type="spellEnd"/>
      <w:r w:rsidRPr="00EE22A1">
        <w:rPr>
          <w:rFonts w:cs="Times New Roman"/>
          <w:lang w:val="fr-CA"/>
        </w:rPr>
        <w:t>.  Comme la Cour d</w:t>
      </w:r>
      <w:r>
        <w:rPr>
          <w:rFonts w:cs="Times New Roman"/>
          <w:lang w:val="fr-CA"/>
        </w:rPr>
        <w:t>’</w:t>
      </w:r>
      <w:r w:rsidRPr="00EE22A1">
        <w:rPr>
          <w:rFonts w:cs="Times New Roman"/>
          <w:lang w:val="fr-CA"/>
        </w:rPr>
        <w:t>appel fédérale l</w:t>
      </w:r>
      <w:r>
        <w:rPr>
          <w:rFonts w:cs="Times New Roman"/>
          <w:lang w:val="fr-CA"/>
        </w:rPr>
        <w:t>’</w:t>
      </w:r>
      <w:r w:rsidRPr="00EE22A1">
        <w:rPr>
          <w:rFonts w:cs="Times New Roman"/>
          <w:lang w:val="fr-CA"/>
        </w:rPr>
        <w:t>a affirmé, il suffit qu</w:t>
      </w:r>
      <w:r>
        <w:rPr>
          <w:rFonts w:cs="Times New Roman"/>
          <w:lang w:val="fr-CA"/>
        </w:rPr>
        <w:t>’</w:t>
      </w:r>
      <w:r w:rsidRPr="00EE22A1">
        <w:rPr>
          <w:rFonts w:cs="Times New Roman"/>
          <w:lang w:val="fr-CA"/>
        </w:rPr>
        <w:t>il existe un lien suffisamment direct entre les fins et l</w:t>
      </w:r>
      <w:r>
        <w:rPr>
          <w:rFonts w:cs="Times New Roman"/>
          <w:lang w:val="fr-CA"/>
        </w:rPr>
        <w:t>’</w:t>
      </w:r>
      <w:r w:rsidRPr="00EE22A1">
        <w:rPr>
          <w:rFonts w:cs="Times New Roman"/>
          <w:lang w:val="fr-CA"/>
        </w:rPr>
        <w:t>usage projeté de sorte qu</w:t>
      </w:r>
      <w:r>
        <w:rPr>
          <w:rFonts w:cs="Times New Roman"/>
          <w:lang w:val="fr-CA"/>
        </w:rPr>
        <w:t>’</w:t>
      </w:r>
      <w:r w:rsidRPr="00EE22A1">
        <w:rPr>
          <w:rFonts w:cs="Times New Roman"/>
          <w:lang w:val="fr-CA"/>
        </w:rPr>
        <w:t>il serait raisonnable que l</w:t>
      </w:r>
      <w:r>
        <w:rPr>
          <w:rFonts w:cs="Times New Roman"/>
          <w:lang w:val="fr-CA"/>
        </w:rPr>
        <w:t>’</w:t>
      </w:r>
      <w:r w:rsidRPr="00EE22A1">
        <w:rPr>
          <w:rFonts w:cs="Times New Roman"/>
          <w:lang w:val="fr-CA"/>
        </w:rPr>
        <w:t>employé s</w:t>
      </w:r>
      <w:r>
        <w:rPr>
          <w:rFonts w:cs="Times New Roman"/>
          <w:lang w:val="fr-CA"/>
        </w:rPr>
        <w:t>’</w:t>
      </w:r>
      <w:r w:rsidRPr="00EE22A1">
        <w:rPr>
          <w:rFonts w:cs="Times New Roman"/>
          <w:lang w:val="fr-CA"/>
        </w:rPr>
        <w:t>attende à ce que les renseignements soient utilisés de la manière proposée.</w:t>
      </w:r>
    </w:p>
    <w:p w:rsidR="00046CA9" w:rsidRPr="00EE22A1" w:rsidRDefault="00046CA9" w:rsidP="00046CA9">
      <w:pPr>
        <w:pStyle w:val="ParaNoNdepar-AltN"/>
        <w:rPr>
          <w:rFonts w:cs="Times New Roman"/>
          <w:lang w:val="fr-CA"/>
        </w:rPr>
      </w:pPr>
      <w:r w:rsidRPr="00EE22A1">
        <w:rPr>
          <w:rFonts w:cs="Times New Roman"/>
          <w:lang w:val="fr-CA"/>
        </w:rPr>
        <w:lastRenderedPageBreak/>
        <w:t>La Commission a conclu que le syndicat avait besoin des coordonnées résidentielles des employés pour représenter les intérêts de ces derniers et qu</w:t>
      </w:r>
      <w:r>
        <w:rPr>
          <w:rFonts w:cs="Times New Roman"/>
          <w:lang w:val="fr-CA"/>
        </w:rPr>
        <w:t>’</w:t>
      </w:r>
      <w:r w:rsidRPr="00EE22A1">
        <w:rPr>
          <w:rFonts w:cs="Times New Roman"/>
          <w:lang w:val="fr-CA"/>
        </w:rPr>
        <w:t>il s</w:t>
      </w:r>
      <w:r>
        <w:rPr>
          <w:rFonts w:cs="Times New Roman"/>
          <w:lang w:val="fr-CA"/>
        </w:rPr>
        <w:t>’</w:t>
      </w:r>
      <w:r w:rsidRPr="00EE22A1">
        <w:rPr>
          <w:rFonts w:cs="Times New Roman"/>
          <w:lang w:val="fr-CA"/>
        </w:rPr>
        <w:t>agissait d</w:t>
      </w:r>
      <w:r>
        <w:rPr>
          <w:rFonts w:cs="Times New Roman"/>
          <w:lang w:val="fr-CA"/>
        </w:rPr>
        <w:t>’</w:t>
      </w:r>
      <w:r w:rsidRPr="00EE22A1">
        <w:rPr>
          <w:rFonts w:cs="Times New Roman"/>
          <w:lang w:val="fr-CA"/>
        </w:rPr>
        <w:t>un usage compatible avec les fins auxquelles le gouvernement employeur recueillait ces renseignements, à savoir informer les employés des conditions de leur emploi.  L</w:t>
      </w:r>
      <w:r>
        <w:rPr>
          <w:rFonts w:cs="Times New Roman"/>
          <w:lang w:val="fr-CA"/>
        </w:rPr>
        <w:t>’</w:t>
      </w:r>
      <w:r w:rsidRPr="00EE22A1">
        <w:rPr>
          <w:rFonts w:cs="Times New Roman"/>
          <w:lang w:val="fr-CA"/>
        </w:rPr>
        <w:t>employeur recueillait ces informations pour la bonne administration de la relation d</w:t>
      </w:r>
      <w:r>
        <w:rPr>
          <w:rFonts w:cs="Times New Roman"/>
          <w:lang w:val="fr-CA"/>
        </w:rPr>
        <w:t>’</w:t>
      </w:r>
      <w:r w:rsidRPr="00EE22A1">
        <w:rPr>
          <w:rFonts w:cs="Times New Roman"/>
          <w:lang w:val="fr-CA"/>
        </w:rPr>
        <w:t>emploi.  Comme l</w:t>
      </w:r>
      <w:r>
        <w:rPr>
          <w:rFonts w:cs="Times New Roman"/>
          <w:lang w:val="fr-CA"/>
        </w:rPr>
        <w:t>’</w:t>
      </w:r>
      <w:r w:rsidRPr="00EE22A1">
        <w:rPr>
          <w:rFonts w:cs="Times New Roman"/>
          <w:lang w:val="fr-CA"/>
        </w:rPr>
        <w:t xml:space="preserve">a souligné la Commission, « [l]es employés fournissent à leurs employeurs leurs coordonnées </w:t>
      </w:r>
      <w:r w:rsidR="00AD21A1">
        <w:rPr>
          <w:rFonts w:cs="Times New Roman"/>
          <w:lang w:val="fr-CA"/>
        </w:rPr>
        <w:t xml:space="preserve">domiciliaires </w:t>
      </w:r>
      <w:r w:rsidRPr="00EE22A1">
        <w:rPr>
          <w:rFonts w:cs="Times New Roman"/>
          <w:lang w:val="fr-CA"/>
        </w:rPr>
        <w:t xml:space="preserve">pour être informés des conditions de leur emploi.  </w:t>
      </w:r>
      <w:r w:rsidRPr="00EE22A1">
        <w:rPr>
          <w:rFonts w:cs="Times New Roman"/>
          <w:i/>
          <w:lang w:val="fr-CA"/>
        </w:rPr>
        <w:t>Cet objectif est conforme à l</w:t>
      </w:r>
      <w:r>
        <w:rPr>
          <w:rFonts w:cs="Times New Roman"/>
          <w:i/>
          <w:lang w:val="fr-CA"/>
        </w:rPr>
        <w:t>’</w:t>
      </w:r>
      <w:r w:rsidRPr="00EE22A1">
        <w:rPr>
          <w:rFonts w:cs="Times New Roman"/>
          <w:i/>
          <w:lang w:val="fr-CA"/>
        </w:rPr>
        <w:t xml:space="preserve">usage que </w:t>
      </w:r>
      <w:r w:rsidR="00AD21A1" w:rsidRPr="00EE22A1">
        <w:rPr>
          <w:rFonts w:cs="Times New Roman"/>
          <w:i/>
          <w:lang w:val="fr-CA"/>
        </w:rPr>
        <w:t>[</w:t>
      </w:r>
      <w:r w:rsidRPr="00EE22A1">
        <w:rPr>
          <w:rFonts w:cs="Times New Roman"/>
          <w:i/>
          <w:lang w:val="fr-CA"/>
        </w:rPr>
        <w:t>le syndicat] entend faire des coordonnées dans la présente affaire</w:t>
      </w:r>
      <w:r w:rsidRPr="00EE22A1">
        <w:rPr>
          <w:rFonts w:cs="Times New Roman"/>
          <w:lang w:val="fr-CA"/>
        </w:rPr>
        <w:t> » : par. 168 (italiques ajoutés).</w:t>
      </w:r>
    </w:p>
    <w:p w:rsidR="00046CA9" w:rsidRPr="00EE22A1" w:rsidRDefault="00046CA9" w:rsidP="00046CA9">
      <w:pPr>
        <w:pStyle w:val="ParaNoNdepar-AltN"/>
        <w:rPr>
          <w:rFonts w:cs="Times New Roman"/>
          <w:lang w:val="fr-CA"/>
        </w:rPr>
      </w:pPr>
      <w:r w:rsidRPr="00EE22A1">
        <w:rPr>
          <w:rFonts w:cs="Times New Roman"/>
          <w:lang w:val="fr-CA"/>
        </w:rPr>
        <w:t>À notre avis, la Commission a rendu une décision raisonnable en concluant que l</w:t>
      </w:r>
      <w:r>
        <w:rPr>
          <w:rFonts w:cs="Times New Roman"/>
          <w:lang w:val="fr-CA"/>
        </w:rPr>
        <w:t>’</w:t>
      </w:r>
      <w:r w:rsidRPr="00EE22A1">
        <w:rPr>
          <w:rFonts w:cs="Times New Roman"/>
          <w:lang w:val="fr-CA"/>
        </w:rPr>
        <w:t>usage qu</w:t>
      </w:r>
      <w:r>
        <w:rPr>
          <w:rFonts w:cs="Times New Roman"/>
          <w:lang w:val="fr-CA"/>
        </w:rPr>
        <w:t>’</w:t>
      </w:r>
      <w:r w:rsidRPr="00EE22A1">
        <w:rPr>
          <w:rFonts w:cs="Times New Roman"/>
          <w:lang w:val="fr-CA"/>
        </w:rPr>
        <w:t>entendait faire le syndicat des renseignements recueillis était compatible avec les fins visées, soit informer les employés des conditions de leur emploi, et que le syndicat avait besoin des coordonnées résidentielles demandées pour s</w:t>
      </w:r>
      <w:r>
        <w:rPr>
          <w:rFonts w:cs="Times New Roman"/>
          <w:lang w:val="fr-CA"/>
        </w:rPr>
        <w:t>’</w:t>
      </w:r>
      <w:r w:rsidRPr="00EE22A1">
        <w:rPr>
          <w:rFonts w:cs="Times New Roman"/>
          <w:lang w:val="fr-CA"/>
        </w:rPr>
        <w:t>acquitter de ses obligations de représentation « rapidement et efficacement » : par. 167.</w:t>
      </w:r>
    </w:p>
    <w:p w:rsidR="00046CA9" w:rsidRPr="00EE22A1" w:rsidRDefault="00046CA9" w:rsidP="00046CA9">
      <w:pPr>
        <w:pStyle w:val="ParaNoNdepar-AltN"/>
        <w:rPr>
          <w:rFonts w:cs="Times New Roman"/>
          <w:lang w:val="fr-CA"/>
        </w:rPr>
      </w:pPr>
      <w:r w:rsidRPr="00EE22A1">
        <w:rPr>
          <w:rFonts w:cs="Times New Roman"/>
          <w:lang w:val="fr-CA"/>
        </w:rPr>
        <w:t>M</w:t>
      </w:r>
      <w:r w:rsidRPr="00EE22A1">
        <w:rPr>
          <w:rFonts w:cs="Times New Roman"/>
          <w:vertAlign w:val="superscript"/>
          <w:lang w:val="fr-CA"/>
        </w:rPr>
        <w:t>me</w:t>
      </w:r>
      <w:r w:rsidRPr="00EE22A1">
        <w:rPr>
          <w:rFonts w:cs="Times New Roman"/>
          <w:lang w:val="fr-CA"/>
        </w:rPr>
        <w:t> Bernard a aussi fait valoir qu</w:t>
      </w:r>
      <w:r>
        <w:rPr>
          <w:rFonts w:cs="Times New Roman"/>
          <w:lang w:val="fr-CA"/>
        </w:rPr>
        <w:t>’</w:t>
      </w:r>
      <w:r w:rsidRPr="00EE22A1">
        <w:rPr>
          <w:rFonts w:cs="Times New Roman"/>
          <w:lang w:val="fr-CA"/>
        </w:rPr>
        <w:t>obliger l</w:t>
      </w:r>
      <w:r>
        <w:rPr>
          <w:rFonts w:cs="Times New Roman"/>
          <w:lang w:val="fr-CA"/>
        </w:rPr>
        <w:t>’</w:t>
      </w:r>
      <w:r w:rsidRPr="00EE22A1">
        <w:rPr>
          <w:rFonts w:cs="Times New Roman"/>
          <w:lang w:val="fr-CA"/>
        </w:rPr>
        <w:t>employeur à fournir à l</w:t>
      </w:r>
      <w:r>
        <w:rPr>
          <w:rFonts w:cs="Times New Roman"/>
          <w:lang w:val="fr-CA"/>
        </w:rPr>
        <w:t>’</w:t>
      </w:r>
      <w:r w:rsidRPr="00EE22A1">
        <w:rPr>
          <w:rFonts w:cs="Times New Roman"/>
          <w:lang w:val="fr-CA"/>
        </w:rPr>
        <w:t>agent négociateur les adresses et numéros de téléphone à domicile de ses employés porte atteinte à son droit à la liberté d</w:t>
      </w:r>
      <w:r>
        <w:rPr>
          <w:rFonts w:cs="Times New Roman"/>
          <w:lang w:val="fr-CA"/>
        </w:rPr>
        <w:t>’</w:t>
      </w:r>
      <w:r w:rsidRPr="00EE22A1">
        <w:rPr>
          <w:rFonts w:cs="Times New Roman"/>
          <w:lang w:val="fr-CA"/>
        </w:rPr>
        <w:t>association garanti par l</w:t>
      </w:r>
      <w:r>
        <w:rPr>
          <w:rFonts w:cs="Times New Roman"/>
          <w:lang w:val="fr-CA"/>
        </w:rPr>
        <w:t>’</w:t>
      </w:r>
      <w:r w:rsidRPr="00EE22A1">
        <w:rPr>
          <w:rFonts w:cs="Times New Roman"/>
          <w:lang w:val="fr-CA"/>
        </w:rPr>
        <w:t>al. 2</w:t>
      </w:r>
      <w:r w:rsidRPr="00EE22A1">
        <w:rPr>
          <w:rFonts w:cs="Times New Roman"/>
          <w:i/>
          <w:lang w:val="fr-CA"/>
        </w:rPr>
        <w:t>d</w:t>
      </w:r>
      <w:r w:rsidRPr="00EE22A1">
        <w:rPr>
          <w:rFonts w:cs="Times New Roman"/>
          <w:lang w:val="fr-CA"/>
        </w:rPr>
        <w:t xml:space="preserve">) de la </w:t>
      </w:r>
      <w:r w:rsidRPr="00EE22A1">
        <w:rPr>
          <w:rFonts w:cs="Times New Roman"/>
          <w:i/>
          <w:lang w:val="fr-CA"/>
        </w:rPr>
        <w:t xml:space="preserve">Charte </w:t>
      </w:r>
      <w:r w:rsidRPr="00EE22A1">
        <w:rPr>
          <w:rFonts w:cs="Times New Roman"/>
          <w:lang w:val="fr-CA"/>
        </w:rPr>
        <w:t xml:space="preserve">et que la Commission aurait dû examiner cette question.   </w:t>
      </w:r>
    </w:p>
    <w:p w:rsidR="00046CA9" w:rsidRPr="00EE22A1" w:rsidRDefault="00046CA9" w:rsidP="00046CA9">
      <w:pPr>
        <w:pStyle w:val="ParaNoNdepar-AltN"/>
        <w:rPr>
          <w:rFonts w:cs="Times New Roman"/>
          <w:lang w:val="fr-CA"/>
        </w:rPr>
      </w:pPr>
      <w:r w:rsidRPr="00EE22A1">
        <w:rPr>
          <w:rFonts w:cs="Times New Roman"/>
          <w:lang w:val="fr-CA"/>
        </w:rPr>
        <w:t>La Cour d</w:t>
      </w:r>
      <w:r>
        <w:rPr>
          <w:rFonts w:cs="Times New Roman"/>
          <w:lang w:val="fr-CA"/>
        </w:rPr>
        <w:t>’</w:t>
      </w:r>
      <w:r w:rsidRPr="00EE22A1">
        <w:rPr>
          <w:rFonts w:cs="Times New Roman"/>
          <w:lang w:val="fr-CA"/>
        </w:rPr>
        <w:t xml:space="preserve">appel fédérale a convenu avec la Commission que le mandat de cette dernière dans le cadre du réexamen — mandat défini dans la décision </w:t>
      </w:r>
      <w:r w:rsidRPr="00EE22A1">
        <w:rPr>
          <w:rFonts w:cs="Times New Roman"/>
          <w:lang w:val="fr-CA"/>
        </w:rPr>
        <w:lastRenderedPageBreak/>
        <w:t>antérieure de la Cour d</w:t>
      </w:r>
      <w:r>
        <w:rPr>
          <w:rFonts w:cs="Times New Roman"/>
          <w:lang w:val="fr-CA"/>
        </w:rPr>
        <w:t>’</w:t>
      </w:r>
      <w:r w:rsidRPr="00EE22A1">
        <w:rPr>
          <w:rFonts w:cs="Times New Roman"/>
          <w:lang w:val="fr-CA"/>
        </w:rPr>
        <w:t>appel — consistait uniquement à déterminer quelles coordonnées résidentielles l</w:t>
      </w:r>
      <w:r>
        <w:rPr>
          <w:rFonts w:cs="Times New Roman"/>
          <w:lang w:val="fr-CA"/>
        </w:rPr>
        <w:t>’</w:t>
      </w:r>
      <w:r w:rsidRPr="00EE22A1">
        <w:rPr>
          <w:rFonts w:cs="Times New Roman"/>
          <w:lang w:val="fr-CA"/>
        </w:rPr>
        <w:t xml:space="preserve">employeur pouvait communiquer au syndicat sans porter atteinte aux droits des employés protégés sous le régime de la </w:t>
      </w:r>
      <w:r w:rsidRPr="00EE22A1">
        <w:rPr>
          <w:rFonts w:cs="Times New Roman"/>
          <w:i/>
          <w:lang w:val="fr-CA"/>
        </w:rPr>
        <w:t>LPRP</w:t>
      </w:r>
      <w:r w:rsidRPr="00AD21A1">
        <w:rPr>
          <w:rFonts w:cs="Times New Roman"/>
          <w:lang w:val="fr-CA"/>
        </w:rPr>
        <w:t>.</w:t>
      </w:r>
      <w:r w:rsidRPr="00EE22A1">
        <w:rPr>
          <w:rFonts w:cs="Times New Roman"/>
          <w:i/>
          <w:lang w:val="fr-CA"/>
        </w:rPr>
        <w:t xml:space="preserve"> </w:t>
      </w:r>
      <w:r w:rsidRPr="00EE22A1">
        <w:rPr>
          <w:rFonts w:cs="Times New Roman"/>
          <w:lang w:val="fr-CA"/>
        </w:rPr>
        <w:t xml:space="preserve"> On a prétendu que la Cour d</w:t>
      </w:r>
      <w:r>
        <w:rPr>
          <w:rFonts w:cs="Times New Roman"/>
          <w:lang w:val="fr-CA"/>
        </w:rPr>
        <w:t>’</w:t>
      </w:r>
      <w:r w:rsidRPr="00EE22A1">
        <w:rPr>
          <w:rFonts w:cs="Times New Roman"/>
          <w:lang w:val="fr-CA"/>
        </w:rPr>
        <w:t xml:space="preserve">appel avait commis une erreur à cet égard.  Cependant, le juge en chef Blais, ayant présidé les </w:t>
      </w:r>
      <w:r w:rsidRPr="00EE22A1">
        <w:rPr>
          <w:rFonts w:cs="Times New Roman"/>
          <w:i/>
          <w:lang w:val="fr-CA"/>
        </w:rPr>
        <w:t>deux</w:t>
      </w:r>
      <w:r w:rsidRPr="00EE22A1">
        <w:rPr>
          <w:rFonts w:cs="Times New Roman"/>
          <w:lang w:val="fr-CA"/>
        </w:rPr>
        <w:t xml:space="preserve"> instances devant la Cour d</w:t>
      </w:r>
      <w:r>
        <w:rPr>
          <w:rFonts w:cs="Times New Roman"/>
          <w:lang w:val="fr-CA"/>
        </w:rPr>
        <w:t>’</w:t>
      </w:r>
      <w:r w:rsidRPr="00EE22A1">
        <w:rPr>
          <w:rFonts w:cs="Times New Roman"/>
          <w:lang w:val="fr-CA"/>
        </w:rPr>
        <w:t>appel, n</w:t>
      </w:r>
      <w:r>
        <w:rPr>
          <w:rFonts w:cs="Times New Roman"/>
          <w:lang w:val="fr-CA"/>
        </w:rPr>
        <w:t>’</w:t>
      </w:r>
      <w:r w:rsidRPr="00EE22A1">
        <w:rPr>
          <w:rFonts w:cs="Times New Roman"/>
          <w:lang w:val="fr-CA"/>
        </w:rPr>
        <w:t>était clairement pas de cet avis.  Accorder un certain poids à la façon dont la Cour d</w:t>
      </w:r>
      <w:r>
        <w:rPr>
          <w:rFonts w:cs="Times New Roman"/>
          <w:lang w:val="fr-CA"/>
        </w:rPr>
        <w:t>’</w:t>
      </w:r>
      <w:r w:rsidRPr="00EE22A1">
        <w:rPr>
          <w:rFonts w:cs="Times New Roman"/>
          <w:lang w:val="fr-CA"/>
        </w:rPr>
        <w:t>appel interprète sa propre ordonnance dans ces circonstances ne consiste pas tant à faire preuve de déférence qu</w:t>
      </w:r>
      <w:r>
        <w:rPr>
          <w:rFonts w:cs="Times New Roman"/>
          <w:lang w:val="fr-CA"/>
        </w:rPr>
        <w:t>’</w:t>
      </w:r>
      <w:r w:rsidRPr="00EE22A1">
        <w:rPr>
          <w:rFonts w:cs="Times New Roman"/>
          <w:lang w:val="fr-CA"/>
        </w:rPr>
        <w:t>à supposer logiquement que la Cour savait ce qu</w:t>
      </w:r>
      <w:r>
        <w:rPr>
          <w:rFonts w:cs="Times New Roman"/>
          <w:lang w:val="fr-CA"/>
        </w:rPr>
        <w:t>’</w:t>
      </w:r>
      <w:r w:rsidRPr="00EE22A1">
        <w:rPr>
          <w:rFonts w:cs="Times New Roman"/>
          <w:lang w:val="fr-CA"/>
        </w:rPr>
        <w:t>elle voulait dire.  Nous hésiterions à affirmer que la Commission a commis une erreur susceptible de contrôle en interprétant l</w:t>
      </w:r>
      <w:r>
        <w:rPr>
          <w:rFonts w:cs="Times New Roman"/>
          <w:lang w:val="fr-CA"/>
        </w:rPr>
        <w:t>’</w:t>
      </w:r>
      <w:r w:rsidRPr="00EE22A1">
        <w:rPr>
          <w:rFonts w:cs="Times New Roman"/>
          <w:lang w:val="fr-CA"/>
        </w:rPr>
        <w:t>ordonnance de la Cour d</w:t>
      </w:r>
      <w:r>
        <w:rPr>
          <w:rFonts w:cs="Times New Roman"/>
          <w:lang w:val="fr-CA"/>
        </w:rPr>
        <w:t>’</w:t>
      </w:r>
      <w:r w:rsidRPr="00EE22A1">
        <w:rPr>
          <w:rFonts w:cs="Times New Roman"/>
          <w:lang w:val="fr-CA"/>
        </w:rPr>
        <w:t xml:space="preserve">appel comme </w:t>
      </w:r>
      <w:proofErr w:type="spellStart"/>
      <w:r w:rsidRPr="00EE22A1">
        <w:rPr>
          <w:rFonts w:cs="Times New Roman"/>
          <w:lang w:val="fr-CA"/>
        </w:rPr>
        <w:t>celle</w:t>
      </w:r>
      <w:r w:rsidRPr="00EE22A1">
        <w:rPr>
          <w:rFonts w:cs="Times New Roman"/>
          <w:lang w:val="fr-CA"/>
        </w:rPr>
        <w:noBreakHyphen/>
        <w:t>ci</w:t>
      </w:r>
      <w:proofErr w:type="spellEnd"/>
      <w:r w:rsidRPr="00EE22A1">
        <w:rPr>
          <w:rFonts w:cs="Times New Roman"/>
          <w:lang w:val="fr-CA"/>
        </w:rPr>
        <w:t xml:space="preserve"> l</w:t>
      </w:r>
      <w:r>
        <w:rPr>
          <w:rFonts w:cs="Times New Roman"/>
          <w:lang w:val="fr-CA"/>
        </w:rPr>
        <w:t>’</w:t>
      </w:r>
      <w:r w:rsidRPr="00EE22A1">
        <w:rPr>
          <w:rFonts w:cs="Times New Roman"/>
          <w:lang w:val="fr-CA"/>
        </w:rPr>
        <w:t xml:space="preserve">a </w:t>
      </w:r>
      <w:proofErr w:type="spellStart"/>
      <w:r w:rsidRPr="00EE22A1">
        <w:rPr>
          <w:rFonts w:cs="Times New Roman"/>
          <w:lang w:val="fr-CA"/>
        </w:rPr>
        <w:t>elle</w:t>
      </w:r>
      <w:r w:rsidRPr="00EE22A1">
        <w:rPr>
          <w:rFonts w:cs="Times New Roman"/>
          <w:lang w:val="fr-CA"/>
        </w:rPr>
        <w:noBreakHyphen/>
        <w:t>même</w:t>
      </w:r>
      <w:proofErr w:type="spellEnd"/>
      <w:r w:rsidRPr="00EE22A1">
        <w:rPr>
          <w:rFonts w:cs="Times New Roman"/>
          <w:lang w:val="fr-CA"/>
        </w:rPr>
        <w:t xml:space="preserve"> fait ou en n</w:t>
      </w:r>
      <w:r>
        <w:rPr>
          <w:rFonts w:cs="Times New Roman"/>
          <w:lang w:val="fr-CA"/>
        </w:rPr>
        <w:t>’</w:t>
      </w:r>
      <w:r w:rsidRPr="00EE22A1">
        <w:rPr>
          <w:rFonts w:cs="Times New Roman"/>
          <w:lang w:val="fr-CA"/>
        </w:rPr>
        <w:t>examinant pas une question n</w:t>
      </w:r>
      <w:r>
        <w:rPr>
          <w:rFonts w:cs="Times New Roman"/>
          <w:lang w:val="fr-CA"/>
        </w:rPr>
        <w:t>’</w:t>
      </w:r>
      <w:r w:rsidRPr="00EE22A1">
        <w:rPr>
          <w:rFonts w:cs="Times New Roman"/>
          <w:lang w:val="fr-CA"/>
        </w:rPr>
        <w:t>ayant manifestement aucun fondement.  Il n</w:t>
      </w:r>
      <w:r>
        <w:rPr>
          <w:rFonts w:cs="Times New Roman"/>
          <w:lang w:val="fr-CA"/>
        </w:rPr>
        <w:t>’</w:t>
      </w:r>
      <w:r w:rsidRPr="00EE22A1">
        <w:rPr>
          <w:rFonts w:cs="Times New Roman"/>
          <w:lang w:val="fr-CA"/>
        </w:rPr>
        <w:t xml:space="preserve">est toutefois pas nécessaire, à notre avis, de trancher définitivement cette question. </w:t>
      </w:r>
    </w:p>
    <w:p w:rsidR="00046CA9" w:rsidRPr="00EE22A1" w:rsidRDefault="00046CA9" w:rsidP="00046CA9">
      <w:pPr>
        <w:pStyle w:val="ParaNoNdepar-AltN"/>
        <w:rPr>
          <w:rFonts w:cs="Times New Roman"/>
          <w:lang w:val="fr-CA"/>
        </w:rPr>
      </w:pPr>
      <w:r w:rsidRPr="00EE22A1">
        <w:rPr>
          <w:rFonts w:cs="Times New Roman"/>
          <w:lang w:val="fr-CA"/>
        </w:rPr>
        <w:t>Il s</w:t>
      </w:r>
      <w:r>
        <w:rPr>
          <w:rFonts w:cs="Times New Roman"/>
          <w:lang w:val="fr-CA"/>
        </w:rPr>
        <w:t>’</w:t>
      </w:r>
      <w:r w:rsidRPr="00EE22A1">
        <w:rPr>
          <w:rFonts w:cs="Times New Roman"/>
          <w:lang w:val="fr-CA"/>
        </w:rPr>
        <w:t>agit en l</w:t>
      </w:r>
      <w:r>
        <w:rPr>
          <w:rFonts w:cs="Times New Roman"/>
          <w:lang w:val="fr-CA"/>
        </w:rPr>
        <w:t>’</w:t>
      </w:r>
      <w:r w:rsidRPr="00EE22A1">
        <w:rPr>
          <w:rFonts w:cs="Times New Roman"/>
          <w:lang w:val="fr-CA"/>
        </w:rPr>
        <w:t>espèce d</w:t>
      </w:r>
      <w:r>
        <w:rPr>
          <w:rFonts w:cs="Times New Roman"/>
          <w:lang w:val="fr-CA"/>
        </w:rPr>
        <w:t>’</w:t>
      </w:r>
      <w:r w:rsidRPr="00EE22A1">
        <w:rPr>
          <w:rFonts w:cs="Times New Roman"/>
          <w:lang w:val="fr-CA"/>
        </w:rPr>
        <w:t>un des cas exceptionnels où la Cour peut traiter dès à présent de ces arguments, et elle peut d</w:t>
      </w:r>
      <w:r>
        <w:rPr>
          <w:rFonts w:cs="Times New Roman"/>
          <w:lang w:val="fr-CA"/>
        </w:rPr>
        <w:t>’</w:t>
      </w:r>
      <w:r w:rsidRPr="00EE22A1">
        <w:rPr>
          <w:rFonts w:cs="Times New Roman"/>
          <w:lang w:val="fr-CA"/>
        </w:rPr>
        <w:t xml:space="preserve">ailleurs le faire très sommairement.  </w:t>
      </w:r>
      <w:proofErr w:type="spellStart"/>
      <w:r w:rsidRPr="00EE22A1">
        <w:rPr>
          <w:rFonts w:cs="Times New Roman"/>
          <w:lang w:val="fr-CA"/>
        </w:rPr>
        <w:t>Ceux</w:t>
      </w:r>
      <w:r w:rsidRPr="00EE22A1">
        <w:rPr>
          <w:rFonts w:cs="Times New Roman"/>
          <w:lang w:val="fr-CA"/>
        </w:rPr>
        <w:noBreakHyphen/>
        <w:t>ci</w:t>
      </w:r>
      <w:proofErr w:type="spellEnd"/>
      <w:r w:rsidRPr="00EE22A1">
        <w:rPr>
          <w:rFonts w:cs="Times New Roman"/>
          <w:lang w:val="fr-CA"/>
        </w:rPr>
        <w:t xml:space="preserve"> sont sans fondement.  Même si la Cour d</w:t>
      </w:r>
      <w:r>
        <w:rPr>
          <w:rFonts w:cs="Times New Roman"/>
          <w:lang w:val="fr-CA"/>
        </w:rPr>
        <w:t>’</w:t>
      </w:r>
      <w:r w:rsidRPr="00EE22A1">
        <w:rPr>
          <w:rFonts w:cs="Times New Roman"/>
          <w:lang w:val="fr-CA"/>
        </w:rPr>
        <w:t>appel fédérale avait commis une erreur quant à l</w:t>
      </w:r>
      <w:r>
        <w:rPr>
          <w:rFonts w:cs="Times New Roman"/>
          <w:lang w:val="fr-CA"/>
        </w:rPr>
        <w:t>’</w:t>
      </w:r>
      <w:r w:rsidRPr="00EE22A1">
        <w:rPr>
          <w:rFonts w:cs="Times New Roman"/>
          <w:lang w:val="fr-CA"/>
        </w:rPr>
        <w:t>étendue du pouvoir de réexamen conféré à la Commission, les arguments de M</w:t>
      </w:r>
      <w:r w:rsidRPr="00EE22A1">
        <w:rPr>
          <w:rFonts w:cs="Times New Roman"/>
          <w:vertAlign w:val="superscript"/>
          <w:lang w:val="fr-CA"/>
        </w:rPr>
        <w:t>me</w:t>
      </w:r>
      <w:r w:rsidRPr="00EE22A1">
        <w:rPr>
          <w:rFonts w:cs="Times New Roman"/>
          <w:lang w:val="fr-CA"/>
        </w:rPr>
        <w:t> Bernard relatifs à l</w:t>
      </w:r>
      <w:r>
        <w:rPr>
          <w:rFonts w:cs="Times New Roman"/>
          <w:lang w:val="fr-CA"/>
        </w:rPr>
        <w:t>’</w:t>
      </w:r>
      <w:r w:rsidR="00AD21A1">
        <w:rPr>
          <w:rFonts w:cs="Times New Roman"/>
          <w:lang w:val="fr-CA"/>
        </w:rPr>
        <w:t>al. 2</w:t>
      </w:r>
      <w:r w:rsidRPr="00EE22A1">
        <w:rPr>
          <w:rFonts w:cs="Times New Roman"/>
          <w:i/>
          <w:lang w:val="fr-CA"/>
        </w:rPr>
        <w:t>d</w:t>
      </w:r>
      <w:r w:rsidRPr="00EE22A1">
        <w:rPr>
          <w:rFonts w:cs="Times New Roman"/>
          <w:lang w:val="fr-CA"/>
        </w:rPr>
        <w:t>) et à l</w:t>
      </w:r>
      <w:r>
        <w:rPr>
          <w:rFonts w:cs="Times New Roman"/>
          <w:lang w:val="fr-CA"/>
        </w:rPr>
        <w:t>’</w:t>
      </w:r>
      <w:r w:rsidRPr="00EE22A1">
        <w:rPr>
          <w:rFonts w:cs="Times New Roman"/>
          <w:lang w:val="fr-CA"/>
        </w:rPr>
        <w:t xml:space="preserve">art. 8 de la </w:t>
      </w:r>
      <w:r w:rsidRPr="00EE22A1">
        <w:rPr>
          <w:rFonts w:cs="Times New Roman"/>
          <w:i/>
          <w:lang w:val="fr-CA"/>
        </w:rPr>
        <w:t>Charte</w:t>
      </w:r>
      <w:r w:rsidRPr="00EE22A1">
        <w:rPr>
          <w:rFonts w:cs="Times New Roman"/>
          <w:lang w:val="fr-CA"/>
        </w:rPr>
        <w:t xml:space="preserve"> dont on n</w:t>
      </w:r>
      <w:r>
        <w:rPr>
          <w:rFonts w:cs="Times New Roman"/>
          <w:lang w:val="fr-CA"/>
        </w:rPr>
        <w:t>’</w:t>
      </w:r>
      <w:r w:rsidRPr="00EE22A1">
        <w:rPr>
          <w:rFonts w:cs="Times New Roman"/>
          <w:lang w:val="fr-CA"/>
        </w:rPr>
        <w:t>aurait pas tenu compte sont clairement voués à l</w:t>
      </w:r>
      <w:r>
        <w:rPr>
          <w:rFonts w:cs="Times New Roman"/>
          <w:lang w:val="fr-CA"/>
        </w:rPr>
        <w:t>’</w:t>
      </w:r>
      <w:r w:rsidRPr="00EE22A1">
        <w:rPr>
          <w:rFonts w:cs="Times New Roman"/>
          <w:lang w:val="fr-CA"/>
        </w:rPr>
        <w:t xml:space="preserve">échec, peu importe le moment ou le lieu où ils sont invoqués. </w:t>
      </w:r>
    </w:p>
    <w:p w:rsidR="00046CA9" w:rsidRPr="00EE22A1" w:rsidRDefault="00046CA9" w:rsidP="00046CA9">
      <w:pPr>
        <w:pStyle w:val="ParaNoNdepar-AltN"/>
        <w:rPr>
          <w:rFonts w:cs="Times New Roman"/>
          <w:lang w:val="fr-CA"/>
        </w:rPr>
      </w:pPr>
      <w:r w:rsidRPr="00EE22A1">
        <w:rPr>
          <w:rFonts w:cs="Times New Roman"/>
          <w:lang w:val="fr-CA"/>
        </w:rPr>
        <w:t>L</w:t>
      </w:r>
      <w:r>
        <w:rPr>
          <w:rFonts w:cs="Times New Roman"/>
          <w:lang w:val="fr-CA"/>
        </w:rPr>
        <w:t>’</w:t>
      </w:r>
      <w:r w:rsidRPr="00EE22A1">
        <w:rPr>
          <w:rFonts w:cs="Times New Roman"/>
          <w:lang w:val="fr-CA"/>
        </w:rPr>
        <w:t>argument soulevé par M</w:t>
      </w:r>
      <w:r w:rsidRPr="00EE22A1">
        <w:rPr>
          <w:rFonts w:cs="Times New Roman"/>
          <w:vertAlign w:val="superscript"/>
          <w:lang w:val="fr-CA"/>
        </w:rPr>
        <w:t>me</w:t>
      </w:r>
      <w:r w:rsidRPr="00EE22A1">
        <w:rPr>
          <w:rFonts w:cs="Times New Roman"/>
          <w:lang w:val="fr-CA"/>
        </w:rPr>
        <w:t> Bernard relativement à la liberté d</w:t>
      </w:r>
      <w:r>
        <w:rPr>
          <w:rFonts w:cs="Times New Roman"/>
          <w:lang w:val="fr-CA"/>
        </w:rPr>
        <w:t>’</w:t>
      </w:r>
      <w:r w:rsidRPr="00EE22A1">
        <w:rPr>
          <w:rFonts w:cs="Times New Roman"/>
          <w:lang w:val="fr-CA"/>
        </w:rPr>
        <w:t>association n</w:t>
      </w:r>
      <w:r>
        <w:rPr>
          <w:rFonts w:cs="Times New Roman"/>
          <w:lang w:val="fr-CA"/>
        </w:rPr>
        <w:t>’</w:t>
      </w:r>
      <w:r w:rsidRPr="00EE22A1">
        <w:rPr>
          <w:rFonts w:cs="Times New Roman"/>
          <w:lang w:val="fr-CA"/>
        </w:rPr>
        <w:t>a aucune assise juridique.  Selon sa prétention, en obligeant l</w:t>
      </w:r>
      <w:r>
        <w:rPr>
          <w:rFonts w:cs="Times New Roman"/>
          <w:lang w:val="fr-CA"/>
        </w:rPr>
        <w:t>’</w:t>
      </w:r>
      <w:r w:rsidRPr="00EE22A1">
        <w:rPr>
          <w:rFonts w:cs="Times New Roman"/>
          <w:lang w:val="fr-CA"/>
        </w:rPr>
        <w:t>employeur à communiquer ses renseignements personnels au syndicat, l</w:t>
      </w:r>
      <w:r>
        <w:rPr>
          <w:rFonts w:cs="Times New Roman"/>
          <w:lang w:val="fr-CA"/>
        </w:rPr>
        <w:t>’</w:t>
      </w:r>
      <w:r w:rsidRPr="00EE22A1">
        <w:rPr>
          <w:rFonts w:cs="Times New Roman"/>
          <w:lang w:val="fr-CA"/>
        </w:rPr>
        <w:t xml:space="preserve">ordonnance </w:t>
      </w:r>
      <w:r w:rsidRPr="00EE22A1">
        <w:rPr>
          <w:rFonts w:cs="Times New Roman"/>
          <w:lang w:val="fr-CA"/>
        </w:rPr>
        <w:lastRenderedPageBreak/>
        <w:t>de la Commission la forçait par le fait même à s</w:t>
      </w:r>
      <w:r>
        <w:rPr>
          <w:rFonts w:cs="Times New Roman"/>
          <w:lang w:val="fr-CA"/>
        </w:rPr>
        <w:t>’</w:t>
      </w:r>
      <w:r w:rsidRPr="00EE22A1">
        <w:rPr>
          <w:rFonts w:cs="Times New Roman"/>
          <w:lang w:val="fr-CA"/>
        </w:rPr>
        <w:t>associer au syndicat, en contravention de l</w:t>
      </w:r>
      <w:r>
        <w:rPr>
          <w:rFonts w:cs="Times New Roman"/>
          <w:lang w:val="fr-CA"/>
        </w:rPr>
        <w:t>’</w:t>
      </w:r>
      <w:r w:rsidRPr="00EE22A1">
        <w:rPr>
          <w:rFonts w:cs="Times New Roman"/>
          <w:lang w:val="fr-CA"/>
        </w:rPr>
        <w:t>al. 2</w:t>
      </w:r>
      <w:r w:rsidRPr="00EE22A1">
        <w:rPr>
          <w:rFonts w:cs="Times New Roman"/>
          <w:i/>
          <w:lang w:val="fr-CA"/>
        </w:rPr>
        <w:t>d</w:t>
      </w:r>
      <w:r w:rsidRPr="00EE22A1">
        <w:rPr>
          <w:rFonts w:cs="Times New Roman"/>
          <w:lang w:val="fr-CA"/>
        </w:rPr>
        <w:t xml:space="preserve">) de la </w:t>
      </w:r>
      <w:r w:rsidRPr="00EE22A1">
        <w:rPr>
          <w:rFonts w:cs="Times New Roman"/>
          <w:i/>
          <w:lang w:val="fr-CA"/>
        </w:rPr>
        <w:t>Charte</w:t>
      </w:r>
      <w:r w:rsidRPr="00EE22A1">
        <w:rPr>
          <w:rFonts w:cs="Times New Roman"/>
          <w:lang w:val="fr-CA"/>
        </w:rPr>
        <w:t>.  À notre avis, la communication obligatoire des coordonnées résidentielles visant à permettre au syndicat de s</w:t>
      </w:r>
      <w:r>
        <w:rPr>
          <w:rFonts w:cs="Times New Roman"/>
          <w:lang w:val="fr-CA"/>
        </w:rPr>
        <w:t>’</w:t>
      </w:r>
      <w:r w:rsidRPr="00EE22A1">
        <w:rPr>
          <w:rFonts w:cs="Times New Roman"/>
          <w:lang w:val="fr-CA"/>
        </w:rPr>
        <w:t>acquitter de ses obligations de représentation envers tous les membres de l</w:t>
      </w:r>
      <w:r>
        <w:rPr>
          <w:rFonts w:cs="Times New Roman"/>
          <w:lang w:val="fr-CA"/>
        </w:rPr>
        <w:t>’</w:t>
      </w:r>
      <w:r w:rsidRPr="00EE22A1">
        <w:rPr>
          <w:rFonts w:cs="Times New Roman"/>
          <w:lang w:val="fr-CA"/>
        </w:rPr>
        <w:t>unité de négociation ne porte pas atteinte à la liberté de M</w:t>
      </w:r>
      <w:r w:rsidRPr="00EE22A1">
        <w:rPr>
          <w:rFonts w:cs="Times New Roman"/>
          <w:vertAlign w:val="superscript"/>
          <w:lang w:val="fr-CA"/>
        </w:rPr>
        <w:t>me</w:t>
      </w:r>
      <w:r w:rsidRPr="00EE22A1">
        <w:rPr>
          <w:rFonts w:cs="Times New Roman"/>
          <w:lang w:val="fr-CA"/>
        </w:rPr>
        <w:t> Bernard de ne pas s</w:t>
      </w:r>
      <w:r>
        <w:rPr>
          <w:rFonts w:cs="Times New Roman"/>
          <w:lang w:val="fr-CA"/>
        </w:rPr>
        <w:t>’</w:t>
      </w:r>
      <w:r w:rsidRPr="00EE22A1">
        <w:rPr>
          <w:rFonts w:cs="Times New Roman"/>
          <w:lang w:val="fr-CA"/>
        </w:rPr>
        <w:t>associer au syndicat.  L</w:t>
      </w:r>
      <w:r>
        <w:rPr>
          <w:rFonts w:cs="Times New Roman"/>
          <w:lang w:val="fr-CA"/>
        </w:rPr>
        <w:t>’</w:t>
      </w:r>
      <w:r w:rsidRPr="00EE22A1">
        <w:rPr>
          <w:rFonts w:cs="Times New Roman"/>
          <w:lang w:val="fr-CA"/>
        </w:rPr>
        <w:t xml:space="preserve">arrêt rendu par la Cour dans </w:t>
      </w:r>
      <w:r w:rsidRPr="00EE22A1">
        <w:rPr>
          <w:rFonts w:cs="Times New Roman"/>
          <w:i/>
          <w:lang w:val="fr-CA"/>
        </w:rPr>
        <w:t>Lavigne c. Syndicat des employés de la fonction publique de l</w:t>
      </w:r>
      <w:r>
        <w:rPr>
          <w:rFonts w:cs="Times New Roman"/>
          <w:i/>
          <w:lang w:val="fr-CA"/>
        </w:rPr>
        <w:t>’</w:t>
      </w:r>
      <w:r w:rsidRPr="00EE22A1">
        <w:rPr>
          <w:rFonts w:cs="Times New Roman"/>
          <w:i/>
          <w:lang w:val="fr-CA"/>
        </w:rPr>
        <w:t>Ontario</w:t>
      </w:r>
      <w:r w:rsidRPr="00EE22A1">
        <w:rPr>
          <w:rFonts w:cs="Times New Roman"/>
          <w:lang w:val="fr-CA"/>
        </w:rPr>
        <w:t>, [1991] 2 R.C.S. 211, est déterminant, et la conclusion qui y est tirée est d</w:t>
      </w:r>
      <w:r>
        <w:rPr>
          <w:rFonts w:cs="Times New Roman"/>
          <w:lang w:val="fr-CA"/>
        </w:rPr>
        <w:t>’</w:t>
      </w:r>
      <w:r w:rsidRPr="00EE22A1">
        <w:rPr>
          <w:rFonts w:cs="Times New Roman"/>
          <w:lang w:val="fr-CA"/>
        </w:rPr>
        <w:t xml:space="preserve">ailleurs confirmée par un arrêt plus récent, </w:t>
      </w:r>
      <w:r w:rsidRPr="00EE22A1">
        <w:rPr>
          <w:rFonts w:cs="Times New Roman"/>
          <w:i/>
          <w:lang w:val="fr-CA"/>
        </w:rPr>
        <w:t xml:space="preserve">R. c. </w:t>
      </w:r>
      <w:proofErr w:type="spellStart"/>
      <w:r w:rsidRPr="00EE22A1">
        <w:rPr>
          <w:rFonts w:cs="Times New Roman"/>
          <w:i/>
          <w:lang w:val="fr-CA"/>
        </w:rPr>
        <w:t>Advance</w:t>
      </w:r>
      <w:proofErr w:type="spellEnd"/>
      <w:r w:rsidRPr="00EE22A1">
        <w:rPr>
          <w:rFonts w:cs="Times New Roman"/>
          <w:i/>
          <w:lang w:val="fr-CA"/>
        </w:rPr>
        <w:t xml:space="preserve"> </w:t>
      </w:r>
      <w:proofErr w:type="spellStart"/>
      <w:r w:rsidRPr="00EE22A1">
        <w:rPr>
          <w:rFonts w:cs="Times New Roman"/>
          <w:i/>
          <w:lang w:val="fr-CA"/>
        </w:rPr>
        <w:t>Cutting</w:t>
      </w:r>
      <w:proofErr w:type="spellEnd"/>
      <w:r w:rsidRPr="00EE22A1">
        <w:rPr>
          <w:rFonts w:cs="Times New Roman"/>
          <w:i/>
          <w:lang w:val="fr-CA"/>
        </w:rPr>
        <w:t xml:space="preserve"> &amp; </w:t>
      </w:r>
      <w:proofErr w:type="spellStart"/>
      <w:r w:rsidRPr="00EE22A1">
        <w:rPr>
          <w:rFonts w:cs="Times New Roman"/>
          <w:i/>
          <w:lang w:val="fr-CA"/>
        </w:rPr>
        <w:t>Coring</w:t>
      </w:r>
      <w:proofErr w:type="spellEnd"/>
      <w:r w:rsidRPr="00EE22A1">
        <w:rPr>
          <w:rFonts w:cs="Times New Roman"/>
          <w:i/>
          <w:lang w:val="fr-CA"/>
        </w:rPr>
        <w:t xml:space="preserve"> Ltd</w:t>
      </w:r>
      <w:r w:rsidRPr="00AD21A1">
        <w:rPr>
          <w:rFonts w:cs="Times New Roman"/>
          <w:i/>
          <w:lang w:val="fr-CA"/>
        </w:rPr>
        <w:t>.</w:t>
      </w:r>
      <w:r w:rsidRPr="00EE22A1">
        <w:rPr>
          <w:rFonts w:cs="Times New Roman"/>
          <w:lang w:val="fr-CA"/>
        </w:rPr>
        <w:t>, 2001 CSC 70, [2001] 3 R.C.S. 209.</w:t>
      </w:r>
    </w:p>
    <w:p w:rsidR="00046CA9" w:rsidRPr="00EE22A1" w:rsidRDefault="00046CA9" w:rsidP="00046CA9">
      <w:pPr>
        <w:pStyle w:val="ParaNoNdepar-AltN"/>
        <w:rPr>
          <w:rFonts w:cs="Times New Roman"/>
          <w:lang w:val="fr-CA"/>
        </w:rPr>
      </w:pPr>
      <w:r w:rsidRPr="00EE22A1">
        <w:rPr>
          <w:rFonts w:cs="Times New Roman"/>
          <w:lang w:val="fr-CA"/>
        </w:rPr>
        <w:t>Dans l</w:t>
      </w:r>
      <w:r>
        <w:rPr>
          <w:rFonts w:cs="Times New Roman"/>
          <w:lang w:val="fr-CA"/>
        </w:rPr>
        <w:t>’</w:t>
      </w:r>
      <w:r w:rsidRPr="00EE22A1">
        <w:rPr>
          <w:rFonts w:cs="Times New Roman"/>
          <w:lang w:val="fr-CA"/>
        </w:rPr>
        <w:t xml:space="preserve">arrêt </w:t>
      </w:r>
      <w:r w:rsidRPr="00EE22A1">
        <w:rPr>
          <w:rFonts w:cs="Times New Roman"/>
          <w:i/>
          <w:lang w:val="fr-CA"/>
        </w:rPr>
        <w:t>Lavigne</w:t>
      </w:r>
      <w:r w:rsidRPr="00EE22A1">
        <w:rPr>
          <w:rFonts w:cs="Times New Roman"/>
          <w:lang w:val="fr-CA"/>
        </w:rPr>
        <w:t>, la Cour a conclu que le paiement de cotisations syndicales par des employés assujettis à la formule Rand aux fins de la négociation collective ne constituait pas une « association forcée » injustifiée pour l</w:t>
      </w:r>
      <w:r>
        <w:rPr>
          <w:rFonts w:cs="Times New Roman"/>
          <w:lang w:val="fr-CA"/>
        </w:rPr>
        <w:t>’</w:t>
      </w:r>
      <w:r w:rsidRPr="00EE22A1">
        <w:rPr>
          <w:rFonts w:cs="Times New Roman"/>
          <w:lang w:val="fr-CA"/>
        </w:rPr>
        <w:t>application de l</w:t>
      </w:r>
      <w:r>
        <w:rPr>
          <w:rFonts w:cs="Times New Roman"/>
          <w:lang w:val="fr-CA"/>
        </w:rPr>
        <w:t>’</w:t>
      </w:r>
      <w:r w:rsidRPr="00EE22A1">
        <w:rPr>
          <w:rFonts w:cs="Times New Roman"/>
          <w:lang w:val="fr-CA"/>
        </w:rPr>
        <w:t>al. 2</w:t>
      </w:r>
      <w:r w:rsidRPr="00EE22A1">
        <w:rPr>
          <w:rFonts w:cs="Times New Roman"/>
          <w:i/>
          <w:lang w:val="fr-CA"/>
        </w:rPr>
        <w:t>d</w:t>
      </w:r>
      <w:r w:rsidRPr="00EE22A1">
        <w:rPr>
          <w:rFonts w:cs="Times New Roman"/>
          <w:lang w:val="fr-CA"/>
        </w:rPr>
        <w:t>).  Selon les juges majoritaires, bien qu</w:t>
      </w:r>
      <w:r>
        <w:rPr>
          <w:rFonts w:cs="Times New Roman"/>
          <w:lang w:val="fr-CA"/>
        </w:rPr>
        <w:t>’</w:t>
      </w:r>
      <w:r w:rsidRPr="00EE22A1">
        <w:rPr>
          <w:rFonts w:cs="Times New Roman"/>
          <w:lang w:val="fr-CA"/>
        </w:rPr>
        <w:t xml:space="preserve">il garantisse autant la liberté </w:t>
      </w:r>
      <w:r w:rsidRPr="00EE22A1">
        <w:rPr>
          <w:rFonts w:cs="Times New Roman"/>
          <w:i/>
          <w:lang w:val="fr-CA"/>
        </w:rPr>
        <w:t>de ne pas s</w:t>
      </w:r>
      <w:r>
        <w:rPr>
          <w:rFonts w:cs="Times New Roman"/>
          <w:i/>
          <w:lang w:val="fr-CA"/>
        </w:rPr>
        <w:t>’</w:t>
      </w:r>
      <w:r w:rsidRPr="00EE22A1">
        <w:rPr>
          <w:rFonts w:cs="Times New Roman"/>
          <w:i/>
          <w:lang w:val="fr-CA"/>
        </w:rPr>
        <w:t>associer</w:t>
      </w:r>
      <w:r w:rsidRPr="00EE22A1">
        <w:rPr>
          <w:rFonts w:cs="Times New Roman"/>
          <w:lang w:val="fr-CA"/>
        </w:rPr>
        <w:t xml:space="preserve"> que celle </w:t>
      </w:r>
      <w:r w:rsidRPr="00EE22A1">
        <w:rPr>
          <w:rFonts w:cs="Times New Roman"/>
          <w:i/>
          <w:lang w:val="fr-CA"/>
        </w:rPr>
        <w:t>de s</w:t>
      </w:r>
      <w:r>
        <w:rPr>
          <w:rFonts w:cs="Times New Roman"/>
          <w:i/>
          <w:lang w:val="fr-CA"/>
        </w:rPr>
        <w:t>’</w:t>
      </w:r>
      <w:r w:rsidRPr="00EE22A1">
        <w:rPr>
          <w:rFonts w:cs="Times New Roman"/>
          <w:i/>
          <w:lang w:val="fr-CA"/>
        </w:rPr>
        <w:t>associer</w:t>
      </w:r>
      <w:r w:rsidRPr="00EE22A1">
        <w:rPr>
          <w:rFonts w:cs="Times New Roman"/>
          <w:lang w:val="fr-CA"/>
        </w:rPr>
        <w:t>, l</w:t>
      </w:r>
      <w:r>
        <w:rPr>
          <w:rFonts w:cs="Times New Roman"/>
          <w:lang w:val="fr-CA"/>
        </w:rPr>
        <w:t>’</w:t>
      </w:r>
      <w:r w:rsidRPr="00EE22A1">
        <w:rPr>
          <w:rFonts w:cs="Times New Roman"/>
          <w:lang w:val="fr-CA"/>
        </w:rPr>
        <w:t>al. 2</w:t>
      </w:r>
      <w:r w:rsidRPr="00EE22A1">
        <w:rPr>
          <w:rFonts w:cs="Times New Roman"/>
          <w:i/>
          <w:lang w:val="fr-CA"/>
        </w:rPr>
        <w:t>d</w:t>
      </w:r>
      <w:r w:rsidRPr="00EE22A1">
        <w:rPr>
          <w:rFonts w:cs="Times New Roman"/>
          <w:lang w:val="fr-CA"/>
        </w:rPr>
        <w:t>) ne protège pas contre toute forme d</w:t>
      </w:r>
      <w:r>
        <w:rPr>
          <w:rFonts w:cs="Times New Roman"/>
          <w:lang w:val="fr-CA"/>
        </w:rPr>
        <w:t>’</w:t>
      </w:r>
      <w:r w:rsidRPr="00EE22A1">
        <w:rPr>
          <w:rFonts w:cs="Times New Roman"/>
          <w:lang w:val="fr-CA"/>
        </w:rPr>
        <w:t>association involontaire et n</w:t>
      </w:r>
      <w:r>
        <w:rPr>
          <w:rFonts w:cs="Times New Roman"/>
          <w:lang w:val="fr-CA"/>
        </w:rPr>
        <w:t>’</w:t>
      </w:r>
      <w:r w:rsidRPr="00EE22A1">
        <w:rPr>
          <w:rFonts w:cs="Times New Roman"/>
          <w:lang w:val="fr-CA"/>
        </w:rPr>
        <w:t>a pas été conçu pour contrer l</w:t>
      </w:r>
      <w:r>
        <w:rPr>
          <w:rFonts w:cs="Times New Roman"/>
          <w:lang w:val="fr-CA"/>
        </w:rPr>
        <w:t>’</w:t>
      </w:r>
      <w:r w:rsidRPr="00EE22A1">
        <w:rPr>
          <w:rFonts w:cs="Times New Roman"/>
          <w:lang w:val="fr-CA"/>
        </w:rPr>
        <w:t>association avec autrui qui est une composante nécessaire et inévitable de l</w:t>
      </w:r>
      <w:r>
        <w:rPr>
          <w:rFonts w:cs="Times New Roman"/>
          <w:lang w:val="fr-CA"/>
        </w:rPr>
        <w:t>’</w:t>
      </w:r>
      <w:r w:rsidRPr="00EE22A1">
        <w:rPr>
          <w:rFonts w:cs="Times New Roman"/>
          <w:lang w:val="fr-CA"/>
        </w:rPr>
        <w:t>appartenance à une société démocratique moderne.  Autrement dit, l</w:t>
      </w:r>
      <w:r>
        <w:rPr>
          <w:rFonts w:cs="Times New Roman"/>
          <w:lang w:val="fr-CA"/>
        </w:rPr>
        <w:t>’</w:t>
      </w:r>
      <w:r w:rsidRPr="00EE22A1">
        <w:rPr>
          <w:rFonts w:cs="Times New Roman"/>
          <w:lang w:val="fr-CA"/>
        </w:rPr>
        <w:t>al. 2</w:t>
      </w:r>
      <w:r w:rsidRPr="00EE22A1">
        <w:rPr>
          <w:rFonts w:cs="Times New Roman"/>
          <w:i/>
          <w:lang w:val="fr-CA"/>
        </w:rPr>
        <w:t>d</w:t>
      </w:r>
      <w:r w:rsidRPr="00EE22A1">
        <w:rPr>
          <w:rFonts w:cs="Times New Roman"/>
          <w:lang w:val="fr-CA"/>
        </w:rPr>
        <w:t>) n</w:t>
      </w:r>
      <w:r>
        <w:rPr>
          <w:rFonts w:cs="Times New Roman"/>
          <w:lang w:val="fr-CA"/>
        </w:rPr>
        <w:t>’</w:t>
      </w:r>
      <w:r w:rsidRPr="00EE22A1">
        <w:rPr>
          <w:rFonts w:cs="Times New Roman"/>
          <w:lang w:val="fr-CA"/>
        </w:rPr>
        <w:t>est pas un droit constitutionnel à l</w:t>
      </w:r>
      <w:r>
        <w:rPr>
          <w:rFonts w:cs="Times New Roman"/>
          <w:lang w:val="fr-CA"/>
        </w:rPr>
        <w:t>’</w:t>
      </w:r>
      <w:r w:rsidRPr="00EE22A1">
        <w:rPr>
          <w:rFonts w:cs="Times New Roman"/>
          <w:lang w:val="fr-CA"/>
        </w:rPr>
        <w:t xml:space="preserve">isolement : </w:t>
      </w:r>
      <w:r w:rsidRPr="00EE22A1">
        <w:rPr>
          <w:rFonts w:cs="Times New Roman"/>
          <w:i/>
          <w:lang w:val="fr-CA"/>
        </w:rPr>
        <w:t>Lavigne</w:t>
      </w:r>
      <w:r w:rsidRPr="00EE22A1">
        <w:rPr>
          <w:rFonts w:cs="Times New Roman"/>
          <w:lang w:val="fr-CA"/>
        </w:rPr>
        <w:t>,</w:t>
      </w:r>
      <w:r w:rsidRPr="00EE22A1">
        <w:rPr>
          <w:rFonts w:cs="Times New Roman"/>
          <w:i/>
          <w:lang w:val="fr-CA"/>
        </w:rPr>
        <w:t xml:space="preserve"> </w:t>
      </w:r>
      <w:r w:rsidRPr="00EE22A1">
        <w:rPr>
          <w:rFonts w:cs="Times New Roman"/>
          <w:lang w:val="fr-CA"/>
        </w:rPr>
        <w:t>p. 320</w:t>
      </w:r>
      <w:r w:rsidRPr="00EE22A1">
        <w:rPr>
          <w:rFonts w:cs="Times New Roman"/>
          <w:lang w:val="fr-CA"/>
        </w:rPr>
        <w:noBreakHyphen/>
        <w:t>321.  Bien que trois conceptions différentes du droit de ne pas s</w:t>
      </w:r>
      <w:r>
        <w:rPr>
          <w:rFonts w:cs="Times New Roman"/>
          <w:lang w:val="fr-CA"/>
        </w:rPr>
        <w:t>’</w:t>
      </w:r>
      <w:r w:rsidRPr="00EE22A1">
        <w:rPr>
          <w:rFonts w:cs="Times New Roman"/>
          <w:lang w:val="fr-CA"/>
        </w:rPr>
        <w:t>associer se dégagent de l</w:t>
      </w:r>
      <w:r>
        <w:rPr>
          <w:rFonts w:cs="Times New Roman"/>
          <w:lang w:val="fr-CA"/>
        </w:rPr>
        <w:t>’</w:t>
      </w:r>
      <w:r w:rsidRPr="00EE22A1">
        <w:rPr>
          <w:rFonts w:cs="Times New Roman"/>
          <w:lang w:val="fr-CA"/>
        </w:rPr>
        <w:t xml:space="preserve">arrêt </w:t>
      </w:r>
      <w:proofErr w:type="spellStart"/>
      <w:r w:rsidRPr="00EE22A1">
        <w:rPr>
          <w:rFonts w:cs="Times New Roman"/>
          <w:i/>
          <w:lang w:val="fr-CA"/>
        </w:rPr>
        <w:t>Advance</w:t>
      </w:r>
      <w:proofErr w:type="spellEnd"/>
      <w:r w:rsidRPr="00EE22A1">
        <w:rPr>
          <w:rFonts w:cs="Times New Roman"/>
          <w:i/>
          <w:lang w:val="fr-CA"/>
        </w:rPr>
        <w:t xml:space="preserve"> </w:t>
      </w:r>
      <w:proofErr w:type="spellStart"/>
      <w:r w:rsidRPr="00EE22A1">
        <w:rPr>
          <w:rFonts w:cs="Times New Roman"/>
          <w:i/>
          <w:lang w:val="fr-CA"/>
        </w:rPr>
        <w:t>Cutting</w:t>
      </w:r>
      <w:proofErr w:type="spellEnd"/>
      <w:r w:rsidRPr="00EE22A1">
        <w:rPr>
          <w:rFonts w:cs="Times New Roman"/>
          <w:i/>
          <w:lang w:val="fr-CA"/>
        </w:rPr>
        <w:t xml:space="preserve"> &amp; </w:t>
      </w:r>
      <w:proofErr w:type="spellStart"/>
      <w:r w:rsidRPr="00EE22A1">
        <w:rPr>
          <w:rFonts w:cs="Times New Roman"/>
          <w:i/>
          <w:lang w:val="fr-CA"/>
        </w:rPr>
        <w:t>Coring</w:t>
      </w:r>
      <w:proofErr w:type="spellEnd"/>
      <w:r w:rsidRPr="00EE22A1">
        <w:rPr>
          <w:rFonts w:cs="Times New Roman"/>
          <w:lang w:val="fr-CA"/>
        </w:rPr>
        <w:t>, aucune d</w:t>
      </w:r>
      <w:r>
        <w:rPr>
          <w:rFonts w:cs="Times New Roman"/>
          <w:lang w:val="fr-CA"/>
        </w:rPr>
        <w:t>’</w:t>
      </w:r>
      <w:r w:rsidRPr="00EE22A1">
        <w:rPr>
          <w:rFonts w:cs="Times New Roman"/>
          <w:lang w:val="fr-CA"/>
        </w:rPr>
        <w:t>entre elles ne permet de conclure que M</w:t>
      </w:r>
      <w:r w:rsidRPr="00EE22A1">
        <w:rPr>
          <w:rFonts w:cs="Times New Roman"/>
          <w:vertAlign w:val="superscript"/>
          <w:lang w:val="fr-CA"/>
        </w:rPr>
        <w:t>me</w:t>
      </w:r>
      <w:r w:rsidRPr="00EE22A1">
        <w:rPr>
          <w:rFonts w:cs="Times New Roman"/>
          <w:lang w:val="fr-CA"/>
        </w:rPr>
        <w:t> Bernard a un argument plausible à faire valoir relativement à l</w:t>
      </w:r>
      <w:r>
        <w:rPr>
          <w:rFonts w:cs="Times New Roman"/>
          <w:lang w:val="fr-CA"/>
        </w:rPr>
        <w:t>’</w:t>
      </w:r>
      <w:r w:rsidRPr="00EE22A1">
        <w:rPr>
          <w:rFonts w:cs="Times New Roman"/>
          <w:lang w:val="fr-CA"/>
        </w:rPr>
        <w:t>al. 2</w:t>
      </w:r>
      <w:r w:rsidRPr="00EE22A1">
        <w:rPr>
          <w:rFonts w:cs="Times New Roman"/>
          <w:i/>
          <w:lang w:val="fr-CA"/>
        </w:rPr>
        <w:t>d</w:t>
      </w:r>
      <w:r w:rsidRPr="00EE22A1">
        <w:rPr>
          <w:rFonts w:cs="Times New Roman"/>
          <w:lang w:val="fr-CA"/>
        </w:rPr>
        <w:t xml:space="preserve">). </w:t>
      </w:r>
    </w:p>
    <w:p w:rsidR="00046CA9" w:rsidRPr="00EE22A1" w:rsidRDefault="00046CA9" w:rsidP="00046CA9">
      <w:pPr>
        <w:pStyle w:val="ParaNoNdepar-AltN"/>
        <w:rPr>
          <w:rFonts w:cs="Times New Roman"/>
          <w:lang w:val="fr-CA"/>
        </w:rPr>
      </w:pPr>
      <w:r w:rsidRPr="00EE22A1">
        <w:rPr>
          <w:rFonts w:cs="Times New Roman"/>
          <w:lang w:val="fr-CA"/>
        </w:rPr>
        <w:lastRenderedPageBreak/>
        <w:t>Comme l</w:t>
      </w:r>
      <w:r>
        <w:rPr>
          <w:rFonts w:cs="Times New Roman"/>
          <w:lang w:val="fr-CA"/>
        </w:rPr>
        <w:t>’</w:t>
      </w:r>
      <w:r w:rsidRPr="00EE22A1">
        <w:rPr>
          <w:rFonts w:cs="Times New Roman"/>
          <w:lang w:val="fr-CA"/>
        </w:rPr>
        <w:t xml:space="preserve">a expliqué le juge La Forest dans </w:t>
      </w:r>
      <w:r w:rsidRPr="00EE22A1">
        <w:rPr>
          <w:rFonts w:cs="Times New Roman"/>
          <w:i/>
          <w:lang w:val="fr-CA"/>
        </w:rPr>
        <w:t>Lavigne</w:t>
      </w:r>
      <w:r w:rsidR="00AD21A1">
        <w:rPr>
          <w:rFonts w:cs="Times New Roman"/>
          <w:lang w:val="fr-CA"/>
        </w:rPr>
        <w:t>, « . . .</w:t>
      </w:r>
      <w:r w:rsidRPr="00EE22A1">
        <w:rPr>
          <w:rFonts w:cs="Times New Roman"/>
          <w:lang w:val="fr-CA"/>
        </w:rPr>
        <w:t xml:space="preserve"> un travailleur [assujetti à la formule Rand] comme Lavigne n</w:t>
      </w:r>
      <w:r>
        <w:rPr>
          <w:rFonts w:cs="Times New Roman"/>
          <w:lang w:val="fr-CA"/>
        </w:rPr>
        <w:t>’</w:t>
      </w:r>
      <w:r w:rsidRPr="00EE22A1">
        <w:rPr>
          <w:rFonts w:cs="Times New Roman"/>
          <w:lang w:val="fr-CA"/>
        </w:rPr>
        <w:t>aurait aucune chance de succès si son refus de s</w:t>
      </w:r>
      <w:r>
        <w:rPr>
          <w:rFonts w:cs="Times New Roman"/>
          <w:lang w:val="fr-CA"/>
        </w:rPr>
        <w:t>’</w:t>
      </w:r>
      <w:r w:rsidRPr="00EE22A1">
        <w:rPr>
          <w:rFonts w:cs="Times New Roman"/>
          <w:lang w:val="fr-CA"/>
        </w:rPr>
        <w:t>associer avec le syndicat visait les conditions d</w:t>
      </w:r>
      <w:r>
        <w:rPr>
          <w:rFonts w:cs="Times New Roman"/>
          <w:lang w:val="fr-CA"/>
        </w:rPr>
        <w:t>’</w:t>
      </w:r>
      <w:r w:rsidRPr="00EE22A1">
        <w:rPr>
          <w:rFonts w:cs="Times New Roman"/>
          <w:lang w:val="fr-CA"/>
        </w:rPr>
        <w:t>emploi des membres de son unité de négociation, dans le cadre de laquelle il est “naturellement” associé à ses compagnons de travail.  [. . .] À cet égard, le syndicat est simplement considéré comme le moyen d</w:t>
      </w:r>
      <w:r>
        <w:rPr>
          <w:rFonts w:cs="Times New Roman"/>
          <w:lang w:val="fr-CA"/>
        </w:rPr>
        <w:t>’</w:t>
      </w:r>
      <w:r w:rsidRPr="00EE22A1">
        <w:rPr>
          <w:rFonts w:cs="Times New Roman"/>
          <w:lang w:val="fr-CA"/>
        </w:rPr>
        <w:t>expression raisonnable de l</w:t>
      </w:r>
      <w:r>
        <w:rPr>
          <w:rFonts w:cs="Times New Roman"/>
          <w:lang w:val="fr-CA"/>
        </w:rPr>
        <w:t>’</w:t>
      </w:r>
      <w:r w:rsidRPr="00EE22A1">
        <w:rPr>
          <w:rFonts w:cs="Times New Roman"/>
          <w:lang w:val="fr-CA"/>
        </w:rPr>
        <w:t>indispensable interconnexion entre Lavig</w:t>
      </w:r>
      <w:r w:rsidR="00AD21A1">
        <w:rPr>
          <w:rFonts w:cs="Times New Roman"/>
          <w:lang w:val="fr-CA"/>
        </w:rPr>
        <w:t>ne et ses compagnons de travail</w:t>
      </w:r>
      <w:r w:rsidRPr="00EE22A1">
        <w:rPr>
          <w:rFonts w:cs="Times New Roman"/>
          <w:lang w:val="fr-CA"/>
        </w:rPr>
        <w:t xml:space="preserve"> » </w:t>
      </w:r>
      <w:r w:rsidR="00AD21A1">
        <w:rPr>
          <w:rFonts w:cs="Times New Roman"/>
          <w:lang w:val="fr-CA"/>
        </w:rPr>
        <w:t>(</w:t>
      </w:r>
      <w:r w:rsidRPr="00EE22A1">
        <w:rPr>
          <w:rFonts w:cs="Times New Roman"/>
          <w:lang w:val="fr-CA"/>
        </w:rPr>
        <w:t>p. 329</w:t>
      </w:r>
      <w:r w:rsidR="00AD21A1">
        <w:rPr>
          <w:rFonts w:cs="Times New Roman"/>
          <w:lang w:val="fr-CA"/>
        </w:rPr>
        <w:t>).</w:t>
      </w:r>
      <w:r w:rsidRPr="00EE22A1">
        <w:rPr>
          <w:rFonts w:cs="Times New Roman"/>
          <w:lang w:val="fr-CA"/>
        </w:rPr>
        <w:t xml:space="preserve">  </w:t>
      </w:r>
    </w:p>
    <w:p w:rsidR="00046CA9" w:rsidRPr="00EE22A1" w:rsidRDefault="00046CA9" w:rsidP="00046CA9">
      <w:pPr>
        <w:pStyle w:val="ParaNoNdepar-AltN"/>
        <w:rPr>
          <w:rFonts w:cs="Times New Roman"/>
          <w:lang w:val="fr-CA"/>
        </w:rPr>
      </w:pPr>
      <w:r w:rsidRPr="00EE22A1">
        <w:rPr>
          <w:rFonts w:cs="Times New Roman"/>
          <w:lang w:val="fr-CA"/>
        </w:rPr>
        <w:t>Dans la présente affaire, la Commission a raisonnablement conclu que la communication au syndicat des coordonnées résidentielles de M</w:t>
      </w:r>
      <w:r w:rsidRPr="00EE22A1">
        <w:rPr>
          <w:rFonts w:cs="Times New Roman"/>
          <w:vertAlign w:val="superscript"/>
          <w:lang w:val="fr-CA"/>
        </w:rPr>
        <w:t>me</w:t>
      </w:r>
      <w:r w:rsidRPr="00EE22A1">
        <w:rPr>
          <w:rFonts w:cs="Times New Roman"/>
          <w:lang w:val="fr-CA"/>
        </w:rPr>
        <w:t> Bernard est un accessoire nécessaire aux obligations syndicales de représentation envers elle, à titre de membre de l</w:t>
      </w:r>
      <w:r>
        <w:rPr>
          <w:rFonts w:cs="Times New Roman"/>
          <w:lang w:val="fr-CA"/>
        </w:rPr>
        <w:t>’</w:t>
      </w:r>
      <w:r w:rsidRPr="00EE22A1">
        <w:rPr>
          <w:rFonts w:cs="Times New Roman"/>
          <w:lang w:val="fr-CA"/>
        </w:rPr>
        <w:t>unité de négociation.  En conséquence, compte tenu de la jurisprudence de la Cour, l</w:t>
      </w:r>
      <w:r>
        <w:rPr>
          <w:rFonts w:cs="Times New Roman"/>
          <w:lang w:val="fr-CA"/>
        </w:rPr>
        <w:t>’</w:t>
      </w:r>
      <w:r w:rsidRPr="00EE22A1">
        <w:rPr>
          <w:rFonts w:cs="Times New Roman"/>
          <w:lang w:val="fr-CA"/>
        </w:rPr>
        <w:t>argument soulevé par M</w:t>
      </w:r>
      <w:r w:rsidRPr="00EE22A1">
        <w:rPr>
          <w:rFonts w:cs="Times New Roman"/>
          <w:vertAlign w:val="superscript"/>
          <w:lang w:val="fr-CA"/>
        </w:rPr>
        <w:t>me</w:t>
      </w:r>
      <w:r w:rsidRPr="00EE22A1">
        <w:rPr>
          <w:rFonts w:cs="Times New Roman"/>
          <w:lang w:val="fr-CA"/>
        </w:rPr>
        <w:t> Bernard relativement à la liberté d</w:t>
      </w:r>
      <w:r>
        <w:rPr>
          <w:rFonts w:cs="Times New Roman"/>
          <w:lang w:val="fr-CA"/>
        </w:rPr>
        <w:t>’</w:t>
      </w:r>
      <w:r w:rsidRPr="00EE22A1">
        <w:rPr>
          <w:rFonts w:cs="Times New Roman"/>
          <w:lang w:val="fr-CA"/>
        </w:rPr>
        <w:t>association n</w:t>
      </w:r>
      <w:r>
        <w:rPr>
          <w:rFonts w:cs="Times New Roman"/>
          <w:lang w:val="fr-CA"/>
        </w:rPr>
        <w:t>’</w:t>
      </w:r>
      <w:r w:rsidRPr="00EE22A1">
        <w:rPr>
          <w:rFonts w:cs="Times New Roman"/>
          <w:lang w:val="fr-CA"/>
        </w:rPr>
        <w:t>a aucune assise juridique.</w:t>
      </w:r>
    </w:p>
    <w:p w:rsidR="00046CA9" w:rsidRPr="00EE22A1" w:rsidRDefault="00046CA9" w:rsidP="00046CA9">
      <w:pPr>
        <w:pStyle w:val="ParaNoNdepar-AltN"/>
        <w:rPr>
          <w:rFonts w:cs="Times New Roman"/>
          <w:lang w:val="fr-CA"/>
        </w:rPr>
      </w:pPr>
      <w:r w:rsidRPr="00EE22A1">
        <w:rPr>
          <w:rFonts w:cs="Times New Roman"/>
          <w:lang w:val="fr-CA"/>
        </w:rPr>
        <w:t>L</w:t>
      </w:r>
      <w:r>
        <w:rPr>
          <w:rFonts w:cs="Times New Roman"/>
          <w:lang w:val="fr-CA"/>
        </w:rPr>
        <w:t>’</w:t>
      </w:r>
      <w:r w:rsidRPr="00EE22A1">
        <w:rPr>
          <w:rFonts w:cs="Times New Roman"/>
          <w:lang w:val="fr-CA"/>
        </w:rPr>
        <w:t>argument de M</w:t>
      </w:r>
      <w:r w:rsidRPr="00EE22A1">
        <w:rPr>
          <w:rFonts w:cs="Times New Roman"/>
          <w:vertAlign w:val="superscript"/>
          <w:lang w:val="fr-CA"/>
        </w:rPr>
        <w:t>me</w:t>
      </w:r>
      <w:r w:rsidRPr="00EE22A1">
        <w:rPr>
          <w:rFonts w:cs="Times New Roman"/>
          <w:lang w:val="fr-CA"/>
        </w:rPr>
        <w:t> Bernard fondé sur l</w:t>
      </w:r>
      <w:r>
        <w:rPr>
          <w:rFonts w:cs="Times New Roman"/>
          <w:lang w:val="fr-CA"/>
        </w:rPr>
        <w:t>’</w:t>
      </w:r>
      <w:r w:rsidRPr="00EE22A1">
        <w:rPr>
          <w:rFonts w:cs="Times New Roman"/>
          <w:lang w:val="fr-CA"/>
        </w:rPr>
        <w:t xml:space="preserve">art. 8 de la </w:t>
      </w:r>
      <w:r w:rsidRPr="00EE22A1">
        <w:rPr>
          <w:rFonts w:cs="Times New Roman"/>
          <w:i/>
          <w:lang w:val="fr-CA"/>
        </w:rPr>
        <w:t>Charte</w:t>
      </w:r>
      <w:r w:rsidRPr="00EE22A1">
        <w:rPr>
          <w:rFonts w:cs="Times New Roman"/>
          <w:lang w:val="fr-CA"/>
        </w:rPr>
        <w:t xml:space="preserve"> selon lequel la communication en question constituait une fouille ou saisie inconstitutionnelle est également sans fondement.  Comme le souligne à juste titre le procureur général du Canada, dans ce contexte, il ne saurait exister quant aux renseignements en cause d</w:t>
      </w:r>
      <w:r>
        <w:rPr>
          <w:rFonts w:cs="Times New Roman"/>
          <w:lang w:val="fr-CA"/>
        </w:rPr>
        <w:t>’</w:t>
      </w:r>
      <w:r w:rsidRPr="00EE22A1">
        <w:rPr>
          <w:rFonts w:cs="Times New Roman"/>
          <w:lang w:val="fr-CA"/>
        </w:rPr>
        <w:t>attente raisonnable en matière de vie privée.</w:t>
      </w:r>
    </w:p>
    <w:p w:rsidR="00046CA9" w:rsidRPr="00046CA9" w:rsidRDefault="00046CA9" w:rsidP="00046CA9">
      <w:pPr>
        <w:pStyle w:val="ParaNoNdepar-AltN"/>
        <w:rPr>
          <w:lang w:val="fr-CA"/>
        </w:rPr>
      </w:pPr>
      <w:r w:rsidRPr="00EE22A1">
        <w:rPr>
          <w:rFonts w:cs="Times New Roman"/>
          <w:lang w:val="fr-CA"/>
        </w:rPr>
        <w:t>Nous sommes d</w:t>
      </w:r>
      <w:r>
        <w:rPr>
          <w:rFonts w:cs="Times New Roman"/>
          <w:lang w:val="fr-CA"/>
        </w:rPr>
        <w:t>’</w:t>
      </w:r>
      <w:r w:rsidRPr="00EE22A1">
        <w:rPr>
          <w:rFonts w:cs="Times New Roman"/>
          <w:lang w:val="fr-CA"/>
        </w:rPr>
        <w:t>avis de rejeter le pourvoi sans dépens et de n</w:t>
      </w:r>
      <w:r>
        <w:rPr>
          <w:rFonts w:cs="Times New Roman"/>
          <w:lang w:val="fr-CA"/>
        </w:rPr>
        <w:t>’</w:t>
      </w:r>
      <w:r w:rsidRPr="00EE22A1">
        <w:rPr>
          <w:rFonts w:cs="Times New Roman"/>
          <w:lang w:val="fr-CA"/>
        </w:rPr>
        <w:t>adjuger aucuns dépens quant à la demande d</w:t>
      </w:r>
      <w:r>
        <w:rPr>
          <w:rFonts w:cs="Times New Roman"/>
          <w:lang w:val="fr-CA"/>
        </w:rPr>
        <w:t>’</w:t>
      </w:r>
      <w:r w:rsidRPr="00EE22A1">
        <w:rPr>
          <w:rFonts w:cs="Times New Roman"/>
          <w:lang w:val="fr-CA"/>
        </w:rPr>
        <w:t>autorisation d</w:t>
      </w:r>
      <w:r>
        <w:rPr>
          <w:rFonts w:cs="Times New Roman"/>
          <w:lang w:val="fr-CA"/>
        </w:rPr>
        <w:t>’</w:t>
      </w:r>
      <w:r w:rsidRPr="00EE22A1">
        <w:rPr>
          <w:rFonts w:cs="Times New Roman"/>
          <w:lang w:val="fr-CA"/>
        </w:rPr>
        <w:t xml:space="preserve">appel. </w:t>
      </w:r>
    </w:p>
    <w:p w:rsidR="00046CA9" w:rsidRDefault="00845747" w:rsidP="00845747">
      <w:pPr>
        <w:pStyle w:val="ParaNoNdepar-AltN"/>
        <w:numPr>
          <w:ilvl w:val="0"/>
          <w:numId w:val="0"/>
        </w:numPr>
        <w:ind w:left="1440" w:hanging="720"/>
        <w:rPr>
          <w:lang w:val="fr-CA"/>
        </w:rPr>
      </w:pPr>
      <w:r>
        <w:rPr>
          <w:lang w:val="fr-CA"/>
        </w:rPr>
        <w:lastRenderedPageBreak/>
        <w:t xml:space="preserve">Version française des motifs des juges </w:t>
      </w:r>
      <w:proofErr w:type="spellStart"/>
      <w:r>
        <w:rPr>
          <w:lang w:val="fr-CA"/>
        </w:rPr>
        <w:t>Rothstein</w:t>
      </w:r>
      <w:proofErr w:type="spellEnd"/>
      <w:r>
        <w:rPr>
          <w:lang w:val="fr-CA"/>
        </w:rPr>
        <w:t xml:space="preserve"> et </w:t>
      </w:r>
      <w:proofErr w:type="spellStart"/>
      <w:r>
        <w:rPr>
          <w:lang w:val="fr-CA"/>
        </w:rPr>
        <w:t>Moldaver</w:t>
      </w:r>
      <w:proofErr w:type="spellEnd"/>
      <w:r>
        <w:rPr>
          <w:lang w:val="fr-CA"/>
        </w:rPr>
        <w:t xml:space="preserve"> rendus par</w:t>
      </w:r>
    </w:p>
    <w:p w:rsidR="00046CA9" w:rsidRPr="00046CA9" w:rsidRDefault="00046CA9" w:rsidP="00046CA9">
      <w:pPr>
        <w:pStyle w:val="ParaNoNdepar-AltN"/>
        <w:numPr>
          <w:ilvl w:val="0"/>
          <w:numId w:val="0"/>
        </w:numPr>
        <w:rPr>
          <w:lang w:val="fr-CA"/>
        </w:rPr>
      </w:pPr>
      <w:r w:rsidRPr="00046CA9">
        <w:rPr>
          <w:lang w:val="fr-CA"/>
        </w:rPr>
        <w:tab/>
      </w:r>
      <w:r w:rsidRPr="00845747">
        <w:rPr>
          <w:smallCaps/>
          <w:lang w:val="fr-CA"/>
        </w:rPr>
        <w:t xml:space="preserve">Le juge </w:t>
      </w:r>
      <w:proofErr w:type="spellStart"/>
      <w:r w:rsidRPr="00845747">
        <w:rPr>
          <w:smallCaps/>
          <w:lang w:val="fr-CA"/>
        </w:rPr>
        <w:t>Rothstein</w:t>
      </w:r>
      <w:proofErr w:type="spellEnd"/>
      <w:r w:rsidRPr="00046CA9">
        <w:rPr>
          <w:lang w:val="fr-CA"/>
        </w:rPr>
        <w:t xml:space="preserve"> </w:t>
      </w:r>
      <w:r w:rsidR="00845747">
        <w:rPr>
          <w:lang w:val="fr-CA"/>
        </w:rPr>
        <w:t xml:space="preserve">(dissident en partie) </w:t>
      </w:r>
      <w:r w:rsidRPr="00046CA9">
        <w:rPr>
          <w:lang w:val="fr-CA"/>
        </w:rPr>
        <w:t xml:space="preserve">— </w:t>
      </w:r>
    </w:p>
    <w:p w:rsidR="00046CA9" w:rsidRPr="00674619" w:rsidRDefault="00046CA9" w:rsidP="00046CA9">
      <w:pPr>
        <w:pStyle w:val="Title1LevelTitre1Niveau-AltL"/>
        <w:keepNext/>
        <w:tabs>
          <w:tab w:val="clear" w:pos="432"/>
          <w:tab w:val="left" w:pos="576"/>
          <w:tab w:val="num" w:pos="5616"/>
        </w:tabs>
        <w:spacing w:before="0"/>
        <w:ind w:left="576" w:hanging="576"/>
        <w:jc w:val="both"/>
        <w:rPr>
          <w:rFonts w:cs="Times New Roman"/>
          <w:lang w:val="fr-CA"/>
        </w:rPr>
      </w:pPr>
      <w:bookmarkStart w:id="0" w:name="_Toc372276019"/>
      <w:r w:rsidRPr="00674619">
        <w:rPr>
          <w:rFonts w:cs="Times New Roman"/>
          <w:lang w:val="fr-CA"/>
        </w:rPr>
        <w:t>Introductio</w:t>
      </w:r>
      <w:bookmarkEnd w:id="0"/>
      <w:r w:rsidRPr="00674619">
        <w:rPr>
          <w:rFonts w:cs="Times New Roman"/>
          <w:lang w:val="fr-CA"/>
        </w:rPr>
        <w:t>n</w:t>
      </w:r>
    </w:p>
    <w:p w:rsidR="00046CA9" w:rsidRPr="00674619" w:rsidRDefault="00046CA9" w:rsidP="00046CA9">
      <w:pPr>
        <w:pStyle w:val="ParaNoNdepar-AltN"/>
        <w:rPr>
          <w:rFonts w:cs="Times New Roman"/>
          <w:lang w:val="fr-CA"/>
        </w:rPr>
      </w:pPr>
      <w:r w:rsidRPr="00674619">
        <w:rPr>
          <w:rFonts w:cs="Times New Roman"/>
          <w:lang w:val="fr-CA"/>
        </w:rPr>
        <w:t xml:space="preserve">Un tribunal administratif qui, parce qu’il interprète mal sa compétence, ne se prononce pas sur une contestation constitutionnelle — y compris une contestation fondée sur la </w:t>
      </w:r>
      <w:r w:rsidRPr="00674619">
        <w:rPr>
          <w:rFonts w:cs="Times New Roman"/>
          <w:i/>
          <w:lang w:val="fr-CA"/>
        </w:rPr>
        <w:t xml:space="preserve">Charte canadienne des droits et libertés </w:t>
      </w:r>
      <w:r w:rsidRPr="00674619">
        <w:rPr>
          <w:rFonts w:cs="Times New Roman"/>
          <w:lang w:val="fr-CA"/>
        </w:rPr>
        <w:t xml:space="preserve">— décline à tort la compétence qui lui est non seulement conférée, mais qu’il doit aussi exercer.  Par ailleurs, il importe peu que le tribunal en question refuse même d’entendre les arguments ou qu’il affirme, après les avoir entendus, qu’il n’y répondra pas parce qu’il n’a pas compétence pour le faire.  Que ce soit dans l’une ou l’autre de ces circonstances, la partie concernée se voit privée de son droit à l’équité procédurale.  Cela étant dit, quand l’omission du tribunal administratif découle d’une mauvaise interprétation de l’étendue de ses pouvoirs, il est plus approprié de qualifier cette erreur d’erreur de droit. </w:t>
      </w:r>
    </w:p>
    <w:p w:rsidR="00046CA9" w:rsidRPr="00674619" w:rsidRDefault="00046CA9" w:rsidP="00046CA9">
      <w:pPr>
        <w:pStyle w:val="ParaNoNdepar-AltN"/>
        <w:rPr>
          <w:rFonts w:cs="Times New Roman"/>
          <w:lang w:val="fr-CA"/>
        </w:rPr>
      </w:pPr>
      <w:r w:rsidRPr="00674619">
        <w:rPr>
          <w:rFonts w:cs="Times New Roman"/>
          <w:lang w:val="fr-CA"/>
        </w:rPr>
        <w:t xml:space="preserve">Dans la présente affaire, le tribunal administratif et la Cour d’appel fédérale ont refusé à maintes reprises d’entendre et de trancher les arguments fondés sur la </w:t>
      </w:r>
      <w:r w:rsidRPr="00674619">
        <w:rPr>
          <w:rFonts w:cs="Times New Roman"/>
          <w:i/>
          <w:lang w:val="fr-CA"/>
        </w:rPr>
        <w:t>Charte</w:t>
      </w:r>
      <w:r w:rsidRPr="00674619">
        <w:rPr>
          <w:rFonts w:cs="Times New Roman"/>
          <w:lang w:val="fr-CA"/>
        </w:rPr>
        <w:t xml:space="preserve"> soulevés par une partie non représentée par avocat.  Il importe de souligner que cette dernière tente de rétablir les mesures de protection de la vie privée qu’elle avait réussi à obtenir il y a longtemps et qui lui ont ensuite été enlevées.  Il est important qu’une telle plaideuse ne puisse douter du système judiciaire qui a refusé </w:t>
      </w:r>
      <w:r w:rsidRPr="00674619">
        <w:rPr>
          <w:rFonts w:cs="Times New Roman"/>
          <w:lang w:val="fr-CA"/>
        </w:rPr>
        <w:lastRenderedPageBreak/>
        <w:t xml:space="preserve">de répondre à ses arguments fondés sur la </w:t>
      </w:r>
      <w:r w:rsidRPr="00674619">
        <w:rPr>
          <w:rFonts w:cs="Times New Roman"/>
          <w:i/>
          <w:lang w:val="fr-CA"/>
        </w:rPr>
        <w:t>Charte</w:t>
      </w:r>
      <w:r w:rsidRPr="00674619">
        <w:rPr>
          <w:rFonts w:cs="Times New Roman"/>
          <w:lang w:val="fr-CA"/>
        </w:rPr>
        <w:t>.  Voilà le principal enjeu du présent pourvoi.</w:t>
      </w:r>
      <w:bookmarkStart w:id="1" w:name="_Toc372276020"/>
    </w:p>
    <w:p w:rsidR="00046CA9" w:rsidRPr="00674619" w:rsidRDefault="00046CA9" w:rsidP="00046CA9">
      <w:pPr>
        <w:pStyle w:val="ParaNoNdepar-AltN"/>
        <w:rPr>
          <w:rFonts w:cs="Times New Roman"/>
          <w:lang w:val="fr-CA"/>
        </w:rPr>
      </w:pPr>
      <w:r w:rsidRPr="00674619">
        <w:rPr>
          <w:rFonts w:cs="Times New Roman"/>
          <w:lang w:val="fr-CA"/>
        </w:rPr>
        <w:t xml:space="preserve">Cela ne veut pas dire que les tribunaux administratifs n’ont pas le pouvoir discrétionnaire de refuser d’examiner des arguments fondés sur la </w:t>
      </w:r>
      <w:r w:rsidRPr="00674619">
        <w:rPr>
          <w:rFonts w:cs="Times New Roman"/>
          <w:i/>
          <w:lang w:val="fr-CA"/>
        </w:rPr>
        <w:t>Charte</w:t>
      </w:r>
      <w:r w:rsidRPr="00674619">
        <w:rPr>
          <w:rFonts w:cs="Times New Roman"/>
          <w:lang w:val="fr-CA"/>
        </w:rPr>
        <w:t xml:space="preserve"> n’ayant, à leur avis, manifestement aucun fondement.  En effet, les tribunaux ne sont jamais tenus d’examiner de tels arguments.  Mais ce n’est pas le cas en l’espèce.  Le présent pourvoi ne porte pas sur l’exercice par un tribunal administratif de son </w:t>
      </w:r>
      <w:r w:rsidRPr="00674619">
        <w:rPr>
          <w:rFonts w:cs="Times New Roman"/>
          <w:i/>
          <w:lang w:val="fr-CA"/>
        </w:rPr>
        <w:t>pouvoir discrétionnaire</w:t>
      </w:r>
      <w:r w:rsidRPr="00674619">
        <w:rPr>
          <w:rFonts w:cs="Times New Roman"/>
          <w:lang w:val="fr-CA"/>
        </w:rPr>
        <w:t xml:space="preserve"> de refuser d’examiner des arguments non fondés relatifs à la </w:t>
      </w:r>
      <w:r w:rsidRPr="00674619">
        <w:rPr>
          <w:rFonts w:cs="Times New Roman"/>
          <w:i/>
          <w:lang w:val="fr-CA"/>
        </w:rPr>
        <w:t>Charte</w:t>
      </w:r>
      <w:r w:rsidRPr="00674619">
        <w:rPr>
          <w:rFonts w:cs="Times New Roman"/>
          <w:lang w:val="fr-CA"/>
        </w:rPr>
        <w:t xml:space="preserve">.  Il concerne plutôt le refus injustifié d’un tel tribunal d’exercer sa </w:t>
      </w:r>
      <w:r w:rsidRPr="00674619">
        <w:rPr>
          <w:rFonts w:cs="Times New Roman"/>
          <w:i/>
          <w:lang w:val="fr-CA"/>
        </w:rPr>
        <w:t>compétence</w:t>
      </w:r>
      <w:r w:rsidRPr="00674619">
        <w:rPr>
          <w:rFonts w:cs="Times New Roman"/>
          <w:lang w:val="fr-CA"/>
        </w:rPr>
        <w:t xml:space="preserve"> pour examiner des arguments fondés sur la </w:t>
      </w:r>
      <w:r w:rsidRPr="00674619">
        <w:rPr>
          <w:rFonts w:cs="Times New Roman"/>
          <w:i/>
          <w:lang w:val="fr-CA"/>
        </w:rPr>
        <w:t>Charte</w:t>
      </w:r>
      <w:r w:rsidRPr="00674619">
        <w:rPr>
          <w:rFonts w:cs="Times New Roman"/>
          <w:lang w:val="fr-CA"/>
        </w:rPr>
        <w:t>.</w:t>
      </w:r>
    </w:p>
    <w:bookmarkEnd w:id="1"/>
    <w:p w:rsidR="00046CA9" w:rsidRPr="00674619" w:rsidRDefault="00046CA9" w:rsidP="00046CA9">
      <w:pPr>
        <w:pStyle w:val="Title1LevelTitre1Niveau-AltL"/>
        <w:keepNext/>
        <w:tabs>
          <w:tab w:val="clear" w:pos="432"/>
          <w:tab w:val="left" w:pos="576"/>
          <w:tab w:val="num" w:pos="5616"/>
        </w:tabs>
        <w:spacing w:before="0"/>
        <w:ind w:left="576" w:hanging="576"/>
        <w:jc w:val="both"/>
        <w:rPr>
          <w:rFonts w:cs="Times New Roman"/>
          <w:lang w:val="fr-CA"/>
        </w:rPr>
      </w:pPr>
      <w:r w:rsidRPr="00674619">
        <w:rPr>
          <w:rFonts w:cs="Times New Roman"/>
          <w:lang w:val="fr-CA"/>
        </w:rPr>
        <w:t xml:space="preserve">Faits et décisions des juridictions inférieures </w:t>
      </w:r>
    </w:p>
    <w:p w:rsidR="00046CA9" w:rsidRPr="00674619" w:rsidRDefault="00046CA9" w:rsidP="00046CA9">
      <w:pPr>
        <w:pStyle w:val="Title2LevelTitre2Niveau"/>
        <w:keepNext/>
        <w:tabs>
          <w:tab w:val="clear" w:pos="432"/>
          <w:tab w:val="left" w:pos="576"/>
          <w:tab w:val="num" w:pos="5616"/>
        </w:tabs>
        <w:spacing w:before="0"/>
        <w:ind w:left="576" w:hanging="576"/>
        <w:jc w:val="both"/>
        <w:rPr>
          <w:rFonts w:cs="Times New Roman"/>
          <w:lang w:val="fr-CA"/>
        </w:rPr>
      </w:pPr>
      <w:proofErr w:type="spellStart"/>
      <w:r w:rsidRPr="00674619">
        <w:rPr>
          <w:rFonts w:cs="Times New Roman"/>
        </w:rPr>
        <w:t>Contexte</w:t>
      </w:r>
      <w:proofErr w:type="spellEnd"/>
    </w:p>
    <w:p w:rsidR="00046CA9" w:rsidRPr="00674619" w:rsidRDefault="00046CA9" w:rsidP="00046CA9">
      <w:pPr>
        <w:pStyle w:val="ParaNoNdepar-AltN"/>
        <w:rPr>
          <w:rFonts w:cs="Times New Roman"/>
          <w:lang w:val="fr-CA"/>
        </w:rPr>
      </w:pPr>
      <w:r w:rsidRPr="00674619">
        <w:rPr>
          <w:rFonts w:cs="Times New Roman"/>
          <w:lang w:val="fr-CA"/>
        </w:rPr>
        <w:t xml:space="preserve">L’appelante, Elizabeth Bernard, se représente </w:t>
      </w:r>
      <w:proofErr w:type="spellStart"/>
      <w:r w:rsidRPr="00674619">
        <w:rPr>
          <w:rFonts w:cs="Times New Roman"/>
          <w:lang w:val="fr-CA"/>
        </w:rPr>
        <w:t>elle</w:t>
      </w:r>
      <w:r w:rsidRPr="00674619">
        <w:rPr>
          <w:rFonts w:cs="Times New Roman"/>
          <w:lang w:val="fr-CA"/>
        </w:rPr>
        <w:noBreakHyphen/>
        <w:t>même</w:t>
      </w:r>
      <w:proofErr w:type="spellEnd"/>
      <w:r w:rsidRPr="00674619">
        <w:rPr>
          <w:rFonts w:cs="Times New Roman"/>
          <w:lang w:val="fr-CA"/>
        </w:rPr>
        <w:t xml:space="preserve"> et tente diligemment, depuis plus de 20 ans, de protéger ses droits à la vie privée dans le contexte du travail. </w:t>
      </w:r>
    </w:p>
    <w:p w:rsidR="00046CA9" w:rsidRPr="00674619" w:rsidRDefault="00046CA9" w:rsidP="00046CA9">
      <w:pPr>
        <w:pStyle w:val="ParaNoNdepar-AltN"/>
        <w:rPr>
          <w:rFonts w:cs="Times New Roman"/>
          <w:lang w:val="fr-CA"/>
        </w:rPr>
      </w:pPr>
      <w:r w:rsidRPr="00674619">
        <w:rPr>
          <w:rFonts w:cs="Times New Roman"/>
          <w:lang w:val="fr-CA"/>
        </w:rPr>
        <w:t>Tout au long de sa carrière dans la fonction publique fédérale, M</w:t>
      </w:r>
      <w:r w:rsidRPr="00674619">
        <w:rPr>
          <w:rFonts w:cs="Times New Roman"/>
          <w:vertAlign w:val="superscript"/>
          <w:lang w:val="fr-CA"/>
        </w:rPr>
        <w:t>me</w:t>
      </w:r>
      <w:r w:rsidRPr="00674619">
        <w:rPr>
          <w:rFonts w:cs="Times New Roman"/>
          <w:lang w:val="fr-CA"/>
        </w:rPr>
        <w:t> Bernard a refusé d’adhérer à un syndicat, comme elle en a d’ailleurs le droit. Toutefois, à titre d’employée « assujettie à la formule Rand », elle doit tout de même payer des cotisations syndicales.</w:t>
      </w:r>
    </w:p>
    <w:p w:rsidR="00046CA9" w:rsidRPr="00674619" w:rsidRDefault="00046CA9" w:rsidP="00046CA9">
      <w:pPr>
        <w:pStyle w:val="ParaNoNdepar-AltN"/>
        <w:rPr>
          <w:rFonts w:cs="Times New Roman"/>
          <w:lang w:val="fr-CA"/>
        </w:rPr>
      </w:pPr>
      <w:r w:rsidRPr="00674619">
        <w:rPr>
          <w:rFonts w:cs="Times New Roman"/>
          <w:lang w:val="fr-CA"/>
        </w:rPr>
        <w:lastRenderedPageBreak/>
        <w:t>M</w:t>
      </w:r>
      <w:r w:rsidRPr="00674619">
        <w:rPr>
          <w:rFonts w:cs="Times New Roman"/>
          <w:vertAlign w:val="superscript"/>
          <w:lang w:val="fr-CA"/>
        </w:rPr>
        <w:t>me</w:t>
      </w:r>
      <w:r w:rsidRPr="00674619">
        <w:rPr>
          <w:rFonts w:cs="Times New Roman"/>
          <w:lang w:val="fr-CA"/>
        </w:rPr>
        <w:t> Bernard a commencé sa carrière comme fonctionnaire fédérale à Revenu Canada — Impôt (maintenant l’Agence du revenu du Canada (« ARC »)) en 1991.  Elle était membre de ce qu’on appelait alors le groupe des Services professionnels et administratifs.  L’année suivante, l’agent négociateur de ce groupe, l’Alliance de la Fonction publique du Canada (« AFPC ») lui a envoyé une lettre à son domicile.  Lorsque M</w:t>
      </w:r>
      <w:r w:rsidRPr="00674619">
        <w:rPr>
          <w:rFonts w:cs="Times New Roman"/>
          <w:vertAlign w:val="superscript"/>
          <w:lang w:val="fr-CA"/>
        </w:rPr>
        <w:t>me</w:t>
      </w:r>
      <w:r w:rsidRPr="00674619">
        <w:rPr>
          <w:rFonts w:cs="Times New Roman"/>
          <w:lang w:val="fr-CA"/>
        </w:rPr>
        <w:t> Bernard a demandé au service des ressources humaines de l’ARC comment l’AFPC avait obtenu son adresse, on lui a répondu que l’ARC la lui avait fournie, ainsi que d’autres renseignements personnels.  M</w:t>
      </w:r>
      <w:r w:rsidRPr="00674619">
        <w:rPr>
          <w:rFonts w:cs="Times New Roman"/>
          <w:vertAlign w:val="superscript"/>
          <w:lang w:val="fr-CA"/>
        </w:rPr>
        <w:t>me</w:t>
      </w:r>
      <w:r w:rsidRPr="00674619">
        <w:rPr>
          <w:rFonts w:cs="Times New Roman"/>
          <w:lang w:val="fr-CA"/>
        </w:rPr>
        <w:t xml:space="preserve"> Bernard a alors déposé une plainte auprès du Commissariat à la protection de la vie privée (« CPVP »), alléguant que l’employeur avait communiqué son adresse résidentielle et son numéro d’assurance sociale (« NAS ») à l’AFPC sans son consentement.  </w:t>
      </w:r>
    </w:p>
    <w:p w:rsidR="00046CA9" w:rsidRPr="00674619" w:rsidRDefault="00046CA9" w:rsidP="00046CA9">
      <w:pPr>
        <w:pStyle w:val="ParaNoNdepar-AltN"/>
        <w:rPr>
          <w:rFonts w:cs="Times New Roman"/>
          <w:lang w:val="fr-CA"/>
        </w:rPr>
      </w:pPr>
      <w:r w:rsidRPr="00674619">
        <w:rPr>
          <w:rFonts w:cs="Times New Roman"/>
          <w:lang w:val="fr-CA"/>
        </w:rPr>
        <w:t>En mai 1993, le CPVP a avisé M</w:t>
      </w:r>
      <w:r w:rsidRPr="00674619">
        <w:rPr>
          <w:rFonts w:cs="Times New Roman"/>
          <w:vertAlign w:val="superscript"/>
          <w:lang w:val="fr-CA"/>
        </w:rPr>
        <w:t>me</w:t>
      </w:r>
      <w:r w:rsidRPr="00674619">
        <w:rPr>
          <w:rFonts w:cs="Times New Roman"/>
          <w:lang w:val="fr-CA"/>
        </w:rPr>
        <w:t> Bernard que sa plainte avait été accueillie.  En réponse aux recommandations du CPVP, les fonctionnaires du Conseil du Trésor du Canada ont cessé de communiquer l’adresse résidentielle et le NAS des employés</w:t>
      </w:r>
      <w:r>
        <w:rPr>
          <w:rFonts w:cs="Times New Roman"/>
          <w:lang w:val="fr-CA"/>
        </w:rPr>
        <w:t xml:space="preserve">.  </w:t>
      </w:r>
      <w:r w:rsidRPr="00674619">
        <w:rPr>
          <w:rFonts w:cs="Times New Roman"/>
          <w:lang w:val="fr-CA"/>
        </w:rPr>
        <w:t>M</w:t>
      </w:r>
      <w:r w:rsidRPr="00674619">
        <w:rPr>
          <w:rFonts w:cs="Times New Roman"/>
          <w:vertAlign w:val="superscript"/>
          <w:lang w:val="fr-CA"/>
        </w:rPr>
        <w:t>me</w:t>
      </w:r>
      <w:r w:rsidRPr="00674619">
        <w:rPr>
          <w:rFonts w:cs="Times New Roman"/>
          <w:lang w:val="fr-CA"/>
        </w:rPr>
        <w:t xml:space="preserve"> Bernard croyait que cette victoire mettait fin à cette affaire.  </w:t>
      </w:r>
    </w:p>
    <w:p w:rsidR="00046CA9" w:rsidRPr="00674619" w:rsidRDefault="00046CA9" w:rsidP="00046CA9">
      <w:pPr>
        <w:pStyle w:val="Title2LevelTitre2Niveau"/>
        <w:keepNext/>
        <w:tabs>
          <w:tab w:val="clear" w:pos="432"/>
          <w:tab w:val="left" w:pos="576"/>
          <w:tab w:val="num" w:pos="5616"/>
        </w:tabs>
        <w:spacing w:before="0"/>
        <w:ind w:left="576" w:hanging="576"/>
        <w:jc w:val="both"/>
        <w:rPr>
          <w:rFonts w:cs="Times New Roman"/>
          <w:lang w:val="fr-CA"/>
        </w:rPr>
      </w:pPr>
      <w:r w:rsidRPr="00674619">
        <w:rPr>
          <w:rFonts w:cs="Times New Roman"/>
          <w:lang w:val="fr-CA"/>
        </w:rPr>
        <w:t>Institut professionnel de la fonction publique du Canada c. Conseil du Trésor et Agence du revenu du Canada, 2008 CRTFP 13 (</w:t>
      </w:r>
      <w:proofErr w:type="spellStart"/>
      <w:r w:rsidRPr="00674619">
        <w:rPr>
          <w:rFonts w:cs="Times New Roman"/>
          <w:lang w:val="fr-CA"/>
        </w:rPr>
        <w:t>CanLII</w:t>
      </w:r>
      <w:proofErr w:type="spellEnd"/>
      <w:r w:rsidRPr="00674619">
        <w:rPr>
          <w:rFonts w:cs="Times New Roman"/>
          <w:lang w:val="fr-CA"/>
        </w:rPr>
        <w:t>) («</w:t>
      </w:r>
      <w:r w:rsidRPr="00674619">
        <w:rPr>
          <w:rFonts w:cs="Times New Roman"/>
          <w:i w:val="0"/>
          <w:lang w:val="fr-CA"/>
        </w:rPr>
        <w:t> </w:t>
      </w:r>
      <w:r w:rsidRPr="00674619">
        <w:rPr>
          <w:rFonts w:cs="Times New Roman"/>
          <w:lang w:val="fr-CA"/>
        </w:rPr>
        <w:t>IPFPC 1 »)</w:t>
      </w:r>
    </w:p>
    <w:p w:rsidR="00046CA9" w:rsidRPr="00674619" w:rsidRDefault="00046CA9" w:rsidP="00046CA9">
      <w:pPr>
        <w:pStyle w:val="ParaNoNdepar-AltN"/>
        <w:rPr>
          <w:rFonts w:cs="Times New Roman"/>
          <w:lang w:val="fr-CA"/>
        </w:rPr>
      </w:pPr>
      <w:r w:rsidRPr="00674619">
        <w:rPr>
          <w:rFonts w:cs="Times New Roman"/>
          <w:lang w:val="fr-CA"/>
        </w:rPr>
        <w:t>En 1995, M</w:t>
      </w:r>
      <w:r w:rsidRPr="00674619">
        <w:rPr>
          <w:rFonts w:cs="Times New Roman"/>
          <w:vertAlign w:val="superscript"/>
          <w:lang w:val="fr-CA"/>
        </w:rPr>
        <w:t>me </w:t>
      </w:r>
      <w:r w:rsidRPr="00674619">
        <w:rPr>
          <w:rFonts w:cs="Times New Roman"/>
          <w:lang w:val="fr-CA"/>
        </w:rPr>
        <w:t xml:space="preserve">Bernard a accepté un poste à l’ARC dans une catégorie d’emploi différente, qui a ensuite été classifié dans un groupe différent, le groupe Vérification, Finances et Sciences (« VFS »).  L’Institut professionnel de la fonction publique du Canada (« IPFPC ») est l’agent négociateur de ce groupe. </w:t>
      </w:r>
    </w:p>
    <w:p w:rsidR="00046CA9" w:rsidRPr="00674619" w:rsidRDefault="00046CA9" w:rsidP="00046CA9">
      <w:pPr>
        <w:pStyle w:val="ParaNoNdepar-AltN"/>
        <w:rPr>
          <w:rFonts w:cs="Times New Roman"/>
          <w:lang w:val="fr-CA"/>
        </w:rPr>
      </w:pPr>
      <w:r w:rsidRPr="00674619">
        <w:rPr>
          <w:rFonts w:cs="Times New Roman"/>
          <w:lang w:val="fr-CA"/>
        </w:rPr>
        <w:lastRenderedPageBreak/>
        <w:t>En 2007, l’IPFPC a déposé des plaintes contre le Conseil du Trésor et l’ARC en application des al. 190(1)</w:t>
      </w:r>
      <w:r w:rsidRPr="00674619">
        <w:rPr>
          <w:rFonts w:cs="Times New Roman"/>
          <w:i/>
          <w:lang w:val="fr-CA"/>
        </w:rPr>
        <w:t>b</w:t>
      </w:r>
      <w:r w:rsidRPr="00674619">
        <w:rPr>
          <w:rFonts w:cs="Times New Roman"/>
          <w:lang w:val="fr-CA"/>
        </w:rPr>
        <w:t xml:space="preserve">) et </w:t>
      </w:r>
      <w:r w:rsidRPr="00674619">
        <w:rPr>
          <w:rFonts w:cs="Times New Roman"/>
          <w:i/>
          <w:lang w:val="fr-CA"/>
        </w:rPr>
        <w:t>g</w:t>
      </w:r>
      <w:r w:rsidRPr="00674619">
        <w:rPr>
          <w:rFonts w:cs="Times New Roman"/>
          <w:lang w:val="fr-CA"/>
        </w:rPr>
        <w:t xml:space="preserve">) de la </w:t>
      </w:r>
      <w:r w:rsidRPr="00674619">
        <w:rPr>
          <w:rFonts w:cs="Times New Roman"/>
          <w:i/>
          <w:lang w:val="fr-CA"/>
        </w:rPr>
        <w:t>Loi sur les relations de travail dans la fonction publique</w:t>
      </w:r>
      <w:r w:rsidRPr="00674619">
        <w:rPr>
          <w:rFonts w:cs="Times New Roman"/>
          <w:lang w:val="fr-CA"/>
        </w:rPr>
        <w:t xml:space="preserve">, édictée par la </w:t>
      </w:r>
      <w:r w:rsidRPr="00674619">
        <w:rPr>
          <w:rFonts w:cs="Times New Roman"/>
          <w:i/>
          <w:lang w:val="fr-CA"/>
        </w:rPr>
        <w:t>Loi sur la modernisation de la fonction publique</w:t>
      </w:r>
      <w:r w:rsidRPr="00674619">
        <w:rPr>
          <w:rFonts w:cs="Times New Roman"/>
          <w:lang w:val="fr-CA"/>
        </w:rPr>
        <w:t>, L.C. 2003, ch. 22, art. 2 (« </w:t>
      </w:r>
      <w:r w:rsidRPr="00674619">
        <w:rPr>
          <w:rFonts w:cs="Times New Roman"/>
          <w:i/>
          <w:lang w:val="fr-CA"/>
        </w:rPr>
        <w:t>LRTFP </w:t>
      </w:r>
      <w:r w:rsidRPr="00674619">
        <w:rPr>
          <w:rFonts w:cs="Times New Roman"/>
          <w:lang w:val="fr-CA"/>
        </w:rPr>
        <w:t xml:space="preserve">»).  L’IPFPC soutenait notamment que le défaut des employeurs de lui fournir les coordonnées des employés qu’il avait demandées correspondait à un manquement à l’obligation de négocier de bonne foi et constituait une pratique déloyale au sens de l’art. 185 et du par. 186(1) de la </w:t>
      </w:r>
      <w:r w:rsidRPr="00674619">
        <w:rPr>
          <w:rFonts w:cs="Times New Roman"/>
          <w:i/>
          <w:lang w:val="fr-CA"/>
        </w:rPr>
        <w:t>LRTFP</w:t>
      </w:r>
      <w:r w:rsidRPr="004E5A8F">
        <w:rPr>
          <w:rFonts w:cs="Times New Roman"/>
          <w:lang w:val="fr-CA"/>
        </w:rPr>
        <w:t>.</w:t>
      </w:r>
      <w:r w:rsidRPr="00674619">
        <w:rPr>
          <w:rFonts w:cs="Times New Roman"/>
          <w:i/>
          <w:lang w:val="fr-CA"/>
        </w:rPr>
        <w:t xml:space="preserve">  </w:t>
      </w:r>
      <w:r w:rsidRPr="00674619">
        <w:rPr>
          <w:rFonts w:cs="Times New Roman"/>
          <w:lang w:val="fr-CA"/>
        </w:rPr>
        <w:t xml:space="preserve">Le syndicat avait demandé le nom et le titre du poste de chaque employé, ainsi que leurs numéros de téléphone, numéros de télécopieur et adresses postales et électroniques, tant à la maison qu’au travail. </w:t>
      </w:r>
    </w:p>
    <w:p w:rsidR="00046CA9" w:rsidRPr="00674619" w:rsidRDefault="00046CA9" w:rsidP="00046CA9">
      <w:pPr>
        <w:pStyle w:val="ParaNoNdepar-AltN"/>
        <w:rPr>
          <w:rFonts w:cs="Times New Roman"/>
          <w:lang w:val="fr-CA"/>
        </w:rPr>
      </w:pPr>
      <w:r w:rsidRPr="00674619">
        <w:rPr>
          <w:rFonts w:cs="Times New Roman"/>
          <w:lang w:val="fr-CA"/>
        </w:rPr>
        <w:t>Dans sa décision provisoire rendue en février 2008, la Commission des relations de travail dans la fonction publique (« Commission ») a conclu que le « refus [des employeurs] de donner au plaignant au moins une partie des renseignements qu’il avait demandés » constituait une inter</w:t>
      </w:r>
      <w:r>
        <w:rPr>
          <w:rFonts w:cs="Times New Roman"/>
          <w:lang w:val="fr-CA"/>
        </w:rPr>
        <w:t>vention</w:t>
      </w:r>
      <w:r w:rsidRPr="00674619">
        <w:rPr>
          <w:rFonts w:cs="Times New Roman"/>
          <w:lang w:val="fr-CA"/>
        </w:rPr>
        <w:t xml:space="preserve"> dans la représentation des employés au sens de l’al. 186(1)</w:t>
      </w:r>
      <w:r w:rsidRPr="00674619">
        <w:rPr>
          <w:rFonts w:cs="Times New Roman"/>
          <w:i/>
          <w:lang w:val="fr-CA"/>
        </w:rPr>
        <w:t>a</w:t>
      </w:r>
      <w:r w:rsidRPr="00674619">
        <w:rPr>
          <w:rFonts w:cs="Times New Roman"/>
          <w:lang w:val="fr-CA"/>
        </w:rPr>
        <w:t xml:space="preserve">) de la </w:t>
      </w:r>
      <w:r w:rsidRPr="00674619">
        <w:rPr>
          <w:rFonts w:cs="Times New Roman"/>
          <w:i/>
          <w:lang w:val="fr-CA"/>
        </w:rPr>
        <w:t xml:space="preserve">LRTFP </w:t>
      </w:r>
      <w:r w:rsidRPr="00674619">
        <w:rPr>
          <w:rFonts w:cs="Times New Roman"/>
          <w:lang w:val="fr-CA"/>
        </w:rPr>
        <w:t xml:space="preserve">(par. 67).  Elle a en outre ordonné aux parties de s’entendre sur les coordonnées qu’il fallait communiquer au syndicat pour satisfaire aux exigences de la </w:t>
      </w:r>
      <w:r w:rsidRPr="00674619">
        <w:rPr>
          <w:rFonts w:cs="Times New Roman"/>
          <w:i/>
          <w:lang w:val="fr-CA"/>
        </w:rPr>
        <w:t>LRTFP</w:t>
      </w:r>
      <w:r w:rsidRPr="00674619">
        <w:rPr>
          <w:rFonts w:cs="Times New Roman"/>
          <w:lang w:val="fr-CA"/>
        </w:rPr>
        <w:t>.</w:t>
      </w:r>
    </w:p>
    <w:p w:rsidR="00046CA9" w:rsidRPr="00674619" w:rsidRDefault="00046CA9" w:rsidP="00046CA9">
      <w:pPr>
        <w:pStyle w:val="ParaNoNdepar-AltN"/>
        <w:rPr>
          <w:rFonts w:cs="Times New Roman"/>
          <w:lang w:val="fr-CA"/>
        </w:rPr>
      </w:pPr>
      <w:r w:rsidRPr="00674619">
        <w:rPr>
          <w:rFonts w:cs="Times New Roman"/>
          <w:lang w:val="fr-CA"/>
        </w:rPr>
        <w:t>M</w:t>
      </w:r>
      <w:r w:rsidRPr="00674619">
        <w:rPr>
          <w:rFonts w:cs="Times New Roman"/>
          <w:vertAlign w:val="superscript"/>
          <w:lang w:val="fr-CA"/>
        </w:rPr>
        <w:t>me </w:t>
      </w:r>
      <w:r w:rsidRPr="00674619">
        <w:rPr>
          <w:rFonts w:cs="Times New Roman"/>
          <w:lang w:val="fr-CA"/>
        </w:rPr>
        <w:t xml:space="preserve">Bernard n’a pas pris part à cette procédure et n’en a pas été avisée non plus.  </w:t>
      </w:r>
    </w:p>
    <w:p w:rsidR="00046CA9" w:rsidRPr="00674619" w:rsidRDefault="00046CA9" w:rsidP="00046CA9">
      <w:pPr>
        <w:pStyle w:val="Title2LevelTitre2Niveau"/>
        <w:keepNext/>
        <w:tabs>
          <w:tab w:val="clear" w:pos="432"/>
          <w:tab w:val="left" w:pos="576"/>
          <w:tab w:val="num" w:pos="5616"/>
        </w:tabs>
        <w:spacing w:before="0"/>
        <w:ind w:left="576" w:hanging="576"/>
        <w:jc w:val="both"/>
        <w:rPr>
          <w:rFonts w:cs="Times New Roman"/>
          <w:lang w:val="fr-CA"/>
        </w:rPr>
      </w:pPr>
      <w:bookmarkStart w:id="2" w:name="_Toc372276027"/>
      <w:r w:rsidRPr="00674619">
        <w:rPr>
          <w:rFonts w:cs="Times New Roman"/>
          <w:lang w:val="fr-CA"/>
        </w:rPr>
        <w:lastRenderedPageBreak/>
        <w:t xml:space="preserve">Institut professionnel de la fonction publique du Canada c. Agence du revenu du Canada, </w:t>
      </w:r>
      <w:bookmarkEnd w:id="2"/>
      <w:r w:rsidRPr="00674619">
        <w:rPr>
          <w:rFonts w:cs="Times New Roman"/>
          <w:lang w:val="fr-CA"/>
        </w:rPr>
        <w:t>2008 CRTFP 58 (</w:t>
      </w:r>
      <w:proofErr w:type="spellStart"/>
      <w:r w:rsidRPr="00674619">
        <w:rPr>
          <w:rFonts w:cs="Times New Roman"/>
          <w:lang w:val="fr-CA"/>
        </w:rPr>
        <w:t>CanLII</w:t>
      </w:r>
      <w:proofErr w:type="spellEnd"/>
      <w:r w:rsidRPr="00674619">
        <w:rPr>
          <w:rFonts w:cs="Times New Roman"/>
          <w:lang w:val="fr-CA"/>
        </w:rPr>
        <w:t>) (« IPFPC 2 »)</w:t>
      </w:r>
    </w:p>
    <w:p w:rsidR="00046CA9" w:rsidRPr="00674619" w:rsidRDefault="00046CA9" w:rsidP="00046CA9">
      <w:pPr>
        <w:pStyle w:val="ParaNoNdepar-AltN"/>
        <w:rPr>
          <w:rFonts w:cs="Times New Roman"/>
          <w:lang w:val="fr-CA"/>
        </w:rPr>
      </w:pPr>
      <w:r w:rsidRPr="00674619">
        <w:rPr>
          <w:rFonts w:cs="Times New Roman"/>
          <w:lang w:val="fr-CA"/>
        </w:rPr>
        <w:t xml:space="preserve">À la suite de la décision </w:t>
      </w:r>
      <w:r w:rsidRPr="00674619">
        <w:rPr>
          <w:rFonts w:cs="Times New Roman"/>
          <w:i/>
          <w:lang w:val="fr-CA"/>
        </w:rPr>
        <w:t>IPFPC 1</w:t>
      </w:r>
      <w:r w:rsidRPr="00674619">
        <w:rPr>
          <w:rFonts w:cs="Times New Roman"/>
          <w:lang w:val="fr-CA"/>
        </w:rPr>
        <w:t>, l’ARC et le syndicat sont parvenus à une entente et ont demandé que les modalités de cette dernière soient incorporées dans une ordonnance de la Commission.</w:t>
      </w:r>
    </w:p>
    <w:p w:rsidR="00046CA9" w:rsidRPr="00674619" w:rsidRDefault="00046CA9" w:rsidP="00046CA9">
      <w:pPr>
        <w:pStyle w:val="ParaNoNdepar-AltN"/>
        <w:rPr>
          <w:rFonts w:cs="Times New Roman"/>
          <w:lang w:val="fr-CA"/>
        </w:rPr>
      </w:pPr>
      <w:r w:rsidRPr="00674619">
        <w:rPr>
          <w:rFonts w:cs="Times New Roman"/>
          <w:lang w:val="fr-CA"/>
        </w:rPr>
        <w:t xml:space="preserve">Le 18 juillet 2008, la Commission a donc rendu une ordonnance sur consentement.  Selon cette dernière, l’ARC s’est engagée à communiquer trimestriellement à l’IPFPC les adresses et numéros de téléphone à domicile des membres de l’unité de négociation VFS dont l’employeur disposait dans son système d’information sur les ressources humaines.  L’IPFPC s’est engagé, pour sa part, à utiliser ces renseignements uniquement pour s’acquitter des obligations qui lui incombent en application de la </w:t>
      </w:r>
      <w:r w:rsidRPr="00674619">
        <w:rPr>
          <w:rFonts w:cs="Times New Roman"/>
          <w:i/>
          <w:lang w:val="fr-CA"/>
        </w:rPr>
        <w:t xml:space="preserve">LRTFP </w:t>
      </w:r>
      <w:r w:rsidRPr="00674619">
        <w:rPr>
          <w:rFonts w:cs="Times New Roman"/>
          <w:lang w:val="fr-CA"/>
        </w:rPr>
        <w:t xml:space="preserve">en matière de représentation à titre d’agent négociateur exclusif, et à s’assurer que les renseignements personnels soient protégés et conservés en toute sécurité. </w:t>
      </w:r>
    </w:p>
    <w:p w:rsidR="00046CA9" w:rsidRPr="00674619" w:rsidRDefault="00046CA9" w:rsidP="00046CA9">
      <w:pPr>
        <w:pStyle w:val="ParaNoNdepar-AltN"/>
        <w:rPr>
          <w:rFonts w:cs="Times New Roman"/>
          <w:lang w:val="fr-CA"/>
        </w:rPr>
      </w:pPr>
      <w:r w:rsidRPr="00674619">
        <w:rPr>
          <w:rFonts w:cs="Times New Roman"/>
          <w:lang w:val="fr-CA"/>
        </w:rPr>
        <w:t>M</w:t>
      </w:r>
      <w:r w:rsidRPr="00674619">
        <w:rPr>
          <w:rFonts w:cs="Times New Roman"/>
          <w:vertAlign w:val="superscript"/>
          <w:lang w:val="fr-CA"/>
        </w:rPr>
        <w:t>me</w:t>
      </w:r>
      <w:r w:rsidRPr="00674619">
        <w:rPr>
          <w:rFonts w:cs="Times New Roman"/>
          <w:lang w:val="fr-CA"/>
        </w:rPr>
        <w:t> Bernard n’a pas pris part à cette procédure.  Cependant, le 16 octobre 2008, l’ARC a envoyé un courriel à ses employés pour les aviser de la décision rendue par la Commission.  M</w:t>
      </w:r>
      <w:r w:rsidRPr="00674619">
        <w:rPr>
          <w:rFonts w:cs="Times New Roman"/>
          <w:vertAlign w:val="superscript"/>
          <w:lang w:val="fr-CA"/>
        </w:rPr>
        <w:t>me</w:t>
      </w:r>
      <w:r w:rsidRPr="00674619">
        <w:rPr>
          <w:rFonts w:cs="Times New Roman"/>
          <w:lang w:val="fr-CA"/>
        </w:rPr>
        <w:t xml:space="preserve"> Bernard, qui était alors en congé, a reçu ce courriel à son retour au travail le 20 octobre 2008.  Elle a rapidement déposé une requête en prorogation du délai pour déposer une demande de contrôle judiciaire à l’égard de la décision de la Commission </w:t>
      </w:r>
      <w:r w:rsidRPr="00674619">
        <w:rPr>
          <w:rFonts w:cs="Times New Roman"/>
          <w:i/>
          <w:lang w:val="fr-CA"/>
        </w:rPr>
        <w:t>IPFPC 2</w:t>
      </w:r>
      <w:r w:rsidRPr="00674619">
        <w:rPr>
          <w:rFonts w:cs="Times New Roman"/>
          <w:lang w:val="fr-CA"/>
        </w:rPr>
        <w:t xml:space="preserve"> et sa requête a été accueillie.  Elle a déposé sa demande de contrôle judiciaire le 17 décembre 2008.  </w:t>
      </w:r>
    </w:p>
    <w:p w:rsidR="00046CA9" w:rsidRPr="00674619" w:rsidRDefault="00046CA9" w:rsidP="00046CA9">
      <w:pPr>
        <w:pStyle w:val="Title2LevelTitre2Niveau"/>
        <w:keepNext/>
        <w:tabs>
          <w:tab w:val="clear" w:pos="432"/>
          <w:tab w:val="left" w:pos="576"/>
          <w:tab w:val="num" w:pos="5616"/>
        </w:tabs>
        <w:spacing w:before="0"/>
        <w:ind w:left="576" w:hanging="576"/>
        <w:jc w:val="both"/>
        <w:rPr>
          <w:rFonts w:cs="Times New Roman"/>
          <w:lang w:val="fr-CA"/>
        </w:rPr>
      </w:pPr>
      <w:bookmarkStart w:id="3" w:name="_Toc372276028"/>
      <w:r w:rsidRPr="00674619">
        <w:rPr>
          <w:rFonts w:cs="Times New Roman"/>
          <w:lang w:val="fr-CA"/>
        </w:rPr>
        <w:lastRenderedPageBreak/>
        <w:t>Bernard c. Canada (</w:t>
      </w:r>
      <w:r w:rsidR="004E5A8F">
        <w:rPr>
          <w:rFonts w:cs="Times New Roman"/>
          <w:lang w:val="fr-CA"/>
        </w:rPr>
        <w:t>Procureur général), 2010 CAF 40 (</w:t>
      </w:r>
      <w:proofErr w:type="spellStart"/>
      <w:r w:rsidR="004E5A8F">
        <w:rPr>
          <w:rFonts w:cs="Times New Roman"/>
          <w:lang w:val="fr-CA"/>
        </w:rPr>
        <w:t>CanLII</w:t>
      </w:r>
      <w:proofErr w:type="spellEnd"/>
      <w:r w:rsidR="004E5A8F">
        <w:rPr>
          <w:rFonts w:cs="Times New Roman"/>
          <w:lang w:val="fr-CA"/>
        </w:rPr>
        <w:t xml:space="preserve">) </w:t>
      </w:r>
      <w:r w:rsidRPr="00674619">
        <w:rPr>
          <w:rFonts w:cs="Times New Roman"/>
          <w:lang w:val="fr-CA"/>
        </w:rPr>
        <w:t>(« Bernard I »)</w:t>
      </w:r>
      <w:bookmarkEnd w:id="3"/>
    </w:p>
    <w:p w:rsidR="00046CA9" w:rsidRPr="00674619" w:rsidRDefault="00046CA9" w:rsidP="00046CA9">
      <w:pPr>
        <w:pStyle w:val="ParaNoNdepar-AltN"/>
        <w:rPr>
          <w:rFonts w:cs="Times New Roman"/>
          <w:lang w:val="fr-CA"/>
        </w:rPr>
      </w:pPr>
      <w:r w:rsidRPr="00674619">
        <w:rPr>
          <w:rFonts w:cs="Times New Roman"/>
          <w:lang w:val="fr-CA"/>
        </w:rPr>
        <w:t>Lors du contrôle judiciaire, M</w:t>
      </w:r>
      <w:r w:rsidRPr="00674619">
        <w:rPr>
          <w:rFonts w:cs="Times New Roman"/>
          <w:vertAlign w:val="superscript"/>
          <w:lang w:val="fr-CA"/>
        </w:rPr>
        <w:t>me</w:t>
      </w:r>
      <w:r w:rsidRPr="00674619">
        <w:rPr>
          <w:rFonts w:cs="Times New Roman"/>
          <w:lang w:val="fr-CA"/>
        </w:rPr>
        <w:t> Bernard a soutenu que l’ordonnance de la Commission, enjoignant à l’employeur de fournir à l’IPFPC son adresse et son numéro de téléphone à domicile, portait atteinte à son droit à la vie privée ainsi qu’à son droit à la liberté de ne pas s’associer garanti par l’al. 2</w:t>
      </w:r>
      <w:r w:rsidRPr="00674619">
        <w:rPr>
          <w:rFonts w:cs="Times New Roman"/>
          <w:i/>
          <w:lang w:val="fr-CA"/>
        </w:rPr>
        <w:t>d</w:t>
      </w:r>
      <w:r w:rsidRPr="00674619">
        <w:rPr>
          <w:rFonts w:cs="Times New Roman"/>
          <w:lang w:val="fr-CA"/>
        </w:rPr>
        <w:t xml:space="preserve">) de la </w:t>
      </w:r>
      <w:r w:rsidRPr="00674619">
        <w:rPr>
          <w:rFonts w:cs="Times New Roman"/>
          <w:i/>
          <w:lang w:val="fr-CA"/>
        </w:rPr>
        <w:t>Charte</w:t>
      </w:r>
      <w:r w:rsidRPr="00674619">
        <w:rPr>
          <w:rFonts w:cs="Times New Roman"/>
          <w:lang w:val="fr-CA"/>
        </w:rPr>
        <w:t>.  Elle a également fait valoir que, en qualité de partie intéressée à l’issue de la cause, elle aurait dû être avisée de l’instance et avoir eu la possibilité d’y participer.</w:t>
      </w:r>
    </w:p>
    <w:p w:rsidR="00046CA9" w:rsidRPr="00674619" w:rsidRDefault="00046CA9" w:rsidP="00046CA9">
      <w:pPr>
        <w:pStyle w:val="ParaNoNdepar-AltN"/>
        <w:rPr>
          <w:rFonts w:cs="Times New Roman"/>
          <w:lang w:val="fr-CA"/>
        </w:rPr>
      </w:pPr>
      <w:r w:rsidRPr="00674619">
        <w:rPr>
          <w:rFonts w:cs="Times New Roman"/>
          <w:lang w:val="fr-CA"/>
        </w:rPr>
        <w:t>La Cour d’appel fédérale a accueilli la demande de contrôle judiciaire de M</w:t>
      </w:r>
      <w:r w:rsidRPr="00674619">
        <w:rPr>
          <w:rFonts w:cs="Times New Roman"/>
          <w:vertAlign w:val="superscript"/>
          <w:lang w:val="fr-CA"/>
        </w:rPr>
        <w:t>me</w:t>
      </w:r>
      <w:r w:rsidRPr="00674619">
        <w:rPr>
          <w:rFonts w:cs="Times New Roman"/>
          <w:lang w:val="fr-CA"/>
        </w:rPr>
        <w:t> Bernard en ce qui concerne le droit à la vie privée, concluant que la Commission avait commis une erreur en acceptant l’entente entre l’employeur et le syndicat sans tenir compte du droit à la vie privée de personnes n’ayant pas pris part à la procédure.  Par ailleurs, la cour a refusé de répondre à l’argument de M</w:t>
      </w:r>
      <w:r w:rsidRPr="00674619">
        <w:rPr>
          <w:rFonts w:cs="Times New Roman"/>
          <w:vertAlign w:val="superscript"/>
          <w:lang w:val="fr-CA"/>
        </w:rPr>
        <w:t>me</w:t>
      </w:r>
      <w:r w:rsidRPr="00674619">
        <w:rPr>
          <w:rFonts w:cs="Times New Roman"/>
          <w:lang w:val="fr-CA"/>
        </w:rPr>
        <w:t> Bernard fondé sur l’al. 2</w:t>
      </w:r>
      <w:r w:rsidRPr="00674619">
        <w:rPr>
          <w:rFonts w:cs="Times New Roman"/>
          <w:i/>
          <w:lang w:val="fr-CA"/>
        </w:rPr>
        <w:t>d</w:t>
      </w:r>
      <w:r w:rsidRPr="00674619">
        <w:rPr>
          <w:rFonts w:cs="Times New Roman"/>
          <w:lang w:val="fr-CA"/>
        </w:rPr>
        <w:t xml:space="preserve">) de la </w:t>
      </w:r>
      <w:r w:rsidRPr="00674619">
        <w:rPr>
          <w:rFonts w:cs="Times New Roman"/>
          <w:i/>
          <w:lang w:val="fr-CA"/>
        </w:rPr>
        <w:t>Charte</w:t>
      </w:r>
      <w:r w:rsidRPr="00674619">
        <w:rPr>
          <w:rFonts w:cs="Times New Roman"/>
          <w:lang w:val="fr-CA"/>
        </w:rPr>
        <w:t>, affirmant qu’il était « prématuré d’examiner les questions concernant l’atteinte aux droits à la liberté d’association de M</w:t>
      </w:r>
      <w:r w:rsidRPr="00674619">
        <w:rPr>
          <w:rFonts w:cs="Times New Roman"/>
          <w:vertAlign w:val="superscript"/>
          <w:lang w:val="fr-CA"/>
        </w:rPr>
        <w:t>me</w:t>
      </w:r>
      <w:r w:rsidRPr="00674619">
        <w:rPr>
          <w:rFonts w:cs="Times New Roman"/>
          <w:lang w:val="fr-CA"/>
        </w:rPr>
        <w:t> Bernard »</w:t>
      </w:r>
      <w:r w:rsidR="005D0687">
        <w:rPr>
          <w:rFonts w:cs="Times New Roman"/>
          <w:lang w:val="fr-CA"/>
        </w:rPr>
        <w:t xml:space="preserve"> (</w:t>
      </w:r>
      <w:r w:rsidRPr="00674619">
        <w:rPr>
          <w:rFonts w:cs="Times New Roman"/>
          <w:lang w:val="fr-CA"/>
        </w:rPr>
        <w:t xml:space="preserve">par. 45). </w:t>
      </w:r>
    </w:p>
    <w:p w:rsidR="00046CA9" w:rsidRPr="00674619" w:rsidRDefault="00046CA9" w:rsidP="00046CA9">
      <w:pPr>
        <w:pStyle w:val="ParaNoNdepar-AltN"/>
        <w:rPr>
          <w:rFonts w:cs="Times New Roman"/>
          <w:lang w:val="fr-CA"/>
        </w:rPr>
      </w:pPr>
      <w:r w:rsidRPr="00674619">
        <w:rPr>
          <w:rFonts w:cs="Times New Roman"/>
          <w:lang w:val="fr-CA"/>
        </w:rPr>
        <w:t xml:space="preserve">Par conséquent, la Cour d’appel fédérale a renvoyé </w:t>
      </w:r>
      <w:r w:rsidR="00EF145B">
        <w:rPr>
          <w:rFonts w:cs="Times New Roman"/>
          <w:lang w:val="fr-CA"/>
        </w:rPr>
        <w:t>le dossier</w:t>
      </w:r>
      <w:r w:rsidRPr="00674619">
        <w:rPr>
          <w:rFonts w:cs="Times New Roman"/>
          <w:lang w:val="fr-CA"/>
        </w:rPr>
        <w:t xml:space="preserve"> à la Commission « pour qu’elle statue à nouveau sur </w:t>
      </w:r>
      <w:r w:rsidR="00EF145B">
        <w:rPr>
          <w:rFonts w:cs="Times New Roman"/>
          <w:lang w:val="fr-CA"/>
        </w:rPr>
        <w:t xml:space="preserve">l’affaire </w:t>
      </w:r>
      <w:r w:rsidRPr="00674619">
        <w:rPr>
          <w:rFonts w:cs="Times New Roman"/>
          <w:lang w:val="fr-CA"/>
        </w:rPr>
        <w:t xml:space="preserve">et rende une décision motivée quant aux renseignements que l’employeur doit communiquer au syndicat de telle sorte qu’il soit permis </w:t>
      </w:r>
      <w:r w:rsidR="00411207">
        <w:rPr>
          <w:rFonts w:cs="Times New Roman"/>
          <w:lang w:val="fr-CA"/>
        </w:rPr>
        <w:t>à ce dernier</w:t>
      </w:r>
      <w:r w:rsidRPr="00674619">
        <w:rPr>
          <w:rFonts w:cs="Times New Roman"/>
          <w:lang w:val="fr-CA"/>
        </w:rPr>
        <w:t xml:space="preserve"> de s’acquitter des obligations légales lui incombant » (par. 42).  La cour a également ordonné à la Commission d’aviser M</w:t>
      </w:r>
      <w:r w:rsidRPr="00674619">
        <w:rPr>
          <w:rFonts w:cs="Times New Roman"/>
          <w:vertAlign w:val="superscript"/>
          <w:lang w:val="fr-CA"/>
        </w:rPr>
        <w:t>me</w:t>
      </w:r>
      <w:r w:rsidRPr="00674619">
        <w:rPr>
          <w:rFonts w:cs="Times New Roman"/>
          <w:lang w:val="fr-CA"/>
        </w:rPr>
        <w:t xml:space="preserve"> Bernard de la procédure et de l’inviter à y participer.  </w:t>
      </w:r>
    </w:p>
    <w:p w:rsidR="00046CA9" w:rsidRPr="00674619" w:rsidRDefault="00046CA9" w:rsidP="00046CA9">
      <w:pPr>
        <w:pStyle w:val="Title2LevelTitre2Niveau"/>
        <w:keepNext/>
        <w:tabs>
          <w:tab w:val="clear" w:pos="432"/>
          <w:tab w:val="left" w:pos="576"/>
          <w:tab w:val="num" w:pos="5616"/>
        </w:tabs>
        <w:spacing w:before="0"/>
        <w:ind w:left="576" w:hanging="576"/>
        <w:jc w:val="both"/>
        <w:rPr>
          <w:rFonts w:cs="Times New Roman"/>
          <w:lang w:val="fr-CA"/>
        </w:rPr>
      </w:pPr>
      <w:bookmarkStart w:id="4" w:name="_Toc372276029"/>
      <w:r w:rsidRPr="00674619">
        <w:rPr>
          <w:rFonts w:cs="Times New Roman"/>
          <w:lang w:val="fr-CA"/>
        </w:rPr>
        <w:lastRenderedPageBreak/>
        <w:t>Institut professionnel de la fonction publique du Canada c. Agence du revenu du Canada, 2011 CRTFP 34 (</w:t>
      </w:r>
      <w:proofErr w:type="spellStart"/>
      <w:r w:rsidRPr="00674619">
        <w:rPr>
          <w:rFonts w:cs="Times New Roman"/>
          <w:lang w:val="fr-CA"/>
        </w:rPr>
        <w:t>CanLII</w:t>
      </w:r>
      <w:proofErr w:type="spellEnd"/>
      <w:r w:rsidRPr="00674619">
        <w:rPr>
          <w:rFonts w:cs="Times New Roman"/>
          <w:i w:val="0"/>
          <w:lang w:val="fr-CA"/>
        </w:rPr>
        <w:t xml:space="preserve">) </w:t>
      </w:r>
      <w:r w:rsidRPr="00674619">
        <w:rPr>
          <w:rFonts w:cs="Times New Roman"/>
          <w:lang w:val="fr-CA"/>
        </w:rPr>
        <w:t>(« IPFPC 3</w:t>
      </w:r>
      <w:bookmarkEnd w:id="4"/>
      <w:r w:rsidRPr="00674619">
        <w:rPr>
          <w:rFonts w:cs="Times New Roman"/>
          <w:lang w:val="fr-CA"/>
        </w:rPr>
        <w:t> »)</w:t>
      </w:r>
    </w:p>
    <w:p w:rsidR="00046CA9" w:rsidRPr="00674619" w:rsidRDefault="00046CA9" w:rsidP="00046CA9">
      <w:pPr>
        <w:pStyle w:val="ParaNoNdepar-AltN"/>
        <w:rPr>
          <w:rFonts w:cs="Times New Roman"/>
          <w:lang w:val="fr-CA"/>
        </w:rPr>
      </w:pPr>
      <w:r w:rsidRPr="00674619">
        <w:rPr>
          <w:rFonts w:cs="Times New Roman"/>
          <w:lang w:val="fr-CA"/>
        </w:rPr>
        <w:t>La Commission a entendu les observations des parties et des intervenants, y compris M</w:t>
      </w:r>
      <w:r w:rsidRPr="00674619">
        <w:rPr>
          <w:rFonts w:cs="Times New Roman"/>
          <w:vertAlign w:val="superscript"/>
          <w:lang w:val="fr-CA"/>
        </w:rPr>
        <w:t>me</w:t>
      </w:r>
      <w:r w:rsidRPr="00674619">
        <w:rPr>
          <w:rFonts w:cs="Times New Roman"/>
          <w:lang w:val="fr-CA"/>
        </w:rPr>
        <w:t> Bernard.  Cette dernière a, encore une fois, soulevé son argument fondé sur l’al. 2</w:t>
      </w:r>
      <w:r w:rsidRPr="00674619">
        <w:rPr>
          <w:rFonts w:cs="Times New Roman"/>
          <w:i/>
          <w:lang w:val="fr-CA"/>
        </w:rPr>
        <w:t>d</w:t>
      </w:r>
      <w:r w:rsidRPr="00674619">
        <w:rPr>
          <w:rFonts w:cs="Times New Roman"/>
          <w:lang w:val="fr-CA"/>
        </w:rPr>
        <w:t xml:space="preserve">) de la </w:t>
      </w:r>
      <w:r w:rsidRPr="00674619">
        <w:rPr>
          <w:rFonts w:cs="Times New Roman"/>
          <w:i/>
          <w:lang w:val="fr-CA"/>
        </w:rPr>
        <w:t>Charte</w:t>
      </w:r>
      <w:r w:rsidRPr="00674619">
        <w:rPr>
          <w:rFonts w:cs="Times New Roman"/>
          <w:lang w:val="fr-CA"/>
        </w:rPr>
        <w:t xml:space="preserve">, mais la Commission a de nouveau refusé d’y répondre, concluant que les directives de la Cour d’appel fédérale dans </w:t>
      </w:r>
      <w:r w:rsidRPr="00674619">
        <w:rPr>
          <w:rFonts w:cs="Times New Roman"/>
          <w:i/>
          <w:lang w:val="fr-CA"/>
        </w:rPr>
        <w:t>Bernard I</w:t>
      </w:r>
      <w:r w:rsidRPr="00674619">
        <w:rPr>
          <w:rFonts w:cs="Times New Roman"/>
          <w:lang w:val="fr-CA"/>
        </w:rPr>
        <w:t xml:space="preserve"> lui permettaient uniquement de réexaminer l’ordonnance sur consentement au regard du droit à la vie privée des employés.</w:t>
      </w:r>
    </w:p>
    <w:p w:rsidR="00046CA9" w:rsidRPr="00674619" w:rsidRDefault="00046CA9" w:rsidP="00046CA9">
      <w:pPr>
        <w:pStyle w:val="ParaNoNdepar-AltN"/>
        <w:rPr>
          <w:rFonts w:cs="Times New Roman"/>
          <w:lang w:val="fr-CA"/>
        </w:rPr>
      </w:pPr>
      <w:r w:rsidRPr="00674619">
        <w:rPr>
          <w:rFonts w:cs="Times New Roman"/>
          <w:lang w:val="fr-CA"/>
        </w:rPr>
        <w:t xml:space="preserve">La Commission a conclu que l’ordonnance qu’elle avait rendue dans </w:t>
      </w:r>
      <w:r w:rsidRPr="00674619">
        <w:rPr>
          <w:rFonts w:cs="Times New Roman"/>
          <w:i/>
          <w:lang w:val="fr-CA"/>
        </w:rPr>
        <w:t xml:space="preserve">IPFPC 2 </w:t>
      </w:r>
      <w:r w:rsidRPr="00674619">
        <w:rPr>
          <w:rFonts w:cs="Times New Roman"/>
          <w:lang w:val="fr-CA"/>
        </w:rPr>
        <w:t>respectait les exigences de l’al. 8(2)</w:t>
      </w:r>
      <w:r w:rsidRPr="00674619">
        <w:rPr>
          <w:rFonts w:cs="Times New Roman"/>
          <w:i/>
          <w:lang w:val="fr-CA"/>
        </w:rPr>
        <w:t>a</w:t>
      </w:r>
      <w:r w:rsidRPr="00674619">
        <w:rPr>
          <w:rFonts w:cs="Times New Roman"/>
          <w:lang w:val="fr-CA"/>
        </w:rPr>
        <w:t xml:space="preserve">) de la </w:t>
      </w:r>
      <w:r w:rsidRPr="00674619">
        <w:rPr>
          <w:rFonts w:cs="Times New Roman"/>
          <w:i/>
          <w:lang w:val="fr-CA"/>
        </w:rPr>
        <w:t>Loi sur la protection des renseignements personnels</w:t>
      </w:r>
      <w:r w:rsidR="00EF145B">
        <w:rPr>
          <w:rFonts w:cs="Times New Roman"/>
          <w:lang w:val="fr-CA"/>
        </w:rPr>
        <w:t xml:space="preserve">, L.R.C. </w:t>
      </w:r>
      <w:r w:rsidRPr="00674619">
        <w:rPr>
          <w:rFonts w:cs="Times New Roman"/>
          <w:lang w:val="fr-CA"/>
        </w:rPr>
        <w:t>1985, ch. P</w:t>
      </w:r>
      <w:r w:rsidRPr="00674619">
        <w:rPr>
          <w:rFonts w:cs="Times New Roman"/>
          <w:lang w:val="fr-CA"/>
        </w:rPr>
        <w:noBreakHyphen/>
        <w:t>21</w:t>
      </w:r>
      <w:r w:rsidRPr="00674619">
        <w:rPr>
          <w:rFonts w:cs="Times New Roman"/>
          <w:i/>
          <w:lang w:val="fr-CA"/>
        </w:rPr>
        <w:t xml:space="preserve"> </w:t>
      </w:r>
      <w:r w:rsidRPr="00674619">
        <w:rPr>
          <w:rFonts w:cs="Times New Roman"/>
          <w:lang w:val="fr-CA"/>
        </w:rPr>
        <w:t>(« </w:t>
      </w:r>
      <w:r w:rsidRPr="00674619">
        <w:rPr>
          <w:rFonts w:cs="Times New Roman"/>
          <w:i/>
          <w:lang w:val="fr-CA"/>
        </w:rPr>
        <w:t>LPRP</w:t>
      </w:r>
      <w:r w:rsidRPr="00674619">
        <w:rPr>
          <w:rFonts w:cs="Times New Roman"/>
          <w:lang w:val="fr-CA"/>
        </w:rPr>
        <w:t xml:space="preserve"> »).  Elle a tout de même modifié l’ordonnance, y ajoutant à titre de mesures de protection de la vie privée : que les coordonnées résidentielles transmises par l’employeur doivent être protégées par mot de passe ou chiffrées; que, dès la nomination initiale d’un employé à un poste faisant partie de l’unité de négociation, l’employeur doit l’aviser que ses coordonnées résidentielles seront communiquées au syndicat; et que, quand le syndicat reçoit des renseignements à jour de l’employeur, il doit dûment disposer des coordonnées domiciliaires désuètes.  </w:t>
      </w:r>
    </w:p>
    <w:p w:rsidR="00046CA9" w:rsidRPr="00674619" w:rsidRDefault="00046CA9" w:rsidP="00046CA9">
      <w:pPr>
        <w:pStyle w:val="Title2LevelTitre2Niveau"/>
        <w:keepNext/>
        <w:tabs>
          <w:tab w:val="clear" w:pos="432"/>
          <w:tab w:val="left" w:pos="576"/>
          <w:tab w:val="num" w:pos="5616"/>
        </w:tabs>
        <w:spacing w:before="0"/>
        <w:ind w:left="576" w:hanging="576"/>
        <w:jc w:val="both"/>
        <w:rPr>
          <w:rFonts w:cs="Times New Roman"/>
          <w:lang w:val="fr-CA"/>
        </w:rPr>
      </w:pPr>
      <w:bookmarkStart w:id="5" w:name="_Toc372276030"/>
      <w:r w:rsidRPr="00674619">
        <w:rPr>
          <w:rFonts w:cs="Times New Roman"/>
          <w:lang w:val="fr-CA"/>
        </w:rPr>
        <w:lastRenderedPageBreak/>
        <w:t>Bernard c. Canada (Procureur général), 2012 CAF 92</w:t>
      </w:r>
      <w:r w:rsidR="00386215">
        <w:rPr>
          <w:rFonts w:cs="Times New Roman"/>
          <w:lang w:val="fr-CA"/>
        </w:rPr>
        <w:t xml:space="preserve"> (</w:t>
      </w:r>
      <w:proofErr w:type="spellStart"/>
      <w:r w:rsidR="00386215">
        <w:rPr>
          <w:rFonts w:cs="Times New Roman"/>
          <w:lang w:val="fr-CA"/>
        </w:rPr>
        <w:t>CanLII</w:t>
      </w:r>
      <w:proofErr w:type="spellEnd"/>
      <w:r w:rsidR="00386215">
        <w:rPr>
          <w:rFonts w:cs="Times New Roman"/>
          <w:lang w:val="fr-CA"/>
        </w:rPr>
        <w:t>)</w:t>
      </w:r>
      <w:r w:rsidRPr="00674619">
        <w:rPr>
          <w:rFonts w:cs="Times New Roman"/>
          <w:lang w:val="fr-CA"/>
        </w:rPr>
        <w:t xml:space="preserve"> (« Bernard II »)</w:t>
      </w:r>
      <w:bookmarkEnd w:id="5"/>
    </w:p>
    <w:p w:rsidR="00046CA9" w:rsidRPr="00674619" w:rsidRDefault="00046CA9" w:rsidP="00046CA9">
      <w:pPr>
        <w:pStyle w:val="ParaNoNdepar-AltN"/>
        <w:rPr>
          <w:rFonts w:cs="Times New Roman"/>
          <w:lang w:val="fr-CA"/>
        </w:rPr>
      </w:pPr>
      <w:r w:rsidRPr="00674619">
        <w:rPr>
          <w:rFonts w:cs="Times New Roman"/>
          <w:lang w:val="fr-CA"/>
        </w:rPr>
        <w:t>M</w:t>
      </w:r>
      <w:r w:rsidRPr="00674619">
        <w:rPr>
          <w:rFonts w:cs="Times New Roman"/>
          <w:vertAlign w:val="superscript"/>
          <w:lang w:val="fr-CA"/>
        </w:rPr>
        <w:t>me</w:t>
      </w:r>
      <w:r w:rsidRPr="00674619">
        <w:rPr>
          <w:rFonts w:cs="Times New Roman"/>
          <w:lang w:val="fr-CA"/>
        </w:rPr>
        <w:t xml:space="preserve"> Bernard a déposé une demande de contrôle judiciaire pour faire annuler la décision rendue par la Commission dans </w:t>
      </w:r>
      <w:r w:rsidRPr="00674619">
        <w:rPr>
          <w:rFonts w:cs="Times New Roman"/>
          <w:i/>
          <w:lang w:val="fr-CA"/>
        </w:rPr>
        <w:t>IPFPC</w:t>
      </w:r>
      <w:r w:rsidRPr="00674619">
        <w:rPr>
          <w:rFonts w:cs="Times New Roman"/>
          <w:lang w:val="fr-CA"/>
        </w:rPr>
        <w:t> </w:t>
      </w:r>
      <w:r w:rsidRPr="00674619">
        <w:rPr>
          <w:rFonts w:cs="Times New Roman"/>
          <w:i/>
          <w:lang w:val="fr-CA"/>
        </w:rPr>
        <w:t>3</w:t>
      </w:r>
      <w:r w:rsidRPr="00674619">
        <w:rPr>
          <w:rFonts w:cs="Times New Roman"/>
          <w:lang w:val="fr-CA"/>
        </w:rPr>
        <w:t xml:space="preserve">.  Elle a notamment soutenu que la Commission avait commis une erreur en refusant d’examiner ses arguments fondés sur la </w:t>
      </w:r>
      <w:r w:rsidRPr="00674619">
        <w:rPr>
          <w:rFonts w:cs="Times New Roman"/>
          <w:i/>
          <w:lang w:val="fr-CA"/>
        </w:rPr>
        <w:t>Charte</w:t>
      </w:r>
      <w:r w:rsidRPr="00674619">
        <w:rPr>
          <w:rFonts w:cs="Times New Roman"/>
          <w:lang w:val="fr-CA"/>
        </w:rPr>
        <w:t xml:space="preserve">.  La Cour d’appel fédérale a rejeté cette thèse au motif que l’ordonnance qu’elle avait rendue dans </w:t>
      </w:r>
      <w:r w:rsidRPr="00674619">
        <w:rPr>
          <w:rFonts w:cs="Times New Roman"/>
          <w:i/>
          <w:lang w:val="fr-CA"/>
        </w:rPr>
        <w:t xml:space="preserve">Bernard I </w:t>
      </w:r>
      <w:r w:rsidRPr="00674619">
        <w:rPr>
          <w:rFonts w:cs="Times New Roman"/>
          <w:lang w:val="fr-CA"/>
        </w:rPr>
        <w:t xml:space="preserve">autorisait la Commission uniquement à déterminer quelles coordonnées l’ARC </w:t>
      </w:r>
      <w:proofErr w:type="gramStart"/>
      <w:r w:rsidRPr="00674619">
        <w:rPr>
          <w:rFonts w:cs="Times New Roman"/>
          <w:lang w:val="fr-CA"/>
        </w:rPr>
        <w:t>pouvait</w:t>
      </w:r>
      <w:proofErr w:type="gramEnd"/>
      <w:r w:rsidRPr="00674619">
        <w:rPr>
          <w:rFonts w:cs="Times New Roman"/>
          <w:lang w:val="fr-CA"/>
        </w:rPr>
        <w:t xml:space="preserve"> communiquer à l’IPFPC sans porter atteinte au droit à la vie privée de ses employés.  </w:t>
      </w:r>
    </w:p>
    <w:p w:rsidR="00046CA9" w:rsidRPr="00674619" w:rsidRDefault="00046CA9" w:rsidP="00046CA9">
      <w:pPr>
        <w:pStyle w:val="ParaNoNdepar-AltN"/>
        <w:rPr>
          <w:rFonts w:cs="Times New Roman"/>
          <w:lang w:val="fr-CA"/>
        </w:rPr>
      </w:pPr>
      <w:r w:rsidRPr="00674619">
        <w:rPr>
          <w:rFonts w:cs="Times New Roman"/>
          <w:lang w:val="fr-CA"/>
        </w:rPr>
        <w:t xml:space="preserve">La Cour d’appel fédérale a ensuite conclu que la décision de la Commission était raisonnable et a rejeté la demande de contrôle judiciaire. </w:t>
      </w:r>
    </w:p>
    <w:p w:rsidR="00046CA9" w:rsidRPr="00674619" w:rsidRDefault="00046CA9" w:rsidP="00046CA9">
      <w:pPr>
        <w:pStyle w:val="ParaNoNdepar-AltN"/>
        <w:rPr>
          <w:rFonts w:cs="Times New Roman"/>
          <w:lang w:val="fr-CA"/>
        </w:rPr>
      </w:pPr>
      <w:r w:rsidRPr="00674619">
        <w:rPr>
          <w:rFonts w:cs="Times New Roman"/>
          <w:lang w:val="fr-CA"/>
        </w:rPr>
        <w:t>M</w:t>
      </w:r>
      <w:r w:rsidRPr="00674619">
        <w:rPr>
          <w:rFonts w:cs="Times New Roman"/>
          <w:vertAlign w:val="superscript"/>
          <w:lang w:val="fr-CA"/>
        </w:rPr>
        <w:t>me</w:t>
      </w:r>
      <w:r w:rsidRPr="00674619">
        <w:rPr>
          <w:rFonts w:cs="Times New Roman"/>
          <w:lang w:val="fr-CA"/>
        </w:rPr>
        <w:t xml:space="preserve"> Bernard a ultérieurement demandé l’autorisation d’interjeter appel devant notre Cour, autorisation qui lui a été accordée le 22 novembre 2012. </w:t>
      </w:r>
    </w:p>
    <w:p w:rsidR="00046CA9" w:rsidRPr="00674619" w:rsidRDefault="00046CA9" w:rsidP="00046CA9">
      <w:pPr>
        <w:pStyle w:val="Title1LevelTitre1Niveau-AltL"/>
        <w:keepNext/>
        <w:tabs>
          <w:tab w:val="clear" w:pos="432"/>
          <w:tab w:val="left" w:pos="576"/>
          <w:tab w:val="num" w:pos="5616"/>
        </w:tabs>
        <w:spacing w:before="0"/>
        <w:ind w:left="576" w:hanging="576"/>
        <w:jc w:val="both"/>
        <w:rPr>
          <w:rFonts w:cs="Times New Roman"/>
          <w:lang w:val="fr-CA"/>
        </w:rPr>
      </w:pPr>
      <w:bookmarkStart w:id="6" w:name="_Toc372276032"/>
      <w:r w:rsidRPr="00674619">
        <w:rPr>
          <w:rFonts w:cs="Times New Roman"/>
          <w:lang w:val="fr-CA"/>
        </w:rPr>
        <w:t>A</w:t>
      </w:r>
      <w:bookmarkEnd w:id="6"/>
      <w:r w:rsidRPr="00674619">
        <w:rPr>
          <w:rFonts w:cs="Times New Roman"/>
          <w:lang w:val="fr-CA"/>
        </w:rPr>
        <w:t>nalyse</w:t>
      </w:r>
    </w:p>
    <w:p w:rsidR="00046CA9" w:rsidRPr="00674619" w:rsidRDefault="00046CA9" w:rsidP="00046CA9">
      <w:pPr>
        <w:pStyle w:val="Title2LevelTitre2Niveau"/>
        <w:keepNext/>
        <w:tabs>
          <w:tab w:val="clear" w:pos="432"/>
          <w:tab w:val="left" w:pos="576"/>
          <w:tab w:val="num" w:pos="5616"/>
        </w:tabs>
        <w:spacing w:before="0"/>
        <w:ind w:left="578" w:hanging="578"/>
        <w:jc w:val="both"/>
        <w:rPr>
          <w:rFonts w:cs="Times New Roman"/>
          <w:lang w:val="fr-CA"/>
        </w:rPr>
      </w:pPr>
      <w:r w:rsidRPr="00674619">
        <w:rPr>
          <w:rFonts w:cs="Times New Roman"/>
          <w:lang w:val="fr-CA"/>
        </w:rPr>
        <w:t>L’alinéa 186(1)a) de la LRTFP</w:t>
      </w:r>
    </w:p>
    <w:p w:rsidR="00046CA9" w:rsidRPr="00674619" w:rsidRDefault="00046CA9" w:rsidP="00046CA9">
      <w:pPr>
        <w:pStyle w:val="ParaNoNdepar-AltN"/>
        <w:rPr>
          <w:rFonts w:cs="Times New Roman"/>
          <w:lang w:val="fr-CA"/>
        </w:rPr>
      </w:pPr>
      <w:r w:rsidRPr="00674619">
        <w:rPr>
          <w:rFonts w:cs="Times New Roman"/>
          <w:lang w:val="fr-CA"/>
        </w:rPr>
        <w:t>Je ne rejette pas la conclusion des juges Abella et Cromwell selon laquelle la Commission a rendu une décision raisonnable en concluant que l’al. 186(1)</w:t>
      </w:r>
      <w:r w:rsidRPr="00674619">
        <w:rPr>
          <w:rFonts w:cs="Times New Roman"/>
          <w:i/>
          <w:lang w:val="fr-CA"/>
        </w:rPr>
        <w:t>a</w:t>
      </w:r>
      <w:r w:rsidRPr="00674619">
        <w:rPr>
          <w:rFonts w:cs="Times New Roman"/>
          <w:lang w:val="fr-CA"/>
        </w:rPr>
        <w:t xml:space="preserve">) de la </w:t>
      </w:r>
      <w:r w:rsidRPr="00674619">
        <w:rPr>
          <w:rFonts w:cs="Times New Roman"/>
          <w:i/>
          <w:lang w:val="fr-CA"/>
        </w:rPr>
        <w:t xml:space="preserve">LRTFP </w:t>
      </w:r>
      <w:r w:rsidRPr="00674619">
        <w:rPr>
          <w:rFonts w:cs="Times New Roman"/>
          <w:lang w:val="fr-CA"/>
        </w:rPr>
        <w:t xml:space="preserve">oblige l’employeur à communiquer au syndicat certaines </w:t>
      </w:r>
      <w:r w:rsidRPr="00674619">
        <w:rPr>
          <w:rFonts w:cs="Times New Roman"/>
          <w:lang w:val="fr-CA"/>
        </w:rPr>
        <w:lastRenderedPageBreak/>
        <w:t>des coordonnées des employés et que cela respecte les exigences de l’al. 8(2)</w:t>
      </w:r>
      <w:r w:rsidRPr="00674619">
        <w:rPr>
          <w:rFonts w:cs="Times New Roman"/>
          <w:i/>
          <w:lang w:val="fr-CA"/>
        </w:rPr>
        <w:t>a</w:t>
      </w:r>
      <w:r w:rsidRPr="00674619">
        <w:rPr>
          <w:rFonts w:cs="Times New Roman"/>
          <w:lang w:val="fr-CA"/>
        </w:rPr>
        <w:t xml:space="preserve">) de la </w:t>
      </w:r>
      <w:r w:rsidRPr="00674619">
        <w:rPr>
          <w:rFonts w:cs="Times New Roman"/>
          <w:i/>
          <w:lang w:val="fr-CA"/>
        </w:rPr>
        <w:t>LPRP</w:t>
      </w:r>
      <w:r w:rsidRPr="00386215">
        <w:rPr>
          <w:rFonts w:cs="Times New Roman"/>
          <w:lang w:val="fr-CA"/>
        </w:rPr>
        <w:t>.</w:t>
      </w:r>
    </w:p>
    <w:p w:rsidR="00046CA9" w:rsidRPr="00674619" w:rsidRDefault="00046CA9" w:rsidP="00046CA9">
      <w:pPr>
        <w:pStyle w:val="ParaNoNdepar-AltN"/>
        <w:rPr>
          <w:rFonts w:cs="Times New Roman"/>
          <w:lang w:val="fr-CA"/>
        </w:rPr>
      </w:pPr>
      <w:r w:rsidRPr="00674619">
        <w:rPr>
          <w:rFonts w:cs="Times New Roman"/>
          <w:lang w:val="fr-CA"/>
        </w:rPr>
        <w:t>J’ajouterais qu’on ne peut retenir la prétention de l’</w:t>
      </w:r>
      <w:proofErr w:type="spellStart"/>
      <w:r w:rsidRPr="00674619">
        <w:rPr>
          <w:rFonts w:cs="Times New Roman"/>
          <w:i/>
          <w:lang w:val="fr-CA"/>
        </w:rPr>
        <w:t>amicus</w:t>
      </w:r>
      <w:proofErr w:type="spellEnd"/>
      <w:r w:rsidRPr="00674619">
        <w:rPr>
          <w:rFonts w:cs="Times New Roman"/>
          <w:i/>
          <w:lang w:val="fr-CA"/>
        </w:rPr>
        <w:t xml:space="preserve"> </w:t>
      </w:r>
      <w:proofErr w:type="spellStart"/>
      <w:r w:rsidRPr="00674619">
        <w:rPr>
          <w:rFonts w:cs="Times New Roman"/>
          <w:i/>
          <w:lang w:val="fr-CA"/>
        </w:rPr>
        <w:t>curiae</w:t>
      </w:r>
      <w:proofErr w:type="spellEnd"/>
      <w:r w:rsidRPr="00674619">
        <w:rPr>
          <w:rFonts w:cs="Times New Roman"/>
          <w:lang w:val="fr-CA"/>
        </w:rPr>
        <w:t xml:space="preserve"> selon laquelle l’al. 186(1)</w:t>
      </w:r>
      <w:r w:rsidRPr="00674619">
        <w:rPr>
          <w:rFonts w:cs="Times New Roman"/>
          <w:i/>
          <w:lang w:val="fr-CA"/>
        </w:rPr>
        <w:t>a</w:t>
      </w:r>
      <w:r w:rsidRPr="00674619">
        <w:rPr>
          <w:rFonts w:cs="Times New Roman"/>
          <w:lang w:val="fr-CA"/>
        </w:rPr>
        <w:t xml:space="preserve">) de la </w:t>
      </w:r>
      <w:r w:rsidRPr="00674619">
        <w:rPr>
          <w:rFonts w:cs="Times New Roman"/>
          <w:i/>
          <w:lang w:val="fr-CA"/>
        </w:rPr>
        <w:t>LRTFP</w:t>
      </w:r>
      <w:r w:rsidRPr="00674619">
        <w:rPr>
          <w:rFonts w:cs="Times New Roman"/>
          <w:lang w:val="fr-CA"/>
        </w:rPr>
        <w:t xml:space="preserve"> est une disposition prohibitive, et non une disposition établissant une obligation.</w:t>
      </w:r>
    </w:p>
    <w:p w:rsidR="00046CA9" w:rsidRPr="00674619" w:rsidRDefault="00046CA9" w:rsidP="00046CA9">
      <w:pPr>
        <w:pStyle w:val="ParaNoNdepar-AltN"/>
        <w:rPr>
          <w:rFonts w:cs="Times New Roman"/>
          <w:lang w:val="fr-CA"/>
        </w:rPr>
      </w:pPr>
      <w:r w:rsidRPr="00674619">
        <w:rPr>
          <w:rFonts w:cs="Times New Roman"/>
          <w:lang w:val="fr-CA"/>
        </w:rPr>
        <w:t>Des commissions et conseils des relations de travail ont déjà conclu que des obligations positives découlaient de l’al. 186(1)</w:t>
      </w:r>
      <w:r w:rsidRPr="00674619">
        <w:rPr>
          <w:rFonts w:cs="Times New Roman"/>
          <w:i/>
          <w:lang w:val="fr-CA"/>
        </w:rPr>
        <w:t>a</w:t>
      </w:r>
      <w:r w:rsidRPr="00674619">
        <w:rPr>
          <w:rFonts w:cs="Times New Roman"/>
          <w:lang w:val="fr-CA"/>
        </w:rPr>
        <w:t xml:space="preserve">) de la </w:t>
      </w:r>
      <w:r w:rsidRPr="00674619">
        <w:rPr>
          <w:rFonts w:cs="Times New Roman"/>
          <w:i/>
          <w:lang w:val="fr-CA"/>
        </w:rPr>
        <w:t>LRTFP</w:t>
      </w:r>
      <w:r w:rsidRPr="00674619">
        <w:rPr>
          <w:rFonts w:cs="Times New Roman"/>
          <w:lang w:val="fr-CA"/>
        </w:rPr>
        <w:t xml:space="preserve"> et de dispositions législatives semblables interdisant aux employeurs d’inter</w:t>
      </w:r>
      <w:r>
        <w:rPr>
          <w:rFonts w:cs="Times New Roman"/>
          <w:lang w:val="fr-CA"/>
        </w:rPr>
        <w:t>venir</w:t>
      </w:r>
      <w:r w:rsidRPr="00674619">
        <w:rPr>
          <w:rFonts w:cs="Times New Roman"/>
          <w:lang w:val="fr-CA"/>
        </w:rPr>
        <w:t xml:space="preserve"> dans les activités des syndicats : voir </w:t>
      </w:r>
      <w:r w:rsidRPr="00674619">
        <w:rPr>
          <w:rFonts w:cs="Times New Roman"/>
          <w:i/>
          <w:lang w:val="fr-CA"/>
        </w:rPr>
        <w:t>Alliance de la Fonction publique du Canada c. Conseil du Trésor (Agence des services frontaliers du Canada)</w:t>
      </w:r>
      <w:r w:rsidRPr="00674619">
        <w:rPr>
          <w:rFonts w:cs="Times New Roman"/>
          <w:lang w:val="fr-CA"/>
        </w:rPr>
        <w:t>, 2012 CRTFP 58 (</w:t>
      </w:r>
      <w:proofErr w:type="spellStart"/>
      <w:r w:rsidRPr="00674619">
        <w:rPr>
          <w:rFonts w:cs="Times New Roman"/>
          <w:lang w:val="fr-CA"/>
        </w:rPr>
        <w:t>CanLII</w:t>
      </w:r>
      <w:proofErr w:type="spellEnd"/>
      <w:r w:rsidRPr="00674619">
        <w:rPr>
          <w:rFonts w:cs="Times New Roman"/>
          <w:lang w:val="fr-CA"/>
        </w:rPr>
        <w:t xml:space="preserve">); </w:t>
      </w:r>
      <w:r w:rsidRPr="00674619">
        <w:rPr>
          <w:rFonts w:cs="Times New Roman"/>
          <w:i/>
          <w:lang w:val="fr-CA"/>
        </w:rPr>
        <w:t xml:space="preserve">Compagnie des chemins de fer nationaux du Canada </w:t>
      </w:r>
      <w:r w:rsidRPr="00674619">
        <w:rPr>
          <w:rFonts w:cs="Times New Roman"/>
          <w:lang w:val="fr-CA"/>
        </w:rPr>
        <w:t xml:space="preserve">(1994), 95 di 78; </w:t>
      </w:r>
      <w:proofErr w:type="spellStart"/>
      <w:r w:rsidRPr="00674619">
        <w:rPr>
          <w:rFonts w:cs="Times New Roman"/>
          <w:i/>
          <w:lang w:val="fr-CA"/>
        </w:rPr>
        <w:t>Consolidated</w:t>
      </w:r>
      <w:proofErr w:type="spellEnd"/>
      <w:r w:rsidRPr="00674619">
        <w:rPr>
          <w:rFonts w:cs="Times New Roman"/>
          <w:i/>
          <w:lang w:val="fr-CA"/>
        </w:rPr>
        <w:t xml:space="preserve"> Bathurst Packaging Ltd.</w:t>
      </w:r>
      <w:r w:rsidRPr="00674619">
        <w:rPr>
          <w:rFonts w:cs="Times New Roman"/>
          <w:lang w:val="fr-CA"/>
        </w:rPr>
        <w:t>,</w:t>
      </w:r>
      <w:r w:rsidRPr="00674619">
        <w:rPr>
          <w:rFonts w:cs="Times New Roman"/>
          <w:i/>
          <w:lang w:val="fr-CA"/>
        </w:rPr>
        <w:t xml:space="preserve"> </w:t>
      </w:r>
      <w:r w:rsidRPr="00674619">
        <w:rPr>
          <w:rFonts w:cs="Times New Roman"/>
          <w:lang w:val="fr-CA"/>
        </w:rPr>
        <w:t xml:space="preserve">[1983] OLRB </w:t>
      </w:r>
      <w:proofErr w:type="spellStart"/>
      <w:r w:rsidRPr="00674619">
        <w:rPr>
          <w:rFonts w:cs="Times New Roman"/>
          <w:lang w:val="fr-CA"/>
        </w:rPr>
        <w:t>Rep</w:t>
      </w:r>
      <w:proofErr w:type="spellEnd"/>
      <w:r w:rsidRPr="00674619">
        <w:rPr>
          <w:rFonts w:cs="Times New Roman"/>
          <w:lang w:val="fr-CA"/>
        </w:rPr>
        <w:t xml:space="preserve">. 1411; </w:t>
      </w:r>
      <w:r w:rsidRPr="00674619">
        <w:rPr>
          <w:rFonts w:cs="Times New Roman"/>
          <w:i/>
          <w:lang w:val="fr-CA"/>
        </w:rPr>
        <w:t>CFTO</w:t>
      </w:r>
      <w:r w:rsidRPr="00674619">
        <w:rPr>
          <w:rFonts w:cs="Times New Roman"/>
          <w:i/>
          <w:lang w:val="fr-CA"/>
        </w:rPr>
        <w:noBreakHyphen/>
        <w:t xml:space="preserve">TV Limited </w:t>
      </w:r>
      <w:r w:rsidRPr="00674619">
        <w:rPr>
          <w:rFonts w:cs="Times New Roman"/>
          <w:lang w:val="fr-CA"/>
        </w:rPr>
        <w:t>(1995), 97 di 35;</w:t>
      </w:r>
      <w:r w:rsidRPr="00674619">
        <w:rPr>
          <w:rFonts w:cs="Times New Roman"/>
          <w:i/>
          <w:lang w:val="fr-CA"/>
        </w:rPr>
        <w:t xml:space="preserve"> Ford Glass Limited</w:t>
      </w:r>
      <w:r w:rsidRPr="00674619">
        <w:rPr>
          <w:rFonts w:cs="Times New Roman"/>
          <w:lang w:val="fr-CA"/>
        </w:rPr>
        <w:t xml:space="preserve">, [1986] OLRB </w:t>
      </w:r>
      <w:proofErr w:type="spellStart"/>
      <w:r w:rsidRPr="00674619">
        <w:rPr>
          <w:rFonts w:cs="Times New Roman"/>
          <w:lang w:val="fr-CA"/>
        </w:rPr>
        <w:t>Rep</w:t>
      </w:r>
      <w:proofErr w:type="spellEnd"/>
      <w:r w:rsidRPr="00674619">
        <w:rPr>
          <w:rFonts w:cs="Times New Roman"/>
          <w:lang w:val="fr-CA"/>
        </w:rPr>
        <w:t xml:space="preserve">. 624; </w:t>
      </w:r>
      <w:r w:rsidRPr="00674619">
        <w:rPr>
          <w:rFonts w:cs="Times New Roman"/>
          <w:i/>
          <w:lang w:val="fr-CA"/>
        </w:rPr>
        <w:t xml:space="preserve">Société canadienne des postes </w:t>
      </w:r>
      <w:r w:rsidRPr="00674619">
        <w:rPr>
          <w:rFonts w:cs="Times New Roman"/>
          <w:lang w:val="fr-CA"/>
        </w:rPr>
        <w:t xml:space="preserve">(1994), 96 di 48; </w:t>
      </w:r>
      <w:r w:rsidRPr="00674619">
        <w:rPr>
          <w:rFonts w:cs="Times New Roman"/>
          <w:i/>
          <w:lang w:val="fr-CA"/>
        </w:rPr>
        <w:t xml:space="preserve">York </w:t>
      </w:r>
      <w:proofErr w:type="spellStart"/>
      <w:r w:rsidRPr="00674619">
        <w:rPr>
          <w:rFonts w:cs="Times New Roman"/>
          <w:i/>
          <w:lang w:val="fr-CA"/>
        </w:rPr>
        <w:t>University</w:t>
      </w:r>
      <w:proofErr w:type="spellEnd"/>
      <w:r w:rsidRPr="00674619">
        <w:rPr>
          <w:rFonts w:cs="Times New Roman"/>
          <w:lang w:val="fr-CA"/>
        </w:rPr>
        <w:t xml:space="preserve">, [2007] OLRB </w:t>
      </w:r>
      <w:proofErr w:type="spellStart"/>
      <w:r w:rsidRPr="00674619">
        <w:rPr>
          <w:rFonts w:cs="Times New Roman"/>
          <w:lang w:val="fr-CA"/>
        </w:rPr>
        <w:t>Rep</w:t>
      </w:r>
      <w:proofErr w:type="spellEnd"/>
      <w:r w:rsidRPr="00674619">
        <w:rPr>
          <w:rFonts w:cs="Times New Roman"/>
          <w:lang w:val="fr-CA"/>
        </w:rPr>
        <w:t>. 659.</w:t>
      </w:r>
    </w:p>
    <w:p w:rsidR="00046CA9" w:rsidRPr="00674619" w:rsidRDefault="00046CA9" w:rsidP="00046CA9">
      <w:pPr>
        <w:pStyle w:val="ParaNoNdepar-AltN"/>
        <w:rPr>
          <w:rFonts w:cs="Times New Roman"/>
          <w:lang w:val="fr-CA"/>
        </w:rPr>
      </w:pPr>
      <w:r w:rsidRPr="00674619">
        <w:rPr>
          <w:rFonts w:cs="Times New Roman"/>
          <w:lang w:val="fr-CA"/>
        </w:rPr>
        <w:t xml:space="preserve">Il n’était pas déraisonnable que la Commission conclût, dans </w:t>
      </w:r>
      <w:r w:rsidRPr="00674619">
        <w:rPr>
          <w:rFonts w:cs="Times New Roman"/>
          <w:i/>
          <w:lang w:val="fr-CA"/>
        </w:rPr>
        <w:t>IPFPC 1</w:t>
      </w:r>
      <w:r w:rsidRPr="00674619">
        <w:rPr>
          <w:rFonts w:cs="Times New Roman"/>
          <w:lang w:val="fr-CA"/>
        </w:rPr>
        <w:t>, que l’al. 186(1)</w:t>
      </w:r>
      <w:r w:rsidRPr="00674619">
        <w:rPr>
          <w:rFonts w:cs="Times New Roman"/>
          <w:i/>
          <w:lang w:val="fr-CA"/>
        </w:rPr>
        <w:t>a</w:t>
      </w:r>
      <w:r w:rsidRPr="00674619">
        <w:rPr>
          <w:rFonts w:cs="Times New Roman"/>
          <w:lang w:val="fr-CA"/>
        </w:rPr>
        <w:t xml:space="preserve">) de la </w:t>
      </w:r>
      <w:r w:rsidRPr="00674619">
        <w:rPr>
          <w:rFonts w:cs="Times New Roman"/>
          <w:i/>
          <w:lang w:val="fr-CA"/>
        </w:rPr>
        <w:t>LRTFP</w:t>
      </w:r>
      <w:r w:rsidRPr="00674619">
        <w:rPr>
          <w:rFonts w:cs="Times New Roman"/>
          <w:lang w:val="fr-CA"/>
        </w:rPr>
        <w:t xml:space="preserve"> obligeait l’employeur à communiquer au syndicat certains renseignements sur les employés. </w:t>
      </w:r>
    </w:p>
    <w:p w:rsidR="00046CA9" w:rsidRPr="00674619" w:rsidRDefault="00046CA9" w:rsidP="00046CA9">
      <w:pPr>
        <w:pStyle w:val="Title2LevelTitre2Niveau"/>
        <w:keepNext/>
        <w:tabs>
          <w:tab w:val="clear" w:pos="432"/>
          <w:tab w:val="left" w:pos="576"/>
          <w:tab w:val="num" w:pos="5616"/>
        </w:tabs>
        <w:spacing w:before="0"/>
        <w:ind w:left="576" w:hanging="576"/>
        <w:jc w:val="both"/>
        <w:rPr>
          <w:rFonts w:cs="Times New Roman"/>
          <w:lang w:val="fr-CA"/>
        </w:rPr>
      </w:pPr>
      <w:bookmarkStart w:id="7" w:name="_Toc372276035"/>
      <w:r w:rsidRPr="00674619">
        <w:rPr>
          <w:rFonts w:cs="Times New Roman"/>
          <w:lang w:val="fr-CA"/>
        </w:rPr>
        <w:lastRenderedPageBreak/>
        <w:t>La Commission a commis une erreur en refusant d’examiner les arguments fondés sur l’al</w:t>
      </w:r>
      <w:r w:rsidR="00411207">
        <w:rPr>
          <w:rFonts w:cs="Times New Roman"/>
          <w:lang w:val="fr-CA"/>
        </w:rPr>
        <w:t>.</w:t>
      </w:r>
      <w:r w:rsidRPr="00674619">
        <w:rPr>
          <w:rFonts w:cs="Times New Roman"/>
          <w:lang w:val="fr-CA"/>
        </w:rPr>
        <w:t> 2d) de la Charte soulevés par M</w:t>
      </w:r>
      <w:r w:rsidRPr="00674619">
        <w:rPr>
          <w:rFonts w:cs="Times New Roman"/>
          <w:vertAlign w:val="superscript"/>
          <w:lang w:val="fr-CA"/>
        </w:rPr>
        <w:t>me</w:t>
      </w:r>
      <w:r w:rsidRPr="00674619">
        <w:rPr>
          <w:rFonts w:cs="Times New Roman"/>
          <w:lang w:val="fr-CA"/>
        </w:rPr>
        <w:t xml:space="preserve"> Bernard </w:t>
      </w:r>
      <w:bookmarkEnd w:id="7"/>
    </w:p>
    <w:p w:rsidR="00046CA9" w:rsidRPr="00674619" w:rsidRDefault="00046CA9" w:rsidP="00046CA9">
      <w:pPr>
        <w:pStyle w:val="ParaNoNdepar-AltN"/>
        <w:rPr>
          <w:rFonts w:cs="Times New Roman"/>
          <w:lang w:val="fr-CA"/>
        </w:rPr>
      </w:pPr>
      <w:r w:rsidRPr="00674619">
        <w:rPr>
          <w:rFonts w:cs="Times New Roman"/>
          <w:lang w:val="fr-CA"/>
        </w:rPr>
        <w:t>Mes collègues laissent entendre, au par. 35, que la Commission a refusé à juste titre de se prononcer sur les arguments de M</w:t>
      </w:r>
      <w:r w:rsidRPr="00674619">
        <w:rPr>
          <w:rFonts w:cs="Times New Roman"/>
          <w:vertAlign w:val="superscript"/>
          <w:lang w:val="fr-CA"/>
        </w:rPr>
        <w:t>me</w:t>
      </w:r>
      <w:r w:rsidRPr="00674619">
        <w:rPr>
          <w:rFonts w:cs="Times New Roman"/>
          <w:lang w:val="fr-CA"/>
        </w:rPr>
        <w:t> Bernard fondés sur l’al. 2</w:t>
      </w:r>
      <w:r w:rsidRPr="00674619">
        <w:rPr>
          <w:rFonts w:cs="Times New Roman"/>
          <w:i/>
          <w:lang w:val="fr-CA"/>
        </w:rPr>
        <w:t>d</w:t>
      </w:r>
      <w:r w:rsidRPr="00674619">
        <w:rPr>
          <w:rFonts w:cs="Times New Roman"/>
          <w:lang w:val="fr-CA"/>
        </w:rPr>
        <w:t xml:space="preserve">) de la </w:t>
      </w:r>
      <w:r w:rsidRPr="00674619">
        <w:rPr>
          <w:rFonts w:cs="Times New Roman"/>
          <w:i/>
          <w:lang w:val="fr-CA"/>
        </w:rPr>
        <w:t>Charte</w:t>
      </w:r>
      <w:r w:rsidRPr="00674619">
        <w:rPr>
          <w:rFonts w:cs="Times New Roman"/>
          <w:lang w:val="fr-CA"/>
        </w:rPr>
        <w:t>.  En toute déférence, je ne suis pas d’accord.</w:t>
      </w:r>
    </w:p>
    <w:p w:rsidR="00046CA9" w:rsidRPr="00674619" w:rsidRDefault="00046CA9" w:rsidP="00046CA9">
      <w:pPr>
        <w:pStyle w:val="ParaNoNdepar-AltN"/>
        <w:rPr>
          <w:rFonts w:cs="Times New Roman"/>
          <w:lang w:val="fr-CA"/>
        </w:rPr>
      </w:pPr>
      <w:r w:rsidRPr="00674619">
        <w:rPr>
          <w:rFonts w:cs="Times New Roman"/>
          <w:lang w:val="fr-CA"/>
        </w:rPr>
        <w:t>M</w:t>
      </w:r>
      <w:r w:rsidRPr="00674619">
        <w:rPr>
          <w:rFonts w:cs="Times New Roman"/>
          <w:vertAlign w:val="superscript"/>
          <w:lang w:val="fr-CA"/>
        </w:rPr>
        <w:t>me</w:t>
      </w:r>
      <w:r w:rsidRPr="00674619">
        <w:rPr>
          <w:rFonts w:cs="Times New Roman"/>
          <w:lang w:val="fr-CA"/>
        </w:rPr>
        <w:t xml:space="preserve"> Bernard se représente seule.  Selon elle, l’ordonnance dans laquelle la Commission exige la communication à l’agent négociateur de </w:t>
      </w:r>
      <w:proofErr w:type="gramStart"/>
      <w:r w:rsidRPr="00674619">
        <w:rPr>
          <w:rFonts w:cs="Times New Roman"/>
          <w:lang w:val="fr-CA"/>
        </w:rPr>
        <w:t>ses adresse</w:t>
      </w:r>
      <w:proofErr w:type="gramEnd"/>
      <w:r w:rsidRPr="00674619">
        <w:rPr>
          <w:rFonts w:cs="Times New Roman"/>
          <w:lang w:val="fr-CA"/>
        </w:rPr>
        <w:t xml:space="preserve"> et numéro de téléphone à domicile l’oblige à s’associer au syndicat auquel elle a choisi de ne pas adhérer et, par conséquent, porte atteinte au droit à la liberté de ne pas s’associer que lui garantit l’al. 2</w:t>
      </w:r>
      <w:r w:rsidRPr="00674619">
        <w:rPr>
          <w:rFonts w:cs="Times New Roman"/>
          <w:i/>
          <w:lang w:val="fr-CA"/>
        </w:rPr>
        <w:t>d</w:t>
      </w:r>
      <w:r w:rsidRPr="00674619">
        <w:rPr>
          <w:rFonts w:cs="Times New Roman"/>
          <w:lang w:val="fr-CA"/>
        </w:rPr>
        <w:t xml:space="preserve">) de la </w:t>
      </w:r>
      <w:r w:rsidRPr="00674619">
        <w:rPr>
          <w:rFonts w:cs="Times New Roman"/>
          <w:i/>
          <w:lang w:val="fr-CA"/>
        </w:rPr>
        <w:t>Charte</w:t>
      </w:r>
      <w:r w:rsidRPr="00674619">
        <w:rPr>
          <w:rFonts w:cs="Times New Roman"/>
          <w:lang w:val="fr-CA"/>
        </w:rPr>
        <w:t>.  M</w:t>
      </w:r>
      <w:r w:rsidRPr="00674619">
        <w:rPr>
          <w:rFonts w:cs="Times New Roman"/>
          <w:vertAlign w:val="superscript"/>
          <w:lang w:val="fr-CA"/>
        </w:rPr>
        <w:t>me</w:t>
      </w:r>
      <w:r w:rsidRPr="00674619">
        <w:rPr>
          <w:rFonts w:cs="Times New Roman"/>
          <w:lang w:val="fr-CA"/>
        </w:rPr>
        <w:t> Bernard a tenté de soulever ses arguments fondés sur cette disposition tant devant la Commission que devant la Cour d’appel fédérale.  Malgré ses efforts soutenus, tant l’une que l’autre ont refusé d’examiner ces arguments.</w:t>
      </w:r>
    </w:p>
    <w:p w:rsidR="00046CA9" w:rsidRPr="00674619" w:rsidRDefault="00046CA9" w:rsidP="00046CA9">
      <w:pPr>
        <w:pStyle w:val="ParaNoNdepar-AltN"/>
        <w:rPr>
          <w:rFonts w:cs="Times New Roman"/>
          <w:lang w:val="fr-CA"/>
        </w:rPr>
      </w:pPr>
      <w:r w:rsidRPr="00674619">
        <w:rPr>
          <w:rFonts w:cs="Times New Roman"/>
          <w:lang w:val="fr-CA"/>
        </w:rPr>
        <w:t xml:space="preserve">En concluant que la Commission, dans </w:t>
      </w:r>
      <w:r w:rsidRPr="00674619">
        <w:rPr>
          <w:rFonts w:cs="Times New Roman"/>
          <w:i/>
          <w:lang w:val="fr-CA"/>
        </w:rPr>
        <w:t>IPFPC 3</w:t>
      </w:r>
      <w:r w:rsidRPr="00674619">
        <w:rPr>
          <w:rFonts w:cs="Times New Roman"/>
          <w:lang w:val="fr-CA"/>
        </w:rPr>
        <w:t>, ne pouvait pas examiner les arguments de M</w:t>
      </w:r>
      <w:r w:rsidRPr="00674619">
        <w:rPr>
          <w:rFonts w:cs="Times New Roman"/>
          <w:vertAlign w:val="superscript"/>
          <w:lang w:val="fr-CA"/>
        </w:rPr>
        <w:t>me</w:t>
      </w:r>
      <w:r w:rsidRPr="00674619">
        <w:rPr>
          <w:rFonts w:cs="Times New Roman"/>
          <w:lang w:val="fr-CA"/>
        </w:rPr>
        <w:t> Bernard fondés sur l’al. 2</w:t>
      </w:r>
      <w:r w:rsidRPr="00674619">
        <w:rPr>
          <w:rFonts w:cs="Times New Roman"/>
          <w:i/>
          <w:lang w:val="fr-CA"/>
        </w:rPr>
        <w:t>d</w:t>
      </w:r>
      <w:r w:rsidRPr="00674619">
        <w:rPr>
          <w:rFonts w:cs="Times New Roman"/>
          <w:lang w:val="fr-CA"/>
        </w:rPr>
        <w:t xml:space="preserve">) de la </w:t>
      </w:r>
      <w:r w:rsidRPr="00674619">
        <w:rPr>
          <w:rFonts w:cs="Times New Roman"/>
          <w:i/>
          <w:lang w:val="fr-CA"/>
        </w:rPr>
        <w:t>Charte</w:t>
      </w:r>
      <w:r w:rsidRPr="00674619">
        <w:rPr>
          <w:rFonts w:cs="Times New Roman"/>
          <w:lang w:val="fr-CA"/>
        </w:rPr>
        <w:t>, tant la Commission que la Cour d’appel fédérale ont commis une erreur de droit.  Cette erreur quant à la compétence a entraîné un manquement à l’équité procédurale dans la mesure où M</w:t>
      </w:r>
      <w:r w:rsidRPr="00674619">
        <w:rPr>
          <w:rFonts w:cs="Times New Roman"/>
          <w:vertAlign w:val="superscript"/>
          <w:lang w:val="fr-CA"/>
        </w:rPr>
        <w:t>me</w:t>
      </w:r>
      <w:r w:rsidRPr="00674619">
        <w:rPr>
          <w:rFonts w:cs="Times New Roman"/>
          <w:lang w:val="fr-CA"/>
        </w:rPr>
        <w:t xml:space="preserve"> Bernard a été privée de son droit de présenter des observations fondées sur la </w:t>
      </w:r>
      <w:r w:rsidRPr="00674619">
        <w:rPr>
          <w:rFonts w:cs="Times New Roman"/>
          <w:i/>
          <w:lang w:val="fr-CA"/>
        </w:rPr>
        <w:t>Charte</w:t>
      </w:r>
      <w:r w:rsidRPr="00674619">
        <w:rPr>
          <w:rFonts w:cs="Times New Roman"/>
          <w:lang w:val="fr-CA"/>
        </w:rPr>
        <w:t xml:space="preserve">, </w:t>
      </w:r>
      <w:r w:rsidR="00386215">
        <w:rPr>
          <w:rFonts w:cs="Times New Roman"/>
          <w:lang w:val="fr-CA"/>
        </w:rPr>
        <w:t>ainsi que</w:t>
      </w:r>
      <w:r w:rsidRPr="00674619">
        <w:rPr>
          <w:rFonts w:cs="Times New Roman"/>
          <w:lang w:val="fr-CA"/>
        </w:rPr>
        <w:t xml:space="preserve"> de son droit de les voir prises en considération et tranchées.</w:t>
      </w:r>
    </w:p>
    <w:p w:rsidR="00046CA9" w:rsidRPr="00674619" w:rsidRDefault="00046CA9" w:rsidP="00046CA9">
      <w:pPr>
        <w:pStyle w:val="Title3LevelTitre3Niveau"/>
        <w:keepNext/>
        <w:tabs>
          <w:tab w:val="clear" w:pos="864"/>
          <w:tab w:val="num" w:pos="1080"/>
          <w:tab w:val="num" w:pos="6048"/>
        </w:tabs>
        <w:spacing w:before="0"/>
        <w:ind w:left="1080" w:hanging="540"/>
        <w:jc w:val="both"/>
        <w:rPr>
          <w:rFonts w:cs="Times New Roman"/>
          <w:lang w:val="fr-CA"/>
        </w:rPr>
      </w:pPr>
      <w:r w:rsidRPr="00674619">
        <w:rPr>
          <w:rFonts w:cs="Times New Roman"/>
          <w:lang w:val="fr-CA"/>
        </w:rPr>
        <w:lastRenderedPageBreak/>
        <w:t>La Commission avait l’obligation de se prononcer sur les arguments de M</w:t>
      </w:r>
      <w:r w:rsidRPr="00674619">
        <w:rPr>
          <w:rFonts w:cs="Times New Roman"/>
          <w:vertAlign w:val="superscript"/>
          <w:lang w:val="fr-CA"/>
        </w:rPr>
        <w:t>me</w:t>
      </w:r>
      <w:r w:rsidR="00386215">
        <w:rPr>
          <w:rFonts w:cs="Times New Roman"/>
          <w:lang w:val="fr-CA"/>
        </w:rPr>
        <w:t> Bernard fondés sur l’al</w:t>
      </w:r>
      <w:r w:rsidR="00411207">
        <w:rPr>
          <w:rFonts w:cs="Times New Roman"/>
          <w:lang w:val="fr-CA"/>
        </w:rPr>
        <w:t>.</w:t>
      </w:r>
      <w:r w:rsidRPr="00674619">
        <w:rPr>
          <w:rFonts w:cs="Times New Roman"/>
          <w:lang w:val="fr-CA"/>
        </w:rPr>
        <w:t> 2</w:t>
      </w:r>
      <w:r w:rsidRPr="00674619">
        <w:rPr>
          <w:rFonts w:cs="Times New Roman"/>
          <w:i/>
          <w:lang w:val="fr-CA"/>
        </w:rPr>
        <w:t>d</w:t>
      </w:r>
      <w:r w:rsidRPr="00674619">
        <w:rPr>
          <w:rFonts w:cs="Times New Roman"/>
          <w:lang w:val="fr-CA"/>
        </w:rPr>
        <w:t xml:space="preserve">) de la </w:t>
      </w:r>
      <w:r w:rsidRPr="00674619">
        <w:rPr>
          <w:rFonts w:cs="Times New Roman"/>
          <w:i/>
          <w:lang w:val="fr-CA"/>
        </w:rPr>
        <w:t>Charte</w:t>
      </w:r>
    </w:p>
    <w:p w:rsidR="00046CA9" w:rsidRPr="00674619" w:rsidRDefault="00046CA9" w:rsidP="00046CA9">
      <w:pPr>
        <w:pStyle w:val="ParaNoNdepar-AltN"/>
        <w:rPr>
          <w:rFonts w:cs="Times New Roman"/>
          <w:lang w:val="fr-CA"/>
        </w:rPr>
      </w:pPr>
      <w:r w:rsidRPr="00674619">
        <w:rPr>
          <w:rFonts w:cs="Times New Roman"/>
          <w:lang w:val="fr-CA"/>
        </w:rPr>
        <w:t xml:space="preserve">La Cour a récemment affirmé que « le tribunal administratif investi du pouvoir de trancher des questions de droit et dont la compétence pour appliquer la </w:t>
      </w:r>
      <w:r w:rsidRPr="00674619">
        <w:rPr>
          <w:rFonts w:cs="Times New Roman"/>
          <w:i/>
          <w:lang w:val="fr-CA"/>
        </w:rPr>
        <w:t>Charte</w:t>
      </w:r>
      <w:r w:rsidRPr="00674619">
        <w:rPr>
          <w:rFonts w:cs="Times New Roman"/>
          <w:lang w:val="fr-CA"/>
        </w:rPr>
        <w:t xml:space="preserve"> n’est pas clairement écartée a le pouvoir — </w:t>
      </w:r>
      <w:r w:rsidRPr="00674619">
        <w:rPr>
          <w:rFonts w:cs="Times New Roman"/>
          <w:u w:val="single"/>
          <w:lang w:val="fr-CA"/>
        </w:rPr>
        <w:t>et le devoir</w:t>
      </w:r>
      <w:r w:rsidRPr="00674619">
        <w:rPr>
          <w:rFonts w:cs="Times New Roman"/>
          <w:lang w:val="fr-CA"/>
        </w:rPr>
        <w:t xml:space="preserve"> — correspondant d’examiner et d’appliquer la Constitution, y compris la </w:t>
      </w:r>
      <w:r w:rsidRPr="00674619">
        <w:rPr>
          <w:rFonts w:cs="Times New Roman"/>
          <w:i/>
          <w:lang w:val="fr-CA"/>
        </w:rPr>
        <w:t>Charte</w:t>
      </w:r>
      <w:r w:rsidRPr="00674619">
        <w:rPr>
          <w:rFonts w:cs="Times New Roman"/>
          <w:lang w:val="fr-CA"/>
        </w:rPr>
        <w:t xml:space="preserve">, pour se prononcer sur ces questions de nature juridique » : </w:t>
      </w:r>
      <w:r w:rsidRPr="00674619">
        <w:rPr>
          <w:rFonts w:cs="Times New Roman"/>
          <w:i/>
          <w:lang w:val="fr-CA"/>
        </w:rPr>
        <w:t xml:space="preserve">R. c. </w:t>
      </w:r>
      <w:proofErr w:type="spellStart"/>
      <w:r w:rsidRPr="00674619">
        <w:rPr>
          <w:rFonts w:cs="Times New Roman"/>
          <w:i/>
          <w:lang w:val="fr-CA"/>
        </w:rPr>
        <w:t>Conway</w:t>
      </w:r>
      <w:proofErr w:type="spellEnd"/>
      <w:r w:rsidRPr="00674619">
        <w:rPr>
          <w:rFonts w:cs="Times New Roman"/>
          <w:lang w:val="fr-CA"/>
        </w:rPr>
        <w:t>, 2010 CSC 22, [2010] 1 R.C.S. 765, par. 77 (je souligne)</w:t>
      </w:r>
      <w:r>
        <w:rPr>
          <w:rFonts w:cs="Times New Roman"/>
          <w:lang w:val="fr-CA"/>
        </w:rPr>
        <w:t xml:space="preserve">.  </w:t>
      </w:r>
      <w:r w:rsidRPr="00674619">
        <w:rPr>
          <w:rFonts w:cs="Times New Roman"/>
          <w:lang w:val="fr-CA"/>
        </w:rPr>
        <w:t xml:space="preserve">Cela est conforme au principe selon lequel les Canadiens devraient pouvoir présenter leurs allégations fondées sur la </w:t>
      </w:r>
      <w:r w:rsidRPr="00674619">
        <w:rPr>
          <w:rFonts w:cs="Times New Roman"/>
          <w:i/>
          <w:lang w:val="fr-CA"/>
        </w:rPr>
        <w:t>Charte</w:t>
      </w:r>
      <w:r w:rsidRPr="00674619">
        <w:rPr>
          <w:rFonts w:cs="Times New Roman"/>
          <w:lang w:val="fr-CA"/>
        </w:rPr>
        <w:t xml:space="preserve"> devant le tribunal qui est le plus à leur portée, sans qu’ils aient à fractionner leur recours (</w:t>
      </w:r>
      <w:proofErr w:type="spellStart"/>
      <w:r w:rsidRPr="00674619">
        <w:rPr>
          <w:rFonts w:cs="Times New Roman"/>
          <w:i/>
          <w:lang w:val="fr-CA"/>
        </w:rPr>
        <w:t>Conway</w:t>
      </w:r>
      <w:proofErr w:type="spellEnd"/>
      <w:r w:rsidRPr="00674619">
        <w:rPr>
          <w:rFonts w:cs="Times New Roman"/>
          <w:lang w:val="fr-CA"/>
        </w:rPr>
        <w:t xml:space="preserve">, par. 79). </w:t>
      </w:r>
    </w:p>
    <w:p w:rsidR="00046CA9" w:rsidRPr="00674619" w:rsidRDefault="00046CA9" w:rsidP="00046CA9">
      <w:pPr>
        <w:pStyle w:val="ParaNoNdepar-AltN"/>
        <w:rPr>
          <w:rFonts w:cs="Times New Roman"/>
          <w:lang w:val="fr-CA"/>
        </w:rPr>
      </w:pPr>
      <w:r w:rsidRPr="00674619">
        <w:rPr>
          <w:rFonts w:cs="Times New Roman"/>
          <w:lang w:val="fr-CA"/>
        </w:rPr>
        <w:t xml:space="preserve">En l’espèce, en vertu de l’art. 36 de la </w:t>
      </w:r>
      <w:r w:rsidRPr="00674619">
        <w:rPr>
          <w:rFonts w:cs="Times New Roman"/>
          <w:i/>
          <w:lang w:val="fr-CA"/>
        </w:rPr>
        <w:t>LRTFP</w:t>
      </w:r>
      <w:r w:rsidRPr="00674619">
        <w:rPr>
          <w:rFonts w:cs="Times New Roman"/>
          <w:lang w:val="fr-CA"/>
        </w:rPr>
        <w:t>, la Commission possède la compétence implicite pour trancher les questions de droit :</w:t>
      </w:r>
    </w:p>
    <w:p w:rsidR="00046CA9" w:rsidRPr="00674619" w:rsidRDefault="00046CA9" w:rsidP="00046CA9">
      <w:pPr>
        <w:pStyle w:val="Citation-AltC"/>
        <w:ind w:hanging="1166"/>
        <w:rPr>
          <w:lang w:val="fr-CA"/>
        </w:rPr>
      </w:pPr>
      <w:r w:rsidRPr="00674619">
        <w:rPr>
          <w:b/>
          <w:lang w:val="fr-CA"/>
        </w:rPr>
        <w:tab/>
      </w:r>
      <w:r w:rsidRPr="00674619">
        <w:rPr>
          <w:b/>
          <w:lang w:val="fr-CA"/>
        </w:rPr>
        <w:tab/>
        <w:t>36.  </w:t>
      </w:r>
      <w:r w:rsidRPr="00674619">
        <w:rPr>
          <w:lang w:val="fr-CA"/>
        </w:rPr>
        <w:t xml:space="preserve">La Commission met en œuvre la présente loi et exerce les pouvoirs et fonctions que </w:t>
      </w:r>
      <w:proofErr w:type="spellStart"/>
      <w:r w:rsidRPr="00674619">
        <w:rPr>
          <w:lang w:val="fr-CA"/>
        </w:rPr>
        <w:t>celle</w:t>
      </w:r>
      <w:r w:rsidRPr="00674619">
        <w:rPr>
          <w:lang w:val="fr-CA"/>
        </w:rPr>
        <w:noBreakHyphen/>
        <w:t>ci</w:t>
      </w:r>
      <w:proofErr w:type="spellEnd"/>
      <w:r w:rsidRPr="00674619">
        <w:rPr>
          <w:lang w:val="fr-CA"/>
        </w:rPr>
        <w:t xml:space="preserve"> lui confère ou qu’implique la réalisation de ses objets, notamment en rendant des ordonnances qui exigent l’observation de la présente loi, des règlements pris sous le régime de </w:t>
      </w:r>
      <w:proofErr w:type="spellStart"/>
      <w:r w:rsidRPr="00674619">
        <w:rPr>
          <w:lang w:val="fr-CA"/>
        </w:rPr>
        <w:t>celle</w:t>
      </w:r>
      <w:r w:rsidRPr="00674619">
        <w:rPr>
          <w:lang w:val="fr-CA"/>
        </w:rPr>
        <w:noBreakHyphen/>
        <w:t>ci</w:t>
      </w:r>
      <w:proofErr w:type="spellEnd"/>
      <w:r w:rsidRPr="00674619">
        <w:rPr>
          <w:lang w:val="fr-CA"/>
        </w:rPr>
        <w:t xml:space="preserve"> ou des décisions qu’elle rend sur les questions qui lui sont soumises.</w:t>
      </w:r>
    </w:p>
    <w:p w:rsidR="00046CA9" w:rsidRPr="00674619" w:rsidRDefault="00046CA9" w:rsidP="00046CA9">
      <w:pPr>
        <w:pStyle w:val="ContinueParaSuitedupar-AltP"/>
        <w:rPr>
          <w:rFonts w:cs="Times New Roman"/>
          <w:lang w:val="fr-CA"/>
        </w:rPr>
      </w:pPr>
      <w:r w:rsidRPr="00674619">
        <w:rPr>
          <w:rFonts w:cs="Times New Roman"/>
          <w:lang w:val="fr-CA"/>
        </w:rPr>
        <w:t xml:space="preserve">Rien ne justifierait que les pouvoirs de la Commission liés à l’application de la </w:t>
      </w:r>
      <w:r w:rsidRPr="00674619">
        <w:rPr>
          <w:rFonts w:cs="Times New Roman"/>
          <w:i/>
          <w:lang w:val="fr-CA"/>
        </w:rPr>
        <w:t>LRTFP</w:t>
      </w:r>
      <w:r w:rsidR="00386215">
        <w:rPr>
          <w:rFonts w:cs="Times New Roman"/>
          <w:lang w:val="fr-CA"/>
        </w:rPr>
        <w:t xml:space="preserve"> n’inclu</w:t>
      </w:r>
      <w:r w:rsidRPr="00674619">
        <w:rPr>
          <w:rFonts w:cs="Times New Roman"/>
          <w:lang w:val="fr-CA"/>
        </w:rPr>
        <w:t xml:space="preserve">ent pas le pouvoir de trancher les questions de droit se rapportant aux affaires dont elle est régulièrement saisie. </w:t>
      </w:r>
    </w:p>
    <w:p w:rsidR="00046CA9" w:rsidRPr="00674619" w:rsidRDefault="00046CA9" w:rsidP="00046CA9">
      <w:pPr>
        <w:pStyle w:val="ParaNoNdepar-AltN"/>
        <w:rPr>
          <w:rFonts w:cs="Times New Roman"/>
          <w:lang w:val="fr-CA"/>
        </w:rPr>
      </w:pPr>
      <w:r w:rsidRPr="00674619">
        <w:rPr>
          <w:rFonts w:cs="Times New Roman"/>
          <w:lang w:val="fr-CA"/>
        </w:rPr>
        <w:lastRenderedPageBreak/>
        <w:t xml:space="preserve">L’article 42 de la </w:t>
      </w:r>
      <w:r w:rsidRPr="00674619">
        <w:rPr>
          <w:rFonts w:cs="Times New Roman"/>
          <w:i/>
          <w:lang w:val="fr-CA"/>
        </w:rPr>
        <w:t xml:space="preserve">LRTFP </w:t>
      </w:r>
      <w:r w:rsidRPr="00674619">
        <w:rPr>
          <w:rFonts w:cs="Times New Roman"/>
          <w:lang w:val="fr-CA"/>
        </w:rPr>
        <w:t xml:space="preserve">renforce la conclusion selon laquelle la Commission peut trancher des questions de droit : </w:t>
      </w:r>
    </w:p>
    <w:p w:rsidR="00046CA9" w:rsidRPr="00674619" w:rsidRDefault="00046CA9" w:rsidP="00046CA9">
      <w:pPr>
        <w:pStyle w:val="Citation-AltC"/>
        <w:rPr>
          <w:lang w:val="fr-CA"/>
        </w:rPr>
      </w:pPr>
      <w:r w:rsidRPr="00674619">
        <w:rPr>
          <w:b/>
          <w:lang w:val="fr-CA"/>
        </w:rPr>
        <w:tab/>
        <w:t>42.  </w:t>
      </w:r>
      <w:r w:rsidRPr="00674619">
        <w:rPr>
          <w:lang w:val="fr-CA"/>
        </w:rPr>
        <w:t>Les ordonnances, les décisions et les autres actes pris par la Commission à l’égard de toute personne peuvent être de portée générale ou ne viser qu’un cas ou une catégorie de cas.</w:t>
      </w:r>
    </w:p>
    <w:p w:rsidR="00046CA9" w:rsidRPr="00674619" w:rsidRDefault="00046CA9" w:rsidP="00046CA9">
      <w:pPr>
        <w:pStyle w:val="ContinueParaSuitedupar-AltP"/>
        <w:rPr>
          <w:rFonts w:cs="Times New Roman"/>
          <w:lang w:val="fr-CA"/>
        </w:rPr>
      </w:pPr>
      <w:r w:rsidRPr="00674619">
        <w:rPr>
          <w:rFonts w:cs="Times New Roman"/>
          <w:lang w:val="fr-CA"/>
        </w:rPr>
        <w:t xml:space="preserve">Pour qu’une décision de la Commission soit de portée générale ou ne vise qu’une catégorie de cas, elle doit, par déduction nécessaire, trancher des questions de droit. </w:t>
      </w:r>
    </w:p>
    <w:p w:rsidR="00046CA9" w:rsidRPr="00674619" w:rsidRDefault="00046CA9" w:rsidP="00046CA9">
      <w:pPr>
        <w:pStyle w:val="ParaNoNdepar-AltN"/>
        <w:rPr>
          <w:rFonts w:cs="Times New Roman"/>
          <w:lang w:val="fr-CA"/>
        </w:rPr>
      </w:pPr>
      <w:r w:rsidRPr="00674619">
        <w:rPr>
          <w:rFonts w:cs="Times New Roman"/>
          <w:lang w:val="fr-CA"/>
        </w:rPr>
        <w:t xml:space="preserve">Nulle part dans la </w:t>
      </w:r>
      <w:r w:rsidRPr="00674619">
        <w:rPr>
          <w:rFonts w:cs="Times New Roman"/>
          <w:i/>
          <w:lang w:val="fr-CA"/>
        </w:rPr>
        <w:t>LRTFP</w:t>
      </w:r>
      <w:r w:rsidRPr="00674619">
        <w:rPr>
          <w:rFonts w:cs="Times New Roman"/>
          <w:lang w:val="fr-CA"/>
        </w:rPr>
        <w:t xml:space="preserve"> n’</w:t>
      </w:r>
      <w:proofErr w:type="spellStart"/>
      <w:r w:rsidRPr="00674619">
        <w:rPr>
          <w:rFonts w:cs="Times New Roman"/>
          <w:lang w:val="fr-CA"/>
        </w:rPr>
        <w:t>est</w:t>
      </w:r>
      <w:r w:rsidRPr="00674619">
        <w:rPr>
          <w:rFonts w:cs="Times New Roman"/>
          <w:lang w:val="fr-CA"/>
        </w:rPr>
        <w:noBreakHyphen/>
        <w:t>il</w:t>
      </w:r>
      <w:proofErr w:type="spellEnd"/>
      <w:r w:rsidRPr="00674619">
        <w:rPr>
          <w:rFonts w:cs="Times New Roman"/>
          <w:lang w:val="fr-CA"/>
        </w:rPr>
        <w:t xml:space="preserve"> « clairement établi que le législateur a voulu soustraire l’application de la </w:t>
      </w:r>
      <w:r w:rsidRPr="00674619">
        <w:rPr>
          <w:rFonts w:cs="Times New Roman"/>
          <w:i/>
          <w:lang w:val="fr-CA"/>
        </w:rPr>
        <w:t>Charte</w:t>
      </w:r>
      <w:r w:rsidRPr="00674619">
        <w:rPr>
          <w:rFonts w:cs="Times New Roman"/>
          <w:lang w:val="fr-CA"/>
        </w:rPr>
        <w:t xml:space="preserve"> à la compétence [de la Commission] » (</w:t>
      </w:r>
      <w:proofErr w:type="spellStart"/>
      <w:r w:rsidRPr="00674619">
        <w:rPr>
          <w:rFonts w:cs="Times New Roman"/>
          <w:i/>
          <w:lang w:val="fr-CA"/>
        </w:rPr>
        <w:t>Conway</w:t>
      </w:r>
      <w:proofErr w:type="spellEnd"/>
      <w:r w:rsidRPr="00674619">
        <w:rPr>
          <w:rFonts w:cs="Times New Roman"/>
          <w:lang w:val="fr-CA"/>
        </w:rPr>
        <w:t>, par. 81).</w:t>
      </w:r>
    </w:p>
    <w:p w:rsidR="00046CA9" w:rsidRPr="00674619" w:rsidRDefault="00046CA9" w:rsidP="00046CA9">
      <w:pPr>
        <w:pStyle w:val="ParaNoNdepar-AltN"/>
        <w:rPr>
          <w:rFonts w:cs="Times New Roman"/>
          <w:lang w:val="fr-CA"/>
        </w:rPr>
      </w:pPr>
      <w:r w:rsidRPr="00674619">
        <w:rPr>
          <w:rFonts w:cs="Times New Roman"/>
          <w:lang w:val="fr-CA"/>
        </w:rPr>
        <w:t>Comme je l’expliquerai plus loin, la Commission avait à la fois le pouvoir et l’obligation de statuer sur les arguments de M</w:t>
      </w:r>
      <w:r w:rsidRPr="00674619">
        <w:rPr>
          <w:rFonts w:cs="Times New Roman"/>
          <w:vertAlign w:val="superscript"/>
          <w:lang w:val="fr-CA"/>
        </w:rPr>
        <w:t>me</w:t>
      </w:r>
      <w:r w:rsidRPr="00674619">
        <w:rPr>
          <w:rFonts w:cs="Times New Roman"/>
          <w:lang w:val="fr-CA"/>
        </w:rPr>
        <w:t xml:space="preserve"> Bernard fondés sur la </w:t>
      </w:r>
      <w:r w:rsidRPr="00674619">
        <w:rPr>
          <w:rFonts w:cs="Times New Roman"/>
          <w:i/>
          <w:lang w:val="fr-CA"/>
        </w:rPr>
        <w:t>Charte</w:t>
      </w:r>
      <w:r w:rsidRPr="00674619">
        <w:rPr>
          <w:rFonts w:cs="Times New Roman"/>
          <w:lang w:val="fr-CA"/>
        </w:rPr>
        <w:t xml:space="preserve">. </w:t>
      </w:r>
    </w:p>
    <w:p w:rsidR="00046CA9" w:rsidRPr="00674619" w:rsidRDefault="00046CA9" w:rsidP="00046CA9">
      <w:pPr>
        <w:pStyle w:val="Title3LevelTitre3Niveau"/>
        <w:keepNext/>
        <w:tabs>
          <w:tab w:val="clear" w:pos="864"/>
          <w:tab w:val="num" w:pos="1080"/>
          <w:tab w:val="num" w:pos="6048"/>
        </w:tabs>
        <w:spacing w:before="0"/>
        <w:ind w:left="1080" w:hanging="540"/>
        <w:jc w:val="both"/>
        <w:rPr>
          <w:rFonts w:cs="Times New Roman"/>
          <w:lang w:val="fr-CA"/>
        </w:rPr>
      </w:pPr>
      <w:r w:rsidRPr="00674619">
        <w:rPr>
          <w:rFonts w:cs="Times New Roman"/>
          <w:lang w:val="fr-CA"/>
        </w:rPr>
        <w:t xml:space="preserve">Les décisions </w:t>
      </w:r>
      <w:r w:rsidRPr="00674619">
        <w:rPr>
          <w:rFonts w:cs="Times New Roman"/>
          <w:i/>
          <w:lang w:val="fr-CA"/>
        </w:rPr>
        <w:t>IPFPC 1</w:t>
      </w:r>
      <w:r w:rsidRPr="00386215">
        <w:rPr>
          <w:rFonts w:cs="Times New Roman"/>
          <w:lang w:val="fr-CA"/>
        </w:rPr>
        <w:t xml:space="preserve">, </w:t>
      </w:r>
      <w:r w:rsidRPr="00674619">
        <w:rPr>
          <w:rFonts w:cs="Times New Roman"/>
          <w:i/>
          <w:lang w:val="fr-CA"/>
        </w:rPr>
        <w:t xml:space="preserve">IPFPC 2 </w:t>
      </w:r>
      <w:r w:rsidRPr="00674619">
        <w:rPr>
          <w:rFonts w:cs="Times New Roman"/>
          <w:lang w:val="fr-CA"/>
        </w:rPr>
        <w:t>et</w:t>
      </w:r>
      <w:r w:rsidRPr="00674619">
        <w:rPr>
          <w:rFonts w:cs="Times New Roman"/>
          <w:i/>
          <w:lang w:val="fr-CA"/>
        </w:rPr>
        <w:t xml:space="preserve"> IPFPC 3 </w:t>
      </w:r>
      <w:r w:rsidRPr="00674619">
        <w:rPr>
          <w:rFonts w:cs="Times New Roman"/>
          <w:lang w:val="fr-CA"/>
        </w:rPr>
        <w:t>ont été rendues dans le cadre de la même affaire</w:t>
      </w:r>
    </w:p>
    <w:p w:rsidR="00046CA9" w:rsidRPr="00674619" w:rsidRDefault="00046CA9" w:rsidP="00046CA9">
      <w:pPr>
        <w:pStyle w:val="ParaNoNdepar-AltN"/>
        <w:rPr>
          <w:rFonts w:cs="Times New Roman"/>
          <w:lang w:val="fr-CA"/>
        </w:rPr>
      </w:pPr>
      <w:r w:rsidRPr="00674619">
        <w:rPr>
          <w:rFonts w:cs="Times New Roman"/>
          <w:lang w:val="fr-CA"/>
        </w:rPr>
        <w:t xml:space="preserve">Le gouvernement et le </w:t>
      </w:r>
      <w:proofErr w:type="gramStart"/>
      <w:r w:rsidRPr="00674619">
        <w:rPr>
          <w:rFonts w:cs="Times New Roman"/>
          <w:lang w:val="fr-CA"/>
        </w:rPr>
        <w:t>syndicat prétendent</w:t>
      </w:r>
      <w:proofErr w:type="gramEnd"/>
      <w:r w:rsidRPr="00674619">
        <w:rPr>
          <w:rFonts w:cs="Times New Roman"/>
          <w:lang w:val="fr-CA"/>
        </w:rPr>
        <w:t xml:space="preserve"> que les arguments de M</w:t>
      </w:r>
      <w:r w:rsidRPr="00674619">
        <w:rPr>
          <w:rFonts w:cs="Times New Roman"/>
          <w:vertAlign w:val="superscript"/>
          <w:lang w:val="fr-CA"/>
        </w:rPr>
        <w:t>me </w:t>
      </w:r>
      <w:r w:rsidRPr="00674619">
        <w:rPr>
          <w:rFonts w:cs="Times New Roman"/>
          <w:lang w:val="fr-CA"/>
        </w:rPr>
        <w:t>Bernard fondés sur l’al. 2</w:t>
      </w:r>
      <w:r w:rsidRPr="00674619">
        <w:rPr>
          <w:rFonts w:cs="Times New Roman"/>
          <w:i/>
          <w:lang w:val="fr-CA"/>
        </w:rPr>
        <w:t>d</w:t>
      </w:r>
      <w:r w:rsidRPr="00674619">
        <w:rPr>
          <w:rFonts w:cs="Times New Roman"/>
          <w:lang w:val="fr-CA"/>
        </w:rPr>
        <w:t xml:space="preserve">) de la </w:t>
      </w:r>
      <w:r w:rsidRPr="00674619">
        <w:rPr>
          <w:rFonts w:cs="Times New Roman"/>
          <w:i/>
          <w:lang w:val="fr-CA"/>
        </w:rPr>
        <w:t>Charte</w:t>
      </w:r>
      <w:r w:rsidRPr="00674619">
        <w:rPr>
          <w:rFonts w:cs="Times New Roman"/>
          <w:lang w:val="fr-CA"/>
        </w:rPr>
        <w:t xml:space="preserve"> ne devraient pas être entendus parce qu’ils se rapportent à la conclusion tirée par la Commission dans </w:t>
      </w:r>
      <w:r w:rsidRPr="00674619">
        <w:rPr>
          <w:rFonts w:cs="Times New Roman"/>
          <w:i/>
          <w:lang w:val="fr-CA"/>
        </w:rPr>
        <w:t>IPFPC 1</w:t>
      </w:r>
      <w:r w:rsidRPr="00674619">
        <w:rPr>
          <w:rFonts w:cs="Times New Roman"/>
          <w:lang w:val="fr-CA"/>
        </w:rPr>
        <w:t xml:space="preserve">, une décision qu’elle n’a pas contestée par voie de contrôle judiciaire et qui, selon eux, outrepassait le pouvoir de réexamen de la Commission.  </w:t>
      </w:r>
    </w:p>
    <w:p w:rsidR="00046CA9" w:rsidRPr="00674619" w:rsidRDefault="00046CA9" w:rsidP="00046CA9">
      <w:pPr>
        <w:pStyle w:val="ParaNoNdepar-AltN"/>
        <w:rPr>
          <w:rFonts w:cs="Times New Roman"/>
          <w:lang w:val="fr-CA"/>
        </w:rPr>
      </w:pPr>
      <w:r w:rsidRPr="00674619">
        <w:rPr>
          <w:rFonts w:cs="Times New Roman"/>
          <w:lang w:val="fr-CA"/>
        </w:rPr>
        <w:lastRenderedPageBreak/>
        <w:t xml:space="preserve">Contrairement à leurs prétentions, la conclusion tirée par la Commission dans </w:t>
      </w:r>
      <w:r w:rsidRPr="00674619">
        <w:rPr>
          <w:rFonts w:cs="Times New Roman"/>
          <w:i/>
          <w:lang w:val="fr-CA"/>
        </w:rPr>
        <w:t>IPFPC 1</w:t>
      </w:r>
      <w:r w:rsidRPr="00674619">
        <w:rPr>
          <w:rFonts w:cs="Times New Roman"/>
          <w:lang w:val="fr-CA"/>
        </w:rPr>
        <w:t xml:space="preserve"> n’est pas à l’abri d’une analyse</w:t>
      </w:r>
      <w:r>
        <w:rPr>
          <w:rFonts w:cs="Times New Roman"/>
          <w:lang w:val="fr-CA"/>
        </w:rPr>
        <w:t xml:space="preserve">.  </w:t>
      </w:r>
      <w:r w:rsidRPr="00674619">
        <w:rPr>
          <w:rFonts w:cs="Times New Roman"/>
          <w:lang w:val="fr-CA"/>
        </w:rPr>
        <w:t>Bien que M</w:t>
      </w:r>
      <w:r w:rsidRPr="00674619">
        <w:rPr>
          <w:rFonts w:cs="Times New Roman"/>
          <w:vertAlign w:val="superscript"/>
          <w:lang w:val="fr-CA"/>
        </w:rPr>
        <w:t>me</w:t>
      </w:r>
      <w:r w:rsidRPr="00674619">
        <w:rPr>
          <w:rFonts w:cs="Times New Roman"/>
          <w:lang w:val="fr-CA"/>
        </w:rPr>
        <w:t xml:space="preserve"> Bernard ne l’ait pas directement contestée, cette décision a été rendue dans le cadre de la même affaire que celle qui a donné lieu aux décisions </w:t>
      </w:r>
      <w:r w:rsidRPr="00674619">
        <w:rPr>
          <w:rFonts w:cs="Times New Roman"/>
          <w:i/>
          <w:lang w:val="fr-CA"/>
        </w:rPr>
        <w:t>IPFPC 2</w:t>
      </w:r>
      <w:r w:rsidRPr="00674619">
        <w:rPr>
          <w:rFonts w:cs="Times New Roman"/>
          <w:lang w:val="fr-CA"/>
        </w:rPr>
        <w:t xml:space="preserve"> et </w:t>
      </w:r>
      <w:r w:rsidRPr="00674619">
        <w:rPr>
          <w:rFonts w:cs="Times New Roman"/>
          <w:i/>
          <w:lang w:val="fr-CA"/>
        </w:rPr>
        <w:t>IPFPC 3</w:t>
      </w:r>
      <w:r w:rsidRPr="00674619">
        <w:rPr>
          <w:rFonts w:cs="Times New Roman"/>
          <w:lang w:val="fr-CA"/>
        </w:rPr>
        <w:t xml:space="preserve">.  La Commission a, à maintes reprises, qualifié la décision dans </w:t>
      </w:r>
      <w:r w:rsidRPr="00674619">
        <w:rPr>
          <w:rFonts w:cs="Times New Roman"/>
          <w:i/>
          <w:lang w:val="fr-CA"/>
        </w:rPr>
        <w:t xml:space="preserve">IPFPC 1 </w:t>
      </w:r>
      <w:r w:rsidRPr="00674619">
        <w:rPr>
          <w:rFonts w:cs="Times New Roman"/>
          <w:lang w:val="fr-CA"/>
        </w:rPr>
        <w:t>de « décision provisoire » (</w:t>
      </w:r>
      <w:r w:rsidRPr="00674619">
        <w:rPr>
          <w:rFonts w:cs="Times New Roman"/>
          <w:i/>
          <w:lang w:val="fr-CA"/>
        </w:rPr>
        <w:t>IPFPC 1</w:t>
      </w:r>
      <w:r w:rsidRPr="00674619">
        <w:rPr>
          <w:rFonts w:cs="Times New Roman"/>
          <w:lang w:val="fr-CA"/>
        </w:rPr>
        <w:t>, par. 1</w:t>
      </w:r>
      <w:r w:rsidR="00386215">
        <w:rPr>
          <w:rFonts w:cs="Times New Roman"/>
          <w:lang w:val="fr-CA"/>
        </w:rPr>
        <w:t>) ou d’« ordonnance provisoire »</w:t>
      </w:r>
      <w:r w:rsidRPr="00674619">
        <w:rPr>
          <w:rFonts w:cs="Times New Roman"/>
          <w:lang w:val="fr-CA"/>
        </w:rPr>
        <w:t xml:space="preserve"> </w:t>
      </w:r>
      <w:r w:rsidR="00386215">
        <w:rPr>
          <w:rFonts w:cs="Times New Roman"/>
          <w:lang w:val="fr-CA"/>
        </w:rPr>
        <w:t>(</w:t>
      </w:r>
      <w:r w:rsidRPr="00674619">
        <w:rPr>
          <w:rFonts w:cs="Times New Roman"/>
          <w:i/>
          <w:lang w:val="fr-CA"/>
        </w:rPr>
        <w:t>IPFPC 2</w:t>
      </w:r>
      <w:r w:rsidRPr="00674619">
        <w:rPr>
          <w:rFonts w:cs="Times New Roman"/>
          <w:lang w:val="fr-CA"/>
        </w:rPr>
        <w:t xml:space="preserve">, par. 2). </w:t>
      </w:r>
      <w:r w:rsidRPr="00674619">
        <w:rPr>
          <w:rFonts w:cs="Times New Roman"/>
          <w:i/>
          <w:lang w:val="fr-CA"/>
        </w:rPr>
        <w:t xml:space="preserve"> </w:t>
      </w:r>
      <w:r w:rsidRPr="00674619">
        <w:rPr>
          <w:rFonts w:cs="Times New Roman"/>
          <w:lang w:val="fr-CA"/>
        </w:rPr>
        <w:t xml:space="preserve">En outre, la conclusion qu’elle a tirée dans la décision </w:t>
      </w:r>
      <w:r w:rsidRPr="00674619">
        <w:rPr>
          <w:rFonts w:cs="Times New Roman"/>
          <w:i/>
          <w:lang w:val="fr-CA"/>
        </w:rPr>
        <w:t xml:space="preserve">IPFPC 1 </w:t>
      </w:r>
      <w:r w:rsidRPr="00674619">
        <w:rPr>
          <w:rFonts w:cs="Times New Roman"/>
          <w:lang w:val="fr-CA"/>
        </w:rPr>
        <w:t xml:space="preserve">— selon laquelle l’employeur doit communiquer « une partie » des renseignements sur ses employés à un agent négociateur — est, par déduction nécessaire, incorporée à la décision </w:t>
      </w:r>
      <w:r w:rsidRPr="00674619">
        <w:rPr>
          <w:rFonts w:cs="Times New Roman"/>
          <w:i/>
          <w:lang w:val="fr-CA"/>
        </w:rPr>
        <w:t>IPFPC 2</w:t>
      </w:r>
      <w:r w:rsidRPr="00674619">
        <w:rPr>
          <w:rFonts w:cs="Times New Roman"/>
          <w:lang w:val="fr-CA"/>
        </w:rPr>
        <w:t>,</w:t>
      </w:r>
      <w:r w:rsidRPr="00674619">
        <w:rPr>
          <w:rFonts w:cs="Times New Roman"/>
          <w:i/>
          <w:lang w:val="fr-CA"/>
        </w:rPr>
        <w:t xml:space="preserve"> </w:t>
      </w:r>
      <w:r w:rsidRPr="00674619">
        <w:rPr>
          <w:rFonts w:cs="Times New Roman"/>
          <w:lang w:val="fr-CA"/>
        </w:rPr>
        <w:t xml:space="preserve">qui clarifiait le contenu exact de cette obligation de communication.  </w:t>
      </w:r>
    </w:p>
    <w:p w:rsidR="00046CA9" w:rsidRPr="00674619" w:rsidRDefault="00046CA9" w:rsidP="00046CA9">
      <w:pPr>
        <w:pStyle w:val="ParaNoNdepar-AltN"/>
        <w:rPr>
          <w:rFonts w:cs="Times New Roman"/>
          <w:lang w:val="fr-CA"/>
        </w:rPr>
      </w:pPr>
      <w:r w:rsidRPr="00674619">
        <w:rPr>
          <w:rFonts w:cs="Times New Roman"/>
          <w:lang w:val="fr-CA"/>
        </w:rPr>
        <w:t>La décision de M</w:t>
      </w:r>
      <w:r w:rsidRPr="00674619">
        <w:rPr>
          <w:rFonts w:cs="Times New Roman"/>
          <w:vertAlign w:val="superscript"/>
          <w:lang w:val="fr-CA"/>
        </w:rPr>
        <w:t>me</w:t>
      </w:r>
      <w:r w:rsidRPr="00674619">
        <w:rPr>
          <w:rFonts w:cs="Times New Roman"/>
          <w:lang w:val="fr-CA"/>
        </w:rPr>
        <w:t xml:space="preserve"> Bernard de contester la décision </w:t>
      </w:r>
      <w:r w:rsidRPr="00674619">
        <w:rPr>
          <w:rFonts w:cs="Times New Roman"/>
          <w:i/>
          <w:lang w:val="fr-CA"/>
        </w:rPr>
        <w:t>IPFPC 2</w:t>
      </w:r>
      <w:r w:rsidRPr="00674619">
        <w:rPr>
          <w:rFonts w:cs="Times New Roman"/>
          <w:lang w:val="fr-CA"/>
        </w:rPr>
        <w:t xml:space="preserve"> par voie de contrôle judiciaire ne visait pas à contourner les voies procédurales appropriées.  Bien au contraire, comme elle n’était pas partie à l’instance </w:t>
      </w:r>
      <w:r w:rsidRPr="00674619">
        <w:rPr>
          <w:rFonts w:cs="Times New Roman"/>
          <w:i/>
          <w:lang w:val="fr-CA"/>
        </w:rPr>
        <w:t>IPFPC 1</w:t>
      </w:r>
      <w:r w:rsidRPr="00674619">
        <w:rPr>
          <w:rFonts w:cs="Times New Roman"/>
          <w:lang w:val="fr-CA"/>
        </w:rPr>
        <w:t xml:space="preserve"> et qu’elle a seulement été avisée de la décision </w:t>
      </w:r>
      <w:r w:rsidRPr="00674619">
        <w:rPr>
          <w:rFonts w:cs="Times New Roman"/>
          <w:i/>
          <w:lang w:val="fr-CA"/>
        </w:rPr>
        <w:t>IPFPC 2</w:t>
      </w:r>
      <w:r w:rsidRPr="00674619">
        <w:rPr>
          <w:rFonts w:cs="Times New Roman"/>
          <w:lang w:val="fr-CA"/>
        </w:rPr>
        <w:t xml:space="preserve"> par courriel — lequel incluait un hyperlien vers la décision de la Commission et l’informait que l’employeur devait</w:t>
      </w:r>
      <w:r w:rsidR="000E45A7">
        <w:rPr>
          <w:rFonts w:cs="Times New Roman"/>
          <w:lang w:val="fr-CA"/>
        </w:rPr>
        <w:t xml:space="preserve"> maintenant communiquer à l’IPF</w:t>
      </w:r>
      <w:r w:rsidRPr="00674619">
        <w:rPr>
          <w:rFonts w:cs="Times New Roman"/>
          <w:lang w:val="fr-CA"/>
        </w:rPr>
        <w:t>P</w:t>
      </w:r>
      <w:r w:rsidR="000E45A7">
        <w:rPr>
          <w:rFonts w:cs="Times New Roman"/>
          <w:lang w:val="fr-CA"/>
        </w:rPr>
        <w:t>C</w:t>
      </w:r>
      <w:r w:rsidRPr="00674619">
        <w:rPr>
          <w:rFonts w:cs="Times New Roman"/>
          <w:lang w:val="fr-CA"/>
        </w:rPr>
        <w:t xml:space="preserve"> les coordonnées résidentielles de ses employés —, M</w:t>
      </w:r>
      <w:r w:rsidRPr="00674619">
        <w:rPr>
          <w:rFonts w:cs="Times New Roman"/>
          <w:vertAlign w:val="superscript"/>
          <w:lang w:val="fr-CA"/>
        </w:rPr>
        <w:t>me</w:t>
      </w:r>
      <w:r w:rsidRPr="00674619">
        <w:rPr>
          <w:rFonts w:cs="Times New Roman"/>
          <w:lang w:val="fr-CA"/>
        </w:rPr>
        <w:t xml:space="preserve"> Bernard a pris des mesures tout à fait logiques. </w:t>
      </w:r>
    </w:p>
    <w:p w:rsidR="00046CA9" w:rsidRPr="00674619" w:rsidRDefault="00046CA9" w:rsidP="00046CA9">
      <w:pPr>
        <w:pStyle w:val="ParaNoNdepar-AltN"/>
        <w:rPr>
          <w:rFonts w:cs="Times New Roman"/>
          <w:lang w:val="fr-CA"/>
        </w:rPr>
      </w:pPr>
      <w:r w:rsidRPr="00674619">
        <w:rPr>
          <w:rFonts w:cs="Times New Roman"/>
          <w:lang w:val="fr-CA"/>
        </w:rPr>
        <w:t xml:space="preserve">La Cour d’appel fédérale a </w:t>
      </w:r>
      <w:proofErr w:type="spellStart"/>
      <w:r w:rsidRPr="00674619">
        <w:rPr>
          <w:rFonts w:cs="Times New Roman"/>
          <w:lang w:val="fr-CA"/>
        </w:rPr>
        <w:t>elle</w:t>
      </w:r>
      <w:r w:rsidRPr="00674619">
        <w:rPr>
          <w:rFonts w:cs="Times New Roman"/>
          <w:lang w:val="fr-CA"/>
        </w:rPr>
        <w:noBreakHyphen/>
        <w:t>même</w:t>
      </w:r>
      <w:proofErr w:type="spellEnd"/>
      <w:r w:rsidRPr="00674619">
        <w:rPr>
          <w:rFonts w:cs="Times New Roman"/>
          <w:lang w:val="fr-CA"/>
        </w:rPr>
        <w:t xml:space="preserve"> reconnu le problème procédural auquel faisait face M</w:t>
      </w:r>
      <w:r w:rsidRPr="00674619">
        <w:rPr>
          <w:rFonts w:cs="Times New Roman"/>
          <w:vertAlign w:val="superscript"/>
          <w:lang w:val="fr-CA"/>
        </w:rPr>
        <w:t>me</w:t>
      </w:r>
      <w:r w:rsidRPr="00674619">
        <w:rPr>
          <w:rFonts w:cs="Times New Roman"/>
          <w:lang w:val="fr-CA"/>
        </w:rPr>
        <w:t xml:space="preserve"> Bernard.  En effet, dans l’arrêt </w:t>
      </w:r>
      <w:r w:rsidRPr="00674619">
        <w:rPr>
          <w:rFonts w:cs="Times New Roman"/>
          <w:i/>
          <w:lang w:val="fr-CA"/>
        </w:rPr>
        <w:t>Bernard I</w:t>
      </w:r>
      <w:r w:rsidRPr="00674619">
        <w:rPr>
          <w:rFonts w:cs="Times New Roman"/>
          <w:lang w:val="fr-CA"/>
        </w:rPr>
        <w:t xml:space="preserve">, elle a souligné, en ce qui concerne la décision </w:t>
      </w:r>
      <w:r w:rsidRPr="00674619">
        <w:rPr>
          <w:rFonts w:cs="Times New Roman"/>
          <w:i/>
          <w:lang w:val="fr-CA"/>
        </w:rPr>
        <w:t>IPFPC 1</w:t>
      </w:r>
      <w:r w:rsidRPr="00674619">
        <w:rPr>
          <w:rFonts w:cs="Times New Roman"/>
          <w:lang w:val="fr-CA"/>
        </w:rPr>
        <w:t>, qu’« [a]</w:t>
      </w:r>
      <w:proofErr w:type="spellStart"/>
      <w:r w:rsidRPr="00674619">
        <w:rPr>
          <w:rFonts w:cs="Times New Roman"/>
          <w:lang w:val="fr-CA"/>
        </w:rPr>
        <w:t>ucun</w:t>
      </w:r>
      <w:proofErr w:type="spellEnd"/>
      <w:r w:rsidRPr="00674619">
        <w:rPr>
          <w:rFonts w:cs="Times New Roman"/>
          <w:lang w:val="fr-CA"/>
        </w:rPr>
        <w:t xml:space="preserve"> des employés assujettis à la formule Rand n’a été avisé de la demande, et aucune chance ne leur a été donnée d’intervenir dans le débat » (par. 9).  La cour a aussi reconnu que M</w:t>
      </w:r>
      <w:r w:rsidRPr="00674619">
        <w:rPr>
          <w:rFonts w:cs="Times New Roman"/>
          <w:vertAlign w:val="superscript"/>
          <w:lang w:val="fr-CA"/>
        </w:rPr>
        <w:t>me</w:t>
      </w:r>
      <w:r w:rsidRPr="00674619">
        <w:rPr>
          <w:rFonts w:cs="Times New Roman"/>
          <w:lang w:val="fr-CA"/>
        </w:rPr>
        <w:t xml:space="preserve"> Bernard n’a </w:t>
      </w:r>
      <w:r w:rsidRPr="00674619">
        <w:rPr>
          <w:rFonts w:cs="Times New Roman"/>
          <w:lang w:val="fr-CA"/>
        </w:rPr>
        <w:lastRenderedPageBreak/>
        <w:t xml:space="preserve">pas contesté la décision </w:t>
      </w:r>
      <w:r w:rsidRPr="00674619">
        <w:rPr>
          <w:rFonts w:cs="Times New Roman"/>
          <w:i/>
          <w:lang w:val="fr-CA"/>
        </w:rPr>
        <w:t xml:space="preserve">IPFPC 1 </w:t>
      </w:r>
      <w:r w:rsidRPr="00674619">
        <w:rPr>
          <w:rFonts w:cs="Times New Roman"/>
          <w:lang w:val="fr-CA"/>
        </w:rPr>
        <w:t xml:space="preserve">en présentant une demande de contrôle judiciaire « étant donné qu’elle n’en avait pas connaissance à l’époque » (par. 20).  </w:t>
      </w:r>
    </w:p>
    <w:p w:rsidR="00046CA9" w:rsidRPr="00674619" w:rsidRDefault="00046CA9" w:rsidP="00046CA9">
      <w:pPr>
        <w:pStyle w:val="ParaNoNdepar-AltN"/>
        <w:rPr>
          <w:rFonts w:cs="Times New Roman"/>
          <w:lang w:val="fr-CA"/>
        </w:rPr>
      </w:pPr>
      <w:r w:rsidRPr="00674619">
        <w:rPr>
          <w:rFonts w:cs="Times New Roman"/>
          <w:lang w:val="fr-CA"/>
        </w:rPr>
        <w:t>M</w:t>
      </w:r>
      <w:r w:rsidRPr="00674619">
        <w:rPr>
          <w:rFonts w:cs="Times New Roman"/>
          <w:vertAlign w:val="superscript"/>
          <w:lang w:val="fr-CA"/>
        </w:rPr>
        <w:t>me</w:t>
      </w:r>
      <w:r w:rsidRPr="00674619">
        <w:rPr>
          <w:rFonts w:cs="Times New Roman"/>
          <w:lang w:val="fr-CA"/>
        </w:rPr>
        <w:t> Bernard a soulevé ses arguments fondés sur l’al. 2</w:t>
      </w:r>
      <w:r w:rsidRPr="00674619">
        <w:rPr>
          <w:rFonts w:cs="Times New Roman"/>
          <w:i/>
          <w:lang w:val="fr-CA"/>
        </w:rPr>
        <w:t>d</w:t>
      </w:r>
      <w:r w:rsidRPr="00674619">
        <w:rPr>
          <w:rFonts w:cs="Times New Roman"/>
          <w:lang w:val="fr-CA"/>
        </w:rPr>
        <w:t xml:space="preserve">) de la </w:t>
      </w:r>
      <w:r w:rsidRPr="00674619">
        <w:rPr>
          <w:rFonts w:cs="Times New Roman"/>
          <w:i/>
          <w:lang w:val="fr-CA"/>
        </w:rPr>
        <w:t xml:space="preserve">Charte </w:t>
      </w:r>
      <w:r w:rsidRPr="00674619">
        <w:rPr>
          <w:rFonts w:cs="Times New Roman"/>
          <w:lang w:val="fr-CA"/>
        </w:rPr>
        <w:t>trois fois au cours de l’affaire.  Elle attend toujours une réponse</w:t>
      </w:r>
      <w:r>
        <w:rPr>
          <w:rFonts w:cs="Times New Roman"/>
          <w:lang w:val="fr-CA"/>
        </w:rPr>
        <w:t xml:space="preserve">.  </w:t>
      </w:r>
      <w:r w:rsidRPr="00674619">
        <w:rPr>
          <w:rFonts w:cs="Times New Roman"/>
          <w:lang w:val="fr-CA"/>
        </w:rPr>
        <w:t xml:space="preserve">Contrairement à ce que prétendent les intimés, notre Cour ne devrait pas refuser de répondre pour la simple raison — qui est erronée à mon avis — qu’elle aurait dû contester la décision </w:t>
      </w:r>
      <w:r w:rsidRPr="00674619">
        <w:rPr>
          <w:rFonts w:cs="Times New Roman"/>
          <w:i/>
          <w:lang w:val="fr-CA"/>
        </w:rPr>
        <w:t>IPFPC 1</w:t>
      </w:r>
      <w:r w:rsidRPr="00674619">
        <w:rPr>
          <w:rFonts w:cs="Times New Roman"/>
          <w:lang w:val="fr-CA"/>
        </w:rPr>
        <w:t xml:space="preserve">, et non la décision </w:t>
      </w:r>
      <w:r w:rsidRPr="00674619">
        <w:rPr>
          <w:rFonts w:cs="Times New Roman"/>
          <w:i/>
          <w:lang w:val="fr-CA"/>
        </w:rPr>
        <w:t>IPFPC 2</w:t>
      </w:r>
      <w:r w:rsidRPr="00674619">
        <w:rPr>
          <w:rFonts w:cs="Times New Roman"/>
          <w:lang w:val="fr-CA"/>
        </w:rPr>
        <w:t>.</w:t>
      </w:r>
    </w:p>
    <w:p w:rsidR="00046CA9" w:rsidRPr="00674619" w:rsidRDefault="00046CA9" w:rsidP="00046CA9">
      <w:pPr>
        <w:pStyle w:val="ParaNoNdepar-AltN"/>
        <w:rPr>
          <w:rFonts w:cs="Times New Roman"/>
          <w:lang w:val="fr-CA"/>
        </w:rPr>
      </w:pPr>
      <w:r w:rsidRPr="00674619">
        <w:rPr>
          <w:rFonts w:cs="Times New Roman"/>
          <w:lang w:val="fr-CA"/>
        </w:rPr>
        <w:t>Quoi qu’il en soit, la contestation de M</w:t>
      </w:r>
      <w:r w:rsidRPr="00674619">
        <w:rPr>
          <w:rFonts w:cs="Times New Roman"/>
          <w:vertAlign w:val="superscript"/>
          <w:lang w:val="fr-CA"/>
        </w:rPr>
        <w:t>me</w:t>
      </w:r>
      <w:r w:rsidRPr="00674619">
        <w:rPr>
          <w:rFonts w:cs="Times New Roman"/>
          <w:lang w:val="fr-CA"/>
        </w:rPr>
        <w:t> Bernard fondée sur l’al. 2</w:t>
      </w:r>
      <w:r w:rsidRPr="00674619">
        <w:rPr>
          <w:rFonts w:cs="Times New Roman"/>
          <w:i/>
          <w:lang w:val="fr-CA"/>
        </w:rPr>
        <w:t>d</w:t>
      </w:r>
      <w:r w:rsidRPr="00674619">
        <w:rPr>
          <w:rFonts w:cs="Times New Roman"/>
          <w:lang w:val="fr-CA"/>
        </w:rPr>
        <w:t xml:space="preserve">) de la </w:t>
      </w:r>
      <w:r w:rsidRPr="00674619">
        <w:rPr>
          <w:rFonts w:cs="Times New Roman"/>
          <w:i/>
          <w:lang w:val="fr-CA"/>
        </w:rPr>
        <w:t>Charte</w:t>
      </w:r>
      <w:r w:rsidRPr="00674619">
        <w:rPr>
          <w:rFonts w:cs="Times New Roman"/>
          <w:lang w:val="fr-CA"/>
        </w:rPr>
        <w:t xml:space="preserve"> vise essentiellement la précision apportée dans la décision </w:t>
      </w:r>
      <w:r w:rsidRPr="00674619">
        <w:rPr>
          <w:rFonts w:cs="Times New Roman"/>
          <w:i/>
          <w:lang w:val="fr-CA"/>
        </w:rPr>
        <w:t xml:space="preserve">IPFPC 2 </w:t>
      </w:r>
      <w:r w:rsidRPr="00674619">
        <w:rPr>
          <w:rFonts w:cs="Times New Roman"/>
          <w:lang w:val="fr-CA"/>
        </w:rPr>
        <w:t xml:space="preserve">selon laquelle l’employeur doit communiquer les adresses et les numéros de téléphone résidentiels de ses employés à l’agent négociateur, et non la conclusion générale tirée dans la décision </w:t>
      </w:r>
      <w:r w:rsidRPr="00674619">
        <w:rPr>
          <w:rFonts w:cs="Times New Roman"/>
          <w:i/>
          <w:lang w:val="fr-CA"/>
        </w:rPr>
        <w:t>IPFPC 1</w:t>
      </w:r>
      <w:r w:rsidRPr="00674619">
        <w:rPr>
          <w:rFonts w:cs="Times New Roman"/>
          <w:lang w:val="fr-CA"/>
        </w:rPr>
        <w:t xml:space="preserve"> selon laquelle l’employeur doit communiquer « une partie » des coordonnées de ses employés à l’agent négociateur.  M</w:t>
      </w:r>
      <w:r w:rsidRPr="00674619">
        <w:rPr>
          <w:rFonts w:cs="Times New Roman"/>
          <w:vertAlign w:val="superscript"/>
          <w:lang w:val="fr-CA"/>
        </w:rPr>
        <w:t>me</w:t>
      </w:r>
      <w:r w:rsidRPr="00674619">
        <w:rPr>
          <w:rFonts w:cs="Times New Roman"/>
          <w:lang w:val="fr-CA"/>
        </w:rPr>
        <w:t> Bernard a reconnu que « [l]’IPFPC a le droit d’obtenir certaines coordonnées, à savoir les adresses et les numéros de téléphone au travail » (</w:t>
      </w:r>
      <w:r w:rsidRPr="00674619">
        <w:rPr>
          <w:rFonts w:cs="Times New Roman"/>
          <w:i/>
          <w:lang w:val="fr-CA"/>
        </w:rPr>
        <w:t>IPFPC 3</w:t>
      </w:r>
      <w:r w:rsidRPr="00674619">
        <w:rPr>
          <w:rFonts w:cs="Times New Roman"/>
          <w:lang w:val="fr-CA"/>
        </w:rPr>
        <w:t>, par. 130)</w:t>
      </w:r>
      <w:r>
        <w:rPr>
          <w:rFonts w:cs="Times New Roman"/>
          <w:lang w:val="fr-CA"/>
        </w:rPr>
        <w:t xml:space="preserve">.  </w:t>
      </w:r>
      <w:r w:rsidRPr="00674619">
        <w:rPr>
          <w:rFonts w:cs="Times New Roman"/>
          <w:lang w:val="fr-CA"/>
        </w:rPr>
        <w:t>En outre, dans les observations qu’elle a présentées pendant l’audience de réexamen, elle a demandé que la Commission modifie son ordonnance du 18 juillet 2008 — c’est</w:t>
      </w:r>
      <w:r w:rsidRPr="00674619">
        <w:rPr>
          <w:rFonts w:cs="Times New Roman"/>
          <w:lang w:val="fr-CA"/>
        </w:rPr>
        <w:noBreakHyphen/>
      </w:r>
      <w:proofErr w:type="spellStart"/>
      <w:r w:rsidRPr="00674619">
        <w:rPr>
          <w:rFonts w:cs="Times New Roman"/>
          <w:lang w:val="fr-CA"/>
        </w:rPr>
        <w:t>à</w:t>
      </w:r>
      <w:r w:rsidRPr="00674619">
        <w:rPr>
          <w:rFonts w:cs="Times New Roman"/>
          <w:lang w:val="fr-CA"/>
        </w:rPr>
        <w:noBreakHyphen/>
        <w:t>dire</w:t>
      </w:r>
      <w:proofErr w:type="spellEnd"/>
      <w:r w:rsidRPr="00674619">
        <w:rPr>
          <w:rFonts w:cs="Times New Roman"/>
          <w:lang w:val="fr-CA"/>
        </w:rPr>
        <w:t xml:space="preserve">, </w:t>
      </w:r>
      <w:r w:rsidRPr="00674619">
        <w:rPr>
          <w:rFonts w:cs="Times New Roman"/>
          <w:i/>
          <w:u w:val="single"/>
          <w:lang w:val="fr-CA"/>
        </w:rPr>
        <w:t>IPFPC 2</w:t>
      </w:r>
      <w:r w:rsidRPr="00674619">
        <w:rPr>
          <w:rFonts w:cs="Times New Roman"/>
          <w:i/>
          <w:lang w:val="fr-CA"/>
        </w:rPr>
        <w:t xml:space="preserve"> — </w:t>
      </w:r>
      <w:r w:rsidRPr="00674619">
        <w:rPr>
          <w:rFonts w:cs="Times New Roman"/>
          <w:lang w:val="fr-CA"/>
        </w:rPr>
        <w:t xml:space="preserve">de sorte que « seuls les adresses et les numéros de téléphone au travail </w:t>
      </w:r>
      <w:r w:rsidR="0047490C">
        <w:rPr>
          <w:rFonts w:cs="Times New Roman"/>
          <w:lang w:val="fr-CA"/>
        </w:rPr>
        <w:t>devraient être</w:t>
      </w:r>
      <w:r w:rsidRPr="00674619">
        <w:rPr>
          <w:rFonts w:cs="Times New Roman"/>
          <w:lang w:val="fr-CA"/>
        </w:rPr>
        <w:t xml:space="preserve"> fournis » plutôt que les adresses et numéros de téléphone résidentiels (</w:t>
      </w:r>
      <w:r w:rsidRPr="00674619">
        <w:rPr>
          <w:rFonts w:cs="Times New Roman"/>
          <w:i/>
          <w:lang w:val="fr-CA"/>
        </w:rPr>
        <w:t>IPFPC 3</w:t>
      </w:r>
      <w:r w:rsidRPr="00674619">
        <w:rPr>
          <w:rFonts w:cs="Times New Roman"/>
          <w:lang w:val="fr-CA"/>
        </w:rPr>
        <w:t xml:space="preserve">, par. 141). </w:t>
      </w:r>
    </w:p>
    <w:p w:rsidR="00046CA9" w:rsidRPr="00674619" w:rsidRDefault="00046CA9" w:rsidP="00046CA9">
      <w:pPr>
        <w:pStyle w:val="ParaNoNdepar-AltN"/>
        <w:rPr>
          <w:rFonts w:cs="Times New Roman"/>
          <w:lang w:val="fr-CA"/>
        </w:rPr>
      </w:pPr>
      <w:r w:rsidRPr="00674619">
        <w:rPr>
          <w:rFonts w:cs="Times New Roman"/>
          <w:lang w:val="fr-CA"/>
        </w:rPr>
        <w:lastRenderedPageBreak/>
        <w:t>Durant sa plaidoirie, le gouvernement a soutenu que M</w:t>
      </w:r>
      <w:r w:rsidRPr="00674619">
        <w:rPr>
          <w:rFonts w:cs="Times New Roman"/>
          <w:vertAlign w:val="superscript"/>
          <w:lang w:val="fr-CA"/>
        </w:rPr>
        <w:t>me</w:t>
      </w:r>
      <w:r w:rsidRPr="00674619">
        <w:rPr>
          <w:rFonts w:cs="Times New Roman"/>
          <w:lang w:val="fr-CA"/>
        </w:rPr>
        <w:t xml:space="preserve"> Bernard aurait dû intenter une action distincte pour soulever ses arguments fondés sur la </w:t>
      </w:r>
      <w:r w:rsidRPr="00674619">
        <w:rPr>
          <w:rFonts w:cs="Times New Roman"/>
          <w:i/>
          <w:lang w:val="fr-CA"/>
        </w:rPr>
        <w:t>Charte</w:t>
      </w:r>
      <w:r w:rsidRPr="00674619">
        <w:rPr>
          <w:rFonts w:cs="Times New Roman"/>
          <w:lang w:val="fr-CA"/>
        </w:rPr>
        <w:t xml:space="preserve">.  Cet argument est toutefois incompatible avec le fait que la Cour a reconnu que les demandeurs peuvent « faire valoir les droits et les libertés que leur garantit la </w:t>
      </w:r>
      <w:r w:rsidRPr="00674619">
        <w:rPr>
          <w:rFonts w:cs="Times New Roman"/>
          <w:i/>
          <w:lang w:val="fr-CA"/>
        </w:rPr>
        <w:t>Charte</w:t>
      </w:r>
      <w:r w:rsidRPr="00674619">
        <w:rPr>
          <w:rFonts w:cs="Times New Roman"/>
          <w:lang w:val="fr-CA"/>
        </w:rPr>
        <w:t xml:space="preserve"> devant le tribunal qui est le plus à leur portée » (</w:t>
      </w:r>
      <w:proofErr w:type="spellStart"/>
      <w:r w:rsidRPr="00674619">
        <w:rPr>
          <w:rFonts w:cs="Times New Roman"/>
          <w:i/>
          <w:lang w:val="fr-CA"/>
        </w:rPr>
        <w:t>Conway</w:t>
      </w:r>
      <w:proofErr w:type="spellEnd"/>
      <w:r w:rsidRPr="00674619">
        <w:rPr>
          <w:rFonts w:cs="Times New Roman"/>
          <w:lang w:val="fr-CA"/>
        </w:rPr>
        <w:t xml:space="preserve">, par. 79). </w:t>
      </w:r>
    </w:p>
    <w:p w:rsidR="00046CA9" w:rsidRPr="00674619" w:rsidRDefault="00046CA9" w:rsidP="00046CA9">
      <w:pPr>
        <w:pStyle w:val="Title3LevelTitre3Niveau"/>
        <w:keepNext/>
        <w:tabs>
          <w:tab w:val="clear" w:pos="864"/>
          <w:tab w:val="num" w:pos="1080"/>
          <w:tab w:val="num" w:pos="6048"/>
        </w:tabs>
        <w:spacing w:before="0"/>
        <w:ind w:left="1080" w:hanging="540"/>
        <w:jc w:val="both"/>
        <w:rPr>
          <w:rFonts w:cs="Times New Roman"/>
          <w:lang w:val="fr-CA"/>
        </w:rPr>
      </w:pPr>
      <w:r w:rsidRPr="00674619">
        <w:rPr>
          <w:rFonts w:cs="Times New Roman"/>
          <w:lang w:val="fr-CA"/>
        </w:rPr>
        <w:t xml:space="preserve">L’arrêt </w:t>
      </w:r>
      <w:r w:rsidRPr="00674619">
        <w:rPr>
          <w:rFonts w:cs="Times New Roman"/>
          <w:i/>
          <w:lang w:val="fr-CA"/>
        </w:rPr>
        <w:t xml:space="preserve">Bernard I </w:t>
      </w:r>
      <w:r w:rsidRPr="00674619">
        <w:rPr>
          <w:rFonts w:cs="Times New Roman"/>
          <w:lang w:val="fr-CA"/>
        </w:rPr>
        <w:t xml:space="preserve">ne limitait pas la compétence de la Commission </w:t>
      </w:r>
    </w:p>
    <w:p w:rsidR="00046CA9" w:rsidRPr="00674619" w:rsidRDefault="00046CA9" w:rsidP="00046CA9">
      <w:pPr>
        <w:pStyle w:val="ParaNoNdepar-AltN"/>
        <w:rPr>
          <w:rFonts w:cs="Times New Roman"/>
          <w:lang w:val="fr-CA"/>
        </w:rPr>
      </w:pPr>
      <w:r w:rsidRPr="00674619">
        <w:rPr>
          <w:rFonts w:cs="Times New Roman"/>
          <w:lang w:val="fr-CA"/>
        </w:rPr>
        <w:t xml:space="preserve">À mon humble avis, la Commission, dans </w:t>
      </w:r>
      <w:r w:rsidRPr="00674619">
        <w:rPr>
          <w:rFonts w:cs="Times New Roman"/>
          <w:i/>
          <w:lang w:val="fr-CA"/>
        </w:rPr>
        <w:t>IPFPC 3</w:t>
      </w:r>
      <w:r w:rsidRPr="00674619">
        <w:rPr>
          <w:rFonts w:cs="Times New Roman"/>
          <w:lang w:val="fr-CA"/>
        </w:rPr>
        <w:t xml:space="preserve">, et la Cour d’appel fédérale, dans </w:t>
      </w:r>
      <w:r w:rsidRPr="00674619">
        <w:rPr>
          <w:rFonts w:cs="Times New Roman"/>
          <w:i/>
          <w:lang w:val="fr-CA"/>
        </w:rPr>
        <w:t>Bernard II</w:t>
      </w:r>
      <w:r w:rsidRPr="00674619">
        <w:rPr>
          <w:rFonts w:cs="Times New Roman"/>
          <w:lang w:val="fr-CA"/>
        </w:rPr>
        <w:t>,</w:t>
      </w:r>
      <w:r w:rsidRPr="00674619">
        <w:rPr>
          <w:rFonts w:cs="Times New Roman"/>
          <w:i/>
          <w:lang w:val="fr-CA"/>
        </w:rPr>
        <w:t xml:space="preserve"> </w:t>
      </w:r>
      <w:r w:rsidRPr="00674619">
        <w:rPr>
          <w:rFonts w:cs="Times New Roman"/>
          <w:lang w:val="fr-CA"/>
        </w:rPr>
        <w:t xml:space="preserve">ont commis une erreur en concluant que cette dernière, dans </w:t>
      </w:r>
      <w:r w:rsidRPr="00674619">
        <w:rPr>
          <w:rFonts w:cs="Times New Roman"/>
          <w:i/>
          <w:lang w:val="fr-CA"/>
        </w:rPr>
        <w:t>Bernard I</w:t>
      </w:r>
      <w:r w:rsidRPr="00674619">
        <w:rPr>
          <w:rFonts w:cs="Times New Roman"/>
          <w:lang w:val="fr-CA"/>
        </w:rPr>
        <w:t>, avait restreint la compétence de la Commission à « [la détermination des] coordonnées personnelles que l’ARC peut communiquer à l’IPFPC sans porter atteinte aux droits conférés à M</w:t>
      </w:r>
      <w:r w:rsidRPr="00674619">
        <w:rPr>
          <w:rFonts w:cs="Times New Roman"/>
          <w:vertAlign w:val="superscript"/>
          <w:lang w:val="fr-CA"/>
        </w:rPr>
        <w:t>me </w:t>
      </w:r>
      <w:r w:rsidRPr="00674619">
        <w:rPr>
          <w:rFonts w:cs="Times New Roman"/>
          <w:lang w:val="fr-CA"/>
        </w:rPr>
        <w:t xml:space="preserve">Bernard par la </w:t>
      </w:r>
      <w:r w:rsidRPr="00674619">
        <w:rPr>
          <w:rFonts w:cs="Times New Roman"/>
          <w:i/>
          <w:lang w:val="fr-CA"/>
        </w:rPr>
        <w:t>Loi sur la protection des renseignements personnels </w:t>
      </w:r>
      <w:r w:rsidRPr="00674619">
        <w:rPr>
          <w:rFonts w:cs="Times New Roman"/>
          <w:lang w:val="fr-CA"/>
        </w:rPr>
        <w:t>» et l’avait empêchée d’examiner les arguments de M</w:t>
      </w:r>
      <w:r w:rsidRPr="00674619">
        <w:rPr>
          <w:rFonts w:cs="Times New Roman"/>
          <w:vertAlign w:val="superscript"/>
          <w:lang w:val="fr-CA"/>
        </w:rPr>
        <w:t>me </w:t>
      </w:r>
      <w:r w:rsidRPr="00674619">
        <w:rPr>
          <w:rFonts w:cs="Times New Roman"/>
          <w:lang w:val="fr-CA"/>
        </w:rPr>
        <w:t>Bernard fondés sur l’al. 2</w:t>
      </w:r>
      <w:r w:rsidRPr="00674619">
        <w:rPr>
          <w:rFonts w:cs="Times New Roman"/>
          <w:i/>
          <w:lang w:val="fr-CA"/>
        </w:rPr>
        <w:t>d</w:t>
      </w:r>
      <w:r w:rsidRPr="00674619">
        <w:rPr>
          <w:rFonts w:cs="Times New Roman"/>
          <w:lang w:val="fr-CA"/>
        </w:rPr>
        <w:t xml:space="preserve">) de la </w:t>
      </w:r>
      <w:r w:rsidRPr="00674619">
        <w:rPr>
          <w:rFonts w:cs="Times New Roman"/>
          <w:i/>
          <w:lang w:val="fr-CA"/>
        </w:rPr>
        <w:t>Charte</w:t>
      </w:r>
      <w:r w:rsidRPr="00674619">
        <w:rPr>
          <w:rFonts w:cs="Times New Roman"/>
          <w:lang w:val="fr-CA"/>
        </w:rPr>
        <w:t xml:space="preserve"> (</w:t>
      </w:r>
      <w:r w:rsidRPr="00674619">
        <w:rPr>
          <w:rFonts w:cs="Times New Roman"/>
          <w:i/>
          <w:lang w:val="fr-CA"/>
        </w:rPr>
        <w:t>Bernard II</w:t>
      </w:r>
      <w:r w:rsidRPr="00674619">
        <w:rPr>
          <w:rFonts w:cs="Times New Roman"/>
          <w:lang w:val="fr-CA"/>
        </w:rPr>
        <w:t>, par. 31; voir aussi</w:t>
      </w:r>
      <w:r w:rsidRPr="00674619">
        <w:rPr>
          <w:rFonts w:cs="Times New Roman"/>
          <w:i/>
          <w:lang w:val="fr-CA"/>
        </w:rPr>
        <w:t xml:space="preserve"> IPFPC 3</w:t>
      </w:r>
      <w:r w:rsidRPr="00674619">
        <w:rPr>
          <w:rFonts w:cs="Times New Roman"/>
          <w:lang w:val="fr-CA"/>
        </w:rPr>
        <w:t xml:space="preserve">, par. 9 et 158). </w:t>
      </w:r>
    </w:p>
    <w:p w:rsidR="00046CA9" w:rsidRPr="00674619" w:rsidRDefault="00046CA9" w:rsidP="00046CA9">
      <w:pPr>
        <w:pStyle w:val="ParaNoNdepar-AltN"/>
        <w:rPr>
          <w:rFonts w:cs="Times New Roman"/>
          <w:lang w:val="fr-CA"/>
        </w:rPr>
      </w:pPr>
      <w:r w:rsidRPr="00674619">
        <w:rPr>
          <w:rFonts w:cs="Times New Roman"/>
          <w:lang w:val="fr-CA"/>
        </w:rPr>
        <w:t xml:space="preserve">Dans </w:t>
      </w:r>
      <w:r w:rsidRPr="00674619">
        <w:rPr>
          <w:rFonts w:cs="Times New Roman"/>
          <w:i/>
          <w:lang w:val="fr-CA"/>
        </w:rPr>
        <w:t>Bernard I</w:t>
      </w:r>
      <w:r w:rsidRPr="00674619">
        <w:rPr>
          <w:rFonts w:cs="Times New Roman"/>
          <w:lang w:val="fr-CA"/>
        </w:rPr>
        <w:t xml:space="preserve">, la Cour d’appel fédérale a simplement indiqué qu’« il serait </w:t>
      </w:r>
      <w:r w:rsidRPr="00674619">
        <w:rPr>
          <w:rFonts w:cs="Times New Roman"/>
          <w:u w:val="single"/>
          <w:lang w:val="fr-CA"/>
        </w:rPr>
        <w:t>prématuré</w:t>
      </w:r>
      <w:r w:rsidRPr="00674619">
        <w:rPr>
          <w:rFonts w:cs="Times New Roman"/>
          <w:lang w:val="fr-CA"/>
        </w:rPr>
        <w:t xml:space="preserve"> d’examiner les questions concernant l’atteinte aux droits à la liberté d’association de M</w:t>
      </w:r>
      <w:r w:rsidRPr="00674619">
        <w:rPr>
          <w:rFonts w:cs="Times New Roman"/>
          <w:vertAlign w:val="superscript"/>
          <w:lang w:val="fr-CA"/>
        </w:rPr>
        <w:t>me</w:t>
      </w:r>
      <w:r w:rsidRPr="00674619">
        <w:rPr>
          <w:rFonts w:cs="Times New Roman"/>
          <w:lang w:val="fr-CA"/>
        </w:rPr>
        <w:t xml:space="preserve"> Bernard » (par. 45 (je souligne)).  En lisant ce passage dans son contexte, il est clair qu’elle voulait dire qu’il serait prématuré pour elle, la </w:t>
      </w:r>
      <w:r w:rsidRPr="00674619">
        <w:rPr>
          <w:rFonts w:cs="Times New Roman"/>
          <w:i/>
          <w:lang w:val="fr-CA"/>
        </w:rPr>
        <w:t>cour</w:t>
      </w:r>
      <w:r w:rsidRPr="00674619">
        <w:rPr>
          <w:rFonts w:cs="Times New Roman"/>
          <w:lang w:val="fr-CA"/>
        </w:rPr>
        <w:t xml:space="preserve">, d’examiner la question de la </w:t>
      </w:r>
      <w:r w:rsidRPr="00674619">
        <w:rPr>
          <w:rFonts w:cs="Times New Roman"/>
          <w:i/>
          <w:lang w:val="fr-CA"/>
        </w:rPr>
        <w:t>Charte</w:t>
      </w:r>
      <w:r w:rsidRPr="00674619">
        <w:rPr>
          <w:rFonts w:cs="Times New Roman"/>
          <w:lang w:val="fr-CA"/>
        </w:rPr>
        <w:t>,</w:t>
      </w:r>
      <w:r w:rsidRPr="00674619">
        <w:rPr>
          <w:rFonts w:cs="Times New Roman"/>
          <w:i/>
          <w:lang w:val="fr-CA"/>
        </w:rPr>
        <w:t xml:space="preserve"> </w:t>
      </w:r>
      <w:r w:rsidRPr="00674619">
        <w:rPr>
          <w:rFonts w:cs="Times New Roman"/>
          <w:lang w:val="fr-CA"/>
        </w:rPr>
        <w:t xml:space="preserve">puisqu’elle renvoyait l’affaire à la Commission et lui ordonnait de statuer à nouveau.  Autrement dit, la Cour d’appel fédérale a reconnu que les questions relatives à la </w:t>
      </w:r>
      <w:r w:rsidRPr="00674619">
        <w:rPr>
          <w:rFonts w:cs="Times New Roman"/>
          <w:i/>
          <w:lang w:val="fr-CA"/>
        </w:rPr>
        <w:t xml:space="preserve">Charte </w:t>
      </w:r>
      <w:r w:rsidRPr="00674619">
        <w:rPr>
          <w:rFonts w:cs="Times New Roman"/>
          <w:lang w:val="fr-CA"/>
        </w:rPr>
        <w:t xml:space="preserve">pouvaient être examinées à juste titre, </w:t>
      </w:r>
      <w:r w:rsidRPr="00674619">
        <w:rPr>
          <w:rFonts w:cs="Times New Roman"/>
          <w:lang w:val="fr-CA"/>
        </w:rPr>
        <w:lastRenderedPageBreak/>
        <w:t xml:space="preserve">mais seulement après que la Commission eut définitivement déterminé les coordonnées que l’employeur devait communiquer. </w:t>
      </w:r>
    </w:p>
    <w:p w:rsidR="00046CA9" w:rsidRPr="00674619" w:rsidRDefault="00046CA9" w:rsidP="00046CA9">
      <w:pPr>
        <w:pStyle w:val="ParaNoNdepar-AltN"/>
        <w:rPr>
          <w:rFonts w:cs="Times New Roman"/>
          <w:lang w:val="fr-CA"/>
        </w:rPr>
      </w:pPr>
      <w:r w:rsidRPr="00674619">
        <w:rPr>
          <w:rFonts w:cs="Times New Roman"/>
          <w:lang w:val="fr-CA"/>
        </w:rPr>
        <w:t xml:space="preserve">L’emploi du mot « prématuré » dans </w:t>
      </w:r>
      <w:r w:rsidRPr="00674619">
        <w:rPr>
          <w:rFonts w:cs="Times New Roman"/>
          <w:i/>
          <w:lang w:val="fr-CA"/>
        </w:rPr>
        <w:t>Bernard I</w:t>
      </w:r>
      <w:r w:rsidRPr="00674619">
        <w:rPr>
          <w:rFonts w:cs="Times New Roman"/>
          <w:lang w:val="fr-CA"/>
        </w:rPr>
        <w:t xml:space="preserve"> ne peut être interprété logiquement que d’une seule façon : soit que la Cour d’appel fédérale s’attendait à ce que la question relative à l’al. 2</w:t>
      </w:r>
      <w:r w:rsidRPr="00674619">
        <w:rPr>
          <w:rFonts w:cs="Times New Roman"/>
          <w:i/>
          <w:lang w:val="fr-CA"/>
        </w:rPr>
        <w:t>d</w:t>
      </w:r>
      <w:r w:rsidRPr="00674619">
        <w:rPr>
          <w:rFonts w:cs="Times New Roman"/>
          <w:lang w:val="fr-CA"/>
        </w:rPr>
        <w:t xml:space="preserve">) de la </w:t>
      </w:r>
      <w:r w:rsidRPr="00674619">
        <w:rPr>
          <w:rFonts w:cs="Times New Roman"/>
          <w:i/>
          <w:lang w:val="fr-CA"/>
        </w:rPr>
        <w:t>Charte</w:t>
      </w:r>
      <w:r w:rsidRPr="00674619">
        <w:rPr>
          <w:rFonts w:cs="Times New Roman"/>
          <w:lang w:val="fr-CA"/>
        </w:rPr>
        <w:t xml:space="preserve"> soit examinée à un certain moment au cours des procédures.  Comme ce</w:t>
      </w:r>
      <w:r>
        <w:rPr>
          <w:rFonts w:cs="Times New Roman"/>
          <w:lang w:val="fr-CA"/>
        </w:rPr>
        <w:t>tte question</w:t>
      </w:r>
      <w:r w:rsidRPr="00674619">
        <w:rPr>
          <w:rFonts w:cs="Times New Roman"/>
          <w:lang w:val="fr-CA"/>
        </w:rPr>
        <w:t xml:space="preserve"> était inextricablement liée à celle de savoir quels renseignements devaient être communiqués, la Commission, dans le contexte du réexamen, était le forum qui devait être saisi. </w:t>
      </w:r>
    </w:p>
    <w:p w:rsidR="00046CA9" w:rsidRPr="00674619" w:rsidRDefault="00046CA9" w:rsidP="00046CA9">
      <w:pPr>
        <w:pStyle w:val="ParaNoNdepar-AltN"/>
        <w:rPr>
          <w:rFonts w:cs="Times New Roman"/>
          <w:lang w:val="fr-CA"/>
        </w:rPr>
      </w:pPr>
      <w:r w:rsidRPr="00674619">
        <w:rPr>
          <w:rFonts w:cs="Times New Roman"/>
          <w:lang w:val="fr-CA"/>
        </w:rPr>
        <w:t xml:space="preserve">Suivant le critère établi dans l’arrêt </w:t>
      </w:r>
      <w:proofErr w:type="spellStart"/>
      <w:r w:rsidRPr="00674619">
        <w:rPr>
          <w:rFonts w:cs="Times New Roman"/>
          <w:i/>
          <w:lang w:val="fr-CA"/>
        </w:rPr>
        <w:t>Conway</w:t>
      </w:r>
      <w:proofErr w:type="spellEnd"/>
      <w:r w:rsidRPr="00674619">
        <w:rPr>
          <w:rFonts w:cs="Times New Roman"/>
          <w:lang w:val="fr-CA"/>
        </w:rPr>
        <w:t xml:space="preserve"> pour déterminer si un tribunal administratif a compétence pour entendre des allégations fondées sur la </w:t>
      </w:r>
      <w:r w:rsidRPr="00674619">
        <w:rPr>
          <w:rFonts w:cs="Times New Roman"/>
          <w:i/>
          <w:lang w:val="fr-CA"/>
        </w:rPr>
        <w:t>Charte</w:t>
      </w:r>
      <w:r w:rsidRPr="00674619">
        <w:rPr>
          <w:rFonts w:cs="Times New Roman"/>
          <w:lang w:val="fr-CA"/>
        </w:rPr>
        <w:t xml:space="preserve">, il faut se demander si le législateur a </w:t>
      </w:r>
      <w:r w:rsidRPr="00674619">
        <w:rPr>
          <w:rFonts w:cs="Times New Roman"/>
          <w:i/>
          <w:lang w:val="fr-CA"/>
        </w:rPr>
        <w:t>clairement</w:t>
      </w:r>
      <w:r w:rsidRPr="00674619">
        <w:rPr>
          <w:rFonts w:cs="Times New Roman"/>
          <w:lang w:val="fr-CA"/>
        </w:rPr>
        <w:t xml:space="preserve"> exclu l’examen de ces questions de la compétence du tribunal.</w:t>
      </w:r>
      <w:r>
        <w:rPr>
          <w:rFonts w:cs="Times New Roman"/>
          <w:lang w:val="fr-CA"/>
        </w:rPr>
        <w:t xml:space="preserve">  </w:t>
      </w:r>
      <w:r w:rsidRPr="00674619">
        <w:rPr>
          <w:rFonts w:cs="Times New Roman"/>
          <w:lang w:val="fr-CA"/>
        </w:rPr>
        <w:t xml:space="preserve">Conclure qu’une cour de révision peut exclure un aspect aussi fondamental de la compétence d’un tribunal irait à l’encontre de l’arrêt </w:t>
      </w:r>
      <w:proofErr w:type="spellStart"/>
      <w:r w:rsidRPr="00674619">
        <w:rPr>
          <w:rFonts w:cs="Times New Roman"/>
          <w:i/>
          <w:lang w:val="fr-CA"/>
        </w:rPr>
        <w:t>Conway</w:t>
      </w:r>
      <w:proofErr w:type="spellEnd"/>
      <w:r w:rsidRPr="00674619">
        <w:rPr>
          <w:rFonts w:cs="Times New Roman"/>
          <w:lang w:val="fr-CA"/>
        </w:rPr>
        <w:t xml:space="preserve">. </w:t>
      </w:r>
    </w:p>
    <w:p w:rsidR="00046CA9" w:rsidRPr="00674619" w:rsidRDefault="00046CA9" w:rsidP="00046CA9">
      <w:pPr>
        <w:pStyle w:val="ParaNoNdepar-AltN"/>
        <w:rPr>
          <w:rFonts w:cs="Times New Roman"/>
          <w:lang w:val="fr-CA"/>
        </w:rPr>
      </w:pPr>
      <w:r w:rsidRPr="00674619">
        <w:rPr>
          <w:rFonts w:cs="Times New Roman"/>
          <w:lang w:val="fr-CA"/>
        </w:rPr>
        <w:t xml:space="preserve">En toute déférence, je ne suis pas d’accord avec l’allusion faite par la Cour d’appel fédérale dans </w:t>
      </w:r>
      <w:r w:rsidRPr="00674619">
        <w:rPr>
          <w:rFonts w:cs="Times New Roman"/>
          <w:i/>
          <w:lang w:val="fr-CA"/>
        </w:rPr>
        <w:t>Bernard II</w:t>
      </w:r>
      <w:r w:rsidRPr="00674619">
        <w:rPr>
          <w:rFonts w:cs="Times New Roman"/>
          <w:lang w:val="fr-CA"/>
        </w:rPr>
        <w:t xml:space="preserve"> selon laquelle, si la Commission avait analysé les arguments de M</w:t>
      </w:r>
      <w:r w:rsidRPr="00674619">
        <w:rPr>
          <w:rFonts w:cs="Times New Roman"/>
          <w:vertAlign w:val="superscript"/>
          <w:lang w:val="fr-CA"/>
        </w:rPr>
        <w:t>me</w:t>
      </w:r>
      <w:r w:rsidRPr="00674619">
        <w:rPr>
          <w:rFonts w:cs="Times New Roman"/>
          <w:lang w:val="fr-CA"/>
        </w:rPr>
        <w:t> Bernard fondés sur l’al. 2</w:t>
      </w:r>
      <w:r w:rsidRPr="00674619">
        <w:rPr>
          <w:rFonts w:cs="Times New Roman"/>
          <w:i/>
          <w:lang w:val="fr-CA"/>
        </w:rPr>
        <w:t>d</w:t>
      </w:r>
      <w:r w:rsidRPr="00674619">
        <w:rPr>
          <w:rFonts w:cs="Times New Roman"/>
          <w:lang w:val="fr-CA"/>
        </w:rPr>
        <w:t xml:space="preserve">) de la </w:t>
      </w:r>
      <w:r w:rsidRPr="00674619">
        <w:rPr>
          <w:rFonts w:cs="Times New Roman"/>
          <w:i/>
          <w:lang w:val="fr-CA"/>
        </w:rPr>
        <w:t>Charte</w:t>
      </w:r>
      <w:r w:rsidRPr="00674619">
        <w:rPr>
          <w:rFonts w:cs="Times New Roman"/>
          <w:lang w:val="fr-CA"/>
        </w:rPr>
        <w:t xml:space="preserve"> dans </w:t>
      </w:r>
      <w:r w:rsidRPr="00674619">
        <w:rPr>
          <w:rFonts w:cs="Times New Roman"/>
          <w:i/>
          <w:lang w:val="fr-CA"/>
        </w:rPr>
        <w:t>IPFPC 3</w:t>
      </w:r>
      <w:r w:rsidRPr="00674619">
        <w:rPr>
          <w:rFonts w:cs="Times New Roman"/>
          <w:lang w:val="fr-CA"/>
        </w:rPr>
        <w:t xml:space="preserve">, cela aurait constitué un réexamen non autorisé de la décision </w:t>
      </w:r>
      <w:r w:rsidRPr="00674619">
        <w:rPr>
          <w:rFonts w:cs="Times New Roman"/>
          <w:i/>
          <w:lang w:val="fr-CA"/>
        </w:rPr>
        <w:t xml:space="preserve">IPFPC 1 </w:t>
      </w:r>
      <w:r w:rsidRPr="00674619">
        <w:rPr>
          <w:rFonts w:cs="Times New Roman"/>
          <w:lang w:val="fr-CA"/>
        </w:rPr>
        <w:t xml:space="preserve">(par. 31).  Comme je l’ai déjà expliqué, cette décision a été rendue dans le cadre de la même affaire que les décisions </w:t>
      </w:r>
      <w:r w:rsidRPr="00674619">
        <w:rPr>
          <w:rFonts w:cs="Times New Roman"/>
          <w:i/>
          <w:lang w:val="fr-CA"/>
        </w:rPr>
        <w:t>IPFPC 2</w:t>
      </w:r>
      <w:r w:rsidRPr="00674619">
        <w:rPr>
          <w:rFonts w:cs="Times New Roman"/>
          <w:lang w:val="fr-CA"/>
        </w:rPr>
        <w:t xml:space="preserve"> et </w:t>
      </w:r>
      <w:r w:rsidRPr="00674619">
        <w:rPr>
          <w:rFonts w:cs="Times New Roman"/>
          <w:i/>
          <w:lang w:val="fr-CA"/>
        </w:rPr>
        <w:t>IPFPC</w:t>
      </w:r>
      <w:r w:rsidR="008550AC">
        <w:rPr>
          <w:rFonts w:cs="Times New Roman"/>
          <w:i/>
          <w:lang w:val="fr-CA"/>
        </w:rPr>
        <w:t xml:space="preserve"> </w:t>
      </w:r>
      <w:r w:rsidRPr="00674619">
        <w:rPr>
          <w:rFonts w:cs="Times New Roman"/>
          <w:i/>
          <w:lang w:val="fr-CA"/>
        </w:rPr>
        <w:t>3</w:t>
      </w:r>
      <w:r w:rsidRPr="00674619">
        <w:rPr>
          <w:rFonts w:cs="Times New Roman"/>
          <w:lang w:val="fr-CA"/>
        </w:rPr>
        <w:t>.  En outre, les arguments de M</w:t>
      </w:r>
      <w:r w:rsidRPr="00674619">
        <w:rPr>
          <w:rFonts w:cs="Times New Roman"/>
          <w:vertAlign w:val="superscript"/>
          <w:lang w:val="fr-CA"/>
        </w:rPr>
        <w:t>me</w:t>
      </w:r>
      <w:r w:rsidRPr="00674619">
        <w:rPr>
          <w:rFonts w:cs="Times New Roman"/>
          <w:lang w:val="fr-CA"/>
        </w:rPr>
        <w:t> Bernard fondés sur l’al. 2</w:t>
      </w:r>
      <w:r w:rsidRPr="00674619">
        <w:rPr>
          <w:rFonts w:cs="Times New Roman"/>
          <w:i/>
          <w:lang w:val="fr-CA"/>
        </w:rPr>
        <w:t>d</w:t>
      </w:r>
      <w:r w:rsidRPr="00674619">
        <w:rPr>
          <w:rFonts w:cs="Times New Roman"/>
          <w:lang w:val="fr-CA"/>
        </w:rPr>
        <w:t xml:space="preserve">) de la </w:t>
      </w:r>
      <w:r w:rsidRPr="00674619">
        <w:rPr>
          <w:rFonts w:cs="Times New Roman"/>
          <w:i/>
          <w:lang w:val="fr-CA"/>
        </w:rPr>
        <w:t>Charte</w:t>
      </w:r>
      <w:r w:rsidRPr="00674619">
        <w:rPr>
          <w:rFonts w:cs="Times New Roman"/>
          <w:lang w:val="fr-CA"/>
        </w:rPr>
        <w:t xml:space="preserve"> visent tout autant la décision </w:t>
      </w:r>
      <w:r w:rsidRPr="00674619">
        <w:rPr>
          <w:rFonts w:cs="Times New Roman"/>
          <w:i/>
          <w:lang w:val="fr-CA"/>
        </w:rPr>
        <w:t xml:space="preserve">IPFPC 2 </w:t>
      </w:r>
      <w:r w:rsidRPr="00674619">
        <w:rPr>
          <w:rFonts w:cs="Times New Roman"/>
          <w:lang w:val="fr-CA"/>
        </w:rPr>
        <w:t xml:space="preserve">rendue par la </w:t>
      </w:r>
      <w:r w:rsidRPr="00674619">
        <w:rPr>
          <w:rFonts w:cs="Times New Roman"/>
          <w:lang w:val="fr-CA"/>
        </w:rPr>
        <w:lastRenderedPageBreak/>
        <w:t>Commission. M</w:t>
      </w:r>
      <w:r w:rsidRPr="00674619">
        <w:rPr>
          <w:rFonts w:cs="Times New Roman"/>
          <w:vertAlign w:val="superscript"/>
          <w:lang w:val="fr-CA"/>
        </w:rPr>
        <w:t>me </w:t>
      </w:r>
      <w:r w:rsidRPr="00674619">
        <w:rPr>
          <w:rFonts w:cs="Times New Roman"/>
          <w:lang w:val="fr-CA"/>
        </w:rPr>
        <w:t xml:space="preserve">Bernard ne demande pas à la Commission de réviser </w:t>
      </w:r>
      <w:r w:rsidRPr="00674619">
        <w:rPr>
          <w:rFonts w:cs="Times New Roman"/>
          <w:i/>
          <w:lang w:val="fr-CA"/>
        </w:rPr>
        <w:t>IPFPC 1</w:t>
      </w:r>
      <w:r w:rsidRPr="00674619">
        <w:rPr>
          <w:rFonts w:cs="Times New Roman"/>
          <w:lang w:val="fr-CA"/>
        </w:rPr>
        <w:t xml:space="preserve">; elle tente simplement de faire valoir son droit de voir tranchés ses arguments fondés sur la </w:t>
      </w:r>
      <w:r w:rsidRPr="00674619">
        <w:rPr>
          <w:rFonts w:cs="Times New Roman"/>
          <w:i/>
          <w:lang w:val="fr-CA"/>
        </w:rPr>
        <w:t>Charte</w:t>
      </w:r>
      <w:r w:rsidRPr="00674619">
        <w:rPr>
          <w:rFonts w:cs="Times New Roman"/>
          <w:lang w:val="fr-CA"/>
        </w:rPr>
        <w:t>.</w:t>
      </w:r>
    </w:p>
    <w:p w:rsidR="00046CA9" w:rsidRPr="00674619" w:rsidRDefault="00046CA9" w:rsidP="00046CA9">
      <w:pPr>
        <w:pStyle w:val="ParaNoNdepar-AltN"/>
        <w:rPr>
          <w:rFonts w:cs="Times New Roman"/>
          <w:lang w:val="fr-CA"/>
        </w:rPr>
      </w:pPr>
      <w:r w:rsidRPr="00674619">
        <w:rPr>
          <w:rFonts w:cs="Times New Roman"/>
          <w:lang w:val="fr-CA"/>
        </w:rPr>
        <w:t xml:space="preserve">L’intimé IPFPC prétend que, comme la Cour d’appel fédérale a interprété, dans </w:t>
      </w:r>
      <w:r w:rsidRPr="00674619">
        <w:rPr>
          <w:rFonts w:cs="Times New Roman"/>
          <w:i/>
          <w:lang w:val="fr-CA"/>
        </w:rPr>
        <w:t>Bernard II</w:t>
      </w:r>
      <w:r w:rsidRPr="00674619">
        <w:rPr>
          <w:rFonts w:cs="Times New Roman"/>
          <w:lang w:val="fr-CA"/>
        </w:rPr>
        <w:t>,</w:t>
      </w:r>
      <w:r w:rsidRPr="00674619">
        <w:rPr>
          <w:rFonts w:cs="Times New Roman"/>
          <w:i/>
          <w:lang w:val="fr-CA"/>
        </w:rPr>
        <w:t xml:space="preserve"> </w:t>
      </w:r>
      <w:r w:rsidRPr="00674619">
        <w:rPr>
          <w:rFonts w:cs="Times New Roman"/>
          <w:lang w:val="fr-CA"/>
        </w:rPr>
        <w:t xml:space="preserve">l’ordonnance qu’elle avait </w:t>
      </w:r>
      <w:proofErr w:type="spellStart"/>
      <w:r w:rsidRPr="00674619">
        <w:rPr>
          <w:rFonts w:cs="Times New Roman"/>
          <w:lang w:val="fr-CA"/>
        </w:rPr>
        <w:t>elle</w:t>
      </w:r>
      <w:r w:rsidRPr="00674619">
        <w:rPr>
          <w:rFonts w:cs="Times New Roman"/>
          <w:lang w:val="fr-CA"/>
        </w:rPr>
        <w:noBreakHyphen/>
        <w:t>même</w:t>
      </w:r>
      <w:proofErr w:type="spellEnd"/>
      <w:r w:rsidRPr="00674619">
        <w:rPr>
          <w:rFonts w:cs="Times New Roman"/>
          <w:lang w:val="fr-CA"/>
        </w:rPr>
        <w:t xml:space="preserve"> rendue dans </w:t>
      </w:r>
      <w:r w:rsidRPr="00674619">
        <w:rPr>
          <w:rFonts w:cs="Times New Roman"/>
          <w:i/>
          <w:lang w:val="fr-CA"/>
        </w:rPr>
        <w:t>Bernard I</w:t>
      </w:r>
      <w:r w:rsidRPr="00674619">
        <w:rPr>
          <w:rFonts w:cs="Times New Roman"/>
          <w:lang w:val="fr-CA"/>
        </w:rPr>
        <w:t xml:space="preserve">, la Cour devrait s’en remettre à la décision rendue dans </w:t>
      </w:r>
      <w:r w:rsidRPr="00674619">
        <w:rPr>
          <w:rFonts w:cs="Times New Roman"/>
          <w:i/>
          <w:lang w:val="fr-CA"/>
        </w:rPr>
        <w:t xml:space="preserve">Bernard II </w:t>
      </w:r>
      <w:r w:rsidRPr="00674619">
        <w:rPr>
          <w:rFonts w:cs="Times New Roman"/>
          <w:lang w:val="fr-CA"/>
        </w:rPr>
        <w:t xml:space="preserve">selon laquelle la Commission ne pouvait pas examiner les questions relatives à la </w:t>
      </w:r>
      <w:r w:rsidRPr="00674619">
        <w:rPr>
          <w:rFonts w:cs="Times New Roman"/>
          <w:i/>
          <w:lang w:val="fr-CA"/>
        </w:rPr>
        <w:t>Charte</w:t>
      </w:r>
      <w:r w:rsidRPr="00674619">
        <w:rPr>
          <w:rFonts w:cs="Times New Roman"/>
          <w:lang w:val="fr-CA"/>
        </w:rPr>
        <w:t>.</w:t>
      </w:r>
    </w:p>
    <w:p w:rsidR="00046CA9" w:rsidRPr="00674619" w:rsidRDefault="00046CA9" w:rsidP="00046CA9">
      <w:pPr>
        <w:pStyle w:val="ParaNoNdepar-AltN"/>
        <w:rPr>
          <w:rFonts w:cs="Times New Roman"/>
          <w:lang w:val="fr-CA"/>
        </w:rPr>
      </w:pPr>
      <w:r w:rsidRPr="00674619">
        <w:rPr>
          <w:rFonts w:cs="Times New Roman"/>
          <w:lang w:val="fr-CA"/>
        </w:rPr>
        <w:t xml:space="preserve">Or, l’interprétation de l’ordonnance qui a été prononcée dans </w:t>
      </w:r>
      <w:r w:rsidRPr="00674619">
        <w:rPr>
          <w:rFonts w:cs="Times New Roman"/>
          <w:i/>
          <w:lang w:val="fr-CA"/>
        </w:rPr>
        <w:t xml:space="preserve">Bernard I </w:t>
      </w:r>
      <w:r w:rsidRPr="00674619">
        <w:rPr>
          <w:rFonts w:cs="Times New Roman"/>
          <w:lang w:val="fr-CA"/>
        </w:rPr>
        <w:t>n’a pas à faire l’objet d’un contrôle empreint de déférence de la part de notre Cour</w:t>
      </w:r>
      <w:r>
        <w:rPr>
          <w:rFonts w:cs="Times New Roman"/>
          <w:lang w:val="fr-CA"/>
        </w:rPr>
        <w:t xml:space="preserve">.  </w:t>
      </w:r>
      <w:r w:rsidRPr="00674619">
        <w:rPr>
          <w:rFonts w:cs="Times New Roman"/>
          <w:lang w:val="fr-CA"/>
        </w:rPr>
        <w:t xml:space="preserve">D’ailleurs, </w:t>
      </w:r>
      <w:proofErr w:type="spellStart"/>
      <w:r w:rsidRPr="00674619">
        <w:rPr>
          <w:rFonts w:cs="Times New Roman"/>
          <w:lang w:val="fr-CA"/>
        </w:rPr>
        <w:t>celle</w:t>
      </w:r>
      <w:r w:rsidRPr="00674619">
        <w:rPr>
          <w:rFonts w:cs="Times New Roman"/>
          <w:lang w:val="fr-CA"/>
        </w:rPr>
        <w:noBreakHyphen/>
        <w:t>ci</w:t>
      </w:r>
      <w:proofErr w:type="spellEnd"/>
      <w:r w:rsidRPr="00674619">
        <w:rPr>
          <w:rFonts w:cs="Times New Roman"/>
          <w:lang w:val="fr-CA"/>
        </w:rPr>
        <w:t xml:space="preserve"> est chargée d’examiner les décisions de tribunaux d’instance inférieure en ce qui a trait à des questions de droit de portée générale suivant la norme de la décision correcte, et non en se fondant sur des hypothèses quant à l’intention de ces tribunaux comme l’affirment mes collègues au par. 35.  Il n’y a donc aucune raison de s’en remettre à l’opinion de la Cour d’appel fédérale dans </w:t>
      </w:r>
      <w:r w:rsidRPr="00674619">
        <w:rPr>
          <w:rFonts w:cs="Times New Roman"/>
          <w:i/>
          <w:lang w:val="fr-CA"/>
        </w:rPr>
        <w:t xml:space="preserve">Bernard II </w:t>
      </w:r>
      <w:r w:rsidRPr="00674619">
        <w:rPr>
          <w:rFonts w:cs="Times New Roman"/>
          <w:lang w:val="fr-CA"/>
        </w:rPr>
        <w:t xml:space="preserve">en ce qui concerne son interprétation de la décision rendue dans </w:t>
      </w:r>
      <w:r w:rsidRPr="00674619">
        <w:rPr>
          <w:rFonts w:cs="Times New Roman"/>
          <w:i/>
          <w:lang w:val="fr-CA"/>
        </w:rPr>
        <w:t>Bernard I</w:t>
      </w:r>
      <w:r w:rsidRPr="00674619">
        <w:rPr>
          <w:rFonts w:cs="Times New Roman"/>
          <w:lang w:val="fr-CA"/>
        </w:rPr>
        <w:t>.  Quoi qu’il en soit, même dans le cadre d’un contrôle empreint de déférence, il est évident qu’un résultat ayant pour effet de priver M</w:t>
      </w:r>
      <w:r w:rsidRPr="00674619">
        <w:rPr>
          <w:rFonts w:cs="Times New Roman"/>
          <w:vertAlign w:val="superscript"/>
          <w:lang w:val="fr-CA"/>
        </w:rPr>
        <w:t>me </w:t>
      </w:r>
      <w:r w:rsidRPr="00674619">
        <w:rPr>
          <w:rFonts w:cs="Times New Roman"/>
          <w:lang w:val="fr-CA"/>
        </w:rPr>
        <w:t xml:space="preserve">Bernard de la possibilité de présenter ses arguments fondés sur la </w:t>
      </w:r>
      <w:r w:rsidRPr="00674619">
        <w:rPr>
          <w:rFonts w:cs="Times New Roman"/>
          <w:i/>
          <w:lang w:val="fr-CA"/>
        </w:rPr>
        <w:t>Charte</w:t>
      </w:r>
      <w:r w:rsidRPr="00674619">
        <w:rPr>
          <w:rFonts w:cs="Times New Roman"/>
          <w:lang w:val="fr-CA"/>
        </w:rPr>
        <w:t xml:space="preserve"> dans le cadre de telles procédures — comme cela serait le cas par suite de l’application de la décision rendue dans </w:t>
      </w:r>
      <w:r w:rsidRPr="00674619">
        <w:rPr>
          <w:rFonts w:cs="Times New Roman"/>
          <w:i/>
          <w:lang w:val="fr-CA"/>
        </w:rPr>
        <w:t>Bernard II</w:t>
      </w:r>
      <w:r w:rsidRPr="00674619">
        <w:rPr>
          <w:rFonts w:cs="Times New Roman"/>
          <w:lang w:val="fr-CA"/>
        </w:rPr>
        <w:t xml:space="preserve"> — serait tout simplement déraisonnable. </w:t>
      </w:r>
    </w:p>
    <w:p w:rsidR="00046CA9" w:rsidRPr="00674619" w:rsidRDefault="00046CA9" w:rsidP="00046CA9">
      <w:pPr>
        <w:pStyle w:val="Title2LevelTitre2Niveau"/>
        <w:keepNext/>
        <w:tabs>
          <w:tab w:val="clear" w:pos="432"/>
          <w:tab w:val="left" w:pos="576"/>
          <w:tab w:val="num" w:pos="5616"/>
        </w:tabs>
        <w:spacing w:before="0"/>
        <w:ind w:left="576" w:hanging="576"/>
        <w:jc w:val="both"/>
        <w:rPr>
          <w:rFonts w:cs="Times New Roman"/>
          <w:lang w:val="fr-CA"/>
        </w:rPr>
      </w:pPr>
      <w:bookmarkStart w:id="8" w:name="_Toc372276037"/>
      <w:r w:rsidRPr="00674619">
        <w:rPr>
          <w:rFonts w:cs="Times New Roman"/>
          <w:lang w:val="fr-CA"/>
        </w:rPr>
        <w:lastRenderedPageBreak/>
        <w:t>La Cour devrait examiner les arguments fondés sur l’al</w:t>
      </w:r>
      <w:r w:rsidR="00411207">
        <w:rPr>
          <w:rFonts w:cs="Times New Roman"/>
          <w:lang w:val="fr-CA"/>
        </w:rPr>
        <w:t>.</w:t>
      </w:r>
      <w:r w:rsidRPr="00674619">
        <w:rPr>
          <w:rFonts w:cs="Times New Roman"/>
          <w:lang w:val="fr-CA"/>
        </w:rPr>
        <w:t> 2d) et sur l’art</w:t>
      </w:r>
      <w:r w:rsidR="00411207">
        <w:rPr>
          <w:rFonts w:cs="Times New Roman"/>
          <w:lang w:val="fr-CA"/>
        </w:rPr>
        <w:t>.</w:t>
      </w:r>
      <w:r w:rsidRPr="00674619">
        <w:rPr>
          <w:rFonts w:cs="Times New Roman"/>
          <w:lang w:val="fr-CA"/>
        </w:rPr>
        <w:t xml:space="preserve"> 8 de la Charte </w:t>
      </w:r>
      <w:bookmarkEnd w:id="8"/>
    </w:p>
    <w:p w:rsidR="00046CA9" w:rsidRPr="00674619" w:rsidRDefault="00046CA9" w:rsidP="00046CA9">
      <w:pPr>
        <w:pStyle w:val="ParaNoNdepar-AltN"/>
        <w:rPr>
          <w:rFonts w:cs="Times New Roman"/>
          <w:lang w:val="fr-CA"/>
        </w:rPr>
      </w:pPr>
      <w:r w:rsidRPr="00674619">
        <w:rPr>
          <w:rFonts w:cs="Times New Roman"/>
          <w:lang w:val="fr-CA"/>
        </w:rPr>
        <w:t>Les intimés prétendent que, même si le défaut par la Commission d’entendre les arguments de M</w:t>
      </w:r>
      <w:r w:rsidRPr="00674619">
        <w:rPr>
          <w:rFonts w:cs="Times New Roman"/>
          <w:vertAlign w:val="superscript"/>
          <w:lang w:val="fr-CA"/>
        </w:rPr>
        <w:t>me</w:t>
      </w:r>
      <w:r w:rsidRPr="00674619">
        <w:rPr>
          <w:rFonts w:cs="Times New Roman"/>
          <w:lang w:val="fr-CA"/>
        </w:rPr>
        <w:t xml:space="preserve"> Bernard fondés sur la </w:t>
      </w:r>
      <w:r w:rsidRPr="00674619">
        <w:rPr>
          <w:rFonts w:cs="Times New Roman"/>
          <w:i/>
          <w:lang w:val="fr-CA"/>
        </w:rPr>
        <w:t>Charte</w:t>
      </w:r>
      <w:r w:rsidRPr="00674619">
        <w:rPr>
          <w:rFonts w:cs="Times New Roman"/>
          <w:lang w:val="fr-CA"/>
        </w:rPr>
        <w:t xml:space="preserve"> constituait une erreur de droit, la Cour ne devrait pas statuer sur ces arguments puisqu’ils soulèvent de nouvelles questions.  Selon eux, ces arguments devraient plutôt être renvoyés à la Commission pour qu’elle les examine à nouveau</w:t>
      </w:r>
      <w:r>
        <w:rPr>
          <w:rFonts w:cs="Times New Roman"/>
          <w:lang w:val="fr-CA"/>
        </w:rPr>
        <w:t xml:space="preserve">.  </w:t>
      </w:r>
      <w:r w:rsidRPr="00674619">
        <w:rPr>
          <w:rFonts w:cs="Times New Roman"/>
          <w:lang w:val="fr-CA"/>
        </w:rPr>
        <w:t xml:space="preserve">Pour les motifs qui suivent, je ne suis pas d’accord. </w:t>
      </w:r>
    </w:p>
    <w:p w:rsidR="00046CA9" w:rsidRPr="00674619" w:rsidRDefault="00046CA9" w:rsidP="00046CA9">
      <w:pPr>
        <w:pStyle w:val="ParaNoNdepar-AltN"/>
        <w:rPr>
          <w:rFonts w:cs="Times New Roman"/>
          <w:lang w:val="fr-CA"/>
        </w:rPr>
      </w:pPr>
      <w:r w:rsidRPr="00674619">
        <w:rPr>
          <w:rFonts w:cs="Times New Roman"/>
          <w:lang w:val="fr-CA"/>
        </w:rPr>
        <w:t>Je reconnais que la Commission et la Cour d’appel fédérale n’ont pas examiné les arguments de M</w:t>
      </w:r>
      <w:r w:rsidRPr="00674619">
        <w:rPr>
          <w:rFonts w:cs="Times New Roman"/>
          <w:vertAlign w:val="superscript"/>
          <w:lang w:val="fr-CA"/>
        </w:rPr>
        <w:t>me</w:t>
      </w:r>
      <w:r w:rsidRPr="00674619">
        <w:rPr>
          <w:rFonts w:cs="Times New Roman"/>
          <w:lang w:val="fr-CA"/>
        </w:rPr>
        <w:t xml:space="preserve"> Bernard fondés sur la </w:t>
      </w:r>
      <w:r w:rsidRPr="00674619">
        <w:rPr>
          <w:rFonts w:cs="Times New Roman"/>
          <w:i/>
          <w:lang w:val="fr-CA"/>
        </w:rPr>
        <w:t>Charte</w:t>
      </w:r>
      <w:r w:rsidRPr="00674619">
        <w:rPr>
          <w:rFonts w:cs="Times New Roman"/>
          <w:lang w:val="fr-CA"/>
        </w:rPr>
        <w:t xml:space="preserve"> et que la Cour n’a pas coutume de trancher les questions qui n’ont pas été traitées par les tribunaux d’instance inférieure.  Cependant, ce n’est pas une règle obligatoire dans tous les cas. </w:t>
      </w:r>
    </w:p>
    <w:p w:rsidR="00046CA9" w:rsidRPr="00674619" w:rsidRDefault="00046CA9" w:rsidP="00046CA9">
      <w:pPr>
        <w:pStyle w:val="ParaNoNdepar-AltN"/>
        <w:rPr>
          <w:rFonts w:cs="Times New Roman"/>
          <w:lang w:val="fr-CA"/>
        </w:rPr>
      </w:pPr>
      <w:r w:rsidRPr="00674619">
        <w:rPr>
          <w:rFonts w:cs="Times New Roman"/>
          <w:lang w:val="fr-CA"/>
        </w:rPr>
        <w:t>Au paragraphe 38 de l’arrêt</w:t>
      </w:r>
      <w:r w:rsidRPr="00674619">
        <w:rPr>
          <w:rFonts w:cs="Times New Roman"/>
          <w:i/>
          <w:lang w:val="fr-CA"/>
        </w:rPr>
        <w:t xml:space="preserve"> </w:t>
      </w:r>
      <w:proofErr w:type="spellStart"/>
      <w:r w:rsidRPr="00674619">
        <w:rPr>
          <w:rFonts w:cs="Times New Roman"/>
          <w:i/>
          <w:lang w:val="fr-CA"/>
        </w:rPr>
        <w:t>Quan</w:t>
      </w:r>
      <w:proofErr w:type="spellEnd"/>
      <w:r w:rsidRPr="00674619">
        <w:rPr>
          <w:rFonts w:cs="Times New Roman"/>
          <w:i/>
          <w:lang w:val="fr-CA"/>
        </w:rPr>
        <w:t xml:space="preserve"> c</w:t>
      </w:r>
      <w:r w:rsidR="008550AC">
        <w:rPr>
          <w:rFonts w:cs="Times New Roman"/>
          <w:i/>
          <w:lang w:val="fr-CA"/>
        </w:rPr>
        <w:t>.</w:t>
      </w:r>
      <w:r w:rsidRPr="00674619">
        <w:rPr>
          <w:rFonts w:cs="Times New Roman"/>
          <w:i/>
          <w:lang w:val="fr-CA"/>
        </w:rPr>
        <w:t xml:space="preserve"> </w:t>
      </w:r>
      <w:proofErr w:type="spellStart"/>
      <w:r w:rsidRPr="00674619">
        <w:rPr>
          <w:rFonts w:cs="Times New Roman"/>
          <w:i/>
          <w:lang w:val="fr-CA"/>
        </w:rPr>
        <w:t>Cusson</w:t>
      </w:r>
      <w:proofErr w:type="spellEnd"/>
      <w:r w:rsidRPr="00674619">
        <w:rPr>
          <w:rFonts w:cs="Times New Roman"/>
          <w:lang w:val="fr-CA"/>
        </w:rPr>
        <w:t xml:space="preserve">, 2009 CSC 62, [2009] 3 R.C.S. 712, la Cour a énoncé le critère à deux volets qui permet de déterminer si une cour d’appel peut examiner un argument qui n’a pas été traité par les tribunaux d’instance inférieure.  </w:t>
      </w:r>
      <w:r w:rsidR="008550AC">
        <w:rPr>
          <w:rFonts w:cs="Times New Roman"/>
          <w:lang w:val="fr-CA"/>
        </w:rPr>
        <w:t>L</w:t>
      </w:r>
      <w:r w:rsidRPr="00674619">
        <w:rPr>
          <w:rFonts w:cs="Times New Roman"/>
          <w:lang w:val="fr-CA"/>
        </w:rPr>
        <w:t xml:space="preserve">’argument </w:t>
      </w:r>
      <w:proofErr w:type="spellStart"/>
      <w:r w:rsidRPr="00674619">
        <w:rPr>
          <w:rFonts w:cs="Times New Roman"/>
          <w:lang w:val="fr-CA"/>
        </w:rPr>
        <w:t>constitue</w:t>
      </w:r>
      <w:r w:rsidRPr="00674619">
        <w:rPr>
          <w:rFonts w:cs="Times New Roman"/>
          <w:lang w:val="fr-CA"/>
        </w:rPr>
        <w:noBreakHyphen/>
        <w:t>t</w:t>
      </w:r>
      <w:r w:rsidRPr="00674619">
        <w:rPr>
          <w:rFonts w:cs="Times New Roman"/>
          <w:lang w:val="fr-CA"/>
        </w:rPr>
        <w:noBreakHyphen/>
        <w:t>il</w:t>
      </w:r>
      <w:proofErr w:type="spellEnd"/>
      <w:r w:rsidRPr="00674619">
        <w:rPr>
          <w:rFonts w:cs="Times New Roman"/>
          <w:lang w:val="fr-CA"/>
        </w:rPr>
        <w:t xml:space="preserve"> une « nouvelle question » en appel?  Si oui, la preuve versée au dossier et les intérêts de la justice </w:t>
      </w:r>
      <w:proofErr w:type="spellStart"/>
      <w:r w:rsidRPr="00674619">
        <w:rPr>
          <w:rFonts w:cs="Times New Roman"/>
          <w:lang w:val="fr-CA"/>
        </w:rPr>
        <w:t>justifient</w:t>
      </w:r>
      <w:r w:rsidRPr="00674619">
        <w:rPr>
          <w:rFonts w:cs="Times New Roman"/>
          <w:lang w:val="fr-CA"/>
        </w:rPr>
        <w:noBreakHyphen/>
        <w:t>ils</w:t>
      </w:r>
      <w:proofErr w:type="spellEnd"/>
      <w:r w:rsidRPr="00674619">
        <w:rPr>
          <w:rFonts w:cs="Times New Roman"/>
          <w:lang w:val="fr-CA"/>
        </w:rPr>
        <w:t xml:space="preserve"> que le tribunal applique l’exception à la règle générale empêchant qu’une nouvelle question soit soulevée en appel?</w:t>
      </w:r>
    </w:p>
    <w:p w:rsidR="00046CA9" w:rsidRPr="00674619" w:rsidRDefault="00046CA9" w:rsidP="00046CA9">
      <w:pPr>
        <w:pStyle w:val="Title3LevelTitre3Niveau"/>
        <w:keepNext/>
        <w:tabs>
          <w:tab w:val="clear" w:pos="864"/>
          <w:tab w:val="num" w:pos="1080"/>
          <w:tab w:val="num" w:pos="6048"/>
        </w:tabs>
        <w:spacing w:before="0"/>
        <w:ind w:left="1080" w:hanging="540"/>
        <w:jc w:val="both"/>
        <w:rPr>
          <w:rFonts w:cs="Times New Roman"/>
          <w:i/>
          <w:lang w:val="fr-CA"/>
        </w:rPr>
      </w:pPr>
      <w:r w:rsidRPr="00674619">
        <w:rPr>
          <w:rFonts w:cs="Times New Roman"/>
          <w:lang w:val="fr-CA"/>
        </w:rPr>
        <w:lastRenderedPageBreak/>
        <w:t>Les arguments de M</w:t>
      </w:r>
      <w:r w:rsidRPr="00674619">
        <w:rPr>
          <w:rFonts w:cs="Times New Roman"/>
          <w:vertAlign w:val="superscript"/>
          <w:lang w:val="fr-CA"/>
        </w:rPr>
        <w:t>me</w:t>
      </w:r>
      <w:r w:rsidRPr="00674619">
        <w:rPr>
          <w:rFonts w:cs="Times New Roman"/>
          <w:lang w:val="fr-CA"/>
        </w:rPr>
        <w:t xml:space="preserve"> Bernard fondés sur la </w:t>
      </w:r>
      <w:r w:rsidRPr="00360E2D">
        <w:rPr>
          <w:rFonts w:cs="Times New Roman"/>
          <w:i/>
          <w:lang w:val="fr-CA"/>
        </w:rPr>
        <w:t>Charte</w:t>
      </w:r>
      <w:r w:rsidRPr="00674619">
        <w:rPr>
          <w:rFonts w:cs="Times New Roman"/>
          <w:lang w:val="fr-CA"/>
        </w:rPr>
        <w:t xml:space="preserve"> ne sont pas de nouvelles questions</w:t>
      </w:r>
    </w:p>
    <w:p w:rsidR="00046CA9" w:rsidRPr="00674619" w:rsidRDefault="00046CA9" w:rsidP="00046CA9">
      <w:pPr>
        <w:pStyle w:val="ParaNoNdepar-AltN"/>
        <w:tabs>
          <w:tab w:val="clear" w:pos="1152"/>
          <w:tab w:val="left" w:pos="1166"/>
        </w:tabs>
        <w:rPr>
          <w:rFonts w:cs="Times New Roman"/>
          <w:lang w:val="fr-CA"/>
        </w:rPr>
      </w:pPr>
      <w:r w:rsidRPr="00674619">
        <w:rPr>
          <w:rFonts w:cs="Times New Roman"/>
          <w:lang w:val="fr-CA"/>
        </w:rPr>
        <w:t>La Cour doit d’abord déterminer si les arguments de M</w:t>
      </w:r>
      <w:r w:rsidRPr="00674619">
        <w:rPr>
          <w:rFonts w:cs="Times New Roman"/>
          <w:vertAlign w:val="superscript"/>
          <w:lang w:val="fr-CA"/>
        </w:rPr>
        <w:t>me</w:t>
      </w:r>
      <w:r w:rsidRPr="00674619">
        <w:rPr>
          <w:rFonts w:cs="Times New Roman"/>
          <w:lang w:val="fr-CA"/>
        </w:rPr>
        <w:t> Bernard fondés sur l’al. 2</w:t>
      </w:r>
      <w:r w:rsidRPr="00674619">
        <w:rPr>
          <w:rFonts w:cs="Times New Roman"/>
          <w:i/>
          <w:lang w:val="fr-CA"/>
        </w:rPr>
        <w:t>d</w:t>
      </w:r>
      <w:r w:rsidRPr="00674619">
        <w:rPr>
          <w:rFonts w:cs="Times New Roman"/>
          <w:lang w:val="fr-CA"/>
        </w:rPr>
        <w:t xml:space="preserve">) et sur l’art. 8 de la </w:t>
      </w:r>
      <w:r w:rsidRPr="00674619">
        <w:rPr>
          <w:rFonts w:cs="Times New Roman"/>
          <w:i/>
          <w:lang w:val="fr-CA"/>
        </w:rPr>
        <w:t>Charte</w:t>
      </w:r>
      <w:r w:rsidRPr="00674619">
        <w:rPr>
          <w:rFonts w:cs="Times New Roman"/>
          <w:lang w:val="fr-CA"/>
        </w:rPr>
        <w:t xml:space="preserve"> sont de « nouvelles questions » en appel — c’est</w:t>
      </w:r>
      <w:r w:rsidRPr="00674619">
        <w:rPr>
          <w:rFonts w:cs="Times New Roman"/>
          <w:lang w:val="fr-CA"/>
        </w:rPr>
        <w:noBreakHyphen/>
      </w:r>
      <w:proofErr w:type="spellStart"/>
      <w:r w:rsidRPr="00674619">
        <w:rPr>
          <w:rFonts w:cs="Times New Roman"/>
          <w:lang w:val="fr-CA"/>
        </w:rPr>
        <w:t>à</w:t>
      </w:r>
      <w:r w:rsidRPr="00674619">
        <w:rPr>
          <w:rFonts w:cs="Times New Roman"/>
          <w:lang w:val="fr-CA"/>
        </w:rPr>
        <w:noBreakHyphen/>
        <w:t>dire</w:t>
      </w:r>
      <w:proofErr w:type="spellEnd"/>
      <w:r w:rsidRPr="00674619">
        <w:rPr>
          <w:rFonts w:cs="Times New Roman"/>
          <w:lang w:val="fr-CA"/>
        </w:rPr>
        <w:t xml:space="preserve"> des questions qui sont « différente[s] sur les plans juridique et factuel » de celles soulevées devant les </w:t>
      </w:r>
      <w:r w:rsidR="00E37C6F">
        <w:rPr>
          <w:rFonts w:cs="Times New Roman"/>
          <w:lang w:val="fr-CA"/>
        </w:rPr>
        <w:t>tribunaux d’instance inférieure</w:t>
      </w:r>
      <w:r w:rsidR="00F070C0">
        <w:rPr>
          <w:rFonts w:cs="Times New Roman"/>
          <w:lang w:val="fr-CA"/>
        </w:rPr>
        <w:t xml:space="preserve"> </w:t>
      </w:r>
      <w:r w:rsidRPr="00674619">
        <w:rPr>
          <w:rFonts w:cs="Times New Roman"/>
          <w:lang w:val="fr-CA"/>
        </w:rPr>
        <w:t>(</w:t>
      </w:r>
      <w:proofErr w:type="spellStart"/>
      <w:r w:rsidRPr="00674619">
        <w:rPr>
          <w:rFonts w:cs="Times New Roman"/>
          <w:i/>
          <w:lang w:val="fr-CA"/>
        </w:rPr>
        <w:t>Quan</w:t>
      </w:r>
      <w:proofErr w:type="spellEnd"/>
      <w:r w:rsidRPr="00674619">
        <w:rPr>
          <w:rFonts w:cs="Times New Roman"/>
          <w:lang w:val="fr-CA"/>
        </w:rPr>
        <w:t>, par. 39)</w:t>
      </w:r>
      <w:r>
        <w:rPr>
          <w:rFonts w:cs="Times New Roman"/>
          <w:lang w:val="fr-CA"/>
        </w:rPr>
        <w:t>.</w:t>
      </w:r>
      <w:r w:rsidRPr="00674619">
        <w:rPr>
          <w:rFonts w:cs="Times New Roman"/>
          <w:lang w:val="fr-CA"/>
        </w:rPr>
        <w:t xml:space="preserve"> </w:t>
      </w:r>
      <w:r>
        <w:rPr>
          <w:rFonts w:cs="Times New Roman"/>
          <w:lang w:val="fr-CA"/>
        </w:rPr>
        <w:t xml:space="preserve"> </w:t>
      </w:r>
      <w:r w:rsidRPr="00674619">
        <w:rPr>
          <w:rFonts w:cs="Times New Roman"/>
          <w:lang w:val="fr-CA"/>
        </w:rPr>
        <w:t>Dès le départ, M</w:t>
      </w:r>
      <w:r w:rsidRPr="00674619">
        <w:rPr>
          <w:rFonts w:cs="Times New Roman"/>
          <w:vertAlign w:val="superscript"/>
          <w:lang w:val="fr-CA"/>
        </w:rPr>
        <w:t>me</w:t>
      </w:r>
      <w:r w:rsidRPr="00674619">
        <w:rPr>
          <w:rFonts w:cs="Times New Roman"/>
          <w:lang w:val="fr-CA"/>
        </w:rPr>
        <w:t> Bernard a présenté — ou a essayé de présenter — ses arguments fondés sur l’al</w:t>
      </w:r>
      <w:r w:rsidR="00E37C6F">
        <w:rPr>
          <w:rFonts w:cs="Times New Roman"/>
          <w:lang w:val="fr-CA"/>
        </w:rPr>
        <w:t>.</w:t>
      </w:r>
      <w:r w:rsidRPr="00674619">
        <w:rPr>
          <w:rFonts w:cs="Times New Roman"/>
          <w:lang w:val="fr-CA"/>
        </w:rPr>
        <w:t> 2</w:t>
      </w:r>
      <w:r w:rsidRPr="00674619">
        <w:rPr>
          <w:rFonts w:cs="Times New Roman"/>
          <w:i/>
          <w:lang w:val="fr-CA"/>
        </w:rPr>
        <w:t>d</w:t>
      </w:r>
      <w:r w:rsidRPr="00674619">
        <w:rPr>
          <w:rFonts w:cs="Times New Roman"/>
          <w:lang w:val="fr-CA"/>
        </w:rPr>
        <w:t xml:space="preserve">) de la </w:t>
      </w:r>
      <w:r w:rsidRPr="00674619">
        <w:rPr>
          <w:rFonts w:cs="Times New Roman"/>
          <w:i/>
          <w:lang w:val="fr-CA"/>
        </w:rPr>
        <w:t>Charte</w:t>
      </w:r>
      <w:r>
        <w:rPr>
          <w:rFonts w:cs="Times New Roman"/>
          <w:lang w:val="fr-CA"/>
        </w:rPr>
        <w:t xml:space="preserve">.  </w:t>
      </w:r>
      <w:r w:rsidRPr="00674619">
        <w:rPr>
          <w:rFonts w:cs="Times New Roman"/>
          <w:lang w:val="fr-CA"/>
        </w:rPr>
        <w:t xml:space="preserve">Elle l’a déjà fait dans le cadre de sa demande de contrôle judiciaire qui a donné lieu à l’arrêt </w:t>
      </w:r>
      <w:r w:rsidRPr="00674619">
        <w:rPr>
          <w:rFonts w:cs="Times New Roman"/>
          <w:i/>
          <w:lang w:val="fr-CA"/>
        </w:rPr>
        <w:t>Bernard I</w:t>
      </w:r>
      <w:r w:rsidRPr="00674619">
        <w:rPr>
          <w:rFonts w:cs="Times New Roman"/>
          <w:lang w:val="fr-CA"/>
        </w:rPr>
        <w:t xml:space="preserve">, devant la Commission dans </w:t>
      </w:r>
      <w:r w:rsidRPr="00674619">
        <w:rPr>
          <w:rFonts w:cs="Times New Roman"/>
          <w:i/>
          <w:lang w:val="fr-CA"/>
        </w:rPr>
        <w:t>IPFPC 3</w:t>
      </w:r>
      <w:r w:rsidRPr="00674619">
        <w:rPr>
          <w:rFonts w:cs="Times New Roman"/>
          <w:lang w:val="fr-CA"/>
        </w:rPr>
        <w:t xml:space="preserve">, puis devant la Cour d’appel fédérale dans </w:t>
      </w:r>
      <w:r w:rsidRPr="00674619">
        <w:rPr>
          <w:rFonts w:cs="Times New Roman"/>
          <w:i/>
          <w:lang w:val="fr-CA"/>
        </w:rPr>
        <w:t>Bernard II</w:t>
      </w:r>
      <w:r w:rsidRPr="00674619">
        <w:rPr>
          <w:rFonts w:cs="Times New Roman"/>
          <w:lang w:val="fr-CA"/>
        </w:rPr>
        <w:t xml:space="preserve">. </w:t>
      </w:r>
    </w:p>
    <w:p w:rsidR="00046CA9" w:rsidRPr="00674619" w:rsidRDefault="00046CA9" w:rsidP="00046CA9">
      <w:pPr>
        <w:pStyle w:val="ParaNoNdepar-AltN"/>
        <w:rPr>
          <w:rFonts w:cs="Times New Roman"/>
          <w:lang w:val="fr-CA"/>
        </w:rPr>
      </w:pPr>
      <w:r w:rsidRPr="00674619">
        <w:rPr>
          <w:rFonts w:cs="Times New Roman"/>
          <w:lang w:val="fr-CA"/>
        </w:rPr>
        <w:t xml:space="preserve">S’agissant de l’art. 8 de la </w:t>
      </w:r>
      <w:r w:rsidRPr="00674619">
        <w:rPr>
          <w:rFonts w:cs="Times New Roman"/>
          <w:i/>
          <w:lang w:val="fr-CA"/>
        </w:rPr>
        <w:t>Charte</w:t>
      </w:r>
      <w:r w:rsidRPr="00674619">
        <w:rPr>
          <w:rFonts w:cs="Times New Roman"/>
          <w:lang w:val="fr-CA"/>
        </w:rPr>
        <w:t>, l’intimé IPFPC lui-même — dans sa réponse à la demande d’autorisation d’interjeter appel présentée par M</w:t>
      </w:r>
      <w:r w:rsidRPr="00674619">
        <w:rPr>
          <w:rFonts w:cs="Times New Roman"/>
          <w:vertAlign w:val="superscript"/>
          <w:lang w:val="fr-CA"/>
        </w:rPr>
        <w:t>me</w:t>
      </w:r>
      <w:r w:rsidRPr="00674619">
        <w:rPr>
          <w:rFonts w:cs="Times New Roman"/>
          <w:lang w:val="fr-CA"/>
        </w:rPr>
        <w:t> Bernard — a indiqué que M</w:t>
      </w:r>
      <w:r w:rsidRPr="00674619">
        <w:rPr>
          <w:rFonts w:cs="Times New Roman"/>
          <w:vertAlign w:val="superscript"/>
          <w:lang w:val="fr-CA"/>
        </w:rPr>
        <w:t>me</w:t>
      </w:r>
      <w:r w:rsidRPr="00674619">
        <w:rPr>
          <w:rFonts w:cs="Times New Roman"/>
          <w:lang w:val="fr-CA"/>
        </w:rPr>
        <w:t xml:space="preserve"> Bernard avait présenté un argument fondé sur l’art. 8 de la </w:t>
      </w:r>
      <w:r w:rsidRPr="00674619">
        <w:rPr>
          <w:rFonts w:cs="Times New Roman"/>
          <w:i/>
          <w:lang w:val="fr-CA"/>
        </w:rPr>
        <w:t xml:space="preserve">Charte </w:t>
      </w:r>
      <w:r w:rsidRPr="00674619">
        <w:rPr>
          <w:rFonts w:cs="Times New Roman"/>
          <w:lang w:val="fr-CA"/>
        </w:rPr>
        <w:t>devant les tr</w:t>
      </w:r>
      <w:r w:rsidR="00E37C6F">
        <w:rPr>
          <w:rFonts w:cs="Times New Roman"/>
          <w:lang w:val="fr-CA"/>
        </w:rPr>
        <w:t>ibunaux d’instance inférieure (m</w:t>
      </w:r>
      <w:r w:rsidRPr="00674619">
        <w:rPr>
          <w:rFonts w:cs="Times New Roman"/>
          <w:lang w:val="fr-CA"/>
        </w:rPr>
        <w:t>émoire, par. 53).  On peut donc penser qu’il ne s’agit pas d’une nouvelle question.  Cependant, dans son mémoire</w:t>
      </w:r>
      <w:r>
        <w:rPr>
          <w:rFonts w:cs="Times New Roman"/>
          <w:lang w:val="fr-CA"/>
        </w:rPr>
        <w:t xml:space="preserve"> </w:t>
      </w:r>
      <w:r w:rsidR="00E37C6F">
        <w:rPr>
          <w:rFonts w:cs="Times New Roman"/>
          <w:lang w:val="fr-CA"/>
        </w:rPr>
        <w:t>d</w:t>
      </w:r>
      <w:r>
        <w:rPr>
          <w:rFonts w:cs="Times New Roman"/>
          <w:lang w:val="fr-CA"/>
        </w:rPr>
        <w:t>’appel</w:t>
      </w:r>
      <w:r w:rsidRPr="00674619">
        <w:rPr>
          <w:rFonts w:cs="Times New Roman"/>
          <w:lang w:val="fr-CA"/>
        </w:rPr>
        <w:t>, l’IPFPC a souligné qu’aucun argument de la sorte n’avait jamais été présenté (par. 96).</w:t>
      </w:r>
    </w:p>
    <w:p w:rsidR="00046CA9" w:rsidRPr="00674619" w:rsidRDefault="00046CA9" w:rsidP="00046CA9">
      <w:pPr>
        <w:pStyle w:val="ParaNoNdepar-AltN"/>
        <w:rPr>
          <w:rFonts w:cs="Times New Roman"/>
          <w:lang w:val="fr-CA"/>
        </w:rPr>
      </w:pPr>
      <w:r w:rsidRPr="00674619">
        <w:rPr>
          <w:rFonts w:cs="Times New Roman"/>
          <w:lang w:val="fr-CA"/>
        </w:rPr>
        <w:t>Même si les arguments de M</w:t>
      </w:r>
      <w:r w:rsidRPr="00674619">
        <w:rPr>
          <w:rFonts w:cs="Times New Roman"/>
          <w:vertAlign w:val="superscript"/>
          <w:lang w:val="fr-CA"/>
        </w:rPr>
        <w:t>me</w:t>
      </w:r>
      <w:r w:rsidRPr="00674619">
        <w:rPr>
          <w:rFonts w:cs="Times New Roman"/>
          <w:lang w:val="fr-CA"/>
        </w:rPr>
        <w:t> Bernard fondés sur l’al. 2</w:t>
      </w:r>
      <w:r w:rsidRPr="00674619">
        <w:rPr>
          <w:rFonts w:cs="Times New Roman"/>
          <w:i/>
          <w:lang w:val="fr-CA"/>
        </w:rPr>
        <w:t>d</w:t>
      </w:r>
      <w:r w:rsidRPr="00674619">
        <w:rPr>
          <w:rFonts w:cs="Times New Roman"/>
          <w:lang w:val="fr-CA"/>
        </w:rPr>
        <w:t xml:space="preserve">) et sur l’art. 8 de la </w:t>
      </w:r>
      <w:r w:rsidRPr="00674619">
        <w:rPr>
          <w:rFonts w:cs="Times New Roman"/>
          <w:i/>
          <w:lang w:val="fr-CA"/>
        </w:rPr>
        <w:t>Charte</w:t>
      </w:r>
      <w:r w:rsidRPr="00674619">
        <w:rPr>
          <w:rFonts w:cs="Times New Roman"/>
          <w:lang w:val="fr-CA"/>
        </w:rPr>
        <w:t xml:space="preserve"> étaient considérés comme de « nouvelles questions », le deuxième volet du critère établi dans l’arrêt </w:t>
      </w:r>
      <w:proofErr w:type="spellStart"/>
      <w:r w:rsidRPr="00674619">
        <w:rPr>
          <w:rFonts w:cs="Times New Roman"/>
          <w:i/>
          <w:lang w:val="fr-CA"/>
        </w:rPr>
        <w:t>Quan</w:t>
      </w:r>
      <w:proofErr w:type="spellEnd"/>
      <w:r w:rsidRPr="00674619">
        <w:rPr>
          <w:rFonts w:cs="Times New Roman"/>
          <w:i/>
          <w:lang w:val="fr-CA"/>
        </w:rPr>
        <w:t xml:space="preserve"> </w:t>
      </w:r>
      <w:r w:rsidRPr="00674619">
        <w:rPr>
          <w:rFonts w:cs="Times New Roman"/>
          <w:lang w:val="fr-CA"/>
        </w:rPr>
        <w:t xml:space="preserve">renforce l’idée que la Cour devrait statuer sur ces arguments. </w:t>
      </w:r>
    </w:p>
    <w:p w:rsidR="00046CA9" w:rsidRPr="00674619" w:rsidRDefault="00046CA9" w:rsidP="00046CA9">
      <w:pPr>
        <w:pStyle w:val="Title3LevelTitre3Niveau"/>
        <w:keepNext/>
        <w:tabs>
          <w:tab w:val="clear" w:pos="864"/>
          <w:tab w:val="num" w:pos="1080"/>
          <w:tab w:val="num" w:pos="6048"/>
        </w:tabs>
        <w:spacing w:before="0"/>
        <w:ind w:left="1080" w:hanging="540"/>
        <w:jc w:val="both"/>
        <w:rPr>
          <w:rFonts w:cs="Times New Roman"/>
          <w:i/>
          <w:lang w:val="fr-CA"/>
        </w:rPr>
      </w:pPr>
      <w:r w:rsidRPr="00674619">
        <w:rPr>
          <w:rFonts w:cs="Times New Roman"/>
          <w:lang w:val="fr-CA"/>
        </w:rPr>
        <w:lastRenderedPageBreak/>
        <w:t xml:space="preserve">La preuve versée au dossier et l’intérêt de la justice justifient l’application d’une exception à la règle empêchant qu’une nouvelle question soit soulevée en appel </w:t>
      </w:r>
    </w:p>
    <w:p w:rsidR="00046CA9" w:rsidRPr="00674619" w:rsidRDefault="00046CA9" w:rsidP="00046CA9">
      <w:pPr>
        <w:pStyle w:val="ParaNoNdepar-AltN"/>
        <w:rPr>
          <w:rFonts w:cs="Times New Roman"/>
          <w:lang w:val="fr-CA"/>
        </w:rPr>
      </w:pPr>
      <w:r w:rsidRPr="00674619">
        <w:rPr>
          <w:rFonts w:cs="Times New Roman"/>
          <w:lang w:val="fr-CA"/>
        </w:rPr>
        <w:t xml:space="preserve">Le deuxième volet du critère établi dans l’arrêt </w:t>
      </w:r>
      <w:proofErr w:type="spellStart"/>
      <w:r w:rsidRPr="00674619">
        <w:rPr>
          <w:rFonts w:cs="Times New Roman"/>
          <w:i/>
          <w:lang w:val="fr-CA"/>
        </w:rPr>
        <w:t>Quan</w:t>
      </w:r>
      <w:proofErr w:type="spellEnd"/>
      <w:r w:rsidRPr="00674619">
        <w:rPr>
          <w:rFonts w:cs="Times New Roman"/>
          <w:i/>
          <w:lang w:val="fr-CA"/>
        </w:rPr>
        <w:t xml:space="preserve"> </w:t>
      </w:r>
      <w:r w:rsidRPr="00674619">
        <w:rPr>
          <w:rFonts w:cs="Times New Roman"/>
          <w:lang w:val="fr-CA"/>
        </w:rPr>
        <w:t xml:space="preserve">consiste à déterminer si la preuve versée au dossier et l’intérêt de la justice justifient l’application d’une exception à la règle générale empêchant qu’une nouvelle question soit soulevée en appel (par. 38; voir aussi </w:t>
      </w:r>
      <w:r w:rsidRPr="00674619">
        <w:rPr>
          <w:rFonts w:cs="Times New Roman"/>
          <w:i/>
          <w:lang w:val="fr-CA"/>
        </w:rPr>
        <w:t xml:space="preserve">Alberta (Information and </w:t>
      </w:r>
      <w:proofErr w:type="spellStart"/>
      <w:r w:rsidRPr="00674619">
        <w:rPr>
          <w:rFonts w:cs="Times New Roman"/>
          <w:i/>
          <w:lang w:val="fr-CA"/>
        </w:rPr>
        <w:t>Privacy</w:t>
      </w:r>
      <w:proofErr w:type="spellEnd"/>
      <w:r w:rsidRPr="00674619">
        <w:rPr>
          <w:rFonts w:cs="Times New Roman"/>
          <w:i/>
          <w:lang w:val="fr-CA"/>
        </w:rPr>
        <w:t xml:space="preserve"> </w:t>
      </w:r>
      <w:proofErr w:type="spellStart"/>
      <w:r w:rsidRPr="00674619">
        <w:rPr>
          <w:rFonts w:cs="Times New Roman"/>
          <w:i/>
          <w:lang w:val="fr-CA"/>
        </w:rPr>
        <w:t>Commissioner</w:t>
      </w:r>
      <w:proofErr w:type="spellEnd"/>
      <w:r w:rsidRPr="00674619">
        <w:rPr>
          <w:rFonts w:cs="Times New Roman"/>
          <w:i/>
          <w:lang w:val="fr-CA"/>
        </w:rPr>
        <w:t xml:space="preserve">) c. Alberta </w:t>
      </w:r>
      <w:proofErr w:type="spellStart"/>
      <w:r w:rsidRPr="00674619">
        <w:rPr>
          <w:rFonts w:cs="Times New Roman"/>
          <w:i/>
          <w:lang w:val="fr-CA"/>
        </w:rPr>
        <w:t>Teachers</w:t>
      </w:r>
      <w:proofErr w:type="spellEnd"/>
      <w:r w:rsidRPr="00674619">
        <w:rPr>
          <w:rFonts w:cs="Times New Roman"/>
          <w:i/>
          <w:lang w:val="fr-CA"/>
        </w:rPr>
        <w:t>’ Association</w:t>
      </w:r>
      <w:r w:rsidRPr="00674619">
        <w:rPr>
          <w:rFonts w:cs="Times New Roman"/>
          <w:lang w:val="fr-CA"/>
        </w:rPr>
        <w:t>,</w:t>
      </w:r>
      <w:r w:rsidR="001F4004">
        <w:rPr>
          <w:rFonts w:cs="Times New Roman"/>
          <w:lang w:val="fr-CA"/>
        </w:rPr>
        <w:t xml:space="preserve"> 2011 CSC 61, [2011] 3 R.C.S. 65</w:t>
      </w:r>
      <w:r w:rsidRPr="00674619">
        <w:rPr>
          <w:rFonts w:cs="Times New Roman"/>
          <w:lang w:val="fr-CA"/>
        </w:rPr>
        <w:t xml:space="preserve">4, par. 5).  À mon avis, les circonstances de l’espèce justifient l’application de l’exception. </w:t>
      </w:r>
    </w:p>
    <w:p w:rsidR="00046CA9" w:rsidRPr="00674619" w:rsidRDefault="00046CA9" w:rsidP="00046CA9">
      <w:pPr>
        <w:pStyle w:val="Title4LevelTitre4Niveau"/>
        <w:keepNext/>
        <w:numPr>
          <w:ilvl w:val="0"/>
          <w:numId w:val="27"/>
        </w:numPr>
        <w:tabs>
          <w:tab w:val="left" w:pos="1080"/>
        </w:tabs>
        <w:spacing w:before="0"/>
        <w:jc w:val="both"/>
        <w:rPr>
          <w:rFonts w:cs="Times New Roman"/>
          <w:lang w:val="fr-CA"/>
        </w:rPr>
      </w:pPr>
      <w:r w:rsidRPr="00674619">
        <w:rPr>
          <w:rFonts w:cs="Times New Roman"/>
          <w:lang w:val="fr-CA"/>
        </w:rPr>
        <w:t xml:space="preserve">Preuve versée au dossier </w:t>
      </w:r>
    </w:p>
    <w:p w:rsidR="00046CA9" w:rsidRPr="00674619" w:rsidRDefault="00046CA9" w:rsidP="00046CA9">
      <w:pPr>
        <w:pStyle w:val="ParaNoNdepar-AltN"/>
        <w:rPr>
          <w:rFonts w:cs="Times New Roman"/>
          <w:lang w:val="fr-CA"/>
        </w:rPr>
      </w:pPr>
      <w:r w:rsidRPr="00674619">
        <w:rPr>
          <w:rFonts w:cs="Times New Roman"/>
          <w:lang w:val="fr-CA"/>
        </w:rPr>
        <w:t>En l’espèce, la preuve versée au dossier est suffisante pour permettre à la Cour d’examiner la question relative à l’al. 2</w:t>
      </w:r>
      <w:r w:rsidRPr="00674619">
        <w:rPr>
          <w:rFonts w:cs="Times New Roman"/>
          <w:i/>
          <w:lang w:val="fr-CA"/>
        </w:rPr>
        <w:t>d</w:t>
      </w:r>
      <w:r w:rsidRPr="00674619">
        <w:rPr>
          <w:rFonts w:cs="Times New Roman"/>
          <w:lang w:val="fr-CA"/>
        </w:rPr>
        <w:t xml:space="preserve">) de la </w:t>
      </w:r>
      <w:r w:rsidRPr="00674619">
        <w:rPr>
          <w:rFonts w:cs="Times New Roman"/>
          <w:i/>
          <w:lang w:val="fr-CA"/>
        </w:rPr>
        <w:t>Charte</w:t>
      </w:r>
      <w:r>
        <w:rPr>
          <w:rFonts w:cs="Times New Roman"/>
          <w:lang w:val="fr-CA"/>
        </w:rPr>
        <w:t xml:space="preserve">.  </w:t>
      </w:r>
      <w:r w:rsidRPr="00674619">
        <w:rPr>
          <w:rFonts w:cs="Times New Roman"/>
          <w:lang w:val="fr-CA"/>
        </w:rPr>
        <w:t>Les motifs de la Commission et de la Cour d’appel fédérale reflètent le fait que M</w:t>
      </w:r>
      <w:r w:rsidRPr="00674619">
        <w:rPr>
          <w:rFonts w:cs="Times New Roman"/>
          <w:vertAlign w:val="superscript"/>
          <w:lang w:val="fr-CA"/>
        </w:rPr>
        <w:t>me</w:t>
      </w:r>
      <w:r w:rsidRPr="00674619">
        <w:rPr>
          <w:rFonts w:cs="Times New Roman"/>
          <w:lang w:val="fr-CA"/>
        </w:rPr>
        <w:t xml:space="preserve"> Bernard a présenté cet argument à trois reprises : </w:t>
      </w:r>
      <w:r w:rsidRPr="00674619">
        <w:rPr>
          <w:rFonts w:cs="Times New Roman"/>
          <w:i/>
          <w:lang w:val="fr-CA"/>
        </w:rPr>
        <w:t xml:space="preserve">Bernard I </w:t>
      </w:r>
      <w:r w:rsidRPr="00674619">
        <w:rPr>
          <w:rFonts w:cs="Times New Roman"/>
          <w:lang w:val="fr-CA"/>
        </w:rPr>
        <w:t xml:space="preserve">(par. 24), </w:t>
      </w:r>
      <w:r w:rsidRPr="00674619">
        <w:rPr>
          <w:rFonts w:cs="Times New Roman"/>
          <w:i/>
          <w:lang w:val="fr-CA"/>
        </w:rPr>
        <w:t xml:space="preserve">IPFPC 3 </w:t>
      </w:r>
      <w:r w:rsidRPr="00674619">
        <w:rPr>
          <w:rFonts w:cs="Times New Roman"/>
          <w:lang w:val="fr-CA"/>
        </w:rPr>
        <w:t xml:space="preserve">(par. 9) et </w:t>
      </w:r>
      <w:r w:rsidRPr="00674619">
        <w:rPr>
          <w:rFonts w:cs="Times New Roman"/>
          <w:i/>
          <w:lang w:val="fr-CA"/>
        </w:rPr>
        <w:t xml:space="preserve">Bernard II </w:t>
      </w:r>
      <w:r w:rsidRPr="00674619">
        <w:rPr>
          <w:rFonts w:cs="Times New Roman"/>
          <w:lang w:val="fr-CA"/>
        </w:rPr>
        <w:t>(par. 29).  M</w:t>
      </w:r>
      <w:r w:rsidRPr="00674619">
        <w:rPr>
          <w:rFonts w:cs="Times New Roman"/>
          <w:vertAlign w:val="superscript"/>
          <w:lang w:val="fr-CA"/>
        </w:rPr>
        <w:t>me</w:t>
      </w:r>
      <w:r w:rsidRPr="00674619">
        <w:rPr>
          <w:rFonts w:cs="Times New Roman"/>
          <w:lang w:val="fr-CA"/>
        </w:rPr>
        <w:t> Bernard demande maintenant à la Cour de se prononcer.  Les intimés sont des parties bien informées qui ont eu amplement l’occasion de répondre à la question constitutionnelle relative à l’al. 2</w:t>
      </w:r>
      <w:r w:rsidRPr="00674619">
        <w:rPr>
          <w:rFonts w:cs="Times New Roman"/>
          <w:i/>
          <w:lang w:val="fr-CA"/>
        </w:rPr>
        <w:t>d</w:t>
      </w:r>
      <w:r w:rsidRPr="00674619">
        <w:rPr>
          <w:rFonts w:cs="Times New Roman"/>
          <w:lang w:val="fr-CA"/>
        </w:rPr>
        <w:t xml:space="preserve">) de la </w:t>
      </w:r>
      <w:r w:rsidRPr="00674619">
        <w:rPr>
          <w:rFonts w:cs="Times New Roman"/>
          <w:i/>
          <w:lang w:val="fr-CA"/>
        </w:rPr>
        <w:t>Charte</w:t>
      </w:r>
      <w:r w:rsidRPr="00674619">
        <w:rPr>
          <w:rFonts w:cs="Times New Roman"/>
          <w:lang w:val="fr-CA"/>
        </w:rPr>
        <w:t xml:space="preserve"> formulée par la Cour.  En outre, ils n’ont jamais affirmé qu’ils </w:t>
      </w:r>
      <w:proofErr w:type="gramStart"/>
      <w:r w:rsidRPr="00674619">
        <w:rPr>
          <w:rFonts w:cs="Times New Roman"/>
          <w:lang w:val="fr-CA"/>
        </w:rPr>
        <w:t>subiraient</w:t>
      </w:r>
      <w:proofErr w:type="gramEnd"/>
      <w:r w:rsidRPr="00674619">
        <w:rPr>
          <w:rFonts w:cs="Times New Roman"/>
          <w:lang w:val="fr-CA"/>
        </w:rPr>
        <w:t xml:space="preserve"> un préjudice si la Cour statuait sur cette question.  </w:t>
      </w:r>
    </w:p>
    <w:p w:rsidR="00046CA9" w:rsidRPr="00674619" w:rsidRDefault="00046CA9" w:rsidP="00046CA9">
      <w:pPr>
        <w:pStyle w:val="ParaNoNdepar-AltN"/>
        <w:rPr>
          <w:rFonts w:cs="Times New Roman"/>
          <w:lang w:val="fr-CA"/>
        </w:rPr>
      </w:pPr>
      <w:r w:rsidRPr="00674619">
        <w:rPr>
          <w:rFonts w:cs="Times New Roman"/>
          <w:lang w:val="fr-CA"/>
        </w:rPr>
        <w:lastRenderedPageBreak/>
        <w:t>De même, les intimés ont répondu sur le fond aux prétentions de M</w:t>
      </w:r>
      <w:r w:rsidRPr="00674619">
        <w:rPr>
          <w:rFonts w:cs="Times New Roman"/>
          <w:vertAlign w:val="superscript"/>
          <w:lang w:val="fr-CA"/>
        </w:rPr>
        <w:t>me</w:t>
      </w:r>
      <w:r w:rsidRPr="00674619">
        <w:rPr>
          <w:rFonts w:cs="Times New Roman"/>
          <w:lang w:val="fr-CA"/>
        </w:rPr>
        <w:t xml:space="preserve"> Bernard fondées sur l’art. 8 de la </w:t>
      </w:r>
      <w:r w:rsidRPr="00674619">
        <w:rPr>
          <w:rFonts w:cs="Times New Roman"/>
          <w:i/>
          <w:lang w:val="fr-CA"/>
        </w:rPr>
        <w:t>Charte</w:t>
      </w:r>
      <w:r w:rsidRPr="00674619">
        <w:rPr>
          <w:rFonts w:cs="Times New Roman"/>
          <w:lang w:val="fr-CA"/>
        </w:rPr>
        <w:t xml:space="preserve"> dans les observations écrites qu’ils ont présentées à la Cour et n’ont pas prétendu qu’ils subiraient un préjudice si la Cour statuait sur la question. </w:t>
      </w:r>
    </w:p>
    <w:p w:rsidR="00046CA9" w:rsidRPr="00674619" w:rsidRDefault="00046CA9" w:rsidP="00046CA9">
      <w:pPr>
        <w:pStyle w:val="Title4LevelTitre4Niveau"/>
        <w:keepNext/>
        <w:numPr>
          <w:ilvl w:val="0"/>
          <w:numId w:val="27"/>
        </w:numPr>
        <w:tabs>
          <w:tab w:val="left" w:pos="1080"/>
        </w:tabs>
        <w:spacing w:before="0"/>
        <w:jc w:val="both"/>
        <w:rPr>
          <w:rFonts w:cs="Times New Roman"/>
          <w:i w:val="0"/>
          <w:lang w:val="fr-CA"/>
        </w:rPr>
      </w:pPr>
      <w:r w:rsidRPr="00674619">
        <w:rPr>
          <w:rFonts w:cs="Times New Roman"/>
          <w:lang w:val="fr-CA"/>
        </w:rPr>
        <w:t>Intérêt de la justice</w:t>
      </w:r>
    </w:p>
    <w:p w:rsidR="00046CA9" w:rsidRPr="00674619" w:rsidRDefault="00046CA9" w:rsidP="00046CA9">
      <w:pPr>
        <w:pStyle w:val="ParaNoNdepar-AltN"/>
        <w:rPr>
          <w:rFonts w:cs="Times New Roman"/>
          <w:lang w:val="fr-CA"/>
        </w:rPr>
      </w:pPr>
      <w:r w:rsidRPr="00674619">
        <w:rPr>
          <w:rFonts w:cs="Times New Roman"/>
          <w:lang w:val="fr-CA"/>
        </w:rPr>
        <w:t>M</w:t>
      </w:r>
      <w:r w:rsidRPr="00674619">
        <w:rPr>
          <w:rFonts w:cs="Times New Roman"/>
          <w:vertAlign w:val="superscript"/>
          <w:lang w:val="fr-CA"/>
        </w:rPr>
        <w:t>me</w:t>
      </w:r>
      <w:r w:rsidRPr="00674619">
        <w:rPr>
          <w:rFonts w:cs="Times New Roman"/>
          <w:lang w:val="fr-CA"/>
        </w:rPr>
        <w:t xml:space="preserve"> Bernard a tenté, de façon méthodique, de faire valoir ses arguments fondés sur la </w:t>
      </w:r>
      <w:r w:rsidRPr="00674619">
        <w:rPr>
          <w:rFonts w:cs="Times New Roman"/>
          <w:i/>
          <w:lang w:val="fr-CA"/>
        </w:rPr>
        <w:t>Charte</w:t>
      </w:r>
      <w:r w:rsidRPr="00674619">
        <w:rPr>
          <w:rFonts w:cs="Times New Roman"/>
          <w:lang w:val="fr-CA"/>
        </w:rPr>
        <w:t>, mais la Commission et la Cour d’appel fédérale ont constamment refusé de les examiner</w:t>
      </w:r>
      <w:r>
        <w:rPr>
          <w:rFonts w:cs="Times New Roman"/>
          <w:lang w:val="fr-CA"/>
        </w:rPr>
        <w:t xml:space="preserve">.  </w:t>
      </w:r>
      <w:r w:rsidRPr="00674619">
        <w:rPr>
          <w:rFonts w:cs="Times New Roman"/>
          <w:lang w:val="fr-CA"/>
        </w:rPr>
        <w:t xml:space="preserve">Selon le principe énoncé dans l’arrêt </w:t>
      </w:r>
      <w:proofErr w:type="spellStart"/>
      <w:r w:rsidRPr="00674619">
        <w:rPr>
          <w:rFonts w:cs="Times New Roman"/>
          <w:i/>
          <w:lang w:val="fr-CA"/>
        </w:rPr>
        <w:t>Conway</w:t>
      </w:r>
      <w:proofErr w:type="spellEnd"/>
      <w:r w:rsidRPr="00674619">
        <w:rPr>
          <w:rFonts w:cs="Times New Roman"/>
          <w:lang w:val="fr-CA"/>
        </w:rPr>
        <w:t xml:space="preserve">, les tribunaux ont le pouvoir et le devoir « d’examiner </w:t>
      </w:r>
      <w:r w:rsidRPr="00674619">
        <w:rPr>
          <w:rFonts w:cs="Times New Roman"/>
          <w:u w:val="single"/>
          <w:lang w:val="fr-CA"/>
        </w:rPr>
        <w:t>et d’appliquer</w:t>
      </w:r>
      <w:r w:rsidRPr="00674619">
        <w:rPr>
          <w:rFonts w:cs="Times New Roman"/>
          <w:lang w:val="fr-CA"/>
        </w:rPr>
        <w:t xml:space="preserve"> la Constitution, y compris la </w:t>
      </w:r>
      <w:r w:rsidRPr="00674619">
        <w:rPr>
          <w:rFonts w:cs="Times New Roman"/>
          <w:i/>
          <w:lang w:val="fr-CA"/>
        </w:rPr>
        <w:t>Charte</w:t>
      </w:r>
      <w:r w:rsidRPr="00674619">
        <w:rPr>
          <w:rFonts w:cs="Times New Roman"/>
          <w:lang w:val="fr-CA"/>
        </w:rPr>
        <w:t> » (par. 77 (je souligne)).</w:t>
      </w:r>
      <w:r w:rsidRPr="00674619">
        <w:rPr>
          <w:rFonts w:cs="Times New Roman"/>
          <w:i/>
          <w:lang w:val="fr-CA"/>
        </w:rPr>
        <w:t xml:space="preserve">  </w:t>
      </w:r>
      <w:r w:rsidRPr="00674619">
        <w:rPr>
          <w:rFonts w:cs="Times New Roman"/>
          <w:lang w:val="fr-CA"/>
        </w:rPr>
        <w:t>Si l’autorisation d’interjeter appel devant la Cour n’avait pas été accordée, M</w:t>
      </w:r>
      <w:r w:rsidRPr="00674619">
        <w:rPr>
          <w:rFonts w:cs="Times New Roman"/>
          <w:vertAlign w:val="superscript"/>
          <w:lang w:val="fr-CA"/>
        </w:rPr>
        <w:t>me</w:t>
      </w:r>
      <w:r w:rsidRPr="00674619">
        <w:rPr>
          <w:rFonts w:cs="Times New Roman"/>
          <w:lang w:val="fr-CA"/>
        </w:rPr>
        <w:t> Bernard aurait été entièrement privée de son droit de voir ses arguments fondés sur l’al. 2</w:t>
      </w:r>
      <w:r w:rsidRPr="00674619">
        <w:rPr>
          <w:rFonts w:cs="Times New Roman"/>
          <w:i/>
          <w:lang w:val="fr-CA"/>
        </w:rPr>
        <w:t>d</w:t>
      </w:r>
      <w:r w:rsidRPr="00674619">
        <w:rPr>
          <w:rFonts w:cs="Times New Roman"/>
          <w:lang w:val="fr-CA"/>
        </w:rPr>
        <w:t xml:space="preserve">) et l’art. 8 de la </w:t>
      </w:r>
      <w:r w:rsidRPr="00674619">
        <w:rPr>
          <w:rFonts w:cs="Times New Roman"/>
          <w:i/>
          <w:lang w:val="fr-CA"/>
        </w:rPr>
        <w:t>Charte</w:t>
      </w:r>
      <w:r w:rsidRPr="00674619">
        <w:rPr>
          <w:rFonts w:cs="Times New Roman"/>
          <w:lang w:val="fr-CA"/>
        </w:rPr>
        <w:t xml:space="preserve"> traités dans le cadre de l’affaire dont la Commission et la Cour d’appel fédérale ont été saisies. </w:t>
      </w:r>
    </w:p>
    <w:p w:rsidR="00046CA9" w:rsidRPr="00674619" w:rsidRDefault="00046CA9" w:rsidP="00046CA9">
      <w:pPr>
        <w:pStyle w:val="ParaNoNdepar-AltN"/>
        <w:rPr>
          <w:rFonts w:cs="Times New Roman"/>
          <w:lang w:val="fr-CA"/>
        </w:rPr>
      </w:pPr>
      <w:r w:rsidRPr="00674619">
        <w:rPr>
          <w:rFonts w:cs="Times New Roman"/>
          <w:lang w:val="fr-CA"/>
        </w:rPr>
        <w:t xml:space="preserve">Il est donc dans l’intérêt de la justice que la Cour examine maintenant ces arguments. </w:t>
      </w:r>
    </w:p>
    <w:p w:rsidR="00046CA9" w:rsidRPr="00674619" w:rsidRDefault="00046CA9" w:rsidP="00046CA9">
      <w:pPr>
        <w:pStyle w:val="Title3LevelTitre3Niveau"/>
        <w:keepNext/>
        <w:tabs>
          <w:tab w:val="clear" w:pos="864"/>
          <w:tab w:val="num" w:pos="1080"/>
          <w:tab w:val="num" w:pos="6048"/>
        </w:tabs>
        <w:spacing w:before="0"/>
        <w:ind w:left="1080" w:hanging="540"/>
        <w:jc w:val="both"/>
        <w:rPr>
          <w:rFonts w:cs="Times New Roman"/>
          <w:i/>
          <w:lang w:val="fr-CA"/>
        </w:rPr>
      </w:pPr>
      <w:bookmarkStart w:id="9" w:name="_Toc372276038"/>
      <w:r w:rsidRPr="00674619">
        <w:rPr>
          <w:rFonts w:cs="Times New Roman"/>
          <w:lang w:val="fr-CA"/>
        </w:rPr>
        <w:t>Il n’y a pas eu violation de la liberté de ne pas s’associer garantie par l’al</w:t>
      </w:r>
      <w:r w:rsidR="00411207">
        <w:rPr>
          <w:rFonts w:cs="Times New Roman"/>
          <w:lang w:val="fr-CA"/>
        </w:rPr>
        <w:t>.</w:t>
      </w:r>
      <w:r w:rsidRPr="00674619">
        <w:rPr>
          <w:rFonts w:cs="Times New Roman"/>
          <w:lang w:val="fr-CA"/>
        </w:rPr>
        <w:t> 2</w:t>
      </w:r>
      <w:r w:rsidRPr="008A53B7">
        <w:rPr>
          <w:rFonts w:cs="Times New Roman"/>
          <w:i/>
          <w:lang w:val="fr-CA"/>
        </w:rPr>
        <w:t>d</w:t>
      </w:r>
      <w:r w:rsidRPr="00674619">
        <w:rPr>
          <w:rFonts w:cs="Times New Roman"/>
          <w:lang w:val="fr-CA"/>
        </w:rPr>
        <w:t xml:space="preserve">)  </w:t>
      </w:r>
      <w:bookmarkEnd w:id="9"/>
    </w:p>
    <w:p w:rsidR="00046CA9" w:rsidRPr="00674619" w:rsidRDefault="00046CA9" w:rsidP="00046CA9">
      <w:pPr>
        <w:pStyle w:val="ParaNoNdepar-AltN"/>
        <w:rPr>
          <w:rFonts w:cs="Times New Roman"/>
          <w:lang w:val="fr-CA"/>
        </w:rPr>
      </w:pPr>
      <w:r w:rsidRPr="00674619">
        <w:rPr>
          <w:rFonts w:cs="Times New Roman"/>
          <w:lang w:val="fr-CA"/>
        </w:rPr>
        <w:t>Malgré le point de vue exprimé au par. 35 selon lequel l’argument de M</w:t>
      </w:r>
      <w:r w:rsidRPr="00674619">
        <w:rPr>
          <w:rFonts w:cs="Times New Roman"/>
          <w:vertAlign w:val="superscript"/>
          <w:lang w:val="fr-CA"/>
        </w:rPr>
        <w:t>me</w:t>
      </w:r>
      <w:r w:rsidRPr="00674619">
        <w:rPr>
          <w:rFonts w:cs="Times New Roman"/>
          <w:lang w:val="fr-CA"/>
        </w:rPr>
        <w:t> Bernard fondé sur l’al. 2</w:t>
      </w:r>
      <w:r w:rsidRPr="00674619">
        <w:rPr>
          <w:rFonts w:cs="Times New Roman"/>
          <w:i/>
          <w:lang w:val="fr-CA"/>
        </w:rPr>
        <w:t>d</w:t>
      </w:r>
      <w:r w:rsidRPr="00674619">
        <w:rPr>
          <w:rFonts w:cs="Times New Roman"/>
          <w:lang w:val="fr-CA"/>
        </w:rPr>
        <w:t xml:space="preserve">) de la </w:t>
      </w:r>
      <w:r w:rsidRPr="00674619">
        <w:rPr>
          <w:rFonts w:cs="Times New Roman"/>
          <w:i/>
          <w:lang w:val="fr-CA"/>
        </w:rPr>
        <w:t>Charte</w:t>
      </w:r>
      <w:r w:rsidRPr="00674619">
        <w:rPr>
          <w:rFonts w:cs="Times New Roman"/>
          <w:lang w:val="fr-CA"/>
        </w:rPr>
        <w:t xml:space="preserve"> « </w:t>
      </w:r>
      <w:proofErr w:type="gramStart"/>
      <w:r w:rsidRPr="00674619">
        <w:rPr>
          <w:rFonts w:cs="Times New Roman"/>
          <w:lang w:val="fr-CA"/>
        </w:rPr>
        <w:t>n’[</w:t>
      </w:r>
      <w:proofErr w:type="gramEnd"/>
      <w:r w:rsidRPr="00674619">
        <w:rPr>
          <w:rFonts w:cs="Times New Roman"/>
          <w:lang w:val="fr-CA"/>
        </w:rPr>
        <w:t xml:space="preserve">a] manifestement aucun fondement », mes collègues ne balaient pas tout simplement cet argument du revers </w:t>
      </w:r>
      <w:r w:rsidRPr="00674619">
        <w:rPr>
          <w:rFonts w:cs="Times New Roman"/>
          <w:lang w:val="fr-CA"/>
        </w:rPr>
        <w:lastRenderedPageBreak/>
        <w:t>de la main.  Ils expliquent pourquoi il y a lieu de le rejeter en l’espèce.  Si la Commission avait fait de même, nous ne serions pas ici aujourd’hui.</w:t>
      </w:r>
    </w:p>
    <w:p w:rsidR="00046CA9" w:rsidRPr="00674619" w:rsidRDefault="00046CA9" w:rsidP="00046CA9">
      <w:pPr>
        <w:pStyle w:val="ParaNoNdepar-AltN"/>
        <w:rPr>
          <w:rFonts w:cs="Times New Roman"/>
          <w:lang w:val="fr-CA"/>
        </w:rPr>
      </w:pPr>
      <w:r w:rsidRPr="00674619">
        <w:rPr>
          <w:rFonts w:cs="Times New Roman"/>
          <w:lang w:val="fr-CA"/>
        </w:rPr>
        <w:t xml:space="preserve">La Cour a énoncé le test relatif à la liberté de </w:t>
      </w:r>
      <w:r w:rsidRPr="00674619">
        <w:rPr>
          <w:rFonts w:cs="Times New Roman"/>
          <w:i/>
          <w:lang w:val="fr-CA"/>
        </w:rPr>
        <w:t>ne pas</w:t>
      </w:r>
      <w:r w:rsidRPr="00674619">
        <w:rPr>
          <w:rFonts w:cs="Times New Roman"/>
          <w:lang w:val="fr-CA"/>
        </w:rPr>
        <w:t xml:space="preserve"> s’associer garantie par l’al. 2</w:t>
      </w:r>
      <w:r w:rsidRPr="00674619">
        <w:rPr>
          <w:rFonts w:cs="Times New Roman"/>
          <w:i/>
          <w:lang w:val="fr-CA"/>
        </w:rPr>
        <w:t>d</w:t>
      </w:r>
      <w:r w:rsidRPr="00674619">
        <w:rPr>
          <w:rFonts w:cs="Times New Roman"/>
          <w:lang w:val="fr-CA"/>
        </w:rPr>
        <w:t xml:space="preserve">) de la </w:t>
      </w:r>
      <w:r w:rsidRPr="00674619">
        <w:rPr>
          <w:rFonts w:cs="Times New Roman"/>
          <w:i/>
          <w:lang w:val="fr-CA"/>
        </w:rPr>
        <w:t>Charte</w:t>
      </w:r>
      <w:r w:rsidRPr="00674619">
        <w:rPr>
          <w:rFonts w:cs="Times New Roman"/>
          <w:lang w:val="fr-CA"/>
        </w:rPr>
        <w:t xml:space="preserve"> dans </w:t>
      </w:r>
      <w:r w:rsidRPr="00674619">
        <w:rPr>
          <w:rFonts w:cs="Times New Roman"/>
          <w:i/>
          <w:lang w:val="fr-CA"/>
        </w:rPr>
        <w:t xml:space="preserve">Lavigne c.  </w:t>
      </w:r>
      <w:r w:rsidRPr="00674619">
        <w:rPr>
          <w:rFonts w:cs="Times New Roman"/>
          <w:bCs/>
          <w:i/>
          <w:szCs w:val="24"/>
          <w:lang w:val="fr-FR"/>
        </w:rPr>
        <w:t>Syndicat des employés de la fonction publique de l'Ontario</w:t>
      </w:r>
      <w:r w:rsidRPr="00674619">
        <w:rPr>
          <w:rFonts w:cs="Times New Roman"/>
          <w:szCs w:val="24"/>
          <w:lang w:val="fr-CA"/>
        </w:rPr>
        <w:t>,</w:t>
      </w:r>
      <w:r w:rsidRPr="00674619">
        <w:rPr>
          <w:rFonts w:cs="Times New Roman"/>
          <w:lang w:val="fr-CA"/>
        </w:rPr>
        <w:t xml:space="preserve"> [1991] 2 R.C.S. 211 et dans </w:t>
      </w:r>
      <w:r w:rsidRPr="00674619">
        <w:rPr>
          <w:rFonts w:cs="Times New Roman"/>
          <w:i/>
          <w:lang w:val="fr-CA"/>
        </w:rPr>
        <w:t xml:space="preserve">R. c. </w:t>
      </w:r>
      <w:proofErr w:type="spellStart"/>
      <w:r w:rsidRPr="00674619">
        <w:rPr>
          <w:rFonts w:cs="Times New Roman"/>
          <w:i/>
          <w:lang w:val="fr-CA"/>
        </w:rPr>
        <w:t>Advance</w:t>
      </w:r>
      <w:proofErr w:type="spellEnd"/>
      <w:r w:rsidRPr="00674619">
        <w:rPr>
          <w:rFonts w:cs="Times New Roman"/>
          <w:i/>
          <w:lang w:val="fr-CA"/>
        </w:rPr>
        <w:t xml:space="preserve"> </w:t>
      </w:r>
      <w:proofErr w:type="spellStart"/>
      <w:r w:rsidRPr="00674619">
        <w:rPr>
          <w:rFonts w:cs="Times New Roman"/>
          <w:i/>
          <w:lang w:val="fr-CA"/>
        </w:rPr>
        <w:t>Cutting</w:t>
      </w:r>
      <w:proofErr w:type="spellEnd"/>
      <w:r w:rsidRPr="00674619">
        <w:rPr>
          <w:rFonts w:cs="Times New Roman"/>
          <w:i/>
          <w:lang w:val="fr-CA"/>
        </w:rPr>
        <w:t xml:space="preserve"> &amp; </w:t>
      </w:r>
      <w:proofErr w:type="spellStart"/>
      <w:r w:rsidRPr="00674619">
        <w:rPr>
          <w:rFonts w:cs="Times New Roman"/>
          <w:i/>
          <w:lang w:val="fr-CA"/>
        </w:rPr>
        <w:t>Coring</w:t>
      </w:r>
      <w:proofErr w:type="spellEnd"/>
      <w:r w:rsidRPr="00674619">
        <w:rPr>
          <w:rFonts w:cs="Times New Roman"/>
          <w:i/>
          <w:lang w:val="fr-CA"/>
        </w:rPr>
        <w:t xml:space="preserve"> Ltd.</w:t>
      </w:r>
      <w:r w:rsidRPr="00674619">
        <w:rPr>
          <w:rFonts w:cs="Times New Roman"/>
          <w:lang w:val="fr-CA"/>
        </w:rPr>
        <w:t xml:space="preserve">, 2001 CSC 70, [2001] 3 R.C.S. 209.  Deux critères distincts se dégagent de ces arrêts. </w:t>
      </w:r>
    </w:p>
    <w:p w:rsidR="00046CA9" w:rsidRPr="00674619" w:rsidRDefault="00046CA9" w:rsidP="00046CA9">
      <w:pPr>
        <w:pStyle w:val="ParaNoNdepar-AltN"/>
        <w:rPr>
          <w:rFonts w:cs="Times New Roman"/>
          <w:lang w:val="fr-CA"/>
        </w:rPr>
      </w:pPr>
      <w:r w:rsidRPr="00674619">
        <w:rPr>
          <w:rFonts w:cs="Times New Roman"/>
          <w:lang w:val="fr-CA"/>
        </w:rPr>
        <w:t xml:space="preserve">Selon le premier critère (le « critère de la conformité idéologique »), que la majorité des juges de la Cour ont appliqué dans l’arrêt </w:t>
      </w:r>
      <w:proofErr w:type="spellStart"/>
      <w:r w:rsidRPr="00674619">
        <w:rPr>
          <w:rFonts w:cs="Times New Roman"/>
          <w:i/>
          <w:lang w:val="fr-CA"/>
        </w:rPr>
        <w:t>Advance</w:t>
      </w:r>
      <w:proofErr w:type="spellEnd"/>
      <w:r w:rsidRPr="00674619">
        <w:rPr>
          <w:rFonts w:cs="Times New Roman"/>
          <w:i/>
          <w:lang w:val="fr-CA"/>
        </w:rPr>
        <w:t xml:space="preserve"> </w:t>
      </w:r>
      <w:proofErr w:type="spellStart"/>
      <w:r w:rsidRPr="00674619">
        <w:rPr>
          <w:rFonts w:cs="Times New Roman"/>
          <w:i/>
          <w:lang w:val="fr-CA"/>
        </w:rPr>
        <w:t>Cutting</w:t>
      </w:r>
      <w:proofErr w:type="spellEnd"/>
      <w:r w:rsidRPr="00674619">
        <w:rPr>
          <w:rFonts w:cs="Times New Roman"/>
          <w:lang w:val="fr-CA"/>
        </w:rPr>
        <w:t xml:space="preserve">, le demandeur doit démontrer qu’il a été forcé de s’associer et d’adhérer à une forme de conformité idéologique. </w:t>
      </w:r>
    </w:p>
    <w:p w:rsidR="00046CA9" w:rsidRPr="00674619" w:rsidRDefault="00046CA9" w:rsidP="00046CA9">
      <w:pPr>
        <w:pStyle w:val="ParaNoNdepar-AltN"/>
        <w:rPr>
          <w:rFonts w:cs="Times New Roman"/>
          <w:lang w:val="fr-CA"/>
        </w:rPr>
      </w:pPr>
      <w:r w:rsidRPr="00674619">
        <w:rPr>
          <w:rFonts w:cs="Times New Roman"/>
          <w:lang w:val="fr-CA"/>
        </w:rPr>
        <w:t>Le deuxième critère (le « critère de la liberté ») requiert une association forcée et une atteinte au droit à la liberté.  La question de savoir si un tel critère s’applique ou non dans le contexte d’une</w:t>
      </w:r>
      <w:r>
        <w:rPr>
          <w:rFonts w:cs="Times New Roman"/>
          <w:lang w:val="fr-CA"/>
        </w:rPr>
        <w:t xml:space="preserve"> revendication fondée sur l’al. </w:t>
      </w:r>
      <w:r w:rsidRPr="00674619">
        <w:rPr>
          <w:rFonts w:cs="Times New Roman"/>
          <w:lang w:val="fr-CA"/>
        </w:rPr>
        <w:t>2</w:t>
      </w:r>
      <w:r w:rsidRPr="00674619">
        <w:rPr>
          <w:rFonts w:cs="Times New Roman"/>
          <w:i/>
          <w:lang w:val="fr-CA"/>
        </w:rPr>
        <w:t>d</w:t>
      </w:r>
      <w:r w:rsidRPr="00674619">
        <w:rPr>
          <w:rFonts w:cs="Times New Roman"/>
          <w:lang w:val="fr-CA"/>
        </w:rPr>
        <w:t xml:space="preserve">) de la </w:t>
      </w:r>
      <w:r w:rsidRPr="00674619">
        <w:rPr>
          <w:rFonts w:cs="Times New Roman"/>
          <w:i/>
          <w:lang w:val="fr-CA"/>
        </w:rPr>
        <w:t xml:space="preserve">Charte </w:t>
      </w:r>
      <w:r w:rsidRPr="00674619">
        <w:rPr>
          <w:rFonts w:cs="Times New Roman"/>
          <w:lang w:val="fr-CA"/>
        </w:rPr>
        <w:t xml:space="preserve">n’a pas été tranchée de manière définitive.  Même si, dans </w:t>
      </w:r>
      <w:proofErr w:type="spellStart"/>
      <w:r w:rsidRPr="00674619">
        <w:rPr>
          <w:rFonts w:cs="Times New Roman"/>
          <w:i/>
          <w:lang w:val="fr-CA"/>
        </w:rPr>
        <w:t>Advance</w:t>
      </w:r>
      <w:proofErr w:type="spellEnd"/>
      <w:r w:rsidRPr="00674619">
        <w:rPr>
          <w:rFonts w:cs="Times New Roman"/>
          <w:i/>
          <w:lang w:val="fr-CA"/>
        </w:rPr>
        <w:t xml:space="preserve"> </w:t>
      </w:r>
      <w:proofErr w:type="spellStart"/>
      <w:r w:rsidRPr="00674619">
        <w:rPr>
          <w:rFonts w:cs="Times New Roman"/>
          <w:i/>
          <w:lang w:val="fr-CA"/>
        </w:rPr>
        <w:t>Cutting</w:t>
      </w:r>
      <w:proofErr w:type="spellEnd"/>
      <w:r w:rsidRPr="00674619">
        <w:rPr>
          <w:rFonts w:cs="Times New Roman"/>
          <w:lang w:val="fr-CA"/>
        </w:rPr>
        <w:t xml:space="preserve">, la majorité des juges ont invoqué en </w:t>
      </w:r>
      <w:proofErr w:type="spellStart"/>
      <w:r w:rsidRPr="00674619">
        <w:rPr>
          <w:rFonts w:cs="Times New Roman"/>
          <w:i/>
          <w:lang w:val="fr-CA"/>
        </w:rPr>
        <w:t>obiter</w:t>
      </w:r>
      <w:proofErr w:type="spellEnd"/>
      <w:r w:rsidRPr="00674619">
        <w:rPr>
          <w:rFonts w:cs="Times New Roman"/>
          <w:lang w:val="fr-CA"/>
        </w:rPr>
        <w:t xml:space="preserve"> le critère de la liberté (voir les motifs du juge </w:t>
      </w:r>
      <w:proofErr w:type="spellStart"/>
      <w:r w:rsidRPr="00674619">
        <w:rPr>
          <w:rFonts w:cs="Times New Roman"/>
          <w:lang w:val="fr-CA"/>
        </w:rPr>
        <w:t>Bastarache</w:t>
      </w:r>
      <w:proofErr w:type="spellEnd"/>
      <w:r w:rsidRPr="00674619">
        <w:rPr>
          <w:rFonts w:cs="Times New Roman"/>
          <w:lang w:val="fr-CA"/>
        </w:rPr>
        <w:t xml:space="preserve">, par. 33, et ceux du juge LeBel, par. 221), seul le juge </w:t>
      </w:r>
      <w:proofErr w:type="spellStart"/>
      <w:r w:rsidRPr="00674619">
        <w:rPr>
          <w:rFonts w:cs="Times New Roman"/>
          <w:lang w:val="fr-CA"/>
        </w:rPr>
        <w:t>Iacobucci</w:t>
      </w:r>
      <w:proofErr w:type="spellEnd"/>
      <w:r w:rsidRPr="00674619">
        <w:rPr>
          <w:rFonts w:cs="Times New Roman"/>
          <w:lang w:val="fr-CA"/>
        </w:rPr>
        <w:t xml:space="preserve"> l’a appliqué, l’adoptant à la place du critère de la conformité idéologique (par. 284</w:t>
      </w:r>
      <w:r w:rsidR="005A3D5B">
        <w:rPr>
          <w:rFonts w:cs="Times New Roman"/>
          <w:lang w:val="fr-CA"/>
        </w:rPr>
        <w:t>-</w:t>
      </w:r>
      <w:r w:rsidRPr="00674619">
        <w:rPr>
          <w:rFonts w:cs="Times New Roman"/>
          <w:lang w:val="fr-CA"/>
        </w:rPr>
        <w:t xml:space="preserve">285).  Pour les motifs énoncés </w:t>
      </w:r>
      <w:proofErr w:type="spellStart"/>
      <w:r w:rsidRPr="00674619">
        <w:rPr>
          <w:rFonts w:cs="Times New Roman"/>
          <w:lang w:val="fr-CA"/>
        </w:rPr>
        <w:t>ci</w:t>
      </w:r>
      <w:r w:rsidRPr="00674619">
        <w:rPr>
          <w:rFonts w:cs="Times New Roman"/>
          <w:lang w:val="fr-CA"/>
        </w:rPr>
        <w:noBreakHyphen/>
        <w:t>après</w:t>
      </w:r>
      <w:proofErr w:type="spellEnd"/>
      <w:r w:rsidRPr="00674619">
        <w:rPr>
          <w:rFonts w:cs="Times New Roman"/>
          <w:lang w:val="fr-CA"/>
        </w:rPr>
        <w:t>, il n’est pas nécessaire d’aborder la question de l’existence d’un tel critère.</w:t>
      </w:r>
    </w:p>
    <w:p w:rsidR="00046CA9" w:rsidRPr="00674619" w:rsidRDefault="00046CA9" w:rsidP="00046CA9">
      <w:pPr>
        <w:pStyle w:val="Title4LevelTitre4Niveau"/>
        <w:keepNext/>
        <w:numPr>
          <w:ilvl w:val="0"/>
          <w:numId w:val="26"/>
        </w:numPr>
        <w:tabs>
          <w:tab w:val="left" w:pos="1080"/>
        </w:tabs>
        <w:spacing w:before="0"/>
        <w:jc w:val="both"/>
        <w:rPr>
          <w:rFonts w:cs="Times New Roman"/>
          <w:lang w:val="fr-CA"/>
        </w:rPr>
      </w:pPr>
      <w:r w:rsidRPr="00674619">
        <w:rPr>
          <w:rFonts w:cs="Times New Roman"/>
          <w:lang w:val="fr-CA"/>
        </w:rPr>
        <w:lastRenderedPageBreak/>
        <w:t xml:space="preserve">Le critère de la conformité idéologique  </w:t>
      </w:r>
    </w:p>
    <w:p w:rsidR="00046CA9" w:rsidRPr="00674619" w:rsidRDefault="00046CA9" w:rsidP="00046CA9">
      <w:pPr>
        <w:pStyle w:val="ParaNoNdepar-AltN"/>
        <w:rPr>
          <w:rFonts w:cs="Times New Roman"/>
          <w:lang w:val="fr-CA"/>
        </w:rPr>
      </w:pPr>
      <w:r w:rsidRPr="00674619">
        <w:rPr>
          <w:rFonts w:cs="Times New Roman"/>
          <w:lang w:val="fr-CA"/>
        </w:rPr>
        <w:t>Il n’est pas satisfait au premier volet du critère de la conformité idéologique, soit l’existence d’une association forcée.</w:t>
      </w:r>
    </w:p>
    <w:p w:rsidR="00046CA9" w:rsidRPr="00674619" w:rsidRDefault="00046CA9" w:rsidP="00046CA9">
      <w:pPr>
        <w:pStyle w:val="ParaNoNdepar-AltN"/>
        <w:rPr>
          <w:rFonts w:cs="Times New Roman"/>
          <w:lang w:val="fr-CA"/>
        </w:rPr>
      </w:pPr>
      <w:r w:rsidRPr="00674619">
        <w:rPr>
          <w:rFonts w:cs="Times New Roman"/>
          <w:lang w:val="fr-CA"/>
        </w:rPr>
        <w:t>Je conviens avec les juges Abella et Cromwell que le simple fait de communiquer l’adresse et le numéro de téléphone résidentiels de M</w:t>
      </w:r>
      <w:r w:rsidRPr="00674619">
        <w:rPr>
          <w:rFonts w:cs="Times New Roman"/>
          <w:vertAlign w:val="superscript"/>
          <w:lang w:val="fr-CA"/>
        </w:rPr>
        <w:t>me</w:t>
      </w:r>
      <w:r w:rsidRPr="00674619">
        <w:rPr>
          <w:rFonts w:cs="Times New Roman"/>
          <w:lang w:val="fr-CA"/>
        </w:rPr>
        <w:t> Bernard à l’agent négociateur ne peut pas être considéré comme une association forcée.  Pour déclencher l’application des protections garanties par l’al. 2</w:t>
      </w:r>
      <w:r w:rsidRPr="00674619">
        <w:rPr>
          <w:rFonts w:cs="Times New Roman"/>
          <w:i/>
          <w:lang w:val="fr-CA"/>
        </w:rPr>
        <w:t>d</w:t>
      </w:r>
      <w:r w:rsidRPr="00674619">
        <w:rPr>
          <w:rFonts w:cs="Times New Roman"/>
          <w:lang w:val="fr-CA"/>
        </w:rPr>
        <w:t xml:space="preserve">) de la </w:t>
      </w:r>
      <w:r w:rsidRPr="00674619">
        <w:rPr>
          <w:rFonts w:cs="Times New Roman"/>
          <w:i/>
          <w:lang w:val="fr-CA"/>
        </w:rPr>
        <w:t>Charte</w:t>
      </w:r>
      <w:r w:rsidRPr="00674619">
        <w:rPr>
          <w:rFonts w:cs="Times New Roman"/>
          <w:lang w:val="fr-CA"/>
        </w:rPr>
        <w:t>, une personne doit être obligée de poser un des actes d’association suivants : constituer une association, y appartenir, la maintenir ou y participer (</w:t>
      </w:r>
      <w:r w:rsidRPr="00674619">
        <w:rPr>
          <w:rFonts w:cs="Times New Roman"/>
          <w:i/>
          <w:lang w:val="fr-CA"/>
        </w:rPr>
        <w:t>Lavigne</w:t>
      </w:r>
      <w:r w:rsidRPr="00674619">
        <w:rPr>
          <w:rFonts w:cs="Times New Roman"/>
          <w:lang w:val="fr-CA"/>
        </w:rPr>
        <w:t>, p. 323, le juge La Forest).  Or, la communication des renseignements ordonnée par la Commission permettrait tout au plus à l’agent négociateur de communiquer avec M</w:t>
      </w:r>
      <w:r w:rsidRPr="00674619">
        <w:rPr>
          <w:rFonts w:cs="Times New Roman"/>
          <w:vertAlign w:val="superscript"/>
          <w:lang w:val="fr-CA"/>
        </w:rPr>
        <w:t>me </w:t>
      </w:r>
      <w:r w:rsidRPr="00674619">
        <w:rPr>
          <w:rFonts w:cs="Times New Roman"/>
          <w:lang w:val="fr-CA"/>
        </w:rPr>
        <w:t>Bernard par téléphone, par courrier ou en personne — elle ne serait aucunement obligée d’accorder une importance accrue à ces formes anodines de communication et de s’associer.  Elle pourrait, par exemple, raccrocher le téléphone, jeter le courrier ou fermer la porte d’entrée</w:t>
      </w:r>
      <w:r>
        <w:rPr>
          <w:rFonts w:cs="Times New Roman"/>
          <w:lang w:val="fr-CA"/>
        </w:rPr>
        <w:t xml:space="preserve">.  </w:t>
      </w:r>
      <w:r w:rsidRPr="00674619">
        <w:rPr>
          <w:rFonts w:cs="Times New Roman"/>
          <w:lang w:val="fr-CA"/>
        </w:rPr>
        <w:t>Les décisions de la Commission n’ont pas eu pour effet d’enlever à M</w:t>
      </w:r>
      <w:r w:rsidRPr="00674619">
        <w:rPr>
          <w:rFonts w:cs="Times New Roman"/>
          <w:vertAlign w:val="superscript"/>
          <w:lang w:val="fr-CA"/>
        </w:rPr>
        <w:t>me</w:t>
      </w:r>
      <w:r w:rsidRPr="00674619">
        <w:rPr>
          <w:rFonts w:cs="Times New Roman"/>
          <w:lang w:val="fr-CA"/>
        </w:rPr>
        <w:t xml:space="preserve"> Bernard la liberté de refuser de s’associer.  Comme le juge La Forest l’a souligné dans l’arrêt </w:t>
      </w:r>
      <w:r w:rsidRPr="00674619">
        <w:rPr>
          <w:rFonts w:cs="Times New Roman"/>
          <w:i/>
          <w:lang w:val="fr-CA"/>
        </w:rPr>
        <w:t>Lavigne</w:t>
      </w:r>
      <w:r w:rsidRPr="00674619">
        <w:rPr>
          <w:rFonts w:cs="Times New Roman"/>
          <w:lang w:val="fr-CA"/>
        </w:rPr>
        <w:t xml:space="preserve">, la liberté de ne pas s’associer n’est pas un « droit à l’isolement » (p. 320). </w:t>
      </w:r>
    </w:p>
    <w:p w:rsidR="00046CA9" w:rsidRPr="00674619" w:rsidRDefault="00046CA9" w:rsidP="00046CA9">
      <w:pPr>
        <w:pStyle w:val="ParaNoNdepar-AltN"/>
        <w:rPr>
          <w:rFonts w:cs="Times New Roman"/>
          <w:lang w:val="fr-CA"/>
        </w:rPr>
      </w:pPr>
      <w:r w:rsidRPr="00674619">
        <w:rPr>
          <w:rFonts w:cs="Times New Roman"/>
          <w:lang w:val="fr-CA"/>
        </w:rPr>
        <w:t>M</w:t>
      </w:r>
      <w:r w:rsidRPr="00674619">
        <w:rPr>
          <w:rFonts w:cs="Times New Roman"/>
          <w:vertAlign w:val="superscript"/>
          <w:lang w:val="fr-CA"/>
        </w:rPr>
        <w:t>me</w:t>
      </w:r>
      <w:r w:rsidRPr="00674619">
        <w:rPr>
          <w:rFonts w:cs="Times New Roman"/>
          <w:lang w:val="fr-CA"/>
        </w:rPr>
        <w:t> Bernard prétend que la possibilité qu’il y ait du piquetage secondaire chez elle, par suite de la communication de son adresse résidentielle, viole le droit qui lui est conféré par l’al. 2</w:t>
      </w:r>
      <w:r w:rsidRPr="00674619">
        <w:rPr>
          <w:rFonts w:cs="Times New Roman"/>
          <w:i/>
          <w:lang w:val="fr-CA"/>
        </w:rPr>
        <w:t>d</w:t>
      </w:r>
      <w:r w:rsidRPr="00674619">
        <w:rPr>
          <w:rFonts w:cs="Times New Roman"/>
          <w:lang w:val="fr-CA"/>
        </w:rPr>
        <w:t xml:space="preserve">) de la </w:t>
      </w:r>
      <w:r w:rsidRPr="00674619">
        <w:rPr>
          <w:rFonts w:cs="Times New Roman"/>
          <w:i/>
          <w:lang w:val="fr-CA"/>
        </w:rPr>
        <w:t>Charte</w:t>
      </w:r>
      <w:r w:rsidRPr="00674619">
        <w:rPr>
          <w:rFonts w:cs="Times New Roman"/>
          <w:lang w:val="fr-CA"/>
        </w:rPr>
        <w:t xml:space="preserve">.  La Cour a effectivement conclu que le </w:t>
      </w:r>
      <w:r w:rsidRPr="00674619">
        <w:rPr>
          <w:rFonts w:cs="Times New Roman"/>
          <w:lang w:val="fr-CA"/>
        </w:rPr>
        <w:lastRenderedPageBreak/>
        <w:t xml:space="preserve">piquetage secondaire est, à première vue, légal : </w:t>
      </w:r>
      <w:r w:rsidRPr="00674619">
        <w:rPr>
          <w:rFonts w:cs="Times New Roman"/>
          <w:i/>
          <w:lang w:val="fr-CA"/>
        </w:rPr>
        <w:t>S.D.G.M.R.</w:t>
      </w:r>
      <w:r w:rsidRPr="005A3D5B">
        <w:rPr>
          <w:rFonts w:cs="Times New Roman"/>
          <w:i/>
          <w:lang w:val="fr-CA"/>
        </w:rPr>
        <w:t>,</w:t>
      </w:r>
      <w:r w:rsidRPr="00674619">
        <w:rPr>
          <w:rFonts w:cs="Times New Roman"/>
          <w:i/>
          <w:lang w:val="fr-CA"/>
        </w:rPr>
        <w:t xml:space="preserve"> section locale 558 c. </w:t>
      </w:r>
      <w:proofErr w:type="spellStart"/>
      <w:r w:rsidRPr="00674619">
        <w:rPr>
          <w:rFonts w:cs="Times New Roman"/>
          <w:i/>
          <w:lang w:val="fr-CA"/>
        </w:rPr>
        <w:t>Pepsi</w:t>
      </w:r>
      <w:r w:rsidRPr="00674619">
        <w:rPr>
          <w:rFonts w:cs="Times New Roman"/>
          <w:i/>
          <w:lang w:val="fr-CA"/>
        </w:rPr>
        <w:noBreakHyphen/>
        <w:t>Cola</w:t>
      </w:r>
      <w:proofErr w:type="spellEnd"/>
      <w:r w:rsidRPr="00674619">
        <w:rPr>
          <w:rFonts w:cs="Times New Roman"/>
          <w:i/>
          <w:lang w:val="fr-CA"/>
        </w:rPr>
        <w:t xml:space="preserve"> Canada </w:t>
      </w:r>
      <w:proofErr w:type="spellStart"/>
      <w:r w:rsidRPr="00674619">
        <w:rPr>
          <w:rFonts w:cs="Times New Roman"/>
          <w:i/>
          <w:lang w:val="fr-CA"/>
        </w:rPr>
        <w:t>Beverages</w:t>
      </w:r>
      <w:proofErr w:type="spellEnd"/>
      <w:r w:rsidRPr="00674619">
        <w:rPr>
          <w:rFonts w:cs="Times New Roman"/>
          <w:i/>
          <w:lang w:val="fr-CA"/>
        </w:rPr>
        <w:t xml:space="preserve"> (West) Ltd.</w:t>
      </w:r>
      <w:r w:rsidRPr="00674619">
        <w:rPr>
          <w:rFonts w:cs="Times New Roman"/>
          <w:lang w:val="fr-CA"/>
        </w:rPr>
        <w:t xml:space="preserve">, 2002 CSC 8, [2002] 1 R.C.S. 156, par. 67.  Le piquetage secondaire n’est toutefois plus légal s’il comporte une conduite délictuelle ou criminelle (par. 3).  La Cour irait donc à l’encontre de l’arrêt </w:t>
      </w:r>
      <w:proofErr w:type="spellStart"/>
      <w:r w:rsidRPr="00674619">
        <w:rPr>
          <w:rFonts w:cs="Times New Roman"/>
          <w:i/>
          <w:lang w:val="fr-CA"/>
        </w:rPr>
        <w:t>Pepsi</w:t>
      </w:r>
      <w:r w:rsidRPr="00674619">
        <w:rPr>
          <w:rFonts w:cs="Times New Roman"/>
          <w:i/>
          <w:lang w:val="fr-CA"/>
        </w:rPr>
        <w:noBreakHyphen/>
        <w:t>Cola</w:t>
      </w:r>
      <w:proofErr w:type="spellEnd"/>
      <w:r w:rsidRPr="00674619">
        <w:rPr>
          <w:rFonts w:cs="Times New Roman"/>
          <w:lang w:val="fr-CA"/>
        </w:rPr>
        <w:t xml:space="preserve"> si elle affirmait que la simple </w:t>
      </w:r>
      <w:r w:rsidRPr="00674619">
        <w:rPr>
          <w:rFonts w:cs="Times New Roman"/>
          <w:i/>
          <w:lang w:val="fr-CA"/>
        </w:rPr>
        <w:t>possibilité</w:t>
      </w:r>
      <w:r w:rsidRPr="00674619">
        <w:rPr>
          <w:rFonts w:cs="Times New Roman"/>
          <w:lang w:val="fr-CA"/>
        </w:rPr>
        <w:t xml:space="preserve"> de piquetage secondaire — une activité légale à première vue — chez M</w:t>
      </w:r>
      <w:r w:rsidRPr="00674619">
        <w:rPr>
          <w:rFonts w:cs="Times New Roman"/>
          <w:vertAlign w:val="superscript"/>
          <w:lang w:val="fr-CA"/>
        </w:rPr>
        <w:t>me</w:t>
      </w:r>
      <w:r w:rsidRPr="00674619">
        <w:rPr>
          <w:rFonts w:cs="Times New Roman"/>
          <w:lang w:val="fr-CA"/>
        </w:rPr>
        <w:t> Bernard viole le droit à la liberté de ne pas s’associer que lui garantit l’al. 2</w:t>
      </w:r>
      <w:r w:rsidRPr="00674619">
        <w:rPr>
          <w:rFonts w:cs="Times New Roman"/>
          <w:i/>
          <w:lang w:val="fr-CA"/>
        </w:rPr>
        <w:t>d</w:t>
      </w:r>
      <w:r w:rsidRPr="00674619">
        <w:rPr>
          <w:rFonts w:cs="Times New Roman"/>
          <w:lang w:val="fr-CA"/>
        </w:rPr>
        <w:t>).</w:t>
      </w:r>
    </w:p>
    <w:p w:rsidR="00046CA9" w:rsidRPr="00674619" w:rsidRDefault="00046CA9" w:rsidP="00046CA9">
      <w:pPr>
        <w:pStyle w:val="ParaNoNdepar-AltN"/>
        <w:rPr>
          <w:rFonts w:cs="Times New Roman"/>
          <w:lang w:val="fr-CA"/>
        </w:rPr>
      </w:pPr>
      <w:r w:rsidRPr="00674619">
        <w:rPr>
          <w:rFonts w:cs="Times New Roman"/>
          <w:lang w:val="fr-CA"/>
        </w:rPr>
        <w:t>Vu cette conclusion, la Cour n’a pas à se pencher sur le second volet du critère.  Cependant, M</w:t>
      </w:r>
      <w:r w:rsidRPr="00674619">
        <w:rPr>
          <w:rFonts w:cs="Times New Roman"/>
          <w:vertAlign w:val="superscript"/>
          <w:lang w:val="fr-CA"/>
        </w:rPr>
        <w:t>me</w:t>
      </w:r>
      <w:r w:rsidRPr="00674619">
        <w:rPr>
          <w:rFonts w:cs="Times New Roman"/>
          <w:lang w:val="fr-CA"/>
        </w:rPr>
        <w:t> Bernard n’a pas non plus démontré que les ordonnances de la Commission constituaient une forme de conformité idéologique forcée.  La question est donc de savoir si « l’activité a pour effet d’associer l’individu à des idées et à des valeurs auxquelles il ne souscrit pas volontairement » (</w:t>
      </w:r>
      <w:r w:rsidRPr="00674619">
        <w:rPr>
          <w:rFonts w:cs="Times New Roman"/>
          <w:i/>
          <w:lang w:val="fr-CA"/>
        </w:rPr>
        <w:t>Lavigne</w:t>
      </w:r>
      <w:r w:rsidR="005A3D5B">
        <w:rPr>
          <w:rFonts w:cs="Times New Roman"/>
          <w:lang w:val="fr-CA"/>
        </w:rPr>
        <w:t xml:space="preserve">, p. 344, la juge McLachlin, maintenant </w:t>
      </w:r>
      <w:r w:rsidRPr="00674619">
        <w:rPr>
          <w:rFonts w:cs="Times New Roman"/>
          <w:lang w:val="fr-CA"/>
        </w:rPr>
        <w:t xml:space="preserve">Juge en chef).  Un simple contact n’équivaut pas à une telle contrainte.  </w:t>
      </w:r>
    </w:p>
    <w:p w:rsidR="00046CA9" w:rsidRPr="00674619" w:rsidRDefault="00046CA9" w:rsidP="00046CA9">
      <w:pPr>
        <w:pStyle w:val="Title4LevelTitre4Niveau"/>
        <w:keepNext/>
        <w:numPr>
          <w:ilvl w:val="0"/>
          <w:numId w:val="26"/>
        </w:numPr>
        <w:tabs>
          <w:tab w:val="left" w:pos="1080"/>
        </w:tabs>
        <w:spacing w:before="0"/>
        <w:jc w:val="both"/>
        <w:rPr>
          <w:rFonts w:cs="Times New Roman"/>
          <w:lang w:val="fr-CA"/>
        </w:rPr>
      </w:pPr>
      <w:r w:rsidRPr="00674619">
        <w:rPr>
          <w:rFonts w:cs="Times New Roman"/>
          <w:lang w:val="fr-CA"/>
        </w:rPr>
        <w:t xml:space="preserve">Le critère de la liberté </w:t>
      </w:r>
    </w:p>
    <w:p w:rsidR="00046CA9" w:rsidRPr="00674619" w:rsidRDefault="00046CA9" w:rsidP="00046CA9">
      <w:pPr>
        <w:pStyle w:val="ParaNoNdepar-AltN"/>
        <w:rPr>
          <w:rFonts w:cs="Times New Roman"/>
          <w:lang w:val="fr-CA"/>
        </w:rPr>
      </w:pPr>
      <w:r w:rsidRPr="00674619">
        <w:rPr>
          <w:rFonts w:cs="Times New Roman"/>
          <w:lang w:val="fr-CA"/>
        </w:rPr>
        <w:t>À supposer, sans en décider, que notre droit reconnaît que la liberté de ne pas s’associer fondée sur l’al. 2</w:t>
      </w:r>
      <w:r w:rsidRPr="00674619">
        <w:rPr>
          <w:rFonts w:cs="Times New Roman"/>
          <w:i/>
          <w:lang w:val="fr-CA"/>
        </w:rPr>
        <w:t>d</w:t>
      </w:r>
      <w:r w:rsidRPr="00674619">
        <w:rPr>
          <w:rFonts w:cs="Times New Roman"/>
          <w:lang w:val="fr-CA"/>
        </w:rPr>
        <w:t xml:space="preserve">) de la </w:t>
      </w:r>
      <w:r w:rsidRPr="00674619">
        <w:rPr>
          <w:rFonts w:cs="Times New Roman"/>
          <w:i/>
          <w:lang w:val="fr-CA"/>
        </w:rPr>
        <w:t xml:space="preserve">Charte </w:t>
      </w:r>
      <w:r w:rsidRPr="00674619">
        <w:rPr>
          <w:rFonts w:cs="Times New Roman"/>
          <w:lang w:val="fr-CA"/>
        </w:rPr>
        <w:t>peut être revendiquée relativement au critère de la liberté décrit précédemment, le premier volet du critère — l’existence de l’association forcée — n’a pas été établi</w:t>
      </w:r>
      <w:r>
        <w:rPr>
          <w:rFonts w:cs="Times New Roman"/>
          <w:lang w:val="fr-CA"/>
        </w:rPr>
        <w:t xml:space="preserve">.  </w:t>
      </w:r>
      <w:r w:rsidRPr="00674619">
        <w:rPr>
          <w:rFonts w:cs="Times New Roman"/>
          <w:lang w:val="fr-CA"/>
        </w:rPr>
        <w:t>Cet argument doit donc être rejeté.</w:t>
      </w:r>
    </w:p>
    <w:p w:rsidR="00046CA9" w:rsidRPr="00674619" w:rsidRDefault="00046CA9" w:rsidP="00046CA9">
      <w:pPr>
        <w:pStyle w:val="Title3LevelTitre3Niveau"/>
        <w:keepNext/>
        <w:tabs>
          <w:tab w:val="clear" w:pos="864"/>
          <w:tab w:val="num" w:pos="1080"/>
          <w:tab w:val="num" w:pos="6048"/>
        </w:tabs>
        <w:spacing w:before="0"/>
        <w:ind w:left="1080" w:hanging="540"/>
        <w:jc w:val="both"/>
        <w:rPr>
          <w:rFonts w:cs="Times New Roman"/>
          <w:i/>
          <w:lang w:val="fr-CA"/>
        </w:rPr>
      </w:pPr>
      <w:r w:rsidRPr="00674619">
        <w:rPr>
          <w:rFonts w:cs="Times New Roman"/>
          <w:lang w:val="fr-CA"/>
        </w:rPr>
        <w:lastRenderedPageBreak/>
        <w:t>Il n’y a pas violation de l’art</w:t>
      </w:r>
      <w:r w:rsidR="00411207">
        <w:rPr>
          <w:rFonts w:cs="Times New Roman"/>
          <w:lang w:val="fr-CA"/>
        </w:rPr>
        <w:t>.</w:t>
      </w:r>
      <w:r w:rsidRPr="00674619">
        <w:rPr>
          <w:rFonts w:cs="Times New Roman"/>
          <w:lang w:val="fr-CA"/>
        </w:rPr>
        <w:t xml:space="preserve"> 8 de la </w:t>
      </w:r>
      <w:r w:rsidRPr="007B55E0">
        <w:rPr>
          <w:rFonts w:cs="Times New Roman"/>
          <w:i/>
          <w:lang w:val="fr-CA"/>
        </w:rPr>
        <w:t>Charte</w:t>
      </w:r>
    </w:p>
    <w:p w:rsidR="00046CA9" w:rsidRPr="00674619" w:rsidRDefault="00046CA9" w:rsidP="00046CA9">
      <w:pPr>
        <w:pStyle w:val="ParaNoNdepar-AltN"/>
        <w:rPr>
          <w:rFonts w:cs="Times New Roman"/>
          <w:lang w:val="fr-CA"/>
        </w:rPr>
      </w:pPr>
      <w:r w:rsidRPr="00674619">
        <w:rPr>
          <w:rFonts w:cs="Times New Roman"/>
          <w:lang w:val="fr-CA"/>
        </w:rPr>
        <w:t>M</w:t>
      </w:r>
      <w:r w:rsidRPr="00674619">
        <w:rPr>
          <w:rFonts w:cs="Times New Roman"/>
          <w:vertAlign w:val="superscript"/>
          <w:lang w:val="fr-CA"/>
        </w:rPr>
        <w:t>me</w:t>
      </w:r>
      <w:r w:rsidRPr="00674619">
        <w:rPr>
          <w:rFonts w:cs="Times New Roman"/>
          <w:lang w:val="fr-CA"/>
        </w:rPr>
        <w:t xml:space="preserve"> Bernard prétend que le fait que l’employeur ait communiqué ses coordonnées personnelles sans son consentement constitue une saisie illégale en application de l’art. 8 de la </w:t>
      </w:r>
      <w:r w:rsidRPr="00674619">
        <w:rPr>
          <w:rFonts w:cs="Times New Roman"/>
          <w:i/>
          <w:lang w:val="fr-CA"/>
        </w:rPr>
        <w:t>Charte</w:t>
      </w:r>
      <w:r w:rsidRPr="00674619">
        <w:rPr>
          <w:rFonts w:cs="Times New Roman"/>
          <w:lang w:val="fr-CA"/>
        </w:rPr>
        <w:t xml:space="preserve">. </w:t>
      </w:r>
    </w:p>
    <w:p w:rsidR="00046CA9" w:rsidRPr="00674619" w:rsidRDefault="00046CA9" w:rsidP="00046CA9">
      <w:pPr>
        <w:pStyle w:val="ParaNoNdepar-AltN"/>
        <w:rPr>
          <w:rFonts w:cs="Times New Roman"/>
          <w:lang w:val="fr-CA"/>
        </w:rPr>
      </w:pPr>
      <w:r w:rsidRPr="00674619">
        <w:rPr>
          <w:rFonts w:cs="Times New Roman"/>
          <w:lang w:val="fr-CA"/>
        </w:rPr>
        <w:t xml:space="preserve">Je souscris à la prétention du procureur général du Canada selon laquelle, eu égard à </w:t>
      </w:r>
      <w:r w:rsidR="005A3D5B">
        <w:rPr>
          <w:rFonts w:cs="Times New Roman"/>
          <w:lang w:val="fr-CA"/>
        </w:rPr>
        <w:t>[</w:t>
      </w:r>
      <w:r w:rsidR="005A3D5B" w:rsidRPr="005A3D5B">
        <w:rPr>
          <w:rFonts w:cs="Times New Roman"/>
          <w:smallCaps/>
          <w:lang w:val="fr-CA"/>
        </w:rPr>
        <w:t>traduction</w:t>
      </w:r>
      <w:r w:rsidR="005A3D5B">
        <w:rPr>
          <w:rFonts w:cs="Times New Roman"/>
          <w:lang w:val="fr-CA"/>
        </w:rPr>
        <w:t xml:space="preserve">] </w:t>
      </w:r>
      <w:r w:rsidRPr="00674619">
        <w:rPr>
          <w:rFonts w:cs="Times New Roman"/>
          <w:lang w:val="fr-CA"/>
        </w:rPr>
        <w:t>« l’ensemble des circonstances », M</w:t>
      </w:r>
      <w:r w:rsidRPr="00674619">
        <w:rPr>
          <w:rFonts w:cs="Times New Roman"/>
          <w:vertAlign w:val="superscript"/>
          <w:lang w:val="fr-CA"/>
        </w:rPr>
        <w:t>me</w:t>
      </w:r>
      <w:r w:rsidRPr="00674619">
        <w:rPr>
          <w:rFonts w:cs="Times New Roman"/>
          <w:lang w:val="fr-CA"/>
        </w:rPr>
        <w:t> Bernard n’avait pas une attente raisonnable en matière de respect de sa vie privée relativement aux renseignements personnels que l’employeur a t</w:t>
      </w:r>
      <w:r w:rsidR="005A3D5B">
        <w:rPr>
          <w:rFonts w:cs="Times New Roman"/>
          <w:lang w:val="fr-CA"/>
        </w:rPr>
        <w:t>ransmis à l’agent négociateur (</w:t>
      </w:r>
      <w:r w:rsidRPr="00674619">
        <w:rPr>
          <w:rFonts w:cs="Times New Roman"/>
          <w:lang w:val="fr-CA"/>
        </w:rPr>
        <w:t xml:space="preserve">mémoire du procureur général du Canada, par. 69; voir aussi </w:t>
      </w:r>
      <w:r w:rsidRPr="00674619">
        <w:rPr>
          <w:rFonts w:cs="Times New Roman"/>
          <w:i/>
          <w:lang w:val="fr-CA"/>
        </w:rPr>
        <w:t>R. c. Cole</w:t>
      </w:r>
      <w:r w:rsidRPr="00674619">
        <w:rPr>
          <w:rFonts w:cs="Times New Roman"/>
          <w:lang w:val="fr-CA"/>
        </w:rPr>
        <w:t>, 2012 CSC 53, [2012] 3 R.C.S. 34, par. 40</w:t>
      </w:r>
      <w:r w:rsidR="005A3D5B">
        <w:rPr>
          <w:rFonts w:cs="Times New Roman"/>
          <w:lang w:val="fr-CA"/>
        </w:rPr>
        <w:t>)</w:t>
      </w:r>
      <w:r w:rsidRPr="00674619">
        <w:rPr>
          <w:rFonts w:cs="Times New Roman"/>
          <w:lang w:val="fr-CA"/>
        </w:rPr>
        <w:t xml:space="preserve">.  L’objet de la prétendue saisie se limite à l’adresse et au numéro de </w:t>
      </w:r>
      <w:proofErr w:type="gramStart"/>
      <w:r w:rsidRPr="00674619">
        <w:rPr>
          <w:rFonts w:cs="Times New Roman"/>
          <w:lang w:val="fr-CA"/>
        </w:rPr>
        <w:t>téléphone résidentiels</w:t>
      </w:r>
      <w:proofErr w:type="gramEnd"/>
      <w:r w:rsidRPr="00674619">
        <w:rPr>
          <w:rFonts w:cs="Times New Roman"/>
          <w:lang w:val="fr-CA"/>
        </w:rPr>
        <w:t xml:space="preserve"> de M</w:t>
      </w:r>
      <w:r w:rsidRPr="00674619">
        <w:rPr>
          <w:rFonts w:cs="Times New Roman"/>
          <w:vertAlign w:val="superscript"/>
          <w:lang w:val="fr-CA"/>
        </w:rPr>
        <w:t>me</w:t>
      </w:r>
      <w:r w:rsidRPr="00674619">
        <w:rPr>
          <w:rFonts w:cs="Times New Roman"/>
          <w:lang w:val="fr-CA"/>
        </w:rPr>
        <w:t> Bernard.  On peut présumer que M</w:t>
      </w:r>
      <w:r w:rsidRPr="00674619">
        <w:rPr>
          <w:rFonts w:cs="Times New Roman"/>
          <w:vertAlign w:val="superscript"/>
          <w:lang w:val="fr-CA"/>
        </w:rPr>
        <w:t>me </w:t>
      </w:r>
      <w:r w:rsidRPr="00674619">
        <w:rPr>
          <w:rFonts w:cs="Times New Roman"/>
          <w:lang w:val="fr-CA"/>
        </w:rPr>
        <w:t>Bernard a un droit direct et une attente subjective en matière de respect de la vie privée à l’égard de ces renseignements.  Cependant, dans les circonstances de l’espèce, M</w:t>
      </w:r>
      <w:r w:rsidRPr="00674619">
        <w:rPr>
          <w:rFonts w:cs="Times New Roman"/>
          <w:vertAlign w:val="superscript"/>
          <w:lang w:val="fr-CA"/>
        </w:rPr>
        <w:t>me</w:t>
      </w:r>
      <w:r w:rsidRPr="00674619">
        <w:rPr>
          <w:rFonts w:cs="Times New Roman"/>
          <w:lang w:val="fr-CA"/>
        </w:rPr>
        <w:t> Bernard n’a pas démontré que les adresses et les numéros de téléphone résidentiels des employés peuvent raisonnablement être considérés comme faisant partie d’« un ensemble de renseignements biographiques d’ordre personnel » qui tendent à « révéler des détails intimes sur le mode de vie et les choix personnels de l’individu » (</w:t>
      </w:r>
      <w:r w:rsidRPr="00674619">
        <w:rPr>
          <w:rFonts w:cs="Times New Roman"/>
          <w:i/>
          <w:lang w:val="fr-CA"/>
        </w:rPr>
        <w:t>R. c. Plant</w:t>
      </w:r>
      <w:r w:rsidRPr="00674619">
        <w:rPr>
          <w:rFonts w:cs="Times New Roman"/>
          <w:lang w:val="fr-CA"/>
        </w:rPr>
        <w:t xml:space="preserve">, [1993] 3 R.C.S. 281, p. 293; cité dans </w:t>
      </w:r>
      <w:r w:rsidRPr="00674619">
        <w:rPr>
          <w:rFonts w:cs="Times New Roman"/>
          <w:i/>
          <w:lang w:val="fr-CA"/>
        </w:rPr>
        <w:t>Cole</w:t>
      </w:r>
      <w:r w:rsidRPr="00674619">
        <w:rPr>
          <w:rFonts w:cs="Times New Roman"/>
          <w:lang w:val="fr-CA"/>
        </w:rPr>
        <w:t>, par. 45).  L’attente subjective en matière de respect de la vie privée que possède M</w:t>
      </w:r>
      <w:r w:rsidRPr="00674619">
        <w:rPr>
          <w:rFonts w:cs="Times New Roman"/>
          <w:vertAlign w:val="superscript"/>
          <w:lang w:val="fr-CA"/>
        </w:rPr>
        <w:t>me</w:t>
      </w:r>
      <w:r w:rsidRPr="00674619">
        <w:rPr>
          <w:rFonts w:cs="Times New Roman"/>
          <w:lang w:val="fr-CA"/>
        </w:rPr>
        <w:t xml:space="preserve"> Bernard à l’égard de ces renseignements n’était donc pas objectivement raisonnable.  La communication à l’agent négociateur de son adresse et de son numéro de téléphone </w:t>
      </w:r>
      <w:r w:rsidRPr="00674619">
        <w:rPr>
          <w:rFonts w:cs="Times New Roman"/>
          <w:lang w:val="fr-CA"/>
        </w:rPr>
        <w:lastRenderedPageBreak/>
        <w:t xml:space="preserve">résidentiels ne déclenche pas l’application de la protection garantie par l’art. 8 de la </w:t>
      </w:r>
      <w:r w:rsidRPr="00674619">
        <w:rPr>
          <w:rFonts w:cs="Times New Roman"/>
          <w:i/>
          <w:lang w:val="fr-CA"/>
        </w:rPr>
        <w:t>Charte</w:t>
      </w:r>
      <w:r w:rsidRPr="00674619">
        <w:rPr>
          <w:rFonts w:cs="Times New Roman"/>
          <w:lang w:val="fr-CA"/>
        </w:rPr>
        <w:t>.</w:t>
      </w:r>
    </w:p>
    <w:p w:rsidR="00046CA9" w:rsidRPr="00674619" w:rsidRDefault="00046CA9" w:rsidP="00046CA9">
      <w:pPr>
        <w:pStyle w:val="ParaNoNdepar-AltN"/>
        <w:rPr>
          <w:rFonts w:cs="Times New Roman"/>
          <w:lang w:val="fr-CA"/>
        </w:rPr>
      </w:pPr>
      <w:r w:rsidRPr="00674619">
        <w:rPr>
          <w:rFonts w:cs="Times New Roman"/>
          <w:lang w:val="fr-CA"/>
        </w:rPr>
        <w:t>Quoi qu’il en soit, comme l’employeur de M</w:t>
      </w:r>
      <w:r w:rsidRPr="00674619">
        <w:rPr>
          <w:rFonts w:cs="Times New Roman"/>
          <w:vertAlign w:val="superscript"/>
          <w:lang w:val="fr-CA"/>
        </w:rPr>
        <w:t>me</w:t>
      </w:r>
      <w:r w:rsidRPr="00674619">
        <w:rPr>
          <w:rFonts w:cs="Times New Roman"/>
          <w:lang w:val="fr-CA"/>
        </w:rPr>
        <w:t> Bernard a communiqué à l’agent négociateur, qui est une organisation syndicale, ses coordonnées résidentielles — qu’elle avait volontairement fournies à l’employeur (</w:t>
      </w:r>
      <w:proofErr w:type="gramStart"/>
      <w:r w:rsidRPr="00674619">
        <w:rPr>
          <w:rFonts w:cs="Times New Roman"/>
          <w:lang w:val="fr-CA"/>
        </w:rPr>
        <w:t>m.a.,</w:t>
      </w:r>
      <w:proofErr w:type="gramEnd"/>
      <w:r w:rsidRPr="00674619">
        <w:rPr>
          <w:rFonts w:cs="Times New Roman"/>
          <w:lang w:val="fr-CA"/>
        </w:rPr>
        <w:t xml:space="preserve"> par. 86) —, il ne peut s’agir d’une « saisie » aux fins de l’application de l’art. 8 de la </w:t>
      </w:r>
      <w:r w:rsidRPr="00674619">
        <w:rPr>
          <w:rFonts w:cs="Times New Roman"/>
          <w:i/>
          <w:lang w:val="fr-CA"/>
        </w:rPr>
        <w:t>Charte</w:t>
      </w:r>
      <w:r w:rsidRPr="005A3D5B">
        <w:rPr>
          <w:rFonts w:cs="Times New Roman"/>
          <w:lang w:val="fr-CA"/>
        </w:rPr>
        <w:t>.</w:t>
      </w:r>
      <w:r w:rsidRPr="00674619">
        <w:rPr>
          <w:rFonts w:cs="Times New Roman"/>
          <w:i/>
          <w:lang w:val="fr-CA"/>
        </w:rPr>
        <w:t xml:space="preserve">  </w:t>
      </w:r>
      <w:r w:rsidRPr="00674619">
        <w:rPr>
          <w:rFonts w:cs="Times New Roman"/>
          <w:lang w:val="fr-CA"/>
        </w:rPr>
        <w:t xml:space="preserve">Comme le juge La Forest l’a souligné dans l’arrêt </w:t>
      </w:r>
      <w:r w:rsidRPr="00674619">
        <w:rPr>
          <w:rFonts w:cs="Times New Roman"/>
          <w:i/>
          <w:lang w:val="fr-CA"/>
        </w:rPr>
        <w:t xml:space="preserve">R. c. </w:t>
      </w:r>
      <w:proofErr w:type="spellStart"/>
      <w:r w:rsidRPr="00674619">
        <w:rPr>
          <w:rFonts w:cs="Times New Roman"/>
          <w:i/>
          <w:lang w:val="fr-CA"/>
        </w:rPr>
        <w:t>Dyment</w:t>
      </w:r>
      <w:proofErr w:type="spellEnd"/>
      <w:r w:rsidRPr="00674619">
        <w:rPr>
          <w:rFonts w:cs="Times New Roman"/>
          <w:lang w:val="fr-CA"/>
        </w:rPr>
        <w:t>, [1988] 2 R.C.S. 417 : « L’article 8 a été conçu pour accorder une protection contre les actions de l’État et de ses mandataires » (p. 431).  Le syndicat n’est pas l’État, ni un de ses mandataires.</w:t>
      </w:r>
    </w:p>
    <w:p w:rsidR="00046CA9" w:rsidRPr="00674619" w:rsidRDefault="00046CA9" w:rsidP="00046CA9">
      <w:pPr>
        <w:pStyle w:val="Title1LevelTitre1Niveau-AltL"/>
        <w:keepNext/>
        <w:tabs>
          <w:tab w:val="clear" w:pos="432"/>
          <w:tab w:val="left" w:pos="576"/>
          <w:tab w:val="num" w:pos="5616"/>
        </w:tabs>
        <w:spacing w:before="0"/>
        <w:ind w:left="576" w:hanging="576"/>
        <w:jc w:val="both"/>
        <w:rPr>
          <w:rFonts w:cs="Times New Roman"/>
          <w:lang w:val="fr-CA"/>
        </w:rPr>
      </w:pPr>
      <w:r w:rsidRPr="00674619">
        <w:rPr>
          <w:rFonts w:cs="Times New Roman"/>
          <w:lang w:val="fr-CA"/>
        </w:rPr>
        <w:t>Dépens</w:t>
      </w:r>
    </w:p>
    <w:p w:rsidR="00046CA9" w:rsidRPr="00674619" w:rsidRDefault="00046CA9" w:rsidP="00046CA9">
      <w:pPr>
        <w:pStyle w:val="ParaNoNdepar-AltN"/>
        <w:rPr>
          <w:rFonts w:cs="Times New Roman"/>
          <w:lang w:val="fr-CA"/>
        </w:rPr>
      </w:pPr>
      <w:r w:rsidRPr="00674619">
        <w:rPr>
          <w:rFonts w:cs="Times New Roman"/>
          <w:lang w:val="fr-CA"/>
        </w:rPr>
        <w:t>Comme la Commission et la Cour d’appel fédérale ont commis une erreur de droit en refusant d’entendre les arguments de M</w:t>
      </w:r>
      <w:r w:rsidRPr="00674619">
        <w:rPr>
          <w:rFonts w:cs="Times New Roman"/>
          <w:vertAlign w:val="superscript"/>
          <w:lang w:val="fr-CA"/>
        </w:rPr>
        <w:t>me</w:t>
      </w:r>
      <w:r w:rsidRPr="00674619">
        <w:rPr>
          <w:rFonts w:cs="Times New Roman"/>
          <w:lang w:val="fr-CA"/>
        </w:rPr>
        <w:t xml:space="preserve"> Bernard fondés sur la </w:t>
      </w:r>
      <w:r w:rsidRPr="00674619">
        <w:rPr>
          <w:rFonts w:cs="Times New Roman"/>
          <w:i/>
          <w:lang w:val="fr-CA"/>
        </w:rPr>
        <w:t>Charte</w:t>
      </w:r>
      <w:r w:rsidRPr="00674619">
        <w:rPr>
          <w:rFonts w:cs="Times New Roman"/>
          <w:lang w:val="fr-CA"/>
        </w:rPr>
        <w:t xml:space="preserve"> et de se prononcer sur </w:t>
      </w:r>
      <w:r w:rsidR="005A3D5B">
        <w:rPr>
          <w:rFonts w:cs="Times New Roman"/>
          <w:lang w:val="fr-CA"/>
        </w:rPr>
        <w:t>ceux-ci</w:t>
      </w:r>
      <w:r w:rsidRPr="00674619">
        <w:rPr>
          <w:rFonts w:cs="Times New Roman"/>
          <w:lang w:val="fr-CA"/>
        </w:rPr>
        <w:t>, je suis d’avis d’accueillir le pourvoi, mais seulement à l’égard de l’ordonnance d’adjudication des dépens rendue par la Cour d’appel fédérale selon laquelle M</w:t>
      </w:r>
      <w:r w:rsidRPr="00674619">
        <w:rPr>
          <w:rFonts w:cs="Times New Roman"/>
          <w:vertAlign w:val="superscript"/>
          <w:lang w:val="fr-CA"/>
        </w:rPr>
        <w:t>me</w:t>
      </w:r>
      <w:r w:rsidRPr="00674619">
        <w:rPr>
          <w:rFonts w:cs="Times New Roman"/>
          <w:lang w:val="fr-CA"/>
        </w:rPr>
        <w:t xml:space="preserve"> Bernard doit verser les dépens au procureur général du Canada et à l’IPFPC.  À tous autres égards, je suis d’avis de rejeter le pourvoi.  Compte tenu des circonstances, les parties devraient assumer leurs propres dépens devant la Cour. </w:t>
      </w:r>
    </w:p>
    <w:p w:rsidR="004D7D95" w:rsidRPr="00E26409" w:rsidRDefault="004D7D95" w:rsidP="004C788D">
      <w:pPr>
        <w:pStyle w:val="SCCNormalDoubleSpacing"/>
        <w:spacing w:before="480" w:after="480"/>
        <w:rPr>
          <w:i/>
          <w:lang w:val="fr-CA"/>
        </w:rPr>
      </w:pPr>
      <w:r w:rsidRPr="00E26409">
        <w:rPr>
          <w:lang w:val="fr-CA"/>
        </w:rPr>
        <w:tab/>
      </w:r>
      <w:r w:rsidR="00282F6D" w:rsidRPr="00E26409">
        <w:rPr>
          <w:i/>
          <w:lang w:val="fr-CA"/>
        </w:rPr>
        <w:t xml:space="preserve">Pourvoi </w:t>
      </w:r>
      <w:r w:rsidR="001A178B" w:rsidRPr="00E26409">
        <w:rPr>
          <w:i/>
          <w:lang w:val="fr-CA"/>
        </w:rPr>
        <w:t>rejeté</w:t>
      </w:r>
      <w:r w:rsidR="00BB644B" w:rsidRPr="00E26409">
        <w:rPr>
          <w:i/>
          <w:lang w:val="fr-CA"/>
        </w:rPr>
        <w:t xml:space="preserve"> sans dépens</w:t>
      </w:r>
      <w:r w:rsidR="00C46F3A" w:rsidRPr="00E26409">
        <w:rPr>
          <w:i/>
          <w:lang w:val="fr-CA"/>
        </w:rPr>
        <w:t>, le</w:t>
      </w:r>
      <w:r w:rsidR="001A178B" w:rsidRPr="00E26409">
        <w:rPr>
          <w:i/>
          <w:lang w:val="fr-CA"/>
        </w:rPr>
        <w:t>s</w:t>
      </w:r>
      <w:r w:rsidR="00C46F3A" w:rsidRPr="00E26409">
        <w:rPr>
          <w:i/>
          <w:lang w:val="fr-CA"/>
        </w:rPr>
        <w:t xml:space="preserve"> juge</w:t>
      </w:r>
      <w:r w:rsidR="001A178B" w:rsidRPr="00E26409">
        <w:rPr>
          <w:i/>
          <w:lang w:val="fr-CA"/>
        </w:rPr>
        <w:t>s</w:t>
      </w:r>
      <w:r w:rsidR="00C46F3A" w:rsidRPr="00E26409">
        <w:rPr>
          <w:i/>
          <w:lang w:val="fr-CA"/>
        </w:rPr>
        <w:t xml:space="preserve"> </w:t>
      </w:r>
      <w:proofErr w:type="spellStart"/>
      <w:r w:rsidR="00C46F3A" w:rsidRPr="00E26409">
        <w:rPr>
          <w:smallCaps/>
          <w:lang w:val="fr-CA"/>
        </w:rPr>
        <w:t>Rothstein</w:t>
      </w:r>
      <w:proofErr w:type="spellEnd"/>
      <w:r w:rsidR="00C46F3A" w:rsidRPr="00E26409">
        <w:rPr>
          <w:i/>
          <w:lang w:val="fr-CA"/>
        </w:rPr>
        <w:t xml:space="preserve"> </w:t>
      </w:r>
      <w:r w:rsidR="001A178B" w:rsidRPr="00E26409">
        <w:rPr>
          <w:i/>
          <w:lang w:val="fr-CA"/>
        </w:rPr>
        <w:t xml:space="preserve">et </w:t>
      </w:r>
      <w:proofErr w:type="spellStart"/>
      <w:r w:rsidR="001A178B" w:rsidRPr="00E26409">
        <w:rPr>
          <w:smallCaps/>
          <w:lang w:val="fr-CA"/>
        </w:rPr>
        <w:t>Moldaver</w:t>
      </w:r>
      <w:proofErr w:type="spellEnd"/>
      <w:r w:rsidR="001A178B" w:rsidRPr="00E26409">
        <w:rPr>
          <w:i/>
          <w:lang w:val="fr-CA"/>
        </w:rPr>
        <w:t xml:space="preserve"> sont</w:t>
      </w:r>
      <w:r w:rsidR="00C46F3A" w:rsidRPr="00E26409">
        <w:rPr>
          <w:i/>
          <w:lang w:val="fr-CA"/>
        </w:rPr>
        <w:t xml:space="preserve"> dissident</w:t>
      </w:r>
      <w:r w:rsidR="001A178B" w:rsidRPr="00E26409">
        <w:rPr>
          <w:i/>
          <w:lang w:val="fr-CA"/>
        </w:rPr>
        <w:t>s</w:t>
      </w:r>
      <w:r w:rsidR="00C46F3A" w:rsidRPr="00E26409">
        <w:rPr>
          <w:i/>
          <w:lang w:val="fr-CA"/>
        </w:rPr>
        <w:t xml:space="preserve"> en partie</w:t>
      </w:r>
      <w:r w:rsidR="00D21943" w:rsidRPr="00E26409">
        <w:rPr>
          <w:i/>
          <w:lang w:val="fr-CA"/>
        </w:rPr>
        <w:t>.</w:t>
      </w:r>
    </w:p>
    <w:p w:rsidR="00D21943" w:rsidRPr="00E26409" w:rsidRDefault="00D21943" w:rsidP="004C788D">
      <w:pPr>
        <w:pStyle w:val="SCCNormalDoubleSpacing"/>
        <w:spacing w:before="480" w:after="480"/>
        <w:rPr>
          <w:lang w:val="fr-CA"/>
        </w:rPr>
      </w:pPr>
      <w:r w:rsidRPr="00E26409">
        <w:rPr>
          <w:lang w:val="fr-CA"/>
        </w:rPr>
        <w:lastRenderedPageBreak/>
        <w:tab/>
      </w:r>
      <w:r w:rsidRPr="00E26409">
        <w:rPr>
          <w:i/>
          <w:lang w:val="fr-CA"/>
        </w:rPr>
        <w:t>Elizabeth Bernard, pour son propre compte.</w:t>
      </w:r>
    </w:p>
    <w:p w:rsidR="00D21943" w:rsidRPr="00E26409" w:rsidRDefault="00D21943" w:rsidP="004C788D">
      <w:pPr>
        <w:pStyle w:val="SCCLawFirm"/>
        <w:spacing w:before="480" w:after="480"/>
        <w:rPr>
          <w:lang w:val="fr-CA"/>
        </w:rPr>
      </w:pPr>
      <w:r w:rsidRPr="00E26409">
        <w:rPr>
          <w:lang w:val="fr-CA"/>
        </w:rPr>
        <w:tab/>
        <w:t>Procureur de l</w:t>
      </w:r>
      <w:r w:rsidR="00A13B74" w:rsidRPr="00E26409">
        <w:rPr>
          <w:lang w:val="fr-CA"/>
        </w:rPr>
        <w:t>’</w:t>
      </w:r>
      <w:r w:rsidRPr="00E26409">
        <w:rPr>
          <w:lang w:val="fr-CA"/>
        </w:rPr>
        <w:t>intimé le procureur général du Canada</w:t>
      </w:r>
      <w:r w:rsidR="004C788D" w:rsidRPr="00E26409">
        <w:rPr>
          <w:lang w:val="fr-CA"/>
        </w:rPr>
        <w:t> : </w:t>
      </w:r>
      <w:r w:rsidRPr="00E26409">
        <w:rPr>
          <w:lang w:val="fr-CA"/>
        </w:rPr>
        <w:t>Procureur général du Canada, Ottawa.</w:t>
      </w:r>
    </w:p>
    <w:p w:rsidR="00D21943" w:rsidRPr="00E26409" w:rsidRDefault="00D21943" w:rsidP="004C788D">
      <w:pPr>
        <w:pStyle w:val="SCCLawFirm"/>
        <w:spacing w:before="480" w:after="480"/>
        <w:rPr>
          <w:lang w:val="fr-CA"/>
        </w:rPr>
      </w:pPr>
      <w:r w:rsidRPr="00E26409">
        <w:rPr>
          <w:lang w:val="fr-CA"/>
        </w:rPr>
        <w:tab/>
        <w:t>Procureurs de l</w:t>
      </w:r>
      <w:r w:rsidR="00A13B74" w:rsidRPr="00E26409">
        <w:rPr>
          <w:lang w:val="fr-CA"/>
        </w:rPr>
        <w:t>’</w:t>
      </w:r>
      <w:r w:rsidRPr="00E26409">
        <w:rPr>
          <w:lang w:val="fr-CA"/>
        </w:rPr>
        <w:t>intimé l</w:t>
      </w:r>
      <w:r w:rsidR="00A13B74" w:rsidRPr="00E26409">
        <w:rPr>
          <w:lang w:val="fr-CA"/>
        </w:rPr>
        <w:t>’</w:t>
      </w:r>
      <w:r w:rsidRPr="00E26409">
        <w:rPr>
          <w:lang w:val="fr-CA"/>
        </w:rPr>
        <w:t>Institut professionnel de la fonction publique du Canada</w:t>
      </w:r>
      <w:r w:rsidR="004C788D" w:rsidRPr="00E26409">
        <w:rPr>
          <w:lang w:val="fr-CA"/>
        </w:rPr>
        <w:t> : </w:t>
      </w:r>
      <w:proofErr w:type="spellStart"/>
      <w:r w:rsidRPr="00E26409">
        <w:rPr>
          <w:lang w:val="fr-CA"/>
        </w:rPr>
        <w:t>Sack</w:t>
      </w:r>
      <w:proofErr w:type="spellEnd"/>
      <w:r w:rsidRPr="00E26409">
        <w:rPr>
          <w:lang w:val="fr-CA"/>
        </w:rPr>
        <w:t xml:space="preserve"> </w:t>
      </w:r>
      <w:proofErr w:type="spellStart"/>
      <w:r w:rsidRPr="00E26409">
        <w:rPr>
          <w:lang w:val="fr-CA"/>
        </w:rPr>
        <w:t>Goldblatt</w:t>
      </w:r>
      <w:proofErr w:type="spellEnd"/>
      <w:r w:rsidRPr="00E26409">
        <w:rPr>
          <w:lang w:val="fr-CA"/>
        </w:rPr>
        <w:t xml:space="preserve"> Mitchell, Ottawa.</w:t>
      </w:r>
    </w:p>
    <w:p w:rsidR="00D21943" w:rsidRPr="00E26409" w:rsidRDefault="00D21943" w:rsidP="004C788D">
      <w:pPr>
        <w:pStyle w:val="SCCLawFirm"/>
        <w:spacing w:before="480" w:after="480"/>
        <w:rPr>
          <w:lang w:val="fr-CA"/>
        </w:rPr>
      </w:pPr>
      <w:r w:rsidRPr="00E26409">
        <w:rPr>
          <w:lang w:val="fr-CA"/>
        </w:rPr>
        <w:tab/>
        <w:t>Procureurs nommés par la Cour en qualité d</w:t>
      </w:r>
      <w:r w:rsidR="00A13B74" w:rsidRPr="00E26409">
        <w:rPr>
          <w:lang w:val="fr-CA"/>
        </w:rPr>
        <w:t>’</w:t>
      </w:r>
      <w:proofErr w:type="spellStart"/>
      <w:r w:rsidRPr="00E26409">
        <w:rPr>
          <w:lang w:val="fr-CA"/>
        </w:rPr>
        <w:t>amicus</w:t>
      </w:r>
      <w:proofErr w:type="spellEnd"/>
      <w:r w:rsidRPr="00E26409">
        <w:rPr>
          <w:lang w:val="fr-CA"/>
        </w:rPr>
        <w:t xml:space="preserve"> </w:t>
      </w:r>
      <w:proofErr w:type="spellStart"/>
      <w:r w:rsidRPr="00E26409">
        <w:rPr>
          <w:lang w:val="fr-CA"/>
        </w:rPr>
        <w:t>curiae</w:t>
      </w:r>
      <w:proofErr w:type="spellEnd"/>
      <w:r w:rsidR="004C788D" w:rsidRPr="00E26409">
        <w:rPr>
          <w:lang w:val="fr-CA"/>
        </w:rPr>
        <w:t> : </w:t>
      </w:r>
      <w:r w:rsidRPr="00E26409">
        <w:rPr>
          <w:lang w:val="fr-CA"/>
        </w:rPr>
        <w:t xml:space="preserve">McCarthy </w:t>
      </w:r>
      <w:proofErr w:type="spellStart"/>
      <w:r w:rsidRPr="00E26409">
        <w:rPr>
          <w:lang w:val="fr-CA"/>
        </w:rPr>
        <w:t>Tétrault</w:t>
      </w:r>
      <w:proofErr w:type="spellEnd"/>
      <w:r w:rsidRPr="00E26409">
        <w:rPr>
          <w:lang w:val="fr-CA"/>
        </w:rPr>
        <w:t>, Vancouver.</w:t>
      </w:r>
    </w:p>
    <w:p w:rsidR="00D21943" w:rsidRPr="00E26409" w:rsidRDefault="00D21943" w:rsidP="004C788D">
      <w:pPr>
        <w:pStyle w:val="SCCLawFirm"/>
        <w:spacing w:before="480" w:after="480"/>
        <w:rPr>
          <w:lang w:val="fr-CA"/>
        </w:rPr>
      </w:pPr>
      <w:r w:rsidRPr="00E26409">
        <w:rPr>
          <w:lang w:val="fr-CA"/>
        </w:rPr>
        <w:tab/>
        <w:t>Procureur de l</w:t>
      </w:r>
      <w:r w:rsidR="00A13B74" w:rsidRPr="00E26409">
        <w:rPr>
          <w:lang w:val="fr-CA"/>
        </w:rPr>
        <w:t>’</w:t>
      </w:r>
      <w:r w:rsidRPr="00E26409">
        <w:rPr>
          <w:lang w:val="fr-CA"/>
        </w:rPr>
        <w:t>intervenant le procureur général de l</w:t>
      </w:r>
      <w:r w:rsidR="00A13B74" w:rsidRPr="00E26409">
        <w:rPr>
          <w:lang w:val="fr-CA"/>
        </w:rPr>
        <w:t>’</w:t>
      </w:r>
      <w:r w:rsidRPr="00E26409">
        <w:rPr>
          <w:lang w:val="fr-CA"/>
        </w:rPr>
        <w:t>Ontario</w:t>
      </w:r>
      <w:r w:rsidR="004C788D" w:rsidRPr="00E26409">
        <w:rPr>
          <w:lang w:val="fr-CA"/>
        </w:rPr>
        <w:t> : </w:t>
      </w:r>
      <w:r w:rsidRPr="00E26409">
        <w:rPr>
          <w:lang w:val="fr-CA"/>
        </w:rPr>
        <w:t>Procureur général de l</w:t>
      </w:r>
      <w:r w:rsidR="00A13B74" w:rsidRPr="00E26409">
        <w:rPr>
          <w:lang w:val="fr-CA"/>
        </w:rPr>
        <w:t>’</w:t>
      </w:r>
      <w:r w:rsidRPr="00E26409">
        <w:rPr>
          <w:lang w:val="fr-CA"/>
        </w:rPr>
        <w:t>Ontario, Toronto.</w:t>
      </w:r>
    </w:p>
    <w:p w:rsidR="00D21943" w:rsidRPr="00E26409" w:rsidRDefault="00D21943" w:rsidP="004C788D">
      <w:pPr>
        <w:pStyle w:val="SCCLawFirm"/>
        <w:spacing w:before="480" w:after="480"/>
        <w:rPr>
          <w:lang w:val="fr-CA"/>
        </w:rPr>
      </w:pPr>
      <w:r w:rsidRPr="00E26409">
        <w:rPr>
          <w:lang w:val="fr-CA"/>
        </w:rPr>
        <w:tab/>
        <w:t>Procureur de l</w:t>
      </w:r>
      <w:r w:rsidR="00A13B74" w:rsidRPr="00E26409">
        <w:rPr>
          <w:lang w:val="fr-CA"/>
        </w:rPr>
        <w:t>’</w:t>
      </w:r>
      <w:r w:rsidRPr="00E26409">
        <w:rPr>
          <w:lang w:val="fr-CA"/>
        </w:rPr>
        <w:t xml:space="preserve">intervenant le procureur général de la </w:t>
      </w:r>
      <w:proofErr w:type="spellStart"/>
      <w:r w:rsidRPr="00E26409">
        <w:rPr>
          <w:lang w:val="fr-CA"/>
        </w:rPr>
        <w:t>Colombie</w:t>
      </w:r>
      <w:r w:rsidR="004C788D" w:rsidRPr="00E26409">
        <w:rPr>
          <w:lang w:val="fr-CA"/>
        </w:rPr>
        <w:noBreakHyphen/>
      </w:r>
      <w:r w:rsidRPr="00E26409">
        <w:rPr>
          <w:lang w:val="fr-CA"/>
        </w:rPr>
        <w:t>Britannique</w:t>
      </w:r>
      <w:proofErr w:type="spellEnd"/>
      <w:r w:rsidR="004C788D" w:rsidRPr="00E26409">
        <w:rPr>
          <w:lang w:val="fr-CA"/>
        </w:rPr>
        <w:t> : </w:t>
      </w:r>
      <w:r w:rsidRPr="00E26409">
        <w:rPr>
          <w:lang w:val="fr-CA"/>
        </w:rPr>
        <w:t xml:space="preserve">Procureur général de la </w:t>
      </w:r>
      <w:proofErr w:type="spellStart"/>
      <w:r w:rsidRPr="00E26409">
        <w:rPr>
          <w:lang w:val="fr-CA"/>
        </w:rPr>
        <w:t>Colombie</w:t>
      </w:r>
      <w:r w:rsidR="004C788D" w:rsidRPr="00E26409">
        <w:rPr>
          <w:lang w:val="fr-CA"/>
        </w:rPr>
        <w:noBreakHyphen/>
      </w:r>
      <w:r w:rsidRPr="00E26409">
        <w:rPr>
          <w:lang w:val="fr-CA"/>
        </w:rPr>
        <w:t>Britannique</w:t>
      </w:r>
      <w:proofErr w:type="spellEnd"/>
      <w:r w:rsidRPr="00E26409">
        <w:rPr>
          <w:lang w:val="fr-CA"/>
        </w:rPr>
        <w:t>, Vancouver.</w:t>
      </w:r>
    </w:p>
    <w:p w:rsidR="00166760" w:rsidRPr="00E26409" w:rsidRDefault="00166760" w:rsidP="00166760">
      <w:pPr>
        <w:pStyle w:val="SCCLawFirm"/>
        <w:spacing w:before="480" w:after="480"/>
        <w:rPr>
          <w:lang w:val="fr-CA"/>
        </w:rPr>
      </w:pPr>
      <w:r w:rsidRPr="00E26409">
        <w:rPr>
          <w:lang w:val="fr-CA"/>
        </w:rPr>
        <w:tab/>
        <w:t>Procureur de l</w:t>
      </w:r>
      <w:r w:rsidR="00A13B74" w:rsidRPr="00E26409">
        <w:rPr>
          <w:lang w:val="fr-CA"/>
        </w:rPr>
        <w:t>’</w:t>
      </w:r>
      <w:r w:rsidRPr="00E26409">
        <w:rPr>
          <w:lang w:val="fr-CA"/>
        </w:rPr>
        <w:t>intervenant le procureur général de l</w:t>
      </w:r>
      <w:r w:rsidR="00A13B74" w:rsidRPr="00E26409">
        <w:rPr>
          <w:lang w:val="fr-CA"/>
        </w:rPr>
        <w:t>’</w:t>
      </w:r>
      <w:r w:rsidRPr="00E26409">
        <w:rPr>
          <w:lang w:val="fr-CA"/>
        </w:rPr>
        <w:t>Alberta : Procureur général de l</w:t>
      </w:r>
      <w:r w:rsidR="00A13B74" w:rsidRPr="00E26409">
        <w:rPr>
          <w:lang w:val="fr-CA"/>
        </w:rPr>
        <w:t>’</w:t>
      </w:r>
      <w:r w:rsidRPr="00E26409">
        <w:rPr>
          <w:lang w:val="fr-CA"/>
        </w:rPr>
        <w:t>Alberta, Edmonton.</w:t>
      </w:r>
    </w:p>
    <w:p w:rsidR="00166760" w:rsidRPr="00E26409" w:rsidRDefault="00166760" w:rsidP="00166760">
      <w:pPr>
        <w:pStyle w:val="SCCLawFirm"/>
        <w:spacing w:before="480" w:after="480"/>
        <w:rPr>
          <w:lang w:val="fr-CA"/>
        </w:rPr>
      </w:pPr>
      <w:r w:rsidRPr="00E26409">
        <w:rPr>
          <w:lang w:val="fr-CA"/>
        </w:rPr>
        <w:tab/>
        <w:t>Procureur</w:t>
      </w:r>
      <w:r w:rsidR="005A3D5B">
        <w:rPr>
          <w:lang w:val="fr-CA"/>
        </w:rPr>
        <w:t>s</w:t>
      </w:r>
      <w:r w:rsidRPr="00E26409">
        <w:rPr>
          <w:lang w:val="fr-CA"/>
        </w:rPr>
        <w:t xml:space="preserve"> de l</w:t>
      </w:r>
      <w:r w:rsidR="00A13B74" w:rsidRPr="00E26409">
        <w:rPr>
          <w:lang w:val="fr-CA"/>
        </w:rPr>
        <w:t>’</w:t>
      </w:r>
      <w:r w:rsidRPr="00E26409">
        <w:rPr>
          <w:lang w:val="fr-CA"/>
        </w:rPr>
        <w:t>intervenante l</w:t>
      </w:r>
      <w:r w:rsidR="00A13B74" w:rsidRPr="00E26409">
        <w:rPr>
          <w:lang w:val="fr-CA"/>
        </w:rPr>
        <w:t>’</w:t>
      </w:r>
      <w:r w:rsidRPr="00E26409">
        <w:rPr>
          <w:lang w:val="fr-CA"/>
        </w:rPr>
        <w:t>Alliance de la Fonction publique du Canada : </w:t>
      </w:r>
      <w:proofErr w:type="spellStart"/>
      <w:r w:rsidRPr="00E26409">
        <w:rPr>
          <w:lang w:val="fr-CA"/>
        </w:rPr>
        <w:t>Raven</w:t>
      </w:r>
      <w:proofErr w:type="spellEnd"/>
      <w:r w:rsidRPr="00E26409">
        <w:rPr>
          <w:lang w:val="fr-CA"/>
        </w:rPr>
        <w:t xml:space="preserve">, Cameron, </w:t>
      </w:r>
      <w:proofErr w:type="spellStart"/>
      <w:r w:rsidRPr="00E26409">
        <w:rPr>
          <w:lang w:val="fr-CA"/>
        </w:rPr>
        <w:t>Ballantyne</w:t>
      </w:r>
      <w:proofErr w:type="spellEnd"/>
      <w:r w:rsidRPr="00E26409">
        <w:rPr>
          <w:lang w:val="fr-CA"/>
        </w:rPr>
        <w:t xml:space="preserve"> &amp; </w:t>
      </w:r>
      <w:proofErr w:type="spellStart"/>
      <w:r w:rsidRPr="00E26409">
        <w:rPr>
          <w:lang w:val="fr-CA"/>
        </w:rPr>
        <w:t>Yazbeck</w:t>
      </w:r>
      <w:proofErr w:type="spellEnd"/>
      <w:r w:rsidRPr="00E26409">
        <w:rPr>
          <w:lang w:val="fr-CA"/>
        </w:rPr>
        <w:t>, Ottawa.</w:t>
      </w:r>
    </w:p>
    <w:p w:rsidR="00166760" w:rsidRPr="00E26409" w:rsidRDefault="00166760" w:rsidP="00166760">
      <w:pPr>
        <w:pStyle w:val="SCCLawFirm"/>
        <w:spacing w:before="480" w:after="480"/>
        <w:rPr>
          <w:lang w:val="fr-CA"/>
        </w:rPr>
      </w:pPr>
      <w:r w:rsidRPr="00E26409">
        <w:rPr>
          <w:lang w:val="fr-CA"/>
        </w:rPr>
        <w:tab/>
        <w:t>Procureurs de l</w:t>
      </w:r>
      <w:r w:rsidR="00A13B74" w:rsidRPr="00E26409">
        <w:rPr>
          <w:lang w:val="fr-CA"/>
        </w:rPr>
        <w:t>’</w:t>
      </w:r>
      <w:r w:rsidRPr="00E26409">
        <w:rPr>
          <w:lang w:val="fr-CA"/>
        </w:rPr>
        <w:t>intervenant le Commissaire à la protection de la vie privée du Canada : </w:t>
      </w:r>
      <w:proofErr w:type="spellStart"/>
      <w:r w:rsidRPr="00E26409">
        <w:rPr>
          <w:lang w:val="fr-CA"/>
        </w:rPr>
        <w:t>Supreme</w:t>
      </w:r>
      <w:proofErr w:type="spellEnd"/>
      <w:r w:rsidRPr="00E26409">
        <w:rPr>
          <w:lang w:val="fr-CA"/>
        </w:rPr>
        <w:t xml:space="preserve"> </w:t>
      </w:r>
      <w:proofErr w:type="spellStart"/>
      <w:r w:rsidRPr="00E26409">
        <w:rPr>
          <w:lang w:val="fr-CA"/>
        </w:rPr>
        <w:t>Advocacy</w:t>
      </w:r>
      <w:proofErr w:type="spellEnd"/>
      <w:r w:rsidRPr="00E26409">
        <w:rPr>
          <w:lang w:val="fr-CA"/>
        </w:rPr>
        <w:t>, Ottawa.</w:t>
      </w:r>
    </w:p>
    <w:p w:rsidR="00166760" w:rsidRPr="00E26409" w:rsidRDefault="00166760" w:rsidP="00166760">
      <w:pPr>
        <w:pStyle w:val="SCCLawFirm"/>
        <w:spacing w:before="480" w:after="480"/>
        <w:rPr>
          <w:lang w:val="fr-CA"/>
        </w:rPr>
      </w:pPr>
      <w:r w:rsidRPr="00E26409">
        <w:rPr>
          <w:lang w:val="fr-CA"/>
        </w:rPr>
        <w:lastRenderedPageBreak/>
        <w:tab/>
        <w:t>Procureurs de l</w:t>
      </w:r>
      <w:r w:rsidR="00A13B74" w:rsidRPr="00E26409">
        <w:rPr>
          <w:lang w:val="fr-CA"/>
        </w:rPr>
        <w:t>’</w:t>
      </w:r>
      <w:r w:rsidRPr="00E26409">
        <w:rPr>
          <w:lang w:val="fr-CA"/>
        </w:rPr>
        <w:t>intervenante l</w:t>
      </w:r>
      <w:r w:rsidR="00A13B74" w:rsidRPr="00E26409">
        <w:rPr>
          <w:lang w:val="fr-CA"/>
        </w:rPr>
        <w:t>’</w:t>
      </w:r>
      <w:r w:rsidRPr="00E26409">
        <w:rPr>
          <w:lang w:val="fr-CA"/>
        </w:rPr>
        <w:t>Association canadienne des avocats d</w:t>
      </w:r>
      <w:r w:rsidR="00A13B74" w:rsidRPr="00E26409">
        <w:rPr>
          <w:lang w:val="fr-CA"/>
        </w:rPr>
        <w:t>’</w:t>
      </w:r>
      <w:r w:rsidRPr="00E26409">
        <w:rPr>
          <w:lang w:val="fr-CA"/>
        </w:rPr>
        <w:t>employeurs : </w:t>
      </w:r>
      <w:proofErr w:type="spellStart"/>
      <w:r w:rsidRPr="00E26409">
        <w:rPr>
          <w:lang w:val="fr-CA"/>
        </w:rPr>
        <w:t>McLennan</w:t>
      </w:r>
      <w:proofErr w:type="spellEnd"/>
      <w:r w:rsidRPr="00E26409">
        <w:rPr>
          <w:lang w:val="fr-CA"/>
        </w:rPr>
        <w:t xml:space="preserve"> Ross, Edmonton.</w:t>
      </w:r>
    </w:p>
    <w:p w:rsidR="00166760" w:rsidRPr="00E26409" w:rsidRDefault="00166760" w:rsidP="00166760">
      <w:pPr>
        <w:pStyle w:val="SCCLawFirm"/>
        <w:spacing w:before="480" w:after="480"/>
        <w:rPr>
          <w:lang w:val="fr-CA"/>
        </w:rPr>
      </w:pPr>
      <w:r w:rsidRPr="00E26409">
        <w:rPr>
          <w:lang w:val="fr-CA"/>
        </w:rPr>
        <w:tab/>
        <w:t>Procureurs de l</w:t>
      </w:r>
      <w:r w:rsidR="00A13B74" w:rsidRPr="00E26409">
        <w:rPr>
          <w:lang w:val="fr-CA"/>
        </w:rPr>
        <w:t>’</w:t>
      </w:r>
      <w:r w:rsidRPr="00E26409">
        <w:rPr>
          <w:lang w:val="fr-CA"/>
        </w:rPr>
        <w:t>intervenante l</w:t>
      </w:r>
      <w:r w:rsidR="00A13B74" w:rsidRPr="00E26409">
        <w:rPr>
          <w:lang w:val="fr-CA"/>
        </w:rPr>
        <w:t>’</w:t>
      </w:r>
      <w:r w:rsidRPr="00E26409">
        <w:rPr>
          <w:lang w:val="fr-CA"/>
        </w:rPr>
        <w:t>Association canadienne des libertés civiles : </w:t>
      </w:r>
      <w:proofErr w:type="spellStart"/>
      <w:r w:rsidRPr="00E26409">
        <w:rPr>
          <w:lang w:val="fr-CA"/>
        </w:rPr>
        <w:t>Dewart</w:t>
      </w:r>
      <w:proofErr w:type="spellEnd"/>
      <w:r w:rsidRPr="00E26409">
        <w:rPr>
          <w:lang w:val="fr-CA"/>
        </w:rPr>
        <w:t xml:space="preserve"> </w:t>
      </w:r>
      <w:proofErr w:type="spellStart"/>
      <w:r w:rsidRPr="00E26409">
        <w:rPr>
          <w:lang w:val="fr-CA"/>
        </w:rPr>
        <w:t>Gleason</w:t>
      </w:r>
      <w:proofErr w:type="spellEnd"/>
      <w:r w:rsidRPr="00E26409">
        <w:rPr>
          <w:lang w:val="fr-CA"/>
        </w:rPr>
        <w:t>, Toronto.</w:t>
      </w:r>
    </w:p>
    <w:p w:rsidR="00166760" w:rsidRPr="00E26409" w:rsidRDefault="00166760" w:rsidP="00166760">
      <w:pPr>
        <w:pStyle w:val="SCCLawFirm"/>
        <w:spacing w:before="480" w:after="480"/>
        <w:rPr>
          <w:lang w:val="fr-CA"/>
        </w:rPr>
      </w:pPr>
      <w:r w:rsidRPr="00E26409">
        <w:rPr>
          <w:lang w:val="fr-CA"/>
        </w:rPr>
        <w:tab/>
        <w:t>Procureurs de l</w:t>
      </w:r>
      <w:r w:rsidR="00A13B74" w:rsidRPr="00E26409">
        <w:rPr>
          <w:lang w:val="fr-CA"/>
        </w:rPr>
        <w:t>’</w:t>
      </w:r>
      <w:r w:rsidRPr="00E26409">
        <w:rPr>
          <w:lang w:val="fr-CA"/>
        </w:rPr>
        <w:t xml:space="preserve">intervenante Canadian Constitution </w:t>
      </w:r>
      <w:proofErr w:type="spellStart"/>
      <w:r w:rsidRPr="00E26409">
        <w:rPr>
          <w:lang w:val="fr-CA"/>
        </w:rPr>
        <w:t>Foundation</w:t>
      </w:r>
      <w:proofErr w:type="spellEnd"/>
      <w:r w:rsidRPr="00E26409">
        <w:rPr>
          <w:lang w:val="fr-CA"/>
        </w:rPr>
        <w:t xml:space="preserve"> : Osler, </w:t>
      </w:r>
      <w:proofErr w:type="spellStart"/>
      <w:r w:rsidRPr="00E26409">
        <w:rPr>
          <w:lang w:val="fr-CA"/>
        </w:rPr>
        <w:t>Hoskin</w:t>
      </w:r>
      <w:proofErr w:type="spellEnd"/>
      <w:r w:rsidRPr="00E26409">
        <w:rPr>
          <w:lang w:val="fr-CA"/>
        </w:rPr>
        <w:t xml:space="preserve"> &amp; Harcourt, Toronto.</w:t>
      </w:r>
    </w:p>
    <w:p w:rsidR="00166760" w:rsidRPr="00E26409" w:rsidRDefault="00166760" w:rsidP="00166760">
      <w:pPr>
        <w:pStyle w:val="SCCLawFirm"/>
        <w:spacing w:before="480" w:after="480"/>
        <w:rPr>
          <w:lang w:val="fr-CA"/>
        </w:rPr>
      </w:pPr>
      <w:r w:rsidRPr="00E26409">
        <w:rPr>
          <w:lang w:val="fr-CA"/>
        </w:rPr>
        <w:tab/>
        <w:t>Procureurs de l</w:t>
      </w:r>
      <w:r w:rsidR="00A13B74" w:rsidRPr="00E26409">
        <w:rPr>
          <w:lang w:val="fr-CA"/>
        </w:rPr>
        <w:t>’</w:t>
      </w:r>
      <w:r w:rsidRPr="00E26409">
        <w:rPr>
          <w:lang w:val="fr-CA"/>
        </w:rPr>
        <w:t xml:space="preserve">intervenante Alberta </w:t>
      </w:r>
      <w:proofErr w:type="spellStart"/>
      <w:r w:rsidRPr="00E26409">
        <w:rPr>
          <w:lang w:val="fr-CA"/>
        </w:rPr>
        <w:t>Federation</w:t>
      </w:r>
      <w:proofErr w:type="spellEnd"/>
      <w:r w:rsidRPr="00E26409">
        <w:rPr>
          <w:lang w:val="fr-CA"/>
        </w:rPr>
        <w:t xml:space="preserve"> of Labour : </w:t>
      </w:r>
      <w:proofErr w:type="spellStart"/>
      <w:r w:rsidRPr="00E26409">
        <w:rPr>
          <w:lang w:val="fr-CA"/>
        </w:rPr>
        <w:t>Chivers</w:t>
      </w:r>
      <w:proofErr w:type="spellEnd"/>
      <w:r w:rsidRPr="00E26409">
        <w:rPr>
          <w:lang w:val="fr-CA"/>
        </w:rPr>
        <w:t xml:space="preserve"> Carpenter, Edmonton.</w:t>
      </w:r>
    </w:p>
    <w:p w:rsidR="00166760" w:rsidRPr="00E26409" w:rsidRDefault="00166760" w:rsidP="00166760">
      <w:pPr>
        <w:pStyle w:val="SCCLawFirm"/>
        <w:spacing w:before="480" w:after="480"/>
        <w:rPr>
          <w:lang w:val="fr-FR"/>
        </w:rPr>
      </w:pPr>
      <w:r w:rsidRPr="00E26409">
        <w:rPr>
          <w:lang w:val="fr-CA"/>
        </w:rPr>
        <w:tab/>
      </w:r>
      <w:r w:rsidRPr="00E26409">
        <w:rPr>
          <w:lang w:val="fr-FR"/>
        </w:rPr>
        <w:t xml:space="preserve">Procureurs des intervenantes Coalition of British Columbia Businesses et </w:t>
      </w:r>
      <w:proofErr w:type="spellStart"/>
      <w:r w:rsidRPr="00E26409">
        <w:rPr>
          <w:lang w:val="fr-FR"/>
        </w:rPr>
        <w:t>Merit</w:t>
      </w:r>
      <w:proofErr w:type="spellEnd"/>
      <w:r w:rsidRPr="00E26409">
        <w:rPr>
          <w:lang w:val="fr-FR"/>
        </w:rPr>
        <w:t xml:space="preserve"> Canada : Heenan Blaikie, Ottawa.</w:t>
      </w:r>
    </w:p>
    <w:p w:rsidR="009B57B3" w:rsidRDefault="00166760" w:rsidP="00046CA9">
      <w:pPr>
        <w:pStyle w:val="SCCLawFirm"/>
        <w:rPr>
          <w:b/>
          <w:i w:val="0"/>
          <w:lang w:val="fr-CA"/>
        </w:rPr>
      </w:pPr>
      <w:r w:rsidRPr="00E26409">
        <w:rPr>
          <w:lang w:val="fr-FR"/>
        </w:rPr>
        <w:tab/>
      </w:r>
      <w:r w:rsidRPr="00E26409">
        <w:rPr>
          <w:lang w:val="fr-CA"/>
        </w:rPr>
        <w:t>Procureur</w:t>
      </w:r>
      <w:r w:rsidR="00740487">
        <w:rPr>
          <w:lang w:val="fr-CA"/>
        </w:rPr>
        <w:t>s</w:t>
      </w:r>
      <w:r w:rsidRPr="00E26409">
        <w:rPr>
          <w:lang w:val="fr-CA"/>
        </w:rPr>
        <w:t xml:space="preserve"> de l</w:t>
      </w:r>
      <w:r w:rsidR="00A13B74" w:rsidRPr="00E26409">
        <w:rPr>
          <w:lang w:val="fr-CA"/>
        </w:rPr>
        <w:t>’</w:t>
      </w:r>
      <w:r w:rsidRPr="00E26409">
        <w:rPr>
          <w:lang w:val="fr-CA"/>
        </w:rPr>
        <w:t>intervenante la Commission des relations de travail dans la fonction publique : Torys, Toronto.</w:t>
      </w:r>
    </w:p>
    <w:p w:rsidR="00046CA9" w:rsidRPr="00046CA9" w:rsidRDefault="00046CA9" w:rsidP="00046CA9">
      <w:pPr>
        <w:pStyle w:val="SCCNormalDoubleSpacing"/>
        <w:rPr>
          <w:lang w:val="fr-CA"/>
        </w:rPr>
      </w:pPr>
    </w:p>
    <w:sectPr w:rsidR="00046CA9" w:rsidRPr="00046CA9"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207" w:rsidRDefault="00411207">
      <w:r>
        <w:separator/>
      </w:r>
    </w:p>
  </w:endnote>
  <w:endnote w:type="continuationSeparator" w:id="0">
    <w:p w:rsidR="00411207" w:rsidRDefault="00411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207" w:rsidRDefault="00411207">
      <w:r>
        <w:separator/>
      </w:r>
    </w:p>
  </w:footnote>
  <w:footnote w:type="continuationSeparator" w:id="0">
    <w:p w:rsidR="00411207" w:rsidRDefault="00411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207" w:rsidRPr="00450352" w:rsidRDefault="00411207"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0DC162D"/>
    <w:multiLevelType w:val="hybridMultilevel"/>
    <w:tmpl w:val="131EA3FE"/>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E726AE9"/>
    <w:multiLevelType w:val="hybridMultilevel"/>
    <w:tmpl w:val="F8CC4A24"/>
    <w:lvl w:ilvl="0" w:tplc="966C584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173E3"/>
    <w:multiLevelType w:val="hybridMultilevel"/>
    <w:tmpl w:val="F7200924"/>
    <w:lvl w:ilvl="0" w:tplc="2342F6FE">
      <w:start w:val="1"/>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603130A"/>
    <w:multiLevelType w:val="multilevel"/>
    <w:tmpl w:val="DE805AC2"/>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7">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9">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4283EE8"/>
    <w:multiLevelType w:val="multilevel"/>
    <w:tmpl w:val="E982A90E"/>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9251BFB"/>
    <w:multiLevelType w:val="multilevel"/>
    <w:tmpl w:val="33B050A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2921BE"/>
    <w:multiLevelType w:val="hybridMultilevel"/>
    <w:tmpl w:val="618CAC28"/>
    <w:lvl w:ilvl="0" w:tplc="1CF42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96F62D3"/>
    <w:multiLevelType w:val="hybridMultilevel"/>
    <w:tmpl w:val="A77E273C"/>
    <w:lvl w:ilvl="0" w:tplc="7D70B1E8">
      <w:start w:val="1"/>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14"/>
  </w:num>
  <w:num w:numId="4">
    <w:abstractNumId w:val="11"/>
  </w:num>
  <w:num w:numId="5">
    <w:abstractNumId w:val="18"/>
  </w:num>
  <w:num w:numId="6">
    <w:abstractNumId w:val="19"/>
  </w:num>
  <w:num w:numId="7">
    <w:abstractNumId w:val="16"/>
  </w:num>
  <w:num w:numId="8">
    <w:abstractNumId w:val="24"/>
  </w:num>
  <w:num w:numId="9">
    <w:abstractNumId w:val="1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2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0"/>
  </w:num>
  <w:num w:numId="27">
    <w:abstractNumId w:val="1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1284C"/>
    <w:rsid w:val="00023FC7"/>
    <w:rsid w:val="00025198"/>
    <w:rsid w:val="00045A5D"/>
    <w:rsid w:val="00046CA9"/>
    <w:rsid w:val="00052EA3"/>
    <w:rsid w:val="000578A3"/>
    <w:rsid w:val="000648CC"/>
    <w:rsid w:val="00064C99"/>
    <w:rsid w:val="00072899"/>
    <w:rsid w:val="00075EC0"/>
    <w:rsid w:val="0009380F"/>
    <w:rsid w:val="000B2BAD"/>
    <w:rsid w:val="000B6071"/>
    <w:rsid w:val="000C3AD5"/>
    <w:rsid w:val="000C59B8"/>
    <w:rsid w:val="000C6AF0"/>
    <w:rsid w:val="000D0A77"/>
    <w:rsid w:val="000D2A1C"/>
    <w:rsid w:val="000E45A7"/>
    <w:rsid w:val="000F7993"/>
    <w:rsid w:val="00104F33"/>
    <w:rsid w:val="00111DE2"/>
    <w:rsid w:val="0011289A"/>
    <w:rsid w:val="00116B38"/>
    <w:rsid w:val="00120674"/>
    <w:rsid w:val="00131B24"/>
    <w:rsid w:val="00135406"/>
    <w:rsid w:val="00135972"/>
    <w:rsid w:val="00141A84"/>
    <w:rsid w:val="001426A9"/>
    <w:rsid w:val="001546DF"/>
    <w:rsid w:val="00154D7C"/>
    <w:rsid w:val="001570B0"/>
    <w:rsid w:val="0015752C"/>
    <w:rsid w:val="00157737"/>
    <w:rsid w:val="00162B9B"/>
    <w:rsid w:val="00165277"/>
    <w:rsid w:val="00166760"/>
    <w:rsid w:val="00170592"/>
    <w:rsid w:val="001720F7"/>
    <w:rsid w:val="00195B3D"/>
    <w:rsid w:val="00195D83"/>
    <w:rsid w:val="001A00C1"/>
    <w:rsid w:val="001A178B"/>
    <w:rsid w:val="001B33E0"/>
    <w:rsid w:val="001B4573"/>
    <w:rsid w:val="001C779F"/>
    <w:rsid w:val="001D2AC1"/>
    <w:rsid w:val="001D4E88"/>
    <w:rsid w:val="001F4004"/>
    <w:rsid w:val="002064C5"/>
    <w:rsid w:val="00214C3E"/>
    <w:rsid w:val="00220FC2"/>
    <w:rsid w:val="002221E5"/>
    <w:rsid w:val="002222F4"/>
    <w:rsid w:val="00224FC0"/>
    <w:rsid w:val="00225EA4"/>
    <w:rsid w:val="00226EAF"/>
    <w:rsid w:val="00231F3A"/>
    <w:rsid w:val="002406EE"/>
    <w:rsid w:val="00243EC8"/>
    <w:rsid w:val="00244954"/>
    <w:rsid w:val="00270D93"/>
    <w:rsid w:val="002745CC"/>
    <w:rsid w:val="00274AF4"/>
    <w:rsid w:val="00282F6D"/>
    <w:rsid w:val="00293EC9"/>
    <w:rsid w:val="002B6FBE"/>
    <w:rsid w:val="002B7924"/>
    <w:rsid w:val="002C10A6"/>
    <w:rsid w:val="002C18C5"/>
    <w:rsid w:val="002C539E"/>
    <w:rsid w:val="002D234D"/>
    <w:rsid w:val="002D27E0"/>
    <w:rsid w:val="002D28C3"/>
    <w:rsid w:val="002D39A4"/>
    <w:rsid w:val="002E6705"/>
    <w:rsid w:val="002E7D55"/>
    <w:rsid w:val="002F21EA"/>
    <w:rsid w:val="0030329A"/>
    <w:rsid w:val="0031086F"/>
    <w:rsid w:val="0031414C"/>
    <w:rsid w:val="00314E01"/>
    <w:rsid w:val="0032089D"/>
    <w:rsid w:val="003310DE"/>
    <w:rsid w:val="003323B0"/>
    <w:rsid w:val="00340A49"/>
    <w:rsid w:val="0035169A"/>
    <w:rsid w:val="0035259D"/>
    <w:rsid w:val="003576F4"/>
    <w:rsid w:val="00364B18"/>
    <w:rsid w:val="00386215"/>
    <w:rsid w:val="003A0E50"/>
    <w:rsid w:val="003A125D"/>
    <w:rsid w:val="003A4C70"/>
    <w:rsid w:val="003A51DA"/>
    <w:rsid w:val="003B215F"/>
    <w:rsid w:val="003C7310"/>
    <w:rsid w:val="003C799C"/>
    <w:rsid w:val="003D0399"/>
    <w:rsid w:val="003D1C0A"/>
    <w:rsid w:val="003E1C71"/>
    <w:rsid w:val="003E5079"/>
    <w:rsid w:val="003F327B"/>
    <w:rsid w:val="00406166"/>
    <w:rsid w:val="0040704B"/>
    <w:rsid w:val="00410A55"/>
    <w:rsid w:val="00411207"/>
    <w:rsid w:val="00411300"/>
    <w:rsid w:val="00413F17"/>
    <w:rsid w:val="00415417"/>
    <w:rsid w:val="004222F1"/>
    <w:rsid w:val="00426659"/>
    <w:rsid w:val="0044207F"/>
    <w:rsid w:val="00450352"/>
    <w:rsid w:val="00454BDB"/>
    <w:rsid w:val="00465132"/>
    <w:rsid w:val="0047490C"/>
    <w:rsid w:val="00480C90"/>
    <w:rsid w:val="0048268A"/>
    <w:rsid w:val="0048396F"/>
    <w:rsid w:val="004864D3"/>
    <w:rsid w:val="004934CC"/>
    <w:rsid w:val="00493C18"/>
    <w:rsid w:val="00495954"/>
    <w:rsid w:val="004A600C"/>
    <w:rsid w:val="004A6118"/>
    <w:rsid w:val="004C0C98"/>
    <w:rsid w:val="004C478D"/>
    <w:rsid w:val="004C788D"/>
    <w:rsid w:val="004D7D95"/>
    <w:rsid w:val="004E2C26"/>
    <w:rsid w:val="004E5A8F"/>
    <w:rsid w:val="004F51BA"/>
    <w:rsid w:val="005125A8"/>
    <w:rsid w:val="00517549"/>
    <w:rsid w:val="00520ABC"/>
    <w:rsid w:val="00521AE8"/>
    <w:rsid w:val="00527180"/>
    <w:rsid w:val="00542EF6"/>
    <w:rsid w:val="00555291"/>
    <w:rsid w:val="00566AD1"/>
    <w:rsid w:val="00583905"/>
    <w:rsid w:val="00583EDE"/>
    <w:rsid w:val="005A0075"/>
    <w:rsid w:val="005A3D5B"/>
    <w:rsid w:val="005A6079"/>
    <w:rsid w:val="005D0687"/>
    <w:rsid w:val="005D3EDE"/>
    <w:rsid w:val="005E234E"/>
    <w:rsid w:val="005E4698"/>
    <w:rsid w:val="00603924"/>
    <w:rsid w:val="0060579D"/>
    <w:rsid w:val="00610539"/>
    <w:rsid w:val="00613969"/>
    <w:rsid w:val="00625011"/>
    <w:rsid w:val="00625C35"/>
    <w:rsid w:val="00647E49"/>
    <w:rsid w:val="00656313"/>
    <w:rsid w:val="006565F4"/>
    <w:rsid w:val="006603C1"/>
    <w:rsid w:val="006755EC"/>
    <w:rsid w:val="00684EEA"/>
    <w:rsid w:val="00690487"/>
    <w:rsid w:val="0069689B"/>
    <w:rsid w:val="006A635A"/>
    <w:rsid w:val="006B5FF5"/>
    <w:rsid w:val="006F30AF"/>
    <w:rsid w:val="006F471D"/>
    <w:rsid w:val="00701759"/>
    <w:rsid w:val="007027E9"/>
    <w:rsid w:val="00705C15"/>
    <w:rsid w:val="007110F6"/>
    <w:rsid w:val="007208D1"/>
    <w:rsid w:val="00724CAA"/>
    <w:rsid w:val="00740487"/>
    <w:rsid w:val="00744518"/>
    <w:rsid w:val="00747288"/>
    <w:rsid w:val="00747DD3"/>
    <w:rsid w:val="007549C8"/>
    <w:rsid w:val="00764401"/>
    <w:rsid w:val="00766D14"/>
    <w:rsid w:val="00767A0F"/>
    <w:rsid w:val="00791272"/>
    <w:rsid w:val="007A05F6"/>
    <w:rsid w:val="007A0665"/>
    <w:rsid w:val="007A6DC8"/>
    <w:rsid w:val="007B6F4A"/>
    <w:rsid w:val="007D73BC"/>
    <w:rsid w:val="007E1C47"/>
    <w:rsid w:val="007E337A"/>
    <w:rsid w:val="007E5C70"/>
    <w:rsid w:val="007F2FF5"/>
    <w:rsid w:val="007F3F08"/>
    <w:rsid w:val="00804CC6"/>
    <w:rsid w:val="00817190"/>
    <w:rsid w:val="008260E2"/>
    <w:rsid w:val="008322BD"/>
    <w:rsid w:val="00834F73"/>
    <w:rsid w:val="00837493"/>
    <w:rsid w:val="008450AC"/>
    <w:rsid w:val="00845747"/>
    <w:rsid w:val="00852E7C"/>
    <w:rsid w:val="008550AC"/>
    <w:rsid w:val="00864C8A"/>
    <w:rsid w:val="00864CF8"/>
    <w:rsid w:val="00872A1C"/>
    <w:rsid w:val="00874914"/>
    <w:rsid w:val="008777C5"/>
    <w:rsid w:val="00891422"/>
    <w:rsid w:val="00892E1A"/>
    <w:rsid w:val="00893F79"/>
    <w:rsid w:val="008A53B7"/>
    <w:rsid w:val="008B660A"/>
    <w:rsid w:val="008C01DA"/>
    <w:rsid w:val="008C67E5"/>
    <w:rsid w:val="008D3768"/>
    <w:rsid w:val="008D72A8"/>
    <w:rsid w:val="008F2674"/>
    <w:rsid w:val="008F78E9"/>
    <w:rsid w:val="00912E9C"/>
    <w:rsid w:val="009179F9"/>
    <w:rsid w:val="00917C7A"/>
    <w:rsid w:val="00921F1D"/>
    <w:rsid w:val="00921F81"/>
    <w:rsid w:val="00923531"/>
    <w:rsid w:val="0092758F"/>
    <w:rsid w:val="00933E5E"/>
    <w:rsid w:val="00935218"/>
    <w:rsid w:val="00937C52"/>
    <w:rsid w:val="009403F3"/>
    <w:rsid w:val="00941493"/>
    <w:rsid w:val="00941583"/>
    <w:rsid w:val="00952E6D"/>
    <w:rsid w:val="009555B7"/>
    <w:rsid w:val="009567AA"/>
    <w:rsid w:val="009602C9"/>
    <w:rsid w:val="00967374"/>
    <w:rsid w:val="00995175"/>
    <w:rsid w:val="009A343A"/>
    <w:rsid w:val="009B2F23"/>
    <w:rsid w:val="009B57B3"/>
    <w:rsid w:val="009C0715"/>
    <w:rsid w:val="009C6579"/>
    <w:rsid w:val="009D2920"/>
    <w:rsid w:val="009D5AEB"/>
    <w:rsid w:val="009F0E33"/>
    <w:rsid w:val="009F75DE"/>
    <w:rsid w:val="00A13B74"/>
    <w:rsid w:val="00A149DF"/>
    <w:rsid w:val="00A1687A"/>
    <w:rsid w:val="00A1755C"/>
    <w:rsid w:val="00A21B90"/>
    <w:rsid w:val="00A22AAC"/>
    <w:rsid w:val="00A34B11"/>
    <w:rsid w:val="00A3690B"/>
    <w:rsid w:val="00A41805"/>
    <w:rsid w:val="00A41B4A"/>
    <w:rsid w:val="00A51882"/>
    <w:rsid w:val="00A52AFB"/>
    <w:rsid w:val="00A548CB"/>
    <w:rsid w:val="00A5521C"/>
    <w:rsid w:val="00A643E7"/>
    <w:rsid w:val="00A73C38"/>
    <w:rsid w:val="00A83B4A"/>
    <w:rsid w:val="00AA19A6"/>
    <w:rsid w:val="00AB670D"/>
    <w:rsid w:val="00AB79A1"/>
    <w:rsid w:val="00AC01E7"/>
    <w:rsid w:val="00AC0DBF"/>
    <w:rsid w:val="00AD1C85"/>
    <w:rsid w:val="00AD21A1"/>
    <w:rsid w:val="00AD6322"/>
    <w:rsid w:val="00AF03C5"/>
    <w:rsid w:val="00AF1F2D"/>
    <w:rsid w:val="00AF7061"/>
    <w:rsid w:val="00B000D8"/>
    <w:rsid w:val="00B00F75"/>
    <w:rsid w:val="00B07F49"/>
    <w:rsid w:val="00B145B6"/>
    <w:rsid w:val="00B2292B"/>
    <w:rsid w:val="00B25944"/>
    <w:rsid w:val="00B279EB"/>
    <w:rsid w:val="00B30814"/>
    <w:rsid w:val="00B34BDB"/>
    <w:rsid w:val="00B43E14"/>
    <w:rsid w:val="00B50C81"/>
    <w:rsid w:val="00B557F8"/>
    <w:rsid w:val="00B815FC"/>
    <w:rsid w:val="00B93FBC"/>
    <w:rsid w:val="00BA3EFA"/>
    <w:rsid w:val="00BA7DA0"/>
    <w:rsid w:val="00BB2EE4"/>
    <w:rsid w:val="00BB4C92"/>
    <w:rsid w:val="00BB5796"/>
    <w:rsid w:val="00BB61C4"/>
    <w:rsid w:val="00BB644B"/>
    <w:rsid w:val="00BC2108"/>
    <w:rsid w:val="00BD0E9E"/>
    <w:rsid w:val="00BD1BEC"/>
    <w:rsid w:val="00BD32FF"/>
    <w:rsid w:val="00BE72D8"/>
    <w:rsid w:val="00BF6FE9"/>
    <w:rsid w:val="00C02092"/>
    <w:rsid w:val="00C04360"/>
    <w:rsid w:val="00C17322"/>
    <w:rsid w:val="00C224AB"/>
    <w:rsid w:val="00C24D91"/>
    <w:rsid w:val="00C26DB2"/>
    <w:rsid w:val="00C46F3A"/>
    <w:rsid w:val="00C53300"/>
    <w:rsid w:val="00C53F14"/>
    <w:rsid w:val="00C55879"/>
    <w:rsid w:val="00C600CF"/>
    <w:rsid w:val="00C6084F"/>
    <w:rsid w:val="00C62A66"/>
    <w:rsid w:val="00C66359"/>
    <w:rsid w:val="00C71458"/>
    <w:rsid w:val="00C77613"/>
    <w:rsid w:val="00C8000D"/>
    <w:rsid w:val="00C828E7"/>
    <w:rsid w:val="00C86719"/>
    <w:rsid w:val="00C921DD"/>
    <w:rsid w:val="00C95F68"/>
    <w:rsid w:val="00CA2037"/>
    <w:rsid w:val="00CA3C3F"/>
    <w:rsid w:val="00CA4CE8"/>
    <w:rsid w:val="00CA6391"/>
    <w:rsid w:val="00CB72DD"/>
    <w:rsid w:val="00CE036E"/>
    <w:rsid w:val="00CE3171"/>
    <w:rsid w:val="00CF1601"/>
    <w:rsid w:val="00D0172F"/>
    <w:rsid w:val="00D01E33"/>
    <w:rsid w:val="00D037F0"/>
    <w:rsid w:val="00D068A7"/>
    <w:rsid w:val="00D110CF"/>
    <w:rsid w:val="00D17476"/>
    <w:rsid w:val="00D21943"/>
    <w:rsid w:val="00D25A13"/>
    <w:rsid w:val="00D32086"/>
    <w:rsid w:val="00D37A3F"/>
    <w:rsid w:val="00D4431D"/>
    <w:rsid w:val="00D4667A"/>
    <w:rsid w:val="00D61284"/>
    <w:rsid w:val="00D61592"/>
    <w:rsid w:val="00D63A0B"/>
    <w:rsid w:val="00D63A1C"/>
    <w:rsid w:val="00D6667B"/>
    <w:rsid w:val="00D7516F"/>
    <w:rsid w:val="00D95F8E"/>
    <w:rsid w:val="00DA0590"/>
    <w:rsid w:val="00DA25AC"/>
    <w:rsid w:val="00DB1198"/>
    <w:rsid w:val="00DC1739"/>
    <w:rsid w:val="00DC1788"/>
    <w:rsid w:val="00DE173C"/>
    <w:rsid w:val="00DE319C"/>
    <w:rsid w:val="00DF0CA8"/>
    <w:rsid w:val="00DF2B48"/>
    <w:rsid w:val="00DF49A7"/>
    <w:rsid w:val="00E021BE"/>
    <w:rsid w:val="00E07EE2"/>
    <w:rsid w:val="00E07FD1"/>
    <w:rsid w:val="00E21F7E"/>
    <w:rsid w:val="00E24573"/>
    <w:rsid w:val="00E25E1E"/>
    <w:rsid w:val="00E26409"/>
    <w:rsid w:val="00E27EE7"/>
    <w:rsid w:val="00E35404"/>
    <w:rsid w:val="00E37C6F"/>
    <w:rsid w:val="00E404AB"/>
    <w:rsid w:val="00E45109"/>
    <w:rsid w:val="00E47B7A"/>
    <w:rsid w:val="00E55DD6"/>
    <w:rsid w:val="00E56A44"/>
    <w:rsid w:val="00E60269"/>
    <w:rsid w:val="00E627C3"/>
    <w:rsid w:val="00E62C60"/>
    <w:rsid w:val="00E91637"/>
    <w:rsid w:val="00E97830"/>
    <w:rsid w:val="00EA5264"/>
    <w:rsid w:val="00EB4782"/>
    <w:rsid w:val="00ED7676"/>
    <w:rsid w:val="00EE0830"/>
    <w:rsid w:val="00EE0D93"/>
    <w:rsid w:val="00EE5B8B"/>
    <w:rsid w:val="00EE6CB8"/>
    <w:rsid w:val="00EF0683"/>
    <w:rsid w:val="00EF0993"/>
    <w:rsid w:val="00EF145B"/>
    <w:rsid w:val="00EF6008"/>
    <w:rsid w:val="00F0070C"/>
    <w:rsid w:val="00F00EB7"/>
    <w:rsid w:val="00F04332"/>
    <w:rsid w:val="00F070C0"/>
    <w:rsid w:val="00F22DB7"/>
    <w:rsid w:val="00F250E4"/>
    <w:rsid w:val="00F36AB6"/>
    <w:rsid w:val="00F37A09"/>
    <w:rsid w:val="00F409CE"/>
    <w:rsid w:val="00F42D29"/>
    <w:rsid w:val="00F4379D"/>
    <w:rsid w:val="00F44815"/>
    <w:rsid w:val="00F46A83"/>
    <w:rsid w:val="00F47CC6"/>
    <w:rsid w:val="00F50D2D"/>
    <w:rsid w:val="00F56C8B"/>
    <w:rsid w:val="00F62639"/>
    <w:rsid w:val="00F62C80"/>
    <w:rsid w:val="00F66810"/>
    <w:rsid w:val="00F84DF4"/>
    <w:rsid w:val="00F85C97"/>
    <w:rsid w:val="00FA2DC1"/>
    <w:rsid w:val="00FA384D"/>
    <w:rsid w:val="00FB37D2"/>
    <w:rsid w:val="00FB6B23"/>
    <w:rsid w:val="00FC4EFB"/>
    <w:rsid w:val="00FD068D"/>
    <w:rsid w:val="00FD4F28"/>
    <w:rsid w:val="00FD56B3"/>
    <w:rsid w:val="00FE6784"/>
    <w:rsid w:val="00FE7A8B"/>
    <w:rsid w:val="00FF6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5"/>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6CA9"/>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046CA9"/>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unhideWhenUsed/>
    <w:qFormat/>
    <w:rsid w:val="00046CA9"/>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046CA9"/>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046CA9"/>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046CA9"/>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046CA9"/>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5"/>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qFormat/>
    <w:rsid w:val="00C53300"/>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rsid w:val="00046CA9"/>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046CA9"/>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rsid w:val="00046CA9"/>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046CA9"/>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046CA9"/>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046CA9"/>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046CA9"/>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046CA9"/>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046CA9"/>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046CA9"/>
    <w:rPr>
      <w:b/>
      <w:sz w:val="24"/>
    </w:rPr>
  </w:style>
  <w:style w:type="table" w:styleId="TableGrid">
    <w:name w:val="Table Grid"/>
    <w:basedOn w:val="TableNormal"/>
    <w:uiPriority w:val="59"/>
    <w:rsid w:val="00046C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046CA9"/>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046CA9"/>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046CA9"/>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046CA9"/>
    <w:pPr>
      <w:numPr>
        <w:numId w:val="7"/>
      </w:numPr>
      <w:tabs>
        <w:tab w:val="left" w:pos="432"/>
      </w:tabs>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46CA9"/>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046CA9"/>
    <w:pPr>
      <w:numPr>
        <w:ilvl w:val="2"/>
      </w:numPr>
      <w:tabs>
        <w:tab w:val="clear" w:pos="432"/>
      </w:tabs>
    </w:pPr>
  </w:style>
  <w:style w:type="paragraph" w:customStyle="1" w:styleId="Title4LevelTitre4Niveau">
    <w:name w:val="Title 4 Level / Titre 4 Niveau"/>
    <w:basedOn w:val="Title3LevelTitre3Niveau"/>
    <w:next w:val="ParaNoNdepar-AltN"/>
    <w:uiPriority w:val="4"/>
    <w:qFormat/>
    <w:rsid w:val="00046CA9"/>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046CA9"/>
    <w:pPr>
      <w:numPr>
        <w:ilvl w:val="4"/>
      </w:numPr>
      <w:tabs>
        <w:tab w:val="clear" w:pos="432"/>
        <w:tab w:val="clear" w:pos="1728"/>
        <w:tab w:val="num" w:pos="1440"/>
      </w:tabs>
      <w:ind w:left="1440" w:hanging="540"/>
    </w:pPr>
  </w:style>
  <w:style w:type="paragraph" w:styleId="TOC1">
    <w:name w:val="toc 1"/>
    <w:basedOn w:val="Normal"/>
    <w:next w:val="Normal"/>
    <w:autoRedefine/>
    <w:uiPriority w:val="39"/>
    <w:unhideWhenUsed/>
    <w:rsid w:val="00046CA9"/>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046CA9"/>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046CA9"/>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046CA9"/>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046CA9"/>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046CA9"/>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046CA9"/>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046CA9"/>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unhideWhenUsed/>
    <w:rsid w:val="00046CA9"/>
    <w:rPr>
      <w:rFonts w:eastAsiaTheme="minorHAnsi" w:cstheme="minorBidi"/>
      <w:sz w:val="20"/>
      <w:lang w:val="en-US" w:eastAsia="en-US" w:bidi="en-US"/>
    </w:rPr>
  </w:style>
  <w:style w:type="character" w:customStyle="1" w:styleId="FootnoteTextChar">
    <w:name w:val="Footnote Text Char"/>
    <w:basedOn w:val="DefaultParagraphFont"/>
    <w:link w:val="FootnoteText"/>
    <w:uiPriority w:val="99"/>
    <w:rsid w:val="00046CA9"/>
    <w:rPr>
      <w:rFonts w:eastAsiaTheme="minorHAnsi" w:cstheme="minorBidi"/>
      <w:lang w:val="en-US" w:eastAsia="en-US" w:bidi="en-US"/>
    </w:rPr>
  </w:style>
  <w:style w:type="character" w:styleId="FootnoteReference">
    <w:name w:val="footnote reference"/>
    <w:basedOn w:val="DefaultParagraphFont"/>
    <w:uiPriority w:val="99"/>
    <w:unhideWhenUsed/>
    <w:rsid w:val="00046CA9"/>
    <w:rPr>
      <w:vertAlign w:val="superscript"/>
    </w:rPr>
  </w:style>
  <w:style w:type="character" w:customStyle="1" w:styleId="Definition">
    <w:name w:val="Definition"/>
    <w:uiPriority w:val="99"/>
    <w:rsid w:val="00046CA9"/>
    <w:rPr>
      <w:i/>
      <w:iCs/>
    </w:rPr>
  </w:style>
  <w:style w:type="character" w:styleId="Hyperlink">
    <w:name w:val="Hyperlink"/>
    <w:basedOn w:val="DefaultParagraphFont"/>
    <w:uiPriority w:val="99"/>
    <w:unhideWhenUsed/>
    <w:rsid w:val="00046CA9"/>
    <w:rPr>
      <w:color w:val="0000FF" w:themeColor="hyperlink"/>
      <w:u w:val="single"/>
    </w:rPr>
  </w:style>
  <w:style w:type="character" w:styleId="CommentReference">
    <w:name w:val="annotation reference"/>
    <w:basedOn w:val="DefaultParagraphFont"/>
    <w:uiPriority w:val="99"/>
    <w:semiHidden/>
    <w:unhideWhenUsed/>
    <w:rsid w:val="00046CA9"/>
    <w:rPr>
      <w:sz w:val="16"/>
      <w:szCs w:val="16"/>
    </w:rPr>
  </w:style>
  <w:style w:type="paragraph" w:styleId="CommentText">
    <w:name w:val="annotation text"/>
    <w:basedOn w:val="Normal"/>
    <w:link w:val="CommentTextChar"/>
    <w:uiPriority w:val="99"/>
    <w:semiHidden/>
    <w:unhideWhenUsed/>
    <w:rsid w:val="00046CA9"/>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046CA9"/>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046CA9"/>
    <w:rPr>
      <w:b/>
      <w:bCs/>
    </w:rPr>
  </w:style>
  <w:style w:type="character" w:customStyle="1" w:styleId="CommentSubjectChar">
    <w:name w:val="Comment Subject Char"/>
    <w:basedOn w:val="CommentTextChar"/>
    <w:link w:val="CommentSubject"/>
    <w:uiPriority w:val="99"/>
    <w:semiHidden/>
    <w:rsid w:val="00046CA9"/>
    <w:rPr>
      <w:b/>
      <w:bCs/>
    </w:rPr>
  </w:style>
  <w:style w:type="paragraph" w:customStyle="1" w:styleId="HeadingTitre-AltH">
    <w:name w:val="Heading / Titre - Alt H"/>
    <w:next w:val="Normal"/>
    <w:uiPriority w:val="3"/>
    <w:rsid w:val="00046CA9"/>
    <w:pPr>
      <w:tabs>
        <w:tab w:val="left" w:pos="360"/>
      </w:tabs>
      <w:spacing w:before="480" w:after="480"/>
      <w:ind w:left="360" w:hanging="360"/>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046CA9"/>
    <w:rPr>
      <w:smallCaps/>
      <w:sz w:val="24"/>
    </w:rPr>
  </w:style>
  <w:style w:type="paragraph" w:styleId="NoSpacing">
    <w:name w:val="No Spacing"/>
    <w:uiPriority w:val="1"/>
    <w:qFormat/>
    <w:rsid w:val="00046CA9"/>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046CA9"/>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046CA9"/>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046C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046CA9"/>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046CA9"/>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046CA9"/>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046CA9"/>
    <w:rPr>
      <w:i/>
      <w:iCs/>
    </w:rPr>
  </w:style>
  <w:style w:type="paragraph" w:styleId="ListParagraph">
    <w:name w:val="List Paragraph"/>
    <w:basedOn w:val="Normal"/>
    <w:uiPriority w:val="34"/>
    <w:rsid w:val="00046CA9"/>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046CA9"/>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046CA9"/>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046CA9"/>
    <w:rPr>
      <w:i/>
      <w:iCs/>
      <w:color w:val="808080" w:themeColor="text1" w:themeTint="7F"/>
    </w:rPr>
  </w:style>
  <w:style w:type="character" w:styleId="IntenseEmphasis">
    <w:name w:val="Intense Emphasis"/>
    <w:basedOn w:val="DefaultParagraphFont"/>
    <w:uiPriority w:val="21"/>
    <w:rsid w:val="00046CA9"/>
    <w:rPr>
      <w:b/>
      <w:bCs/>
      <w:i/>
      <w:iCs/>
      <w:color w:val="4F81BD" w:themeColor="accent1"/>
    </w:rPr>
  </w:style>
  <w:style w:type="character" w:styleId="SubtleReference">
    <w:name w:val="Subtle Reference"/>
    <w:basedOn w:val="DefaultParagraphFont"/>
    <w:uiPriority w:val="31"/>
    <w:rsid w:val="00046CA9"/>
    <w:rPr>
      <w:smallCaps/>
      <w:color w:val="C0504D" w:themeColor="accent2"/>
      <w:u w:val="single"/>
    </w:rPr>
  </w:style>
  <w:style w:type="character" w:styleId="IntenseReference">
    <w:name w:val="Intense Reference"/>
    <w:basedOn w:val="DefaultParagraphFont"/>
    <w:uiPriority w:val="32"/>
    <w:rsid w:val="00046CA9"/>
    <w:rPr>
      <w:b/>
      <w:bCs/>
      <w:smallCaps/>
      <w:color w:val="C0504D" w:themeColor="accent2"/>
      <w:spacing w:val="5"/>
      <w:u w:val="single"/>
    </w:rPr>
  </w:style>
  <w:style w:type="character" w:styleId="BookTitle">
    <w:name w:val="Book Title"/>
    <w:basedOn w:val="DefaultParagraphFont"/>
    <w:uiPriority w:val="33"/>
    <w:rsid w:val="00046CA9"/>
    <w:rPr>
      <w:b/>
      <w:bCs/>
      <w:smallCaps/>
      <w:spacing w:val="5"/>
    </w:rPr>
  </w:style>
  <w:style w:type="paragraph" w:styleId="Revision">
    <w:name w:val="Revision"/>
    <w:hidden/>
    <w:uiPriority w:val="99"/>
    <w:semiHidden/>
    <w:rsid w:val="00046CA9"/>
    <w:rPr>
      <w:rFonts w:eastAsiaTheme="minorHAnsi" w:cstheme="minorBidi"/>
      <w:sz w:val="24"/>
      <w:szCs w:val="22"/>
      <w:lang w:val="en-US" w:eastAsia="en-US" w:bidi="en-US"/>
    </w:rPr>
  </w:style>
  <w:style w:type="paragraph" w:styleId="DocumentMap">
    <w:name w:val="Document Map"/>
    <w:basedOn w:val="Normal"/>
    <w:link w:val="DocumentMapChar"/>
    <w:uiPriority w:val="99"/>
    <w:semiHidden/>
    <w:unhideWhenUsed/>
    <w:rsid w:val="00046CA9"/>
    <w:rPr>
      <w:rFonts w:ascii="Tahoma" w:eastAsiaTheme="minorHAnsi" w:hAnsi="Tahoma" w:cs="Tahoma"/>
      <w:sz w:val="16"/>
      <w:szCs w:val="16"/>
      <w:lang w:val="en-US" w:eastAsia="en-US" w:bidi="en-US"/>
    </w:rPr>
  </w:style>
  <w:style w:type="character" w:customStyle="1" w:styleId="DocumentMapChar">
    <w:name w:val="Document Map Char"/>
    <w:basedOn w:val="DefaultParagraphFont"/>
    <w:link w:val="DocumentMap"/>
    <w:uiPriority w:val="99"/>
    <w:semiHidden/>
    <w:rsid w:val="00046CA9"/>
    <w:rPr>
      <w:rFonts w:ascii="Tahoma" w:eastAsiaTheme="minorHAnsi" w:hAnsi="Tahoma" w:cs="Tahoma"/>
      <w:sz w:val="16"/>
      <w:szCs w:val="16"/>
      <w:lang w:val="en-US" w:eastAsia="en-US" w:bidi="en-US"/>
    </w:rPr>
  </w:style>
  <w:style w:type="table" w:customStyle="1" w:styleId="TableGrid2">
    <w:name w:val="Table Grid2"/>
    <w:basedOn w:val="TableNormal"/>
    <w:next w:val="TableGrid"/>
    <w:uiPriority w:val="59"/>
    <w:rsid w:val="000D2A1C"/>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889D0-D057-4ECB-82EE-508D174B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14591</Words>
  <Characters>76791</Characters>
  <Application>Microsoft Office Word</Application>
  <DocSecurity>0</DocSecurity>
  <Lines>639</Lines>
  <Paragraphs>182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2014-07-02T18:45:00Z</dcterms:created>
  <dcterms:modified xsi:type="dcterms:W3CDTF">2014-07-02T18:45:00Z</dcterms:modified>
</cp:coreProperties>
</file>