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FD" w:rsidRDefault="008E7BFD" w:rsidP="008E7BFD"/>
    <w:p w:rsidR="008E7BFD" w:rsidRPr="005B4C3C" w:rsidRDefault="008E7BFD" w:rsidP="008E7BFD">
      <w:pPr>
        <w:tabs>
          <w:tab w:val="center" w:pos="4680"/>
          <w:tab w:val="right" w:pos="9360"/>
        </w:tabs>
        <w:jc w:val="center"/>
        <w:rPr>
          <w:rFonts w:eastAsiaTheme="minorHAnsi" w:cstheme="minorBidi"/>
          <w:szCs w:val="24"/>
          <w:lang w:eastAsia="en-US"/>
        </w:rPr>
      </w:pPr>
      <w:r w:rsidRPr="005B4C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1.9pt;height:64.8pt" o:ole="">
            <v:imagedata r:id="rId8" o:title=""/>
          </v:shape>
          <o:OLEObject Type="Embed" ProgID="Presentations.Drawing.13" ShapeID="_x0000_i1061" DrawAspect="Content" ObjectID="_1465818203" r:id="rId9"/>
        </w:object>
      </w:r>
    </w:p>
    <w:p w:rsidR="008E7BFD" w:rsidRPr="005B4C3C" w:rsidRDefault="008E7BFD" w:rsidP="008E7BFD">
      <w:pPr>
        <w:tabs>
          <w:tab w:val="center" w:pos="4680"/>
          <w:tab w:val="right" w:pos="9360"/>
        </w:tabs>
        <w:rPr>
          <w:rFonts w:eastAsiaTheme="minorHAnsi" w:cstheme="minorBidi"/>
          <w:szCs w:val="24"/>
          <w:lang w:eastAsia="en-US"/>
        </w:rPr>
      </w:pPr>
    </w:p>
    <w:p w:rsidR="008E7BFD" w:rsidRPr="005B4C3C" w:rsidRDefault="008E7BFD" w:rsidP="008E7BFD">
      <w:pPr>
        <w:jc w:val="center"/>
        <w:rPr>
          <w:rFonts w:eastAsiaTheme="minorHAnsi" w:cstheme="minorBidi"/>
          <w:b/>
          <w:szCs w:val="24"/>
          <w:lang w:eastAsia="en-US"/>
        </w:rPr>
      </w:pPr>
      <w:r w:rsidRPr="005B4C3C">
        <w:rPr>
          <w:rFonts w:eastAsiaTheme="minorHAnsi" w:cstheme="minorBidi"/>
          <w:b/>
          <w:szCs w:val="24"/>
          <w:lang w:eastAsia="en-US"/>
        </w:rPr>
        <w:t>COUR SUPRÊME DU CANADA</w:t>
      </w:r>
    </w:p>
    <w:p w:rsidR="008E7BFD" w:rsidRPr="005B4C3C" w:rsidRDefault="008E7BFD" w:rsidP="008E7BFD">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E7BFD" w:rsidRPr="005B4C3C" w:rsidTr="00D84EB0">
        <w:trPr>
          <w:cantSplit/>
        </w:trPr>
        <w:tc>
          <w:tcPr>
            <w:tcW w:w="6768" w:type="dxa"/>
          </w:tcPr>
          <w:p w:rsidR="008E7BFD" w:rsidRPr="005B4C3C" w:rsidRDefault="008E7BFD" w:rsidP="00D84EB0">
            <w:r w:rsidRPr="005B4C3C">
              <w:rPr>
                <w:b/>
                <w:smallCaps/>
              </w:rPr>
              <w:t>Référence :</w:t>
            </w:r>
            <w:r w:rsidRPr="005B4C3C">
              <w:t xml:space="preserve"> </w:t>
            </w:r>
            <w:r w:rsidRPr="00D71DBF">
              <w:t xml:space="preserve">R. </w:t>
            </w:r>
            <w:r w:rsidRPr="00D71DBF">
              <w:rPr>
                <w:i/>
              </w:rPr>
              <w:t>c.</w:t>
            </w:r>
            <w:r w:rsidRPr="00D71DBF">
              <w:t xml:space="preserve"> </w:t>
            </w:r>
            <w:proofErr w:type="spellStart"/>
            <w:r>
              <w:t>Flaviano</w:t>
            </w:r>
            <w:proofErr w:type="spellEnd"/>
            <w:r>
              <w:t>, 2014 CSC 14, [2014] 1 R.C.S. 270</w:t>
            </w:r>
          </w:p>
        </w:tc>
        <w:tc>
          <w:tcPr>
            <w:tcW w:w="2808" w:type="dxa"/>
          </w:tcPr>
          <w:p w:rsidR="008E7BFD" w:rsidRPr="005B4C3C" w:rsidRDefault="008E7BFD" w:rsidP="00D84EB0">
            <w:r w:rsidRPr="005B4C3C">
              <w:rPr>
                <w:b/>
                <w:smallCaps/>
              </w:rPr>
              <w:t>Date :</w:t>
            </w:r>
            <w:r>
              <w:t xml:space="preserve"> 20140217</w:t>
            </w:r>
          </w:p>
          <w:p w:rsidR="008E7BFD" w:rsidRPr="005B4C3C" w:rsidRDefault="008E7BFD" w:rsidP="00D84EB0">
            <w:r w:rsidRPr="005B4C3C">
              <w:rPr>
                <w:b/>
                <w:smallCaps/>
              </w:rPr>
              <w:t>Dossier :</w:t>
            </w:r>
            <w:r w:rsidRPr="005B4C3C">
              <w:t xml:space="preserve"> </w:t>
            </w:r>
            <w:r>
              <w:t>35488</w:t>
            </w:r>
          </w:p>
        </w:tc>
      </w:tr>
    </w:tbl>
    <w:p w:rsidR="008E7BFD" w:rsidRPr="005B4C3C" w:rsidRDefault="008E7BFD" w:rsidP="008E7BFD">
      <w:pPr>
        <w:rPr>
          <w:rFonts w:eastAsiaTheme="minorHAnsi" w:cstheme="minorBidi"/>
          <w:szCs w:val="24"/>
          <w:lang w:eastAsia="en-US"/>
        </w:rPr>
      </w:pPr>
    </w:p>
    <w:p w:rsidR="008E7BFD" w:rsidRDefault="008E7BFD" w:rsidP="008E7BFD">
      <w:pPr>
        <w:rPr>
          <w:rFonts w:eastAsiaTheme="minorHAnsi" w:cstheme="minorBidi"/>
          <w:b/>
          <w:smallCaps/>
          <w:szCs w:val="24"/>
          <w:lang w:eastAsia="en-US"/>
        </w:rPr>
      </w:pPr>
      <w:proofErr w:type="gramStart"/>
      <w:r w:rsidRPr="005B4C3C">
        <w:rPr>
          <w:rFonts w:eastAsiaTheme="minorHAnsi" w:cstheme="minorBidi"/>
          <w:b/>
          <w:smallCaps/>
          <w:szCs w:val="24"/>
          <w:lang w:eastAsia="en-US"/>
        </w:rPr>
        <w:t>Entre :</w:t>
      </w:r>
      <w:proofErr w:type="gramEnd"/>
    </w:p>
    <w:p w:rsidR="008E7BFD" w:rsidRPr="005B4C3C" w:rsidRDefault="008E7BFD" w:rsidP="008E7BFD">
      <w:pPr>
        <w:jc w:val="center"/>
        <w:rPr>
          <w:rFonts w:eastAsiaTheme="minorHAnsi" w:cstheme="minorBidi"/>
          <w:b/>
          <w:smallCaps/>
          <w:szCs w:val="24"/>
          <w:lang w:eastAsia="en-US"/>
        </w:rPr>
      </w:pPr>
      <w:proofErr w:type="spellStart"/>
      <w:r>
        <w:rPr>
          <w:rFonts w:eastAsiaTheme="minorHAnsi" w:cstheme="minorBidi"/>
          <w:b/>
          <w:szCs w:val="24"/>
          <w:lang w:eastAsia="en-US"/>
        </w:rPr>
        <w:t>Vittorio</w:t>
      </w:r>
      <w:proofErr w:type="spellEnd"/>
      <w:r>
        <w:rPr>
          <w:rFonts w:eastAsiaTheme="minorHAnsi" w:cstheme="minorBidi"/>
          <w:b/>
          <w:szCs w:val="24"/>
          <w:lang w:eastAsia="en-US"/>
        </w:rPr>
        <w:t xml:space="preserve"> Thomas </w:t>
      </w:r>
      <w:proofErr w:type="spellStart"/>
      <w:r>
        <w:rPr>
          <w:rFonts w:eastAsiaTheme="minorHAnsi" w:cstheme="minorBidi"/>
          <w:b/>
          <w:szCs w:val="24"/>
          <w:lang w:eastAsia="en-US"/>
        </w:rPr>
        <w:t>Flaviano</w:t>
      </w:r>
      <w:proofErr w:type="spellEnd"/>
    </w:p>
    <w:p w:rsidR="008E7BFD" w:rsidRPr="005B4C3C" w:rsidRDefault="008E7BFD" w:rsidP="008E7BFD">
      <w:pPr>
        <w:jc w:val="center"/>
        <w:rPr>
          <w:rFonts w:eastAsiaTheme="minorHAnsi" w:cstheme="minorBidi"/>
          <w:szCs w:val="24"/>
          <w:lang w:eastAsia="en-US"/>
        </w:rPr>
      </w:pPr>
      <w:proofErr w:type="spellStart"/>
      <w:r>
        <w:rPr>
          <w:rFonts w:eastAsiaTheme="minorHAnsi" w:cstheme="minorBidi"/>
          <w:szCs w:val="24"/>
          <w:lang w:eastAsia="en-US"/>
        </w:rPr>
        <w:t>Appelant</w:t>
      </w:r>
      <w:proofErr w:type="spellEnd"/>
    </w:p>
    <w:p w:rsidR="008E7BFD" w:rsidRPr="005B4C3C" w:rsidRDefault="008E7BFD" w:rsidP="008E7BFD">
      <w:pPr>
        <w:jc w:val="center"/>
        <w:rPr>
          <w:rFonts w:eastAsiaTheme="minorHAnsi" w:cstheme="minorBidi"/>
          <w:szCs w:val="24"/>
          <w:lang w:eastAsia="en-US"/>
        </w:rPr>
      </w:pPr>
      <w:proofErr w:type="gramStart"/>
      <w:r w:rsidRPr="005B4C3C">
        <w:rPr>
          <w:rFonts w:eastAsiaTheme="minorHAnsi" w:cstheme="minorBidi"/>
          <w:szCs w:val="24"/>
          <w:lang w:eastAsia="en-US"/>
        </w:rPr>
        <w:t>et</w:t>
      </w:r>
      <w:proofErr w:type="gramEnd"/>
    </w:p>
    <w:p w:rsidR="008E7BFD" w:rsidRPr="005B4C3C" w:rsidRDefault="008E7BFD" w:rsidP="008E7BFD">
      <w:pPr>
        <w:jc w:val="center"/>
        <w:rPr>
          <w:rFonts w:eastAsiaTheme="minorHAnsi" w:cstheme="minorBidi"/>
          <w:b/>
          <w:szCs w:val="24"/>
          <w:lang w:eastAsia="en-US"/>
        </w:rPr>
      </w:pPr>
      <w:r>
        <w:rPr>
          <w:rFonts w:eastAsiaTheme="minorHAnsi" w:cstheme="minorBidi"/>
          <w:b/>
          <w:szCs w:val="24"/>
          <w:lang w:eastAsia="en-US"/>
        </w:rPr>
        <w:t xml:space="preserve">Sa </w:t>
      </w:r>
      <w:proofErr w:type="spellStart"/>
      <w:r>
        <w:rPr>
          <w:rFonts w:eastAsiaTheme="minorHAnsi" w:cstheme="minorBidi"/>
          <w:b/>
          <w:szCs w:val="24"/>
          <w:lang w:eastAsia="en-US"/>
        </w:rPr>
        <w:t>Majesté</w:t>
      </w:r>
      <w:proofErr w:type="spellEnd"/>
      <w:r>
        <w:rPr>
          <w:rFonts w:eastAsiaTheme="minorHAnsi" w:cstheme="minorBidi"/>
          <w:b/>
          <w:szCs w:val="24"/>
          <w:lang w:eastAsia="en-US"/>
        </w:rPr>
        <w:t xml:space="preserve"> la </w:t>
      </w:r>
      <w:proofErr w:type="spellStart"/>
      <w:r>
        <w:rPr>
          <w:rFonts w:eastAsiaTheme="minorHAnsi" w:cstheme="minorBidi"/>
          <w:b/>
          <w:szCs w:val="24"/>
          <w:lang w:eastAsia="en-US"/>
        </w:rPr>
        <w:t>Reine</w:t>
      </w:r>
      <w:proofErr w:type="spellEnd"/>
    </w:p>
    <w:p w:rsidR="008E7BFD" w:rsidRPr="005B4C3C" w:rsidRDefault="008E7BFD" w:rsidP="008E7BFD">
      <w:pPr>
        <w:jc w:val="center"/>
        <w:rPr>
          <w:rFonts w:eastAsiaTheme="minorHAnsi" w:cstheme="minorBidi"/>
          <w:szCs w:val="24"/>
          <w:lang w:eastAsia="en-US"/>
        </w:rPr>
      </w:pPr>
      <w:proofErr w:type="spellStart"/>
      <w:r w:rsidRPr="005B4C3C">
        <w:rPr>
          <w:rFonts w:eastAsiaTheme="minorHAnsi" w:cstheme="minorBidi"/>
          <w:szCs w:val="24"/>
          <w:lang w:eastAsia="en-US"/>
        </w:rPr>
        <w:t>Intimé</w:t>
      </w:r>
      <w:r>
        <w:rPr>
          <w:rFonts w:eastAsiaTheme="minorHAnsi" w:cstheme="minorBidi"/>
          <w:szCs w:val="24"/>
          <w:lang w:eastAsia="en-US"/>
        </w:rPr>
        <w:t>e</w:t>
      </w:r>
      <w:proofErr w:type="spellEnd"/>
    </w:p>
    <w:p w:rsidR="008E7BFD" w:rsidRDefault="008E7BFD" w:rsidP="008E7BFD">
      <w:pPr>
        <w:rPr>
          <w:rFonts w:eastAsiaTheme="minorHAnsi" w:cstheme="minorBidi"/>
          <w:szCs w:val="24"/>
          <w:lang w:eastAsia="en-US"/>
        </w:rPr>
      </w:pPr>
    </w:p>
    <w:p w:rsidR="008E7BFD" w:rsidRDefault="008E7BFD" w:rsidP="008E7BFD">
      <w:pPr>
        <w:rPr>
          <w:rFonts w:eastAsiaTheme="minorHAnsi" w:cstheme="minorBidi"/>
          <w:szCs w:val="24"/>
          <w:lang w:eastAsia="en-US"/>
        </w:rPr>
      </w:pPr>
    </w:p>
    <w:p w:rsidR="008E7BFD" w:rsidRPr="001E12E2" w:rsidRDefault="008E7BFD" w:rsidP="008E7BFD">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8E7BFD" w:rsidRPr="005B4C3C" w:rsidRDefault="008E7BFD" w:rsidP="008E7BFD">
      <w:pPr>
        <w:rPr>
          <w:rFonts w:eastAsiaTheme="minorHAnsi" w:cstheme="minorBidi"/>
          <w:szCs w:val="24"/>
          <w:lang w:eastAsia="en-US"/>
        </w:rPr>
      </w:pPr>
    </w:p>
    <w:p w:rsidR="008E7BFD" w:rsidRPr="005B4C3C" w:rsidRDefault="008E7BFD" w:rsidP="008E7BFD">
      <w:pPr>
        <w:rPr>
          <w:rFonts w:eastAsiaTheme="minorHAnsi" w:cstheme="minorBidi"/>
          <w:szCs w:val="24"/>
          <w:lang w:eastAsia="en-US"/>
        </w:rPr>
      </w:pPr>
      <w:proofErr w:type="gramStart"/>
      <w:r w:rsidRPr="005B4C3C">
        <w:rPr>
          <w:rFonts w:eastAsiaTheme="minorHAnsi" w:cstheme="minorBidi"/>
          <w:b/>
          <w:smallCaps/>
          <w:szCs w:val="24"/>
          <w:lang w:eastAsia="en-US"/>
        </w:rPr>
        <w:t>Coram :</w:t>
      </w:r>
      <w:proofErr w:type="gramEnd"/>
      <w:r w:rsidRPr="005B4C3C">
        <w:rPr>
          <w:rFonts w:eastAsiaTheme="minorHAnsi" w:cstheme="minorBidi"/>
          <w:szCs w:val="24"/>
          <w:lang w:eastAsia="en-US"/>
        </w:rPr>
        <w:t xml:space="preserve"> </w:t>
      </w:r>
      <w:r w:rsidRPr="00F911F7">
        <w:t xml:space="preserve">Les </w:t>
      </w:r>
      <w:proofErr w:type="spellStart"/>
      <w:r w:rsidRPr="00F911F7">
        <w:t>juges</w:t>
      </w:r>
      <w:proofErr w:type="spellEnd"/>
      <w:r w:rsidRPr="00F911F7">
        <w:t xml:space="preserve"> LeBel, Cromwell, </w:t>
      </w:r>
      <w:proofErr w:type="spellStart"/>
      <w:r w:rsidRPr="00F911F7">
        <w:t>Moldaver</w:t>
      </w:r>
      <w:proofErr w:type="spellEnd"/>
      <w:r w:rsidRPr="00F911F7">
        <w:t xml:space="preserve">, </w:t>
      </w:r>
      <w:proofErr w:type="spellStart"/>
      <w:r w:rsidRPr="00F911F7">
        <w:t>Karakatsanis</w:t>
      </w:r>
      <w:proofErr w:type="spellEnd"/>
      <w:r w:rsidRPr="00F911F7">
        <w:t xml:space="preserve"> et Wagner</w:t>
      </w:r>
      <w:r>
        <w:t>.</w:t>
      </w:r>
    </w:p>
    <w:p w:rsidR="008E7BFD" w:rsidRPr="005B4C3C" w:rsidRDefault="008E7BFD" w:rsidP="008E7BFD">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E7BFD" w:rsidRPr="005B4C3C" w:rsidTr="00D84EB0">
        <w:trPr>
          <w:cantSplit/>
        </w:trPr>
        <w:tc>
          <w:tcPr>
            <w:tcW w:w="3618" w:type="dxa"/>
          </w:tcPr>
          <w:p w:rsidR="008E7BFD" w:rsidRPr="005B4C3C" w:rsidRDefault="008E7BFD" w:rsidP="00D84EB0">
            <w:pPr>
              <w:rPr>
                <w:b/>
                <w:smallCaps/>
              </w:rPr>
            </w:pPr>
            <w:r w:rsidRPr="005B4C3C">
              <w:rPr>
                <w:b/>
                <w:smallCaps/>
              </w:rPr>
              <w:t xml:space="preserve">Motifs de </w:t>
            </w:r>
            <w:proofErr w:type="spellStart"/>
            <w:r w:rsidRPr="005B4C3C">
              <w:rPr>
                <w:b/>
                <w:smallCaps/>
              </w:rPr>
              <w:t>jugement</w:t>
            </w:r>
            <w:proofErr w:type="spellEnd"/>
            <w:r w:rsidRPr="005B4C3C">
              <w:rPr>
                <w:b/>
                <w:smallCaps/>
              </w:rPr>
              <w:t> :</w:t>
            </w:r>
          </w:p>
          <w:p w:rsidR="008E7BFD" w:rsidRPr="005B4C3C" w:rsidRDefault="008E7BFD" w:rsidP="00D84EB0">
            <w:r>
              <w:t>(par. 1 et 2</w:t>
            </w:r>
            <w:r w:rsidRPr="005B4C3C">
              <w:t>)</w:t>
            </w:r>
          </w:p>
        </w:tc>
        <w:tc>
          <w:tcPr>
            <w:tcW w:w="5958" w:type="dxa"/>
          </w:tcPr>
          <w:p w:rsidR="008E7BFD" w:rsidRPr="005B4C3C" w:rsidRDefault="008E7BFD" w:rsidP="00D84EB0">
            <w:r w:rsidRPr="00C974C5">
              <w:t>L</w:t>
            </w:r>
            <w:r>
              <w:t>e</w:t>
            </w:r>
            <w:r w:rsidRPr="00C974C5">
              <w:t xml:space="preserve"> </w:t>
            </w:r>
            <w:proofErr w:type="spellStart"/>
            <w:r w:rsidRPr="00C974C5">
              <w:t>juge</w:t>
            </w:r>
            <w:proofErr w:type="spellEnd"/>
            <w:r w:rsidRPr="00C974C5">
              <w:t xml:space="preserve"> </w:t>
            </w:r>
            <w:proofErr w:type="spellStart"/>
            <w:r>
              <w:t>Moldaver</w:t>
            </w:r>
            <w:proofErr w:type="spellEnd"/>
            <w:r w:rsidRPr="00C974C5">
              <w:t xml:space="preserve"> </w:t>
            </w:r>
            <w:r w:rsidRPr="005B4C3C">
              <w:t xml:space="preserve">(avec </w:t>
            </w:r>
            <w:proofErr w:type="spellStart"/>
            <w:r w:rsidRPr="005B4C3C">
              <w:t>l’accord</w:t>
            </w:r>
            <w:proofErr w:type="spellEnd"/>
            <w:r w:rsidRPr="005B4C3C">
              <w:t xml:space="preserve"> </w:t>
            </w:r>
            <w:r>
              <w:t xml:space="preserve">des </w:t>
            </w:r>
            <w:proofErr w:type="spellStart"/>
            <w:r>
              <w:t>juges</w:t>
            </w:r>
            <w:proofErr w:type="spellEnd"/>
            <w:r>
              <w:t xml:space="preserve"> </w:t>
            </w:r>
            <w:r w:rsidRPr="00F911F7">
              <w:t xml:space="preserve">LeBel, Cromwell, </w:t>
            </w:r>
            <w:proofErr w:type="spellStart"/>
            <w:r w:rsidRPr="00F911F7">
              <w:t>Karakatsanis</w:t>
            </w:r>
            <w:proofErr w:type="spellEnd"/>
            <w:r w:rsidRPr="00F911F7">
              <w:t xml:space="preserve"> et Wagner</w:t>
            </w:r>
            <w:r w:rsidRPr="005B4C3C">
              <w:t>)</w:t>
            </w:r>
          </w:p>
        </w:tc>
      </w:tr>
    </w:tbl>
    <w:p w:rsidR="008E7BFD" w:rsidRPr="005B4C3C" w:rsidRDefault="008E7BFD" w:rsidP="008E7BFD">
      <w:pPr>
        <w:rPr>
          <w:rFonts w:eastAsiaTheme="minorHAnsi" w:cstheme="minorBidi"/>
          <w:szCs w:val="24"/>
          <w:lang w:eastAsia="en-US"/>
        </w:rPr>
      </w:pPr>
    </w:p>
    <w:p w:rsidR="008E7BFD" w:rsidRPr="005B4C3C" w:rsidRDefault="008E7BFD" w:rsidP="008E7BFD">
      <w:pPr>
        <w:rPr>
          <w:rFonts w:eastAsiaTheme="minorHAnsi" w:cstheme="minorBidi"/>
          <w:szCs w:val="24"/>
          <w:lang w:eastAsia="en-US"/>
        </w:rPr>
      </w:pPr>
      <w:r w:rsidRPr="0041673A">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60288" o:connectortype="straight"/>
        </w:pict>
      </w:r>
    </w:p>
    <w:p w:rsidR="008E7BFD" w:rsidRDefault="008E7BFD" w:rsidP="008E7BFD">
      <w:pPr>
        <w:rPr>
          <w:smallCaps/>
        </w:rPr>
      </w:pPr>
    </w:p>
    <w:p w:rsidR="004D7D95" w:rsidRPr="007B2F71" w:rsidRDefault="007B2F71" w:rsidP="004D7D95">
      <w:pPr>
        <w:spacing w:line="480" w:lineRule="auto"/>
        <w:jc w:val="both"/>
        <w:rPr>
          <w:lang w:val="fr-CA"/>
        </w:rPr>
      </w:pPr>
      <w:r w:rsidRPr="007B2F71">
        <w:rPr>
          <w:lang w:val="fr-CA"/>
        </w:rPr>
        <w:t xml:space="preserve">R. </w:t>
      </w:r>
      <w:r w:rsidRPr="007B2F71">
        <w:rPr>
          <w:i/>
          <w:lang w:val="fr-CA"/>
        </w:rPr>
        <w:t>c.</w:t>
      </w:r>
      <w:r w:rsidRPr="007B2F71">
        <w:rPr>
          <w:lang w:val="fr-CA"/>
        </w:rPr>
        <w:t xml:space="preserve"> </w:t>
      </w:r>
      <w:proofErr w:type="spellStart"/>
      <w:r w:rsidRPr="007B2F71">
        <w:rPr>
          <w:lang w:val="fr-CA"/>
        </w:rPr>
        <w:t>Flaviano</w:t>
      </w:r>
      <w:proofErr w:type="spellEnd"/>
      <w:r w:rsidRPr="007B2F71">
        <w:rPr>
          <w:lang w:val="fr-CA"/>
        </w:rPr>
        <w:t>, 2014 CSC 14, [2014] 1 R.C.S. 270</w:t>
      </w:r>
    </w:p>
    <w:p w:rsidR="004D7D95" w:rsidRPr="00F911F7" w:rsidRDefault="004D7D95" w:rsidP="004D7D95">
      <w:pPr>
        <w:jc w:val="both"/>
        <w:rPr>
          <w:lang w:val="fr-CA"/>
        </w:rPr>
      </w:pPr>
    </w:p>
    <w:p w:rsidR="00FB092A" w:rsidRPr="00F911F7" w:rsidRDefault="00B02719">
      <w:pPr>
        <w:pStyle w:val="SCCLsocLastPartyInRole"/>
        <w:rPr>
          <w:lang w:val="fr-CA"/>
        </w:rPr>
      </w:pPr>
      <w:r w:rsidRPr="00F911F7">
        <w:rPr>
          <w:lang w:val="fr-CA"/>
        </w:rPr>
        <w:t xml:space="preserve">Vittorio Thomas </w:t>
      </w:r>
      <w:proofErr w:type="spellStart"/>
      <w:r w:rsidRPr="00F911F7">
        <w:rPr>
          <w:lang w:val="fr-CA"/>
        </w:rPr>
        <w:t>Flaviano</w:t>
      </w:r>
      <w:proofErr w:type="spellEnd"/>
      <w:r w:rsidRPr="00F911F7">
        <w:rPr>
          <w:rStyle w:val="SCCLsocPartyRole"/>
          <w:lang w:val="fr-CA"/>
        </w:rPr>
        <w:tab/>
        <w:t>Appelant</w:t>
      </w:r>
    </w:p>
    <w:p w:rsidR="00FB092A" w:rsidRPr="00F911F7" w:rsidRDefault="00B02719">
      <w:pPr>
        <w:pStyle w:val="SCCLsocVersus"/>
        <w:rPr>
          <w:lang w:val="fr-CA"/>
        </w:rPr>
      </w:pPr>
      <w:proofErr w:type="gramStart"/>
      <w:r w:rsidRPr="00F911F7">
        <w:rPr>
          <w:lang w:val="fr-CA"/>
        </w:rPr>
        <w:t>c</w:t>
      </w:r>
      <w:proofErr w:type="gramEnd"/>
      <w:r w:rsidRPr="00F911F7">
        <w:rPr>
          <w:lang w:val="fr-CA"/>
        </w:rPr>
        <w:t>.</w:t>
      </w:r>
    </w:p>
    <w:p w:rsidR="00FB092A" w:rsidRPr="00F911F7" w:rsidRDefault="00B02719">
      <w:pPr>
        <w:pStyle w:val="SCCLsocLastPartyInRole"/>
        <w:rPr>
          <w:lang w:val="fr-CA"/>
        </w:rPr>
      </w:pPr>
      <w:r w:rsidRPr="00F911F7">
        <w:rPr>
          <w:lang w:val="fr-CA"/>
        </w:rPr>
        <w:t>Sa Majesté la Reine</w:t>
      </w:r>
      <w:r w:rsidR="00CC79C8" w:rsidRPr="00F911F7">
        <w:rPr>
          <w:rStyle w:val="SCCLsocPartyRole"/>
          <w:lang w:val="fr-CA"/>
        </w:rPr>
        <w:tab/>
        <w:t>Intimé</w:t>
      </w:r>
      <w:r w:rsidRPr="00F911F7">
        <w:rPr>
          <w:rStyle w:val="SCCLsocPartyRole"/>
          <w:lang w:val="fr-CA"/>
        </w:rPr>
        <w:t>e</w:t>
      </w:r>
    </w:p>
    <w:p w:rsidR="004D7D95" w:rsidRPr="00F911F7" w:rsidRDefault="004D7D95" w:rsidP="004D7D95">
      <w:pPr>
        <w:jc w:val="both"/>
        <w:rPr>
          <w:lang w:val="fr-CA"/>
        </w:rPr>
      </w:pPr>
    </w:p>
    <w:p w:rsidR="004D7D95" w:rsidRPr="00F911F7" w:rsidRDefault="004D7D95" w:rsidP="004D7D95">
      <w:pPr>
        <w:jc w:val="both"/>
        <w:rPr>
          <w:b/>
          <w:lang w:val="fr-CA"/>
        </w:rPr>
      </w:pPr>
      <w:r w:rsidRPr="00F911F7">
        <w:rPr>
          <w:b/>
          <w:lang w:val="fr-CA"/>
        </w:rPr>
        <w:t>Répertorié : </w:t>
      </w:r>
      <w:r w:rsidR="003F5074" w:rsidRPr="00F911F7">
        <w:rPr>
          <w:b/>
          <w:lang w:val="fr-CA"/>
        </w:rPr>
        <w:t xml:space="preserve">R. </w:t>
      </w:r>
      <w:r w:rsidR="003F5074" w:rsidRPr="00F911F7">
        <w:rPr>
          <w:b/>
          <w:i/>
          <w:lang w:val="fr-CA"/>
        </w:rPr>
        <w:t xml:space="preserve">c. </w:t>
      </w:r>
      <w:proofErr w:type="spellStart"/>
      <w:r w:rsidRPr="00F911F7">
        <w:rPr>
          <w:rStyle w:val="SCCAppellantForIndexChar"/>
          <w:lang w:val="fr-CA"/>
        </w:rPr>
        <w:t>Flaviano</w:t>
      </w:r>
      <w:proofErr w:type="spellEnd"/>
      <w:r w:rsidRPr="00F911F7">
        <w:rPr>
          <w:b/>
          <w:lang w:val="fr-CA"/>
        </w:rPr>
        <w:t xml:space="preserve"> </w:t>
      </w:r>
    </w:p>
    <w:p w:rsidR="004D7D95" w:rsidRPr="00F911F7" w:rsidRDefault="004D7D95" w:rsidP="004D7D95">
      <w:pPr>
        <w:jc w:val="both"/>
        <w:rPr>
          <w:lang w:val="fr-CA"/>
        </w:rPr>
      </w:pPr>
    </w:p>
    <w:p w:rsidR="004D7D95" w:rsidRPr="00F911F7" w:rsidRDefault="00F62639" w:rsidP="004D7D95">
      <w:pPr>
        <w:pStyle w:val="SCCSystemYear"/>
        <w:jc w:val="both"/>
        <w:rPr>
          <w:lang w:val="fr-CA"/>
        </w:rPr>
      </w:pPr>
      <w:r w:rsidRPr="00F911F7">
        <w:rPr>
          <w:lang w:val="fr-CA"/>
        </w:rPr>
        <w:t>2014</w:t>
      </w:r>
      <w:r w:rsidR="004D7D95" w:rsidRPr="00F911F7">
        <w:rPr>
          <w:lang w:val="fr-CA"/>
        </w:rPr>
        <w:t xml:space="preserve"> CSC </w:t>
      </w:r>
      <w:r w:rsidR="00AC1D7E" w:rsidRPr="00F911F7">
        <w:rPr>
          <w:lang w:val="fr-CA"/>
        </w:rPr>
        <w:t>14</w:t>
      </w:r>
    </w:p>
    <w:p w:rsidR="004D7D95" w:rsidRPr="00F911F7" w:rsidRDefault="004D7D95" w:rsidP="004D7D95">
      <w:pPr>
        <w:jc w:val="both"/>
        <w:rPr>
          <w:lang w:val="fr-CA"/>
        </w:rPr>
      </w:pPr>
    </w:p>
    <w:p w:rsidR="004D7D95" w:rsidRPr="00F911F7" w:rsidRDefault="004D7D95" w:rsidP="004D7D95">
      <w:pPr>
        <w:jc w:val="both"/>
        <w:rPr>
          <w:lang w:val="fr-CA"/>
        </w:rPr>
      </w:pPr>
      <w:r w:rsidRPr="00F911F7">
        <w:rPr>
          <w:lang w:val="fr-CA"/>
        </w:rPr>
        <w:t>N</w:t>
      </w:r>
      <w:r w:rsidRPr="00F911F7">
        <w:rPr>
          <w:vertAlign w:val="superscript"/>
          <w:lang w:val="fr-CA"/>
        </w:rPr>
        <w:t>o</w:t>
      </w:r>
      <w:r w:rsidRPr="00F911F7">
        <w:rPr>
          <w:lang w:val="fr-CA"/>
        </w:rPr>
        <w:t xml:space="preserve"> du greffe : 35488.</w:t>
      </w:r>
    </w:p>
    <w:p w:rsidR="004D7D95" w:rsidRPr="00F911F7" w:rsidRDefault="00F62639" w:rsidP="004D7D95">
      <w:pPr>
        <w:jc w:val="both"/>
        <w:rPr>
          <w:lang w:val="fr-CA"/>
        </w:rPr>
      </w:pPr>
      <w:r w:rsidRPr="00F911F7">
        <w:rPr>
          <w:lang w:val="fr-CA"/>
        </w:rPr>
        <w:lastRenderedPageBreak/>
        <w:t>2014 : 17 février</w:t>
      </w:r>
      <w:r w:rsidR="00295B04" w:rsidRPr="00F911F7">
        <w:rPr>
          <w:lang w:val="fr-CA"/>
        </w:rPr>
        <w:t>.</w:t>
      </w:r>
    </w:p>
    <w:p w:rsidR="004D7D95" w:rsidRPr="00F911F7" w:rsidRDefault="004D7D95" w:rsidP="004D7D95">
      <w:pPr>
        <w:jc w:val="both"/>
        <w:rPr>
          <w:lang w:val="fr-CA"/>
        </w:rPr>
      </w:pPr>
    </w:p>
    <w:p w:rsidR="004D7D95" w:rsidRPr="00F911F7" w:rsidRDefault="004D7D95" w:rsidP="004D7D95">
      <w:pPr>
        <w:jc w:val="both"/>
        <w:rPr>
          <w:lang w:val="fr-CA"/>
        </w:rPr>
      </w:pPr>
      <w:r w:rsidRPr="00F911F7">
        <w:rPr>
          <w:lang w:val="fr-CA"/>
        </w:rPr>
        <w:t xml:space="preserve">Présents : Les juges LeBel, Cromwell, </w:t>
      </w:r>
      <w:proofErr w:type="spellStart"/>
      <w:r w:rsidRPr="00F911F7">
        <w:rPr>
          <w:lang w:val="fr-CA"/>
        </w:rPr>
        <w:t>Moldaver</w:t>
      </w:r>
      <w:proofErr w:type="spellEnd"/>
      <w:r w:rsidRPr="00F911F7">
        <w:rPr>
          <w:lang w:val="fr-CA"/>
        </w:rPr>
        <w:t xml:space="preserve">, </w:t>
      </w:r>
      <w:proofErr w:type="spellStart"/>
      <w:r w:rsidRPr="00F911F7">
        <w:rPr>
          <w:lang w:val="fr-CA"/>
        </w:rPr>
        <w:t>Karakatsanis</w:t>
      </w:r>
      <w:proofErr w:type="spellEnd"/>
      <w:r w:rsidRPr="00F911F7">
        <w:rPr>
          <w:lang w:val="fr-CA"/>
        </w:rPr>
        <w:t xml:space="preserve"> et Wagner.</w:t>
      </w:r>
    </w:p>
    <w:p w:rsidR="00EE0830" w:rsidRPr="00F911F7" w:rsidRDefault="00EE0830" w:rsidP="004D7D95">
      <w:pPr>
        <w:jc w:val="both"/>
        <w:rPr>
          <w:lang w:val="fr-CA"/>
        </w:rPr>
      </w:pPr>
    </w:p>
    <w:p w:rsidR="004D7D95" w:rsidRPr="00F911F7" w:rsidRDefault="00A85670" w:rsidP="000F7993">
      <w:pPr>
        <w:jc w:val="both"/>
        <w:rPr>
          <w:smallCaps/>
          <w:lang w:val="fr-CA"/>
        </w:rPr>
      </w:pPr>
      <w:r>
        <w:rPr>
          <w:smallCaps/>
          <w:lang w:val="fr-CA"/>
        </w:rPr>
        <w:t>en appel de la cour d’</w:t>
      </w:r>
      <w:r w:rsidR="004D7D95" w:rsidRPr="00F911F7">
        <w:rPr>
          <w:smallCaps/>
          <w:lang w:val="fr-CA"/>
        </w:rPr>
        <w:t>appel de l’</w:t>
      </w:r>
      <w:proofErr w:type="spellStart"/>
      <w:r w:rsidR="004D7D95" w:rsidRPr="00F911F7">
        <w:rPr>
          <w:smallCaps/>
          <w:lang w:val="fr-CA"/>
        </w:rPr>
        <w:t>alberta</w:t>
      </w:r>
      <w:proofErr w:type="spellEnd"/>
      <w:r w:rsidR="004D7D95" w:rsidRPr="00F911F7">
        <w:rPr>
          <w:smallCaps/>
          <w:lang w:val="fr-CA"/>
        </w:rPr>
        <w:t xml:space="preserve"> </w:t>
      </w:r>
    </w:p>
    <w:p w:rsidR="004D7D95" w:rsidRPr="00F911F7" w:rsidRDefault="004D7D95" w:rsidP="004D7D95">
      <w:pPr>
        <w:pStyle w:val="SCCNormalDoubleSpacing"/>
        <w:rPr>
          <w:lang w:val="fr-CA"/>
        </w:rPr>
      </w:pPr>
    </w:p>
    <w:p w:rsidR="004D7D95" w:rsidRPr="00F911F7" w:rsidRDefault="004D7D95" w:rsidP="004D7D95">
      <w:pPr>
        <w:pStyle w:val="SCCNormalDoubleSpacing"/>
        <w:rPr>
          <w:lang w:val="fr-CA"/>
        </w:rPr>
      </w:pPr>
      <w:r w:rsidRPr="00F911F7">
        <w:rPr>
          <w:lang w:val="fr-CA"/>
        </w:rPr>
        <w:tab/>
      </w:r>
      <w:r w:rsidR="00F911F7" w:rsidRPr="00F911F7">
        <w:rPr>
          <w:i/>
          <w:lang w:val="fr-CA"/>
        </w:rPr>
        <w:t>Droit crimin</w:t>
      </w:r>
      <w:r w:rsidR="00F911F7">
        <w:rPr>
          <w:i/>
          <w:lang w:val="fr-CA"/>
        </w:rPr>
        <w:t>el</w:t>
      </w:r>
      <w:r w:rsidR="00F911F7" w:rsidRPr="00F911F7">
        <w:rPr>
          <w:i/>
          <w:lang w:val="fr-CA"/>
        </w:rPr>
        <w:t xml:space="preserve"> </w:t>
      </w:r>
      <w:r w:rsidR="00A85670">
        <w:rPr>
          <w:i/>
          <w:lang w:val="fr-CA"/>
        </w:rPr>
        <w:t>—</w:t>
      </w:r>
      <w:r w:rsidR="002F1B23" w:rsidRPr="00F911F7">
        <w:rPr>
          <w:i/>
          <w:lang w:val="fr-CA"/>
        </w:rPr>
        <w:t xml:space="preserve"> </w:t>
      </w:r>
      <w:r w:rsidR="00F911F7" w:rsidRPr="00F911F7">
        <w:rPr>
          <w:i/>
          <w:lang w:val="fr-CA"/>
        </w:rPr>
        <w:t>Infractions</w:t>
      </w:r>
      <w:r w:rsidR="002F1B23" w:rsidRPr="00F911F7">
        <w:rPr>
          <w:i/>
          <w:lang w:val="fr-CA"/>
        </w:rPr>
        <w:t xml:space="preserve"> </w:t>
      </w:r>
      <w:r w:rsidR="00A85670">
        <w:rPr>
          <w:i/>
          <w:lang w:val="fr-CA"/>
        </w:rPr>
        <w:t>—</w:t>
      </w:r>
      <w:r w:rsidR="002F1B23" w:rsidRPr="00F911F7">
        <w:rPr>
          <w:i/>
          <w:lang w:val="fr-CA"/>
        </w:rPr>
        <w:t xml:space="preserve"> </w:t>
      </w:r>
      <w:r w:rsidR="00F911F7" w:rsidRPr="00F911F7">
        <w:rPr>
          <w:i/>
          <w:lang w:val="fr-CA"/>
        </w:rPr>
        <w:t>Agression sexuelle</w:t>
      </w:r>
      <w:r w:rsidR="00A85670">
        <w:rPr>
          <w:i/>
          <w:lang w:val="fr-CA"/>
        </w:rPr>
        <w:t xml:space="preserve"> —</w:t>
      </w:r>
      <w:r w:rsidR="002F1B23" w:rsidRPr="00F911F7">
        <w:rPr>
          <w:i/>
          <w:lang w:val="fr-CA"/>
        </w:rPr>
        <w:t xml:space="preserve"> Mens </w:t>
      </w:r>
      <w:proofErr w:type="spellStart"/>
      <w:r w:rsidR="002F1B23" w:rsidRPr="00F911F7">
        <w:rPr>
          <w:i/>
          <w:lang w:val="fr-CA"/>
        </w:rPr>
        <w:t>rea</w:t>
      </w:r>
      <w:proofErr w:type="spellEnd"/>
      <w:r w:rsidR="002F1B23" w:rsidRPr="00F911F7">
        <w:rPr>
          <w:i/>
          <w:lang w:val="fr-CA"/>
        </w:rPr>
        <w:t xml:space="preserve"> </w:t>
      </w:r>
      <w:r w:rsidR="00A85670">
        <w:rPr>
          <w:i/>
          <w:lang w:val="fr-CA"/>
        </w:rPr>
        <w:t>—</w:t>
      </w:r>
      <w:r w:rsidR="002F1B23" w:rsidRPr="00F911F7">
        <w:rPr>
          <w:i/>
          <w:lang w:val="fr-CA"/>
        </w:rPr>
        <w:t xml:space="preserve"> Consen</w:t>
      </w:r>
      <w:r w:rsidR="00F911F7">
        <w:rPr>
          <w:i/>
          <w:lang w:val="fr-CA"/>
        </w:rPr>
        <w:t>tement</w:t>
      </w:r>
      <w:r w:rsidR="002F1B23" w:rsidRPr="00F911F7">
        <w:rPr>
          <w:i/>
          <w:lang w:val="fr-CA"/>
        </w:rPr>
        <w:t xml:space="preserve"> </w:t>
      </w:r>
      <w:r w:rsidR="00A85670">
        <w:rPr>
          <w:i/>
          <w:lang w:val="fr-CA"/>
        </w:rPr>
        <w:t>—</w:t>
      </w:r>
      <w:r w:rsidR="002F1B23" w:rsidRPr="00F911F7">
        <w:rPr>
          <w:i/>
          <w:lang w:val="fr-CA"/>
        </w:rPr>
        <w:t xml:space="preserve"> Acc</w:t>
      </w:r>
      <w:r w:rsidR="00F911F7">
        <w:rPr>
          <w:i/>
          <w:lang w:val="fr-CA"/>
        </w:rPr>
        <w:t>usé inculpé d’agression sexuelle</w:t>
      </w:r>
      <w:r w:rsidR="00A85670">
        <w:rPr>
          <w:i/>
          <w:lang w:val="fr-CA"/>
        </w:rPr>
        <w:t xml:space="preserve"> —</w:t>
      </w:r>
      <w:r w:rsidR="002F1B23" w:rsidRPr="00F911F7">
        <w:rPr>
          <w:i/>
          <w:lang w:val="fr-CA"/>
        </w:rPr>
        <w:t xml:space="preserve"> </w:t>
      </w:r>
      <w:r w:rsidR="00C22ECD">
        <w:rPr>
          <w:i/>
          <w:lang w:val="fr-CA"/>
        </w:rPr>
        <w:t>Acquittement prononcé par l</w:t>
      </w:r>
      <w:r w:rsidR="00202286">
        <w:rPr>
          <w:i/>
          <w:lang w:val="fr-CA"/>
        </w:rPr>
        <w:t>a</w:t>
      </w:r>
      <w:r w:rsidR="00C22ECD">
        <w:rPr>
          <w:i/>
          <w:lang w:val="fr-CA"/>
        </w:rPr>
        <w:t xml:space="preserve"> j</w:t>
      </w:r>
      <w:r w:rsidR="00F664F5">
        <w:rPr>
          <w:i/>
          <w:lang w:val="fr-CA"/>
        </w:rPr>
        <w:t xml:space="preserve">uge du procès </w:t>
      </w:r>
      <w:r w:rsidR="00F911F7">
        <w:rPr>
          <w:i/>
          <w:lang w:val="fr-CA"/>
        </w:rPr>
        <w:t>au motif qu</w:t>
      </w:r>
      <w:r w:rsidR="00C22ECD">
        <w:rPr>
          <w:i/>
          <w:lang w:val="fr-CA"/>
        </w:rPr>
        <w:t>e l’accusé</w:t>
      </w:r>
      <w:r w:rsidR="00F664F5">
        <w:rPr>
          <w:i/>
          <w:lang w:val="fr-CA"/>
        </w:rPr>
        <w:t xml:space="preserve"> a</w:t>
      </w:r>
      <w:r w:rsidR="00F911F7">
        <w:rPr>
          <w:i/>
          <w:lang w:val="fr-CA"/>
        </w:rPr>
        <w:t xml:space="preserve"> pu croire sincèrement</w:t>
      </w:r>
      <w:r w:rsidR="00C22ECD">
        <w:rPr>
          <w:i/>
          <w:lang w:val="fr-CA"/>
        </w:rPr>
        <w:t>,</w:t>
      </w:r>
      <w:r w:rsidR="00F911F7">
        <w:rPr>
          <w:i/>
          <w:lang w:val="fr-CA"/>
        </w:rPr>
        <w:t xml:space="preserve"> mais à tort</w:t>
      </w:r>
      <w:r w:rsidR="00C22ECD">
        <w:rPr>
          <w:i/>
          <w:lang w:val="fr-CA"/>
        </w:rPr>
        <w:t>,</w:t>
      </w:r>
      <w:r w:rsidR="00F664F5">
        <w:rPr>
          <w:i/>
          <w:lang w:val="fr-CA"/>
        </w:rPr>
        <w:t xml:space="preserve"> que la plaignante</w:t>
      </w:r>
      <w:r w:rsidR="00F911F7">
        <w:rPr>
          <w:i/>
          <w:lang w:val="fr-CA"/>
        </w:rPr>
        <w:t xml:space="preserve"> était consentante</w:t>
      </w:r>
      <w:r w:rsidR="002F1B23" w:rsidRPr="00F911F7">
        <w:rPr>
          <w:i/>
          <w:lang w:val="fr-CA"/>
        </w:rPr>
        <w:t xml:space="preserve"> </w:t>
      </w:r>
      <w:r w:rsidR="00A85670">
        <w:rPr>
          <w:i/>
          <w:lang w:val="fr-CA"/>
        </w:rPr>
        <w:t>—</w:t>
      </w:r>
      <w:r w:rsidR="00F664F5">
        <w:rPr>
          <w:i/>
          <w:lang w:val="fr-CA"/>
        </w:rPr>
        <w:t xml:space="preserve"> </w:t>
      </w:r>
      <w:r w:rsidR="00C22ECD">
        <w:rPr>
          <w:i/>
          <w:lang w:val="fr-CA"/>
        </w:rPr>
        <w:t xml:space="preserve">Acquittement annulé par la </w:t>
      </w:r>
      <w:r w:rsidR="00F911F7">
        <w:rPr>
          <w:i/>
          <w:lang w:val="fr-CA"/>
        </w:rPr>
        <w:t xml:space="preserve">Cour d’appel </w:t>
      </w:r>
      <w:r w:rsidR="00303B0D">
        <w:rPr>
          <w:i/>
          <w:lang w:val="fr-CA"/>
        </w:rPr>
        <w:t xml:space="preserve">qui y a substitué </w:t>
      </w:r>
      <w:r w:rsidR="00F911F7">
        <w:rPr>
          <w:i/>
          <w:lang w:val="fr-CA"/>
        </w:rPr>
        <w:t>une déclaration de culpabilité</w:t>
      </w:r>
      <w:r w:rsidR="002F1B23" w:rsidRPr="00F911F7">
        <w:rPr>
          <w:i/>
          <w:lang w:val="fr-CA"/>
        </w:rPr>
        <w:t xml:space="preserve"> </w:t>
      </w:r>
      <w:r w:rsidR="00A85670">
        <w:rPr>
          <w:i/>
          <w:lang w:val="fr-CA"/>
        </w:rPr>
        <w:t>—</w:t>
      </w:r>
      <w:r w:rsidR="002F1B23" w:rsidRPr="00F911F7">
        <w:rPr>
          <w:i/>
          <w:lang w:val="fr-CA"/>
        </w:rPr>
        <w:t xml:space="preserve"> </w:t>
      </w:r>
      <w:r w:rsidR="00F911F7">
        <w:rPr>
          <w:i/>
          <w:lang w:val="fr-CA"/>
        </w:rPr>
        <w:t>Invraisemblance de la défense fondée sur la croyance erronée au consentement</w:t>
      </w:r>
      <w:r w:rsidR="002F1B23" w:rsidRPr="00F911F7">
        <w:rPr>
          <w:i/>
          <w:lang w:val="fr-CA"/>
        </w:rPr>
        <w:t xml:space="preserve"> </w:t>
      </w:r>
      <w:r w:rsidR="00A85670">
        <w:rPr>
          <w:i/>
          <w:lang w:val="fr-CA"/>
        </w:rPr>
        <w:t>—</w:t>
      </w:r>
      <w:r w:rsidR="00F911F7" w:rsidRPr="00F911F7">
        <w:rPr>
          <w:i/>
          <w:lang w:val="fr-CA"/>
        </w:rPr>
        <w:t xml:space="preserve"> </w:t>
      </w:r>
      <w:r w:rsidR="00C22ECD">
        <w:rPr>
          <w:i/>
          <w:lang w:val="fr-CA"/>
        </w:rPr>
        <w:t>Erreur commise par l</w:t>
      </w:r>
      <w:r w:rsidR="00202286">
        <w:rPr>
          <w:i/>
          <w:lang w:val="fr-CA"/>
        </w:rPr>
        <w:t>a</w:t>
      </w:r>
      <w:r w:rsidR="00C22ECD">
        <w:rPr>
          <w:i/>
          <w:lang w:val="fr-CA"/>
        </w:rPr>
        <w:t xml:space="preserve"> j</w:t>
      </w:r>
      <w:r w:rsidR="00F911F7">
        <w:rPr>
          <w:i/>
          <w:lang w:val="fr-CA"/>
        </w:rPr>
        <w:t xml:space="preserve">uge du procès </w:t>
      </w:r>
      <w:r w:rsidR="00C22ECD">
        <w:rPr>
          <w:i/>
          <w:lang w:val="fr-CA"/>
        </w:rPr>
        <w:t>lorsqu’</w:t>
      </w:r>
      <w:r w:rsidR="00202286">
        <w:rPr>
          <w:i/>
          <w:lang w:val="fr-CA"/>
        </w:rPr>
        <w:t>elle</w:t>
      </w:r>
      <w:r w:rsidR="00C22ECD">
        <w:rPr>
          <w:i/>
          <w:lang w:val="fr-CA"/>
        </w:rPr>
        <w:t xml:space="preserve"> a conclu</w:t>
      </w:r>
      <w:r w:rsidR="00F911F7">
        <w:rPr>
          <w:i/>
          <w:lang w:val="fr-CA"/>
        </w:rPr>
        <w:t xml:space="preserve"> que l’accusé a pris des mesures raisonnables pour s’assurer du consentement de la plaignante.</w:t>
      </w:r>
    </w:p>
    <w:p w:rsidR="004D7D95" w:rsidRPr="00F911F7" w:rsidRDefault="004D7D95" w:rsidP="004D7D95">
      <w:pPr>
        <w:pStyle w:val="SCCNormalDoubleSpacing"/>
        <w:rPr>
          <w:lang w:val="fr-CA"/>
        </w:rPr>
      </w:pPr>
    </w:p>
    <w:p w:rsidR="004D7D95" w:rsidRPr="00F911F7" w:rsidRDefault="004D7D95" w:rsidP="004D7D95">
      <w:pPr>
        <w:pStyle w:val="SCCNormalDoubleSpacing"/>
        <w:spacing w:line="240" w:lineRule="auto"/>
        <w:rPr>
          <w:b/>
          <w:lang w:val="fr-CA"/>
        </w:rPr>
      </w:pPr>
      <w:r w:rsidRPr="00F911F7">
        <w:rPr>
          <w:b/>
          <w:lang w:val="fr-CA"/>
        </w:rPr>
        <w:t>Lois et règlements cités</w:t>
      </w:r>
    </w:p>
    <w:p w:rsidR="004D7D95" w:rsidRPr="00F911F7" w:rsidRDefault="004D7D95" w:rsidP="004D7D95">
      <w:pPr>
        <w:pStyle w:val="SCCNormalDoubleSpacing"/>
        <w:spacing w:line="240" w:lineRule="auto"/>
        <w:ind w:left="540" w:hanging="540"/>
        <w:rPr>
          <w:lang w:val="fr-CA"/>
        </w:rPr>
      </w:pPr>
    </w:p>
    <w:p w:rsidR="004D7D95" w:rsidRPr="00F911F7" w:rsidRDefault="004D7D95" w:rsidP="004D7D95">
      <w:pPr>
        <w:pStyle w:val="SCCNormalDoubleSpacing"/>
        <w:spacing w:line="240" w:lineRule="auto"/>
        <w:ind w:left="540" w:hanging="540"/>
        <w:rPr>
          <w:lang w:val="fr-CA"/>
        </w:rPr>
      </w:pPr>
    </w:p>
    <w:p w:rsidR="004D7D95" w:rsidRPr="00F911F7" w:rsidRDefault="00CF3C60" w:rsidP="004D7D95">
      <w:pPr>
        <w:pStyle w:val="SCCNormalDoubleSpacing"/>
        <w:spacing w:line="240" w:lineRule="auto"/>
        <w:ind w:left="540" w:hanging="540"/>
        <w:rPr>
          <w:lang w:val="fr-CA"/>
        </w:rPr>
      </w:pPr>
      <w:r w:rsidRPr="00F911F7">
        <w:rPr>
          <w:i/>
          <w:lang w:val="fr-CA"/>
        </w:rPr>
        <w:t>Code criminel</w:t>
      </w:r>
      <w:r w:rsidRPr="00F911F7">
        <w:rPr>
          <w:lang w:val="fr-CA"/>
        </w:rPr>
        <w:t>, L.R.C. 1985, ch. C-46, art. 273.2</w:t>
      </w:r>
      <w:r w:rsidRPr="00F911F7">
        <w:rPr>
          <w:i/>
          <w:lang w:val="fr-CA"/>
        </w:rPr>
        <w:t>b</w:t>
      </w:r>
      <w:r w:rsidRPr="00F911F7">
        <w:rPr>
          <w:lang w:val="fr-CA"/>
        </w:rPr>
        <w:t>)</w:t>
      </w:r>
      <w:r w:rsidR="00AC1D7E" w:rsidRPr="00F911F7">
        <w:rPr>
          <w:lang w:val="fr-CA"/>
        </w:rPr>
        <w:t>.</w:t>
      </w:r>
    </w:p>
    <w:p w:rsidR="004D7D95" w:rsidRPr="00F911F7" w:rsidRDefault="004D7D95" w:rsidP="004D7D95">
      <w:pPr>
        <w:pStyle w:val="SCCNormalDoubleSpacing"/>
        <w:spacing w:line="240" w:lineRule="auto"/>
        <w:ind w:left="540" w:hanging="540"/>
        <w:rPr>
          <w:lang w:val="fr-CA"/>
        </w:rPr>
      </w:pPr>
    </w:p>
    <w:p w:rsidR="004D7D95" w:rsidRPr="00F911F7" w:rsidRDefault="004D7D95" w:rsidP="004D7D95">
      <w:pPr>
        <w:pStyle w:val="SCCNormalDoubleSpacing"/>
        <w:spacing w:line="240" w:lineRule="auto"/>
        <w:ind w:left="540" w:hanging="540"/>
        <w:rPr>
          <w:lang w:val="fr-CA"/>
        </w:rPr>
      </w:pPr>
    </w:p>
    <w:p w:rsidR="004D7D95" w:rsidRPr="00F911F7" w:rsidRDefault="004D7D95" w:rsidP="004D7D95">
      <w:pPr>
        <w:pStyle w:val="SCCNormalDoubleSpacing"/>
        <w:spacing w:line="240" w:lineRule="auto"/>
        <w:ind w:left="540" w:hanging="540"/>
        <w:rPr>
          <w:lang w:val="fr-CA"/>
        </w:rPr>
      </w:pPr>
    </w:p>
    <w:p w:rsidR="004D7D95" w:rsidRPr="00F911F7" w:rsidRDefault="00295B04" w:rsidP="004D7D95">
      <w:pPr>
        <w:pStyle w:val="SCCNormalDoubleSpacing"/>
        <w:rPr>
          <w:lang w:val="fr-CA"/>
        </w:rPr>
      </w:pPr>
      <w:r w:rsidRPr="00F911F7">
        <w:rPr>
          <w:lang w:val="fr-CA"/>
        </w:rPr>
        <w:tab/>
      </w:r>
      <w:r w:rsidR="004D7D95" w:rsidRPr="00F911F7">
        <w:rPr>
          <w:lang w:val="fr-CA"/>
        </w:rPr>
        <w:t xml:space="preserve">POURVOI contre un arrêt de la </w:t>
      </w:r>
      <w:r w:rsidR="00B02719" w:rsidRPr="00F911F7">
        <w:rPr>
          <w:lang w:val="fr-CA"/>
        </w:rPr>
        <w:t>Cour d’</w:t>
      </w:r>
      <w:r w:rsidR="004D7D95" w:rsidRPr="00F911F7">
        <w:rPr>
          <w:lang w:val="fr-CA"/>
        </w:rPr>
        <w:t>appel de l’Alberta</w:t>
      </w:r>
      <w:r w:rsidR="00B02719" w:rsidRPr="00F911F7">
        <w:rPr>
          <w:lang w:val="fr-CA"/>
        </w:rPr>
        <w:t xml:space="preserve"> (les juges Martin et Watson et le juge </w:t>
      </w:r>
      <w:proofErr w:type="spellStart"/>
      <w:r w:rsidR="00B02719" w:rsidRPr="00F911F7">
        <w:rPr>
          <w:lang w:val="fr-CA"/>
        </w:rPr>
        <w:t>Sulatycky</w:t>
      </w:r>
      <w:proofErr w:type="spellEnd"/>
      <w:r w:rsidR="00B02719" w:rsidRPr="00F911F7">
        <w:rPr>
          <w:lang w:val="fr-CA"/>
        </w:rPr>
        <w:t xml:space="preserve"> (</w:t>
      </w:r>
      <w:r w:rsidR="00B02719" w:rsidRPr="00F911F7">
        <w:rPr>
          <w:i/>
          <w:lang w:val="fr-CA"/>
        </w:rPr>
        <w:t>ad hoc</w:t>
      </w:r>
      <w:r w:rsidR="00B02719" w:rsidRPr="00F911F7">
        <w:rPr>
          <w:lang w:val="fr-CA"/>
        </w:rPr>
        <w:t xml:space="preserve">)), 2013 ABCA 219, 553 A.R. 282, 583 W.A.C. 282, 2013 </w:t>
      </w:r>
      <w:proofErr w:type="spellStart"/>
      <w:r w:rsidR="00B02719" w:rsidRPr="00F911F7">
        <w:rPr>
          <w:lang w:val="fr-CA"/>
        </w:rPr>
        <w:t>CarswellAlta</w:t>
      </w:r>
      <w:proofErr w:type="spellEnd"/>
      <w:r w:rsidR="00B02719" w:rsidRPr="00F911F7">
        <w:rPr>
          <w:lang w:val="fr-CA"/>
        </w:rPr>
        <w:t xml:space="preserve"> 990, [2013] A.J. No. 619</w:t>
      </w:r>
      <w:r w:rsidR="00A85670">
        <w:rPr>
          <w:lang w:val="fr-CA"/>
        </w:rPr>
        <w:t xml:space="preserve"> (QL)</w:t>
      </w:r>
      <w:r w:rsidR="00B02719" w:rsidRPr="00F911F7">
        <w:rPr>
          <w:lang w:val="fr-CA"/>
        </w:rPr>
        <w:t xml:space="preserve">, qui a </w:t>
      </w:r>
      <w:r w:rsidR="00727DB1" w:rsidRPr="00F911F7">
        <w:rPr>
          <w:lang w:val="fr-CA"/>
        </w:rPr>
        <w:t>écarté l’acquittement prononcé en faveur de l’accusé relativement à une accusation d’agression sexuelle et inscrit une déclaration de culpabilité</w:t>
      </w:r>
      <w:r w:rsidR="00B02719" w:rsidRPr="00F911F7">
        <w:rPr>
          <w:lang w:val="fr-CA"/>
        </w:rPr>
        <w:t>.  Pourvoi rejeté.</w:t>
      </w:r>
    </w:p>
    <w:p w:rsidR="00295B04" w:rsidRPr="00F911F7" w:rsidRDefault="00295B04" w:rsidP="004D7D95">
      <w:pPr>
        <w:pStyle w:val="SCCNormalDoubleSpacing"/>
        <w:rPr>
          <w:lang w:val="fr-CA"/>
        </w:rPr>
      </w:pPr>
    </w:p>
    <w:p w:rsidR="00FB092A" w:rsidRPr="00F911F7" w:rsidRDefault="00B02719">
      <w:pPr>
        <w:pStyle w:val="SCCNormalDoubleSpacing"/>
        <w:rPr>
          <w:lang w:val="fr-CA"/>
        </w:rPr>
      </w:pPr>
      <w:r w:rsidRPr="00F911F7">
        <w:rPr>
          <w:rStyle w:val="SCCCounselNameChar"/>
          <w:lang w:val="fr-CA"/>
        </w:rPr>
        <w:tab/>
        <w:t xml:space="preserve">Alain </w:t>
      </w:r>
      <w:proofErr w:type="spellStart"/>
      <w:r w:rsidRPr="00F911F7">
        <w:rPr>
          <w:rStyle w:val="SCCCounselNameChar"/>
          <w:lang w:val="fr-CA"/>
        </w:rPr>
        <w:t>Hepner</w:t>
      </w:r>
      <w:proofErr w:type="spellEnd"/>
      <w:r w:rsidRPr="00F911F7">
        <w:rPr>
          <w:rStyle w:val="SCCCounselNameChar"/>
          <w:i w:val="0"/>
          <w:lang w:val="fr-CA"/>
        </w:rPr>
        <w:t xml:space="preserve">, </w:t>
      </w:r>
      <w:proofErr w:type="gramStart"/>
      <w:r w:rsidR="0057072E" w:rsidRPr="00F911F7">
        <w:rPr>
          <w:rStyle w:val="SCCCounselNameChar"/>
          <w:lang w:val="fr-CA"/>
        </w:rPr>
        <w:t>c.r.</w:t>
      </w:r>
      <w:r w:rsidR="0057072E" w:rsidRPr="00F911F7">
        <w:rPr>
          <w:rStyle w:val="SCCCounselPartyRoleChar"/>
          <w:lang w:val="fr-CA"/>
        </w:rPr>
        <w:t>,</w:t>
      </w:r>
      <w:proofErr w:type="gramEnd"/>
      <w:r w:rsidR="0057072E" w:rsidRPr="00F911F7">
        <w:rPr>
          <w:rStyle w:val="SCCCounselPartyRoleChar"/>
          <w:lang w:val="fr-CA"/>
        </w:rPr>
        <w:t xml:space="preserve"> pour l’</w:t>
      </w:r>
      <w:r w:rsidRPr="00F911F7">
        <w:rPr>
          <w:rStyle w:val="SCCCounselPartyRoleChar"/>
          <w:lang w:val="fr-CA"/>
        </w:rPr>
        <w:t>appelant</w:t>
      </w:r>
      <w:r w:rsidR="0057072E" w:rsidRPr="00F911F7">
        <w:rPr>
          <w:rStyle w:val="SCCCounselPartyRoleChar"/>
          <w:lang w:val="fr-CA"/>
        </w:rPr>
        <w:t>.</w:t>
      </w:r>
    </w:p>
    <w:p w:rsidR="00FB092A" w:rsidRPr="00F911F7" w:rsidRDefault="00FB092A">
      <w:pPr>
        <w:pStyle w:val="SCCNormalDoubleSpacing"/>
        <w:rPr>
          <w:lang w:val="fr-CA"/>
        </w:rPr>
      </w:pPr>
    </w:p>
    <w:p w:rsidR="00FB092A" w:rsidRPr="00F911F7" w:rsidRDefault="00B02719">
      <w:pPr>
        <w:pStyle w:val="SCCNormalDoubleSpacing"/>
        <w:rPr>
          <w:lang w:val="fr-CA"/>
        </w:rPr>
      </w:pPr>
      <w:r w:rsidRPr="00F911F7">
        <w:rPr>
          <w:rStyle w:val="SCCCounselNameChar"/>
          <w:lang w:val="fr-CA"/>
        </w:rPr>
        <w:tab/>
        <w:t xml:space="preserve">Christine </w:t>
      </w:r>
      <w:proofErr w:type="spellStart"/>
      <w:r w:rsidRPr="00F911F7">
        <w:rPr>
          <w:rStyle w:val="SCCCounselNameChar"/>
          <w:lang w:val="fr-CA"/>
        </w:rPr>
        <w:t>Rideout</w:t>
      </w:r>
      <w:proofErr w:type="spellEnd"/>
      <w:r w:rsidR="0057072E" w:rsidRPr="00F911F7">
        <w:rPr>
          <w:rStyle w:val="SCCCounselPartyRoleChar"/>
          <w:lang w:val="fr-CA"/>
        </w:rPr>
        <w:t>, pour l’intimée</w:t>
      </w:r>
      <w:r w:rsidRPr="00F911F7">
        <w:rPr>
          <w:rStyle w:val="SCCCounselPartyRoleChar"/>
          <w:lang w:val="fr-CA"/>
        </w:rPr>
        <w:t>.</w:t>
      </w:r>
    </w:p>
    <w:p w:rsidR="00FB092A" w:rsidRPr="00F911F7" w:rsidRDefault="00FB092A">
      <w:pPr>
        <w:pStyle w:val="SCCNormalDoubleSpacing"/>
        <w:rPr>
          <w:lang w:val="fr-CA"/>
        </w:rPr>
      </w:pPr>
    </w:p>
    <w:p w:rsidR="00117BB7" w:rsidRPr="00F911F7" w:rsidRDefault="00117BB7" w:rsidP="00117BB7">
      <w:pPr>
        <w:pStyle w:val="SCCNormalDoubleSpacing"/>
        <w:rPr>
          <w:lang w:val="fr-CA"/>
        </w:rPr>
      </w:pPr>
      <w:r w:rsidRPr="00F911F7">
        <w:rPr>
          <w:lang w:val="fr-CA"/>
        </w:rPr>
        <w:tab/>
        <w:t>Version française du jugement de la Cour rendu oralement par</w:t>
      </w:r>
    </w:p>
    <w:p w:rsidR="006A2914" w:rsidRPr="00F911F7" w:rsidRDefault="00EA5CA4" w:rsidP="006A2914">
      <w:pPr>
        <w:pStyle w:val="ParaNoNdepar-AltN"/>
        <w:rPr>
          <w:lang w:val="fr-CA"/>
        </w:rPr>
      </w:pPr>
      <w:r w:rsidRPr="00F911F7">
        <w:rPr>
          <w:smallCaps/>
          <w:lang w:val="fr-CA"/>
        </w:rPr>
        <w:t>L</w:t>
      </w:r>
      <w:r w:rsidR="006A2914" w:rsidRPr="00F911F7">
        <w:rPr>
          <w:smallCaps/>
          <w:lang w:val="fr-CA"/>
        </w:rPr>
        <w:t xml:space="preserve">e juge </w:t>
      </w:r>
      <w:proofErr w:type="spellStart"/>
      <w:r w:rsidR="006A2914" w:rsidRPr="00F911F7">
        <w:rPr>
          <w:smallCaps/>
          <w:lang w:val="fr-CA"/>
        </w:rPr>
        <w:t>Moldaver</w:t>
      </w:r>
      <w:proofErr w:type="spellEnd"/>
      <w:r w:rsidR="006A2914" w:rsidRPr="00F911F7">
        <w:rPr>
          <w:smallCaps/>
          <w:lang w:val="fr-CA"/>
        </w:rPr>
        <w:t xml:space="preserve"> </w:t>
      </w:r>
      <w:r w:rsidR="006A2914" w:rsidRPr="00F911F7">
        <w:rPr>
          <w:rFonts w:cs="Times New Roman"/>
          <w:smallCaps/>
          <w:lang w:val="fr-CA"/>
        </w:rPr>
        <w:t xml:space="preserve">— </w:t>
      </w:r>
      <w:r w:rsidR="006A2914" w:rsidRPr="00F911F7">
        <w:rPr>
          <w:smallCaps/>
          <w:lang w:val="fr-CA"/>
        </w:rPr>
        <w:t>N</w:t>
      </w:r>
      <w:r w:rsidR="006A2914" w:rsidRPr="00F911F7">
        <w:rPr>
          <w:lang w:val="fr-CA"/>
        </w:rPr>
        <w:t>ous souscrivons à la conclusion de la Cour d’appel. En particulier, même considéré sous l’angle le plus favorable à l’appelant, le dossier ne renferme aucune preuve que celui-ci a pris quelque mesure raisonnable que ce soit pour s’assurer du consentement de la plaignante aux rapports sexuels après le rejet initial par cette dernière de ses avances sexuelles. Avec égards, la juge du procès a commis une erreur de droit en concluant à l’existence de certains éléments de preuve montrant que l’appelant avait pris des mesures raisonnables comme l’exige l’al. 273.2</w:t>
      </w:r>
      <w:r w:rsidR="006A2914" w:rsidRPr="00F911F7">
        <w:rPr>
          <w:i/>
          <w:lang w:val="fr-CA"/>
        </w:rPr>
        <w:t>b</w:t>
      </w:r>
      <w:r w:rsidR="006A2914" w:rsidRPr="00F911F7">
        <w:rPr>
          <w:lang w:val="fr-CA"/>
        </w:rPr>
        <w:t xml:space="preserve">) du </w:t>
      </w:r>
      <w:r w:rsidR="006A2914" w:rsidRPr="00F911F7">
        <w:rPr>
          <w:i/>
          <w:lang w:val="fr-CA"/>
        </w:rPr>
        <w:t>Code criminel</w:t>
      </w:r>
      <w:r w:rsidR="00AC1D7E" w:rsidRPr="00F911F7">
        <w:rPr>
          <w:lang w:val="fr-CA"/>
        </w:rPr>
        <w:t>, L.R.C. 1985, ch. C-46.</w:t>
      </w:r>
    </w:p>
    <w:p w:rsidR="006A2914" w:rsidRPr="00F911F7" w:rsidRDefault="006A2914" w:rsidP="00EA5CA4">
      <w:pPr>
        <w:pStyle w:val="ParaNoNdepar-AltN"/>
        <w:rPr>
          <w:lang w:val="fr-CA"/>
        </w:rPr>
      </w:pPr>
      <w:r w:rsidRPr="00F911F7">
        <w:rPr>
          <w:lang w:val="fr-CA"/>
        </w:rPr>
        <w:t>En conséquence, le pourvoi est rejeté.</w:t>
      </w:r>
    </w:p>
    <w:p w:rsidR="006A2914" w:rsidRPr="00F911F7" w:rsidRDefault="00EA5CA4" w:rsidP="008456F7">
      <w:pPr>
        <w:pStyle w:val="SCCNormalDoubleSpacing"/>
        <w:spacing w:after="480"/>
        <w:rPr>
          <w:i/>
          <w:lang w:val="fr-CA"/>
        </w:rPr>
      </w:pPr>
      <w:r w:rsidRPr="00F911F7">
        <w:rPr>
          <w:i/>
          <w:lang w:val="fr-CA"/>
        </w:rPr>
        <w:tab/>
        <w:t>Jugement en conséquence.</w:t>
      </w:r>
    </w:p>
    <w:p w:rsidR="00FB092A" w:rsidRPr="00F911F7" w:rsidRDefault="002A7238" w:rsidP="008456F7">
      <w:pPr>
        <w:pStyle w:val="SCCLawFirm"/>
        <w:spacing w:after="480"/>
        <w:rPr>
          <w:lang w:val="fr-CA"/>
        </w:rPr>
      </w:pPr>
      <w:r>
        <w:rPr>
          <w:lang w:val="fr-CA"/>
        </w:rPr>
        <w:tab/>
        <w:t>Procureurs de l</w:t>
      </w:r>
      <w:r w:rsidR="008E7B1E">
        <w:rPr>
          <w:lang w:val="fr-CA"/>
        </w:rPr>
        <w:t>’</w:t>
      </w:r>
      <w:r w:rsidR="00EB17FA" w:rsidRPr="00F911F7">
        <w:rPr>
          <w:lang w:val="fr-CA"/>
        </w:rPr>
        <w:t>appelant</w:t>
      </w:r>
      <w:r w:rsidR="00B02719" w:rsidRPr="00F911F7">
        <w:rPr>
          <w:lang w:val="fr-CA"/>
        </w:rPr>
        <w:t xml:space="preserve"> : Ross, </w:t>
      </w:r>
      <w:proofErr w:type="spellStart"/>
      <w:r w:rsidR="00B02719" w:rsidRPr="00F911F7">
        <w:rPr>
          <w:lang w:val="fr-CA"/>
        </w:rPr>
        <w:t>Hepner</w:t>
      </w:r>
      <w:proofErr w:type="spellEnd"/>
      <w:r w:rsidR="00B02719" w:rsidRPr="00F911F7">
        <w:rPr>
          <w:lang w:val="fr-CA"/>
        </w:rPr>
        <w:t>, Calgary.</w:t>
      </w:r>
    </w:p>
    <w:p w:rsidR="00FB092A" w:rsidRPr="00F911F7" w:rsidRDefault="00B02719" w:rsidP="008456F7">
      <w:pPr>
        <w:pStyle w:val="SCCLawFirm"/>
        <w:spacing w:after="480"/>
        <w:rPr>
          <w:lang w:val="fr-CA"/>
        </w:rPr>
      </w:pPr>
      <w:r w:rsidRPr="00F911F7">
        <w:rPr>
          <w:lang w:val="fr-CA"/>
        </w:rPr>
        <w:tab/>
        <w:t>Procureur</w:t>
      </w:r>
      <w:r w:rsidR="00EB17FA" w:rsidRPr="00F911F7">
        <w:rPr>
          <w:lang w:val="fr-CA"/>
        </w:rPr>
        <w:t xml:space="preserve"> de l’intimé</w:t>
      </w:r>
      <w:r w:rsidRPr="00F911F7">
        <w:rPr>
          <w:lang w:val="fr-CA"/>
        </w:rPr>
        <w:t xml:space="preserve">e : </w:t>
      </w:r>
      <w:r w:rsidR="00B44B36" w:rsidRPr="00F911F7">
        <w:rPr>
          <w:lang w:val="fr-CA"/>
        </w:rPr>
        <w:t>Procureur g</w:t>
      </w:r>
      <w:r w:rsidR="008E7B1E">
        <w:rPr>
          <w:lang w:val="fr-CA"/>
        </w:rPr>
        <w:t>éné</w:t>
      </w:r>
      <w:r w:rsidR="00B44B36" w:rsidRPr="00F911F7">
        <w:rPr>
          <w:lang w:val="fr-CA"/>
        </w:rPr>
        <w:t>ral de l’</w:t>
      </w:r>
      <w:r w:rsidRPr="00F911F7">
        <w:rPr>
          <w:lang w:val="fr-CA"/>
        </w:rPr>
        <w:t>Alberta, Calgary.</w:t>
      </w:r>
    </w:p>
    <w:p w:rsidR="00FB092A" w:rsidRPr="00F911F7" w:rsidRDefault="00B02719" w:rsidP="002A7238">
      <w:pPr>
        <w:pStyle w:val="SCCLawFirm"/>
        <w:spacing w:line="240" w:lineRule="auto"/>
        <w:rPr>
          <w:lang w:val="fr-CA"/>
        </w:rPr>
      </w:pPr>
      <w:r w:rsidRPr="00F911F7">
        <w:rPr>
          <w:lang w:val="fr-CA"/>
        </w:rPr>
        <w:tab/>
      </w:r>
    </w:p>
    <w:p w:rsidR="004D7D95" w:rsidRPr="00F911F7" w:rsidRDefault="004D7D95" w:rsidP="002A7238">
      <w:pPr>
        <w:pStyle w:val="SCCNormalDoubleSpacing"/>
        <w:spacing w:line="240" w:lineRule="auto"/>
        <w:rPr>
          <w:lang w:val="fr-CA"/>
        </w:rPr>
        <w:sectPr w:rsidR="004D7D95" w:rsidRPr="00F911F7" w:rsidSect="004D7D95">
          <w:headerReference w:type="even" r:id="rId10"/>
          <w:headerReference w:type="default" r:id="rId11"/>
          <w:footerReference w:type="even" r:id="rId12"/>
          <w:footerReference w:type="default" r:id="rId13"/>
          <w:type w:val="continuous"/>
          <w:pgSz w:w="12240" w:h="15840" w:code="1"/>
          <w:pgMar w:top="1267" w:right="2160" w:bottom="720" w:left="1800" w:header="1440" w:footer="720" w:gutter="0"/>
          <w:cols w:space="720"/>
          <w:titlePg/>
          <w:docGrid w:linePitch="326"/>
        </w:sectPr>
      </w:pPr>
    </w:p>
    <w:p w:rsidR="009B57B3" w:rsidRPr="00F911F7" w:rsidRDefault="009B57B3" w:rsidP="002A7238">
      <w:pPr>
        <w:pStyle w:val="SCCNormalDoubleSpacing"/>
        <w:spacing w:line="240" w:lineRule="auto"/>
        <w:rPr>
          <w:lang w:val="fr-CA"/>
        </w:rPr>
      </w:pPr>
    </w:p>
    <w:sectPr w:rsidR="009B57B3" w:rsidRPr="00F911F7" w:rsidSect="000648CC">
      <w:headerReference w:type="defaul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4B" w:rsidRDefault="009C2A4B">
      <w:r>
        <w:separator/>
      </w:r>
    </w:p>
  </w:endnote>
  <w:endnote w:type="continuationSeparator" w:id="0">
    <w:p w:rsidR="009C2A4B" w:rsidRDefault="009C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4B" w:rsidRDefault="009C2A4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4B" w:rsidRDefault="009C2A4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4B" w:rsidRDefault="009C2A4B">
      <w:r>
        <w:separator/>
      </w:r>
    </w:p>
  </w:footnote>
  <w:footnote w:type="continuationSeparator" w:id="0">
    <w:p w:rsidR="009C2A4B" w:rsidRDefault="009C2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4B" w:rsidRDefault="009C2A4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4B" w:rsidRDefault="009C2A4B">
    <w:pPr>
      <w:pStyle w:val="Header"/>
      <w:jc w:val="center"/>
    </w:pPr>
    <w:r>
      <w:t xml:space="preserve">- </w:t>
    </w:r>
    <w:sdt>
      <w:sdtPr>
        <w:id w:val="4489881"/>
        <w:docPartObj>
          <w:docPartGallery w:val="Page Numbers (Top of Page)"/>
          <w:docPartUnique/>
        </w:docPartObj>
      </w:sdtPr>
      <w:sdtContent>
        <w:fldSimple w:instr=" PAGE   \* MERGEFORMAT ">
          <w:r w:rsidR="008E7BFD">
            <w:rPr>
              <w:noProof/>
            </w:rPr>
            <w:t>2</w:t>
          </w:r>
        </w:fldSimple>
        <w:r>
          <w:t xml:space="preserve"> -</w:t>
        </w:r>
      </w:sdtContent>
    </w:sdt>
  </w:p>
  <w:p w:rsidR="009C2A4B" w:rsidRDefault="009C2A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4B" w:rsidRPr="00450352" w:rsidRDefault="009C2A4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rsids>
    <w:rsidRoot w:val="0031414C"/>
    <w:rsid w:val="00000ED4"/>
    <w:rsid w:val="00023FC7"/>
    <w:rsid w:val="00025198"/>
    <w:rsid w:val="0003610E"/>
    <w:rsid w:val="000578A3"/>
    <w:rsid w:val="000648CC"/>
    <w:rsid w:val="000C59B8"/>
    <w:rsid w:val="000C6AF0"/>
    <w:rsid w:val="000D0A77"/>
    <w:rsid w:val="000F7993"/>
    <w:rsid w:val="00104DF6"/>
    <w:rsid w:val="00104F33"/>
    <w:rsid w:val="00111DE2"/>
    <w:rsid w:val="00116B38"/>
    <w:rsid w:val="00117BB7"/>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02286"/>
    <w:rsid w:val="00220FC2"/>
    <w:rsid w:val="002222F4"/>
    <w:rsid w:val="00224FC0"/>
    <w:rsid w:val="00225EA4"/>
    <w:rsid w:val="00226EAF"/>
    <w:rsid w:val="00231F3A"/>
    <w:rsid w:val="002406EE"/>
    <w:rsid w:val="00243EC8"/>
    <w:rsid w:val="00270D93"/>
    <w:rsid w:val="002745CC"/>
    <w:rsid w:val="00292D1E"/>
    <w:rsid w:val="00295B04"/>
    <w:rsid w:val="002A7238"/>
    <w:rsid w:val="002B6FBE"/>
    <w:rsid w:val="002B7924"/>
    <w:rsid w:val="002C10A6"/>
    <w:rsid w:val="002D28C3"/>
    <w:rsid w:val="002D39A4"/>
    <w:rsid w:val="002E6705"/>
    <w:rsid w:val="002F1B23"/>
    <w:rsid w:val="0030329A"/>
    <w:rsid w:val="00303B0D"/>
    <w:rsid w:val="0031086F"/>
    <w:rsid w:val="0031414C"/>
    <w:rsid w:val="00314E01"/>
    <w:rsid w:val="0032089D"/>
    <w:rsid w:val="003310DE"/>
    <w:rsid w:val="003323B0"/>
    <w:rsid w:val="00340A49"/>
    <w:rsid w:val="0035169A"/>
    <w:rsid w:val="0035259D"/>
    <w:rsid w:val="00364B18"/>
    <w:rsid w:val="003A0F4B"/>
    <w:rsid w:val="003A125D"/>
    <w:rsid w:val="003A4C70"/>
    <w:rsid w:val="003B215F"/>
    <w:rsid w:val="003C2180"/>
    <w:rsid w:val="003C799C"/>
    <w:rsid w:val="003D0399"/>
    <w:rsid w:val="003E1C71"/>
    <w:rsid w:val="003F327B"/>
    <w:rsid w:val="003F5074"/>
    <w:rsid w:val="00403192"/>
    <w:rsid w:val="00406166"/>
    <w:rsid w:val="0040704B"/>
    <w:rsid w:val="00410A55"/>
    <w:rsid w:val="00411300"/>
    <w:rsid w:val="00413F17"/>
    <w:rsid w:val="00415417"/>
    <w:rsid w:val="004264BA"/>
    <w:rsid w:val="00426659"/>
    <w:rsid w:val="00450352"/>
    <w:rsid w:val="00454BDB"/>
    <w:rsid w:val="00465132"/>
    <w:rsid w:val="00480C90"/>
    <w:rsid w:val="0048396F"/>
    <w:rsid w:val="00493C18"/>
    <w:rsid w:val="004A600C"/>
    <w:rsid w:val="004A6118"/>
    <w:rsid w:val="004C478D"/>
    <w:rsid w:val="004D6F32"/>
    <w:rsid w:val="004D7D95"/>
    <w:rsid w:val="004E2C26"/>
    <w:rsid w:val="005125A8"/>
    <w:rsid w:val="00517549"/>
    <w:rsid w:val="00520ABC"/>
    <w:rsid w:val="00521AE8"/>
    <w:rsid w:val="00527180"/>
    <w:rsid w:val="00555291"/>
    <w:rsid w:val="00566AD1"/>
    <w:rsid w:val="0057072E"/>
    <w:rsid w:val="00583EDE"/>
    <w:rsid w:val="005A6079"/>
    <w:rsid w:val="005E4698"/>
    <w:rsid w:val="005F7955"/>
    <w:rsid w:val="00603924"/>
    <w:rsid w:val="00610539"/>
    <w:rsid w:val="00613969"/>
    <w:rsid w:val="00625C35"/>
    <w:rsid w:val="00644E88"/>
    <w:rsid w:val="00647E49"/>
    <w:rsid w:val="00656313"/>
    <w:rsid w:val="006565F4"/>
    <w:rsid w:val="00684EEA"/>
    <w:rsid w:val="0069689B"/>
    <w:rsid w:val="006A2914"/>
    <w:rsid w:val="006B5FF5"/>
    <w:rsid w:val="006F30AF"/>
    <w:rsid w:val="00701759"/>
    <w:rsid w:val="00705C15"/>
    <w:rsid w:val="007110F6"/>
    <w:rsid w:val="007208D1"/>
    <w:rsid w:val="00727DB1"/>
    <w:rsid w:val="00744518"/>
    <w:rsid w:val="00747288"/>
    <w:rsid w:val="00747DD3"/>
    <w:rsid w:val="007549C8"/>
    <w:rsid w:val="00766D14"/>
    <w:rsid w:val="00767A0F"/>
    <w:rsid w:val="00791272"/>
    <w:rsid w:val="007A05F6"/>
    <w:rsid w:val="007B2F71"/>
    <w:rsid w:val="007B6F4A"/>
    <w:rsid w:val="007E1C47"/>
    <w:rsid w:val="007E337A"/>
    <w:rsid w:val="007E5C70"/>
    <w:rsid w:val="007F2FF5"/>
    <w:rsid w:val="007F3F08"/>
    <w:rsid w:val="00804CC6"/>
    <w:rsid w:val="00817190"/>
    <w:rsid w:val="008260E2"/>
    <w:rsid w:val="008322BD"/>
    <w:rsid w:val="00834F73"/>
    <w:rsid w:val="008456F7"/>
    <w:rsid w:val="00864C8A"/>
    <w:rsid w:val="00864CF8"/>
    <w:rsid w:val="00874914"/>
    <w:rsid w:val="00891422"/>
    <w:rsid w:val="00892E1A"/>
    <w:rsid w:val="008B660A"/>
    <w:rsid w:val="008C01DA"/>
    <w:rsid w:val="008E7B1E"/>
    <w:rsid w:val="008E7BFD"/>
    <w:rsid w:val="008F2674"/>
    <w:rsid w:val="008F78E9"/>
    <w:rsid w:val="009025BD"/>
    <w:rsid w:val="009179F9"/>
    <w:rsid w:val="00917C7A"/>
    <w:rsid w:val="00933E5E"/>
    <w:rsid w:val="00935218"/>
    <w:rsid w:val="00937C52"/>
    <w:rsid w:val="009403F3"/>
    <w:rsid w:val="009555B7"/>
    <w:rsid w:val="009567AA"/>
    <w:rsid w:val="009602C9"/>
    <w:rsid w:val="00967374"/>
    <w:rsid w:val="009A343A"/>
    <w:rsid w:val="009B2F23"/>
    <w:rsid w:val="009B57B3"/>
    <w:rsid w:val="009C2A4B"/>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85670"/>
    <w:rsid w:val="00AB670D"/>
    <w:rsid w:val="00AC1D7E"/>
    <w:rsid w:val="00AF03C5"/>
    <w:rsid w:val="00B000D8"/>
    <w:rsid w:val="00B00F75"/>
    <w:rsid w:val="00B02719"/>
    <w:rsid w:val="00B145B6"/>
    <w:rsid w:val="00B279EB"/>
    <w:rsid w:val="00B44B36"/>
    <w:rsid w:val="00B50C81"/>
    <w:rsid w:val="00B557F8"/>
    <w:rsid w:val="00B815FC"/>
    <w:rsid w:val="00B93FBC"/>
    <w:rsid w:val="00BA7DA0"/>
    <w:rsid w:val="00BB2EE4"/>
    <w:rsid w:val="00BB4C92"/>
    <w:rsid w:val="00BC2108"/>
    <w:rsid w:val="00BD0E9E"/>
    <w:rsid w:val="00BD1BEC"/>
    <w:rsid w:val="00BD32FF"/>
    <w:rsid w:val="00BF6FE9"/>
    <w:rsid w:val="00C02092"/>
    <w:rsid w:val="00C0758C"/>
    <w:rsid w:val="00C22ECD"/>
    <w:rsid w:val="00C24D91"/>
    <w:rsid w:val="00C26DB2"/>
    <w:rsid w:val="00C53F14"/>
    <w:rsid w:val="00C600CF"/>
    <w:rsid w:val="00C6084F"/>
    <w:rsid w:val="00C62A66"/>
    <w:rsid w:val="00C66359"/>
    <w:rsid w:val="00C71458"/>
    <w:rsid w:val="00C77613"/>
    <w:rsid w:val="00C828E7"/>
    <w:rsid w:val="00C86719"/>
    <w:rsid w:val="00C921DD"/>
    <w:rsid w:val="00CA6391"/>
    <w:rsid w:val="00CC79C8"/>
    <w:rsid w:val="00CE036E"/>
    <w:rsid w:val="00CE3171"/>
    <w:rsid w:val="00CF1601"/>
    <w:rsid w:val="00CF3C60"/>
    <w:rsid w:val="00D0172F"/>
    <w:rsid w:val="00D01E33"/>
    <w:rsid w:val="00D068A7"/>
    <w:rsid w:val="00D17476"/>
    <w:rsid w:val="00D32086"/>
    <w:rsid w:val="00D37A3F"/>
    <w:rsid w:val="00D4431D"/>
    <w:rsid w:val="00D4667A"/>
    <w:rsid w:val="00D63A1C"/>
    <w:rsid w:val="00D7516F"/>
    <w:rsid w:val="00D86DD0"/>
    <w:rsid w:val="00D95F8E"/>
    <w:rsid w:val="00DA0590"/>
    <w:rsid w:val="00DC1739"/>
    <w:rsid w:val="00DC1788"/>
    <w:rsid w:val="00DE319C"/>
    <w:rsid w:val="00DF0CA8"/>
    <w:rsid w:val="00DF2B48"/>
    <w:rsid w:val="00DF49A7"/>
    <w:rsid w:val="00E01287"/>
    <w:rsid w:val="00E07EE2"/>
    <w:rsid w:val="00E07FD1"/>
    <w:rsid w:val="00E24573"/>
    <w:rsid w:val="00E25E1E"/>
    <w:rsid w:val="00E27EE7"/>
    <w:rsid w:val="00E35404"/>
    <w:rsid w:val="00E43F14"/>
    <w:rsid w:val="00E45109"/>
    <w:rsid w:val="00E47B7A"/>
    <w:rsid w:val="00E56A44"/>
    <w:rsid w:val="00E60269"/>
    <w:rsid w:val="00E97830"/>
    <w:rsid w:val="00EA1132"/>
    <w:rsid w:val="00EA2673"/>
    <w:rsid w:val="00EA5CA4"/>
    <w:rsid w:val="00EB17FA"/>
    <w:rsid w:val="00EE0830"/>
    <w:rsid w:val="00EE6CB8"/>
    <w:rsid w:val="00EF0683"/>
    <w:rsid w:val="00F0070C"/>
    <w:rsid w:val="00F00EB7"/>
    <w:rsid w:val="00F36AB6"/>
    <w:rsid w:val="00F37A09"/>
    <w:rsid w:val="00F409CE"/>
    <w:rsid w:val="00F4379D"/>
    <w:rsid w:val="00F50D2D"/>
    <w:rsid w:val="00F56C8B"/>
    <w:rsid w:val="00F62639"/>
    <w:rsid w:val="00F664F5"/>
    <w:rsid w:val="00F66810"/>
    <w:rsid w:val="00F84DF4"/>
    <w:rsid w:val="00F85C97"/>
    <w:rsid w:val="00F911F7"/>
    <w:rsid w:val="00FB092A"/>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6A2914"/>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8E7BF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5E835-392B-40B4-A4EA-8BBE6A22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2014-07-02T18:56:00Z</dcterms:created>
  <dcterms:modified xsi:type="dcterms:W3CDTF">2014-07-02T18:56:00Z</dcterms:modified>
</cp:coreProperties>
</file>