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75" w:rsidRPr="00FB5975" w:rsidRDefault="00FB5975" w:rsidP="00FB5975">
      <w:pPr>
        <w:tabs>
          <w:tab w:val="center" w:pos="4680"/>
          <w:tab w:val="right" w:pos="9360"/>
        </w:tabs>
        <w:rPr>
          <w:rFonts w:eastAsiaTheme="minorHAnsi" w:cstheme="minorBidi"/>
          <w:szCs w:val="24"/>
          <w:lang w:val="fr-CA" w:eastAsia="en-US"/>
        </w:rPr>
      </w:pPr>
      <w:r w:rsidRPr="00FB5975">
        <w:rPr>
          <w:rFonts w:eastAsiaTheme="minorHAnsi" w:cstheme="minorBidi"/>
          <w:szCs w:val="24"/>
          <w:lang w:val="fr-CA" w:eastAsia="en-US"/>
        </w:rPr>
        <w:ptab w:relativeTo="margin" w:alignment="center" w:leader="none"/>
      </w:r>
      <w:r w:rsidRPr="00FB5975">
        <w:rPr>
          <w:rFonts w:eastAsiaTheme="minorHAnsi" w:cstheme="minorBidi"/>
          <w:szCs w:val="24"/>
          <w:lang w:val="fr-CA" w:eastAsia="en-US"/>
        </w:rPr>
        <w:t xml:space="preserve"> </w:t>
      </w:r>
      <w:r w:rsidRPr="00FB5975">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pt;height:64.6pt" o:ole="">
            <v:imagedata r:id="rId7" o:title=""/>
          </v:shape>
          <o:OLEObject Type="Embed" ProgID="Presentations.Drawing.13" ShapeID="_x0000_i1025" DrawAspect="Content" ObjectID="_1465302711" r:id="rId8"/>
        </w:object>
      </w:r>
      <w:r w:rsidRPr="00FB5975">
        <w:rPr>
          <w:rFonts w:eastAsiaTheme="minorHAnsi" w:cstheme="minorBidi"/>
          <w:szCs w:val="24"/>
          <w:lang w:val="fr-CA" w:eastAsia="en-US"/>
        </w:rPr>
        <w:t xml:space="preserve"> </w:t>
      </w:r>
      <w:r w:rsidRPr="00FB5975">
        <w:rPr>
          <w:rFonts w:eastAsiaTheme="minorHAnsi" w:cstheme="minorBidi"/>
          <w:szCs w:val="24"/>
          <w:lang w:val="fr-CA" w:eastAsia="en-US"/>
        </w:rPr>
        <w:ptab w:relativeTo="margin" w:alignment="right" w:leader="none"/>
      </w:r>
    </w:p>
    <w:p w:rsidR="00FB5975" w:rsidRPr="00FB5975" w:rsidRDefault="00FB5975" w:rsidP="00FB5975">
      <w:pPr>
        <w:tabs>
          <w:tab w:val="center" w:pos="4680"/>
          <w:tab w:val="right" w:pos="9360"/>
        </w:tabs>
        <w:rPr>
          <w:rFonts w:eastAsiaTheme="minorHAnsi" w:cstheme="minorBidi"/>
          <w:szCs w:val="24"/>
          <w:lang w:val="fr-CA" w:eastAsia="en-US"/>
        </w:rPr>
      </w:pPr>
    </w:p>
    <w:p w:rsidR="00FB5975" w:rsidRPr="00FB5975" w:rsidRDefault="00FB5975" w:rsidP="00FB5975">
      <w:pPr>
        <w:jc w:val="center"/>
        <w:rPr>
          <w:rFonts w:eastAsiaTheme="minorHAnsi" w:cstheme="minorBidi"/>
          <w:b/>
          <w:szCs w:val="24"/>
          <w:lang w:val="fr-CA" w:eastAsia="en-US"/>
        </w:rPr>
      </w:pPr>
      <w:r w:rsidRPr="00FB5975">
        <w:rPr>
          <w:rFonts w:eastAsiaTheme="minorHAnsi" w:cstheme="minorBidi"/>
          <w:b/>
          <w:szCs w:val="24"/>
          <w:lang w:val="fr-CA" w:eastAsia="en-US"/>
        </w:rPr>
        <w:t>COUR SUPRÊME DU CANADA</w:t>
      </w:r>
    </w:p>
    <w:p w:rsidR="00FB5975" w:rsidRPr="00FB5975" w:rsidRDefault="00FB5975" w:rsidP="00FB5975">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B5975" w:rsidRPr="00FB5975" w:rsidTr="00D63C38">
        <w:trPr>
          <w:cantSplit/>
        </w:trPr>
        <w:tc>
          <w:tcPr>
            <w:tcW w:w="6768" w:type="dxa"/>
          </w:tcPr>
          <w:p w:rsidR="00FB5975" w:rsidRPr="00FB5975" w:rsidRDefault="00FB5975" w:rsidP="00FB5975">
            <w:pPr>
              <w:rPr>
                <w:lang w:val="fr-CA"/>
              </w:rPr>
            </w:pPr>
            <w:r w:rsidRPr="00FB5975">
              <w:rPr>
                <w:b/>
                <w:smallCaps/>
                <w:lang w:val="fr-CA"/>
              </w:rPr>
              <w:t>Référence :</w:t>
            </w:r>
            <w:r w:rsidRPr="00FB5975">
              <w:rPr>
                <w:lang w:val="fr-CA"/>
              </w:rPr>
              <w:t xml:space="preserve"> R. </w:t>
            </w:r>
            <w:r w:rsidRPr="00FB5975">
              <w:rPr>
                <w:i/>
                <w:lang w:val="fr-CA"/>
              </w:rPr>
              <w:t>c.</w:t>
            </w:r>
            <w:r w:rsidRPr="00FB5975">
              <w:rPr>
                <w:lang w:val="fr-CA"/>
              </w:rPr>
              <w:t xml:space="preserve"> Hogg</w:t>
            </w:r>
            <w:r w:rsidRPr="00FB5975">
              <w:t>, 2014 CSC 18, [2014] 1 R.C.S. 344</w:t>
            </w:r>
          </w:p>
        </w:tc>
        <w:tc>
          <w:tcPr>
            <w:tcW w:w="2808" w:type="dxa"/>
          </w:tcPr>
          <w:p w:rsidR="00FB5975" w:rsidRPr="00FB5975" w:rsidRDefault="00FB5975" w:rsidP="00FB5975">
            <w:pPr>
              <w:rPr>
                <w:lang w:val="fr-CA"/>
              </w:rPr>
            </w:pPr>
            <w:r w:rsidRPr="00FB5975">
              <w:rPr>
                <w:b/>
                <w:smallCaps/>
                <w:lang w:val="fr-CA"/>
              </w:rPr>
              <w:t>Date :</w:t>
            </w:r>
            <w:r w:rsidRPr="00FB5975">
              <w:rPr>
                <w:lang w:val="fr-CA"/>
              </w:rPr>
              <w:t xml:space="preserve"> 20140221</w:t>
            </w:r>
          </w:p>
          <w:p w:rsidR="00FB5975" w:rsidRPr="00FB5975" w:rsidRDefault="00FB5975" w:rsidP="00FB5975">
            <w:pPr>
              <w:rPr>
                <w:lang w:val="fr-CA"/>
              </w:rPr>
            </w:pPr>
            <w:r w:rsidRPr="00FB5975">
              <w:rPr>
                <w:b/>
                <w:smallCaps/>
                <w:lang w:val="fr-CA"/>
              </w:rPr>
              <w:t>Dossier :</w:t>
            </w:r>
            <w:r w:rsidRPr="00FB5975">
              <w:rPr>
                <w:lang w:val="fr-CA"/>
              </w:rPr>
              <w:t xml:space="preserve"> 35504</w:t>
            </w:r>
          </w:p>
        </w:tc>
      </w:tr>
    </w:tbl>
    <w:p w:rsidR="00FB5975" w:rsidRPr="00FB5975" w:rsidRDefault="00FB5975" w:rsidP="00FB5975">
      <w:pPr>
        <w:rPr>
          <w:rFonts w:eastAsiaTheme="minorHAnsi" w:cstheme="minorBidi"/>
          <w:szCs w:val="24"/>
          <w:lang w:val="fr-CA" w:eastAsia="en-US"/>
        </w:rPr>
      </w:pPr>
    </w:p>
    <w:p w:rsidR="00FB5975" w:rsidRPr="00FB5975" w:rsidRDefault="00FB5975" w:rsidP="00FB5975">
      <w:pPr>
        <w:rPr>
          <w:rFonts w:eastAsiaTheme="minorHAnsi" w:cstheme="minorBidi"/>
          <w:b/>
          <w:smallCaps/>
          <w:szCs w:val="24"/>
          <w:lang w:val="fr-CA" w:eastAsia="en-US"/>
        </w:rPr>
      </w:pPr>
      <w:r w:rsidRPr="00FB5975">
        <w:rPr>
          <w:rFonts w:eastAsiaTheme="minorHAnsi" w:cstheme="minorBidi"/>
          <w:b/>
          <w:smallCaps/>
          <w:szCs w:val="24"/>
          <w:lang w:val="fr-CA" w:eastAsia="en-US"/>
        </w:rPr>
        <w:t>Entre :</w:t>
      </w:r>
    </w:p>
    <w:p w:rsidR="00FB5975" w:rsidRPr="00FB5975" w:rsidRDefault="00FB5975" w:rsidP="00FB5975">
      <w:pPr>
        <w:jc w:val="center"/>
        <w:rPr>
          <w:rFonts w:eastAsiaTheme="minorHAnsi" w:cstheme="minorBidi"/>
          <w:b/>
          <w:szCs w:val="24"/>
          <w:lang w:val="fr-CA" w:eastAsia="en-US"/>
        </w:rPr>
      </w:pPr>
      <w:r w:rsidRPr="00FB5975">
        <w:rPr>
          <w:rFonts w:eastAsiaTheme="minorHAnsi" w:cstheme="minorBidi"/>
          <w:b/>
          <w:szCs w:val="24"/>
          <w:lang w:val="fr-CA" w:eastAsia="en-US"/>
        </w:rPr>
        <w:t>Sa Majesté la Reine</w:t>
      </w:r>
    </w:p>
    <w:p w:rsidR="00FB5975" w:rsidRPr="00FB5975" w:rsidRDefault="00FB5975" w:rsidP="00FB5975">
      <w:pPr>
        <w:jc w:val="center"/>
        <w:rPr>
          <w:rFonts w:eastAsiaTheme="minorHAnsi" w:cstheme="minorBidi"/>
          <w:szCs w:val="24"/>
          <w:lang w:val="fr-CA" w:eastAsia="en-US"/>
        </w:rPr>
      </w:pPr>
      <w:r w:rsidRPr="00FB5975">
        <w:rPr>
          <w:rFonts w:eastAsiaTheme="minorHAnsi" w:cstheme="minorBidi"/>
          <w:szCs w:val="24"/>
          <w:lang w:val="fr-CA" w:eastAsia="en-US"/>
        </w:rPr>
        <w:t>Appelante</w:t>
      </w:r>
    </w:p>
    <w:p w:rsidR="00FB5975" w:rsidRPr="00FB5975" w:rsidRDefault="00FB5975" w:rsidP="00FB5975">
      <w:pPr>
        <w:jc w:val="center"/>
        <w:rPr>
          <w:rFonts w:eastAsiaTheme="minorHAnsi" w:cstheme="minorBidi"/>
          <w:szCs w:val="24"/>
          <w:lang w:val="fr-CA" w:eastAsia="en-US"/>
        </w:rPr>
      </w:pPr>
      <w:r w:rsidRPr="00FB5975">
        <w:rPr>
          <w:rFonts w:eastAsiaTheme="minorHAnsi" w:cstheme="minorBidi"/>
          <w:szCs w:val="24"/>
          <w:lang w:val="fr-CA" w:eastAsia="en-US"/>
        </w:rPr>
        <w:t>et</w:t>
      </w:r>
    </w:p>
    <w:p w:rsidR="00FB5975" w:rsidRPr="00FB5975" w:rsidRDefault="00FB5975" w:rsidP="00FB5975">
      <w:pPr>
        <w:jc w:val="center"/>
        <w:rPr>
          <w:rFonts w:eastAsiaTheme="minorHAnsi" w:cstheme="minorBidi"/>
          <w:b/>
          <w:szCs w:val="24"/>
          <w:lang w:val="fr-CA" w:eastAsia="en-US"/>
        </w:rPr>
      </w:pPr>
      <w:r w:rsidRPr="00FB5975">
        <w:rPr>
          <w:rFonts w:eastAsiaTheme="minorHAnsi" w:cstheme="minorBidi"/>
          <w:b/>
          <w:szCs w:val="24"/>
          <w:lang w:val="fr-CA" w:eastAsia="en-US"/>
        </w:rPr>
        <w:t>Jeffery Lea Hogg</w:t>
      </w:r>
    </w:p>
    <w:p w:rsidR="00FB5975" w:rsidRPr="00FB5975" w:rsidRDefault="00FB5975" w:rsidP="00FB5975">
      <w:pPr>
        <w:jc w:val="center"/>
        <w:rPr>
          <w:rFonts w:eastAsiaTheme="minorHAnsi" w:cstheme="minorBidi"/>
          <w:szCs w:val="24"/>
          <w:lang w:val="fr-CA" w:eastAsia="en-US"/>
        </w:rPr>
      </w:pPr>
      <w:r w:rsidRPr="00FB5975">
        <w:rPr>
          <w:rFonts w:eastAsiaTheme="minorHAnsi" w:cstheme="minorBidi"/>
          <w:szCs w:val="24"/>
          <w:lang w:val="fr-CA" w:eastAsia="en-US"/>
        </w:rPr>
        <w:t>Intimé</w:t>
      </w:r>
    </w:p>
    <w:p w:rsidR="00FB5975" w:rsidRPr="00FB5975" w:rsidRDefault="00FB5975" w:rsidP="00FB5975">
      <w:pPr>
        <w:rPr>
          <w:rFonts w:eastAsiaTheme="minorHAnsi" w:cstheme="minorBidi"/>
          <w:szCs w:val="24"/>
          <w:lang w:val="fr-CA" w:eastAsia="en-US"/>
        </w:rPr>
      </w:pPr>
    </w:p>
    <w:p w:rsidR="00FB5975" w:rsidRPr="00FB5975" w:rsidRDefault="00FB5975" w:rsidP="00FB5975">
      <w:pPr>
        <w:rPr>
          <w:rFonts w:eastAsiaTheme="minorHAnsi" w:cstheme="minorBidi"/>
          <w:szCs w:val="24"/>
          <w:lang w:val="fr-CA" w:eastAsia="en-US"/>
        </w:rPr>
      </w:pPr>
    </w:p>
    <w:p w:rsidR="00FB5975" w:rsidRPr="00FB5975" w:rsidRDefault="00FB5975" w:rsidP="00FB5975">
      <w:pPr>
        <w:jc w:val="center"/>
        <w:rPr>
          <w:rFonts w:eastAsiaTheme="minorHAnsi" w:cstheme="minorBidi"/>
          <w:b/>
          <w:smallCaps/>
          <w:szCs w:val="24"/>
          <w:lang w:val="fr-CA" w:eastAsia="en-US"/>
        </w:rPr>
      </w:pPr>
      <w:r w:rsidRPr="00FB5975">
        <w:rPr>
          <w:rFonts w:eastAsiaTheme="minorHAnsi" w:cstheme="minorBidi"/>
          <w:b/>
          <w:smallCaps/>
          <w:szCs w:val="24"/>
          <w:lang w:val="fr-CA" w:eastAsia="en-US"/>
        </w:rPr>
        <w:t>Traduction française officielle</w:t>
      </w:r>
    </w:p>
    <w:p w:rsidR="00FB5975" w:rsidRPr="00FB5975" w:rsidRDefault="00FB5975" w:rsidP="00FB5975">
      <w:pPr>
        <w:rPr>
          <w:rFonts w:eastAsiaTheme="minorHAnsi" w:cstheme="minorBidi"/>
          <w:szCs w:val="24"/>
          <w:lang w:val="fr-CA" w:eastAsia="en-US"/>
        </w:rPr>
      </w:pPr>
    </w:p>
    <w:p w:rsidR="00FB5975" w:rsidRPr="00FB5975" w:rsidRDefault="00FB5975" w:rsidP="00FB5975">
      <w:pPr>
        <w:rPr>
          <w:rFonts w:eastAsiaTheme="minorHAnsi" w:cstheme="minorBidi"/>
          <w:szCs w:val="24"/>
          <w:lang w:val="fr-CA" w:eastAsia="en-US"/>
        </w:rPr>
      </w:pPr>
      <w:r w:rsidRPr="00FB5975">
        <w:rPr>
          <w:rFonts w:eastAsiaTheme="minorHAnsi" w:cstheme="minorBidi"/>
          <w:b/>
          <w:smallCaps/>
          <w:szCs w:val="24"/>
          <w:lang w:val="fr-CA" w:eastAsia="en-US"/>
        </w:rPr>
        <w:t>Coram :</w:t>
      </w:r>
      <w:r w:rsidRPr="00FB5975">
        <w:rPr>
          <w:rFonts w:eastAsiaTheme="minorHAnsi" w:cstheme="minorBidi"/>
          <w:szCs w:val="24"/>
          <w:lang w:val="fr-CA" w:eastAsia="en-US"/>
        </w:rPr>
        <w:t xml:space="preserve"> La juge en chef McLachlin et les juges Cromwell, Moldaver, Karakatsanis et Wagner</w:t>
      </w:r>
    </w:p>
    <w:p w:rsidR="00FB5975" w:rsidRPr="00FB5975" w:rsidRDefault="00FB5975" w:rsidP="00FB5975">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B5975" w:rsidRPr="00FB5975" w:rsidTr="00D63C38">
        <w:trPr>
          <w:cantSplit/>
        </w:trPr>
        <w:tc>
          <w:tcPr>
            <w:tcW w:w="3618" w:type="dxa"/>
          </w:tcPr>
          <w:p w:rsidR="00FB5975" w:rsidRPr="00FB5975" w:rsidRDefault="00FB5975" w:rsidP="00FB5975">
            <w:pPr>
              <w:rPr>
                <w:b/>
                <w:smallCaps/>
                <w:lang w:val="fr-CA"/>
              </w:rPr>
            </w:pPr>
            <w:r w:rsidRPr="00FB5975">
              <w:rPr>
                <w:b/>
                <w:smallCaps/>
                <w:lang w:val="fr-CA"/>
              </w:rPr>
              <w:t>Motifs de jugement :</w:t>
            </w:r>
          </w:p>
          <w:p w:rsidR="00FB5975" w:rsidRPr="00FB5975" w:rsidRDefault="00FB5975" w:rsidP="001C5802">
            <w:pPr>
              <w:rPr>
                <w:lang w:val="fr-CA"/>
              </w:rPr>
            </w:pPr>
            <w:r w:rsidRPr="00FB5975">
              <w:rPr>
                <w:lang w:val="fr-CA"/>
              </w:rPr>
              <w:t>(par. 1)</w:t>
            </w:r>
          </w:p>
        </w:tc>
        <w:tc>
          <w:tcPr>
            <w:tcW w:w="5958" w:type="dxa"/>
          </w:tcPr>
          <w:p w:rsidR="00FB5975" w:rsidRPr="00FB5975" w:rsidRDefault="00FB5975" w:rsidP="00FB5975">
            <w:pPr>
              <w:rPr>
                <w:lang w:val="fr-CA"/>
              </w:rPr>
            </w:pPr>
            <w:r w:rsidRPr="00FB5975">
              <w:rPr>
                <w:lang w:val="fr-CA"/>
              </w:rPr>
              <w:t>La juge en chef McLachlin (avec l’accord des juges Cromwell, Moldaver, Karakatsanis et Wagner)</w:t>
            </w:r>
          </w:p>
        </w:tc>
      </w:tr>
    </w:tbl>
    <w:p w:rsidR="00FB5975" w:rsidRPr="00FB5975" w:rsidRDefault="00727A97" w:rsidP="00FB5975">
      <w:pPr>
        <w:rPr>
          <w:rFonts w:eastAsiaTheme="minorHAnsi" w:cstheme="minorBidi"/>
          <w:szCs w:val="24"/>
          <w:lang w:val="fr-CA" w:eastAsia="en-US"/>
        </w:rPr>
      </w:pPr>
      <w:r w:rsidRPr="00727A97">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FB5975" w:rsidRDefault="00FB5975" w:rsidP="00FC6023">
      <w:pPr>
        <w:rPr>
          <w:rStyle w:val="SCCAppellantForRunningHeadChar"/>
          <w:smallCaps w:val="0"/>
          <w:lang w:val="fr-CA"/>
        </w:rPr>
      </w:pPr>
    </w:p>
    <w:p w:rsidR="00FC6023" w:rsidRDefault="00FC6023" w:rsidP="00FC6023">
      <w:pPr>
        <w:rPr>
          <w:rStyle w:val="SCCAppellantForRunningHeadChar"/>
          <w:smallCaps w:val="0"/>
          <w:lang w:val="fr-CA"/>
        </w:rPr>
      </w:pPr>
    </w:p>
    <w:p w:rsidR="004D7D95" w:rsidRPr="001E7C23" w:rsidRDefault="001E7C23" w:rsidP="004D7D95">
      <w:pPr>
        <w:spacing w:line="480" w:lineRule="auto"/>
        <w:jc w:val="both"/>
        <w:rPr>
          <w:smallCaps/>
          <w:lang w:val="fr-CA"/>
        </w:rPr>
      </w:pPr>
      <w:r w:rsidRPr="001E7C23">
        <w:rPr>
          <w:rStyle w:val="SCCAppellantForRunningHeadChar"/>
          <w:smallCaps w:val="0"/>
          <w:lang w:val="fr-CA"/>
        </w:rPr>
        <w:t xml:space="preserve">R. </w:t>
      </w:r>
      <w:r w:rsidRPr="001E7C23">
        <w:rPr>
          <w:rStyle w:val="SCCAppellantForRunningHeadChar"/>
          <w:i/>
          <w:smallCaps w:val="0"/>
          <w:lang w:val="fr-CA"/>
        </w:rPr>
        <w:t>c.</w:t>
      </w:r>
      <w:r w:rsidRPr="001E7C23">
        <w:rPr>
          <w:rStyle w:val="SCCAppellantForRunningHeadChar"/>
          <w:smallCaps w:val="0"/>
          <w:lang w:val="fr-CA"/>
        </w:rPr>
        <w:t xml:space="preserve"> Hogg</w:t>
      </w:r>
      <w:r>
        <w:rPr>
          <w:rStyle w:val="SCCAppellantForRunningHeadChar"/>
          <w:smallCaps w:val="0"/>
          <w:lang w:val="fr-CA"/>
        </w:rPr>
        <w:t>, 2014 CSC 18, [2014] 1 R.C.S. 344</w:t>
      </w:r>
    </w:p>
    <w:p w:rsidR="004D7D95" w:rsidRPr="006E1CDE" w:rsidRDefault="004D7D95" w:rsidP="004D7D95">
      <w:pPr>
        <w:jc w:val="both"/>
        <w:rPr>
          <w:lang w:val="fr-CA"/>
        </w:rPr>
      </w:pPr>
    </w:p>
    <w:p w:rsidR="004D7D95" w:rsidRPr="006E1CDE" w:rsidRDefault="004D7D95" w:rsidP="004D7D95">
      <w:pPr>
        <w:jc w:val="both"/>
        <w:rPr>
          <w:lang w:val="fr-CA"/>
        </w:rPr>
      </w:pPr>
    </w:p>
    <w:p w:rsidR="004D7D95" w:rsidRPr="006E1CDE" w:rsidRDefault="004D7D95" w:rsidP="004D7D95">
      <w:pPr>
        <w:jc w:val="both"/>
        <w:rPr>
          <w:lang w:val="fr-CA"/>
        </w:rPr>
      </w:pPr>
    </w:p>
    <w:p w:rsidR="00C64772" w:rsidRPr="006E1CDE" w:rsidRDefault="00BF0A29">
      <w:pPr>
        <w:pStyle w:val="SCCLsocLastPartyInRole"/>
        <w:rPr>
          <w:lang w:val="fr-CA"/>
        </w:rPr>
      </w:pPr>
      <w:r w:rsidRPr="006E1CDE">
        <w:rPr>
          <w:lang w:val="fr-CA"/>
        </w:rPr>
        <w:t>Sa Majesté la Reine</w:t>
      </w:r>
      <w:r w:rsidRPr="006E1CDE">
        <w:rPr>
          <w:rStyle w:val="SCCLsocPartyRole"/>
          <w:lang w:val="fr-CA"/>
        </w:rPr>
        <w:tab/>
        <w:t>Appelant</w:t>
      </w:r>
      <w:r w:rsidR="00DA615E">
        <w:rPr>
          <w:rStyle w:val="SCCLsocPartyRole"/>
          <w:lang w:val="fr-CA"/>
        </w:rPr>
        <w:t>e</w:t>
      </w:r>
    </w:p>
    <w:p w:rsidR="00C64772" w:rsidRPr="006E1CDE" w:rsidRDefault="00BF0A29">
      <w:pPr>
        <w:pStyle w:val="SCCLsocVersus"/>
        <w:rPr>
          <w:lang w:val="fr-CA"/>
        </w:rPr>
      </w:pPr>
      <w:r w:rsidRPr="006E1CDE">
        <w:rPr>
          <w:lang w:val="fr-CA"/>
        </w:rPr>
        <w:t>c.</w:t>
      </w:r>
    </w:p>
    <w:p w:rsidR="00C64772" w:rsidRPr="006E1CDE" w:rsidRDefault="00BF0A29">
      <w:pPr>
        <w:pStyle w:val="SCCLsocLastPartyInRole"/>
        <w:rPr>
          <w:lang w:val="fr-CA"/>
        </w:rPr>
      </w:pPr>
      <w:r w:rsidRPr="006E1CDE">
        <w:rPr>
          <w:lang w:val="fr-CA"/>
        </w:rPr>
        <w:t>Jeffery Lea Hogg</w:t>
      </w:r>
      <w:r w:rsidRPr="006E1CDE">
        <w:rPr>
          <w:rStyle w:val="SCCLsocPartyRole"/>
          <w:lang w:val="fr-CA"/>
        </w:rPr>
        <w:tab/>
        <w:t>Intimé</w:t>
      </w:r>
    </w:p>
    <w:p w:rsidR="004D7D95" w:rsidRPr="006E1CDE" w:rsidRDefault="004D7D95" w:rsidP="004D7D95">
      <w:pPr>
        <w:jc w:val="both"/>
        <w:rPr>
          <w:lang w:val="fr-CA"/>
        </w:rPr>
      </w:pPr>
    </w:p>
    <w:p w:rsidR="004D7D95" w:rsidRPr="006E1CDE" w:rsidRDefault="004D7D95" w:rsidP="004D7D95">
      <w:pPr>
        <w:jc w:val="both"/>
        <w:rPr>
          <w:b/>
          <w:lang w:val="fr-CA"/>
        </w:rPr>
      </w:pPr>
      <w:r w:rsidRPr="00BB4C92">
        <w:rPr>
          <w:b/>
          <w:lang w:val="fr-CA"/>
        </w:rPr>
        <w:t>Répertorié : </w:t>
      </w:r>
      <w:r w:rsidRPr="006E1CDE">
        <w:rPr>
          <w:rStyle w:val="SCCAppellantForIndexChar"/>
          <w:lang w:val="fr-CA"/>
        </w:rPr>
        <w:t>R.</w:t>
      </w:r>
      <w:r w:rsidRPr="00BB4C92">
        <w:rPr>
          <w:b/>
          <w:lang w:val="fr-CA"/>
        </w:rPr>
        <w:t xml:space="preserve"> </w:t>
      </w:r>
      <w:r w:rsidRPr="00BB4C92">
        <w:rPr>
          <w:b/>
          <w:i/>
          <w:lang w:val="fr-CA"/>
        </w:rPr>
        <w:t>c.</w:t>
      </w:r>
      <w:r w:rsidRPr="00BB4C92">
        <w:rPr>
          <w:b/>
          <w:lang w:val="fr-CA"/>
        </w:rPr>
        <w:t xml:space="preserve"> </w:t>
      </w:r>
      <w:r w:rsidRPr="006E1CDE">
        <w:rPr>
          <w:rStyle w:val="SCCRespondentForIndexChar"/>
          <w:lang w:val="fr-CA"/>
        </w:rPr>
        <w:t>Hogg</w:t>
      </w:r>
    </w:p>
    <w:p w:rsidR="004D7D95" w:rsidRPr="006E1CDE" w:rsidRDefault="004D7D95" w:rsidP="004D7D95">
      <w:pPr>
        <w:jc w:val="both"/>
        <w:rPr>
          <w:lang w:val="fr-CA"/>
        </w:rPr>
      </w:pPr>
    </w:p>
    <w:p w:rsidR="004D7D95" w:rsidRPr="006E1CDE" w:rsidRDefault="004D7D95" w:rsidP="004D7D95">
      <w:pPr>
        <w:jc w:val="both"/>
        <w:rPr>
          <w:lang w:val="fr-CA"/>
        </w:rPr>
      </w:pPr>
    </w:p>
    <w:p w:rsidR="004D7D95" w:rsidRPr="006E1CDE" w:rsidRDefault="004D7D95" w:rsidP="004D7D95">
      <w:pPr>
        <w:jc w:val="both"/>
        <w:rPr>
          <w:lang w:val="fr-CA"/>
        </w:rPr>
      </w:pPr>
    </w:p>
    <w:p w:rsidR="004D7D95" w:rsidRPr="006E1CDE" w:rsidRDefault="00F62639" w:rsidP="004D7D95">
      <w:pPr>
        <w:pStyle w:val="SCCSystemYear"/>
        <w:jc w:val="both"/>
        <w:rPr>
          <w:lang w:val="fr-CA"/>
        </w:rPr>
      </w:pPr>
      <w:r w:rsidRPr="006E1CDE">
        <w:rPr>
          <w:lang w:val="fr-CA"/>
        </w:rPr>
        <w:t>2014</w:t>
      </w:r>
      <w:r w:rsidR="004D7D95" w:rsidRPr="006E1CDE">
        <w:rPr>
          <w:lang w:val="fr-CA"/>
        </w:rPr>
        <w:t xml:space="preserve"> CSC </w:t>
      </w:r>
      <w:r w:rsidR="008937F6">
        <w:rPr>
          <w:lang w:val="fr-CA"/>
        </w:rPr>
        <w:t>18</w:t>
      </w:r>
    </w:p>
    <w:p w:rsidR="004D7D95" w:rsidRPr="006E1CDE" w:rsidRDefault="004D7D95" w:rsidP="004D7D95">
      <w:pPr>
        <w:jc w:val="both"/>
        <w:rPr>
          <w:lang w:val="fr-CA"/>
        </w:rPr>
      </w:pPr>
    </w:p>
    <w:p w:rsidR="004D7D95" w:rsidRPr="006E1CDE" w:rsidRDefault="004D7D95" w:rsidP="004D7D95">
      <w:pPr>
        <w:jc w:val="both"/>
        <w:rPr>
          <w:lang w:val="fr-CA"/>
        </w:rPr>
      </w:pPr>
    </w:p>
    <w:p w:rsidR="004D7D95" w:rsidRPr="006E1CDE" w:rsidRDefault="004D7D95" w:rsidP="004D7D95">
      <w:pPr>
        <w:jc w:val="both"/>
        <w:rPr>
          <w:lang w:val="fr-CA"/>
        </w:rPr>
      </w:pPr>
    </w:p>
    <w:p w:rsidR="004D7D95" w:rsidRPr="006E1CDE" w:rsidRDefault="004D7D95" w:rsidP="004D7D95">
      <w:pPr>
        <w:jc w:val="both"/>
        <w:rPr>
          <w:lang w:val="fr-CA"/>
        </w:rPr>
      </w:pPr>
      <w:r w:rsidRPr="006E1CDE">
        <w:rPr>
          <w:lang w:val="fr-CA"/>
        </w:rPr>
        <w:t>N</w:t>
      </w:r>
      <w:r w:rsidRPr="006E1CDE">
        <w:rPr>
          <w:vertAlign w:val="superscript"/>
          <w:lang w:val="fr-CA"/>
        </w:rPr>
        <w:t>o</w:t>
      </w:r>
      <w:r w:rsidRPr="006E1CDE">
        <w:rPr>
          <w:lang w:val="fr-CA"/>
        </w:rPr>
        <w:t xml:space="preserve"> du greffe : 35504.</w:t>
      </w:r>
    </w:p>
    <w:p w:rsidR="004D7D95" w:rsidRPr="006E1CDE" w:rsidRDefault="004D7D95" w:rsidP="004D7D95">
      <w:pPr>
        <w:jc w:val="both"/>
        <w:rPr>
          <w:lang w:val="fr-CA"/>
        </w:rPr>
      </w:pPr>
    </w:p>
    <w:p w:rsidR="004D7D95" w:rsidRPr="006E1CDE" w:rsidRDefault="004D7D95" w:rsidP="004D7D95">
      <w:pPr>
        <w:jc w:val="both"/>
        <w:rPr>
          <w:lang w:val="fr-CA"/>
        </w:rPr>
      </w:pPr>
    </w:p>
    <w:p w:rsidR="004D7D95" w:rsidRPr="006E1CDE" w:rsidRDefault="004D7D95" w:rsidP="004D7D95">
      <w:pPr>
        <w:jc w:val="both"/>
        <w:rPr>
          <w:lang w:val="fr-CA"/>
        </w:rPr>
      </w:pPr>
    </w:p>
    <w:p w:rsidR="004D7D95" w:rsidRPr="006E1CDE" w:rsidRDefault="00F62639" w:rsidP="004D7D95">
      <w:pPr>
        <w:jc w:val="both"/>
        <w:rPr>
          <w:lang w:val="fr-CA"/>
        </w:rPr>
      </w:pPr>
      <w:r w:rsidRPr="006E1CDE">
        <w:rPr>
          <w:lang w:val="fr-CA"/>
        </w:rPr>
        <w:t>2014 : 21 février</w:t>
      </w:r>
      <w:r w:rsidR="004D7D95" w:rsidRPr="006E1CDE">
        <w:rPr>
          <w:lang w:val="fr-CA"/>
        </w:rPr>
        <w:t>.</w:t>
      </w:r>
    </w:p>
    <w:p w:rsidR="004D7D95" w:rsidRPr="006E1CDE" w:rsidRDefault="004D7D95" w:rsidP="004D7D95">
      <w:pPr>
        <w:jc w:val="both"/>
        <w:rPr>
          <w:lang w:val="fr-CA"/>
        </w:rPr>
      </w:pPr>
    </w:p>
    <w:p w:rsidR="004D7D95" w:rsidRPr="006E1CDE" w:rsidRDefault="004D7D95" w:rsidP="004D7D95">
      <w:pPr>
        <w:jc w:val="both"/>
        <w:rPr>
          <w:lang w:val="fr-CA"/>
        </w:rPr>
      </w:pPr>
    </w:p>
    <w:p w:rsidR="004D7D95" w:rsidRPr="006E1CDE" w:rsidRDefault="004D7D95" w:rsidP="004D7D95">
      <w:pPr>
        <w:jc w:val="both"/>
        <w:rPr>
          <w:lang w:val="fr-CA"/>
        </w:rPr>
      </w:pPr>
    </w:p>
    <w:p w:rsidR="004D7D95" w:rsidRPr="00BF0A29" w:rsidRDefault="004D7D95" w:rsidP="004D7D95">
      <w:pPr>
        <w:jc w:val="both"/>
        <w:rPr>
          <w:lang w:val="fr-CA"/>
        </w:rPr>
      </w:pPr>
      <w:r w:rsidRPr="00BF0A29">
        <w:rPr>
          <w:lang w:val="fr-CA"/>
        </w:rPr>
        <w:t>Présents : La juge en chef McLachlin et les juges Cromwell, Moldaver, Karakatsanis et Wagner.</w:t>
      </w:r>
    </w:p>
    <w:p w:rsidR="004D7D95" w:rsidRPr="00BF0A29" w:rsidRDefault="004D7D95" w:rsidP="004D7D95">
      <w:pPr>
        <w:jc w:val="both"/>
        <w:rPr>
          <w:lang w:val="fr-CA"/>
        </w:rPr>
      </w:pPr>
    </w:p>
    <w:p w:rsidR="00EE0830" w:rsidRPr="00BF0A29" w:rsidRDefault="00EE0830" w:rsidP="004D7D95">
      <w:pPr>
        <w:jc w:val="both"/>
        <w:rPr>
          <w:lang w:val="fr-CA"/>
        </w:rPr>
      </w:pPr>
    </w:p>
    <w:p w:rsidR="00EE0830" w:rsidRPr="00BF0A29" w:rsidRDefault="00EE0830" w:rsidP="004D7D95">
      <w:pPr>
        <w:jc w:val="both"/>
        <w:rPr>
          <w:lang w:val="fr-CA"/>
        </w:rPr>
      </w:pPr>
    </w:p>
    <w:p w:rsidR="00C64772" w:rsidRPr="00BF0A29" w:rsidRDefault="00C64772">
      <w:pPr>
        <w:rPr>
          <w:lang w:val="fr-CA"/>
        </w:rPr>
      </w:pPr>
    </w:p>
    <w:p w:rsidR="004D7D95" w:rsidRPr="003B2834" w:rsidRDefault="004D7D95" w:rsidP="000F7993">
      <w:pPr>
        <w:jc w:val="both"/>
        <w:rPr>
          <w:smallCaps/>
          <w:lang w:val="fr-CA"/>
        </w:rPr>
      </w:pPr>
      <w:r w:rsidRPr="003B2834">
        <w:rPr>
          <w:smallCaps/>
          <w:lang w:val="fr-CA"/>
        </w:rPr>
        <w:t xml:space="preserve">en appel de la </w:t>
      </w:r>
      <w:r w:rsidR="003B2834" w:rsidRPr="003B2834">
        <w:rPr>
          <w:smallCaps/>
          <w:lang w:val="fr-CA"/>
        </w:rPr>
        <w:t>cour d</w:t>
      </w:r>
      <w:r w:rsidR="00D953BD">
        <w:rPr>
          <w:smallCaps/>
          <w:lang w:val="fr-CA"/>
        </w:rPr>
        <w:t>’</w:t>
      </w:r>
      <w:r w:rsidRPr="003B2834">
        <w:rPr>
          <w:smallCaps/>
          <w:lang w:val="fr-CA"/>
        </w:rPr>
        <w:t>appel de l</w:t>
      </w:r>
      <w:r w:rsidR="00D953BD">
        <w:rPr>
          <w:smallCaps/>
          <w:lang w:val="fr-CA"/>
        </w:rPr>
        <w:t>’</w:t>
      </w:r>
      <w:r w:rsidRPr="003B2834">
        <w:rPr>
          <w:smallCaps/>
          <w:lang w:val="fr-CA"/>
        </w:rPr>
        <w:t>île-du-prince-édouard</w:t>
      </w:r>
    </w:p>
    <w:p w:rsidR="004D7D95" w:rsidRPr="00BB4C92" w:rsidRDefault="004D7D95" w:rsidP="004D7D95">
      <w:pPr>
        <w:pStyle w:val="SCCNormalDoubleSpacing"/>
        <w:rPr>
          <w:lang w:val="fr-CA"/>
        </w:rPr>
      </w:pPr>
    </w:p>
    <w:p w:rsidR="004D7D95" w:rsidRDefault="004D7D95" w:rsidP="004D7D95">
      <w:pPr>
        <w:pStyle w:val="SCCNormalDoubleSpacing"/>
        <w:rPr>
          <w:i/>
          <w:szCs w:val="24"/>
          <w:lang w:val="fr-CA"/>
        </w:rPr>
      </w:pPr>
      <w:r w:rsidRPr="00BB4C92">
        <w:rPr>
          <w:lang w:val="fr-CA"/>
        </w:rPr>
        <w:tab/>
      </w:r>
      <w:r w:rsidR="00587D08" w:rsidRPr="00587D08">
        <w:rPr>
          <w:i/>
          <w:szCs w:val="24"/>
          <w:lang w:val="fr-CA"/>
        </w:rPr>
        <w:t xml:space="preserve">Droit criminel — Preuve — </w:t>
      </w:r>
      <w:r w:rsidR="00587D08">
        <w:rPr>
          <w:i/>
          <w:szCs w:val="24"/>
          <w:lang w:val="fr-CA"/>
        </w:rPr>
        <w:t>Appréciation</w:t>
      </w:r>
      <w:r w:rsidR="00587D08" w:rsidRPr="00587D08">
        <w:rPr>
          <w:i/>
          <w:szCs w:val="24"/>
          <w:lang w:val="fr-CA"/>
        </w:rPr>
        <w:t xml:space="preserve"> — Fardeau de preuve — Preuve produite au procès constituée presque exclusivement des témoignages diamétralement opposés de l’accusé et de la plaignante — Accusé jugé non crédible par le juge du procès qui a rejeté l’ensemble de son témoignage — Accusé déclaré coupable — Erreur commise par les juges majoritaires de la Cour d’appel lorsqu’ils ont conclu que la déclaration de culpabilité avait été fondée sur une application erronée des règles relatives au fardeau de preuve — Déclaration de culpabilité rétablie.</w:t>
      </w:r>
    </w:p>
    <w:p w:rsidR="00587D08" w:rsidRPr="00587D08" w:rsidRDefault="00587D08" w:rsidP="004D7D95">
      <w:pPr>
        <w:pStyle w:val="SCCNormalDoubleSpacing"/>
        <w:rPr>
          <w:i/>
          <w:lang w:val="fr-CA"/>
        </w:rPr>
      </w:pPr>
    </w:p>
    <w:p w:rsidR="004D7D95" w:rsidRPr="004D7D95" w:rsidRDefault="004D7D95" w:rsidP="004D7D95">
      <w:pPr>
        <w:pStyle w:val="SCCNormalDoubleSpacing"/>
        <w:spacing w:line="240" w:lineRule="auto"/>
        <w:ind w:left="540" w:hanging="540"/>
        <w:rPr>
          <w:lang w:val="fr-CA"/>
        </w:rPr>
      </w:pPr>
    </w:p>
    <w:p w:rsidR="004D7D95" w:rsidRPr="00DA615E" w:rsidRDefault="003B2834" w:rsidP="004D7D95">
      <w:pPr>
        <w:pStyle w:val="SCCNormalDoubleSpacing"/>
        <w:rPr>
          <w:lang w:val="fr-CA"/>
        </w:rPr>
      </w:pPr>
      <w:r>
        <w:rPr>
          <w:lang w:val="fr-CA"/>
        </w:rPr>
        <w:tab/>
      </w:r>
      <w:r w:rsidR="004D7D95" w:rsidRPr="004D7D95">
        <w:rPr>
          <w:lang w:val="fr-CA"/>
        </w:rPr>
        <w:t xml:space="preserve">POURVOI contre un arrêt de la </w:t>
      </w:r>
      <w:r w:rsidR="00714716">
        <w:rPr>
          <w:lang w:val="fr-CA"/>
        </w:rPr>
        <w:t>Cour d</w:t>
      </w:r>
      <w:r w:rsidR="00D953BD">
        <w:rPr>
          <w:lang w:val="fr-CA"/>
        </w:rPr>
        <w:t>’</w:t>
      </w:r>
      <w:r w:rsidR="004D7D95" w:rsidRPr="006E1CDE">
        <w:rPr>
          <w:lang w:val="fr-CA"/>
        </w:rPr>
        <w:t>appel de l</w:t>
      </w:r>
      <w:r w:rsidR="00D953BD">
        <w:rPr>
          <w:lang w:val="fr-CA"/>
        </w:rPr>
        <w:t>’</w:t>
      </w:r>
      <w:r w:rsidR="004D7D95" w:rsidRPr="006E1CDE">
        <w:rPr>
          <w:lang w:val="fr-CA"/>
        </w:rPr>
        <w:t>Île-du-Prince-Édouard</w:t>
      </w:r>
      <w:r w:rsidR="00DA615E">
        <w:rPr>
          <w:lang w:val="fr-CA"/>
        </w:rPr>
        <w:t xml:space="preserve"> (le juge en chef Jenkins </w:t>
      </w:r>
      <w:r w:rsidR="00CC2C8E">
        <w:rPr>
          <w:lang w:val="fr-CA"/>
        </w:rPr>
        <w:t>et</w:t>
      </w:r>
      <w:r w:rsidR="00DA615E">
        <w:rPr>
          <w:lang w:val="fr-CA"/>
        </w:rPr>
        <w:t xml:space="preserve"> les juges McQuaid et Murphy), </w:t>
      </w:r>
      <w:r w:rsidR="00DA615E" w:rsidRPr="00DA615E">
        <w:rPr>
          <w:lang w:val="fr-CA"/>
        </w:rPr>
        <w:t>2013 PECA 11, 339 N</w:t>
      </w:r>
      <w:r w:rsidR="000B3C51">
        <w:rPr>
          <w:lang w:val="fr-CA"/>
        </w:rPr>
        <w:t>fld.</w:t>
      </w:r>
      <w:r w:rsidR="00DA615E" w:rsidRPr="00DA615E">
        <w:rPr>
          <w:lang w:val="fr-CA"/>
        </w:rPr>
        <w:t xml:space="preserve"> &amp; P.E.I.R. 127, 300 C.C.C. (3d) 435, 2013 CarswellPEI 30, [2013] P.E.I.J. No. 21</w:t>
      </w:r>
      <w:r w:rsidR="00BA0AEA">
        <w:rPr>
          <w:lang w:val="fr-CA"/>
        </w:rPr>
        <w:t xml:space="preserve"> (QL)</w:t>
      </w:r>
      <w:r w:rsidR="00DA615E">
        <w:rPr>
          <w:lang w:val="fr-CA"/>
        </w:rPr>
        <w:t xml:space="preserve">, qui a annulé la déclaration </w:t>
      </w:r>
      <w:r w:rsidR="000B3C51" w:rsidRPr="000B3C51">
        <w:rPr>
          <w:lang w:val="fr-CA"/>
        </w:rPr>
        <w:t xml:space="preserve">de culpabilité </w:t>
      </w:r>
      <w:r w:rsidR="00DA615E">
        <w:rPr>
          <w:lang w:val="fr-CA"/>
        </w:rPr>
        <w:t>d</w:t>
      </w:r>
      <w:r w:rsidR="00D953BD">
        <w:rPr>
          <w:lang w:val="fr-CA"/>
        </w:rPr>
        <w:t>’</w:t>
      </w:r>
      <w:r w:rsidR="00DA615E">
        <w:rPr>
          <w:lang w:val="fr-CA"/>
        </w:rPr>
        <w:t>agression sexuelle inscrite par le juge Taylor</w:t>
      </w:r>
      <w:r w:rsidR="00DA615E" w:rsidRPr="00DA615E">
        <w:rPr>
          <w:lang w:val="fr-CA"/>
        </w:rPr>
        <w:t>, 2012 PESC 30, 2012 CarswellPEI 51, [2012] P.E.I.J. No. 57</w:t>
      </w:r>
      <w:r w:rsidR="00681388">
        <w:rPr>
          <w:lang w:val="fr-CA"/>
        </w:rPr>
        <w:t xml:space="preserve"> (QL)</w:t>
      </w:r>
      <w:r w:rsidR="00DA615E" w:rsidRPr="00DA615E">
        <w:rPr>
          <w:lang w:val="fr-CA"/>
        </w:rPr>
        <w:t>,</w:t>
      </w:r>
      <w:r w:rsidR="00DA615E">
        <w:rPr>
          <w:lang w:val="fr-CA"/>
        </w:rPr>
        <w:t xml:space="preserve"> et ordonné la tenue d</w:t>
      </w:r>
      <w:r w:rsidR="00D953BD">
        <w:rPr>
          <w:lang w:val="fr-CA"/>
        </w:rPr>
        <w:t>’</w:t>
      </w:r>
      <w:r w:rsidR="00DA615E">
        <w:rPr>
          <w:lang w:val="fr-CA"/>
        </w:rPr>
        <w:t>un nouveau procès. Pourvoi accueilli.</w:t>
      </w:r>
    </w:p>
    <w:p w:rsidR="00714716" w:rsidRPr="004D7D95" w:rsidRDefault="00714716" w:rsidP="004D7D95">
      <w:pPr>
        <w:pStyle w:val="SCCNormalDoubleSpacing"/>
        <w:rPr>
          <w:lang w:val="fr-CA"/>
        </w:rPr>
      </w:pPr>
    </w:p>
    <w:p w:rsidR="00C64772" w:rsidRPr="006E1CDE" w:rsidRDefault="00BF0A29">
      <w:pPr>
        <w:pStyle w:val="SCCNormalDoubleSpacing"/>
        <w:rPr>
          <w:lang w:val="fr-CA"/>
        </w:rPr>
      </w:pPr>
      <w:r w:rsidRPr="006E1CDE">
        <w:rPr>
          <w:rStyle w:val="SCCCounselNameChar"/>
          <w:lang w:val="fr-CA"/>
        </w:rPr>
        <w:lastRenderedPageBreak/>
        <w:tab/>
        <w:t>Gerald K. Quinn</w:t>
      </w:r>
      <w:r w:rsidRPr="00DA615E">
        <w:rPr>
          <w:rStyle w:val="SCCCounselNameChar"/>
          <w:i w:val="0"/>
          <w:lang w:val="fr-CA"/>
        </w:rPr>
        <w:t>,</w:t>
      </w:r>
      <w:r w:rsidRPr="006E1CDE">
        <w:rPr>
          <w:rStyle w:val="SCCCounselNameChar"/>
          <w:lang w:val="fr-CA"/>
        </w:rPr>
        <w:t xml:space="preserve"> </w:t>
      </w:r>
      <w:r w:rsidR="00DA615E">
        <w:rPr>
          <w:rStyle w:val="SCCCounselNameChar"/>
          <w:lang w:val="fr-CA"/>
        </w:rPr>
        <w:t>c.r.</w:t>
      </w:r>
      <w:r w:rsidR="00DA615E" w:rsidRPr="00DA615E">
        <w:rPr>
          <w:rStyle w:val="SCCCounselNameChar"/>
          <w:i w:val="0"/>
          <w:lang w:val="fr-CA"/>
        </w:rPr>
        <w:t xml:space="preserve">, </w:t>
      </w:r>
      <w:r w:rsidRPr="006E1CDE">
        <w:rPr>
          <w:rStyle w:val="SCCCounselSeparatorChar"/>
          <w:lang w:val="fr-CA"/>
        </w:rPr>
        <w:t xml:space="preserve">et </w:t>
      </w:r>
      <w:r w:rsidR="00754764">
        <w:rPr>
          <w:rStyle w:val="SCCCounselNameChar"/>
          <w:lang w:val="fr-CA"/>
        </w:rPr>
        <w:t>Henry S. Brown</w:t>
      </w:r>
      <w:r w:rsidRPr="00DA615E">
        <w:rPr>
          <w:rStyle w:val="SCCCounselNameChar"/>
          <w:i w:val="0"/>
          <w:lang w:val="fr-CA"/>
        </w:rPr>
        <w:t xml:space="preserve">, </w:t>
      </w:r>
      <w:r w:rsidR="00DA615E" w:rsidRPr="00DA615E">
        <w:rPr>
          <w:rStyle w:val="SCCCounselNameChar"/>
          <w:lang w:val="fr-CA"/>
        </w:rPr>
        <w:t>c.</w:t>
      </w:r>
      <w:r w:rsidR="00DA615E">
        <w:rPr>
          <w:rStyle w:val="SCCCounselNameChar"/>
          <w:lang w:val="fr-CA"/>
        </w:rPr>
        <w:t>r.</w:t>
      </w:r>
      <w:r w:rsidR="00DA615E" w:rsidRPr="00DA615E">
        <w:rPr>
          <w:rStyle w:val="SCCCounselNameChar"/>
          <w:i w:val="0"/>
          <w:lang w:val="fr-CA"/>
        </w:rPr>
        <w:t>,</w:t>
      </w:r>
      <w:r w:rsidR="00DA615E">
        <w:rPr>
          <w:rStyle w:val="SCCCounselPartyRoleChar"/>
          <w:lang w:val="fr-CA"/>
        </w:rPr>
        <w:t xml:space="preserve"> pour l</w:t>
      </w:r>
      <w:r w:rsidR="00D953BD">
        <w:rPr>
          <w:rStyle w:val="SCCCounselPartyRoleChar"/>
          <w:lang w:val="fr-CA"/>
        </w:rPr>
        <w:t>’</w:t>
      </w:r>
      <w:r w:rsidRPr="006E1CDE">
        <w:rPr>
          <w:rStyle w:val="SCCCounselPartyRoleChar"/>
          <w:lang w:val="fr-CA"/>
        </w:rPr>
        <w:t>appelant</w:t>
      </w:r>
      <w:r w:rsidR="00DA615E">
        <w:rPr>
          <w:rStyle w:val="SCCCounselPartyRoleChar"/>
          <w:lang w:val="fr-CA"/>
        </w:rPr>
        <w:t>e.</w:t>
      </w:r>
    </w:p>
    <w:p w:rsidR="00C64772" w:rsidRPr="006E1CDE" w:rsidRDefault="00C64772">
      <w:pPr>
        <w:pStyle w:val="SCCNormalDoubleSpacing"/>
        <w:rPr>
          <w:lang w:val="fr-CA"/>
        </w:rPr>
      </w:pPr>
    </w:p>
    <w:p w:rsidR="00C64772" w:rsidRPr="006E1CDE" w:rsidRDefault="00BF0A29">
      <w:pPr>
        <w:pStyle w:val="SCCNormalDoubleSpacing"/>
        <w:rPr>
          <w:lang w:val="fr-CA"/>
        </w:rPr>
      </w:pPr>
      <w:r w:rsidRPr="006E1CDE">
        <w:rPr>
          <w:rStyle w:val="SCCCounselNameChar"/>
          <w:lang w:val="fr-CA"/>
        </w:rPr>
        <w:tab/>
        <w:t>Mitchell T. MacLeod</w:t>
      </w:r>
      <w:r w:rsidRPr="006E1CDE">
        <w:rPr>
          <w:rStyle w:val="SCCCounselPartyRoleChar"/>
          <w:lang w:val="fr-CA"/>
        </w:rPr>
        <w:t xml:space="preserve"> </w:t>
      </w:r>
      <w:r w:rsidR="00DA615E">
        <w:rPr>
          <w:rStyle w:val="SCCCounselPartyRoleChar"/>
          <w:lang w:val="fr-CA"/>
        </w:rPr>
        <w:t xml:space="preserve">et </w:t>
      </w:r>
      <w:r w:rsidR="00DA615E" w:rsidRPr="00DA615E">
        <w:rPr>
          <w:rStyle w:val="SCCCounselPartyRoleChar"/>
          <w:i/>
          <w:lang w:val="fr-CA"/>
        </w:rPr>
        <w:t>Jonathan Melo</w:t>
      </w:r>
      <w:r w:rsidR="00DA615E">
        <w:rPr>
          <w:rStyle w:val="SCCCounselPartyRoleChar"/>
          <w:lang w:val="fr-CA"/>
        </w:rPr>
        <w:t xml:space="preserve">, </w:t>
      </w:r>
      <w:r w:rsidRPr="006E1CDE">
        <w:rPr>
          <w:rStyle w:val="SCCCounselPartyRoleChar"/>
          <w:lang w:val="fr-CA"/>
        </w:rPr>
        <w:t>pour l</w:t>
      </w:r>
      <w:r w:rsidR="00D953BD">
        <w:rPr>
          <w:rStyle w:val="SCCCounselPartyRoleChar"/>
          <w:lang w:val="fr-CA"/>
        </w:rPr>
        <w:t>’</w:t>
      </w:r>
      <w:r w:rsidRPr="006E1CDE">
        <w:rPr>
          <w:rStyle w:val="SCCCounselPartyRoleChar"/>
          <w:lang w:val="fr-CA"/>
        </w:rPr>
        <w:t>intimé</w:t>
      </w:r>
      <w:r w:rsidR="00DA615E">
        <w:rPr>
          <w:rStyle w:val="SCCCounselPartyRoleChar"/>
          <w:lang w:val="fr-CA"/>
        </w:rPr>
        <w:t>.</w:t>
      </w:r>
    </w:p>
    <w:p w:rsidR="00C64772" w:rsidRDefault="00C64772">
      <w:pPr>
        <w:pStyle w:val="SCCNormalDoubleSpacing"/>
        <w:rPr>
          <w:lang w:val="fr-CA"/>
        </w:rPr>
      </w:pPr>
    </w:p>
    <w:p w:rsidR="00F9262F" w:rsidRDefault="00F9262F" w:rsidP="00F9262F">
      <w:pPr>
        <w:pStyle w:val="SCCNormalDoubleSpacing"/>
        <w:rPr>
          <w:lang w:val="fr-CA"/>
        </w:rPr>
      </w:pPr>
      <w:r>
        <w:rPr>
          <w:lang w:val="fr-CA"/>
        </w:rPr>
        <w:tab/>
      </w:r>
      <w:r w:rsidRPr="00F72D55">
        <w:rPr>
          <w:lang w:val="fr-CA"/>
        </w:rPr>
        <w:t>Version française du jugement rendu oralement par</w:t>
      </w:r>
    </w:p>
    <w:p w:rsidR="002372B5" w:rsidRDefault="002372B5" w:rsidP="002372B5">
      <w:pPr>
        <w:pStyle w:val="ParaNoNdepar-AltN"/>
        <w:rPr>
          <w:lang w:val="fr-CA"/>
        </w:rPr>
      </w:pPr>
      <w:r>
        <w:rPr>
          <w:smallCaps/>
          <w:lang w:val="fr-CA"/>
        </w:rPr>
        <w:t xml:space="preserve">La Juge en </w:t>
      </w:r>
      <w:r w:rsidR="00F47663">
        <w:rPr>
          <w:smallCaps/>
          <w:lang w:val="fr-CA"/>
        </w:rPr>
        <w:t>c</w:t>
      </w:r>
      <w:r>
        <w:rPr>
          <w:smallCaps/>
          <w:lang w:val="fr-CA"/>
        </w:rPr>
        <w:t xml:space="preserve">hef — </w:t>
      </w:r>
      <w:r>
        <w:rPr>
          <w:lang w:val="fr-CA"/>
        </w:rPr>
        <w:t>Nous souscrivons à la conclusion tirée par le juge McQuaid, dissident à la Cour d</w:t>
      </w:r>
      <w:r w:rsidR="00D953BD">
        <w:rPr>
          <w:lang w:val="fr-CA"/>
        </w:rPr>
        <w:t>’</w:t>
      </w:r>
      <w:r>
        <w:rPr>
          <w:lang w:val="fr-CA"/>
        </w:rPr>
        <w:t>appel, portant que le juge du procès n</w:t>
      </w:r>
      <w:r w:rsidR="00D953BD">
        <w:rPr>
          <w:lang w:val="fr-CA"/>
        </w:rPr>
        <w:t>’</w:t>
      </w:r>
      <w:r>
        <w:rPr>
          <w:lang w:val="fr-CA"/>
        </w:rPr>
        <w:t>a pas commis d</w:t>
      </w:r>
      <w:r w:rsidR="00D953BD">
        <w:rPr>
          <w:lang w:val="fr-CA"/>
        </w:rPr>
        <w:t>’</w:t>
      </w:r>
      <w:r>
        <w:rPr>
          <w:lang w:val="fr-CA"/>
        </w:rPr>
        <w:t>erreur en appliquant le fardeau de la preuve et qu</w:t>
      </w:r>
      <w:r w:rsidR="00D953BD">
        <w:rPr>
          <w:lang w:val="fr-CA"/>
        </w:rPr>
        <w:t>’</w:t>
      </w:r>
      <w:r>
        <w:rPr>
          <w:lang w:val="fr-CA"/>
        </w:rPr>
        <w:t>il n</w:t>
      </w:r>
      <w:r w:rsidR="00D953BD">
        <w:rPr>
          <w:lang w:val="fr-CA"/>
        </w:rPr>
        <w:t>’</w:t>
      </w:r>
      <w:r>
        <w:rPr>
          <w:lang w:val="fr-CA"/>
        </w:rPr>
        <w:t>y a donc pas matière à intervention en appel.  Le pourvoi est accueilli et la déclaration de culpabilité est rétablie.</w:t>
      </w:r>
    </w:p>
    <w:p w:rsidR="004D7D95" w:rsidRPr="00D953BD" w:rsidRDefault="00BF0A29" w:rsidP="00D953BD">
      <w:pPr>
        <w:pStyle w:val="SCCLawFirm"/>
        <w:rPr>
          <w:lang w:val="fr-CA"/>
        </w:rPr>
      </w:pPr>
      <w:r w:rsidRPr="006E1CDE">
        <w:rPr>
          <w:lang w:val="fr-CA"/>
        </w:rPr>
        <w:tab/>
      </w:r>
      <w:r w:rsidR="00D953BD">
        <w:rPr>
          <w:lang w:val="fr-CA"/>
        </w:rPr>
        <w:t>Jugement en conséquence.</w:t>
      </w:r>
    </w:p>
    <w:p w:rsidR="004D7D95" w:rsidRPr="00D953BD" w:rsidRDefault="004D7D95" w:rsidP="004D7D95">
      <w:pPr>
        <w:pStyle w:val="SCCNormalDoubleSpacing"/>
        <w:rPr>
          <w:lang w:val="fr-CA"/>
        </w:rPr>
      </w:pPr>
    </w:p>
    <w:p w:rsidR="00C64772" w:rsidRPr="00D953BD" w:rsidRDefault="00BF0A29">
      <w:pPr>
        <w:pStyle w:val="SCCLawFirm"/>
        <w:rPr>
          <w:lang w:val="fr-CA"/>
        </w:rPr>
      </w:pPr>
      <w:r w:rsidRPr="00D953BD">
        <w:rPr>
          <w:lang w:val="fr-CA"/>
        </w:rPr>
        <w:tab/>
        <w:t>Procureur</w:t>
      </w:r>
      <w:r w:rsidR="00D953BD" w:rsidRPr="00D953BD">
        <w:rPr>
          <w:lang w:val="fr-CA"/>
        </w:rPr>
        <w:t xml:space="preserve"> de l</w:t>
      </w:r>
      <w:r w:rsidR="00D953BD">
        <w:rPr>
          <w:lang w:val="fr-CA"/>
        </w:rPr>
        <w:t>’</w:t>
      </w:r>
      <w:r w:rsidR="00D953BD" w:rsidRPr="00D953BD">
        <w:rPr>
          <w:lang w:val="fr-CA"/>
        </w:rPr>
        <w:t>appelante</w:t>
      </w:r>
      <w:r w:rsidRPr="00D953BD">
        <w:rPr>
          <w:lang w:val="fr-CA"/>
        </w:rPr>
        <w:t xml:space="preserve"> : </w:t>
      </w:r>
      <w:r w:rsidR="00D953BD" w:rsidRPr="00D953BD">
        <w:rPr>
          <w:lang w:val="fr-CA"/>
        </w:rPr>
        <w:t>Procureur g</w:t>
      </w:r>
      <w:r w:rsidR="007C1E29">
        <w:rPr>
          <w:lang w:val="fr-CA"/>
        </w:rPr>
        <w:t>éné</w:t>
      </w:r>
      <w:r w:rsidR="00D953BD" w:rsidRPr="00D953BD">
        <w:rPr>
          <w:lang w:val="fr-CA"/>
        </w:rPr>
        <w:t>ral de l</w:t>
      </w:r>
      <w:r w:rsidR="00D953BD">
        <w:rPr>
          <w:lang w:val="fr-CA"/>
        </w:rPr>
        <w:t>’Île-du-Prince-Édouard</w:t>
      </w:r>
      <w:r w:rsidRPr="00D953BD">
        <w:rPr>
          <w:lang w:val="fr-CA"/>
        </w:rPr>
        <w:t>, Charlottetow</w:t>
      </w:r>
      <w:r w:rsidR="0091751E">
        <w:rPr>
          <w:lang w:val="fr-CA"/>
        </w:rPr>
        <w:t>n</w:t>
      </w:r>
      <w:r w:rsidRPr="00D953BD">
        <w:rPr>
          <w:lang w:val="fr-CA"/>
        </w:rPr>
        <w:t>.</w:t>
      </w:r>
    </w:p>
    <w:p w:rsidR="00C64772" w:rsidRPr="00D953BD" w:rsidRDefault="00C64772">
      <w:pPr>
        <w:pStyle w:val="SCCLawFirm"/>
        <w:rPr>
          <w:lang w:val="fr-CA"/>
        </w:rPr>
      </w:pPr>
    </w:p>
    <w:p w:rsidR="00C64772" w:rsidRPr="006E1CDE" w:rsidRDefault="00BF0A29">
      <w:pPr>
        <w:pStyle w:val="SCCLawFirm"/>
        <w:rPr>
          <w:lang w:val="fr-CA"/>
        </w:rPr>
      </w:pPr>
      <w:r w:rsidRPr="00D953BD">
        <w:rPr>
          <w:lang w:val="fr-CA"/>
        </w:rPr>
        <w:tab/>
      </w:r>
      <w:r w:rsidRPr="006E1CDE">
        <w:rPr>
          <w:lang w:val="fr-CA"/>
        </w:rPr>
        <w:t>Procureur</w:t>
      </w:r>
      <w:r w:rsidR="00CB1B38">
        <w:rPr>
          <w:lang w:val="fr-CA"/>
        </w:rPr>
        <w:t>s</w:t>
      </w:r>
      <w:r w:rsidR="00D953BD">
        <w:rPr>
          <w:lang w:val="fr-CA"/>
        </w:rPr>
        <w:t xml:space="preserve"> de l’intimé</w:t>
      </w:r>
      <w:r w:rsidRPr="006E1CDE">
        <w:rPr>
          <w:lang w:val="fr-CA"/>
        </w:rPr>
        <w:t> : MacLeod Law Office, Charlottetown.</w:t>
      </w:r>
    </w:p>
    <w:sectPr w:rsidR="00C64772" w:rsidRPr="006E1CDE"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5E" w:rsidRDefault="00DA615E">
      <w:r>
        <w:separator/>
      </w:r>
    </w:p>
  </w:endnote>
  <w:endnote w:type="continuationSeparator" w:id="0">
    <w:p w:rsidR="00DA615E" w:rsidRDefault="00DA6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5E" w:rsidRDefault="00DA615E">
      <w:r>
        <w:separator/>
      </w:r>
    </w:p>
  </w:footnote>
  <w:footnote w:type="continuationSeparator" w:id="0">
    <w:p w:rsidR="00DA615E" w:rsidRDefault="00DA6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rsids>
    <w:rsidRoot w:val="0031414C"/>
    <w:rsid w:val="00000ED4"/>
    <w:rsid w:val="00023FC7"/>
    <w:rsid w:val="00025198"/>
    <w:rsid w:val="000578A3"/>
    <w:rsid w:val="000648CC"/>
    <w:rsid w:val="00082D60"/>
    <w:rsid w:val="000B3C51"/>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5802"/>
    <w:rsid w:val="001C779F"/>
    <w:rsid w:val="001D2AC1"/>
    <w:rsid w:val="001D4E88"/>
    <w:rsid w:val="001E7C23"/>
    <w:rsid w:val="00220FC2"/>
    <w:rsid w:val="002222F4"/>
    <w:rsid w:val="00224FC0"/>
    <w:rsid w:val="00225EA4"/>
    <w:rsid w:val="00226EAF"/>
    <w:rsid w:val="00231F3A"/>
    <w:rsid w:val="002372B5"/>
    <w:rsid w:val="002406EE"/>
    <w:rsid w:val="00243EC8"/>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4273D"/>
    <w:rsid w:val="0035169A"/>
    <w:rsid w:val="0035259D"/>
    <w:rsid w:val="00364B18"/>
    <w:rsid w:val="003A125D"/>
    <w:rsid w:val="003A4C70"/>
    <w:rsid w:val="003B215F"/>
    <w:rsid w:val="003B2834"/>
    <w:rsid w:val="003C799C"/>
    <w:rsid w:val="003D0399"/>
    <w:rsid w:val="003E1C71"/>
    <w:rsid w:val="003E1D84"/>
    <w:rsid w:val="003F327B"/>
    <w:rsid w:val="003F704D"/>
    <w:rsid w:val="00406166"/>
    <w:rsid w:val="0040704B"/>
    <w:rsid w:val="00410A55"/>
    <w:rsid w:val="00411300"/>
    <w:rsid w:val="00413F17"/>
    <w:rsid w:val="00415417"/>
    <w:rsid w:val="00420E81"/>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3EDE"/>
    <w:rsid w:val="00587D08"/>
    <w:rsid w:val="005A6079"/>
    <w:rsid w:val="005C2167"/>
    <w:rsid w:val="005E4698"/>
    <w:rsid w:val="00603924"/>
    <w:rsid w:val="00610539"/>
    <w:rsid w:val="00613969"/>
    <w:rsid w:val="006149F1"/>
    <w:rsid w:val="00625C35"/>
    <w:rsid w:val="00647E49"/>
    <w:rsid w:val="00656313"/>
    <w:rsid w:val="006565F4"/>
    <w:rsid w:val="00681388"/>
    <w:rsid w:val="00684EEA"/>
    <w:rsid w:val="0069689B"/>
    <w:rsid w:val="006B5FF5"/>
    <w:rsid w:val="006E1CDE"/>
    <w:rsid w:val="006F30AF"/>
    <w:rsid w:val="00701759"/>
    <w:rsid w:val="00705C15"/>
    <w:rsid w:val="007110F6"/>
    <w:rsid w:val="00714716"/>
    <w:rsid w:val="007208D1"/>
    <w:rsid w:val="00727A97"/>
    <w:rsid w:val="00744518"/>
    <w:rsid w:val="00747288"/>
    <w:rsid w:val="00747DD3"/>
    <w:rsid w:val="00754764"/>
    <w:rsid w:val="007549C8"/>
    <w:rsid w:val="00766D14"/>
    <w:rsid w:val="00767A0F"/>
    <w:rsid w:val="00791272"/>
    <w:rsid w:val="007A05F6"/>
    <w:rsid w:val="007B6F4A"/>
    <w:rsid w:val="007C1E29"/>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937F6"/>
    <w:rsid w:val="008B2C34"/>
    <w:rsid w:val="008B660A"/>
    <w:rsid w:val="008C01DA"/>
    <w:rsid w:val="008F2674"/>
    <w:rsid w:val="008F78E9"/>
    <w:rsid w:val="00900AAC"/>
    <w:rsid w:val="0091751E"/>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E1830"/>
    <w:rsid w:val="009E483B"/>
    <w:rsid w:val="009F0E33"/>
    <w:rsid w:val="00A149DF"/>
    <w:rsid w:val="00A1755C"/>
    <w:rsid w:val="00A21B90"/>
    <w:rsid w:val="00A22AAC"/>
    <w:rsid w:val="00A3418B"/>
    <w:rsid w:val="00A41805"/>
    <w:rsid w:val="00A51882"/>
    <w:rsid w:val="00A52AFB"/>
    <w:rsid w:val="00A548CB"/>
    <w:rsid w:val="00A5521C"/>
    <w:rsid w:val="00A643E7"/>
    <w:rsid w:val="00A73C38"/>
    <w:rsid w:val="00AB670D"/>
    <w:rsid w:val="00AE5DD1"/>
    <w:rsid w:val="00AF03C5"/>
    <w:rsid w:val="00B000D8"/>
    <w:rsid w:val="00B00F75"/>
    <w:rsid w:val="00B145B6"/>
    <w:rsid w:val="00B26960"/>
    <w:rsid w:val="00B279EB"/>
    <w:rsid w:val="00B50C81"/>
    <w:rsid w:val="00B557F8"/>
    <w:rsid w:val="00B815FC"/>
    <w:rsid w:val="00B93FBC"/>
    <w:rsid w:val="00BA0AEA"/>
    <w:rsid w:val="00BA6022"/>
    <w:rsid w:val="00BA7DA0"/>
    <w:rsid w:val="00BB2EE4"/>
    <w:rsid w:val="00BB4C92"/>
    <w:rsid w:val="00BC2108"/>
    <w:rsid w:val="00BD0E9E"/>
    <w:rsid w:val="00BD1BEC"/>
    <w:rsid w:val="00BD32FF"/>
    <w:rsid w:val="00BF0A29"/>
    <w:rsid w:val="00BF6FE9"/>
    <w:rsid w:val="00C02092"/>
    <w:rsid w:val="00C24D91"/>
    <w:rsid w:val="00C26DB2"/>
    <w:rsid w:val="00C53F14"/>
    <w:rsid w:val="00C600CF"/>
    <w:rsid w:val="00C6084F"/>
    <w:rsid w:val="00C62A66"/>
    <w:rsid w:val="00C64772"/>
    <w:rsid w:val="00C66359"/>
    <w:rsid w:val="00C71458"/>
    <w:rsid w:val="00C77613"/>
    <w:rsid w:val="00C828E7"/>
    <w:rsid w:val="00C86719"/>
    <w:rsid w:val="00C921DD"/>
    <w:rsid w:val="00CA6391"/>
    <w:rsid w:val="00CB1B38"/>
    <w:rsid w:val="00CC2C8E"/>
    <w:rsid w:val="00CE036E"/>
    <w:rsid w:val="00CE3171"/>
    <w:rsid w:val="00CF023C"/>
    <w:rsid w:val="00CF1601"/>
    <w:rsid w:val="00D0172F"/>
    <w:rsid w:val="00D01E33"/>
    <w:rsid w:val="00D068A7"/>
    <w:rsid w:val="00D17476"/>
    <w:rsid w:val="00D32086"/>
    <w:rsid w:val="00D37A3F"/>
    <w:rsid w:val="00D4431D"/>
    <w:rsid w:val="00D4667A"/>
    <w:rsid w:val="00D63A1C"/>
    <w:rsid w:val="00D7516F"/>
    <w:rsid w:val="00D953BD"/>
    <w:rsid w:val="00D95F8E"/>
    <w:rsid w:val="00DA0590"/>
    <w:rsid w:val="00DA615E"/>
    <w:rsid w:val="00DC1739"/>
    <w:rsid w:val="00DC1788"/>
    <w:rsid w:val="00DE319C"/>
    <w:rsid w:val="00DF0CA8"/>
    <w:rsid w:val="00DF2B48"/>
    <w:rsid w:val="00DF49A7"/>
    <w:rsid w:val="00E07EE2"/>
    <w:rsid w:val="00E07FD1"/>
    <w:rsid w:val="00E24573"/>
    <w:rsid w:val="00E25E1E"/>
    <w:rsid w:val="00E27EE7"/>
    <w:rsid w:val="00E35404"/>
    <w:rsid w:val="00E432F9"/>
    <w:rsid w:val="00E45109"/>
    <w:rsid w:val="00E47B7A"/>
    <w:rsid w:val="00E56A44"/>
    <w:rsid w:val="00E60269"/>
    <w:rsid w:val="00E97830"/>
    <w:rsid w:val="00EE0830"/>
    <w:rsid w:val="00EE6CB8"/>
    <w:rsid w:val="00EF0683"/>
    <w:rsid w:val="00F0070C"/>
    <w:rsid w:val="00F00EB7"/>
    <w:rsid w:val="00F01190"/>
    <w:rsid w:val="00F16780"/>
    <w:rsid w:val="00F36AB6"/>
    <w:rsid w:val="00F37A09"/>
    <w:rsid w:val="00F409CE"/>
    <w:rsid w:val="00F4379D"/>
    <w:rsid w:val="00F47663"/>
    <w:rsid w:val="00F50D2D"/>
    <w:rsid w:val="00F56C8B"/>
    <w:rsid w:val="00F62639"/>
    <w:rsid w:val="00F66810"/>
    <w:rsid w:val="00F84DF4"/>
    <w:rsid w:val="00F85C97"/>
    <w:rsid w:val="00F9262F"/>
    <w:rsid w:val="00FB37D2"/>
    <w:rsid w:val="00FB5975"/>
    <w:rsid w:val="00FC4EFB"/>
    <w:rsid w:val="00FC6023"/>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2372B5"/>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FB597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2014-02-28T19:34:00Z</dcterms:created>
  <dcterms:modified xsi:type="dcterms:W3CDTF">2014-06-26T19:42:00Z</dcterms:modified>
</cp:coreProperties>
</file>