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08" w:rsidRPr="009C0408" w:rsidRDefault="009C0408" w:rsidP="009C0408">
      <w:pPr>
        <w:tabs>
          <w:tab w:val="center" w:pos="4680"/>
          <w:tab w:val="right" w:pos="9360"/>
        </w:tabs>
        <w:rPr>
          <w:rFonts w:eastAsiaTheme="minorHAnsi" w:cstheme="minorBidi"/>
          <w:szCs w:val="24"/>
          <w:lang w:val="fr-CA" w:eastAsia="en-US"/>
        </w:rPr>
      </w:pPr>
      <w:r w:rsidRPr="009C0408">
        <w:rPr>
          <w:rFonts w:eastAsiaTheme="minorHAnsi" w:cstheme="minorBidi"/>
          <w:szCs w:val="24"/>
          <w:lang w:val="fr-CA" w:eastAsia="en-US"/>
        </w:rPr>
        <w:ptab w:relativeTo="margin" w:alignment="center" w:leader="none"/>
      </w:r>
      <w:r w:rsidRPr="009C0408">
        <w:rPr>
          <w:rFonts w:eastAsiaTheme="minorHAnsi" w:cstheme="minorBidi"/>
          <w:szCs w:val="24"/>
          <w:lang w:val="fr-CA" w:eastAsia="en-US"/>
        </w:rPr>
        <w:t xml:space="preserve"> </w:t>
      </w:r>
      <w:r w:rsidRPr="009C0408">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465302177" r:id="rId8"/>
        </w:object>
      </w:r>
      <w:r w:rsidRPr="009C0408">
        <w:rPr>
          <w:rFonts w:eastAsiaTheme="minorHAnsi" w:cstheme="minorBidi"/>
          <w:szCs w:val="24"/>
          <w:lang w:val="fr-CA" w:eastAsia="en-US"/>
        </w:rPr>
        <w:t xml:space="preserve"> </w:t>
      </w:r>
      <w:r w:rsidRPr="009C0408">
        <w:rPr>
          <w:rFonts w:eastAsiaTheme="minorHAnsi" w:cstheme="minorBidi"/>
          <w:szCs w:val="24"/>
          <w:lang w:val="fr-CA" w:eastAsia="en-US"/>
        </w:rPr>
        <w:ptab w:relativeTo="margin" w:alignment="right" w:leader="none"/>
      </w:r>
    </w:p>
    <w:p w:rsidR="009C0408" w:rsidRPr="009C0408" w:rsidRDefault="009C0408" w:rsidP="009C0408">
      <w:pPr>
        <w:tabs>
          <w:tab w:val="center" w:pos="4680"/>
          <w:tab w:val="right" w:pos="9360"/>
        </w:tabs>
        <w:rPr>
          <w:rFonts w:eastAsiaTheme="minorHAnsi" w:cstheme="minorBidi"/>
          <w:szCs w:val="24"/>
          <w:lang w:val="fr-CA" w:eastAsia="en-US"/>
        </w:rPr>
      </w:pPr>
    </w:p>
    <w:p w:rsidR="009C0408" w:rsidRPr="009C0408" w:rsidRDefault="009C0408" w:rsidP="009C0408">
      <w:pPr>
        <w:jc w:val="center"/>
        <w:rPr>
          <w:rFonts w:eastAsiaTheme="minorHAnsi" w:cstheme="minorBidi"/>
          <w:b/>
          <w:szCs w:val="24"/>
          <w:lang w:val="fr-CA" w:eastAsia="en-US"/>
        </w:rPr>
      </w:pPr>
      <w:r w:rsidRPr="009C0408">
        <w:rPr>
          <w:rFonts w:eastAsiaTheme="minorHAnsi" w:cstheme="minorBidi"/>
          <w:b/>
          <w:szCs w:val="24"/>
          <w:lang w:val="fr-CA" w:eastAsia="en-US"/>
        </w:rPr>
        <w:t>COUR SUPRÊME DU CANADA</w:t>
      </w:r>
    </w:p>
    <w:p w:rsidR="009C0408" w:rsidRPr="009C0408" w:rsidRDefault="009C0408" w:rsidP="009C0408">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C0408" w:rsidRPr="009C0408" w:rsidTr="00D63C38">
        <w:trPr>
          <w:cantSplit/>
        </w:trPr>
        <w:tc>
          <w:tcPr>
            <w:tcW w:w="6768" w:type="dxa"/>
          </w:tcPr>
          <w:p w:rsidR="009C0408" w:rsidRPr="009C0408" w:rsidRDefault="009C0408" w:rsidP="009C0408">
            <w:pPr>
              <w:rPr>
                <w:lang w:val="fr-CA"/>
              </w:rPr>
            </w:pPr>
            <w:r w:rsidRPr="009C0408">
              <w:rPr>
                <w:b/>
                <w:smallCaps/>
                <w:lang w:val="fr-CA"/>
              </w:rPr>
              <w:t>Référence :</w:t>
            </w:r>
            <w:r w:rsidRPr="009C0408">
              <w:rPr>
                <w:lang w:val="fr-CA"/>
              </w:rPr>
              <w:t xml:space="preserve"> R. </w:t>
            </w:r>
            <w:r w:rsidRPr="009C0408">
              <w:rPr>
                <w:i/>
                <w:lang w:val="fr-CA"/>
              </w:rPr>
              <w:t>c.</w:t>
            </w:r>
            <w:r w:rsidRPr="009C0408">
              <w:rPr>
                <w:lang w:val="fr-CA"/>
              </w:rPr>
              <w:t xml:space="preserve"> Waite, 2014 CSC 17, [2014] 1 R.C.S. 341</w:t>
            </w:r>
          </w:p>
        </w:tc>
        <w:tc>
          <w:tcPr>
            <w:tcW w:w="2808" w:type="dxa"/>
          </w:tcPr>
          <w:p w:rsidR="009C0408" w:rsidRPr="009C0408" w:rsidRDefault="009C0408" w:rsidP="009C0408">
            <w:pPr>
              <w:rPr>
                <w:lang w:val="fr-CA"/>
              </w:rPr>
            </w:pPr>
            <w:r w:rsidRPr="009C0408">
              <w:rPr>
                <w:b/>
                <w:smallCaps/>
                <w:lang w:val="fr-CA"/>
              </w:rPr>
              <w:t>Date :</w:t>
            </w:r>
            <w:r w:rsidRPr="009C0408">
              <w:rPr>
                <w:lang w:val="fr-CA"/>
              </w:rPr>
              <w:t xml:space="preserve"> 20140221</w:t>
            </w:r>
          </w:p>
          <w:p w:rsidR="009C0408" w:rsidRPr="009C0408" w:rsidRDefault="009C0408" w:rsidP="009C0408">
            <w:pPr>
              <w:rPr>
                <w:lang w:val="fr-CA"/>
              </w:rPr>
            </w:pPr>
            <w:r w:rsidRPr="009C0408">
              <w:rPr>
                <w:b/>
                <w:smallCaps/>
                <w:lang w:val="fr-CA"/>
              </w:rPr>
              <w:t>Dossier :</w:t>
            </w:r>
            <w:r w:rsidRPr="009C0408">
              <w:rPr>
                <w:lang w:val="fr-CA"/>
              </w:rPr>
              <w:t xml:space="preserve"> 35499</w:t>
            </w:r>
          </w:p>
        </w:tc>
      </w:tr>
    </w:tbl>
    <w:p w:rsidR="009C0408" w:rsidRPr="009C0408" w:rsidRDefault="009C0408" w:rsidP="009C0408">
      <w:pPr>
        <w:rPr>
          <w:rFonts w:eastAsiaTheme="minorHAnsi" w:cstheme="minorBidi"/>
          <w:szCs w:val="24"/>
          <w:lang w:val="fr-CA" w:eastAsia="en-US"/>
        </w:rPr>
      </w:pPr>
    </w:p>
    <w:p w:rsidR="009C0408" w:rsidRPr="009C0408" w:rsidRDefault="009C0408" w:rsidP="009C0408">
      <w:pPr>
        <w:rPr>
          <w:rFonts w:eastAsiaTheme="minorHAnsi" w:cstheme="minorBidi"/>
          <w:b/>
          <w:smallCaps/>
          <w:szCs w:val="24"/>
          <w:lang w:val="fr-CA" w:eastAsia="en-US"/>
        </w:rPr>
      </w:pPr>
      <w:r w:rsidRPr="009C0408">
        <w:rPr>
          <w:rFonts w:eastAsiaTheme="minorHAnsi" w:cstheme="minorBidi"/>
          <w:b/>
          <w:smallCaps/>
          <w:szCs w:val="24"/>
          <w:lang w:val="fr-CA" w:eastAsia="en-US"/>
        </w:rPr>
        <w:t>Entre :</w:t>
      </w:r>
    </w:p>
    <w:p w:rsidR="009C0408" w:rsidRPr="009C0408" w:rsidRDefault="009C0408" w:rsidP="009C0408">
      <w:pPr>
        <w:jc w:val="center"/>
        <w:rPr>
          <w:rFonts w:eastAsiaTheme="minorHAnsi" w:cstheme="minorBidi"/>
          <w:b/>
          <w:szCs w:val="24"/>
          <w:lang w:val="fr-CA" w:eastAsia="en-US"/>
        </w:rPr>
      </w:pPr>
      <w:r w:rsidRPr="009C0408">
        <w:rPr>
          <w:rFonts w:eastAsiaTheme="minorHAnsi" w:cstheme="minorBidi"/>
          <w:b/>
          <w:szCs w:val="24"/>
          <w:lang w:val="fr-CA" w:eastAsia="en-US"/>
        </w:rPr>
        <w:t>Alvin Daniel Waite</w:t>
      </w:r>
    </w:p>
    <w:p w:rsidR="009C0408" w:rsidRPr="009C0408" w:rsidRDefault="009C0408" w:rsidP="009C0408">
      <w:pPr>
        <w:jc w:val="center"/>
        <w:rPr>
          <w:rFonts w:eastAsiaTheme="minorHAnsi" w:cstheme="minorBidi"/>
          <w:szCs w:val="24"/>
          <w:lang w:val="fr-CA" w:eastAsia="en-US"/>
        </w:rPr>
      </w:pPr>
      <w:r w:rsidRPr="009C0408">
        <w:rPr>
          <w:rFonts w:eastAsiaTheme="minorHAnsi" w:cstheme="minorBidi"/>
          <w:szCs w:val="24"/>
          <w:lang w:val="fr-CA" w:eastAsia="en-US"/>
        </w:rPr>
        <w:t>Appelant</w:t>
      </w:r>
    </w:p>
    <w:p w:rsidR="009C0408" w:rsidRPr="009C0408" w:rsidRDefault="009C0408" w:rsidP="009C0408">
      <w:pPr>
        <w:jc w:val="center"/>
        <w:rPr>
          <w:rFonts w:eastAsiaTheme="minorHAnsi" w:cstheme="minorBidi"/>
          <w:szCs w:val="24"/>
          <w:lang w:val="fr-CA" w:eastAsia="en-US"/>
        </w:rPr>
      </w:pPr>
      <w:r w:rsidRPr="009C0408">
        <w:rPr>
          <w:rFonts w:eastAsiaTheme="minorHAnsi" w:cstheme="minorBidi"/>
          <w:szCs w:val="24"/>
          <w:lang w:val="fr-CA" w:eastAsia="en-US"/>
        </w:rPr>
        <w:t>et</w:t>
      </w:r>
    </w:p>
    <w:p w:rsidR="009C0408" w:rsidRPr="009C0408" w:rsidRDefault="009C0408" w:rsidP="009C0408">
      <w:pPr>
        <w:jc w:val="center"/>
        <w:rPr>
          <w:rFonts w:eastAsiaTheme="minorHAnsi" w:cstheme="minorBidi"/>
          <w:b/>
          <w:szCs w:val="24"/>
          <w:lang w:val="fr-CA" w:eastAsia="en-US"/>
        </w:rPr>
      </w:pPr>
      <w:r w:rsidRPr="009C0408">
        <w:rPr>
          <w:rFonts w:eastAsiaTheme="minorHAnsi" w:cstheme="minorBidi"/>
          <w:b/>
          <w:szCs w:val="24"/>
          <w:lang w:val="fr-CA" w:eastAsia="en-US"/>
        </w:rPr>
        <w:t>Sa Majesté la Reine</w:t>
      </w:r>
    </w:p>
    <w:p w:rsidR="009C0408" w:rsidRPr="009C0408" w:rsidRDefault="009C0408" w:rsidP="009C0408">
      <w:pPr>
        <w:jc w:val="center"/>
        <w:rPr>
          <w:rFonts w:eastAsiaTheme="minorHAnsi" w:cstheme="minorBidi"/>
          <w:szCs w:val="24"/>
          <w:lang w:val="fr-CA" w:eastAsia="en-US"/>
        </w:rPr>
      </w:pPr>
      <w:r w:rsidRPr="009C0408">
        <w:rPr>
          <w:rFonts w:eastAsiaTheme="minorHAnsi" w:cstheme="minorBidi"/>
          <w:szCs w:val="24"/>
          <w:lang w:val="fr-CA" w:eastAsia="en-US"/>
        </w:rPr>
        <w:t>Intimée</w:t>
      </w:r>
    </w:p>
    <w:p w:rsidR="009C0408" w:rsidRPr="009C0408" w:rsidRDefault="009C0408" w:rsidP="009C0408">
      <w:pPr>
        <w:rPr>
          <w:rFonts w:eastAsiaTheme="minorHAnsi" w:cstheme="minorBidi"/>
          <w:szCs w:val="24"/>
          <w:lang w:val="fr-CA" w:eastAsia="en-US"/>
        </w:rPr>
      </w:pPr>
    </w:p>
    <w:p w:rsidR="009C0408" w:rsidRPr="009C0408" w:rsidRDefault="009C0408" w:rsidP="009C0408">
      <w:pPr>
        <w:jc w:val="center"/>
        <w:rPr>
          <w:rFonts w:eastAsiaTheme="minorHAnsi" w:cstheme="minorBidi"/>
          <w:b/>
          <w:smallCaps/>
          <w:szCs w:val="24"/>
          <w:lang w:val="fr-CA" w:eastAsia="en-US"/>
        </w:rPr>
      </w:pPr>
      <w:r w:rsidRPr="009C0408">
        <w:rPr>
          <w:rFonts w:eastAsiaTheme="minorHAnsi" w:cstheme="minorBidi"/>
          <w:b/>
          <w:smallCaps/>
          <w:szCs w:val="24"/>
          <w:lang w:val="fr-CA" w:eastAsia="en-US"/>
        </w:rPr>
        <w:t>Traduction française officielle</w:t>
      </w:r>
    </w:p>
    <w:p w:rsidR="009C0408" w:rsidRPr="009C0408" w:rsidRDefault="009C0408" w:rsidP="009C0408">
      <w:pPr>
        <w:rPr>
          <w:rFonts w:eastAsiaTheme="minorHAnsi" w:cstheme="minorBidi"/>
          <w:szCs w:val="24"/>
          <w:lang w:val="fr-CA" w:eastAsia="en-US"/>
        </w:rPr>
      </w:pPr>
    </w:p>
    <w:p w:rsidR="009C0408" w:rsidRPr="009C0408" w:rsidRDefault="009C0408" w:rsidP="009C0408">
      <w:pPr>
        <w:rPr>
          <w:rFonts w:eastAsiaTheme="minorHAnsi" w:cstheme="minorBidi"/>
          <w:szCs w:val="24"/>
          <w:lang w:val="fr-CA" w:eastAsia="en-US"/>
        </w:rPr>
      </w:pPr>
      <w:r w:rsidRPr="009C0408">
        <w:rPr>
          <w:rFonts w:eastAsiaTheme="minorHAnsi" w:cstheme="minorBidi"/>
          <w:b/>
          <w:smallCaps/>
          <w:szCs w:val="24"/>
          <w:lang w:val="fr-CA" w:eastAsia="en-US"/>
        </w:rPr>
        <w:t>Coram :</w:t>
      </w:r>
      <w:r w:rsidRPr="009C0408">
        <w:rPr>
          <w:rFonts w:eastAsiaTheme="minorHAnsi" w:cstheme="minorBidi"/>
          <w:szCs w:val="24"/>
          <w:lang w:val="fr-CA" w:eastAsia="en-US"/>
        </w:rPr>
        <w:t xml:space="preserve"> La juge en chef McLachlin et les juges Cromwell, Moldaver, Karakatsanis et Wagner</w:t>
      </w:r>
    </w:p>
    <w:p w:rsidR="009C0408" w:rsidRPr="009C0408" w:rsidRDefault="009C0408" w:rsidP="009C0408">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C0408" w:rsidRPr="009C0408" w:rsidTr="00D63C38">
        <w:trPr>
          <w:cantSplit/>
        </w:trPr>
        <w:tc>
          <w:tcPr>
            <w:tcW w:w="3618" w:type="dxa"/>
          </w:tcPr>
          <w:p w:rsidR="009C0408" w:rsidRPr="009C0408" w:rsidRDefault="009C0408" w:rsidP="009C0408">
            <w:pPr>
              <w:rPr>
                <w:b/>
                <w:smallCaps/>
                <w:lang w:val="fr-CA"/>
              </w:rPr>
            </w:pPr>
            <w:r w:rsidRPr="009C0408">
              <w:rPr>
                <w:b/>
                <w:smallCaps/>
                <w:lang w:val="fr-CA"/>
              </w:rPr>
              <w:t>Motifs de jugement :</w:t>
            </w:r>
          </w:p>
          <w:p w:rsidR="009C0408" w:rsidRPr="009C0408" w:rsidRDefault="009C0408" w:rsidP="009C0408">
            <w:pPr>
              <w:rPr>
                <w:lang w:val="fr-CA"/>
              </w:rPr>
            </w:pPr>
            <w:r w:rsidRPr="009C0408">
              <w:rPr>
                <w:lang w:val="fr-CA"/>
              </w:rPr>
              <w:t>(par. 1 à 6)</w:t>
            </w:r>
          </w:p>
        </w:tc>
        <w:tc>
          <w:tcPr>
            <w:tcW w:w="5958" w:type="dxa"/>
          </w:tcPr>
          <w:p w:rsidR="009C0408" w:rsidRPr="009C0408" w:rsidRDefault="009C0408" w:rsidP="009C0408">
            <w:pPr>
              <w:rPr>
                <w:lang w:val="fr-CA"/>
              </w:rPr>
            </w:pPr>
            <w:r w:rsidRPr="009C0408">
              <w:rPr>
                <w:lang w:val="fr-CA"/>
              </w:rPr>
              <w:t>La juge en chef McLachlin (avec l’accord des juges Cromwell, Moldaver, Karakatsanis et Wagner)</w:t>
            </w:r>
          </w:p>
        </w:tc>
      </w:tr>
    </w:tbl>
    <w:p w:rsidR="009C0408" w:rsidRPr="009C0408" w:rsidRDefault="002834A8" w:rsidP="009C0408">
      <w:pPr>
        <w:rPr>
          <w:rFonts w:eastAsiaTheme="minorHAnsi" w:cstheme="minorBidi"/>
          <w:szCs w:val="24"/>
          <w:lang w:val="fr-CA" w:eastAsia="en-US"/>
        </w:rPr>
      </w:pPr>
      <w:r w:rsidRPr="002834A8">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4D7D95" w:rsidRDefault="004D7D95" w:rsidP="004D7D95">
      <w:pPr>
        <w:jc w:val="both"/>
        <w:rPr>
          <w:lang w:val="en-US"/>
        </w:rPr>
      </w:pPr>
    </w:p>
    <w:p w:rsidR="009C0408" w:rsidRPr="000E0A84" w:rsidRDefault="009C0408" w:rsidP="004D7D95">
      <w:pPr>
        <w:jc w:val="both"/>
        <w:rPr>
          <w:lang w:val="en-US"/>
        </w:rPr>
      </w:pPr>
    </w:p>
    <w:p w:rsidR="004D7D95" w:rsidRPr="006A555C" w:rsidRDefault="006A555C" w:rsidP="004D7D95">
      <w:pPr>
        <w:spacing w:line="480" w:lineRule="auto"/>
        <w:jc w:val="both"/>
        <w:rPr>
          <w:lang w:val="fr-CA"/>
        </w:rPr>
      </w:pPr>
      <w:r w:rsidRPr="006A555C">
        <w:rPr>
          <w:lang w:val="fr-CA"/>
        </w:rPr>
        <w:t xml:space="preserve">R. </w:t>
      </w:r>
      <w:r w:rsidRPr="006A555C">
        <w:rPr>
          <w:i/>
          <w:lang w:val="fr-CA"/>
        </w:rPr>
        <w:t>c.</w:t>
      </w:r>
      <w:r w:rsidRPr="006A555C">
        <w:rPr>
          <w:lang w:val="fr-CA"/>
        </w:rPr>
        <w:t xml:space="preserve"> Waite</w:t>
      </w:r>
      <w:r>
        <w:rPr>
          <w:lang w:val="fr-CA"/>
        </w:rPr>
        <w:t>, 2014 CSC 17, [2014] 1 R.C.S. 341</w:t>
      </w: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lang w:val="fr-CA"/>
        </w:rPr>
      </w:pPr>
    </w:p>
    <w:p w:rsidR="00A175AF" w:rsidRPr="007B6104" w:rsidRDefault="00800730">
      <w:pPr>
        <w:pStyle w:val="SCCLsocLastPartyInRole"/>
        <w:rPr>
          <w:lang w:val="fr-CA"/>
        </w:rPr>
      </w:pPr>
      <w:r w:rsidRPr="007B6104">
        <w:rPr>
          <w:lang w:val="fr-CA"/>
        </w:rPr>
        <w:t>Alvin Daniel Waite</w:t>
      </w:r>
      <w:r w:rsidRPr="007B6104">
        <w:rPr>
          <w:rStyle w:val="SCCLsocPartyRole"/>
          <w:lang w:val="fr-CA"/>
        </w:rPr>
        <w:tab/>
        <w:t>Appelant</w:t>
      </w:r>
    </w:p>
    <w:p w:rsidR="00A175AF" w:rsidRPr="007B6104" w:rsidRDefault="00800730">
      <w:pPr>
        <w:pStyle w:val="SCCLsocVersus"/>
        <w:rPr>
          <w:lang w:val="fr-CA"/>
        </w:rPr>
      </w:pPr>
      <w:r w:rsidRPr="007B6104">
        <w:rPr>
          <w:lang w:val="fr-CA"/>
        </w:rPr>
        <w:t>c.</w:t>
      </w:r>
    </w:p>
    <w:p w:rsidR="00A175AF" w:rsidRPr="007B6104" w:rsidRDefault="00800730">
      <w:pPr>
        <w:pStyle w:val="SCCLsocLastPartyInRole"/>
        <w:rPr>
          <w:lang w:val="fr-CA"/>
        </w:rPr>
      </w:pPr>
      <w:r w:rsidRPr="007B6104">
        <w:rPr>
          <w:lang w:val="fr-CA"/>
        </w:rPr>
        <w:t>Sa Majesté la Reine</w:t>
      </w:r>
      <w:r w:rsidRPr="007B6104">
        <w:rPr>
          <w:rStyle w:val="SCCLsocPartyRole"/>
          <w:lang w:val="fr-CA"/>
        </w:rPr>
        <w:tab/>
        <w:t>Intimé</w:t>
      </w:r>
      <w:r w:rsidR="00222FD9">
        <w:rPr>
          <w:rStyle w:val="SCCLsocPartyRole"/>
          <w:lang w:val="fr-CA"/>
        </w:rPr>
        <w:t>e</w:t>
      </w: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b/>
          <w:lang w:val="fr-CA"/>
        </w:rPr>
      </w:pPr>
      <w:r w:rsidRPr="00BB4C92">
        <w:rPr>
          <w:b/>
          <w:lang w:val="fr-CA"/>
        </w:rPr>
        <w:t>Répertorié : </w:t>
      </w:r>
      <w:r w:rsidR="00660D8F">
        <w:rPr>
          <w:b/>
          <w:lang w:val="fr-CA"/>
        </w:rPr>
        <w:t xml:space="preserve">R. </w:t>
      </w:r>
      <w:r w:rsidR="00660D8F" w:rsidRPr="00660D8F">
        <w:rPr>
          <w:b/>
          <w:i/>
          <w:lang w:val="fr-CA"/>
        </w:rPr>
        <w:t>c.</w:t>
      </w:r>
      <w:r w:rsidR="00660D8F">
        <w:rPr>
          <w:b/>
          <w:lang w:val="fr-CA"/>
        </w:rPr>
        <w:t xml:space="preserve"> Waite</w:t>
      </w: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F62639" w:rsidP="004D7D95">
      <w:pPr>
        <w:pStyle w:val="SCCSystemYear"/>
        <w:jc w:val="both"/>
        <w:rPr>
          <w:lang w:val="fr-CA"/>
        </w:rPr>
      </w:pPr>
      <w:r w:rsidRPr="007B6104">
        <w:rPr>
          <w:lang w:val="fr-CA"/>
        </w:rPr>
        <w:t>2014</w:t>
      </w:r>
      <w:r w:rsidR="004D7D95" w:rsidRPr="007B6104">
        <w:rPr>
          <w:lang w:val="fr-CA"/>
        </w:rPr>
        <w:t xml:space="preserve"> CSC </w:t>
      </w:r>
      <w:r w:rsidR="00660D8F">
        <w:rPr>
          <w:lang w:val="fr-CA"/>
        </w:rPr>
        <w:t>17</w:t>
      </w: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lang w:val="fr-CA"/>
        </w:rPr>
      </w:pPr>
      <w:r w:rsidRPr="007B6104">
        <w:rPr>
          <w:lang w:val="fr-CA"/>
        </w:rPr>
        <w:t>N</w:t>
      </w:r>
      <w:r w:rsidRPr="007B6104">
        <w:rPr>
          <w:vertAlign w:val="superscript"/>
          <w:lang w:val="fr-CA"/>
        </w:rPr>
        <w:t>o</w:t>
      </w:r>
      <w:r w:rsidRPr="007B6104">
        <w:rPr>
          <w:lang w:val="fr-CA"/>
        </w:rPr>
        <w:t xml:space="preserve"> du greffe : 35499.</w:t>
      </w: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F62639" w:rsidP="004D7D95">
      <w:pPr>
        <w:jc w:val="both"/>
        <w:rPr>
          <w:lang w:val="fr-CA"/>
        </w:rPr>
      </w:pPr>
      <w:r w:rsidRPr="007B6104">
        <w:rPr>
          <w:lang w:val="fr-CA"/>
        </w:rPr>
        <w:t>2014 : 21 février</w:t>
      </w:r>
      <w:r w:rsidR="00660D8F">
        <w:rPr>
          <w:lang w:val="fr-CA"/>
        </w:rPr>
        <w:t>.</w:t>
      </w:r>
    </w:p>
    <w:p w:rsidR="004D7D95" w:rsidRPr="007B6104" w:rsidRDefault="004D7D95" w:rsidP="004D7D95">
      <w:pPr>
        <w:jc w:val="both"/>
        <w:rPr>
          <w:lang w:val="fr-CA"/>
        </w:rPr>
      </w:pPr>
    </w:p>
    <w:p w:rsidR="004D7D95" w:rsidRPr="007B6104" w:rsidRDefault="004D7D95" w:rsidP="004D7D95">
      <w:pPr>
        <w:jc w:val="both"/>
        <w:rPr>
          <w:lang w:val="fr-CA"/>
        </w:rPr>
      </w:pPr>
    </w:p>
    <w:p w:rsidR="004D7D95" w:rsidRPr="007B6104" w:rsidRDefault="004D7D95" w:rsidP="004D7D95">
      <w:pPr>
        <w:jc w:val="both"/>
        <w:rPr>
          <w:lang w:val="fr-CA"/>
        </w:rPr>
      </w:pPr>
    </w:p>
    <w:p w:rsidR="004D7D95" w:rsidRPr="00800730" w:rsidRDefault="004D7D95" w:rsidP="004D7D95">
      <w:pPr>
        <w:jc w:val="both"/>
        <w:rPr>
          <w:lang w:val="fr-CA"/>
        </w:rPr>
      </w:pPr>
      <w:r w:rsidRPr="00800730">
        <w:rPr>
          <w:lang w:val="fr-CA"/>
        </w:rPr>
        <w:t>Présents : La juge en chef McLachlin et les juges Cromwell, Moldaver, Karakatsanis et Wagner.</w:t>
      </w:r>
    </w:p>
    <w:p w:rsidR="004D7D95" w:rsidRPr="00800730" w:rsidRDefault="004D7D95" w:rsidP="004D7D95">
      <w:pPr>
        <w:jc w:val="both"/>
        <w:rPr>
          <w:lang w:val="fr-CA"/>
        </w:rPr>
      </w:pPr>
    </w:p>
    <w:p w:rsidR="00EE0830" w:rsidRPr="00800730" w:rsidRDefault="00EE0830" w:rsidP="004D7D95">
      <w:pPr>
        <w:jc w:val="both"/>
        <w:rPr>
          <w:lang w:val="fr-CA"/>
        </w:rPr>
      </w:pPr>
    </w:p>
    <w:p w:rsidR="00A175AF" w:rsidRPr="00AF0B1B" w:rsidRDefault="00A175AF">
      <w:pPr>
        <w:rPr>
          <w:smallCaps/>
          <w:lang w:val="fr-CA"/>
        </w:rPr>
      </w:pPr>
    </w:p>
    <w:p w:rsidR="004D7D95" w:rsidRPr="00AF0B1B" w:rsidRDefault="004D7D95" w:rsidP="000F7993">
      <w:pPr>
        <w:jc w:val="both"/>
        <w:rPr>
          <w:smallCaps/>
          <w:lang w:val="fr-CA"/>
        </w:rPr>
      </w:pPr>
      <w:r w:rsidRPr="00AF0B1B">
        <w:rPr>
          <w:smallCaps/>
          <w:lang w:val="fr-CA"/>
        </w:rPr>
        <w:t xml:space="preserve">en appel de la </w:t>
      </w:r>
      <w:r w:rsidR="00AF0B1B" w:rsidRPr="00AF0B1B">
        <w:rPr>
          <w:smallCaps/>
          <w:lang w:val="fr-CA"/>
        </w:rPr>
        <w:t>cour d’</w:t>
      </w:r>
      <w:r w:rsidRPr="00AF0B1B">
        <w:rPr>
          <w:smallCaps/>
          <w:lang w:val="fr-CA"/>
        </w:rPr>
        <w:t xml:space="preserve">appel de l’alberta </w:t>
      </w:r>
    </w:p>
    <w:p w:rsidR="004D7D95" w:rsidRPr="00BB4C92" w:rsidRDefault="004D7D95" w:rsidP="004D7D95">
      <w:pPr>
        <w:pStyle w:val="SCCNormalDoubleSpacing"/>
        <w:rPr>
          <w:lang w:val="fr-CA"/>
        </w:rPr>
      </w:pPr>
    </w:p>
    <w:p w:rsidR="004D7D95" w:rsidRPr="00AF3193" w:rsidRDefault="004D7D95" w:rsidP="004D7D95">
      <w:pPr>
        <w:pStyle w:val="SCCNormalDoubleSpacing"/>
        <w:rPr>
          <w:i/>
          <w:lang w:val="fr-CA"/>
        </w:rPr>
      </w:pPr>
      <w:r w:rsidRPr="00BB4C92">
        <w:rPr>
          <w:lang w:val="fr-CA"/>
        </w:rPr>
        <w:tab/>
      </w:r>
      <w:r w:rsidR="00C80BCB" w:rsidRPr="00AF3193">
        <w:rPr>
          <w:i/>
          <w:lang w:val="fr-CA"/>
        </w:rPr>
        <w:t xml:space="preserve">Droit criminel — Exposé au jury — Appelant et coaccusé poursuivis pour meurtre et déclarés conjointement coupables de l’infraction — </w:t>
      </w:r>
      <w:r w:rsidR="00003FE4" w:rsidRPr="00AF3193">
        <w:rPr>
          <w:i/>
          <w:lang w:val="fr-CA"/>
        </w:rPr>
        <w:t>Absence d’obligation pour la j</w:t>
      </w:r>
      <w:r w:rsidR="00C80BCB" w:rsidRPr="00AF3193">
        <w:rPr>
          <w:i/>
          <w:lang w:val="fr-CA"/>
        </w:rPr>
        <w:t xml:space="preserve">uge du procès </w:t>
      </w:r>
      <w:r w:rsidR="00003FE4" w:rsidRPr="00AF3193">
        <w:rPr>
          <w:i/>
          <w:lang w:val="fr-CA"/>
        </w:rPr>
        <w:t>de dire expressément aux jurés qu’ils doivent acquitter</w:t>
      </w:r>
      <w:r w:rsidR="00C80BCB" w:rsidRPr="00AF3193">
        <w:rPr>
          <w:i/>
          <w:lang w:val="fr-CA"/>
        </w:rPr>
        <w:t xml:space="preserve"> les deux accusés </w:t>
      </w:r>
      <w:r w:rsidR="00003FE4" w:rsidRPr="00AF3193">
        <w:rPr>
          <w:i/>
          <w:lang w:val="fr-CA"/>
        </w:rPr>
        <w:t>s’ils sont</w:t>
      </w:r>
      <w:r w:rsidR="00C80BCB" w:rsidRPr="00AF3193">
        <w:rPr>
          <w:i/>
          <w:lang w:val="fr-CA"/>
        </w:rPr>
        <w:t xml:space="preserve"> incapable</w:t>
      </w:r>
      <w:r w:rsidR="00003FE4" w:rsidRPr="00AF3193">
        <w:rPr>
          <w:i/>
          <w:lang w:val="fr-CA"/>
        </w:rPr>
        <w:t>s</w:t>
      </w:r>
      <w:r w:rsidR="00C80BCB" w:rsidRPr="00AF3193">
        <w:rPr>
          <w:i/>
          <w:lang w:val="fr-CA"/>
        </w:rPr>
        <w:t xml:space="preserve"> de décider lequel des deux a commis le meurtre — Explications adéquates d</w:t>
      </w:r>
      <w:r w:rsidR="00003FE4" w:rsidRPr="00AF3193">
        <w:rPr>
          <w:i/>
          <w:lang w:val="fr-CA"/>
        </w:rPr>
        <w:t>e la</w:t>
      </w:r>
      <w:r w:rsidR="00C80BCB" w:rsidRPr="00AF3193">
        <w:rPr>
          <w:i/>
          <w:lang w:val="fr-CA"/>
        </w:rPr>
        <w:t xml:space="preserve"> juge du procès</w:t>
      </w:r>
      <w:r w:rsidR="00003FE4" w:rsidRPr="00AF3193">
        <w:rPr>
          <w:i/>
          <w:lang w:val="fr-CA"/>
        </w:rPr>
        <w:t xml:space="preserve"> au jury quant au lien entre la défen</w:t>
      </w:r>
      <w:r w:rsidR="00AC14CD" w:rsidRPr="00AF3193">
        <w:rPr>
          <w:i/>
          <w:lang w:val="fr-CA"/>
        </w:rPr>
        <w:t>s</w:t>
      </w:r>
      <w:r w:rsidR="00003FE4" w:rsidRPr="00AF3193">
        <w:rPr>
          <w:i/>
          <w:lang w:val="fr-CA"/>
        </w:rPr>
        <w:t xml:space="preserve">e d’ivresse et la mens rea requise pour l’infraction d’avoir aidé et encouragé quelqu’un à commettre un meurtre au deuxième degré — Absence d’obligation pour la juge du procès de dire aux jurés qu’ils peuvent s’appuyer sur des déclarations extrajudiciaires du coaccusé de l’appelant comme preuves de la véracité de leur contenu. </w:t>
      </w:r>
    </w:p>
    <w:p w:rsidR="004D7D95" w:rsidRPr="004D7D95" w:rsidRDefault="004D7D95" w:rsidP="00AF0B1B">
      <w:pPr>
        <w:pStyle w:val="SCCNormalDoubleSpacing"/>
        <w:rPr>
          <w:lang w:val="fr-CA"/>
        </w:rPr>
      </w:pPr>
      <w:r w:rsidRPr="004D7D95">
        <w:rPr>
          <w:lang w:val="fr-CA"/>
        </w:rPr>
        <w:tab/>
      </w:r>
    </w:p>
    <w:p w:rsidR="004D7D95" w:rsidRPr="004D7D95" w:rsidRDefault="004D7D95" w:rsidP="004D7D95">
      <w:pPr>
        <w:pStyle w:val="SCCNormalDoubleSpacing"/>
        <w:rPr>
          <w:lang w:val="fr-CA"/>
        </w:rPr>
      </w:pPr>
    </w:p>
    <w:p w:rsidR="004D7D95" w:rsidRPr="004D7D95" w:rsidRDefault="004D7D95" w:rsidP="004D7D95">
      <w:pPr>
        <w:pStyle w:val="SCCNormalDoubleSpacing"/>
        <w:keepNext/>
        <w:keepLines/>
        <w:rPr>
          <w:b/>
          <w:lang w:val="fr-CA"/>
        </w:rPr>
      </w:pPr>
      <w:r w:rsidRPr="004D7D95">
        <w:rPr>
          <w:b/>
          <w:lang w:val="fr-CA"/>
        </w:rPr>
        <w:lastRenderedPageBreak/>
        <w:t>Jurisprudence</w:t>
      </w:r>
    </w:p>
    <w:p w:rsidR="004D7D95" w:rsidRPr="004D7D95" w:rsidRDefault="004D7D95" w:rsidP="004D7D95">
      <w:pPr>
        <w:pStyle w:val="SCCNormalDoubleSpacing"/>
        <w:keepNext/>
        <w:keepLines/>
        <w:rPr>
          <w:lang w:val="fr-CA"/>
        </w:rPr>
      </w:pPr>
    </w:p>
    <w:p w:rsidR="004D7D95" w:rsidRPr="004D7D95" w:rsidRDefault="004D7D95" w:rsidP="004D7D95">
      <w:pPr>
        <w:pStyle w:val="SCCNormalDoubleSpacing"/>
        <w:keepNext/>
        <w:keepLines/>
        <w:rPr>
          <w:b/>
          <w:lang w:val="fr-CA"/>
        </w:rPr>
      </w:pPr>
      <w:r w:rsidRPr="004D7D95">
        <w:rPr>
          <w:lang w:val="fr-CA"/>
        </w:rPr>
        <w:tab/>
      </w:r>
      <w:r w:rsidRPr="004D7D95">
        <w:rPr>
          <w:b/>
          <w:lang w:val="fr-CA"/>
        </w:rPr>
        <w:t>Arrêts mentionnés :</w:t>
      </w:r>
      <w:r w:rsidRPr="004D7D95">
        <w:rPr>
          <w:lang w:val="fr-CA"/>
        </w:rPr>
        <w:t xml:space="preserve"> </w:t>
      </w:r>
      <w:r w:rsidR="00EB31C6" w:rsidRPr="007E5DA0">
        <w:rPr>
          <w:i/>
          <w:lang w:val="fr-CA"/>
        </w:rPr>
        <w:t>R. c. Edwards</w:t>
      </w:r>
      <w:r w:rsidR="00EB31C6" w:rsidRPr="007E5DA0">
        <w:rPr>
          <w:lang w:val="fr-CA"/>
        </w:rPr>
        <w:t>, 2004 BCCA</w:t>
      </w:r>
      <w:r w:rsidR="00EB31C6">
        <w:rPr>
          <w:lang w:val="fr-CA"/>
        </w:rPr>
        <w:t xml:space="preserve"> 558</w:t>
      </w:r>
      <w:r w:rsidR="00425370">
        <w:rPr>
          <w:lang w:val="fr-CA"/>
        </w:rPr>
        <w:t>, 205 B.C.A.C. 42</w:t>
      </w:r>
      <w:r w:rsidR="00EB31C6">
        <w:rPr>
          <w:lang w:val="fr-CA"/>
        </w:rPr>
        <w:t xml:space="preserve">; </w:t>
      </w:r>
      <w:r w:rsidR="00EB31C6" w:rsidRPr="00C063E1">
        <w:rPr>
          <w:i/>
          <w:lang w:val="fr-CA"/>
        </w:rPr>
        <w:t xml:space="preserve">R. </w:t>
      </w:r>
      <w:r w:rsidR="00EB31C6">
        <w:rPr>
          <w:i/>
          <w:lang w:val="fr-CA"/>
        </w:rPr>
        <w:t>c</w:t>
      </w:r>
      <w:r w:rsidR="00EB31C6" w:rsidRPr="00C063E1">
        <w:rPr>
          <w:i/>
          <w:lang w:val="fr-CA"/>
        </w:rPr>
        <w:t>. J.F.</w:t>
      </w:r>
      <w:r w:rsidR="00EB31C6">
        <w:rPr>
          <w:lang w:val="fr-CA"/>
        </w:rPr>
        <w:t xml:space="preserve">, 2013 </w:t>
      </w:r>
      <w:r w:rsidR="00EB31C6" w:rsidRPr="00C063E1">
        <w:rPr>
          <w:lang w:val="fr-CA"/>
        </w:rPr>
        <w:t>C</w:t>
      </w:r>
      <w:r w:rsidR="00EB31C6">
        <w:rPr>
          <w:lang w:val="fr-CA"/>
        </w:rPr>
        <w:t>S</w:t>
      </w:r>
      <w:r w:rsidR="00EB31C6" w:rsidRPr="00C063E1">
        <w:rPr>
          <w:lang w:val="fr-CA"/>
        </w:rPr>
        <w:t>C 12</w:t>
      </w:r>
      <w:r w:rsidR="00842859">
        <w:rPr>
          <w:lang w:val="fr-CA"/>
        </w:rPr>
        <w:t>, [2013] 1 R.C.S. 565</w:t>
      </w:r>
      <w:r w:rsidR="00EB31C6">
        <w:rPr>
          <w:lang w:val="fr-CA"/>
        </w:rPr>
        <w:t>.</w:t>
      </w:r>
    </w:p>
    <w:p w:rsidR="004D7D95" w:rsidRPr="004D7D95" w:rsidRDefault="004D7D95" w:rsidP="004D7D95">
      <w:pPr>
        <w:pStyle w:val="SCCNormalDoubleSpacing"/>
        <w:rPr>
          <w:lang w:val="fr-CA"/>
        </w:rPr>
      </w:pPr>
    </w:p>
    <w:p w:rsidR="004D7D95" w:rsidRPr="004D7D95" w:rsidRDefault="004D7D95" w:rsidP="004D7D95">
      <w:pPr>
        <w:pStyle w:val="SCCNormalDoubleSpacing"/>
        <w:spacing w:line="240" w:lineRule="auto"/>
        <w:ind w:left="540" w:hanging="540"/>
        <w:rPr>
          <w:lang w:val="fr-CA"/>
        </w:rPr>
      </w:pPr>
    </w:p>
    <w:p w:rsidR="004D7D95" w:rsidRPr="004D7D95" w:rsidRDefault="004D7D95" w:rsidP="004D7D95">
      <w:pPr>
        <w:pStyle w:val="SCCNormalDoubleSpacing"/>
        <w:rPr>
          <w:lang w:val="fr-CA"/>
        </w:rPr>
      </w:pPr>
      <w:r w:rsidRPr="004D7D95">
        <w:rPr>
          <w:lang w:val="fr-CA"/>
        </w:rPr>
        <w:tab/>
        <w:t xml:space="preserve">POURVOI contre un arrêt de la </w:t>
      </w:r>
      <w:r w:rsidR="00AF0B1B">
        <w:rPr>
          <w:lang w:val="fr-CA"/>
        </w:rPr>
        <w:t>Cour d’</w:t>
      </w:r>
      <w:r w:rsidRPr="007B6104">
        <w:rPr>
          <w:lang w:val="fr-CA"/>
        </w:rPr>
        <w:t xml:space="preserve">appel de l’Alberta </w:t>
      </w:r>
      <w:r w:rsidR="00AF0B1B">
        <w:rPr>
          <w:lang w:val="fr-CA"/>
        </w:rPr>
        <w:t>(les juges Conrad, Martin</w:t>
      </w:r>
      <w:r w:rsidR="00A45D7F">
        <w:rPr>
          <w:lang w:val="fr-CA"/>
        </w:rPr>
        <w:t xml:space="preserve"> et Rowbotham</w:t>
      </w:r>
      <w:r w:rsidR="00AF0B1B">
        <w:rPr>
          <w:lang w:val="fr-CA"/>
        </w:rPr>
        <w:t xml:space="preserve">), 2013 ABCA 257, </w:t>
      </w:r>
      <w:r w:rsidR="00B36054">
        <w:rPr>
          <w:lang w:val="fr-CA"/>
        </w:rPr>
        <w:t xml:space="preserve">81 Alta. L.R. (5th) 289, 556 A.R. 129, </w:t>
      </w:r>
      <w:r w:rsidR="00E4649A">
        <w:rPr>
          <w:lang w:val="fr-CA"/>
        </w:rPr>
        <w:t xml:space="preserve">[2013] A.J. No. 740 (QL), </w:t>
      </w:r>
      <w:r w:rsidR="00B36054">
        <w:rPr>
          <w:lang w:val="fr-CA"/>
        </w:rPr>
        <w:t xml:space="preserve">2013 CarswellAlta 1157, </w:t>
      </w:r>
      <w:r w:rsidR="00B36054">
        <w:rPr>
          <w:lang w:val="fr-FR"/>
        </w:rPr>
        <w:t xml:space="preserve">qui a confirmé la déclaration de culpabilité </w:t>
      </w:r>
      <w:r w:rsidR="00A725A9">
        <w:rPr>
          <w:lang w:val="fr-FR"/>
        </w:rPr>
        <w:t>de</w:t>
      </w:r>
      <w:r w:rsidR="00B36054">
        <w:rPr>
          <w:lang w:val="fr-FR"/>
        </w:rPr>
        <w:t xml:space="preserve"> meurtre au deuxième degré</w:t>
      </w:r>
      <w:r w:rsidR="00A725A9">
        <w:rPr>
          <w:lang w:val="fr-FR"/>
        </w:rPr>
        <w:t xml:space="preserve"> prononcée contre l’</w:t>
      </w:r>
      <w:r w:rsidR="00A725A9">
        <w:rPr>
          <w:lang w:val="fr-CA"/>
        </w:rPr>
        <w:t>accusé</w:t>
      </w:r>
      <w:r w:rsidR="00B36054">
        <w:rPr>
          <w:lang w:val="fr-FR"/>
        </w:rPr>
        <w:t>.  Pourvoi rejeté.</w:t>
      </w:r>
    </w:p>
    <w:p w:rsidR="004D7D95" w:rsidRPr="004D7D95" w:rsidRDefault="004D7D95" w:rsidP="004D7D95">
      <w:pPr>
        <w:pStyle w:val="SCCNormalDoubleSpacing"/>
        <w:rPr>
          <w:lang w:val="fr-CA"/>
        </w:rPr>
      </w:pPr>
    </w:p>
    <w:p w:rsidR="00A175AF" w:rsidRPr="004738DA" w:rsidRDefault="00800730">
      <w:pPr>
        <w:pStyle w:val="SCCNormalDoubleSpacing"/>
        <w:rPr>
          <w:lang w:val="en-US"/>
        </w:rPr>
      </w:pPr>
      <w:r w:rsidRPr="007B6104">
        <w:rPr>
          <w:rStyle w:val="SCCCounselNameChar"/>
          <w:lang w:val="fr-CA"/>
        </w:rPr>
        <w:tab/>
      </w:r>
      <w:r w:rsidRPr="004738DA">
        <w:rPr>
          <w:rStyle w:val="SCCCounselNameChar"/>
          <w:lang w:val="en-US"/>
        </w:rPr>
        <w:t>C. John Hooker</w:t>
      </w:r>
      <w:r w:rsidRPr="004738DA">
        <w:rPr>
          <w:rStyle w:val="SCCCounselSeparatorChar"/>
          <w:lang w:val="en-US"/>
        </w:rPr>
        <w:t xml:space="preserve"> et </w:t>
      </w:r>
      <w:r w:rsidRPr="004738DA">
        <w:rPr>
          <w:rStyle w:val="SCCCounselNameChar"/>
          <w:lang w:val="en-US"/>
        </w:rPr>
        <w:t>Eleanor Funk</w:t>
      </w:r>
      <w:r w:rsidR="004738DA" w:rsidRPr="004738DA">
        <w:rPr>
          <w:rStyle w:val="SCCCounselPartyRoleChar"/>
          <w:lang w:val="en-US"/>
        </w:rPr>
        <w:t>, pour l’</w:t>
      </w:r>
      <w:r w:rsidRPr="004738DA">
        <w:rPr>
          <w:rStyle w:val="SCCCounselPartyRoleChar"/>
          <w:lang w:val="en-US"/>
        </w:rPr>
        <w:t>appelant</w:t>
      </w:r>
      <w:r w:rsidR="000F743C">
        <w:rPr>
          <w:rStyle w:val="SCCCounselPartyRoleChar"/>
          <w:lang w:val="en-US"/>
        </w:rPr>
        <w:t>.</w:t>
      </w:r>
    </w:p>
    <w:p w:rsidR="00A175AF" w:rsidRPr="004738DA" w:rsidRDefault="00A175AF">
      <w:pPr>
        <w:pStyle w:val="SCCNormalDoubleSpacing"/>
        <w:rPr>
          <w:lang w:val="en-US"/>
        </w:rPr>
      </w:pPr>
    </w:p>
    <w:p w:rsidR="00A175AF" w:rsidRPr="007B6104" w:rsidRDefault="00800730">
      <w:pPr>
        <w:pStyle w:val="SCCNormalDoubleSpacing"/>
        <w:rPr>
          <w:lang w:val="fr-CA"/>
        </w:rPr>
      </w:pPr>
      <w:r w:rsidRPr="004738DA">
        <w:rPr>
          <w:rStyle w:val="SCCCounselNameChar"/>
          <w:lang w:val="en-US"/>
        </w:rPr>
        <w:tab/>
      </w:r>
      <w:r w:rsidRPr="007B6104">
        <w:rPr>
          <w:rStyle w:val="SCCCounselNameChar"/>
          <w:lang w:val="fr-CA"/>
        </w:rPr>
        <w:t>Jolaine Antonio</w:t>
      </w:r>
      <w:r w:rsidRPr="007B6104">
        <w:rPr>
          <w:rStyle w:val="SCCCounselSeparatorChar"/>
          <w:lang w:val="fr-CA"/>
        </w:rPr>
        <w:t xml:space="preserve"> et </w:t>
      </w:r>
      <w:r w:rsidRPr="007B6104">
        <w:rPr>
          <w:rStyle w:val="SCCCounselNameChar"/>
          <w:lang w:val="fr-CA"/>
        </w:rPr>
        <w:t>Matt Dalidowicz</w:t>
      </w:r>
      <w:r w:rsidR="004738DA">
        <w:rPr>
          <w:rStyle w:val="SCCCounselPartyRoleChar"/>
          <w:lang w:val="fr-CA"/>
        </w:rPr>
        <w:t>, pour l’</w:t>
      </w:r>
      <w:r w:rsidR="000F743C">
        <w:rPr>
          <w:rStyle w:val="SCCCounselPartyRoleChar"/>
          <w:lang w:val="fr-CA"/>
        </w:rPr>
        <w:t>intimé</w:t>
      </w:r>
      <w:r w:rsidRPr="007B6104">
        <w:rPr>
          <w:rStyle w:val="SCCCounselPartyRoleChar"/>
          <w:lang w:val="fr-CA"/>
        </w:rPr>
        <w:t>e.</w:t>
      </w:r>
    </w:p>
    <w:p w:rsidR="00A175AF" w:rsidRDefault="00A175AF">
      <w:pPr>
        <w:pStyle w:val="SCCNormalDoubleSpacing"/>
        <w:rPr>
          <w:lang w:val="fr-CA"/>
        </w:rPr>
      </w:pPr>
    </w:p>
    <w:p w:rsidR="00EB31C6" w:rsidRPr="00F911F7" w:rsidRDefault="00EB31C6" w:rsidP="00EB31C6">
      <w:pPr>
        <w:pStyle w:val="SCCNormalDoubleSpacing"/>
        <w:rPr>
          <w:lang w:val="fr-CA"/>
        </w:rPr>
      </w:pPr>
      <w:r>
        <w:rPr>
          <w:lang w:val="fr-CA"/>
        </w:rPr>
        <w:tab/>
      </w:r>
      <w:r w:rsidRPr="00F911F7">
        <w:rPr>
          <w:lang w:val="fr-CA"/>
        </w:rPr>
        <w:t>Version française du jugement de la Cour rendu oralement par</w:t>
      </w:r>
    </w:p>
    <w:p w:rsidR="00EB31C6" w:rsidRPr="005164D4" w:rsidRDefault="00EB31C6" w:rsidP="00EB31C6">
      <w:pPr>
        <w:pStyle w:val="ParaNoNdepar-AltN"/>
        <w:rPr>
          <w:smallCaps/>
          <w:lang w:val="fr-CA"/>
        </w:rPr>
      </w:pPr>
      <w:r>
        <w:rPr>
          <w:smallCaps/>
          <w:lang w:val="fr-CA"/>
        </w:rPr>
        <w:t xml:space="preserve">La Juge en chef </w:t>
      </w:r>
      <w:r w:rsidRPr="00767210">
        <w:rPr>
          <w:rFonts w:cs="Times New Roman"/>
          <w:smallCaps/>
          <w:lang w:val="fr-CA"/>
        </w:rPr>
        <w:t>—</w:t>
      </w:r>
      <w:r>
        <w:rPr>
          <w:rFonts w:cs="Times New Roman"/>
          <w:smallCaps/>
          <w:lang w:val="fr-CA"/>
        </w:rPr>
        <w:t xml:space="preserve"> </w:t>
      </w:r>
      <w:r w:rsidRPr="005D4EBB">
        <w:rPr>
          <w:rFonts w:cs="Times New Roman"/>
          <w:lang w:val="fr-CA"/>
        </w:rPr>
        <w:t xml:space="preserve">Dans </w:t>
      </w:r>
      <w:r>
        <w:rPr>
          <w:rFonts w:cs="Times New Roman"/>
          <w:lang w:val="fr-CA"/>
        </w:rPr>
        <w:t xml:space="preserve">le présent </w:t>
      </w:r>
      <w:r w:rsidRPr="005D4EBB">
        <w:rPr>
          <w:rFonts w:cs="Times New Roman"/>
          <w:lang w:val="fr-CA"/>
        </w:rPr>
        <w:t>appel de plein droit, l’</w:t>
      </w:r>
      <w:r>
        <w:rPr>
          <w:rFonts w:cs="Times New Roman"/>
          <w:lang w:val="fr-CA"/>
        </w:rPr>
        <w:t xml:space="preserve">appelant soulève trois </w:t>
      </w:r>
      <w:r w:rsidRPr="005D4EBB">
        <w:rPr>
          <w:rFonts w:cs="Times New Roman"/>
          <w:lang w:val="fr-CA"/>
        </w:rPr>
        <w:t xml:space="preserve">questions de droit </w:t>
      </w:r>
      <w:r>
        <w:rPr>
          <w:rFonts w:cs="Times New Roman"/>
          <w:lang w:val="fr-CA"/>
        </w:rPr>
        <w:t xml:space="preserve">sur lesquelles une juge de la Cour d’appel de l’Alberta a exprimé sa dissidence. </w:t>
      </w:r>
      <w:r w:rsidRPr="005D4EBB">
        <w:rPr>
          <w:rFonts w:cs="Times New Roman"/>
          <w:lang w:val="fr-CA"/>
        </w:rPr>
        <w:t xml:space="preserve">  </w:t>
      </w:r>
      <w:r w:rsidRPr="00DB7996">
        <w:rPr>
          <w:rFonts w:cs="Times New Roman"/>
          <w:lang w:val="fr-CA"/>
        </w:rPr>
        <w:t>Deux de ces questions peuvent être</w:t>
      </w:r>
      <w:r>
        <w:rPr>
          <w:rFonts w:cs="Times New Roman"/>
          <w:lang w:val="fr-CA"/>
        </w:rPr>
        <w:t xml:space="preserve"> </w:t>
      </w:r>
      <w:r w:rsidRPr="00DB7996">
        <w:rPr>
          <w:rFonts w:cs="Times New Roman"/>
          <w:lang w:val="fr-CA"/>
        </w:rPr>
        <w:t xml:space="preserve">tranchées sommairement.  </w:t>
      </w:r>
      <w:r>
        <w:rPr>
          <w:rFonts w:cs="Times New Roman"/>
          <w:lang w:val="fr-CA"/>
        </w:rPr>
        <w:t xml:space="preserve">Premièrement, </w:t>
      </w:r>
      <w:r w:rsidRPr="00DB7996">
        <w:rPr>
          <w:rFonts w:cs="Times New Roman"/>
          <w:lang w:val="fr-CA"/>
        </w:rPr>
        <w:t xml:space="preserve">l’appelant soutient que la juge du procès était tenue, dans ses </w:t>
      </w:r>
      <w:r>
        <w:rPr>
          <w:rFonts w:cs="Times New Roman"/>
          <w:lang w:val="fr-CA"/>
        </w:rPr>
        <w:t xml:space="preserve">directives sur le doute raisonnable, de dire expressément aux jurés qu’ils devaient acquitter les deux accusés s’ils étaient incapables de décider lequel de ceux-ci avait commis le meurtre.  Deuxièmement, </w:t>
      </w:r>
      <w:r w:rsidRPr="00563CF2">
        <w:rPr>
          <w:rFonts w:cs="Times New Roman"/>
          <w:lang w:val="fr-CA"/>
        </w:rPr>
        <w:t xml:space="preserve">l’appelant </w:t>
      </w:r>
      <w:r>
        <w:rPr>
          <w:rFonts w:cs="Times New Roman"/>
          <w:lang w:val="fr-CA"/>
        </w:rPr>
        <w:t>prétend</w:t>
      </w:r>
      <w:r w:rsidRPr="00563CF2">
        <w:rPr>
          <w:rFonts w:cs="Times New Roman"/>
          <w:lang w:val="fr-CA"/>
        </w:rPr>
        <w:t xml:space="preserve"> que la juge du procès n’a pas expliqué </w:t>
      </w:r>
      <w:r>
        <w:rPr>
          <w:rFonts w:cs="Times New Roman"/>
          <w:lang w:val="fr-CA"/>
        </w:rPr>
        <w:t xml:space="preserve">adéquatement </w:t>
      </w:r>
      <w:r w:rsidRPr="00563CF2">
        <w:rPr>
          <w:rFonts w:cs="Times New Roman"/>
          <w:lang w:val="fr-CA"/>
        </w:rPr>
        <w:t xml:space="preserve">au jury le lien entre la </w:t>
      </w:r>
      <w:r>
        <w:rPr>
          <w:rFonts w:cs="Times New Roman"/>
          <w:lang w:val="fr-CA"/>
        </w:rPr>
        <w:t xml:space="preserve">défense d’ivresse et la </w:t>
      </w:r>
      <w:r w:rsidRPr="00563CF2">
        <w:rPr>
          <w:rFonts w:cs="Times New Roman"/>
          <w:i/>
          <w:lang w:val="fr-CA"/>
        </w:rPr>
        <w:t xml:space="preserve">mens rea </w:t>
      </w:r>
      <w:r w:rsidRPr="00563CF2">
        <w:rPr>
          <w:rFonts w:cs="Times New Roman"/>
          <w:lang w:val="fr-CA"/>
        </w:rPr>
        <w:lastRenderedPageBreak/>
        <w:t>requi</w:t>
      </w:r>
      <w:r>
        <w:rPr>
          <w:rFonts w:cs="Times New Roman"/>
          <w:lang w:val="fr-CA"/>
        </w:rPr>
        <w:t xml:space="preserve">se pour l’infraction d’avoir aidé et encouragé quelqu’un à commettre un meurtre au deuxième degré.  </w:t>
      </w:r>
      <w:r w:rsidRPr="007D7126">
        <w:rPr>
          <w:rFonts w:cs="Times New Roman"/>
          <w:lang w:val="fr-CA"/>
        </w:rPr>
        <w:t xml:space="preserve">Pour les motifs exposés par la juge Rowbotham de la Cour d’appel,  nous </w:t>
      </w:r>
      <w:r>
        <w:rPr>
          <w:rFonts w:cs="Times New Roman"/>
          <w:lang w:val="fr-CA"/>
        </w:rPr>
        <w:t xml:space="preserve">sommes d’avis de rejeter </w:t>
      </w:r>
      <w:r w:rsidRPr="007D7126">
        <w:rPr>
          <w:rFonts w:cs="Times New Roman"/>
          <w:lang w:val="fr-CA"/>
        </w:rPr>
        <w:t>ces moyens d’appel.</w:t>
      </w:r>
      <w:r w:rsidRPr="007D7126">
        <w:rPr>
          <w:smallCaps/>
          <w:lang w:val="fr-CA"/>
        </w:rPr>
        <w:t xml:space="preserve"> </w:t>
      </w:r>
    </w:p>
    <w:p w:rsidR="00EB31C6" w:rsidRPr="005F343D" w:rsidRDefault="00EB31C6" w:rsidP="00EB31C6">
      <w:pPr>
        <w:pStyle w:val="ParaNoNdepar-AltN"/>
        <w:rPr>
          <w:rFonts w:cs="Times New Roman"/>
          <w:lang w:val="fr-CA"/>
        </w:rPr>
      </w:pPr>
      <w:r w:rsidRPr="00023204">
        <w:rPr>
          <w:rFonts w:cs="Times New Roman"/>
          <w:lang w:val="fr-CA"/>
        </w:rPr>
        <w:t xml:space="preserve">Le troisième moyen d’appel porte </w:t>
      </w:r>
      <w:r w:rsidRPr="00DD20B4">
        <w:rPr>
          <w:rFonts w:cs="Times New Roman"/>
          <w:lang w:val="fr-CA"/>
        </w:rPr>
        <w:t>sur</w:t>
      </w:r>
      <w:r w:rsidRPr="00023204">
        <w:rPr>
          <w:rFonts w:cs="Times New Roman"/>
          <w:lang w:val="fr-CA"/>
        </w:rPr>
        <w:t xml:space="preserve"> certaines déclarations extrajudiciaires </w:t>
      </w:r>
      <w:r>
        <w:rPr>
          <w:rFonts w:cs="Times New Roman"/>
          <w:lang w:val="fr-CA"/>
        </w:rPr>
        <w:t xml:space="preserve">faites par le </w:t>
      </w:r>
      <w:r w:rsidRPr="00023204">
        <w:rPr>
          <w:rFonts w:cs="Times New Roman"/>
          <w:lang w:val="fr-CA"/>
        </w:rPr>
        <w:t xml:space="preserve">co-accusé de l’appelant </w:t>
      </w:r>
      <w:r>
        <w:rPr>
          <w:rFonts w:cs="Times New Roman"/>
          <w:lang w:val="fr-CA"/>
        </w:rPr>
        <w:t xml:space="preserve">et </w:t>
      </w:r>
      <w:r w:rsidRPr="00023204">
        <w:rPr>
          <w:rFonts w:cs="Times New Roman"/>
          <w:lang w:val="fr-CA"/>
        </w:rPr>
        <w:t xml:space="preserve">que le ministère public a </w:t>
      </w:r>
      <w:r>
        <w:rPr>
          <w:rFonts w:cs="Times New Roman"/>
          <w:lang w:val="fr-CA"/>
        </w:rPr>
        <w:t>déposées</w:t>
      </w:r>
      <w:r w:rsidRPr="00023204">
        <w:rPr>
          <w:rFonts w:cs="Times New Roman"/>
          <w:lang w:val="fr-CA"/>
        </w:rPr>
        <w:t xml:space="preserve"> en preuve contre le co-accusé </w:t>
      </w:r>
      <w:r>
        <w:rPr>
          <w:rFonts w:cs="Times New Roman"/>
          <w:lang w:val="fr-CA"/>
        </w:rPr>
        <w:t>en tant qu’</w:t>
      </w:r>
      <w:r w:rsidRPr="00023204">
        <w:rPr>
          <w:rFonts w:cs="Times New Roman"/>
          <w:lang w:val="fr-CA"/>
        </w:rPr>
        <w:t>aveux</w:t>
      </w:r>
      <w:r>
        <w:rPr>
          <w:rFonts w:cs="Times New Roman"/>
          <w:lang w:val="fr-CA"/>
        </w:rPr>
        <w:t xml:space="preserve">.  L’appelant plaide que </w:t>
      </w:r>
      <w:r w:rsidRPr="005F343D">
        <w:rPr>
          <w:rFonts w:cs="Times New Roman"/>
          <w:lang w:val="fr-CA"/>
        </w:rPr>
        <w:t xml:space="preserve">la juge du procès a fait erreur en </w:t>
      </w:r>
      <w:r>
        <w:rPr>
          <w:rFonts w:cs="Times New Roman"/>
          <w:lang w:val="fr-CA"/>
        </w:rPr>
        <w:t xml:space="preserve">omettant de dire </w:t>
      </w:r>
      <w:r w:rsidRPr="005F343D">
        <w:rPr>
          <w:rFonts w:cs="Times New Roman"/>
          <w:lang w:val="fr-CA"/>
        </w:rPr>
        <w:t>au</w:t>
      </w:r>
      <w:r>
        <w:rPr>
          <w:rFonts w:cs="Times New Roman"/>
          <w:lang w:val="fr-CA"/>
        </w:rPr>
        <w:t>x</w:t>
      </w:r>
      <w:r w:rsidRPr="005F343D">
        <w:rPr>
          <w:rFonts w:cs="Times New Roman"/>
          <w:lang w:val="fr-CA"/>
        </w:rPr>
        <w:t xml:space="preserve"> jur</w:t>
      </w:r>
      <w:r>
        <w:rPr>
          <w:rFonts w:cs="Times New Roman"/>
          <w:lang w:val="fr-CA"/>
        </w:rPr>
        <w:t>és</w:t>
      </w:r>
      <w:r w:rsidRPr="005F343D">
        <w:rPr>
          <w:rFonts w:cs="Times New Roman"/>
          <w:lang w:val="fr-CA"/>
        </w:rPr>
        <w:t xml:space="preserve"> qu</w:t>
      </w:r>
      <w:r>
        <w:rPr>
          <w:rFonts w:cs="Times New Roman"/>
          <w:lang w:val="fr-CA"/>
        </w:rPr>
        <w:t xml:space="preserve">e, pour rendre leur verdict à l’égard de l’appelant, </w:t>
      </w:r>
      <w:r w:rsidRPr="005F343D">
        <w:rPr>
          <w:rFonts w:cs="Times New Roman"/>
          <w:lang w:val="fr-CA"/>
        </w:rPr>
        <w:t>il</w:t>
      </w:r>
      <w:r>
        <w:rPr>
          <w:rFonts w:cs="Times New Roman"/>
          <w:lang w:val="fr-CA"/>
        </w:rPr>
        <w:t>s</w:t>
      </w:r>
      <w:r w:rsidRPr="005F343D">
        <w:rPr>
          <w:rFonts w:cs="Times New Roman"/>
          <w:lang w:val="fr-CA"/>
        </w:rPr>
        <w:t xml:space="preserve"> pouvai</w:t>
      </w:r>
      <w:r>
        <w:rPr>
          <w:rFonts w:cs="Times New Roman"/>
          <w:lang w:val="fr-CA"/>
        </w:rPr>
        <w:t>ent</w:t>
      </w:r>
      <w:r w:rsidRPr="005F343D">
        <w:rPr>
          <w:rFonts w:cs="Times New Roman"/>
          <w:lang w:val="fr-CA"/>
        </w:rPr>
        <w:t xml:space="preserve"> </w:t>
      </w:r>
      <w:r>
        <w:rPr>
          <w:rFonts w:cs="Times New Roman"/>
          <w:lang w:val="fr-CA"/>
        </w:rPr>
        <w:t>s’appuyer sur c</w:t>
      </w:r>
      <w:r w:rsidRPr="005F343D">
        <w:rPr>
          <w:rFonts w:cs="Times New Roman"/>
          <w:lang w:val="fr-CA"/>
        </w:rPr>
        <w:t>es déclarat</w:t>
      </w:r>
      <w:r>
        <w:rPr>
          <w:rFonts w:cs="Times New Roman"/>
          <w:lang w:val="fr-CA"/>
        </w:rPr>
        <w:t xml:space="preserve">ions comme </w:t>
      </w:r>
      <w:r w:rsidRPr="00020759">
        <w:rPr>
          <w:rFonts w:cs="Times New Roman"/>
          <w:lang w:val="fr-CA"/>
        </w:rPr>
        <w:t>preuve</w:t>
      </w:r>
      <w:r>
        <w:rPr>
          <w:rFonts w:cs="Times New Roman"/>
          <w:lang w:val="fr-CA"/>
        </w:rPr>
        <w:t>s</w:t>
      </w:r>
      <w:r w:rsidRPr="00020759">
        <w:rPr>
          <w:rFonts w:cs="Times New Roman"/>
          <w:lang w:val="fr-CA"/>
        </w:rPr>
        <w:t xml:space="preserve"> de la véracité de leur contenu</w:t>
      </w:r>
      <w:r w:rsidRPr="005F343D">
        <w:rPr>
          <w:rFonts w:cs="Times New Roman"/>
          <w:lang w:val="fr-CA"/>
        </w:rPr>
        <w:t>.</w:t>
      </w:r>
    </w:p>
    <w:p w:rsidR="00EB31C6" w:rsidRPr="00B75421" w:rsidRDefault="00EB31C6" w:rsidP="00EB31C6">
      <w:pPr>
        <w:pStyle w:val="ParaNoNdepar-AltN"/>
        <w:rPr>
          <w:rFonts w:cs="Times New Roman"/>
          <w:lang w:val="fr-CA"/>
        </w:rPr>
      </w:pPr>
      <w:r>
        <w:rPr>
          <w:rFonts w:cs="Times New Roman"/>
          <w:lang w:val="fr-CA"/>
        </w:rPr>
        <w:t xml:space="preserve">Cet argument ne peut selon nous </w:t>
      </w:r>
      <w:r w:rsidRPr="00DD20B4">
        <w:rPr>
          <w:rFonts w:cs="Times New Roman"/>
          <w:lang w:val="fr-CA"/>
        </w:rPr>
        <w:t>être</w:t>
      </w:r>
      <w:r>
        <w:rPr>
          <w:rFonts w:cs="Times New Roman"/>
          <w:lang w:val="fr-CA"/>
        </w:rPr>
        <w:t xml:space="preserve"> retenu</w:t>
      </w:r>
      <w:r w:rsidRPr="00014FFF">
        <w:rPr>
          <w:rFonts w:cs="Times New Roman"/>
          <w:lang w:val="fr-CA"/>
        </w:rPr>
        <w:t xml:space="preserve">. </w:t>
      </w:r>
      <w:r>
        <w:rPr>
          <w:rFonts w:cs="Times New Roman"/>
          <w:lang w:val="fr-CA"/>
        </w:rPr>
        <w:t xml:space="preserve"> Selon la</w:t>
      </w:r>
      <w:r w:rsidRPr="005164D4">
        <w:rPr>
          <w:rFonts w:cs="Times New Roman"/>
          <w:lang w:val="fr-CA"/>
        </w:rPr>
        <w:t xml:space="preserve"> règle générale</w:t>
      </w:r>
      <w:r>
        <w:rPr>
          <w:rFonts w:cs="Times New Roman"/>
          <w:lang w:val="fr-CA"/>
        </w:rPr>
        <w:t xml:space="preserve">, </w:t>
      </w:r>
      <w:r w:rsidRPr="005164D4">
        <w:rPr>
          <w:rFonts w:cs="Times New Roman"/>
          <w:lang w:val="fr-CA"/>
        </w:rPr>
        <w:t>les déclarations extrajudiciaires d’une partie p</w:t>
      </w:r>
      <w:r>
        <w:rPr>
          <w:rFonts w:cs="Times New Roman"/>
          <w:lang w:val="fr-CA"/>
        </w:rPr>
        <w:t xml:space="preserve">euvent </w:t>
      </w:r>
      <w:r w:rsidRPr="005164D4">
        <w:rPr>
          <w:rFonts w:cs="Times New Roman"/>
          <w:lang w:val="fr-CA"/>
        </w:rPr>
        <w:t xml:space="preserve">être produites en preuve par une partie adverse </w:t>
      </w:r>
      <w:r>
        <w:rPr>
          <w:rFonts w:cs="Times New Roman"/>
          <w:lang w:val="fr-CA"/>
        </w:rPr>
        <w:t>comme preuves de la véracité de leur contenu.  Mais, comme l’a dit au jury la juge du procès, en général les déclarations admises en preuve sur cette base peuvent être utilisées uniquement pour décider du sort de leur auteur</w:t>
      </w:r>
      <w:r w:rsidRPr="00D24E52">
        <w:rPr>
          <w:rFonts w:cs="Times New Roman"/>
          <w:lang w:val="fr-CA"/>
        </w:rPr>
        <w:t xml:space="preserve">.  </w:t>
      </w:r>
      <w:r>
        <w:rPr>
          <w:rFonts w:cs="Times New Roman"/>
          <w:lang w:val="fr-CA"/>
        </w:rPr>
        <w:t>Elle a formulé cette directive standard avec l’assentiment exprès des avocats au procès</w:t>
      </w:r>
      <w:r w:rsidRPr="00D24E52">
        <w:rPr>
          <w:rFonts w:cs="Times New Roman"/>
          <w:lang w:val="fr-CA"/>
        </w:rPr>
        <w:t xml:space="preserve">. </w:t>
      </w:r>
      <w:r>
        <w:rPr>
          <w:rFonts w:cs="Times New Roman"/>
          <w:lang w:val="fr-CA"/>
        </w:rPr>
        <w:t xml:space="preserve"> Elle n’a pas commis d’erreur en le faisant.  Au procès, l</w:t>
      </w:r>
      <w:r w:rsidRPr="00B75421">
        <w:rPr>
          <w:rFonts w:cs="Times New Roman"/>
          <w:lang w:val="fr-CA"/>
        </w:rPr>
        <w:t xml:space="preserve">’avocat </w:t>
      </w:r>
      <w:r>
        <w:rPr>
          <w:rFonts w:cs="Times New Roman"/>
          <w:lang w:val="fr-CA"/>
        </w:rPr>
        <w:t xml:space="preserve">de </w:t>
      </w:r>
      <w:r w:rsidRPr="00B75421">
        <w:rPr>
          <w:rFonts w:cs="Times New Roman"/>
          <w:lang w:val="fr-CA"/>
        </w:rPr>
        <w:t xml:space="preserve">l’appelant n’a pas </w:t>
      </w:r>
      <w:r>
        <w:rPr>
          <w:rFonts w:cs="Times New Roman"/>
          <w:lang w:val="fr-CA"/>
        </w:rPr>
        <w:t xml:space="preserve">tenté, dans le cadre de la défense de son client, de </w:t>
      </w:r>
      <w:r w:rsidRPr="00B75421">
        <w:rPr>
          <w:rFonts w:cs="Times New Roman"/>
          <w:lang w:val="fr-CA"/>
        </w:rPr>
        <w:t>présenter les d</w:t>
      </w:r>
      <w:r>
        <w:rPr>
          <w:rFonts w:cs="Times New Roman"/>
          <w:lang w:val="fr-CA"/>
        </w:rPr>
        <w:t>é</w:t>
      </w:r>
      <w:r w:rsidRPr="00B75421">
        <w:rPr>
          <w:rFonts w:cs="Times New Roman"/>
          <w:lang w:val="fr-CA"/>
        </w:rPr>
        <w:t xml:space="preserve">clarations extrajudiciaires du co-accusé </w:t>
      </w:r>
      <w:r>
        <w:rPr>
          <w:rFonts w:cs="Times New Roman"/>
          <w:lang w:val="fr-CA"/>
        </w:rPr>
        <w:t>comme preuves de la véracité de leur contenu en vertu de l’approche rai</w:t>
      </w:r>
      <w:r w:rsidRPr="00B75421">
        <w:rPr>
          <w:rFonts w:cs="Times New Roman"/>
          <w:lang w:val="fr-CA"/>
        </w:rPr>
        <w:t>s</w:t>
      </w:r>
      <w:r>
        <w:rPr>
          <w:rFonts w:cs="Times New Roman"/>
          <w:lang w:val="fr-CA"/>
        </w:rPr>
        <w:t>onnée en matière de ouï-dire ou de quelque autre fondement</w:t>
      </w:r>
      <w:r w:rsidRPr="00B75421">
        <w:rPr>
          <w:rFonts w:cs="Times New Roman"/>
          <w:lang w:val="fr-CA"/>
        </w:rPr>
        <w:t xml:space="preserve">. </w:t>
      </w:r>
    </w:p>
    <w:p w:rsidR="00EB31C6" w:rsidRPr="007E5DA0" w:rsidRDefault="00EB31C6" w:rsidP="00EB31C6">
      <w:pPr>
        <w:pStyle w:val="ParaNoNdepar-AltN"/>
        <w:rPr>
          <w:rFonts w:cs="Times New Roman"/>
          <w:lang w:val="fr-CA"/>
        </w:rPr>
      </w:pPr>
      <w:r>
        <w:rPr>
          <w:rFonts w:cs="Times New Roman"/>
          <w:lang w:val="fr-CA"/>
        </w:rPr>
        <w:t xml:space="preserve">Il semble que rien </w:t>
      </w:r>
      <w:r w:rsidRPr="00EB31C6">
        <w:rPr>
          <w:rFonts w:cs="Times New Roman"/>
          <w:lang w:val="fr-CA"/>
        </w:rPr>
        <w:t>n’empêchait</w:t>
      </w:r>
      <w:r>
        <w:rPr>
          <w:rFonts w:cs="Times New Roman"/>
          <w:lang w:val="fr-CA"/>
        </w:rPr>
        <w:t xml:space="preserve"> </w:t>
      </w:r>
      <w:r w:rsidRPr="00492C39">
        <w:rPr>
          <w:rFonts w:cs="Times New Roman"/>
          <w:lang w:val="fr-CA"/>
        </w:rPr>
        <w:t>l’appelant de tenter de soumettre ces déclarations comme preuve</w:t>
      </w:r>
      <w:r>
        <w:rPr>
          <w:rFonts w:cs="Times New Roman"/>
          <w:lang w:val="fr-CA"/>
        </w:rPr>
        <w:t>s</w:t>
      </w:r>
      <w:r w:rsidRPr="00492C39">
        <w:rPr>
          <w:rFonts w:cs="Times New Roman"/>
          <w:lang w:val="fr-CA"/>
        </w:rPr>
        <w:t xml:space="preserve"> de la véracité de leur contenu suivant </w:t>
      </w:r>
      <w:r>
        <w:rPr>
          <w:rFonts w:cs="Times New Roman"/>
          <w:lang w:val="fr-CA"/>
        </w:rPr>
        <w:t>cette approche</w:t>
      </w:r>
      <w:r w:rsidRPr="00492C39">
        <w:rPr>
          <w:rFonts w:cs="Times New Roman"/>
          <w:lang w:val="fr-CA"/>
        </w:rPr>
        <w:t xml:space="preserve">. </w:t>
      </w:r>
      <w:r>
        <w:rPr>
          <w:rFonts w:cs="Times New Roman"/>
          <w:lang w:val="fr-CA"/>
        </w:rPr>
        <w:t xml:space="preserve"> </w:t>
      </w:r>
      <w:r w:rsidRPr="00747890">
        <w:rPr>
          <w:rFonts w:cs="Times New Roman"/>
          <w:lang w:val="fr-CA"/>
        </w:rPr>
        <w:t xml:space="preserve">Or, </w:t>
      </w:r>
      <w:r>
        <w:rPr>
          <w:rFonts w:cs="Times New Roman"/>
          <w:lang w:val="fr-CA"/>
        </w:rPr>
        <w:t>aucune tentative de la sorte n</w:t>
      </w:r>
      <w:r w:rsidRPr="00747890">
        <w:rPr>
          <w:rFonts w:cs="Times New Roman"/>
          <w:lang w:val="fr-CA"/>
        </w:rPr>
        <w:t xml:space="preserve">’a </w:t>
      </w:r>
      <w:r>
        <w:rPr>
          <w:rFonts w:cs="Times New Roman"/>
          <w:lang w:val="fr-CA"/>
        </w:rPr>
        <w:t>été faite</w:t>
      </w:r>
      <w:r w:rsidRPr="00747890">
        <w:rPr>
          <w:rFonts w:cs="Times New Roman"/>
          <w:lang w:val="fr-CA"/>
        </w:rPr>
        <w:t xml:space="preserve"> en l’espèce.  </w:t>
      </w:r>
      <w:r>
        <w:rPr>
          <w:rFonts w:cs="Times New Roman"/>
          <w:lang w:val="fr-CA"/>
        </w:rPr>
        <w:t xml:space="preserve">Il ne s’est donc rien produit </w:t>
      </w:r>
      <w:r>
        <w:rPr>
          <w:rFonts w:cs="Times New Roman"/>
          <w:lang w:val="fr-CA"/>
        </w:rPr>
        <w:lastRenderedPageBreak/>
        <w:t xml:space="preserve">qui aurait justifié la </w:t>
      </w:r>
      <w:r w:rsidRPr="00683E58">
        <w:rPr>
          <w:rFonts w:cs="Times New Roman"/>
          <w:lang w:val="fr-CA"/>
        </w:rPr>
        <w:t xml:space="preserve">juge </w:t>
      </w:r>
      <w:r>
        <w:rPr>
          <w:rFonts w:cs="Times New Roman"/>
          <w:lang w:val="fr-CA"/>
        </w:rPr>
        <w:t>de formuler l</w:t>
      </w:r>
      <w:r w:rsidRPr="00683E58">
        <w:rPr>
          <w:rFonts w:cs="Times New Roman"/>
          <w:lang w:val="fr-CA"/>
        </w:rPr>
        <w:t xml:space="preserve">a directive </w:t>
      </w:r>
      <w:r>
        <w:rPr>
          <w:rFonts w:cs="Times New Roman"/>
          <w:lang w:val="fr-CA"/>
        </w:rPr>
        <w:t>sollicitée</w:t>
      </w:r>
      <w:r w:rsidRPr="00683E58">
        <w:rPr>
          <w:rFonts w:cs="Times New Roman"/>
          <w:lang w:val="fr-CA"/>
        </w:rPr>
        <w:t xml:space="preserve"> aujourd’hui.  </w:t>
      </w:r>
      <w:r w:rsidRPr="007E5DA0">
        <w:rPr>
          <w:rFonts w:cs="Times New Roman"/>
          <w:lang w:val="fr-CA"/>
        </w:rPr>
        <w:t>S</w:t>
      </w:r>
      <w:r>
        <w:rPr>
          <w:rFonts w:cs="Times New Roman"/>
          <w:lang w:val="fr-CA"/>
        </w:rPr>
        <w:t xml:space="preserve">oulignons </w:t>
      </w:r>
      <w:r w:rsidRPr="007E5DA0">
        <w:rPr>
          <w:rFonts w:cs="Times New Roman"/>
          <w:lang w:val="fr-CA"/>
        </w:rPr>
        <w:t xml:space="preserve">que l’affaire </w:t>
      </w:r>
      <w:r w:rsidRPr="007E5DA0">
        <w:rPr>
          <w:rFonts w:cs="Times New Roman"/>
          <w:i/>
          <w:lang w:val="fr-CA"/>
        </w:rPr>
        <w:t>R. c. Edwards</w:t>
      </w:r>
      <w:r w:rsidRPr="007E5DA0">
        <w:rPr>
          <w:rFonts w:cs="Times New Roman"/>
          <w:lang w:val="fr-CA"/>
        </w:rPr>
        <w:t>, 2004 BCCA</w:t>
      </w:r>
      <w:r>
        <w:rPr>
          <w:rFonts w:cs="Times New Roman"/>
          <w:lang w:val="fr-CA"/>
        </w:rPr>
        <w:t xml:space="preserve"> 558</w:t>
      </w:r>
      <w:r w:rsidRPr="007E5DA0">
        <w:rPr>
          <w:rFonts w:cs="Times New Roman"/>
          <w:lang w:val="fr-CA"/>
        </w:rPr>
        <w:t>,</w:t>
      </w:r>
      <w:r w:rsidR="00DE580F">
        <w:rPr>
          <w:rFonts w:cs="Times New Roman"/>
          <w:lang w:val="fr-CA"/>
        </w:rPr>
        <w:t xml:space="preserve"> 205 B.C.A.C. 42, o</w:t>
      </w:r>
      <w:r w:rsidRPr="007E5DA0">
        <w:rPr>
          <w:rFonts w:cs="Times New Roman"/>
          <w:lang w:val="fr-CA"/>
        </w:rPr>
        <w:t>ù un accusé a produit en preuve pour sa défense la déclaration incriminante</w:t>
      </w:r>
      <w:r>
        <w:rPr>
          <w:rFonts w:cs="Times New Roman"/>
          <w:lang w:val="fr-CA"/>
        </w:rPr>
        <w:t xml:space="preserve"> de son co-accusé, </w:t>
      </w:r>
      <w:r w:rsidRPr="007E5DA0">
        <w:rPr>
          <w:rFonts w:cs="Times New Roman"/>
          <w:lang w:val="fr-CA"/>
        </w:rPr>
        <w:t>soulève d</w:t>
      </w:r>
      <w:r>
        <w:rPr>
          <w:rFonts w:cs="Times New Roman"/>
          <w:lang w:val="fr-CA"/>
        </w:rPr>
        <w:t xml:space="preserve">es </w:t>
      </w:r>
      <w:r w:rsidRPr="007E5DA0">
        <w:rPr>
          <w:rFonts w:cs="Times New Roman"/>
          <w:lang w:val="fr-CA"/>
        </w:rPr>
        <w:t xml:space="preserve">questions </w:t>
      </w:r>
      <w:r>
        <w:rPr>
          <w:rFonts w:cs="Times New Roman"/>
          <w:lang w:val="fr-CA"/>
        </w:rPr>
        <w:t xml:space="preserve">différentes, que nous </w:t>
      </w:r>
      <w:r w:rsidRPr="007E5DA0">
        <w:rPr>
          <w:rFonts w:cs="Times New Roman"/>
          <w:lang w:val="fr-CA"/>
        </w:rPr>
        <w:t xml:space="preserve">n’avons pas à </w:t>
      </w:r>
      <w:r>
        <w:rPr>
          <w:rFonts w:cs="Times New Roman"/>
          <w:lang w:val="fr-CA"/>
        </w:rPr>
        <w:t xml:space="preserve">examiner </w:t>
      </w:r>
      <w:r w:rsidRPr="007E5DA0">
        <w:rPr>
          <w:rFonts w:cs="Times New Roman"/>
          <w:lang w:val="fr-CA"/>
        </w:rPr>
        <w:t>en l’espèce.</w:t>
      </w:r>
    </w:p>
    <w:p w:rsidR="00EB31C6" w:rsidRPr="00C063E1" w:rsidRDefault="00EB31C6" w:rsidP="00EB31C6">
      <w:pPr>
        <w:pStyle w:val="ParaNoNdepar-AltN"/>
        <w:rPr>
          <w:rFonts w:cs="Times New Roman"/>
          <w:lang w:val="fr-CA"/>
        </w:rPr>
      </w:pPr>
      <w:r w:rsidRPr="007E5DA0">
        <w:rPr>
          <w:rFonts w:cs="Times New Roman"/>
          <w:lang w:val="fr-CA"/>
        </w:rPr>
        <w:t>Bien qu</w:t>
      </w:r>
      <w:r>
        <w:rPr>
          <w:rFonts w:cs="Times New Roman"/>
          <w:lang w:val="fr-CA"/>
        </w:rPr>
        <w:t xml:space="preserve">e ce qui précède </w:t>
      </w:r>
      <w:r w:rsidRPr="00EB31C6">
        <w:rPr>
          <w:rFonts w:cs="Times New Roman"/>
          <w:lang w:val="fr-CA"/>
        </w:rPr>
        <w:t>suffise</w:t>
      </w:r>
      <w:r w:rsidRPr="007E5DA0">
        <w:rPr>
          <w:rFonts w:cs="Times New Roman"/>
          <w:lang w:val="fr-CA"/>
        </w:rPr>
        <w:t xml:space="preserve"> </w:t>
      </w:r>
      <w:r w:rsidR="00780B19">
        <w:rPr>
          <w:rFonts w:cs="Times New Roman"/>
          <w:lang w:val="fr-CA"/>
        </w:rPr>
        <w:t>pour</w:t>
      </w:r>
      <w:r w:rsidRPr="007E5DA0">
        <w:rPr>
          <w:rFonts w:cs="Times New Roman"/>
          <w:lang w:val="fr-CA"/>
        </w:rPr>
        <w:t xml:space="preserve"> trancher les questions de droit sur lesquelles reposait la dissidence en Cour d’appel, nous </w:t>
      </w:r>
      <w:r>
        <w:rPr>
          <w:rFonts w:cs="Times New Roman"/>
          <w:lang w:val="fr-CA"/>
        </w:rPr>
        <w:t>tenons également à souligner que les dé</w:t>
      </w:r>
      <w:r w:rsidRPr="007E5DA0">
        <w:rPr>
          <w:rFonts w:cs="Times New Roman"/>
          <w:lang w:val="fr-CA"/>
        </w:rPr>
        <w:t xml:space="preserve">clarations de l’appelant et de son co-accusé étaient </w:t>
      </w:r>
      <w:r>
        <w:rPr>
          <w:rFonts w:cs="Times New Roman"/>
          <w:lang w:val="fr-CA"/>
        </w:rPr>
        <w:t xml:space="preserve">en apparence </w:t>
      </w:r>
      <w:r w:rsidRPr="007E5DA0">
        <w:rPr>
          <w:rFonts w:cs="Times New Roman"/>
          <w:lang w:val="fr-CA"/>
        </w:rPr>
        <w:t xml:space="preserve">très peu fiables et tendaient, en tout état de cause, à les incriminer tous les deux. </w:t>
      </w:r>
      <w:r>
        <w:rPr>
          <w:rFonts w:cs="Times New Roman"/>
          <w:lang w:val="fr-CA"/>
        </w:rPr>
        <w:t xml:space="preserve"> Personne ne prétend que constituait autre chose que des décisions tactiques raisonnables</w:t>
      </w:r>
      <w:r w:rsidRPr="00EF7144">
        <w:rPr>
          <w:rFonts w:cs="Times New Roman"/>
          <w:lang w:val="fr-CA"/>
        </w:rPr>
        <w:t xml:space="preserve"> </w:t>
      </w:r>
      <w:r>
        <w:rPr>
          <w:rFonts w:cs="Times New Roman"/>
          <w:lang w:val="fr-CA"/>
        </w:rPr>
        <w:t xml:space="preserve">le fait pour </w:t>
      </w:r>
      <w:r w:rsidRPr="00EF7144">
        <w:rPr>
          <w:rFonts w:cs="Times New Roman"/>
          <w:lang w:val="fr-CA"/>
        </w:rPr>
        <w:t>l’avocat de la défense de</w:t>
      </w:r>
      <w:r>
        <w:rPr>
          <w:rFonts w:cs="Times New Roman"/>
          <w:lang w:val="fr-CA"/>
        </w:rPr>
        <w:t xml:space="preserve"> ne pas avoir sollicité l’admission de c</w:t>
      </w:r>
      <w:r w:rsidRPr="00EF7144">
        <w:rPr>
          <w:rFonts w:cs="Times New Roman"/>
          <w:lang w:val="fr-CA"/>
        </w:rPr>
        <w:t>es déclarations comme preuve</w:t>
      </w:r>
      <w:r>
        <w:rPr>
          <w:rFonts w:cs="Times New Roman"/>
          <w:lang w:val="fr-CA"/>
        </w:rPr>
        <w:t>s</w:t>
      </w:r>
      <w:r w:rsidRPr="00EF7144">
        <w:rPr>
          <w:rFonts w:cs="Times New Roman"/>
          <w:lang w:val="fr-CA"/>
        </w:rPr>
        <w:t xml:space="preserve"> de la véracité de leur contenu suivant l</w:t>
      </w:r>
      <w:r>
        <w:rPr>
          <w:rFonts w:cs="Times New Roman"/>
          <w:lang w:val="fr-CA"/>
        </w:rPr>
        <w:t xml:space="preserve">’approche </w:t>
      </w:r>
      <w:r w:rsidRPr="00EF7144">
        <w:rPr>
          <w:rFonts w:cs="Times New Roman"/>
          <w:lang w:val="fr-CA"/>
        </w:rPr>
        <w:t xml:space="preserve">raisonnée </w:t>
      </w:r>
      <w:r>
        <w:rPr>
          <w:rFonts w:cs="Times New Roman"/>
          <w:lang w:val="fr-CA"/>
        </w:rPr>
        <w:t>en matière de o</w:t>
      </w:r>
      <w:r w:rsidRPr="00EF7144">
        <w:rPr>
          <w:rFonts w:cs="Times New Roman"/>
          <w:lang w:val="fr-CA"/>
        </w:rPr>
        <w:t>uï</w:t>
      </w:r>
      <w:r>
        <w:rPr>
          <w:rFonts w:cs="Times New Roman"/>
          <w:lang w:val="fr-CA"/>
        </w:rPr>
        <w:t xml:space="preserve">-dire, ou la tenue d’un procès distinct pour que le co-accusé devienne un témoin contraignable.  Aucune raison justifiant de permettre à l’appelant de réexaminer ces questions en appel n’a été démontrée </w:t>
      </w:r>
      <w:r w:rsidRPr="00C063E1">
        <w:rPr>
          <w:rFonts w:cs="Times New Roman"/>
          <w:lang w:val="fr-CA"/>
        </w:rPr>
        <w:t xml:space="preserve">: </w:t>
      </w:r>
      <w:r>
        <w:rPr>
          <w:rFonts w:cs="Times New Roman"/>
          <w:lang w:val="fr-CA"/>
        </w:rPr>
        <w:t xml:space="preserve">voir </w:t>
      </w:r>
      <w:r w:rsidRPr="00C063E1">
        <w:rPr>
          <w:rFonts w:cs="Times New Roman"/>
          <w:i/>
          <w:lang w:val="fr-CA"/>
        </w:rPr>
        <w:t xml:space="preserve">R. </w:t>
      </w:r>
      <w:r>
        <w:rPr>
          <w:rFonts w:cs="Times New Roman"/>
          <w:i/>
          <w:lang w:val="fr-CA"/>
        </w:rPr>
        <w:t>c</w:t>
      </w:r>
      <w:r w:rsidRPr="00C063E1">
        <w:rPr>
          <w:rFonts w:cs="Times New Roman"/>
          <w:i/>
          <w:lang w:val="fr-CA"/>
        </w:rPr>
        <w:t>. J.F.</w:t>
      </w:r>
      <w:r>
        <w:rPr>
          <w:rFonts w:cs="Times New Roman"/>
          <w:lang w:val="fr-CA"/>
        </w:rPr>
        <w:t xml:space="preserve">, 2013 </w:t>
      </w:r>
      <w:r w:rsidRPr="00C063E1">
        <w:rPr>
          <w:rFonts w:cs="Times New Roman"/>
          <w:lang w:val="fr-CA"/>
        </w:rPr>
        <w:t>C</w:t>
      </w:r>
      <w:r>
        <w:rPr>
          <w:rFonts w:cs="Times New Roman"/>
          <w:lang w:val="fr-CA"/>
        </w:rPr>
        <w:t>S</w:t>
      </w:r>
      <w:r w:rsidRPr="00C063E1">
        <w:rPr>
          <w:rFonts w:cs="Times New Roman"/>
          <w:lang w:val="fr-CA"/>
        </w:rPr>
        <w:t>C 12,</w:t>
      </w:r>
      <w:r w:rsidR="00842859">
        <w:rPr>
          <w:rFonts w:cs="Times New Roman"/>
          <w:lang w:val="fr-CA"/>
        </w:rPr>
        <w:t xml:space="preserve"> [2013] 1 R.C.S.</w:t>
      </w:r>
      <w:r>
        <w:rPr>
          <w:rFonts w:cs="Times New Roman"/>
          <w:lang w:val="fr-CA"/>
        </w:rPr>
        <w:t xml:space="preserve"> </w:t>
      </w:r>
      <w:r w:rsidR="00842859">
        <w:rPr>
          <w:rFonts w:cs="Times New Roman"/>
          <w:lang w:val="fr-CA"/>
        </w:rPr>
        <w:t xml:space="preserve">565, </w:t>
      </w:r>
      <w:r>
        <w:rPr>
          <w:rFonts w:cs="Times New Roman"/>
          <w:lang w:val="fr-CA"/>
        </w:rPr>
        <w:t xml:space="preserve">par. </w:t>
      </w:r>
      <w:r w:rsidRPr="00C063E1">
        <w:rPr>
          <w:rFonts w:cs="Times New Roman"/>
          <w:lang w:val="fr-CA"/>
        </w:rPr>
        <w:t>68.</w:t>
      </w:r>
    </w:p>
    <w:p w:rsidR="00F448B7" w:rsidRDefault="00EB31C6" w:rsidP="00EB31C6">
      <w:pPr>
        <w:pStyle w:val="ParaNoNdepar-AltN"/>
        <w:rPr>
          <w:lang w:val="fr-CA"/>
        </w:rPr>
      </w:pPr>
      <w:r w:rsidRPr="007E5DA0">
        <w:rPr>
          <w:rFonts w:cs="Times New Roman"/>
          <w:lang w:val="fr-CA"/>
        </w:rPr>
        <w:t xml:space="preserve">Pour ces motifs, </w:t>
      </w:r>
      <w:r w:rsidRPr="00DD20B4">
        <w:rPr>
          <w:rFonts w:cs="Times New Roman"/>
          <w:lang w:val="fr-CA"/>
        </w:rPr>
        <w:t>l’appel</w:t>
      </w:r>
      <w:r>
        <w:rPr>
          <w:rFonts w:cs="Times New Roman"/>
          <w:lang w:val="fr-CA"/>
        </w:rPr>
        <w:t xml:space="preserve"> </w:t>
      </w:r>
      <w:r w:rsidRPr="007E5DA0">
        <w:rPr>
          <w:rFonts w:cs="Times New Roman"/>
          <w:lang w:val="fr-CA"/>
        </w:rPr>
        <w:t>est rejeté.</w:t>
      </w:r>
    </w:p>
    <w:p w:rsidR="004D7D95" w:rsidRPr="00F448B7" w:rsidRDefault="004D7D95" w:rsidP="004D7D95">
      <w:pPr>
        <w:pStyle w:val="SCCNormalDoubleSpacing"/>
        <w:rPr>
          <w:i/>
          <w:lang w:val="fr-CA"/>
        </w:rPr>
      </w:pPr>
      <w:r w:rsidRPr="00EB31C6">
        <w:rPr>
          <w:lang w:val="fr-CA"/>
        </w:rPr>
        <w:tab/>
      </w:r>
      <w:r w:rsidR="00F448B7" w:rsidRPr="00F448B7">
        <w:rPr>
          <w:i/>
          <w:lang w:val="fr-CA"/>
        </w:rPr>
        <w:t>Jugement en conséquence.</w:t>
      </w:r>
    </w:p>
    <w:p w:rsidR="004D7D95" w:rsidRPr="00F448B7" w:rsidRDefault="004D7D95" w:rsidP="004D7D95">
      <w:pPr>
        <w:pStyle w:val="SCCNormalDoubleSpacing"/>
        <w:rPr>
          <w:i/>
          <w:lang w:val="fr-CA"/>
        </w:rPr>
      </w:pPr>
    </w:p>
    <w:p w:rsidR="00A175AF" w:rsidRPr="007B6104" w:rsidRDefault="00800730">
      <w:pPr>
        <w:pStyle w:val="SCCLawFirm"/>
        <w:rPr>
          <w:lang w:val="fr-CA"/>
        </w:rPr>
      </w:pPr>
      <w:r w:rsidRPr="007B6104">
        <w:rPr>
          <w:lang w:val="fr-CA"/>
        </w:rPr>
        <w:tab/>
        <w:t>Procureur</w:t>
      </w:r>
      <w:r w:rsidR="00F448B7">
        <w:rPr>
          <w:lang w:val="fr-CA"/>
        </w:rPr>
        <w:t>s</w:t>
      </w:r>
      <w:r w:rsidRPr="007B6104">
        <w:rPr>
          <w:lang w:val="fr-CA"/>
        </w:rPr>
        <w:t xml:space="preserve"> de</w:t>
      </w:r>
      <w:r w:rsidR="00F448B7">
        <w:rPr>
          <w:lang w:val="fr-CA"/>
        </w:rPr>
        <w:t xml:space="preserve"> l’</w:t>
      </w:r>
      <w:r w:rsidRPr="007B6104">
        <w:rPr>
          <w:lang w:val="fr-CA"/>
        </w:rPr>
        <w:t>appelant</w:t>
      </w:r>
      <w:r w:rsidR="00DD20B4">
        <w:rPr>
          <w:lang w:val="fr-CA"/>
        </w:rPr>
        <w:t> </w:t>
      </w:r>
      <w:r w:rsidRPr="007B6104">
        <w:rPr>
          <w:lang w:val="fr-CA"/>
        </w:rPr>
        <w:t>: Lord, Russell, Tyndale, Hoare, Calgary.</w:t>
      </w:r>
    </w:p>
    <w:p w:rsidR="00A175AF" w:rsidRPr="007B6104" w:rsidRDefault="00A175AF">
      <w:pPr>
        <w:pStyle w:val="SCCLawFirm"/>
        <w:rPr>
          <w:lang w:val="fr-CA"/>
        </w:rPr>
      </w:pPr>
    </w:p>
    <w:p w:rsidR="00A175AF" w:rsidRPr="00146474" w:rsidRDefault="00800730">
      <w:pPr>
        <w:pStyle w:val="SCCLawFirm"/>
        <w:rPr>
          <w:lang w:val="fr-CA"/>
        </w:rPr>
      </w:pPr>
      <w:r w:rsidRPr="007B6104">
        <w:rPr>
          <w:lang w:val="fr-CA"/>
        </w:rPr>
        <w:tab/>
      </w:r>
      <w:r w:rsidR="00780B19">
        <w:rPr>
          <w:lang w:val="fr-CA"/>
        </w:rPr>
        <w:t>Procureur de l’</w:t>
      </w:r>
      <w:r w:rsidR="00F448B7" w:rsidRPr="00146474">
        <w:rPr>
          <w:lang w:val="fr-CA"/>
        </w:rPr>
        <w:t>intimée</w:t>
      </w:r>
      <w:r w:rsidRPr="00146474">
        <w:rPr>
          <w:lang w:val="fr-CA"/>
        </w:rPr>
        <w:t xml:space="preserve"> : </w:t>
      </w:r>
      <w:r w:rsidR="00780B19">
        <w:rPr>
          <w:lang w:val="fr-CA"/>
        </w:rPr>
        <w:t>Procureur géné</w:t>
      </w:r>
      <w:r w:rsidR="00F448B7" w:rsidRPr="00146474">
        <w:rPr>
          <w:lang w:val="fr-CA"/>
        </w:rPr>
        <w:t>ral de</w:t>
      </w:r>
      <w:r w:rsidRPr="00146474">
        <w:rPr>
          <w:lang w:val="fr-CA"/>
        </w:rPr>
        <w:t xml:space="preserve"> Alberta, Calgary.</w:t>
      </w:r>
    </w:p>
    <w:sectPr w:rsidR="00A175AF" w:rsidRPr="00146474"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B7" w:rsidRDefault="00C76CB7">
      <w:r>
        <w:separator/>
      </w:r>
    </w:p>
  </w:endnote>
  <w:endnote w:type="continuationSeparator" w:id="0">
    <w:p w:rsidR="00C76CB7" w:rsidRDefault="00C76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B7" w:rsidRDefault="00C76CB7">
      <w:r>
        <w:separator/>
      </w:r>
    </w:p>
  </w:footnote>
  <w:footnote w:type="continuationSeparator" w:id="0">
    <w:p w:rsidR="00C76CB7" w:rsidRDefault="00C76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03FE4"/>
    <w:rsid w:val="00023FC7"/>
    <w:rsid w:val="00025198"/>
    <w:rsid w:val="000578A3"/>
    <w:rsid w:val="000648CC"/>
    <w:rsid w:val="000B163A"/>
    <w:rsid w:val="000C59B8"/>
    <w:rsid w:val="000C6AF0"/>
    <w:rsid w:val="000D0A77"/>
    <w:rsid w:val="000F743C"/>
    <w:rsid w:val="000F7993"/>
    <w:rsid w:val="00104F33"/>
    <w:rsid w:val="00111DE2"/>
    <w:rsid w:val="00116350"/>
    <w:rsid w:val="00116B38"/>
    <w:rsid w:val="00135406"/>
    <w:rsid w:val="00135972"/>
    <w:rsid w:val="001426A9"/>
    <w:rsid w:val="00146474"/>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20FC2"/>
    <w:rsid w:val="002222F4"/>
    <w:rsid w:val="00222FD9"/>
    <w:rsid w:val="00224FC0"/>
    <w:rsid w:val="00225EA4"/>
    <w:rsid w:val="00226EAF"/>
    <w:rsid w:val="00231F3A"/>
    <w:rsid w:val="002406EE"/>
    <w:rsid w:val="00243EC8"/>
    <w:rsid w:val="00270D93"/>
    <w:rsid w:val="002745CC"/>
    <w:rsid w:val="002834A8"/>
    <w:rsid w:val="002B2310"/>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74F42"/>
    <w:rsid w:val="003A125D"/>
    <w:rsid w:val="003A4C70"/>
    <w:rsid w:val="003B215F"/>
    <w:rsid w:val="003C799C"/>
    <w:rsid w:val="003D0399"/>
    <w:rsid w:val="003E1C71"/>
    <w:rsid w:val="003F327B"/>
    <w:rsid w:val="003F4B3E"/>
    <w:rsid w:val="00406166"/>
    <w:rsid w:val="0040704B"/>
    <w:rsid w:val="00410A55"/>
    <w:rsid w:val="00411300"/>
    <w:rsid w:val="00413F17"/>
    <w:rsid w:val="00415417"/>
    <w:rsid w:val="00425370"/>
    <w:rsid w:val="00426659"/>
    <w:rsid w:val="00450352"/>
    <w:rsid w:val="00454BDB"/>
    <w:rsid w:val="00465132"/>
    <w:rsid w:val="004738DA"/>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A6079"/>
    <w:rsid w:val="005B73AB"/>
    <w:rsid w:val="005E4698"/>
    <w:rsid w:val="00603924"/>
    <w:rsid w:val="00610539"/>
    <w:rsid w:val="00613969"/>
    <w:rsid w:val="00625C35"/>
    <w:rsid w:val="0064718D"/>
    <w:rsid w:val="0064743E"/>
    <w:rsid w:val="00647E49"/>
    <w:rsid w:val="00656313"/>
    <w:rsid w:val="006565F4"/>
    <w:rsid w:val="00660D8F"/>
    <w:rsid w:val="00684EEA"/>
    <w:rsid w:val="00686E77"/>
    <w:rsid w:val="0069689B"/>
    <w:rsid w:val="006A555C"/>
    <w:rsid w:val="006B5FF5"/>
    <w:rsid w:val="006F30AF"/>
    <w:rsid w:val="00701759"/>
    <w:rsid w:val="00705C15"/>
    <w:rsid w:val="007110F6"/>
    <w:rsid w:val="007208D1"/>
    <w:rsid w:val="00744518"/>
    <w:rsid w:val="00747288"/>
    <w:rsid w:val="00747DD3"/>
    <w:rsid w:val="007549C8"/>
    <w:rsid w:val="00766D14"/>
    <w:rsid w:val="00767A0F"/>
    <w:rsid w:val="00776EAF"/>
    <w:rsid w:val="00780B19"/>
    <w:rsid w:val="00791272"/>
    <w:rsid w:val="007A05F6"/>
    <w:rsid w:val="007A1544"/>
    <w:rsid w:val="007B6104"/>
    <w:rsid w:val="007B6F4A"/>
    <w:rsid w:val="007E1C47"/>
    <w:rsid w:val="007E337A"/>
    <w:rsid w:val="007E5C70"/>
    <w:rsid w:val="007F2FF5"/>
    <w:rsid w:val="007F3F08"/>
    <w:rsid w:val="00800730"/>
    <w:rsid w:val="00804CC6"/>
    <w:rsid w:val="00817190"/>
    <w:rsid w:val="008260E2"/>
    <w:rsid w:val="008322BD"/>
    <w:rsid w:val="00834F73"/>
    <w:rsid w:val="008358C9"/>
    <w:rsid w:val="00842859"/>
    <w:rsid w:val="00852340"/>
    <w:rsid w:val="00864C8A"/>
    <w:rsid w:val="00864CF8"/>
    <w:rsid w:val="00874914"/>
    <w:rsid w:val="00891422"/>
    <w:rsid w:val="00892E1A"/>
    <w:rsid w:val="0089535D"/>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C0408"/>
    <w:rsid w:val="009D2920"/>
    <w:rsid w:val="009D5AEB"/>
    <w:rsid w:val="009E213B"/>
    <w:rsid w:val="009F0E33"/>
    <w:rsid w:val="00A149DF"/>
    <w:rsid w:val="00A1755C"/>
    <w:rsid w:val="00A175AF"/>
    <w:rsid w:val="00A21B90"/>
    <w:rsid w:val="00A22AAC"/>
    <w:rsid w:val="00A41805"/>
    <w:rsid w:val="00A45D7F"/>
    <w:rsid w:val="00A51882"/>
    <w:rsid w:val="00A52AFB"/>
    <w:rsid w:val="00A548CB"/>
    <w:rsid w:val="00A5521C"/>
    <w:rsid w:val="00A643E7"/>
    <w:rsid w:val="00A725A9"/>
    <w:rsid w:val="00A73C38"/>
    <w:rsid w:val="00AB670D"/>
    <w:rsid w:val="00AC14CD"/>
    <w:rsid w:val="00AF03C5"/>
    <w:rsid w:val="00AF0B1B"/>
    <w:rsid w:val="00AF3193"/>
    <w:rsid w:val="00B000D8"/>
    <w:rsid w:val="00B00F75"/>
    <w:rsid w:val="00B145B6"/>
    <w:rsid w:val="00B279EB"/>
    <w:rsid w:val="00B36054"/>
    <w:rsid w:val="00B50C81"/>
    <w:rsid w:val="00B557F8"/>
    <w:rsid w:val="00B815FC"/>
    <w:rsid w:val="00B93FBC"/>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6CB7"/>
    <w:rsid w:val="00C77613"/>
    <w:rsid w:val="00C80BCB"/>
    <w:rsid w:val="00C828E7"/>
    <w:rsid w:val="00C86719"/>
    <w:rsid w:val="00C921DD"/>
    <w:rsid w:val="00CA6391"/>
    <w:rsid w:val="00CE036E"/>
    <w:rsid w:val="00CE3171"/>
    <w:rsid w:val="00CF1601"/>
    <w:rsid w:val="00D0172F"/>
    <w:rsid w:val="00D01E33"/>
    <w:rsid w:val="00D068A7"/>
    <w:rsid w:val="00D17476"/>
    <w:rsid w:val="00D32086"/>
    <w:rsid w:val="00D37A3F"/>
    <w:rsid w:val="00D4431D"/>
    <w:rsid w:val="00D4667A"/>
    <w:rsid w:val="00D63A1C"/>
    <w:rsid w:val="00D7516F"/>
    <w:rsid w:val="00D95F8E"/>
    <w:rsid w:val="00DA0590"/>
    <w:rsid w:val="00DC1739"/>
    <w:rsid w:val="00DC1788"/>
    <w:rsid w:val="00DD20B4"/>
    <w:rsid w:val="00DD43D8"/>
    <w:rsid w:val="00DE319C"/>
    <w:rsid w:val="00DE580F"/>
    <w:rsid w:val="00DF0CA8"/>
    <w:rsid w:val="00DF2B48"/>
    <w:rsid w:val="00DF49A7"/>
    <w:rsid w:val="00E07EE2"/>
    <w:rsid w:val="00E07FD1"/>
    <w:rsid w:val="00E24573"/>
    <w:rsid w:val="00E25E1E"/>
    <w:rsid w:val="00E27EE7"/>
    <w:rsid w:val="00E35404"/>
    <w:rsid w:val="00E45109"/>
    <w:rsid w:val="00E4649A"/>
    <w:rsid w:val="00E47B7A"/>
    <w:rsid w:val="00E56A44"/>
    <w:rsid w:val="00E60269"/>
    <w:rsid w:val="00E76AE0"/>
    <w:rsid w:val="00E97830"/>
    <w:rsid w:val="00EB31C6"/>
    <w:rsid w:val="00EE0830"/>
    <w:rsid w:val="00EE6CB8"/>
    <w:rsid w:val="00EF0683"/>
    <w:rsid w:val="00F0070C"/>
    <w:rsid w:val="00F00EB7"/>
    <w:rsid w:val="00F36AB6"/>
    <w:rsid w:val="00F37A09"/>
    <w:rsid w:val="00F409CE"/>
    <w:rsid w:val="00F4379D"/>
    <w:rsid w:val="00F448B7"/>
    <w:rsid w:val="00F50D2D"/>
    <w:rsid w:val="00F56C8B"/>
    <w:rsid w:val="00F600A2"/>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EB31C6"/>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9C040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2014-06-26T14:47:00Z</dcterms:created>
  <dcterms:modified xsi:type="dcterms:W3CDTF">2014-06-26T19:34:00Z</dcterms:modified>
</cp:coreProperties>
</file>