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02" w:rsidRPr="006E3702" w:rsidRDefault="006E3702" w:rsidP="006E3702">
      <w:pPr>
        <w:tabs>
          <w:tab w:val="center" w:pos="4680"/>
          <w:tab w:val="right" w:pos="9360"/>
        </w:tabs>
        <w:rPr>
          <w:rFonts w:eastAsiaTheme="minorHAnsi" w:cstheme="minorBidi"/>
          <w:szCs w:val="24"/>
          <w:lang w:val="fr-CA" w:eastAsia="en-US"/>
        </w:rPr>
      </w:pPr>
      <w:r w:rsidRPr="006E3702">
        <w:rPr>
          <w:rFonts w:eastAsiaTheme="minorHAnsi" w:cstheme="minorBidi"/>
          <w:szCs w:val="24"/>
          <w:lang w:val="fr-CA" w:eastAsia="en-US"/>
        </w:rPr>
        <w:ptab w:relativeTo="margin" w:alignment="center" w:leader="none"/>
      </w:r>
      <w:r w:rsidRPr="006E3702">
        <w:rPr>
          <w:rFonts w:eastAsiaTheme="minorHAnsi" w:cstheme="minorBidi"/>
          <w:szCs w:val="24"/>
          <w:lang w:val="fr-CA" w:eastAsia="en-US"/>
        </w:rPr>
        <w:t xml:space="preserve"> </w:t>
      </w:r>
      <w:r w:rsidRPr="006E370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6" o:title=""/>
          </v:shape>
          <o:OLEObject Type="Embed" ProgID="Presentations.Drawing.13" ShapeID="_x0000_i1031" DrawAspect="Content" ObjectID="_1465302949" r:id="rId7"/>
        </w:object>
      </w:r>
      <w:r w:rsidRPr="006E3702">
        <w:rPr>
          <w:rFonts w:eastAsiaTheme="minorHAnsi" w:cstheme="minorBidi"/>
          <w:szCs w:val="24"/>
          <w:lang w:val="fr-CA" w:eastAsia="en-US"/>
        </w:rPr>
        <w:t xml:space="preserve"> </w:t>
      </w:r>
      <w:r w:rsidRPr="006E3702">
        <w:rPr>
          <w:rFonts w:eastAsiaTheme="minorHAnsi" w:cstheme="minorBidi"/>
          <w:szCs w:val="24"/>
          <w:lang w:val="fr-CA" w:eastAsia="en-US"/>
        </w:rPr>
        <w:ptab w:relativeTo="margin" w:alignment="right" w:leader="none"/>
      </w:r>
    </w:p>
    <w:p w:rsidR="006E3702" w:rsidRPr="006E3702" w:rsidRDefault="006E3702" w:rsidP="006E3702">
      <w:pPr>
        <w:tabs>
          <w:tab w:val="center" w:pos="4680"/>
          <w:tab w:val="right" w:pos="9360"/>
        </w:tabs>
        <w:rPr>
          <w:rFonts w:eastAsiaTheme="minorHAnsi" w:cstheme="minorBidi"/>
          <w:szCs w:val="24"/>
          <w:lang w:val="fr-CA" w:eastAsia="en-US"/>
        </w:rPr>
      </w:pPr>
    </w:p>
    <w:p w:rsidR="006E3702" w:rsidRPr="006E3702" w:rsidRDefault="006E3702" w:rsidP="006E3702">
      <w:pPr>
        <w:jc w:val="center"/>
        <w:rPr>
          <w:rFonts w:eastAsiaTheme="minorHAnsi" w:cstheme="minorBidi"/>
          <w:b/>
          <w:szCs w:val="24"/>
          <w:lang w:val="fr-CA" w:eastAsia="en-US"/>
        </w:rPr>
      </w:pPr>
      <w:r w:rsidRPr="006E3702">
        <w:rPr>
          <w:rFonts w:eastAsiaTheme="minorHAnsi" w:cstheme="minorBidi"/>
          <w:b/>
          <w:szCs w:val="24"/>
          <w:lang w:val="fr-CA" w:eastAsia="en-US"/>
        </w:rPr>
        <w:t>COUR SUPRÊME DU CANADA</w:t>
      </w:r>
    </w:p>
    <w:p w:rsidR="006E3702" w:rsidRPr="006E3702" w:rsidRDefault="006E3702" w:rsidP="006E3702">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E3702" w:rsidRPr="006E3702" w:rsidTr="00D63C38">
        <w:trPr>
          <w:cantSplit/>
        </w:trPr>
        <w:tc>
          <w:tcPr>
            <w:tcW w:w="6768" w:type="dxa"/>
          </w:tcPr>
          <w:p w:rsidR="006E3702" w:rsidRPr="006E3702" w:rsidRDefault="006E3702" w:rsidP="006E3702">
            <w:pPr>
              <w:rPr>
                <w:lang w:val="fr-CA"/>
              </w:rPr>
            </w:pPr>
            <w:r w:rsidRPr="006E3702">
              <w:rPr>
                <w:b/>
                <w:smallCaps/>
                <w:lang w:val="fr-CA"/>
              </w:rPr>
              <w:t>Référence :</w:t>
            </w:r>
            <w:r w:rsidRPr="006E3702">
              <w:rPr>
                <w:lang w:val="fr-CA"/>
              </w:rPr>
              <w:t xml:space="preserve"> R. </w:t>
            </w:r>
            <w:r w:rsidRPr="006E3702">
              <w:rPr>
                <w:i/>
                <w:lang w:val="fr-CA"/>
              </w:rPr>
              <w:t>c.</w:t>
            </w:r>
            <w:r w:rsidRPr="006E3702">
              <w:rPr>
                <w:lang w:val="fr-CA"/>
              </w:rPr>
              <w:t xml:space="preserve"> Vokurka, 2014 CSC 22</w:t>
            </w:r>
            <w:r>
              <w:rPr>
                <w:lang w:val="fr-CA"/>
              </w:rPr>
              <w:t xml:space="preserve">, </w:t>
            </w:r>
            <w:r>
              <w:rPr>
                <w:rStyle w:val="SCCAppellantForRunningHeadChar"/>
                <w:smallCaps w:val="0"/>
              </w:rPr>
              <w:t>[2014] 1 R.C.S. 498</w:t>
            </w:r>
          </w:p>
        </w:tc>
        <w:tc>
          <w:tcPr>
            <w:tcW w:w="2808" w:type="dxa"/>
          </w:tcPr>
          <w:p w:rsidR="006E3702" w:rsidRPr="006E3702" w:rsidRDefault="006E3702" w:rsidP="006E3702">
            <w:pPr>
              <w:rPr>
                <w:lang w:val="fr-CA"/>
              </w:rPr>
            </w:pPr>
            <w:r w:rsidRPr="006E3702">
              <w:rPr>
                <w:b/>
                <w:smallCaps/>
                <w:lang w:val="fr-CA"/>
              </w:rPr>
              <w:t>Date :</w:t>
            </w:r>
            <w:r w:rsidRPr="006E3702">
              <w:rPr>
                <w:lang w:val="fr-CA"/>
              </w:rPr>
              <w:t xml:space="preserve"> 20140321</w:t>
            </w:r>
          </w:p>
          <w:p w:rsidR="006E3702" w:rsidRPr="006E3702" w:rsidRDefault="006E3702" w:rsidP="006E3702">
            <w:pPr>
              <w:rPr>
                <w:lang w:val="fr-CA"/>
              </w:rPr>
            </w:pPr>
            <w:r w:rsidRPr="006E3702">
              <w:rPr>
                <w:b/>
                <w:smallCaps/>
                <w:lang w:val="fr-CA"/>
              </w:rPr>
              <w:t>Dossier :</w:t>
            </w:r>
            <w:r w:rsidRPr="006E3702">
              <w:rPr>
                <w:lang w:val="fr-CA"/>
              </w:rPr>
              <w:t xml:space="preserve"> 35510</w:t>
            </w:r>
          </w:p>
        </w:tc>
      </w:tr>
    </w:tbl>
    <w:p w:rsidR="006E3702" w:rsidRPr="006E3702" w:rsidRDefault="006E3702" w:rsidP="006E3702">
      <w:pPr>
        <w:rPr>
          <w:rFonts w:eastAsiaTheme="minorHAnsi" w:cstheme="minorBidi"/>
          <w:szCs w:val="24"/>
          <w:lang w:val="fr-CA" w:eastAsia="en-US"/>
        </w:rPr>
      </w:pPr>
    </w:p>
    <w:p w:rsidR="006E3702" w:rsidRPr="006E3702" w:rsidRDefault="006E3702" w:rsidP="006E3702">
      <w:pPr>
        <w:rPr>
          <w:rFonts w:eastAsiaTheme="minorHAnsi" w:cstheme="minorBidi"/>
          <w:b/>
          <w:smallCaps/>
          <w:szCs w:val="24"/>
          <w:lang w:val="fr-CA" w:eastAsia="en-US"/>
        </w:rPr>
      </w:pPr>
      <w:r w:rsidRPr="006E3702">
        <w:rPr>
          <w:rFonts w:eastAsiaTheme="minorHAnsi" w:cstheme="minorBidi"/>
          <w:b/>
          <w:smallCaps/>
          <w:szCs w:val="24"/>
          <w:lang w:val="fr-CA" w:eastAsia="en-US"/>
        </w:rPr>
        <w:t>Entre :</w:t>
      </w:r>
    </w:p>
    <w:p w:rsidR="006E3702" w:rsidRPr="006E3702" w:rsidRDefault="006E3702" w:rsidP="006E3702">
      <w:pPr>
        <w:jc w:val="center"/>
        <w:rPr>
          <w:rFonts w:eastAsiaTheme="minorHAnsi" w:cstheme="minorBidi"/>
          <w:b/>
          <w:szCs w:val="24"/>
          <w:lang w:val="fr-CA" w:eastAsia="en-US"/>
        </w:rPr>
      </w:pPr>
      <w:r w:rsidRPr="006E3702">
        <w:rPr>
          <w:rFonts w:eastAsiaTheme="minorHAnsi" w:cstheme="minorBidi"/>
          <w:b/>
          <w:szCs w:val="24"/>
          <w:lang w:val="fr-CA" w:eastAsia="en-US"/>
        </w:rPr>
        <w:t>Eric Vokurka</w:t>
      </w:r>
    </w:p>
    <w:p w:rsidR="006E3702" w:rsidRPr="006E3702" w:rsidRDefault="006E3702" w:rsidP="006E3702">
      <w:pPr>
        <w:jc w:val="center"/>
        <w:rPr>
          <w:rFonts w:eastAsiaTheme="minorHAnsi" w:cstheme="minorBidi"/>
          <w:szCs w:val="24"/>
          <w:lang w:val="fr-CA" w:eastAsia="en-US"/>
        </w:rPr>
      </w:pPr>
      <w:r w:rsidRPr="006E3702">
        <w:rPr>
          <w:rFonts w:eastAsiaTheme="minorHAnsi" w:cstheme="minorBidi"/>
          <w:szCs w:val="24"/>
          <w:lang w:val="fr-CA" w:eastAsia="en-US"/>
        </w:rPr>
        <w:t>Appelant</w:t>
      </w:r>
    </w:p>
    <w:p w:rsidR="006E3702" w:rsidRPr="006E3702" w:rsidRDefault="006E3702" w:rsidP="006E3702">
      <w:pPr>
        <w:jc w:val="center"/>
        <w:rPr>
          <w:rFonts w:eastAsiaTheme="minorHAnsi" w:cstheme="minorBidi"/>
          <w:szCs w:val="24"/>
          <w:lang w:val="fr-CA" w:eastAsia="en-US"/>
        </w:rPr>
      </w:pPr>
      <w:r w:rsidRPr="006E3702">
        <w:rPr>
          <w:rFonts w:eastAsiaTheme="minorHAnsi" w:cstheme="minorBidi"/>
          <w:szCs w:val="24"/>
          <w:lang w:val="fr-CA" w:eastAsia="en-US"/>
        </w:rPr>
        <w:t>et</w:t>
      </w:r>
    </w:p>
    <w:p w:rsidR="006E3702" w:rsidRPr="006E3702" w:rsidRDefault="006E3702" w:rsidP="006E3702">
      <w:pPr>
        <w:jc w:val="center"/>
        <w:rPr>
          <w:rFonts w:eastAsiaTheme="minorHAnsi" w:cstheme="minorBidi"/>
          <w:b/>
          <w:szCs w:val="24"/>
          <w:lang w:val="fr-CA" w:eastAsia="en-US"/>
        </w:rPr>
      </w:pPr>
      <w:r w:rsidRPr="006E3702">
        <w:rPr>
          <w:rFonts w:eastAsiaTheme="minorHAnsi" w:cstheme="minorBidi"/>
          <w:b/>
          <w:szCs w:val="24"/>
          <w:lang w:val="fr-CA" w:eastAsia="en-US"/>
        </w:rPr>
        <w:t>Sa Majesté la Reine</w:t>
      </w:r>
    </w:p>
    <w:p w:rsidR="006E3702" w:rsidRPr="006E3702" w:rsidRDefault="006E3702" w:rsidP="006E3702">
      <w:pPr>
        <w:jc w:val="center"/>
        <w:rPr>
          <w:rFonts w:eastAsiaTheme="minorHAnsi" w:cstheme="minorBidi"/>
          <w:szCs w:val="24"/>
          <w:lang w:val="fr-CA" w:eastAsia="en-US"/>
        </w:rPr>
      </w:pPr>
      <w:r w:rsidRPr="006E3702">
        <w:rPr>
          <w:rFonts w:eastAsiaTheme="minorHAnsi" w:cstheme="minorBidi"/>
          <w:szCs w:val="24"/>
          <w:lang w:val="fr-CA" w:eastAsia="en-US"/>
        </w:rPr>
        <w:t>Intimée</w:t>
      </w:r>
    </w:p>
    <w:p w:rsidR="006E3702" w:rsidRPr="006E3702" w:rsidRDefault="006E3702" w:rsidP="006E3702">
      <w:pPr>
        <w:rPr>
          <w:rFonts w:eastAsiaTheme="minorHAnsi" w:cstheme="minorBidi"/>
          <w:szCs w:val="24"/>
          <w:lang w:val="fr-CA" w:eastAsia="en-US"/>
        </w:rPr>
      </w:pPr>
    </w:p>
    <w:p w:rsidR="006E3702" w:rsidRPr="006E3702" w:rsidRDefault="006E3702" w:rsidP="006E3702">
      <w:pPr>
        <w:rPr>
          <w:rFonts w:eastAsiaTheme="minorHAnsi" w:cstheme="minorBidi"/>
          <w:szCs w:val="24"/>
          <w:lang w:val="fr-CA" w:eastAsia="en-US"/>
        </w:rPr>
      </w:pPr>
    </w:p>
    <w:p w:rsidR="006E3702" w:rsidRPr="006E3702" w:rsidRDefault="006E3702" w:rsidP="006E3702">
      <w:pPr>
        <w:jc w:val="center"/>
        <w:rPr>
          <w:rFonts w:eastAsiaTheme="minorHAnsi" w:cstheme="minorBidi"/>
          <w:b/>
          <w:smallCaps/>
          <w:szCs w:val="24"/>
          <w:lang w:val="fr-CA" w:eastAsia="en-US"/>
        </w:rPr>
      </w:pPr>
      <w:r w:rsidRPr="006E3702">
        <w:rPr>
          <w:rFonts w:eastAsiaTheme="minorHAnsi" w:cstheme="minorBidi"/>
          <w:b/>
          <w:smallCaps/>
          <w:szCs w:val="24"/>
          <w:lang w:val="fr-CA" w:eastAsia="en-US"/>
        </w:rPr>
        <w:t>Traduction française officielle</w:t>
      </w:r>
    </w:p>
    <w:p w:rsidR="006E3702" w:rsidRPr="006E3702" w:rsidRDefault="006E3702" w:rsidP="006E3702">
      <w:pPr>
        <w:rPr>
          <w:rFonts w:eastAsiaTheme="minorHAnsi" w:cstheme="minorBidi"/>
          <w:szCs w:val="24"/>
          <w:lang w:val="fr-CA" w:eastAsia="en-US"/>
        </w:rPr>
      </w:pPr>
    </w:p>
    <w:p w:rsidR="006E3702" w:rsidRPr="006E3702" w:rsidRDefault="006E3702" w:rsidP="006E3702">
      <w:pPr>
        <w:rPr>
          <w:rFonts w:eastAsiaTheme="minorHAnsi" w:cstheme="minorBidi"/>
          <w:szCs w:val="24"/>
          <w:lang w:val="fr-CA" w:eastAsia="en-US"/>
        </w:rPr>
      </w:pPr>
      <w:r w:rsidRPr="006E3702">
        <w:rPr>
          <w:rFonts w:eastAsiaTheme="minorHAnsi" w:cstheme="minorBidi"/>
          <w:b/>
          <w:smallCaps/>
          <w:szCs w:val="24"/>
          <w:lang w:val="fr-CA" w:eastAsia="en-US"/>
        </w:rPr>
        <w:t>Coram :</w:t>
      </w:r>
      <w:r w:rsidRPr="006E3702">
        <w:rPr>
          <w:rFonts w:eastAsiaTheme="minorHAnsi" w:cstheme="minorBidi"/>
          <w:szCs w:val="24"/>
          <w:lang w:val="fr-CA" w:eastAsia="en-US"/>
        </w:rPr>
        <w:t xml:space="preserve"> Les juges LeBel, Abella, Rothstein, Moldaver et Karakatsanis</w:t>
      </w:r>
    </w:p>
    <w:p w:rsidR="006E3702" w:rsidRPr="006E3702" w:rsidRDefault="006E3702" w:rsidP="006E3702">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E3702" w:rsidRPr="006E3702" w:rsidTr="00D63C38">
        <w:trPr>
          <w:cantSplit/>
        </w:trPr>
        <w:tc>
          <w:tcPr>
            <w:tcW w:w="3618" w:type="dxa"/>
          </w:tcPr>
          <w:p w:rsidR="006E3702" w:rsidRPr="006E3702" w:rsidRDefault="006E3702" w:rsidP="006E3702">
            <w:pPr>
              <w:rPr>
                <w:b/>
                <w:smallCaps/>
                <w:lang w:val="fr-CA"/>
              </w:rPr>
            </w:pPr>
            <w:r w:rsidRPr="006E3702">
              <w:rPr>
                <w:b/>
                <w:smallCaps/>
                <w:lang w:val="fr-CA"/>
              </w:rPr>
              <w:t>Motifs de jugement :</w:t>
            </w:r>
          </w:p>
          <w:p w:rsidR="006E3702" w:rsidRPr="006E3702" w:rsidRDefault="006E3702" w:rsidP="006E3702">
            <w:pPr>
              <w:rPr>
                <w:lang w:val="fr-CA"/>
              </w:rPr>
            </w:pPr>
            <w:r w:rsidRPr="006E3702">
              <w:rPr>
                <w:lang w:val="fr-CA"/>
              </w:rPr>
              <w:t>(par. 1 à 2)</w:t>
            </w:r>
          </w:p>
        </w:tc>
        <w:tc>
          <w:tcPr>
            <w:tcW w:w="5958" w:type="dxa"/>
          </w:tcPr>
          <w:p w:rsidR="006E3702" w:rsidRPr="006E3702" w:rsidRDefault="006E3702" w:rsidP="006E3702">
            <w:pPr>
              <w:rPr>
                <w:lang w:val="fr-CA"/>
              </w:rPr>
            </w:pPr>
            <w:r w:rsidRPr="006E3702">
              <w:rPr>
                <w:lang w:val="fr-CA"/>
              </w:rPr>
              <w:t>La juge Abella (avec l’accord des juges LeBel, Rothstein, Moldaver et Karakatsanis)</w:t>
            </w:r>
          </w:p>
        </w:tc>
      </w:tr>
    </w:tbl>
    <w:p w:rsidR="006E3702" w:rsidRPr="006E3702" w:rsidRDefault="006E3702" w:rsidP="006E3702">
      <w:pPr>
        <w:rPr>
          <w:rFonts w:eastAsiaTheme="minorHAnsi" w:cstheme="minorBidi"/>
          <w:szCs w:val="24"/>
          <w:lang w:val="fr-CA" w:eastAsia="en-US"/>
        </w:rPr>
      </w:pPr>
      <w:r w:rsidRPr="006E3702">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4D7D95" w:rsidRPr="007F0E40" w:rsidRDefault="004D7D95" w:rsidP="004D7D95">
      <w:pPr>
        <w:jc w:val="both"/>
        <w:rPr>
          <w:lang w:val="fr-CA"/>
        </w:rPr>
      </w:pPr>
    </w:p>
    <w:p w:rsidR="004D7D95" w:rsidRPr="00B0592A" w:rsidRDefault="00B0592A" w:rsidP="004D7D95">
      <w:pPr>
        <w:spacing w:line="480" w:lineRule="auto"/>
        <w:jc w:val="both"/>
        <w:rPr>
          <w:smallCaps/>
          <w:lang w:val="en-US"/>
        </w:rPr>
      </w:pPr>
      <w:r w:rsidRPr="00B0592A">
        <w:rPr>
          <w:rStyle w:val="SCCAppellantForRunningHeadChar"/>
          <w:smallCaps w:val="0"/>
          <w:lang w:val="en-US"/>
        </w:rPr>
        <w:t xml:space="preserve">R. </w:t>
      </w:r>
      <w:r w:rsidRPr="00B0592A">
        <w:rPr>
          <w:rStyle w:val="SCCAppellantForRunningHeadChar"/>
          <w:i/>
          <w:smallCaps w:val="0"/>
          <w:lang w:val="en-US"/>
        </w:rPr>
        <w:t>c.</w:t>
      </w:r>
      <w:r w:rsidRPr="00B0592A">
        <w:rPr>
          <w:rStyle w:val="SCCAppellantForRunningHeadChar"/>
          <w:smallCaps w:val="0"/>
          <w:lang w:val="en-US"/>
        </w:rPr>
        <w:t xml:space="preserve"> Vokurka</w:t>
      </w:r>
      <w:r>
        <w:rPr>
          <w:rStyle w:val="SCCAppellantForRunningHeadChar"/>
          <w:smallCaps w:val="0"/>
          <w:lang w:val="en-US"/>
        </w:rPr>
        <w:t>, 2014 CSC 22, [2014] 1 R.C.S. 498</w:t>
      </w:r>
    </w:p>
    <w:p w:rsidR="004D7D95" w:rsidRPr="00892A67" w:rsidRDefault="004D7D95" w:rsidP="004D7D95">
      <w:pPr>
        <w:jc w:val="both"/>
        <w:rPr>
          <w:lang w:val="en-US"/>
        </w:rPr>
      </w:pPr>
    </w:p>
    <w:p w:rsidR="004D7D95" w:rsidRPr="00892A67" w:rsidRDefault="004D7D95" w:rsidP="004D7D95">
      <w:pPr>
        <w:jc w:val="both"/>
        <w:rPr>
          <w:lang w:val="en-US"/>
        </w:rPr>
      </w:pPr>
    </w:p>
    <w:p w:rsidR="004D7D95" w:rsidRPr="00892A67" w:rsidRDefault="004D7D95" w:rsidP="004D7D95">
      <w:pPr>
        <w:jc w:val="both"/>
        <w:rPr>
          <w:lang w:val="en-US"/>
        </w:rPr>
      </w:pPr>
    </w:p>
    <w:p w:rsidR="0031154F" w:rsidRPr="00892A67" w:rsidRDefault="001F2854">
      <w:pPr>
        <w:pStyle w:val="SCCLsocLastPartyInRole"/>
        <w:rPr>
          <w:lang w:val="en-US"/>
        </w:rPr>
      </w:pPr>
      <w:r w:rsidRPr="00892A67">
        <w:rPr>
          <w:lang w:val="en-US"/>
        </w:rPr>
        <w:t>Eric Vokurka</w:t>
      </w:r>
      <w:r w:rsidRPr="00892A67">
        <w:rPr>
          <w:rStyle w:val="SCCLsocPartyRole"/>
          <w:lang w:val="en-US"/>
        </w:rPr>
        <w:tab/>
        <w:t>Appelant</w:t>
      </w:r>
    </w:p>
    <w:p w:rsidR="0031154F" w:rsidRPr="007F0E40" w:rsidRDefault="001F2854">
      <w:pPr>
        <w:pStyle w:val="SCCLsocVersus"/>
        <w:rPr>
          <w:lang w:val="fr-CA"/>
        </w:rPr>
      </w:pPr>
      <w:r w:rsidRPr="007F0E40">
        <w:rPr>
          <w:lang w:val="fr-CA"/>
        </w:rPr>
        <w:t>c.</w:t>
      </w:r>
    </w:p>
    <w:p w:rsidR="0031154F" w:rsidRPr="007F0E40" w:rsidRDefault="001F2854">
      <w:pPr>
        <w:pStyle w:val="SCCLsocLastPartyInRole"/>
        <w:rPr>
          <w:lang w:val="fr-CA"/>
        </w:rPr>
      </w:pPr>
      <w:r w:rsidRPr="007F0E40">
        <w:rPr>
          <w:lang w:val="fr-CA"/>
        </w:rPr>
        <w:t>Sa Majesté la Reine</w:t>
      </w:r>
      <w:r w:rsidRPr="007F0E40">
        <w:rPr>
          <w:rStyle w:val="SCCLsocPartyRole"/>
          <w:lang w:val="fr-CA"/>
        </w:rPr>
        <w:tab/>
        <w:t>Intimée</w:t>
      </w: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1F732E" w:rsidP="004D7D95">
      <w:pPr>
        <w:jc w:val="both"/>
        <w:rPr>
          <w:b/>
          <w:lang w:val="fr-CA"/>
        </w:rPr>
      </w:pPr>
      <w:r>
        <w:rPr>
          <w:b/>
          <w:lang w:val="fr-CA"/>
        </w:rPr>
        <w:t xml:space="preserve">Répertorié : R. </w:t>
      </w:r>
      <w:r w:rsidRPr="00BB4C92">
        <w:rPr>
          <w:b/>
          <w:i/>
          <w:lang w:val="fr-CA"/>
        </w:rPr>
        <w:t>c.</w:t>
      </w:r>
      <w:r w:rsidRPr="00BB4C92">
        <w:rPr>
          <w:b/>
          <w:lang w:val="fr-CA"/>
        </w:rPr>
        <w:t xml:space="preserve"> </w:t>
      </w:r>
      <w:r w:rsidR="004D7D95" w:rsidRPr="007F0E40">
        <w:rPr>
          <w:rStyle w:val="SCCAppellantForIndexChar"/>
          <w:lang w:val="fr-CA"/>
        </w:rPr>
        <w:t>Vokurka</w:t>
      </w: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F62639" w:rsidP="004D7D95">
      <w:pPr>
        <w:pStyle w:val="SCCSystemYear"/>
        <w:jc w:val="both"/>
        <w:rPr>
          <w:lang w:val="fr-CA"/>
        </w:rPr>
      </w:pPr>
      <w:r w:rsidRPr="007F0E40">
        <w:rPr>
          <w:lang w:val="fr-CA"/>
        </w:rPr>
        <w:lastRenderedPageBreak/>
        <w:t>2014</w:t>
      </w:r>
      <w:r w:rsidR="00E5375E" w:rsidRPr="007F0E40">
        <w:rPr>
          <w:lang w:val="fr-CA"/>
        </w:rPr>
        <w:t xml:space="preserve"> CSC 22</w:t>
      </w: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r w:rsidRPr="007F0E40">
        <w:rPr>
          <w:lang w:val="fr-CA"/>
        </w:rPr>
        <w:t>N</w:t>
      </w:r>
      <w:r w:rsidRPr="007F0E40">
        <w:rPr>
          <w:vertAlign w:val="superscript"/>
          <w:lang w:val="fr-CA"/>
        </w:rPr>
        <w:t>o</w:t>
      </w:r>
      <w:r w:rsidRPr="007F0E40">
        <w:rPr>
          <w:lang w:val="fr-CA"/>
        </w:rPr>
        <w:t xml:space="preserve"> du greffe : 35510.</w:t>
      </w: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F62639" w:rsidP="004D7D95">
      <w:pPr>
        <w:jc w:val="both"/>
        <w:rPr>
          <w:lang w:val="fr-CA"/>
        </w:rPr>
      </w:pPr>
      <w:r w:rsidRPr="007F0E40">
        <w:rPr>
          <w:lang w:val="fr-CA"/>
        </w:rPr>
        <w:t>2014</w:t>
      </w:r>
      <w:r w:rsidR="001F732E" w:rsidRPr="007F0E40">
        <w:rPr>
          <w:lang w:val="fr-CA"/>
        </w:rPr>
        <w:t> </w:t>
      </w:r>
      <w:r w:rsidRPr="007F0E40">
        <w:rPr>
          <w:lang w:val="fr-CA"/>
        </w:rPr>
        <w:t>:</w:t>
      </w:r>
      <w:r w:rsidR="001F732E" w:rsidRPr="007F0E40">
        <w:rPr>
          <w:lang w:val="fr-CA"/>
        </w:rPr>
        <w:t> </w:t>
      </w:r>
      <w:r w:rsidRPr="007F0E40">
        <w:rPr>
          <w:lang w:val="fr-CA"/>
        </w:rPr>
        <w:t>21 mars</w:t>
      </w:r>
      <w:r w:rsidR="004D7D95" w:rsidRPr="007F0E40">
        <w:rPr>
          <w:lang w:val="fr-CA"/>
        </w:rPr>
        <w:t>.</w:t>
      </w: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p>
    <w:p w:rsidR="004D7D95" w:rsidRPr="007F0E40" w:rsidRDefault="004D7D95" w:rsidP="004D7D95">
      <w:pPr>
        <w:jc w:val="both"/>
        <w:rPr>
          <w:lang w:val="fr-CA"/>
        </w:rPr>
      </w:pPr>
      <w:r w:rsidRPr="007F0E40">
        <w:rPr>
          <w:lang w:val="fr-CA"/>
        </w:rPr>
        <w:t>Présents : Les juges LeBel, Abella, Rothstein, Moldaver et Karakatsanis.</w:t>
      </w:r>
    </w:p>
    <w:p w:rsidR="004D7D95" w:rsidRPr="007F0E40" w:rsidRDefault="004D7D95" w:rsidP="004D7D95">
      <w:pPr>
        <w:jc w:val="both"/>
        <w:rPr>
          <w:lang w:val="fr-CA"/>
        </w:rPr>
      </w:pPr>
    </w:p>
    <w:p w:rsidR="00EE0830" w:rsidRPr="007F0E40" w:rsidRDefault="00EE0830" w:rsidP="004D7D95">
      <w:pPr>
        <w:jc w:val="both"/>
        <w:rPr>
          <w:lang w:val="fr-CA"/>
        </w:rPr>
      </w:pPr>
    </w:p>
    <w:p w:rsidR="00EE0830" w:rsidRPr="007F0E40" w:rsidRDefault="00EE0830" w:rsidP="004D7D95">
      <w:pPr>
        <w:jc w:val="both"/>
        <w:rPr>
          <w:lang w:val="fr-CA"/>
        </w:rPr>
      </w:pPr>
    </w:p>
    <w:p w:rsidR="004D7D95" w:rsidRPr="001F732E" w:rsidRDefault="004D7D95" w:rsidP="001F732E">
      <w:pPr>
        <w:spacing w:line="480" w:lineRule="auto"/>
        <w:jc w:val="both"/>
        <w:rPr>
          <w:smallCaps/>
          <w:lang w:val="fr-CA"/>
        </w:rPr>
      </w:pPr>
      <w:r w:rsidRPr="001F732E">
        <w:rPr>
          <w:smallCaps/>
          <w:lang w:val="fr-CA"/>
        </w:rPr>
        <w:t xml:space="preserve">en appel de la </w:t>
      </w:r>
      <w:r w:rsidRPr="007F0E40">
        <w:rPr>
          <w:smallCaps/>
          <w:lang w:val="fr-CA"/>
        </w:rPr>
        <w:t xml:space="preserve">cour </w:t>
      </w:r>
      <w:r w:rsidR="001F732E" w:rsidRPr="007F0E40">
        <w:rPr>
          <w:smallCaps/>
          <w:lang w:val="fr-CA"/>
        </w:rPr>
        <w:t>d’appel</w:t>
      </w:r>
      <w:r w:rsidRPr="007F0E40">
        <w:rPr>
          <w:smallCaps/>
          <w:lang w:val="fr-CA"/>
        </w:rPr>
        <w:t xml:space="preserve"> de terre-neuve-et-labrador</w:t>
      </w:r>
    </w:p>
    <w:p w:rsidR="001F732E" w:rsidRDefault="001F732E" w:rsidP="004D7D95">
      <w:pPr>
        <w:pStyle w:val="SCCNormalDoubleSpacing"/>
        <w:rPr>
          <w:lang w:val="fr-CA"/>
        </w:rPr>
      </w:pPr>
    </w:p>
    <w:p w:rsidR="007F0E40" w:rsidRPr="007F0E40" w:rsidRDefault="004D7D95" w:rsidP="007F0E40">
      <w:pPr>
        <w:pStyle w:val="SCCNormalDoubleSpacing"/>
        <w:rPr>
          <w:i/>
          <w:lang w:val="fr-CA"/>
        </w:rPr>
      </w:pPr>
      <w:r w:rsidRPr="00BB4C92">
        <w:rPr>
          <w:lang w:val="fr-CA"/>
        </w:rPr>
        <w:tab/>
      </w:r>
      <w:r w:rsidR="007F0E40" w:rsidRPr="007F0E40">
        <w:rPr>
          <w:i/>
          <w:lang w:val="fr-CA"/>
        </w:rPr>
        <w:t xml:space="preserve">Droit criminel </w:t>
      </w:r>
      <w:r w:rsidR="00892A67">
        <w:rPr>
          <w:i/>
          <w:lang w:val="fr-CA"/>
        </w:rPr>
        <w:t>—</w:t>
      </w:r>
      <w:r w:rsidR="007F0E40" w:rsidRPr="007F0E40">
        <w:rPr>
          <w:i/>
          <w:lang w:val="fr-CA"/>
        </w:rPr>
        <w:t xml:space="preserve"> Verdict raisonnable </w:t>
      </w:r>
      <w:r w:rsidR="00892A67">
        <w:rPr>
          <w:i/>
          <w:lang w:val="fr-CA"/>
        </w:rPr>
        <w:t>—</w:t>
      </w:r>
      <w:r w:rsidR="007F0E40" w:rsidRPr="007F0E40">
        <w:rPr>
          <w:i/>
          <w:lang w:val="fr-CA"/>
        </w:rPr>
        <w:t xml:space="preserve"> Défenses </w:t>
      </w:r>
      <w:r w:rsidR="00206541">
        <w:rPr>
          <w:i/>
          <w:lang w:val="fr-CA"/>
        </w:rPr>
        <w:t>—</w:t>
      </w:r>
      <w:r w:rsidR="007F0E40" w:rsidRPr="007F0E40">
        <w:rPr>
          <w:i/>
          <w:lang w:val="fr-CA"/>
        </w:rPr>
        <w:t xml:space="preserve"> Accident </w:t>
      </w:r>
      <w:r w:rsidR="00892A67">
        <w:rPr>
          <w:i/>
          <w:lang w:val="fr-CA"/>
        </w:rPr>
        <w:t>—</w:t>
      </w:r>
      <w:r w:rsidR="007F0E40" w:rsidRPr="007F0E40">
        <w:rPr>
          <w:i/>
          <w:lang w:val="fr-CA"/>
        </w:rPr>
        <w:t xml:space="preserve"> Le juge du proc</w:t>
      </w:r>
      <w:r w:rsidR="007F0E40">
        <w:rPr>
          <w:i/>
          <w:lang w:val="fr-CA"/>
        </w:rPr>
        <w:t>ès</w:t>
      </w:r>
      <w:r w:rsidR="007F0E40" w:rsidRPr="007F0E40">
        <w:rPr>
          <w:i/>
          <w:lang w:val="fr-CA"/>
        </w:rPr>
        <w:t xml:space="preserve"> n’a pas fait erreur en concluant que l’accusé avait intentionnellement infligé les blessures à la victime</w:t>
      </w:r>
      <w:r w:rsidR="007F0E40">
        <w:rPr>
          <w:i/>
          <w:lang w:val="fr-CA"/>
        </w:rPr>
        <w:t xml:space="preserve"> </w:t>
      </w:r>
      <w:r w:rsidR="00892A67">
        <w:rPr>
          <w:i/>
          <w:lang w:val="fr-CA"/>
        </w:rPr>
        <w:t>—</w:t>
      </w:r>
      <w:r w:rsidR="007F0E40">
        <w:rPr>
          <w:i/>
          <w:lang w:val="fr-CA"/>
        </w:rPr>
        <w:t xml:space="preserve"> Les inférences sur lesquelles repose le verdict du juge du procè</w:t>
      </w:r>
      <w:r w:rsidR="007F0E40" w:rsidRPr="00291208">
        <w:rPr>
          <w:i/>
          <w:lang w:val="fr-CA"/>
        </w:rPr>
        <w:t xml:space="preserve">s </w:t>
      </w:r>
      <w:r w:rsidR="007F0E40" w:rsidRPr="00291208">
        <w:rPr>
          <w:i/>
          <w:szCs w:val="24"/>
          <w:lang w:val="fr-CA"/>
        </w:rPr>
        <w:t>étaient raisonnablement étayées par la preuve</w:t>
      </w:r>
      <w:r w:rsidR="007F0E40" w:rsidRPr="007F0E40">
        <w:rPr>
          <w:i/>
          <w:lang w:val="fr-CA"/>
        </w:rPr>
        <w:t xml:space="preserve"> </w:t>
      </w:r>
      <w:r w:rsidR="00892A67">
        <w:rPr>
          <w:i/>
          <w:lang w:val="fr-CA"/>
        </w:rPr>
        <w:t>—</w:t>
      </w:r>
      <w:r w:rsidR="007F0E40" w:rsidRPr="007F0E40">
        <w:rPr>
          <w:i/>
          <w:lang w:val="fr-CA"/>
        </w:rPr>
        <w:t xml:space="preserve"> </w:t>
      </w:r>
      <w:r w:rsidR="00291208">
        <w:rPr>
          <w:i/>
          <w:lang w:val="fr-CA"/>
        </w:rPr>
        <w:t>Le juge a expliqué adéquatement les raisons pour lesquelles il excluait la possibilité d’un accident</w:t>
      </w:r>
      <w:r w:rsidR="007F0E40" w:rsidRPr="007F0E40">
        <w:rPr>
          <w:i/>
          <w:lang w:val="fr-CA"/>
        </w:rPr>
        <w:t>.</w:t>
      </w:r>
    </w:p>
    <w:p w:rsidR="004D7D95" w:rsidRPr="007F0E40" w:rsidRDefault="007F0E40" w:rsidP="004D7D95">
      <w:pPr>
        <w:pStyle w:val="SCCNormalDoubleSpacing"/>
        <w:rPr>
          <w:lang w:val="fr-CA"/>
        </w:rPr>
      </w:pPr>
      <w:r w:rsidRPr="007F0E40">
        <w:rPr>
          <w:lang w:val="fr-CA"/>
        </w:rPr>
        <w:t xml:space="preserve"> </w:t>
      </w:r>
    </w:p>
    <w:p w:rsidR="004D7D95" w:rsidRPr="004D7D95" w:rsidRDefault="001F732E" w:rsidP="004D7D95">
      <w:pPr>
        <w:pStyle w:val="SCCNormalDoubleSpacing"/>
        <w:rPr>
          <w:lang w:val="fr-CA"/>
        </w:rPr>
      </w:pPr>
      <w:r w:rsidRPr="007F0E40">
        <w:rPr>
          <w:lang w:val="fr-CA"/>
        </w:rPr>
        <w:tab/>
      </w:r>
      <w:r w:rsidR="004D7D95" w:rsidRPr="004D7D95">
        <w:rPr>
          <w:lang w:val="fr-CA"/>
        </w:rPr>
        <w:t xml:space="preserve">POURVOI contre un arrêt de la </w:t>
      </w:r>
      <w:r w:rsidR="004D7D95" w:rsidRPr="007F0E40">
        <w:rPr>
          <w:lang w:val="fr-CA"/>
        </w:rPr>
        <w:t xml:space="preserve">Cour </w:t>
      </w:r>
      <w:r w:rsidRPr="007F0E40">
        <w:rPr>
          <w:lang w:val="fr-CA"/>
        </w:rPr>
        <w:t xml:space="preserve">d’appel </w:t>
      </w:r>
      <w:r w:rsidR="004D7D95" w:rsidRPr="007F0E40">
        <w:rPr>
          <w:lang w:val="fr-CA"/>
        </w:rPr>
        <w:t>d</w:t>
      </w:r>
      <w:r w:rsidRPr="007F0E40">
        <w:rPr>
          <w:lang w:val="fr-CA"/>
        </w:rPr>
        <w:t xml:space="preserve">e Terre-Neuve-et-Labrador (les juges Welsh, Barry et Hoegg), 2013 NLCA 51, 339 Nfld. &amp; P.E.I.R. 248, 1054 A.P.R. 248, [2013] N.J. No. 267 (QL), 2013 CarswellNfld 286, qui a confirmé </w:t>
      </w:r>
      <w:r w:rsidR="001E2E0F" w:rsidRPr="007F0E40">
        <w:rPr>
          <w:lang w:val="fr-CA"/>
        </w:rPr>
        <w:t>la déclaration de culpabilité de voies de fait graves prononcée contre l’accusé</w:t>
      </w:r>
      <w:r w:rsidRPr="007F0E40">
        <w:rPr>
          <w:lang w:val="fr-CA"/>
        </w:rPr>
        <w:t>.  Pourvoi rejeté.</w:t>
      </w:r>
    </w:p>
    <w:p w:rsidR="004D7D95" w:rsidRPr="004D7D95" w:rsidRDefault="004D7D95" w:rsidP="004D7D95">
      <w:pPr>
        <w:pStyle w:val="SCCNormalDoubleSpacing"/>
        <w:rPr>
          <w:lang w:val="fr-CA"/>
        </w:rPr>
      </w:pPr>
    </w:p>
    <w:p w:rsidR="0031154F" w:rsidRPr="007F0E40" w:rsidRDefault="001F2854">
      <w:pPr>
        <w:pStyle w:val="SCCNormalDoubleSpacing"/>
        <w:rPr>
          <w:lang w:val="fr-CA"/>
        </w:rPr>
      </w:pPr>
      <w:r w:rsidRPr="007F0E40">
        <w:rPr>
          <w:rStyle w:val="SCCCounselNameChar"/>
          <w:lang w:val="fr-CA"/>
        </w:rPr>
        <w:tab/>
        <w:t>Keir O</w:t>
      </w:r>
      <w:r w:rsidR="001F732E" w:rsidRPr="007F0E40">
        <w:rPr>
          <w:rStyle w:val="SCCCounselNameChar"/>
          <w:lang w:val="fr-CA"/>
        </w:rPr>
        <w:t>’</w:t>
      </w:r>
      <w:r w:rsidRPr="007F0E40">
        <w:rPr>
          <w:rStyle w:val="SCCCounselNameChar"/>
          <w:lang w:val="fr-CA"/>
        </w:rPr>
        <w:t>Flaherty</w:t>
      </w:r>
      <w:r w:rsidRPr="007F0E40">
        <w:rPr>
          <w:rStyle w:val="SCCCounselSeparatorChar"/>
          <w:lang w:val="fr-CA"/>
        </w:rPr>
        <w:t xml:space="preserve"> et </w:t>
      </w:r>
      <w:r w:rsidRPr="007F0E40">
        <w:rPr>
          <w:rStyle w:val="SCCCounselNameChar"/>
          <w:lang w:val="fr-CA"/>
        </w:rPr>
        <w:t>Bob Buckingham</w:t>
      </w:r>
      <w:r w:rsidRPr="007F0E40">
        <w:rPr>
          <w:rStyle w:val="SCCCounselPartyRoleChar"/>
          <w:lang w:val="fr-CA"/>
        </w:rPr>
        <w:t>, pour l</w:t>
      </w:r>
      <w:r w:rsidR="001F732E" w:rsidRPr="007F0E40">
        <w:rPr>
          <w:rStyle w:val="SCCCounselPartyRoleChar"/>
          <w:lang w:val="fr-CA"/>
        </w:rPr>
        <w:t>’</w:t>
      </w:r>
      <w:r w:rsidRPr="007F0E40">
        <w:rPr>
          <w:rStyle w:val="SCCCounselPartyRoleChar"/>
          <w:lang w:val="fr-CA"/>
        </w:rPr>
        <w:t>appelant.</w:t>
      </w:r>
    </w:p>
    <w:p w:rsidR="0031154F" w:rsidRPr="007F0E40" w:rsidRDefault="0031154F">
      <w:pPr>
        <w:pStyle w:val="SCCNormalDoubleSpacing"/>
        <w:rPr>
          <w:lang w:val="fr-CA"/>
        </w:rPr>
      </w:pPr>
    </w:p>
    <w:p w:rsidR="0031154F" w:rsidRPr="007F0E40" w:rsidRDefault="001F732E">
      <w:pPr>
        <w:pStyle w:val="SCCNormalDoubleSpacing"/>
        <w:rPr>
          <w:rStyle w:val="SCCCounselPartyRoleChar"/>
          <w:lang w:val="fr-CA"/>
        </w:rPr>
      </w:pPr>
      <w:r w:rsidRPr="007F0E40">
        <w:rPr>
          <w:rStyle w:val="SCCCounselNameChar"/>
          <w:lang w:val="fr-CA"/>
        </w:rPr>
        <w:lastRenderedPageBreak/>
        <w:tab/>
        <w:t>Iain </w:t>
      </w:r>
      <w:r w:rsidR="001F2854" w:rsidRPr="007F0E40">
        <w:rPr>
          <w:rStyle w:val="SCCCounselNameChar"/>
          <w:lang w:val="fr-CA"/>
        </w:rPr>
        <w:t>R.</w:t>
      </w:r>
      <w:r w:rsidRPr="007F0E40">
        <w:rPr>
          <w:rStyle w:val="SCCCounselNameChar"/>
          <w:lang w:val="fr-CA"/>
        </w:rPr>
        <w:t> </w:t>
      </w:r>
      <w:r w:rsidR="001F2854" w:rsidRPr="007F0E40">
        <w:rPr>
          <w:rStyle w:val="SCCCounselNameChar"/>
          <w:lang w:val="fr-CA"/>
        </w:rPr>
        <w:t>W. Hollett</w:t>
      </w:r>
      <w:r w:rsidR="001F2854" w:rsidRPr="007F0E40">
        <w:rPr>
          <w:rStyle w:val="SCCCounselPartyRoleChar"/>
          <w:lang w:val="fr-CA"/>
        </w:rPr>
        <w:t>, pour l</w:t>
      </w:r>
      <w:r w:rsidRPr="007F0E40">
        <w:rPr>
          <w:rStyle w:val="SCCCounselPartyRoleChar"/>
          <w:lang w:val="fr-CA"/>
        </w:rPr>
        <w:t>’</w:t>
      </w:r>
      <w:r w:rsidR="001F2854" w:rsidRPr="007F0E40">
        <w:rPr>
          <w:rStyle w:val="SCCCounselPartyRoleChar"/>
          <w:lang w:val="fr-CA"/>
        </w:rPr>
        <w:t>intimée.</w:t>
      </w:r>
    </w:p>
    <w:p w:rsidR="001F732E" w:rsidRPr="007F0E40" w:rsidRDefault="001F732E">
      <w:pPr>
        <w:pStyle w:val="SCCNormalDoubleSpacing"/>
        <w:rPr>
          <w:lang w:val="fr-CA"/>
        </w:rPr>
      </w:pPr>
    </w:p>
    <w:p w:rsidR="001E2E0F" w:rsidRPr="007F0E40" w:rsidRDefault="001E2E0F">
      <w:pPr>
        <w:pStyle w:val="SCCNormalDoubleSpacing"/>
        <w:rPr>
          <w:lang w:val="fr-CA"/>
        </w:rPr>
      </w:pPr>
      <w:r w:rsidRPr="007F0E40">
        <w:rPr>
          <w:lang w:val="fr-CA"/>
        </w:rPr>
        <w:tab/>
        <w:t>Version française du jugement de la Cour rendu oralement par</w:t>
      </w:r>
    </w:p>
    <w:p w:rsidR="001E2E0F" w:rsidRPr="007F0E40" w:rsidRDefault="001E2E0F">
      <w:pPr>
        <w:pStyle w:val="SCCNormalDoubleSpacing"/>
        <w:rPr>
          <w:lang w:val="fr-CA"/>
        </w:rPr>
      </w:pPr>
    </w:p>
    <w:p w:rsidR="001E2E0F" w:rsidRDefault="00766C31">
      <w:pPr>
        <w:pStyle w:val="SCCNormalDoubleSpacing"/>
        <w:rPr>
          <w:szCs w:val="24"/>
          <w:lang w:val="fr-CA"/>
        </w:rPr>
      </w:pPr>
      <w:r w:rsidRPr="007F0E40">
        <w:rPr>
          <w:lang w:val="fr-CA"/>
        </w:rPr>
        <w:t>[1]</w:t>
      </w:r>
      <w:r w:rsidRPr="007F0E40">
        <w:rPr>
          <w:lang w:val="fr-CA"/>
        </w:rPr>
        <w:tab/>
      </w:r>
      <w:r w:rsidR="00E5375E" w:rsidRPr="00DE3D78">
        <w:rPr>
          <w:smallCaps/>
          <w:lang w:val="fr-CA"/>
        </w:rPr>
        <w:t>La juge Abella</w:t>
      </w:r>
      <w:r w:rsidR="00E5375E" w:rsidRPr="00DE3D78">
        <w:rPr>
          <w:lang w:val="fr-CA"/>
        </w:rPr>
        <w:t xml:space="preserve"> </w:t>
      </w:r>
      <w:r w:rsidR="00E5375E">
        <w:rPr>
          <w:lang w:val="fr-CA"/>
        </w:rPr>
        <w:t xml:space="preserve">— </w:t>
      </w:r>
      <w:r w:rsidR="00E5375E" w:rsidRPr="003833F4">
        <w:rPr>
          <w:lang w:val="fr-CA"/>
        </w:rPr>
        <w:t>La question déterminante au pro</w:t>
      </w:r>
      <w:r w:rsidR="00E5375E">
        <w:rPr>
          <w:lang w:val="fr-CA"/>
        </w:rPr>
        <w:t xml:space="preserve">cès était de savoir si M. </w:t>
      </w:r>
      <w:r w:rsidR="00E5375E" w:rsidRPr="003833F4">
        <w:rPr>
          <w:lang w:val="fr-CA"/>
        </w:rPr>
        <w:t xml:space="preserve">Vokurka avait intentionnellement infligé les blessures </w:t>
      </w:r>
      <w:r w:rsidR="00E5375E">
        <w:rPr>
          <w:szCs w:val="24"/>
          <w:lang w:val="fr-CA"/>
        </w:rPr>
        <w:t>à la victime.  La majorité de la Cour d’appel a décidé que les constatations de fait du juge du procès, les inférences tirées de ces faits et la conclusion de culpabilité étaient raisonnables</w:t>
      </w:r>
      <w:r w:rsidR="00E5375E" w:rsidRPr="003833F4">
        <w:rPr>
          <w:szCs w:val="24"/>
          <w:lang w:val="fr-CA"/>
        </w:rPr>
        <w:t>.</w:t>
      </w:r>
    </w:p>
    <w:p w:rsidR="00E5375E" w:rsidRDefault="00E5375E">
      <w:pPr>
        <w:pStyle w:val="SCCNormalDoubleSpacing"/>
        <w:rPr>
          <w:szCs w:val="24"/>
          <w:lang w:val="fr-CA"/>
        </w:rPr>
      </w:pPr>
    </w:p>
    <w:p w:rsidR="00E5375E" w:rsidRPr="007F0E40" w:rsidRDefault="00E5375E">
      <w:pPr>
        <w:pStyle w:val="SCCNormalDoubleSpacing"/>
        <w:rPr>
          <w:lang w:val="fr-CA"/>
        </w:rPr>
      </w:pPr>
      <w:r>
        <w:rPr>
          <w:szCs w:val="24"/>
          <w:lang w:val="fr-CA"/>
        </w:rPr>
        <w:t>[2]</w:t>
      </w:r>
      <w:r>
        <w:rPr>
          <w:szCs w:val="24"/>
          <w:lang w:val="fr-CA"/>
        </w:rPr>
        <w:tab/>
        <w:t xml:space="preserve">De l’avis de la juge dissidente, le juge du procès a fait erreur en n’examinant pas </w:t>
      </w:r>
      <w:r w:rsidRPr="0042193D">
        <w:rPr>
          <w:szCs w:val="24"/>
          <w:lang w:val="fr-CA"/>
        </w:rPr>
        <w:t>l’</w:t>
      </w:r>
      <w:r w:rsidR="00B64962">
        <w:rPr>
          <w:szCs w:val="24"/>
          <w:lang w:val="fr-CA"/>
        </w:rPr>
        <w:t>[</w:t>
      </w:r>
      <w:r w:rsidR="00B64962" w:rsidRPr="00B64962">
        <w:rPr>
          <w:smallCaps/>
          <w:szCs w:val="24"/>
          <w:lang w:val="fr-CA"/>
        </w:rPr>
        <w:t>traduction</w:t>
      </w:r>
      <w:r w:rsidR="00B64962">
        <w:rPr>
          <w:szCs w:val="24"/>
          <w:lang w:val="fr-CA"/>
        </w:rPr>
        <w:t xml:space="preserve">] </w:t>
      </w:r>
      <w:r w:rsidRPr="0042193D">
        <w:rPr>
          <w:szCs w:val="24"/>
          <w:lang w:val="fr-CA"/>
        </w:rPr>
        <w:t xml:space="preserve">« explication tout aussi plausible » </w:t>
      </w:r>
      <w:r>
        <w:rPr>
          <w:szCs w:val="24"/>
          <w:lang w:val="fr-CA"/>
        </w:rPr>
        <w:t xml:space="preserve">qui, selon elle, appuyait </w:t>
      </w:r>
      <w:r w:rsidRPr="0042193D">
        <w:rPr>
          <w:szCs w:val="24"/>
          <w:lang w:val="fr-CA"/>
        </w:rPr>
        <w:t>la défense d’accident</w:t>
      </w:r>
      <w:r>
        <w:rPr>
          <w:szCs w:val="24"/>
          <w:lang w:val="fr-CA"/>
        </w:rPr>
        <w:t xml:space="preserve"> et en n’expliquant pas adéquatement pourquoi il ne l’acceptait pas</w:t>
      </w:r>
      <w:r w:rsidRPr="0042193D">
        <w:rPr>
          <w:szCs w:val="24"/>
          <w:lang w:val="fr-CA"/>
        </w:rPr>
        <w:t>.  Nous n</w:t>
      </w:r>
      <w:r>
        <w:rPr>
          <w:szCs w:val="24"/>
          <w:lang w:val="fr-CA"/>
        </w:rPr>
        <w:t>e partageons pas cet avis, mais souscrivons plutôt à l’opinion des juges majoritaires portant que le juge du procès a expliqué adéquatement pourquoi il rejetait la possibilité d’un accident et concluait que l’accusation avait été prouvée hors de tout doute raisonnable</w:t>
      </w:r>
      <w:r w:rsidRPr="003833F4">
        <w:rPr>
          <w:szCs w:val="24"/>
          <w:lang w:val="fr-CA"/>
        </w:rPr>
        <w:t xml:space="preserve">.  </w:t>
      </w:r>
      <w:r>
        <w:rPr>
          <w:szCs w:val="24"/>
          <w:lang w:val="fr-CA"/>
        </w:rPr>
        <w:t>Le juge de première instance a fait état des déclarations de la victime, du témoignage d’expert d’un médecin sur la nature de la blessure et de la réaction de la victime au fait d’avoir été coupée</w:t>
      </w:r>
      <w:r w:rsidRPr="003833F4">
        <w:rPr>
          <w:szCs w:val="24"/>
          <w:lang w:val="fr-CA"/>
        </w:rPr>
        <w:t xml:space="preserve">, </w:t>
      </w:r>
      <w:r>
        <w:rPr>
          <w:szCs w:val="24"/>
          <w:lang w:val="fr-CA"/>
        </w:rPr>
        <w:t>autant d’éléments qui l’ont clairement amené à conclure à l’</w:t>
      </w:r>
      <w:r w:rsidRPr="0073308C">
        <w:rPr>
          <w:i/>
          <w:szCs w:val="24"/>
          <w:lang w:val="fr-CA"/>
        </w:rPr>
        <w:t>a</w:t>
      </w:r>
      <w:r>
        <w:rPr>
          <w:i/>
          <w:szCs w:val="24"/>
          <w:lang w:val="fr-CA"/>
        </w:rPr>
        <w:t>bsence</w:t>
      </w:r>
      <w:r>
        <w:rPr>
          <w:szCs w:val="24"/>
          <w:lang w:val="fr-CA"/>
        </w:rPr>
        <w:t xml:space="preserve"> d’« explication tout aussi plausible » en ce qui concerne la coupure</w:t>
      </w:r>
      <w:r w:rsidRPr="003833F4">
        <w:rPr>
          <w:szCs w:val="24"/>
          <w:lang w:val="fr-CA"/>
        </w:rPr>
        <w:t xml:space="preserve">. </w:t>
      </w:r>
      <w:r>
        <w:rPr>
          <w:szCs w:val="24"/>
          <w:lang w:val="fr-CA"/>
        </w:rPr>
        <w:t xml:space="preserve"> Il a examiné les éléments de preuve pertinents et exposé les raisons pour lesquelles il concluait hors de tout doute raisonnable que les blessures avaient été infligées intentionnellement.  Ses inférences étaient raisonnablement étayées par la preuve</w:t>
      </w:r>
      <w:r w:rsidRPr="003833F4">
        <w:rPr>
          <w:szCs w:val="24"/>
          <w:lang w:val="fr-CA"/>
        </w:rPr>
        <w:t xml:space="preserve">. </w:t>
      </w:r>
      <w:r>
        <w:rPr>
          <w:szCs w:val="24"/>
          <w:lang w:val="fr-CA"/>
        </w:rPr>
        <w:t xml:space="preserve"> À l’instar des juges majoritaires de la Cour d’appel, nous ne voyons aucune erreur dans cette approche.  Avec égards, il </w:t>
      </w:r>
      <w:r>
        <w:rPr>
          <w:szCs w:val="24"/>
          <w:lang w:val="fr-CA"/>
        </w:rPr>
        <w:lastRenderedPageBreak/>
        <w:t>n’était pas loisible à la juge dissidente de soupeser à nouveau la preuve et de substituer sa propre appréciation à celle du premier juge</w:t>
      </w:r>
      <w:r w:rsidRPr="003833F4">
        <w:rPr>
          <w:szCs w:val="24"/>
          <w:lang w:val="fr-CA"/>
        </w:rPr>
        <w:t xml:space="preserve">. </w:t>
      </w:r>
      <w:r>
        <w:rPr>
          <w:szCs w:val="24"/>
          <w:lang w:val="fr-CA"/>
        </w:rPr>
        <w:t xml:space="preserve"> Le pourvoi est donc rejeté</w:t>
      </w:r>
      <w:r w:rsidRPr="003833F4">
        <w:rPr>
          <w:szCs w:val="24"/>
          <w:lang w:val="fr-CA"/>
        </w:rPr>
        <w:t>.</w:t>
      </w:r>
    </w:p>
    <w:p w:rsidR="001E2E0F" w:rsidRPr="007F0E40" w:rsidRDefault="001E2E0F">
      <w:pPr>
        <w:pStyle w:val="SCCNormalDoubleSpacing"/>
        <w:rPr>
          <w:lang w:val="fr-CA"/>
        </w:rPr>
      </w:pPr>
    </w:p>
    <w:p w:rsidR="004D7D95" w:rsidRPr="007F0E40" w:rsidRDefault="004D7D95" w:rsidP="004D7D95">
      <w:pPr>
        <w:pStyle w:val="SCCNormalDoubleSpacing"/>
        <w:rPr>
          <w:lang w:val="fr-CA"/>
        </w:rPr>
      </w:pPr>
      <w:r w:rsidRPr="007F0E40">
        <w:rPr>
          <w:lang w:val="fr-CA"/>
        </w:rPr>
        <w:tab/>
      </w:r>
      <w:r w:rsidR="001F732E" w:rsidRPr="007F0E40">
        <w:rPr>
          <w:i/>
          <w:lang w:val="fr-CA"/>
        </w:rPr>
        <w:t>Jugement en conséquence.</w:t>
      </w:r>
    </w:p>
    <w:p w:rsidR="004D7D95" w:rsidRPr="007F0E40" w:rsidRDefault="004D7D95" w:rsidP="004D7D95">
      <w:pPr>
        <w:pStyle w:val="SCCNormalDoubleSpacing"/>
        <w:rPr>
          <w:lang w:val="fr-CA"/>
        </w:rPr>
      </w:pPr>
    </w:p>
    <w:p w:rsidR="0031154F" w:rsidRPr="007F0E40" w:rsidRDefault="001F2854">
      <w:pPr>
        <w:pStyle w:val="SCCLawFirm"/>
        <w:rPr>
          <w:lang w:val="fr-CA"/>
        </w:rPr>
      </w:pPr>
      <w:r w:rsidRPr="007F0E40">
        <w:rPr>
          <w:lang w:val="fr-CA"/>
        </w:rPr>
        <w:tab/>
        <w:t>Procureurs de l</w:t>
      </w:r>
      <w:r w:rsidR="001F732E" w:rsidRPr="007F0E40">
        <w:rPr>
          <w:lang w:val="fr-CA"/>
        </w:rPr>
        <w:t>’</w:t>
      </w:r>
      <w:r w:rsidRPr="007F0E40">
        <w:rPr>
          <w:lang w:val="fr-CA"/>
        </w:rPr>
        <w:t>appelant : Bob Buckingham Law, St. John</w:t>
      </w:r>
      <w:r w:rsidR="001F732E" w:rsidRPr="007F0E40">
        <w:rPr>
          <w:lang w:val="fr-CA"/>
        </w:rPr>
        <w:t>’</w:t>
      </w:r>
      <w:r w:rsidRPr="007F0E40">
        <w:rPr>
          <w:lang w:val="fr-CA"/>
        </w:rPr>
        <w:t>s.</w:t>
      </w:r>
    </w:p>
    <w:p w:rsidR="0031154F" w:rsidRPr="007F0E40" w:rsidRDefault="0031154F">
      <w:pPr>
        <w:pStyle w:val="SCCLawFirm"/>
        <w:rPr>
          <w:lang w:val="fr-CA"/>
        </w:rPr>
      </w:pPr>
    </w:p>
    <w:p w:rsidR="009B57B3" w:rsidRPr="007F0E40" w:rsidRDefault="001F2854" w:rsidP="001E2E0F">
      <w:pPr>
        <w:pStyle w:val="SCCLawFirm"/>
        <w:rPr>
          <w:lang w:val="fr-CA"/>
        </w:rPr>
      </w:pPr>
      <w:r w:rsidRPr="007F0E40">
        <w:rPr>
          <w:lang w:val="fr-CA"/>
        </w:rPr>
        <w:tab/>
        <w:t>Procureur de l</w:t>
      </w:r>
      <w:r w:rsidR="001F732E" w:rsidRPr="007F0E40">
        <w:rPr>
          <w:lang w:val="fr-CA"/>
        </w:rPr>
        <w:t>’</w:t>
      </w:r>
      <w:r w:rsidRPr="007F0E40">
        <w:rPr>
          <w:lang w:val="fr-CA"/>
        </w:rPr>
        <w:t xml:space="preserve">intimée : </w:t>
      </w:r>
      <w:r w:rsidR="001F732E" w:rsidRPr="007F0E40">
        <w:rPr>
          <w:lang w:val="fr-CA"/>
        </w:rPr>
        <w:t xml:space="preserve">Procureur général de </w:t>
      </w:r>
      <w:r w:rsidR="001E2E0F" w:rsidRPr="007F0E40">
        <w:rPr>
          <w:lang w:val="fr-CA"/>
        </w:rPr>
        <w:t>Terre-Neuve-et-Labrador</w:t>
      </w:r>
      <w:r w:rsidRPr="007F0E40">
        <w:rPr>
          <w:lang w:val="fr-CA"/>
        </w:rPr>
        <w:t>, St. John</w:t>
      </w:r>
      <w:r w:rsidR="001F732E" w:rsidRPr="007F0E40">
        <w:rPr>
          <w:lang w:val="fr-CA"/>
        </w:rPr>
        <w:t>’</w:t>
      </w:r>
      <w:r w:rsidRPr="007F0E40">
        <w:rPr>
          <w:lang w:val="fr-CA"/>
        </w:rPr>
        <w:t>s.</w:t>
      </w:r>
    </w:p>
    <w:sectPr w:rsidR="009B57B3" w:rsidRPr="007F0E40"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208" w:rsidRDefault="00291208">
      <w:r>
        <w:separator/>
      </w:r>
    </w:p>
  </w:endnote>
  <w:endnote w:type="continuationSeparator" w:id="0">
    <w:p w:rsidR="00291208" w:rsidRDefault="00291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208" w:rsidRDefault="00291208">
      <w:r>
        <w:separator/>
      </w:r>
    </w:p>
  </w:footnote>
  <w:footnote w:type="continuationSeparator" w:id="0">
    <w:p w:rsidR="00291208" w:rsidRDefault="0029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08" w:rsidRPr="00450352" w:rsidRDefault="00291208" w:rsidP="004503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23FC7"/>
    <w:rsid w:val="00025198"/>
    <w:rsid w:val="000578A3"/>
    <w:rsid w:val="000648CC"/>
    <w:rsid w:val="000C59B8"/>
    <w:rsid w:val="000C6AF0"/>
    <w:rsid w:val="000D0A77"/>
    <w:rsid w:val="000D7EFB"/>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1E2E0F"/>
    <w:rsid w:val="001F2854"/>
    <w:rsid w:val="001F732E"/>
    <w:rsid w:val="00206541"/>
    <w:rsid w:val="00220FC2"/>
    <w:rsid w:val="002222F4"/>
    <w:rsid w:val="00224FC0"/>
    <w:rsid w:val="00225EA4"/>
    <w:rsid w:val="00226EAF"/>
    <w:rsid w:val="00231F3A"/>
    <w:rsid w:val="002406EE"/>
    <w:rsid w:val="00243EC8"/>
    <w:rsid w:val="00270D93"/>
    <w:rsid w:val="002745CC"/>
    <w:rsid w:val="00291208"/>
    <w:rsid w:val="002B6FBE"/>
    <w:rsid w:val="002B7924"/>
    <w:rsid w:val="002C10A6"/>
    <w:rsid w:val="002D28C3"/>
    <w:rsid w:val="002D39A4"/>
    <w:rsid w:val="002E6705"/>
    <w:rsid w:val="0030329A"/>
    <w:rsid w:val="0031086F"/>
    <w:rsid w:val="0031154F"/>
    <w:rsid w:val="0031414C"/>
    <w:rsid w:val="00314E01"/>
    <w:rsid w:val="0032089D"/>
    <w:rsid w:val="003310DE"/>
    <w:rsid w:val="003323B0"/>
    <w:rsid w:val="00340A49"/>
    <w:rsid w:val="00350488"/>
    <w:rsid w:val="0035169A"/>
    <w:rsid w:val="0035259D"/>
    <w:rsid w:val="00364B18"/>
    <w:rsid w:val="003A125D"/>
    <w:rsid w:val="003A4C70"/>
    <w:rsid w:val="003B1331"/>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A27E3"/>
    <w:rsid w:val="005A6079"/>
    <w:rsid w:val="005E4698"/>
    <w:rsid w:val="00603924"/>
    <w:rsid w:val="00610539"/>
    <w:rsid w:val="00613969"/>
    <w:rsid w:val="00625C35"/>
    <w:rsid w:val="00647E49"/>
    <w:rsid w:val="00656313"/>
    <w:rsid w:val="006565F4"/>
    <w:rsid w:val="00684EEA"/>
    <w:rsid w:val="0069689B"/>
    <w:rsid w:val="006B5FF5"/>
    <w:rsid w:val="006E3702"/>
    <w:rsid w:val="006F30AF"/>
    <w:rsid w:val="00701759"/>
    <w:rsid w:val="00705C15"/>
    <w:rsid w:val="007110F6"/>
    <w:rsid w:val="007208D1"/>
    <w:rsid w:val="00744518"/>
    <w:rsid w:val="00747288"/>
    <w:rsid w:val="00747DD3"/>
    <w:rsid w:val="007549C8"/>
    <w:rsid w:val="00766C31"/>
    <w:rsid w:val="00766D14"/>
    <w:rsid w:val="00767A0F"/>
    <w:rsid w:val="00791272"/>
    <w:rsid w:val="007A05F6"/>
    <w:rsid w:val="007B6F4A"/>
    <w:rsid w:val="007E1C47"/>
    <w:rsid w:val="007E337A"/>
    <w:rsid w:val="007E5C70"/>
    <w:rsid w:val="007F0E40"/>
    <w:rsid w:val="007F2FF5"/>
    <w:rsid w:val="007F3F08"/>
    <w:rsid w:val="00804CC6"/>
    <w:rsid w:val="00817190"/>
    <w:rsid w:val="008260E2"/>
    <w:rsid w:val="008322BD"/>
    <w:rsid w:val="00834F73"/>
    <w:rsid w:val="00864C8A"/>
    <w:rsid w:val="00864CF8"/>
    <w:rsid w:val="00874914"/>
    <w:rsid w:val="00891422"/>
    <w:rsid w:val="00892A67"/>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6588D"/>
    <w:rsid w:val="00A73C38"/>
    <w:rsid w:val="00AB670D"/>
    <w:rsid w:val="00AF03C5"/>
    <w:rsid w:val="00B000D8"/>
    <w:rsid w:val="00B00F75"/>
    <w:rsid w:val="00B0592A"/>
    <w:rsid w:val="00B145B6"/>
    <w:rsid w:val="00B279EB"/>
    <w:rsid w:val="00B50C81"/>
    <w:rsid w:val="00B557F8"/>
    <w:rsid w:val="00B64962"/>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56E86"/>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32086"/>
    <w:rsid w:val="00D37A3F"/>
    <w:rsid w:val="00D4431D"/>
    <w:rsid w:val="00D4667A"/>
    <w:rsid w:val="00D63A1C"/>
    <w:rsid w:val="00D726D4"/>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375E"/>
    <w:rsid w:val="00E56A44"/>
    <w:rsid w:val="00E6026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7562C"/>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6E370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2014-03-24T19:34:00Z</dcterms:created>
  <dcterms:modified xsi:type="dcterms:W3CDTF">2014-06-26T19:46:00Z</dcterms:modified>
</cp:coreProperties>
</file>