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E5E" w:rsidRPr="00A63E5E" w:rsidRDefault="00A63E5E" w:rsidP="00A63E5E">
      <w:pPr>
        <w:tabs>
          <w:tab w:val="center" w:pos="4680"/>
          <w:tab w:val="right" w:pos="9360"/>
        </w:tabs>
        <w:rPr>
          <w:rFonts w:eastAsiaTheme="minorHAnsi" w:cstheme="minorBidi"/>
          <w:szCs w:val="24"/>
          <w:lang w:val="fr-CA" w:eastAsia="en-US"/>
        </w:rPr>
      </w:pPr>
      <w:r w:rsidRPr="00A63E5E">
        <w:rPr>
          <w:rFonts w:eastAsiaTheme="minorHAnsi" w:cstheme="minorBidi"/>
          <w:szCs w:val="24"/>
          <w:lang w:val="fr-CA" w:eastAsia="en-US"/>
        </w:rPr>
        <w:ptab w:relativeTo="margin" w:alignment="center" w:leader="none"/>
      </w:r>
      <w:r w:rsidRPr="00A63E5E">
        <w:rPr>
          <w:rFonts w:eastAsiaTheme="minorHAnsi" w:cstheme="minorBidi"/>
          <w:szCs w:val="24"/>
          <w:lang w:val="fr-CA" w:eastAsia="en-US"/>
        </w:rPr>
        <w:t xml:space="preserve"> </w:t>
      </w:r>
      <w:r w:rsidRPr="00A63E5E">
        <w:rPr>
          <w:rFonts w:eastAsiaTheme="minorHAnsi" w:cstheme="minorBidi"/>
          <w:szCs w:val="24"/>
          <w:lang w:val="fr-CA" w:eastAsia="en-US"/>
        </w:rPr>
        <w:object w:dxaOrig="1365" w:dyaOrig="1440">
          <v:shape id="_x0000_i1032" type="#_x0000_t75" style="width:61.5pt;height:64.5pt" o:ole="">
            <v:imagedata r:id="rId8" o:title=""/>
          </v:shape>
          <o:OLEObject Type="Embed" ProgID="Presentations.Drawing.13" ShapeID="_x0000_i1032" DrawAspect="Content" ObjectID="_1465303662" r:id="rId9"/>
        </w:object>
      </w:r>
      <w:r w:rsidRPr="00A63E5E">
        <w:rPr>
          <w:rFonts w:eastAsiaTheme="minorHAnsi" w:cstheme="minorBidi"/>
          <w:szCs w:val="24"/>
          <w:lang w:val="fr-CA" w:eastAsia="en-US"/>
        </w:rPr>
        <w:t xml:space="preserve"> </w:t>
      </w:r>
      <w:r w:rsidRPr="00A63E5E">
        <w:rPr>
          <w:rFonts w:eastAsiaTheme="minorHAnsi" w:cstheme="minorBidi"/>
          <w:szCs w:val="24"/>
          <w:lang w:val="fr-CA" w:eastAsia="en-US"/>
        </w:rPr>
        <w:ptab w:relativeTo="margin" w:alignment="right" w:leader="none"/>
      </w:r>
    </w:p>
    <w:p w:rsidR="00A63E5E" w:rsidRPr="00A63E5E" w:rsidRDefault="00A63E5E" w:rsidP="00A63E5E">
      <w:pPr>
        <w:tabs>
          <w:tab w:val="center" w:pos="4680"/>
          <w:tab w:val="right" w:pos="9360"/>
        </w:tabs>
        <w:rPr>
          <w:rFonts w:eastAsiaTheme="minorHAnsi" w:cstheme="minorBidi"/>
          <w:szCs w:val="24"/>
          <w:lang w:val="fr-CA" w:eastAsia="en-US"/>
        </w:rPr>
      </w:pPr>
    </w:p>
    <w:p w:rsidR="00A63E5E" w:rsidRPr="00A63E5E" w:rsidRDefault="00A63E5E" w:rsidP="00A63E5E">
      <w:pPr>
        <w:jc w:val="center"/>
        <w:rPr>
          <w:rFonts w:eastAsiaTheme="minorHAnsi" w:cstheme="minorBidi"/>
          <w:b/>
          <w:szCs w:val="24"/>
          <w:lang w:val="fr-CA" w:eastAsia="en-US"/>
        </w:rPr>
      </w:pPr>
      <w:r w:rsidRPr="00A63E5E">
        <w:rPr>
          <w:rFonts w:eastAsiaTheme="minorHAnsi" w:cstheme="minorBidi"/>
          <w:b/>
          <w:szCs w:val="24"/>
          <w:lang w:val="fr-CA" w:eastAsia="en-US"/>
        </w:rPr>
        <w:t>COUR SUPRÊME DU CANADA</w:t>
      </w:r>
    </w:p>
    <w:p w:rsidR="00A63E5E" w:rsidRPr="00A63E5E" w:rsidRDefault="00A63E5E" w:rsidP="00A63E5E">
      <w:pPr>
        <w:rPr>
          <w:rFonts w:eastAsiaTheme="minorHAnsi" w:cstheme="minorBidi"/>
          <w:szCs w:val="24"/>
          <w:lang w:val="fr-CA" w:eastAsia="en-US"/>
        </w:rPr>
      </w:pPr>
    </w:p>
    <w:tbl>
      <w:tblPr>
        <w:tblStyle w:val="TableGrid3"/>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A63E5E" w:rsidRPr="00A63E5E" w:rsidTr="00D63C38">
        <w:trPr>
          <w:cantSplit/>
        </w:trPr>
        <w:tc>
          <w:tcPr>
            <w:tcW w:w="6768" w:type="dxa"/>
          </w:tcPr>
          <w:p w:rsidR="00A63E5E" w:rsidRPr="00A63E5E" w:rsidRDefault="00A63E5E" w:rsidP="00A63E5E">
            <w:pPr>
              <w:rPr>
                <w:lang w:val="fr-CA"/>
              </w:rPr>
            </w:pPr>
            <w:r w:rsidRPr="00A63E5E">
              <w:rPr>
                <w:b/>
                <w:smallCaps/>
                <w:lang w:val="fr-CA"/>
              </w:rPr>
              <w:t>Référence :</w:t>
            </w:r>
            <w:r w:rsidRPr="00A63E5E">
              <w:rPr>
                <w:lang w:val="fr-CA"/>
              </w:rPr>
              <w:t xml:space="preserve"> </w:t>
            </w:r>
            <w:r w:rsidRPr="00A63E5E">
              <w:t>Martin</w:t>
            </w:r>
            <w:r w:rsidRPr="00A63E5E">
              <w:rPr>
                <w:iCs/>
                <w:color w:val="000000" w:themeColor="text1"/>
              </w:rPr>
              <w:t xml:space="preserve"> </w:t>
            </w:r>
            <w:r w:rsidRPr="00A63E5E">
              <w:rPr>
                <w:i/>
                <w:iCs/>
                <w:color w:val="000000" w:themeColor="text1"/>
              </w:rPr>
              <w:t>c.</w:t>
            </w:r>
            <w:r w:rsidRPr="00A63E5E">
              <w:rPr>
                <w:iCs/>
                <w:color w:val="000000" w:themeColor="text1"/>
              </w:rPr>
              <w:t xml:space="preserve"> Alberta (</w:t>
            </w:r>
            <w:r w:rsidRPr="00A63E5E">
              <w:t>Workers’ Compensation Board)</w:t>
            </w:r>
            <w:r w:rsidRPr="00A63E5E">
              <w:rPr>
                <w:iCs/>
                <w:color w:val="000000" w:themeColor="text1"/>
              </w:rPr>
              <w:t>,</w:t>
            </w:r>
            <w:r w:rsidRPr="00A63E5E">
              <w:rPr>
                <w:i/>
                <w:lang w:val="fr-CA"/>
              </w:rPr>
              <w:t xml:space="preserve"> </w:t>
            </w:r>
            <w:r w:rsidRPr="00A63E5E">
              <w:rPr>
                <w:lang w:val="fr-CA"/>
              </w:rPr>
              <w:t>2014 CSC 25</w:t>
            </w:r>
            <w:r>
              <w:rPr>
                <w:lang w:val="fr-CA"/>
              </w:rPr>
              <w:t xml:space="preserve">, </w:t>
            </w:r>
            <w:r>
              <w:t>[2014] 1 R.C.S. 546</w:t>
            </w:r>
          </w:p>
        </w:tc>
        <w:tc>
          <w:tcPr>
            <w:tcW w:w="2808" w:type="dxa"/>
          </w:tcPr>
          <w:p w:rsidR="00A63E5E" w:rsidRPr="00A63E5E" w:rsidRDefault="00A63E5E" w:rsidP="00A63E5E">
            <w:pPr>
              <w:rPr>
                <w:lang w:val="fr-CA"/>
              </w:rPr>
            </w:pPr>
            <w:r w:rsidRPr="00A63E5E">
              <w:rPr>
                <w:b/>
                <w:smallCaps/>
                <w:lang w:val="fr-CA"/>
              </w:rPr>
              <w:t>Date :</w:t>
            </w:r>
            <w:r w:rsidRPr="00A63E5E">
              <w:rPr>
                <w:lang w:val="fr-CA"/>
              </w:rPr>
              <w:t xml:space="preserve"> 20140328</w:t>
            </w:r>
          </w:p>
          <w:p w:rsidR="00A63E5E" w:rsidRPr="00A63E5E" w:rsidRDefault="00A63E5E" w:rsidP="00A63E5E">
            <w:pPr>
              <w:rPr>
                <w:lang w:val="fr-CA"/>
              </w:rPr>
            </w:pPr>
            <w:r w:rsidRPr="00A63E5E">
              <w:rPr>
                <w:b/>
                <w:smallCaps/>
                <w:lang w:val="fr-CA"/>
              </w:rPr>
              <w:t>Dossier :</w:t>
            </w:r>
            <w:r w:rsidRPr="00A63E5E">
              <w:rPr>
                <w:lang w:val="fr-CA"/>
              </w:rPr>
              <w:t xml:space="preserve"> 35052</w:t>
            </w:r>
          </w:p>
        </w:tc>
      </w:tr>
    </w:tbl>
    <w:p w:rsidR="00A63E5E" w:rsidRPr="00A63E5E" w:rsidRDefault="00A63E5E" w:rsidP="00A63E5E">
      <w:pPr>
        <w:rPr>
          <w:rFonts w:eastAsiaTheme="minorHAnsi" w:cstheme="minorBidi"/>
          <w:szCs w:val="24"/>
          <w:lang w:val="fr-CA" w:eastAsia="en-US"/>
        </w:rPr>
      </w:pPr>
    </w:p>
    <w:p w:rsidR="00A63E5E" w:rsidRPr="00A63E5E" w:rsidRDefault="00A63E5E" w:rsidP="00A63E5E">
      <w:pPr>
        <w:rPr>
          <w:rFonts w:eastAsiaTheme="minorHAnsi" w:cstheme="minorBidi"/>
          <w:b/>
          <w:smallCaps/>
          <w:szCs w:val="24"/>
          <w:lang w:val="fr-CA" w:eastAsia="en-US"/>
        </w:rPr>
      </w:pPr>
      <w:r w:rsidRPr="00A63E5E">
        <w:rPr>
          <w:rFonts w:eastAsiaTheme="minorHAnsi" w:cstheme="minorBidi"/>
          <w:b/>
          <w:smallCaps/>
          <w:szCs w:val="24"/>
          <w:lang w:val="fr-CA" w:eastAsia="en-US"/>
        </w:rPr>
        <w:t>Entre :</w:t>
      </w:r>
    </w:p>
    <w:p w:rsidR="00A63E5E" w:rsidRPr="00A63E5E" w:rsidRDefault="00A63E5E" w:rsidP="00A63E5E">
      <w:pPr>
        <w:jc w:val="center"/>
        <w:rPr>
          <w:rFonts w:eastAsiaTheme="minorHAnsi" w:cstheme="minorBidi"/>
          <w:b/>
          <w:szCs w:val="24"/>
          <w:lang w:val="fr-CA" w:eastAsia="en-US"/>
        </w:rPr>
      </w:pPr>
      <w:r w:rsidRPr="00A63E5E">
        <w:rPr>
          <w:rFonts w:eastAsiaTheme="minorHAnsi" w:cstheme="minorBidi"/>
          <w:b/>
          <w:szCs w:val="24"/>
          <w:lang w:val="fr-CA" w:eastAsia="en-US"/>
        </w:rPr>
        <w:t>Douglas Martin</w:t>
      </w:r>
    </w:p>
    <w:p w:rsidR="00A63E5E" w:rsidRPr="00A63E5E" w:rsidRDefault="00A63E5E" w:rsidP="00A63E5E">
      <w:pPr>
        <w:jc w:val="center"/>
        <w:rPr>
          <w:rFonts w:eastAsiaTheme="minorHAnsi" w:cstheme="minorBidi"/>
          <w:szCs w:val="24"/>
          <w:lang w:val="fr-CA" w:eastAsia="en-US"/>
        </w:rPr>
      </w:pPr>
      <w:r w:rsidRPr="00A63E5E">
        <w:rPr>
          <w:rFonts w:eastAsiaTheme="minorHAnsi" w:cstheme="minorBidi"/>
          <w:szCs w:val="24"/>
          <w:lang w:val="fr-CA" w:eastAsia="en-US"/>
        </w:rPr>
        <w:t>Appelant</w:t>
      </w:r>
    </w:p>
    <w:p w:rsidR="00A63E5E" w:rsidRPr="00A63E5E" w:rsidRDefault="00A63E5E" w:rsidP="00A63E5E">
      <w:pPr>
        <w:jc w:val="center"/>
        <w:rPr>
          <w:rFonts w:eastAsiaTheme="minorHAnsi" w:cstheme="minorBidi"/>
          <w:szCs w:val="24"/>
          <w:lang w:val="fr-CA" w:eastAsia="en-US"/>
        </w:rPr>
      </w:pPr>
      <w:r w:rsidRPr="00A63E5E">
        <w:rPr>
          <w:rFonts w:eastAsiaTheme="minorHAnsi" w:cstheme="minorBidi"/>
          <w:szCs w:val="24"/>
          <w:lang w:val="fr-CA" w:eastAsia="en-US"/>
        </w:rPr>
        <w:t>et</w:t>
      </w:r>
    </w:p>
    <w:p w:rsidR="00A63E5E" w:rsidRPr="00A63E5E" w:rsidRDefault="00A63E5E" w:rsidP="00A63E5E">
      <w:pPr>
        <w:jc w:val="center"/>
        <w:rPr>
          <w:rFonts w:eastAsiaTheme="minorHAnsi" w:cstheme="minorBidi"/>
          <w:b/>
          <w:szCs w:val="24"/>
          <w:lang w:val="en-US" w:eastAsia="en-US"/>
        </w:rPr>
      </w:pPr>
      <w:r w:rsidRPr="00A63E5E">
        <w:rPr>
          <w:rFonts w:eastAsiaTheme="minorHAnsi" w:cstheme="minorBidi"/>
          <w:b/>
          <w:szCs w:val="24"/>
          <w:lang w:val="en-US" w:eastAsia="en-US"/>
        </w:rPr>
        <w:t xml:space="preserve">Workers’ Compensation Board of Alberta, Appeals Commission for Alberta </w:t>
      </w:r>
    </w:p>
    <w:p w:rsidR="00A63E5E" w:rsidRPr="00A63E5E" w:rsidRDefault="00A63E5E" w:rsidP="00A63E5E">
      <w:pPr>
        <w:jc w:val="center"/>
        <w:rPr>
          <w:rFonts w:eastAsiaTheme="minorHAnsi" w:cstheme="minorBidi"/>
          <w:b/>
          <w:szCs w:val="24"/>
          <w:lang w:val="fr-CA" w:eastAsia="en-US"/>
        </w:rPr>
      </w:pPr>
      <w:r w:rsidRPr="00A63E5E">
        <w:rPr>
          <w:rFonts w:eastAsiaTheme="minorHAnsi" w:cstheme="minorBidi"/>
          <w:b/>
          <w:szCs w:val="24"/>
          <w:lang w:val="fr-CA" w:eastAsia="en-US"/>
        </w:rPr>
        <w:t>Workers’ Compensation et procureur général du Canada</w:t>
      </w:r>
    </w:p>
    <w:p w:rsidR="00A63E5E" w:rsidRPr="00A63E5E" w:rsidRDefault="00A63E5E" w:rsidP="00A63E5E">
      <w:pPr>
        <w:jc w:val="center"/>
        <w:rPr>
          <w:rFonts w:eastAsiaTheme="minorHAnsi" w:cstheme="minorBidi"/>
          <w:szCs w:val="24"/>
          <w:lang w:val="fr-CA" w:eastAsia="en-US"/>
        </w:rPr>
      </w:pPr>
      <w:r w:rsidRPr="00A63E5E">
        <w:rPr>
          <w:rFonts w:eastAsiaTheme="minorHAnsi" w:cstheme="minorBidi"/>
          <w:szCs w:val="24"/>
          <w:lang w:val="fr-CA" w:eastAsia="en-US"/>
        </w:rPr>
        <w:t>Intimés</w:t>
      </w:r>
    </w:p>
    <w:p w:rsidR="00A63E5E" w:rsidRPr="00A63E5E" w:rsidRDefault="00A63E5E" w:rsidP="00A63E5E">
      <w:pPr>
        <w:jc w:val="center"/>
        <w:rPr>
          <w:rFonts w:eastAsiaTheme="minorHAnsi" w:cstheme="minorBidi"/>
          <w:szCs w:val="24"/>
          <w:lang w:val="fr-CA" w:eastAsia="en-US"/>
        </w:rPr>
      </w:pPr>
      <w:r w:rsidRPr="00A63E5E">
        <w:rPr>
          <w:rFonts w:eastAsiaTheme="minorHAnsi" w:cstheme="minorBidi"/>
          <w:szCs w:val="24"/>
          <w:lang w:val="fr-CA" w:eastAsia="en-US"/>
        </w:rPr>
        <w:t>- et -</w:t>
      </w:r>
    </w:p>
    <w:p w:rsidR="00A63E5E" w:rsidRPr="00A63E5E" w:rsidRDefault="00A63E5E" w:rsidP="00A63E5E">
      <w:pPr>
        <w:jc w:val="center"/>
        <w:rPr>
          <w:rFonts w:eastAsiaTheme="minorHAnsi" w:cstheme="minorBidi"/>
          <w:b/>
          <w:szCs w:val="24"/>
          <w:lang w:val="fr-CA" w:eastAsia="en-US"/>
        </w:rPr>
      </w:pPr>
      <w:r w:rsidRPr="00A63E5E">
        <w:rPr>
          <w:rFonts w:eastAsiaTheme="minorHAnsi" w:cstheme="minorBidi"/>
          <w:b/>
          <w:szCs w:val="24"/>
          <w:lang w:val="fr-CA" w:eastAsia="en-US"/>
        </w:rPr>
        <w:t xml:space="preserve">Workers’ Compensation Board of British Columbia, Commission de la santé et </w:t>
      </w:r>
    </w:p>
    <w:p w:rsidR="00A63E5E" w:rsidRPr="00A63E5E" w:rsidRDefault="00A63E5E" w:rsidP="00A63E5E">
      <w:pPr>
        <w:jc w:val="center"/>
        <w:rPr>
          <w:rFonts w:eastAsiaTheme="minorHAnsi" w:cstheme="minorBidi"/>
          <w:b/>
          <w:szCs w:val="24"/>
          <w:lang w:val="fr-CA" w:eastAsia="en-US"/>
        </w:rPr>
      </w:pPr>
      <w:r w:rsidRPr="00A63E5E">
        <w:rPr>
          <w:rFonts w:eastAsiaTheme="minorHAnsi" w:cstheme="minorBidi"/>
          <w:b/>
          <w:szCs w:val="24"/>
          <w:lang w:val="fr-CA" w:eastAsia="en-US"/>
        </w:rPr>
        <w:t>de la sécurité du travail et Workers’ Compensation Board of Nova Scotia</w:t>
      </w:r>
    </w:p>
    <w:p w:rsidR="00A63E5E" w:rsidRPr="00A63E5E" w:rsidRDefault="00A63E5E" w:rsidP="00A63E5E">
      <w:pPr>
        <w:jc w:val="center"/>
        <w:rPr>
          <w:rFonts w:eastAsiaTheme="minorHAnsi" w:cstheme="minorBidi"/>
          <w:szCs w:val="24"/>
          <w:lang w:val="fr-CA" w:eastAsia="en-US"/>
        </w:rPr>
      </w:pPr>
      <w:r w:rsidRPr="00A63E5E">
        <w:rPr>
          <w:rFonts w:eastAsiaTheme="minorHAnsi" w:cstheme="minorBidi"/>
          <w:szCs w:val="24"/>
          <w:lang w:val="fr-CA" w:eastAsia="en-US"/>
        </w:rPr>
        <w:t>Intervenants</w:t>
      </w:r>
    </w:p>
    <w:p w:rsidR="00A63E5E" w:rsidRPr="00A63E5E" w:rsidRDefault="00A63E5E" w:rsidP="00A63E5E">
      <w:pPr>
        <w:rPr>
          <w:rFonts w:eastAsiaTheme="minorHAnsi" w:cstheme="minorBidi"/>
          <w:szCs w:val="24"/>
          <w:lang w:val="fr-CA" w:eastAsia="en-US"/>
        </w:rPr>
      </w:pPr>
    </w:p>
    <w:p w:rsidR="00A63E5E" w:rsidRPr="00A63E5E" w:rsidRDefault="00A63E5E" w:rsidP="00A63E5E">
      <w:pPr>
        <w:jc w:val="center"/>
        <w:rPr>
          <w:rFonts w:eastAsiaTheme="minorHAnsi" w:cstheme="minorBidi"/>
          <w:b/>
          <w:smallCaps/>
          <w:szCs w:val="24"/>
          <w:lang w:val="fr-CA" w:eastAsia="en-US"/>
        </w:rPr>
      </w:pPr>
      <w:r w:rsidRPr="00A63E5E">
        <w:rPr>
          <w:rFonts w:eastAsiaTheme="minorHAnsi" w:cstheme="minorBidi"/>
          <w:b/>
          <w:smallCaps/>
          <w:szCs w:val="24"/>
          <w:lang w:val="fr-CA" w:eastAsia="en-US"/>
        </w:rPr>
        <w:t>Traduction française officielle</w:t>
      </w:r>
    </w:p>
    <w:p w:rsidR="00A63E5E" w:rsidRPr="00A63E5E" w:rsidRDefault="00A63E5E" w:rsidP="00A63E5E">
      <w:pPr>
        <w:rPr>
          <w:rFonts w:eastAsiaTheme="minorHAnsi" w:cstheme="minorBidi"/>
          <w:szCs w:val="24"/>
          <w:lang w:val="fr-CA" w:eastAsia="en-US"/>
        </w:rPr>
      </w:pPr>
    </w:p>
    <w:p w:rsidR="00A63E5E" w:rsidRPr="00A63E5E" w:rsidRDefault="00A63E5E" w:rsidP="00A63E5E">
      <w:pPr>
        <w:rPr>
          <w:rFonts w:eastAsiaTheme="minorHAnsi" w:cstheme="minorBidi"/>
          <w:szCs w:val="24"/>
          <w:lang w:val="fr-CA" w:eastAsia="en-US"/>
        </w:rPr>
      </w:pPr>
      <w:r w:rsidRPr="00A63E5E">
        <w:rPr>
          <w:rFonts w:eastAsiaTheme="minorHAnsi" w:cstheme="minorBidi"/>
          <w:b/>
          <w:smallCaps/>
          <w:szCs w:val="24"/>
          <w:lang w:val="fr-CA" w:eastAsia="en-US"/>
        </w:rPr>
        <w:t>Coram :</w:t>
      </w:r>
      <w:r w:rsidRPr="00A63E5E">
        <w:rPr>
          <w:rFonts w:eastAsiaTheme="minorHAnsi" w:cstheme="minorBidi"/>
          <w:szCs w:val="24"/>
          <w:lang w:val="fr-CA" w:eastAsia="en-US"/>
        </w:rPr>
        <w:t xml:space="preserve"> La juge en chef McLachlin et les juges LeBel, Abella, Rothstein, Cromwell, Karakatsanis et Wagner</w:t>
      </w:r>
    </w:p>
    <w:p w:rsidR="00A63E5E" w:rsidRPr="00A63E5E" w:rsidRDefault="00A63E5E" w:rsidP="00A63E5E">
      <w:pPr>
        <w:rPr>
          <w:rFonts w:eastAsiaTheme="minorHAnsi" w:cstheme="minorBidi"/>
          <w:szCs w:val="24"/>
          <w:lang w:val="fr-CA" w:eastAsia="en-US"/>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A63E5E" w:rsidRPr="00A63E5E" w:rsidTr="00D63C38">
        <w:trPr>
          <w:cantSplit/>
        </w:trPr>
        <w:tc>
          <w:tcPr>
            <w:tcW w:w="3618" w:type="dxa"/>
          </w:tcPr>
          <w:p w:rsidR="00A63E5E" w:rsidRPr="00A63E5E" w:rsidRDefault="00A63E5E" w:rsidP="00A63E5E">
            <w:pPr>
              <w:rPr>
                <w:b/>
                <w:smallCaps/>
                <w:lang w:val="fr-CA"/>
              </w:rPr>
            </w:pPr>
            <w:r w:rsidRPr="00A63E5E">
              <w:rPr>
                <w:b/>
                <w:smallCaps/>
                <w:lang w:val="fr-CA"/>
              </w:rPr>
              <w:t>Motifs de jugement :</w:t>
            </w:r>
          </w:p>
          <w:p w:rsidR="00A63E5E" w:rsidRPr="00A63E5E" w:rsidRDefault="00A63E5E" w:rsidP="00A63E5E">
            <w:pPr>
              <w:rPr>
                <w:lang w:val="fr-CA"/>
              </w:rPr>
            </w:pPr>
            <w:r w:rsidRPr="00A63E5E">
              <w:rPr>
                <w:lang w:val="fr-CA"/>
              </w:rPr>
              <w:t>(par. 1 à 63)</w:t>
            </w:r>
          </w:p>
        </w:tc>
        <w:tc>
          <w:tcPr>
            <w:tcW w:w="5958" w:type="dxa"/>
          </w:tcPr>
          <w:p w:rsidR="00A63E5E" w:rsidRPr="00A63E5E" w:rsidRDefault="00A63E5E" w:rsidP="00A63E5E">
            <w:pPr>
              <w:rPr>
                <w:lang w:val="fr-CA"/>
              </w:rPr>
            </w:pPr>
            <w:r w:rsidRPr="00A63E5E">
              <w:rPr>
                <w:lang w:val="fr-CA"/>
              </w:rPr>
              <w:t>La juge Karakatsanis (avec l’accord de la juge en chef McLachlin et des juges LeBel, Abella, Rothstein, Cromwell et Wagner)</w:t>
            </w:r>
          </w:p>
        </w:tc>
      </w:tr>
    </w:tbl>
    <w:p w:rsidR="00A63E5E" w:rsidRPr="00A63E5E" w:rsidRDefault="00A63E5E" w:rsidP="00A63E5E">
      <w:pPr>
        <w:rPr>
          <w:rFonts w:eastAsiaTheme="minorHAnsi" w:cstheme="minorBidi"/>
          <w:szCs w:val="24"/>
          <w:lang w:val="fr-CA" w:eastAsia="en-US"/>
        </w:rPr>
      </w:pPr>
      <w:r w:rsidRPr="00A63E5E">
        <w:rPr>
          <w:rFonts w:eastAsiaTheme="minorHAnsi" w:cstheme="minorBidi"/>
          <w:noProof/>
          <w:szCs w:val="24"/>
          <w:lang w:val="fr-CA" w:eastAsia="en-US"/>
        </w:rPr>
        <w:pict>
          <v:shapetype id="_x0000_t32" coordsize="21600,21600" o:spt="32" o:oned="t" path="m,l21600,21600e" filled="f">
            <v:path arrowok="t" fillok="f" o:connecttype="none"/>
            <o:lock v:ext="edit" shapetype="t"/>
          </v:shapetype>
          <v:shape id="_x0000_s1028" type="#_x0000_t32" style="position:absolute;margin-left:126.75pt;margin-top:14.5pt;width:197.25pt;height:0;z-index:251660288;mso-position-horizontal-relative:text;mso-position-vertical-relative:text" o:connectortype="straight"/>
        </w:pict>
      </w:r>
    </w:p>
    <w:p w:rsidR="003D74EC" w:rsidRPr="003D74EC" w:rsidRDefault="003D74EC" w:rsidP="007B13C0">
      <w:pPr>
        <w:tabs>
          <w:tab w:val="center" w:pos="4680"/>
          <w:tab w:val="right" w:pos="9360"/>
        </w:tabs>
        <w:rPr>
          <w:smallCaps/>
          <w:lang w:val="fr-CA"/>
        </w:rPr>
      </w:pPr>
    </w:p>
    <w:p w:rsidR="004D7D95" w:rsidRPr="00A40441" w:rsidRDefault="00A40441" w:rsidP="007B13C0">
      <w:pPr>
        <w:spacing w:after="720"/>
        <w:jc w:val="both"/>
        <w:rPr>
          <w:lang w:val="en-US"/>
        </w:rPr>
      </w:pPr>
      <w:r w:rsidRPr="00A40441">
        <w:t xml:space="preserve">Martin </w:t>
      </w:r>
      <w:r w:rsidRPr="00A40441">
        <w:rPr>
          <w:i/>
        </w:rPr>
        <w:t>c.</w:t>
      </w:r>
      <w:r w:rsidRPr="00A40441">
        <w:t xml:space="preserve"> Alberta (Workers’ Compensation Board)</w:t>
      </w:r>
      <w:r>
        <w:t>, 2014 CSC 25, [2014] 1 R.C.S. 546</w:t>
      </w:r>
    </w:p>
    <w:p w:rsidR="006E68A6" w:rsidRPr="00F4361E" w:rsidRDefault="006358D6" w:rsidP="007B13C0">
      <w:pPr>
        <w:pStyle w:val="SCCLsocLastPartyInRole"/>
      </w:pPr>
      <w:r w:rsidRPr="00F4361E">
        <w:t>Douglas Martin</w:t>
      </w:r>
      <w:r w:rsidRPr="00F4361E">
        <w:rPr>
          <w:rStyle w:val="SCCLsocPartyRole"/>
        </w:rPr>
        <w:tab/>
        <w:t>Ap</w:t>
      </w:r>
      <w:r w:rsidR="00452011">
        <w:rPr>
          <w:rStyle w:val="SCCLsocPartyRole"/>
        </w:rPr>
        <w:t>p</w:t>
      </w:r>
      <w:r w:rsidRPr="00F4361E">
        <w:rPr>
          <w:rStyle w:val="SCCLsocPartyRole"/>
        </w:rPr>
        <w:t>elant</w:t>
      </w:r>
    </w:p>
    <w:p w:rsidR="006E68A6" w:rsidRPr="00F4361E" w:rsidRDefault="006358D6" w:rsidP="007B13C0">
      <w:pPr>
        <w:pStyle w:val="SCCLsocVersus"/>
      </w:pPr>
      <w:r w:rsidRPr="00F4361E">
        <w:t>c.</w:t>
      </w:r>
    </w:p>
    <w:p w:rsidR="006E68A6" w:rsidRPr="00F4361E" w:rsidRDefault="006358D6" w:rsidP="007B13C0">
      <w:pPr>
        <w:pStyle w:val="SCCLsocParty"/>
      </w:pPr>
      <w:r w:rsidRPr="00F4361E">
        <w:t>Workers</w:t>
      </w:r>
      <w:r w:rsidR="006913CE" w:rsidRPr="00F4361E">
        <w:t>’</w:t>
      </w:r>
      <w:r w:rsidRPr="00F4361E">
        <w:t xml:space="preserve"> Compensation Board </w:t>
      </w:r>
      <w:r w:rsidR="002B6562" w:rsidRPr="00F4361E">
        <w:t xml:space="preserve">of </w:t>
      </w:r>
      <w:r w:rsidRPr="00F4361E">
        <w:t>Alberta,</w:t>
      </w:r>
    </w:p>
    <w:p w:rsidR="0012350A" w:rsidRPr="00F4361E" w:rsidRDefault="006358D6" w:rsidP="007B13C0">
      <w:pPr>
        <w:pStyle w:val="SCCLsocParty"/>
      </w:pPr>
      <w:r w:rsidRPr="00F4361E">
        <w:t>Appeals Commission for Alberta Workers</w:t>
      </w:r>
      <w:r w:rsidR="006913CE" w:rsidRPr="00F4361E">
        <w:t>’</w:t>
      </w:r>
      <w:r w:rsidRPr="00F4361E">
        <w:t xml:space="preserve"> Compensation</w:t>
      </w:r>
      <w:r w:rsidR="0012350A" w:rsidRPr="00F4361E">
        <w:t xml:space="preserve"> </w:t>
      </w:r>
    </w:p>
    <w:p w:rsidR="006E68A6" w:rsidRPr="00F4361E" w:rsidRDefault="0012350A" w:rsidP="007B13C0">
      <w:pPr>
        <w:pStyle w:val="SCCLsocParty"/>
        <w:spacing w:after="720"/>
        <w:rPr>
          <w:rStyle w:val="SCCLsocPartyRole"/>
          <w:lang w:val="fr-CA"/>
        </w:rPr>
      </w:pPr>
      <w:r w:rsidRPr="00F4361E">
        <w:rPr>
          <w:lang w:val="fr-CA"/>
        </w:rPr>
        <w:t>et p</w:t>
      </w:r>
      <w:r w:rsidR="006358D6" w:rsidRPr="00F4361E">
        <w:rPr>
          <w:lang w:val="fr-CA"/>
        </w:rPr>
        <w:t>rocureur général du Canada</w:t>
      </w:r>
      <w:r w:rsidR="006358D6" w:rsidRPr="00F4361E">
        <w:rPr>
          <w:rStyle w:val="SCCLsocPartyRole"/>
          <w:lang w:val="fr-CA"/>
        </w:rPr>
        <w:tab/>
        <w:t>Intimés</w:t>
      </w:r>
    </w:p>
    <w:p w:rsidR="006E68A6" w:rsidRPr="00F4361E" w:rsidRDefault="006358D6" w:rsidP="007B13C0">
      <w:pPr>
        <w:pStyle w:val="SCCLsocOtherPartySeparator"/>
        <w:rPr>
          <w:lang w:val="en-US"/>
        </w:rPr>
      </w:pPr>
      <w:r w:rsidRPr="00F4361E">
        <w:rPr>
          <w:lang w:val="en-US"/>
        </w:rPr>
        <w:lastRenderedPageBreak/>
        <w:t>et</w:t>
      </w:r>
    </w:p>
    <w:p w:rsidR="006E68A6" w:rsidRPr="00F4361E" w:rsidRDefault="006358D6" w:rsidP="007B13C0">
      <w:pPr>
        <w:pStyle w:val="SCCLsocParty"/>
        <w:rPr>
          <w:lang w:val="en-US"/>
        </w:rPr>
      </w:pPr>
      <w:r w:rsidRPr="00F4361E">
        <w:rPr>
          <w:lang w:val="en-US"/>
        </w:rPr>
        <w:t>Workers</w:t>
      </w:r>
      <w:r w:rsidR="006913CE" w:rsidRPr="00F4361E">
        <w:rPr>
          <w:lang w:val="en-US"/>
        </w:rPr>
        <w:t>’</w:t>
      </w:r>
      <w:r w:rsidRPr="00F4361E">
        <w:rPr>
          <w:lang w:val="en-US"/>
        </w:rPr>
        <w:t xml:space="preserve"> Compensation Board of British Columbia,</w:t>
      </w:r>
    </w:p>
    <w:p w:rsidR="006E68A6" w:rsidRPr="00F4361E" w:rsidRDefault="006358D6" w:rsidP="007B13C0">
      <w:pPr>
        <w:pStyle w:val="SCCLsocParty"/>
        <w:rPr>
          <w:lang w:val="fr-CA"/>
        </w:rPr>
      </w:pPr>
      <w:r w:rsidRPr="00F4361E">
        <w:rPr>
          <w:lang w:val="fr-CA"/>
        </w:rPr>
        <w:t>Commission de la santé et de la sécurité du travail</w:t>
      </w:r>
      <w:r w:rsidR="00C50305" w:rsidRPr="00F4361E">
        <w:rPr>
          <w:lang w:val="fr-CA"/>
        </w:rPr>
        <w:t xml:space="preserve"> et </w:t>
      </w:r>
    </w:p>
    <w:p w:rsidR="006E68A6" w:rsidRPr="00F4361E" w:rsidRDefault="006358D6" w:rsidP="007B13C0">
      <w:pPr>
        <w:pStyle w:val="SCCLsocLastPartyInRole"/>
      </w:pPr>
      <w:r w:rsidRPr="00F4361E">
        <w:t>Workers</w:t>
      </w:r>
      <w:r w:rsidR="006913CE" w:rsidRPr="00F4361E">
        <w:t>’</w:t>
      </w:r>
      <w:r w:rsidRPr="00F4361E">
        <w:t xml:space="preserve"> Compensation Board of Nova Scotia</w:t>
      </w:r>
      <w:r w:rsidRPr="00F4361E">
        <w:rPr>
          <w:rStyle w:val="SCCLsocPartyRole"/>
        </w:rPr>
        <w:tab/>
        <w:t>Intervenants</w:t>
      </w:r>
    </w:p>
    <w:p w:rsidR="00864755" w:rsidRPr="00F4361E" w:rsidRDefault="004D7D95" w:rsidP="007B13C0">
      <w:pPr>
        <w:spacing w:after="720"/>
        <w:jc w:val="both"/>
        <w:rPr>
          <w:lang w:val="en-US"/>
        </w:rPr>
      </w:pPr>
      <w:r w:rsidRPr="00F4361E">
        <w:rPr>
          <w:b/>
          <w:lang w:val="en-US"/>
        </w:rPr>
        <w:t>Répertorié</w:t>
      </w:r>
      <w:r w:rsidR="007B13C0">
        <w:rPr>
          <w:b/>
          <w:lang w:val="en-US"/>
        </w:rPr>
        <w:t xml:space="preserve"> </w:t>
      </w:r>
      <w:r w:rsidR="00F06139">
        <w:rPr>
          <w:b/>
          <w:lang w:val="en-US"/>
        </w:rPr>
        <w:t>:</w:t>
      </w:r>
      <w:r w:rsidR="007B13C0">
        <w:rPr>
          <w:b/>
          <w:lang w:val="en-US"/>
        </w:rPr>
        <w:t xml:space="preserve"> </w:t>
      </w:r>
      <w:r w:rsidRPr="00F4361E">
        <w:rPr>
          <w:b/>
          <w:lang w:val="en-US"/>
        </w:rPr>
        <w:t xml:space="preserve">Martin </w:t>
      </w:r>
      <w:r w:rsidRPr="00F4361E">
        <w:rPr>
          <w:b/>
          <w:i/>
          <w:lang w:val="en-US"/>
        </w:rPr>
        <w:t>c.</w:t>
      </w:r>
      <w:r w:rsidRPr="00F4361E">
        <w:rPr>
          <w:b/>
          <w:lang w:val="en-US"/>
        </w:rPr>
        <w:t xml:space="preserve"> </w:t>
      </w:r>
      <w:r w:rsidR="00A96362" w:rsidRPr="00F4361E">
        <w:rPr>
          <w:b/>
          <w:lang w:val="en-US"/>
        </w:rPr>
        <w:t>Alberta (</w:t>
      </w:r>
      <w:r w:rsidRPr="00F4361E">
        <w:rPr>
          <w:b/>
          <w:lang w:val="en-US"/>
        </w:rPr>
        <w:t>Workers</w:t>
      </w:r>
      <w:r w:rsidR="006913CE" w:rsidRPr="00F4361E">
        <w:rPr>
          <w:b/>
          <w:lang w:val="en-US"/>
        </w:rPr>
        <w:t>’</w:t>
      </w:r>
      <w:r w:rsidRPr="00F4361E">
        <w:rPr>
          <w:b/>
          <w:lang w:val="en-US"/>
        </w:rPr>
        <w:t xml:space="preserve"> Compensation Board</w:t>
      </w:r>
      <w:r w:rsidR="00A96362" w:rsidRPr="00F4361E">
        <w:rPr>
          <w:b/>
          <w:lang w:val="en-US"/>
        </w:rPr>
        <w:t>)</w:t>
      </w:r>
    </w:p>
    <w:p w:rsidR="004D7D95" w:rsidRPr="00F4361E" w:rsidRDefault="00F62639" w:rsidP="007B13C0">
      <w:pPr>
        <w:pStyle w:val="SCCSystemYear"/>
        <w:spacing w:after="480" w:line="480" w:lineRule="auto"/>
        <w:jc w:val="both"/>
        <w:rPr>
          <w:lang w:val="fr-CA"/>
        </w:rPr>
      </w:pPr>
      <w:r w:rsidRPr="00F4361E">
        <w:rPr>
          <w:lang w:val="fr-CA"/>
        </w:rPr>
        <w:t>2014</w:t>
      </w:r>
      <w:r w:rsidR="004D7D95" w:rsidRPr="00F4361E">
        <w:rPr>
          <w:lang w:val="fr-CA"/>
        </w:rPr>
        <w:t xml:space="preserve"> CSC</w:t>
      </w:r>
      <w:r w:rsidR="007B13C0">
        <w:rPr>
          <w:lang w:val="fr-CA"/>
        </w:rPr>
        <w:t xml:space="preserve"> </w:t>
      </w:r>
      <w:r w:rsidR="003D7AA3" w:rsidRPr="00F4361E">
        <w:rPr>
          <w:lang w:val="fr-CA"/>
        </w:rPr>
        <w:t>25</w:t>
      </w:r>
    </w:p>
    <w:p w:rsidR="004D7D95" w:rsidRPr="00F4361E" w:rsidRDefault="004D7D95" w:rsidP="007B13C0">
      <w:pPr>
        <w:spacing w:after="480" w:line="480" w:lineRule="auto"/>
        <w:jc w:val="both"/>
        <w:rPr>
          <w:lang w:val="fr-CA"/>
        </w:rPr>
      </w:pPr>
      <w:r w:rsidRPr="00F4361E">
        <w:rPr>
          <w:lang w:val="fr-CA"/>
        </w:rPr>
        <w:t>N</w:t>
      </w:r>
      <w:r w:rsidRPr="00F4361E">
        <w:rPr>
          <w:vertAlign w:val="superscript"/>
          <w:lang w:val="fr-CA"/>
        </w:rPr>
        <w:t>o</w:t>
      </w:r>
      <w:r w:rsidRPr="00F4361E">
        <w:rPr>
          <w:lang w:val="fr-CA"/>
        </w:rPr>
        <w:t xml:space="preserve"> du greffe</w:t>
      </w:r>
      <w:r w:rsidR="007B13C0">
        <w:rPr>
          <w:lang w:val="fr-CA"/>
        </w:rPr>
        <w:t xml:space="preserve"> </w:t>
      </w:r>
      <w:r w:rsidR="00F06139">
        <w:rPr>
          <w:lang w:val="fr-CA"/>
        </w:rPr>
        <w:t>:</w:t>
      </w:r>
      <w:r w:rsidR="007B13C0">
        <w:rPr>
          <w:lang w:val="fr-CA"/>
        </w:rPr>
        <w:t xml:space="preserve"> </w:t>
      </w:r>
      <w:r w:rsidRPr="00F4361E">
        <w:rPr>
          <w:lang w:val="fr-CA"/>
        </w:rPr>
        <w:t>35052.</w:t>
      </w:r>
    </w:p>
    <w:p w:rsidR="004D7D95" w:rsidRPr="00F4361E" w:rsidRDefault="00E517CB" w:rsidP="007B13C0">
      <w:pPr>
        <w:spacing w:after="480" w:line="480" w:lineRule="auto"/>
        <w:jc w:val="both"/>
        <w:rPr>
          <w:lang w:val="fr-CA"/>
        </w:rPr>
      </w:pPr>
      <w:r w:rsidRPr="00F4361E">
        <w:rPr>
          <w:lang w:val="fr-CA"/>
        </w:rPr>
        <w:t>2013</w:t>
      </w:r>
      <w:r w:rsidR="007B13C0">
        <w:rPr>
          <w:lang w:val="fr-CA"/>
        </w:rPr>
        <w:t xml:space="preserve"> </w:t>
      </w:r>
      <w:r w:rsidR="00F06139">
        <w:rPr>
          <w:lang w:val="fr-CA"/>
        </w:rPr>
        <w:t>:</w:t>
      </w:r>
      <w:r w:rsidR="007B13C0">
        <w:rPr>
          <w:lang w:val="fr-CA"/>
        </w:rPr>
        <w:t xml:space="preserve"> </w:t>
      </w:r>
      <w:r w:rsidR="00F62639" w:rsidRPr="00F4361E">
        <w:rPr>
          <w:lang w:val="fr-CA"/>
        </w:rPr>
        <w:t>10</w:t>
      </w:r>
      <w:r w:rsidR="007B13C0">
        <w:rPr>
          <w:lang w:val="fr-CA"/>
        </w:rPr>
        <w:t xml:space="preserve"> </w:t>
      </w:r>
      <w:r w:rsidR="00F62639" w:rsidRPr="00F4361E">
        <w:rPr>
          <w:lang w:val="fr-CA"/>
        </w:rPr>
        <w:t>décembre</w:t>
      </w:r>
      <w:r w:rsidR="003D7AA3" w:rsidRPr="00F4361E">
        <w:rPr>
          <w:lang w:val="fr-CA"/>
        </w:rPr>
        <w:t>; 2014</w:t>
      </w:r>
      <w:r w:rsidR="007B13C0">
        <w:rPr>
          <w:lang w:val="fr-CA"/>
        </w:rPr>
        <w:t xml:space="preserve"> </w:t>
      </w:r>
      <w:r w:rsidR="00F06139">
        <w:rPr>
          <w:lang w:val="fr-CA"/>
        </w:rPr>
        <w:t>:</w:t>
      </w:r>
      <w:r w:rsidR="007B13C0">
        <w:rPr>
          <w:lang w:val="fr-CA"/>
        </w:rPr>
        <w:t xml:space="preserve"> </w:t>
      </w:r>
      <w:r w:rsidR="003D7AA3" w:rsidRPr="00F4361E">
        <w:rPr>
          <w:lang w:val="fr-CA"/>
        </w:rPr>
        <w:t>28</w:t>
      </w:r>
      <w:r w:rsidR="007B13C0">
        <w:rPr>
          <w:lang w:val="fr-CA"/>
        </w:rPr>
        <w:t xml:space="preserve"> </w:t>
      </w:r>
      <w:r w:rsidR="003D7AA3" w:rsidRPr="00F4361E">
        <w:rPr>
          <w:lang w:val="fr-CA"/>
        </w:rPr>
        <w:t>mars</w:t>
      </w:r>
      <w:r w:rsidR="004D7D95" w:rsidRPr="00F4361E">
        <w:rPr>
          <w:lang w:val="fr-CA"/>
        </w:rPr>
        <w:t>.</w:t>
      </w:r>
    </w:p>
    <w:p w:rsidR="006E68A6" w:rsidRPr="00F4361E" w:rsidRDefault="004D7D95" w:rsidP="007B13C0">
      <w:pPr>
        <w:spacing w:after="720"/>
        <w:jc w:val="both"/>
        <w:rPr>
          <w:lang w:val="fr-CA"/>
        </w:rPr>
      </w:pPr>
      <w:r w:rsidRPr="00F4361E">
        <w:rPr>
          <w:lang w:val="fr-CA"/>
        </w:rPr>
        <w:t>Présents</w:t>
      </w:r>
      <w:r w:rsidR="007B13C0">
        <w:rPr>
          <w:lang w:val="fr-CA"/>
        </w:rPr>
        <w:t xml:space="preserve"> </w:t>
      </w:r>
      <w:r w:rsidR="00F06139">
        <w:rPr>
          <w:lang w:val="fr-CA"/>
        </w:rPr>
        <w:t>:</w:t>
      </w:r>
      <w:r w:rsidR="007B13C0">
        <w:rPr>
          <w:lang w:val="fr-CA"/>
        </w:rPr>
        <w:t xml:space="preserve"> </w:t>
      </w:r>
      <w:r w:rsidRPr="00F4361E">
        <w:rPr>
          <w:lang w:val="fr-CA"/>
        </w:rPr>
        <w:t>La juge en chef McLachlin et les juges LeBel, Abella, Rothstein, Cromwell, Karakatsanis et Wagner.</w:t>
      </w:r>
    </w:p>
    <w:p w:rsidR="004D7D95" w:rsidRPr="00F4361E" w:rsidRDefault="004D7D95" w:rsidP="007B13C0">
      <w:pPr>
        <w:spacing w:after="480" w:line="480" w:lineRule="auto"/>
        <w:jc w:val="both"/>
        <w:rPr>
          <w:smallCaps/>
          <w:lang w:val="fr-CA"/>
        </w:rPr>
      </w:pPr>
      <w:r w:rsidRPr="00F4361E">
        <w:rPr>
          <w:smallCaps/>
          <w:lang w:val="fr-CA"/>
        </w:rPr>
        <w:t>en appel de la cour d</w:t>
      </w:r>
      <w:r w:rsidR="006913CE" w:rsidRPr="00F4361E">
        <w:rPr>
          <w:smallCaps/>
          <w:lang w:val="fr-CA"/>
        </w:rPr>
        <w:t>’</w:t>
      </w:r>
      <w:r w:rsidRPr="00F4361E">
        <w:rPr>
          <w:smallCaps/>
          <w:lang w:val="fr-CA"/>
        </w:rPr>
        <w:t>appel de l</w:t>
      </w:r>
      <w:r w:rsidR="006913CE" w:rsidRPr="00F4361E">
        <w:rPr>
          <w:smallCaps/>
          <w:lang w:val="fr-CA"/>
        </w:rPr>
        <w:t>’</w:t>
      </w:r>
      <w:r w:rsidRPr="00F4361E">
        <w:rPr>
          <w:smallCaps/>
          <w:lang w:val="fr-CA"/>
        </w:rPr>
        <w:t>alberta</w:t>
      </w:r>
    </w:p>
    <w:p w:rsidR="00EC37CE" w:rsidRPr="00F4361E" w:rsidRDefault="004D7D95" w:rsidP="007B13C0">
      <w:pPr>
        <w:pStyle w:val="SCCNormalDoubleSpacing"/>
        <w:spacing w:before="480" w:after="480"/>
        <w:rPr>
          <w:i/>
          <w:lang w:val="en-US"/>
        </w:rPr>
      </w:pPr>
      <w:r w:rsidRPr="00F4361E">
        <w:rPr>
          <w:lang w:val="fr-CA"/>
        </w:rPr>
        <w:tab/>
      </w:r>
      <w:r w:rsidR="00EC37CE" w:rsidRPr="00F4361E">
        <w:rPr>
          <w:i/>
          <w:lang w:val="fr-CA"/>
        </w:rPr>
        <w:t>Accidents du travail — Droit à une indemnité — Demande d’indemnisation pour stress chronique présentée par un travailleur — Critères d’admissibilité à l’indemnité en cas de stress chronique imposés par la politique provinciale — La politique provinciale s’applique</w:t>
      </w:r>
      <w:r w:rsidR="007B13C0">
        <w:rPr>
          <w:i/>
          <w:lang w:val="fr-CA"/>
        </w:rPr>
        <w:t>-</w:t>
      </w:r>
      <w:r w:rsidR="00EC37CE" w:rsidRPr="00F4361E">
        <w:rPr>
          <w:i/>
          <w:lang w:val="fr-CA"/>
        </w:rPr>
        <w:t>t</w:t>
      </w:r>
      <w:r w:rsidR="007B13C0">
        <w:rPr>
          <w:i/>
          <w:lang w:val="fr-CA"/>
        </w:rPr>
        <w:t>-</w:t>
      </w:r>
      <w:r w:rsidR="00EC37CE" w:rsidRPr="00F4361E">
        <w:rPr>
          <w:i/>
          <w:lang w:val="fr-CA"/>
        </w:rPr>
        <w:t xml:space="preserve">elle à la détermination de l’admissibilité à l’indemnité prévue à la Loi sur l’indemnisation des agents de l’État? </w:t>
      </w:r>
      <w:r w:rsidR="00463A2E">
        <w:rPr>
          <w:i/>
          <w:lang w:val="fr-CA"/>
        </w:rPr>
        <w:t xml:space="preserve">— </w:t>
      </w:r>
      <w:r w:rsidR="00EC37CE" w:rsidRPr="00F4361E">
        <w:rPr>
          <w:i/>
          <w:lang w:val="fr-CA"/>
        </w:rPr>
        <w:t>Y a</w:t>
      </w:r>
      <w:r w:rsidR="007B13C0">
        <w:rPr>
          <w:i/>
          <w:lang w:val="fr-CA"/>
        </w:rPr>
        <w:t>-</w:t>
      </w:r>
      <w:r w:rsidR="00EC37CE" w:rsidRPr="00F4361E">
        <w:rPr>
          <w:i/>
          <w:lang w:val="fr-CA"/>
        </w:rPr>
        <w:t>t</w:t>
      </w:r>
      <w:r w:rsidR="007B13C0">
        <w:rPr>
          <w:i/>
          <w:lang w:val="fr-CA"/>
        </w:rPr>
        <w:t>-</w:t>
      </w:r>
      <w:r w:rsidR="00EC37CE" w:rsidRPr="00F4361E">
        <w:rPr>
          <w:i/>
          <w:lang w:val="fr-CA"/>
        </w:rPr>
        <w:t>il un conflit entre la politique provinciale et la Loi sur l’indemnisation des agents de l’État? — Le rejet de la demande était</w:t>
      </w:r>
      <w:r w:rsidR="007B13C0">
        <w:rPr>
          <w:i/>
          <w:lang w:val="fr-CA"/>
        </w:rPr>
        <w:t>-</w:t>
      </w:r>
      <w:r w:rsidR="00EC37CE" w:rsidRPr="00F4361E">
        <w:rPr>
          <w:i/>
          <w:lang w:val="fr-CA"/>
        </w:rPr>
        <w:t xml:space="preserve">il raisonnable? — Loi sur </w:t>
      </w:r>
      <w:r w:rsidR="00EC37CE" w:rsidRPr="00F4361E">
        <w:rPr>
          <w:i/>
          <w:lang w:val="fr-CA"/>
        </w:rPr>
        <w:lastRenderedPageBreak/>
        <w:t xml:space="preserve">l’indemnisation des agents de l’État, L.R.C. 1985, </w:t>
      </w:r>
      <w:r w:rsidR="00F06139">
        <w:rPr>
          <w:i/>
          <w:lang w:val="fr-CA"/>
        </w:rPr>
        <w:t>ch.</w:t>
      </w:r>
      <w:r w:rsidR="007B13C0">
        <w:rPr>
          <w:i/>
          <w:lang w:val="fr-CA"/>
        </w:rPr>
        <w:t xml:space="preserve"> </w:t>
      </w:r>
      <w:r w:rsidR="00EC37CE" w:rsidRPr="00F4361E">
        <w:rPr>
          <w:i/>
          <w:lang w:val="en-US"/>
        </w:rPr>
        <w:t>G</w:t>
      </w:r>
      <w:r w:rsidR="00F06139">
        <w:rPr>
          <w:i/>
          <w:lang w:val="en-US"/>
        </w:rPr>
        <w:noBreakHyphen/>
      </w:r>
      <w:r w:rsidR="00EC37CE" w:rsidRPr="00F4361E">
        <w:rPr>
          <w:i/>
          <w:lang w:val="en-US"/>
        </w:rPr>
        <w:t xml:space="preserve">5, </w:t>
      </w:r>
      <w:r w:rsidR="00F06139">
        <w:rPr>
          <w:i/>
          <w:lang w:val="en-US"/>
        </w:rPr>
        <w:t>art.</w:t>
      </w:r>
      <w:r w:rsidR="007B13C0">
        <w:rPr>
          <w:i/>
          <w:lang w:val="en-US"/>
        </w:rPr>
        <w:t xml:space="preserve"> </w:t>
      </w:r>
      <w:r w:rsidR="00EC37CE" w:rsidRPr="00F4361E">
        <w:rPr>
          <w:i/>
          <w:lang w:val="en-US"/>
        </w:rPr>
        <w:t>2</w:t>
      </w:r>
      <w:r w:rsidR="00D35CD6">
        <w:rPr>
          <w:i/>
          <w:lang w:val="en-US"/>
        </w:rPr>
        <w:t>,</w:t>
      </w:r>
      <w:r w:rsidR="00EC37CE" w:rsidRPr="00F4361E">
        <w:rPr>
          <w:i/>
          <w:lang w:val="en-US"/>
        </w:rPr>
        <w:t xml:space="preserve"> 4 — Workers’ Compensation Act, R.S.A. 2000, </w:t>
      </w:r>
      <w:r w:rsidR="00F06139">
        <w:rPr>
          <w:i/>
          <w:lang w:val="en-US"/>
        </w:rPr>
        <w:t>ch.</w:t>
      </w:r>
      <w:r w:rsidR="007B13C0">
        <w:rPr>
          <w:i/>
          <w:lang w:val="en-US"/>
        </w:rPr>
        <w:t xml:space="preserve"> </w:t>
      </w:r>
      <w:r w:rsidR="00EC37CE" w:rsidRPr="00F4361E">
        <w:rPr>
          <w:i/>
          <w:lang w:val="en-US"/>
        </w:rPr>
        <w:t>W</w:t>
      </w:r>
      <w:r w:rsidR="00F06139">
        <w:rPr>
          <w:i/>
          <w:lang w:val="en-US"/>
        </w:rPr>
        <w:noBreakHyphen/>
      </w:r>
      <w:r w:rsidR="00EC37CE" w:rsidRPr="00F4361E">
        <w:rPr>
          <w:i/>
          <w:lang w:val="en-US"/>
        </w:rPr>
        <w:t xml:space="preserve">15, </w:t>
      </w:r>
      <w:r w:rsidR="00F06139">
        <w:rPr>
          <w:i/>
          <w:lang w:val="en-US"/>
        </w:rPr>
        <w:t>art.</w:t>
      </w:r>
      <w:r w:rsidR="007B13C0">
        <w:rPr>
          <w:i/>
          <w:lang w:val="en-US"/>
        </w:rPr>
        <w:t xml:space="preserve"> </w:t>
      </w:r>
      <w:r w:rsidR="00EC37CE" w:rsidRPr="00F4361E">
        <w:rPr>
          <w:i/>
          <w:lang w:val="en-US"/>
        </w:rPr>
        <w:t>1 — Workers’ Compensation Board o</w:t>
      </w:r>
      <w:r w:rsidR="00FF33F9" w:rsidRPr="00F4361E">
        <w:rPr>
          <w:i/>
          <w:lang w:val="en-US"/>
        </w:rPr>
        <w:t>f Directors’ Policy 03</w:t>
      </w:r>
      <w:r w:rsidR="00F06139">
        <w:rPr>
          <w:i/>
          <w:lang w:val="en-US"/>
        </w:rPr>
        <w:noBreakHyphen/>
      </w:r>
      <w:r w:rsidR="00FF33F9" w:rsidRPr="00F4361E">
        <w:rPr>
          <w:i/>
          <w:lang w:val="en-US"/>
        </w:rPr>
        <w:t>01, Part</w:t>
      </w:r>
      <w:r w:rsidR="007B13C0">
        <w:rPr>
          <w:i/>
          <w:lang w:val="en-US"/>
        </w:rPr>
        <w:t xml:space="preserve"> </w:t>
      </w:r>
      <w:r w:rsidR="00FF33F9" w:rsidRPr="00F4361E">
        <w:rPr>
          <w:i/>
          <w:lang w:val="en-US"/>
        </w:rPr>
        <w:t>II, Application</w:t>
      </w:r>
      <w:r w:rsidR="007B13C0">
        <w:rPr>
          <w:i/>
          <w:lang w:val="en-US"/>
        </w:rPr>
        <w:t xml:space="preserve"> </w:t>
      </w:r>
      <w:r w:rsidR="00EC37CE" w:rsidRPr="00F4361E">
        <w:rPr>
          <w:i/>
          <w:lang w:val="en-US"/>
        </w:rPr>
        <w:t>6.</w:t>
      </w:r>
    </w:p>
    <w:p w:rsidR="00EC37CE" w:rsidRPr="00F4361E" w:rsidRDefault="00EC37CE" w:rsidP="007B13C0">
      <w:pPr>
        <w:pStyle w:val="SCCNormalDoubleSpacing"/>
        <w:spacing w:before="480" w:after="480"/>
        <w:rPr>
          <w:lang w:val="fr-CA"/>
        </w:rPr>
      </w:pPr>
      <w:r w:rsidRPr="00F4361E">
        <w:rPr>
          <w:lang w:val="en-US"/>
        </w:rPr>
        <w:tab/>
      </w:r>
      <w:r w:rsidRPr="00F4361E">
        <w:rPr>
          <w:lang w:val="fr-CA"/>
        </w:rPr>
        <w:t>M, un employé de Parcs Canada, a été informé que des mesures disciplinaires seraient prises s’il ne répondait pas de manière satisfaisante à une demande présentée en vertu de la législation sur l’accès à l’information.  M a prétendu que la lettre avait provoqué chez lui des troubles psychologiques, après les années de stress causé par un autre problème en milieu de travail.  Il a présenté une demande d’indemnisation pour stress chronique.</w:t>
      </w:r>
    </w:p>
    <w:p w:rsidR="00EC37CE" w:rsidRPr="00F4361E" w:rsidRDefault="00EC37CE" w:rsidP="007B13C0">
      <w:pPr>
        <w:pStyle w:val="SCCNormalDoubleSpacing"/>
        <w:spacing w:before="480" w:after="480"/>
        <w:rPr>
          <w:lang w:val="fr-CA"/>
        </w:rPr>
      </w:pPr>
      <w:r w:rsidRPr="00F4361E">
        <w:rPr>
          <w:lang w:val="fr-CA"/>
        </w:rPr>
        <w:tab/>
        <w:t>Aux termes de l’</w:t>
      </w:r>
      <w:r w:rsidR="00F06139">
        <w:rPr>
          <w:lang w:val="fr-CA"/>
        </w:rPr>
        <w:t>art.</w:t>
      </w:r>
      <w:r w:rsidR="007B13C0">
        <w:rPr>
          <w:lang w:val="fr-CA"/>
        </w:rPr>
        <w:t xml:space="preserve"> </w:t>
      </w:r>
      <w:r w:rsidRPr="00F4361E">
        <w:rPr>
          <w:lang w:val="fr-CA"/>
        </w:rPr>
        <w:t xml:space="preserve">4 de la </w:t>
      </w:r>
      <w:r w:rsidRPr="00F4361E">
        <w:rPr>
          <w:i/>
          <w:lang w:val="fr-CA"/>
        </w:rPr>
        <w:t>Loi sur l’indemnisation des agents de l’État</w:t>
      </w:r>
      <w:r w:rsidRPr="00F4361E">
        <w:rPr>
          <w:lang w:val="fr-CA"/>
        </w:rPr>
        <w:t xml:space="preserve">, L.R.C. 1985, </w:t>
      </w:r>
      <w:r w:rsidR="00F06139">
        <w:rPr>
          <w:lang w:val="fr-CA"/>
        </w:rPr>
        <w:t>ch.</w:t>
      </w:r>
      <w:r w:rsidR="007B13C0">
        <w:rPr>
          <w:lang w:val="fr-CA"/>
        </w:rPr>
        <w:t xml:space="preserve"> </w:t>
      </w:r>
      <w:r w:rsidRPr="00F4361E">
        <w:rPr>
          <w:lang w:val="fr-CA"/>
        </w:rPr>
        <w:t>G</w:t>
      </w:r>
      <w:r w:rsidR="00F06139">
        <w:rPr>
          <w:lang w:val="fr-CA"/>
        </w:rPr>
        <w:noBreakHyphen/>
      </w:r>
      <w:r w:rsidRPr="00F4361E">
        <w:rPr>
          <w:lang w:val="fr-CA"/>
        </w:rPr>
        <w:t>5</w:t>
      </w:r>
      <w:r w:rsidRPr="00F4361E">
        <w:rPr>
          <w:i/>
          <w:lang w:val="fr-CA"/>
        </w:rPr>
        <w:t xml:space="preserve"> </w:t>
      </w:r>
      <w:r w:rsidRPr="00F4361E">
        <w:rPr>
          <w:lang w:val="fr-CA"/>
        </w:rPr>
        <w:t>(</w:t>
      </w:r>
      <w:r w:rsidRPr="00F4361E">
        <w:rPr>
          <w:i/>
          <w:lang w:val="fr-CA"/>
        </w:rPr>
        <w:t>LIAÉ</w:t>
      </w:r>
      <w:r w:rsidRPr="00F4361E">
        <w:rPr>
          <w:lang w:val="fr-CA"/>
        </w:rPr>
        <w:t xml:space="preserve">), les travailleurs fédéraux blessés au travail ont droit à une indemnité aux taux et conditions fixés par la législation de la province où l’agent de l’État exerce habituellement ses fonctions, et l’indemnité est déterminée par l’autorité — personne ou organisme — compétente en la matière conformément à la législation provinciale. Dans la </w:t>
      </w:r>
      <w:r w:rsidRPr="00F4361E">
        <w:rPr>
          <w:i/>
          <w:lang w:val="fr-CA"/>
        </w:rPr>
        <w:t>LIAÉ</w:t>
      </w:r>
      <w:r w:rsidRPr="00F4361E">
        <w:rPr>
          <w:lang w:val="fr-CA"/>
        </w:rPr>
        <w:t xml:space="preserve"> et dans la </w:t>
      </w:r>
      <w:r w:rsidRPr="00F4361E">
        <w:rPr>
          <w:i/>
          <w:lang w:val="fr-CA"/>
        </w:rPr>
        <w:t>Workers’ Compensation Act</w:t>
      </w:r>
      <w:r w:rsidRPr="00F4361E">
        <w:rPr>
          <w:lang w:val="fr-CA"/>
        </w:rPr>
        <w:t xml:space="preserve">, R.S.A. 2000, </w:t>
      </w:r>
      <w:r w:rsidR="00F06139">
        <w:rPr>
          <w:lang w:val="fr-CA"/>
        </w:rPr>
        <w:t>ch.</w:t>
      </w:r>
      <w:r w:rsidR="007B13C0">
        <w:rPr>
          <w:lang w:val="fr-CA"/>
        </w:rPr>
        <w:t xml:space="preserve"> </w:t>
      </w:r>
      <w:r w:rsidRPr="00F4361E">
        <w:rPr>
          <w:lang w:val="fr-CA"/>
        </w:rPr>
        <w:t>W</w:t>
      </w:r>
      <w:r w:rsidR="00F06139">
        <w:rPr>
          <w:lang w:val="fr-CA"/>
        </w:rPr>
        <w:noBreakHyphen/>
      </w:r>
      <w:r w:rsidRPr="00F4361E">
        <w:rPr>
          <w:lang w:val="fr-CA"/>
        </w:rPr>
        <w:t>15 (</w:t>
      </w:r>
      <w:r w:rsidRPr="00F4361E">
        <w:rPr>
          <w:i/>
          <w:lang w:val="fr-CA"/>
        </w:rPr>
        <w:t>WCA</w:t>
      </w:r>
      <w:r w:rsidRPr="00F4361E">
        <w:rPr>
          <w:lang w:val="fr-CA"/>
        </w:rPr>
        <w:t>), le terme «</w:t>
      </w:r>
      <w:r w:rsidR="007B13C0">
        <w:rPr>
          <w:lang w:val="fr-CA"/>
        </w:rPr>
        <w:t xml:space="preserve"> </w:t>
      </w:r>
      <w:r w:rsidRPr="00F4361E">
        <w:rPr>
          <w:lang w:val="fr-CA"/>
        </w:rPr>
        <w:t>accident</w:t>
      </w:r>
      <w:r w:rsidR="007B13C0">
        <w:rPr>
          <w:lang w:val="fr-CA"/>
        </w:rPr>
        <w:t xml:space="preserve"> </w:t>
      </w:r>
      <w:r w:rsidRPr="00F4361E">
        <w:rPr>
          <w:lang w:val="fr-CA"/>
        </w:rPr>
        <w:t>» est défini et s’entend notamment d’un acte délibéré accompli par une autre personne que le demandeur et d’un événement fortuit ayant une cause physi</w:t>
      </w:r>
      <w:r w:rsidR="00F06139">
        <w:rPr>
          <w:lang w:val="fr-CA"/>
        </w:rPr>
        <w:t>que ou nature</w:t>
      </w:r>
      <w:r w:rsidR="000A61BB">
        <w:rPr>
          <w:lang w:val="fr-CA"/>
        </w:rPr>
        <w:t>lle.  La p</w:t>
      </w:r>
      <w:r w:rsidR="00F06139">
        <w:rPr>
          <w:lang w:val="fr-CA"/>
        </w:rPr>
        <w:t>olitique</w:t>
      </w:r>
      <w:r w:rsidR="007B13C0">
        <w:rPr>
          <w:lang w:val="fr-CA"/>
        </w:rPr>
        <w:t xml:space="preserve"> </w:t>
      </w:r>
      <w:r w:rsidRPr="00F4361E">
        <w:rPr>
          <w:lang w:val="fr-CA"/>
        </w:rPr>
        <w:t>03</w:t>
      </w:r>
      <w:r w:rsidR="00463A2E">
        <w:rPr>
          <w:lang w:val="fr-CA"/>
        </w:rPr>
        <w:noBreakHyphen/>
        <w:t>01, p</w:t>
      </w:r>
      <w:r w:rsidR="00F06139">
        <w:rPr>
          <w:lang w:val="fr-CA"/>
        </w:rPr>
        <w:t>art</w:t>
      </w:r>
      <w:r w:rsidR="00463A2E">
        <w:rPr>
          <w:lang w:val="fr-CA"/>
        </w:rPr>
        <w:t>ie</w:t>
      </w:r>
      <w:r w:rsidR="007B13C0">
        <w:rPr>
          <w:lang w:val="fr-CA"/>
        </w:rPr>
        <w:t xml:space="preserve"> </w:t>
      </w:r>
      <w:r w:rsidR="00F06139">
        <w:rPr>
          <w:lang w:val="fr-CA"/>
        </w:rPr>
        <w:t>II, Application</w:t>
      </w:r>
      <w:r w:rsidR="007B13C0">
        <w:rPr>
          <w:lang w:val="fr-CA"/>
        </w:rPr>
        <w:t xml:space="preserve"> </w:t>
      </w:r>
      <w:r w:rsidRPr="00F4361E">
        <w:rPr>
          <w:lang w:val="fr-CA"/>
        </w:rPr>
        <w:t xml:space="preserve">6 de l’Alberta Workers’ Compensation Board of Directors (Politique), prise en vertu de la </w:t>
      </w:r>
      <w:r w:rsidRPr="00F4361E">
        <w:rPr>
          <w:i/>
          <w:lang w:val="fr-CA"/>
        </w:rPr>
        <w:t>WCA</w:t>
      </w:r>
      <w:r w:rsidRPr="00F4361E">
        <w:rPr>
          <w:lang w:val="fr-CA"/>
        </w:rPr>
        <w:t xml:space="preserve">, énumère quatre critères auxquels il doit être satisfait pour que le droit à l’indemnité soit reconnu dans le cas d’une demande pour stress </w:t>
      </w:r>
      <w:r w:rsidRPr="00F4361E">
        <w:rPr>
          <w:lang w:val="fr-CA"/>
        </w:rPr>
        <w:lastRenderedPageBreak/>
        <w:t xml:space="preserve">chronique. </w:t>
      </w:r>
      <w:r w:rsidR="00F06139">
        <w:rPr>
          <w:lang w:val="fr-CA"/>
        </w:rPr>
        <w:t xml:space="preserve"> </w:t>
      </w:r>
      <w:r w:rsidRPr="00F4361E">
        <w:rPr>
          <w:lang w:val="fr-CA"/>
        </w:rPr>
        <w:t>Aux termes des troisième et quatrième critères, les événements liés au travail doivent être excessifs ou inusités par rapport aux pressions et tensions normales auxquelles le travailleur moyen occupant un emploi semblable est assujetti et les événements doivent être confirmés de manière objective.</w:t>
      </w:r>
    </w:p>
    <w:p w:rsidR="00EC37CE" w:rsidRPr="00F4361E" w:rsidRDefault="00EC37CE" w:rsidP="007B13C0">
      <w:pPr>
        <w:pStyle w:val="SCCNormalDoubleSpacing"/>
        <w:spacing w:before="480" w:after="480"/>
        <w:rPr>
          <w:lang w:val="fr-CA"/>
        </w:rPr>
      </w:pPr>
      <w:r w:rsidRPr="00F4361E">
        <w:rPr>
          <w:lang w:val="fr-CA"/>
        </w:rPr>
        <w:tab/>
        <w:t xml:space="preserve">La demande de M a été rejetée par l’Alberta Workers’ Compensation Board, le Dispute Resolution and Decision Review Body et l’Appeals Commission for Alberta Workers’ Compensation (Commission) au motif qu’elle ne satisfaisait pas aux troisième et quatrième critères énumérés à la Politique.  À l’issue d’un contrôle judiciaire, la Cour du Banc de la Reine de l’Alberta était d’avis que le </w:t>
      </w:r>
      <w:r w:rsidR="00F06139">
        <w:rPr>
          <w:lang w:val="fr-CA"/>
        </w:rPr>
        <w:t>par.</w:t>
      </w:r>
      <w:r w:rsidR="007B13C0">
        <w:rPr>
          <w:lang w:val="fr-CA"/>
        </w:rPr>
        <w:t xml:space="preserve"> </w:t>
      </w:r>
      <w:r w:rsidRPr="00F4361E">
        <w:rPr>
          <w:lang w:val="fr-CA"/>
        </w:rPr>
        <w:t xml:space="preserve">4(1) de la </w:t>
      </w:r>
      <w:r w:rsidRPr="00F4361E">
        <w:rPr>
          <w:i/>
          <w:lang w:val="fr-CA"/>
        </w:rPr>
        <w:t>LIAÉ</w:t>
      </w:r>
      <w:r w:rsidRPr="00F4361E">
        <w:rPr>
          <w:lang w:val="fr-CA"/>
        </w:rPr>
        <w:t xml:space="preserve"> constitue un code complet régissant l’admissibilité des travailleurs fédéraux à l’indemnité et a conclu à l’inapplicabilité de la Politique provinciale.</w:t>
      </w:r>
      <w:r w:rsidR="00FF33F9" w:rsidRPr="00F4361E">
        <w:rPr>
          <w:lang w:val="fr-CA"/>
        </w:rPr>
        <w:t xml:space="preserve"> </w:t>
      </w:r>
      <w:r w:rsidRPr="00F4361E">
        <w:rPr>
          <w:lang w:val="fr-CA"/>
        </w:rPr>
        <w:t xml:space="preserve"> Elle a renvoyé l’affaire à la Commission pour décision en application de la </w:t>
      </w:r>
      <w:r w:rsidRPr="00F4361E">
        <w:rPr>
          <w:i/>
          <w:lang w:val="fr-CA"/>
        </w:rPr>
        <w:t>LIAÉ</w:t>
      </w:r>
      <w:r w:rsidRPr="00F4361E">
        <w:rPr>
          <w:lang w:val="fr-CA"/>
        </w:rPr>
        <w:t xml:space="preserve"> seulement.  La Cour d’appel de l’Alberta, concluant que la Politique provinciale s’appliquait, a rétabli la décision de la Commission.</w:t>
      </w:r>
    </w:p>
    <w:p w:rsidR="00EC37CE" w:rsidRPr="00F4361E" w:rsidRDefault="00EC37CE" w:rsidP="007B13C0">
      <w:pPr>
        <w:pStyle w:val="SCCNormalDoubleSpacing"/>
        <w:spacing w:before="480" w:after="480"/>
        <w:rPr>
          <w:lang w:val="fr-CA"/>
        </w:rPr>
      </w:pPr>
      <w:r w:rsidRPr="00F4361E">
        <w:rPr>
          <w:lang w:val="fr-CA"/>
        </w:rPr>
        <w:tab/>
      </w:r>
      <w:r w:rsidRPr="00F4361E">
        <w:rPr>
          <w:i/>
          <w:lang w:val="fr-CA"/>
        </w:rPr>
        <w:t>Arrêt</w:t>
      </w:r>
      <w:r w:rsidR="007B13C0">
        <w:rPr>
          <w:i/>
          <w:lang w:val="fr-CA"/>
        </w:rPr>
        <w:t xml:space="preserve"> </w:t>
      </w:r>
      <w:r w:rsidR="00F06139" w:rsidRPr="008E1A8C">
        <w:rPr>
          <w:lang w:val="fr-CA"/>
        </w:rPr>
        <w:t>:</w:t>
      </w:r>
      <w:r w:rsidRPr="008E1A8C">
        <w:rPr>
          <w:lang w:val="fr-CA"/>
        </w:rPr>
        <w:t xml:space="preserve"> </w:t>
      </w:r>
      <w:r w:rsidRPr="00F4361E">
        <w:rPr>
          <w:lang w:val="fr-CA"/>
        </w:rPr>
        <w:t>Le pourvoi est rejeté.</w:t>
      </w:r>
    </w:p>
    <w:p w:rsidR="00EC37CE" w:rsidRPr="00F4361E" w:rsidRDefault="00EC37CE" w:rsidP="007B13C0">
      <w:pPr>
        <w:pStyle w:val="SCCNormalDoubleSpacing"/>
        <w:spacing w:before="480" w:after="480"/>
        <w:rPr>
          <w:lang w:val="fr-CA"/>
        </w:rPr>
      </w:pPr>
      <w:r w:rsidRPr="00F4361E">
        <w:rPr>
          <w:lang w:val="fr-CA"/>
        </w:rPr>
        <w:tab/>
        <w:t xml:space="preserve">En adoptant la </w:t>
      </w:r>
      <w:r w:rsidRPr="00F4361E">
        <w:rPr>
          <w:i/>
          <w:lang w:val="fr-CA"/>
        </w:rPr>
        <w:t>LIAÉ</w:t>
      </w:r>
      <w:r w:rsidRPr="00F4361E">
        <w:rPr>
          <w:lang w:val="fr-CA"/>
        </w:rPr>
        <w:t>, le législateur entendait que les autorités provinciales compétentes statuent sur les demandes d’indemnisati</w:t>
      </w:r>
      <w:r w:rsidR="004D69AB">
        <w:rPr>
          <w:lang w:val="fr-CA"/>
        </w:rPr>
        <w:t>on des agents de l’État fédéral</w:t>
      </w:r>
      <w:r w:rsidRPr="00F4361E">
        <w:rPr>
          <w:lang w:val="fr-CA"/>
        </w:rPr>
        <w:t xml:space="preserve"> — y compris le droit à l’indemnité et les taux d’indemnisation — selon la législation provinciale, sauf lorsque la </w:t>
      </w:r>
      <w:r w:rsidRPr="00F4361E">
        <w:rPr>
          <w:i/>
          <w:lang w:val="fr-CA"/>
        </w:rPr>
        <w:t>LIAÉ</w:t>
      </w:r>
      <w:r w:rsidRPr="00F4361E">
        <w:rPr>
          <w:lang w:val="fr-CA"/>
        </w:rPr>
        <w:t xml:space="preserve"> entre clairement en conflit avec la législation provinciale.  Dans les cas où le législateur entendait prévoir des conditions différentes, il l’a fait expressément.  Lorsqu’une disposition ou une politique </w:t>
      </w:r>
      <w:r w:rsidRPr="00F4361E">
        <w:rPr>
          <w:lang w:val="fr-CA"/>
        </w:rPr>
        <w:lastRenderedPageBreak/>
        <w:t xml:space="preserve">provinciale entre directement en conflit avec la </w:t>
      </w:r>
      <w:r w:rsidRPr="00F4361E">
        <w:rPr>
          <w:i/>
          <w:lang w:val="fr-CA"/>
        </w:rPr>
        <w:t>LIAÉ</w:t>
      </w:r>
      <w:r w:rsidRPr="00F4361E">
        <w:rPr>
          <w:lang w:val="fr-CA"/>
        </w:rPr>
        <w:t>, cette dernière prime et rend inapplicable la disposition ou la politique provinciale aux travailleurs fédéraux.  Une telle interprétation repose sur le texte de l’</w:t>
      </w:r>
      <w:r w:rsidR="00F06139">
        <w:rPr>
          <w:lang w:val="fr-CA"/>
        </w:rPr>
        <w:t>art.</w:t>
      </w:r>
      <w:r w:rsidR="007B13C0">
        <w:rPr>
          <w:lang w:val="fr-CA"/>
        </w:rPr>
        <w:t xml:space="preserve"> </w:t>
      </w:r>
      <w:r w:rsidRPr="00F4361E">
        <w:rPr>
          <w:lang w:val="fr-CA"/>
        </w:rPr>
        <w:t xml:space="preserve">4, l’économie et l’historique législatif de la </w:t>
      </w:r>
      <w:r w:rsidRPr="00F4361E">
        <w:rPr>
          <w:i/>
          <w:lang w:val="fr-CA"/>
        </w:rPr>
        <w:t>LIAÉ</w:t>
      </w:r>
      <w:r w:rsidRPr="00F4361E">
        <w:rPr>
          <w:lang w:val="fr-CA"/>
        </w:rPr>
        <w:t xml:space="preserve"> et les déclarations d’intention du législateur.</w:t>
      </w:r>
    </w:p>
    <w:p w:rsidR="00EC37CE" w:rsidRPr="00F4361E" w:rsidRDefault="00EC37CE" w:rsidP="007B13C0">
      <w:pPr>
        <w:pStyle w:val="SCCNormalDoubleSpacing"/>
        <w:spacing w:before="480" w:after="480"/>
        <w:rPr>
          <w:lang w:val="fr-CA"/>
        </w:rPr>
      </w:pPr>
      <w:r w:rsidRPr="00F4361E">
        <w:rPr>
          <w:lang w:val="fr-CA"/>
        </w:rPr>
        <w:tab/>
        <w:t>En l’espèce, l’interprétation de ce qui constitue un «</w:t>
      </w:r>
      <w:r w:rsidR="007B13C0">
        <w:rPr>
          <w:lang w:val="fr-CA"/>
        </w:rPr>
        <w:t xml:space="preserve"> </w:t>
      </w:r>
      <w:r w:rsidRPr="00F4361E">
        <w:rPr>
          <w:lang w:val="fr-CA"/>
        </w:rPr>
        <w:t>accident</w:t>
      </w:r>
      <w:r w:rsidR="007B13C0">
        <w:rPr>
          <w:lang w:val="fr-CA"/>
        </w:rPr>
        <w:t xml:space="preserve"> </w:t>
      </w:r>
      <w:r w:rsidRPr="00F4361E">
        <w:rPr>
          <w:lang w:val="fr-CA"/>
        </w:rPr>
        <w:t xml:space="preserve">» pour le traitement d’une demande d’indemnisation pour stress psychologique énoncée à la Politique albertaine n’entre pas en conflit avec la </w:t>
      </w:r>
      <w:r w:rsidRPr="00F4361E">
        <w:rPr>
          <w:i/>
          <w:lang w:val="fr-CA"/>
        </w:rPr>
        <w:t>LIAÉ</w:t>
      </w:r>
      <w:r w:rsidRPr="00F4361E">
        <w:rPr>
          <w:lang w:val="fr-CA"/>
        </w:rPr>
        <w:t xml:space="preserve">. </w:t>
      </w:r>
      <w:r w:rsidR="00FF33F9" w:rsidRPr="00F4361E">
        <w:rPr>
          <w:lang w:val="fr-CA"/>
        </w:rPr>
        <w:t xml:space="preserve"> </w:t>
      </w:r>
      <w:r w:rsidRPr="00F4361E">
        <w:rPr>
          <w:lang w:val="fr-CA"/>
        </w:rPr>
        <w:t>La définition ouverte et souple du terme «</w:t>
      </w:r>
      <w:r w:rsidR="007B13C0">
        <w:rPr>
          <w:lang w:val="fr-CA"/>
        </w:rPr>
        <w:t xml:space="preserve"> </w:t>
      </w:r>
      <w:r w:rsidRPr="00F4361E">
        <w:rPr>
          <w:lang w:val="fr-CA"/>
        </w:rPr>
        <w:t>accident</w:t>
      </w:r>
      <w:r w:rsidR="007B13C0">
        <w:rPr>
          <w:lang w:val="fr-CA"/>
        </w:rPr>
        <w:t xml:space="preserve"> </w:t>
      </w:r>
      <w:r w:rsidRPr="00F4361E">
        <w:rPr>
          <w:lang w:val="fr-CA"/>
        </w:rPr>
        <w:t xml:space="preserve">» qui figure à la </w:t>
      </w:r>
      <w:r w:rsidRPr="00F4361E">
        <w:rPr>
          <w:i/>
          <w:lang w:val="fr-CA"/>
        </w:rPr>
        <w:t>LIAÉ</w:t>
      </w:r>
      <w:r w:rsidRPr="00F4361E">
        <w:rPr>
          <w:lang w:val="fr-CA"/>
        </w:rPr>
        <w:t xml:space="preserve"> témoigne de l’intention du législateur de déléguer aux autorités provinciales l’administration du régime d’indemnisation et permet aux différentes provinces de prévoir des règles d’admissibilité différentes. </w:t>
      </w:r>
      <w:r w:rsidR="00FF33F9" w:rsidRPr="00F4361E">
        <w:rPr>
          <w:lang w:val="fr-CA"/>
        </w:rPr>
        <w:t xml:space="preserve"> </w:t>
      </w:r>
      <w:r w:rsidRPr="00F4361E">
        <w:rPr>
          <w:lang w:val="fr-CA"/>
        </w:rPr>
        <w:t xml:space="preserve">Pour déterminer si le stress chronique dont souffre un travailleur résultait d’un accident survenu par le fait ou à l’occasion du travail, il n’est pas incompatible avec la </w:t>
      </w:r>
      <w:r w:rsidRPr="00F4361E">
        <w:rPr>
          <w:i/>
          <w:lang w:val="fr-CA"/>
        </w:rPr>
        <w:t>LIAÉ</w:t>
      </w:r>
      <w:r w:rsidRPr="00F4361E">
        <w:rPr>
          <w:lang w:val="fr-CA"/>
        </w:rPr>
        <w:t xml:space="preserve"> ni déraisonnable de la part de l’Alberta d’exiger que les événements liés au travail soient excessifs ou inusités par rapport aux pressions et tensions normales auxquelles le travailleur moyen occupant un emploi semblable est assujetti et que les événements aient été confirmés de manière objective.</w:t>
      </w:r>
      <w:r w:rsidR="00FF33F9" w:rsidRPr="00F4361E">
        <w:rPr>
          <w:lang w:val="fr-CA"/>
        </w:rPr>
        <w:t xml:space="preserve"> </w:t>
      </w:r>
      <w:r w:rsidRPr="00F4361E">
        <w:rPr>
          <w:lang w:val="fr-CA"/>
        </w:rPr>
        <w:t xml:space="preserve"> Ces exigences témoignent simplement de l’interprétation qu’a donnée l’Alberta du terme «</w:t>
      </w:r>
      <w:r w:rsidR="007B13C0">
        <w:rPr>
          <w:lang w:val="fr-CA"/>
        </w:rPr>
        <w:t xml:space="preserve"> </w:t>
      </w:r>
      <w:r w:rsidRPr="00F4361E">
        <w:rPr>
          <w:lang w:val="fr-CA"/>
        </w:rPr>
        <w:t>accident</w:t>
      </w:r>
      <w:r w:rsidR="007B13C0">
        <w:rPr>
          <w:lang w:val="fr-CA"/>
        </w:rPr>
        <w:t xml:space="preserve"> </w:t>
      </w:r>
      <w:r w:rsidRPr="00F4361E">
        <w:rPr>
          <w:lang w:val="fr-CA"/>
        </w:rPr>
        <w:t>» dans le contexte des demandes fondées sur le stress psychologique.</w:t>
      </w:r>
    </w:p>
    <w:p w:rsidR="00EC37CE" w:rsidRPr="00F4361E" w:rsidRDefault="00EC37CE" w:rsidP="007B13C0">
      <w:pPr>
        <w:pStyle w:val="SCCNormalDoubleSpacing"/>
        <w:spacing w:before="480" w:after="480"/>
        <w:rPr>
          <w:lang w:val="fr-CA"/>
        </w:rPr>
      </w:pPr>
      <w:r w:rsidRPr="00F4361E">
        <w:rPr>
          <w:lang w:val="fr-CA"/>
        </w:rPr>
        <w:tab/>
        <w:t>La décision de la Commission, qui a refusé d’accorder l’indemnité en l’espèce, était raisonnable.</w:t>
      </w:r>
      <w:r w:rsidR="00FF33F9" w:rsidRPr="00F4361E">
        <w:rPr>
          <w:lang w:val="fr-CA"/>
        </w:rPr>
        <w:t xml:space="preserve"> </w:t>
      </w:r>
      <w:r w:rsidRPr="00F4361E">
        <w:rPr>
          <w:lang w:val="fr-CA"/>
        </w:rPr>
        <w:t xml:space="preserve"> Il lui était loisible de conclure que la cause prédominante de l’atteinte psychologique de M était sa réaction à la lettre de son employeur lui </w:t>
      </w:r>
      <w:r w:rsidRPr="00F4361E">
        <w:rPr>
          <w:lang w:val="fr-CA"/>
        </w:rPr>
        <w:lastRenderedPageBreak/>
        <w:t>intimant de donner suite à une demande d’accès à l’information.  Cet ordre n’était pas excessif ni inusité par rapport aux pressions et tensions normales s’exerçant dans un emploi semblable.</w:t>
      </w:r>
    </w:p>
    <w:p w:rsidR="004D7D95" w:rsidRPr="00F4361E" w:rsidRDefault="004D7D95" w:rsidP="007B13C0">
      <w:pPr>
        <w:pStyle w:val="SCCNormalDoubleSpacing"/>
        <w:spacing w:after="720" w:line="240" w:lineRule="auto"/>
        <w:rPr>
          <w:lang w:val="fr-CA"/>
        </w:rPr>
      </w:pPr>
      <w:r w:rsidRPr="00F4361E">
        <w:rPr>
          <w:b/>
          <w:lang w:val="fr-CA"/>
        </w:rPr>
        <w:t>Jurisprudence</w:t>
      </w:r>
    </w:p>
    <w:p w:rsidR="00C9015B" w:rsidRPr="00F4361E" w:rsidRDefault="004D7D95" w:rsidP="007B13C0">
      <w:pPr>
        <w:pStyle w:val="SCCNormalDoubleSpacing"/>
        <w:spacing w:before="480" w:after="480"/>
        <w:rPr>
          <w:lang w:val="fr-CA"/>
        </w:rPr>
      </w:pPr>
      <w:r w:rsidRPr="00F4361E">
        <w:rPr>
          <w:lang w:val="fr-CA"/>
        </w:rPr>
        <w:tab/>
      </w:r>
      <w:r w:rsidRPr="00F4361E">
        <w:rPr>
          <w:b/>
          <w:lang w:val="fr-CA"/>
        </w:rPr>
        <w:t>Arrêts mentionnés</w:t>
      </w:r>
      <w:r w:rsidR="007B13C0">
        <w:rPr>
          <w:b/>
          <w:lang w:val="fr-CA"/>
        </w:rPr>
        <w:t xml:space="preserve"> </w:t>
      </w:r>
      <w:r w:rsidR="00F06139">
        <w:rPr>
          <w:b/>
          <w:lang w:val="fr-CA"/>
        </w:rPr>
        <w:t>:</w:t>
      </w:r>
      <w:r w:rsidRPr="00F4361E">
        <w:rPr>
          <w:lang w:val="fr-CA"/>
        </w:rPr>
        <w:t xml:space="preserve"> </w:t>
      </w:r>
      <w:r w:rsidR="00C9015B" w:rsidRPr="00F4361E">
        <w:rPr>
          <w:i/>
          <w:szCs w:val="24"/>
          <w:lang w:val="fr-CA"/>
        </w:rPr>
        <w:t>Rees c. Royal Canadian Mounted Police</w:t>
      </w:r>
      <w:r w:rsidR="00C9015B" w:rsidRPr="00F4361E">
        <w:rPr>
          <w:szCs w:val="24"/>
          <w:lang w:val="fr-CA"/>
        </w:rPr>
        <w:t>, 2005 NLCA 15, 246 Nfld. &amp; P.E.I.R. 79, autorisation d’appel re</w:t>
      </w:r>
      <w:r w:rsidR="004D69AB">
        <w:rPr>
          <w:szCs w:val="24"/>
          <w:lang w:val="fr-CA"/>
        </w:rPr>
        <w:t>jet</w:t>
      </w:r>
      <w:r w:rsidR="00C9015B" w:rsidRPr="00F4361E">
        <w:rPr>
          <w:szCs w:val="24"/>
          <w:lang w:val="fr-CA"/>
        </w:rPr>
        <w:t xml:space="preserve">ée, [2005] 2 R.C.S. x; </w:t>
      </w:r>
      <w:r w:rsidR="00C9015B" w:rsidRPr="00F4361E">
        <w:rPr>
          <w:i/>
          <w:szCs w:val="24"/>
          <w:lang w:val="fr-CA"/>
        </w:rPr>
        <w:t>Stewart c.</w:t>
      </w:r>
      <w:r w:rsidR="004B7BA7">
        <w:rPr>
          <w:i/>
          <w:szCs w:val="24"/>
          <w:lang w:val="fr-CA"/>
        </w:rPr>
        <w:t xml:space="preserve"> Commission de la santé, de la sécurité et de l’indemnisation des accidents </w:t>
      </w:r>
      <w:r w:rsidR="005C7176">
        <w:rPr>
          <w:i/>
          <w:szCs w:val="24"/>
          <w:lang w:val="fr-CA"/>
        </w:rPr>
        <w:t>au</w:t>
      </w:r>
      <w:r w:rsidR="004B7BA7">
        <w:rPr>
          <w:i/>
          <w:szCs w:val="24"/>
          <w:lang w:val="fr-CA"/>
        </w:rPr>
        <w:t xml:space="preserve"> travail</w:t>
      </w:r>
      <w:r w:rsidR="00C9015B" w:rsidRPr="00F4361E">
        <w:rPr>
          <w:szCs w:val="24"/>
          <w:lang w:val="fr-CA"/>
        </w:rPr>
        <w:t xml:space="preserve">, 2008 NBCA 45, 331 </w:t>
      </w:r>
      <w:r w:rsidR="004B7BA7">
        <w:rPr>
          <w:szCs w:val="24"/>
          <w:lang w:val="fr-CA"/>
        </w:rPr>
        <w:t>R.N.-B. (2</w:t>
      </w:r>
      <w:r w:rsidR="004B7BA7" w:rsidRPr="004B7BA7">
        <w:rPr>
          <w:szCs w:val="24"/>
          <w:vertAlign w:val="superscript"/>
          <w:lang w:val="fr-CA"/>
        </w:rPr>
        <w:t>e</w:t>
      </w:r>
      <w:r w:rsidR="00C9015B" w:rsidRPr="00F4361E">
        <w:rPr>
          <w:szCs w:val="24"/>
          <w:lang w:val="fr-CA"/>
        </w:rPr>
        <w:t>) 278;</w:t>
      </w:r>
      <w:r w:rsidR="00C9015B" w:rsidRPr="00F4361E">
        <w:rPr>
          <w:i/>
          <w:szCs w:val="24"/>
          <w:lang w:val="fr-CA"/>
        </w:rPr>
        <w:t xml:space="preserve"> Canada Post Cor</w:t>
      </w:r>
      <w:r w:rsidR="00F06139">
        <w:rPr>
          <w:i/>
          <w:szCs w:val="24"/>
          <w:lang w:val="fr-CA"/>
        </w:rPr>
        <w:t>p.</w:t>
      </w:r>
      <w:r w:rsidR="007B13C0">
        <w:rPr>
          <w:i/>
          <w:szCs w:val="24"/>
          <w:lang w:val="fr-CA"/>
        </w:rPr>
        <w:t xml:space="preserve"> </w:t>
      </w:r>
      <w:r w:rsidR="00C9015B" w:rsidRPr="00F4361E">
        <w:rPr>
          <w:i/>
          <w:szCs w:val="24"/>
          <w:lang w:val="fr-CA"/>
        </w:rPr>
        <w:t>c. Smith</w:t>
      </w:r>
      <w:r w:rsidR="00C9015B" w:rsidRPr="00F4361E">
        <w:rPr>
          <w:szCs w:val="24"/>
          <w:lang w:val="fr-CA"/>
        </w:rPr>
        <w:t xml:space="preserve"> (1998), 40 O.R. (3d) 97, autorisation </w:t>
      </w:r>
      <w:r w:rsidR="004B7BA7">
        <w:rPr>
          <w:szCs w:val="24"/>
          <w:lang w:val="fr-CA"/>
        </w:rPr>
        <w:t xml:space="preserve">de pourvoi </w:t>
      </w:r>
      <w:r w:rsidR="00C9015B" w:rsidRPr="00F4361E">
        <w:rPr>
          <w:szCs w:val="24"/>
          <w:lang w:val="fr-CA"/>
        </w:rPr>
        <w:t xml:space="preserve">refusée, [1998] 3 R.C.S. v; </w:t>
      </w:r>
      <w:r w:rsidR="00C9015B" w:rsidRPr="00F4361E">
        <w:rPr>
          <w:i/>
          <w:szCs w:val="24"/>
          <w:lang w:val="fr-CA"/>
        </w:rPr>
        <w:t>Thomson c. Workers’ Compensation Appeals Tribunal</w:t>
      </w:r>
      <w:r w:rsidR="00C9015B" w:rsidRPr="00F4361E">
        <w:rPr>
          <w:szCs w:val="24"/>
          <w:lang w:val="fr-CA"/>
        </w:rPr>
        <w:t xml:space="preserve">, 2003 NSCA 14, 212 N.S.R. (2d) 81; </w:t>
      </w:r>
      <w:r w:rsidR="00C9015B" w:rsidRPr="00F4361E">
        <w:rPr>
          <w:i/>
          <w:szCs w:val="24"/>
          <w:lang w:val="fr-CA"/>
        </w:rPr>
        <w:t>Canadian Broadcasting Cor</w:t>
      </w:r>
      <w:r w:rsidR="00F06139">
        <w:rPr>
          <w:i/>
          <w:szCs w:val="24"/>
          <w:lang w:val="fr-CA"/>
        </w:rPr>
        <w:t xml:space="preserve">p. </w:t>
      </w:r>
      <w:r w:rsidR="00C9015B" w:rsidRPr="00F4361E">
        <w:rPr>
          <w:i/>
          <w:szCs w:val="24"/>
          <w:lang w:val="fr-CA"/>
        </w:rPr>
        <w:t>c. Luo</w:t>
      </w:r>
      <w:r w:rsidR="00C9015B" w:rsidRPr="00F4361E">
        <w:rPr>
          <w:szCs w:val="24"/>
          <w:lang w:val="fr-CA"/>
        </w:rPr>
        <w:t xml:space="preserve">, 2009 BCCA 318, 273 B.C.A.C. 203; </w:t>
      </w:r>
      <w:r w:rsidR="005255A7" w:rsidRPr="00F4361E">
        <w:rPr>
          <w:i/>
          <w:lang w:val="fr-CA"/>
        </w:rPr>
        <w:t>Alberta (Information and Privacy Commissioner) c. Alberta Teachers’ Association</w:t>
      </w:r>
      <w:r w:rsidR="005255A7" w:rsidRPr="00F4361E">
        <w:rPr>
          <w:lang w:val="fr-CA"/>
        </w:rPr>
        <w:t xml:space="preserve">, 2011 CSC 61, [2011] 3 R.C.S. 654; </w:t>
      </w:r>
      <w:r w:rsidR="0016003A" w:rsidRPr="00F4361E">
        <w:rPr>
          <w:i/>
          <w:lang w:val="fr-CA"/>
        </w:rPr>
        <w:t>Cape Breton Development Cor</w:t>
      </w:r>
      <w:r w:rsidR="00F06139">
        <w:rPr>
          <w:i/>
          <w:lang w:val="fr-CA"/>
        </w:rPr>
        <w:t xml:space="preserve">p. </w:t>
      </w:r>
      <w:r w:rsidR="0016003A" w:rsidRPr="00F4361E">
        <w:rPr>
          <w:i/>
          <w:lang w:val="fr-CA"/>
        </w:rPr>
        <w:t>c. Morrison Estate</w:t>
      </w:r>
      <w:r w:rsidR="0016003A" w:rsidRPr="00F4361E">
        <w:rPr>
          <w:lang w:val="fr-CA"/>
        </w:rPr>
        <w:t xml:space="preserve">, 2003 NSCA 103, 218 N.S.R. (2d) 53, </w:t>
      </w:r>
      <w:r w:rsidR="007B48B0" w:rsidRPr="00F4361E">
        <w:rPr>
          <w:lang w:val="fr-CA"/>
        </w:rPr>
        <w:t>autorisation d’appel refusée</w:t>
      </w:r>
      <w:r w:rsidR="0016003A" w:rsidRPr="00F4361E">
        <w:rPr>
          <w:lang w:val="fr-CA"/>
        </w:rPr>
        <w:t xml:space="preserve">, [2004] 1 </w:t>
      </w:r>
      <w:r w:rsidR="007B48B0" w:rsidRPr="00F4361E">
        <w:rPr>
          <w:lang w:val="fr-CA"/>
        </w:rPr>
        <w:t>R.C.</w:t>
      </w:r>
      <w:r w:rsidR="0016003A" w:rsidRPr="00F4361E">
        <w:rPr>
          <w:lang w:val="fr-CA"/>
        </w:rPr>
        <w:t>S. vii</w:t>
      </w:r>
      <w:r w:rsidR="00B206DA" w:rsidRPr="00F4361E">
        <w:rPr>
          <w:lang w:val="fr-CA"/>
        </w:rPr>
        <w:t xml:space="preserve">; </w:t>
      </w:r>
      <w:r w:rsidR="00B206DA" w:rsidRPr="00F4361E">
        <w:rPr>
          <w:i/>
          <w:lang w:val="fr-CA"/>
        </w:rPr>
        <w:t>McLellan c. Workers’ Compensation Appeals Tribunal</w:t>
      </w:r>
      <w:r w:rsidR="00B206DA" w:rsidRPr="00F4361E">
        <w:rPr>
          <w:lang w:val="fr-CA"/>
        </w:rPr>
        <w:t>, 2003 NSCA 106, 218 N.S.R. (2d) 176</w:t>
      </w:r>
      <w:r w:rsidR="00C9015B" w:rsidRPr="00F4361E">
        <w:rPr>
          <w:lang w:val="fr-CA"/>
        </w:rPr>
        <w:t xml:space="preserve">; </w:t>
      </w:r>
      <w:r w:rsidR="00C9015B" w:rsidRPr="00F4361E">
        <w:rPr>
          <w:i/>
          <w:lang w:val="fr-CA"/>
        </w:rPr>
        <w:t>Marine Services International Ltd. c. Ryan (Succession)</w:t>
      </w:r>
      <w:r w:rsidR="00C9015B" w:rsidRPr="00F4361E">
        <w:rPr>
          <w:lang w:val="fr-CA"/>
        </w:rPr>
        <w:t>, 2013 CSC 44</w:t>
      </w:r>
      <w:r w:rsidR="004B7BA7">
        <w:rPr>
          <w:lang w:val="fr-CA"/>
        </w:rPr>
        <w:t>, [2013] 3 R.C.S. 53</w:t>
      </w:r>
      <w:r w:rsidR="00C257C3" w:rsidRPr="00F4361E">
        <w:rPr>
          <w:lang w:val="fr-CA"/>
        </w:rPr>
        <w:t xml:space="preserve">; </w:t>
      </w:r>
      <w:r w:rsidR="00C257C3" w:rsidRPr="00F4361E">
        <w:rPr>
          <w:i/>
          <w:lang w:val="fr-CA"/>
        </w:rPr>
        <w:t>Pasiechnyk c. Saskatchewan (Workers’ Compensation Board)</w:t>
      </w:r>
      <w:r w:rsidR="00C257C3" w:rsidRPr="00F4361E">
        <w:rPr>
          <w:lang w:val="fr-CA"/>
        </w:rPr>
        <w:t>, [1997] 2 R.C.S. 890</w:t>
      </w:r>
      <w:r w:rsidR="00CE32EC" w:rsidRPr="00F4361E">
        <w:rPr>
          <w:lang w:val="fr-CA"/>
        </w:rPr>
        <w:t>;</w:t>
      </w:r>
      <w:r w:rsidR="00CE32EC" w:rsidRPr="00F4361E">
        <w:rPr>
          <w:i/>
          <w:lang w:val="fr-CA"/>
        </w:rPr>
        <w:t xml:space="preserve"> Dunsmuir c. Nouveau</w:t>
      </w:r>
      <w:r w:rsidR="00F06139">
        <w:rPr>
          <w:i/>
          <w:lang w:val="fr-CA"/>
        </w:rPr>
        <w:noBreakHyphen/>
      </w:r>
      <w:r w:rsidR="00CE32EC" w:rsidRPr="00F4361E">
        <w:rPr>
          <w:i/>
          <w:lang w:val="fr-CA"/>
        </w:rPr>
        <w:t>Brunswick</w:t>
      </w:r>
      <w:r w:rsidR="00CE32EC" w:rsidRPr="00F4361E">
        <w:rPr>
          <w:lang w:val="fr-CA"/>
        </w:rPr>
        <w:t>, 2008 CSC 9, [2008] 1 R.C.S. 190</w:t>
      </w:r>
      <w:r w:rsidR="00C9015B" w:rsidRPr="00F4361E">
        <w:rPr>
          <w:lang w:val="fr-CA"/>
        </w:rPr>
        <w:t>.</w:t>
      </w:r>
    </w:p>
    <w:p w:rsidR="004D7D95" w:rsidRPr="00F4361E" w:rsidRDefault="004D7D95" w:rsidP="007B13C0">
      <w:pPr>
        <w:pStyle w:val="SCCNormalDoubleSpacing"/>
        <w:spacing w:after="720" w:line="240" w:lineRule="auto"/>
        <w:rPr>
          <w:b/>
          <w:lang w:val="fr-CA"/>
        </w:rPr>
      </w:pPr>
      <w:r w:rsidRPr="00F4361E">
        <w:rPr>
          <w:b/>
          <w:lang w:val="fr-CA"/>
        </w:rPr>
        <w:t>Lois et règlements cités</w:t>
      </w:r>
    </w:p>
    <w:p w:rsidR="00326E9F" w:rsidRPr="00F4361E" w:rsidRDefault="00326E9F" w:rsidP="007B13C0">
      <w:pPr>
        <w:pStyle w:val="SCCNormalDoubleSpacing"/>
        <w:spacing w:after="240" w:line="240" w:lineRule="auto"/>
        <w:ind w:left="540" w:hanging="540"/>
        <w:rPr>
          <w:lang w:val="fr-CA"/>
        </w:rPr>
      </w:pPr>
      <w:r w:rsidRPr="00F4361E">
        <w:rPr>
          <w:i/>
          <w:lang w:val="fr-CA"/>
        </w:rPr>
        <w:lastRenderedPageBreak/>
        <w:t>Charte canadienne des droits et libertés</w:t>
      </w:r>
      <w:r w:rsidRPr="00F4361E">
        <w:rPr>
          <w:lang w:val="fr-CA"/>
        </w:rPr>
        <w:t>.</w:t>
      </w:r>
    </w:p>
    <w:p w:rsidR="009C6556" w:rsidRPr="00F4361E" w:rsidRDefault="009C6556" w:rsidP="007B13C0">
      <w:pPr>
        <w:pStyle w:val="SCCNormalDoubleSpacing"/>
        <w:spacing w:after="240" w:line="240" w:lineRule="auto"/>
        <w:ind w:left="540" w:hanging="540"/>
        <w:rPr>
          <w:lang w:val="fr-CA"/>
        </w:rPr>
      </w:pPr>
      <w:r w:rsidRPr="00F4361E">
        <w:rPr>
          <w:i/>
          <w:lang w:val="fr-CA"/>
        </w:rPr>
        <w:t>Loi ayant pour objet d’accorder une indemnité lorsque des employés de Sa Majesté sont tués ou blessés dans l’exécution de leurs devoirs</w:t>
      </w:r>
      <w:r w:rsidRPr="00F4361E">
        <w:rPr>
          <w:lang w:val="fr-CA"/>
        </w:rPr>
        <w:t xml:space="preserve">, S.C. 1918, </w:t>
      </w:r>
      <w:r w:rsidR="00F06139">
        <w:rPr>
          <w:lang w:val="fr-CA"/>
        </w:rPr>
        <w:t>ch.</w:t>
      </w:r>
      <w:r w:rsidR="007B13C0">
        <w:rPr>
          <w:lang w:val="fr-CA"/>
        </w:rPr>
        <w:t xml:space="preserve"> </w:t>
      </w:r>
      <w:r w:rsidRPr="00F4361E">
        <w:rPr>
          <w:lang w:val="fr-CA"/>
        </w:rPr>
        <w:t xml:space="preserve">15, </w:t>
      </w:r>
      <w:r w:rsidR="00F06139">
        <w:rPr>
          <w:lang w:val="fr-CA"/>
        </w:rPr>
        <w:t>art.</w:t>
      </w:r>
      <w:r w:rsidR="007B13C0">
        <w:rPr>
          <w:lang w:val="fr-CA"/>
        </w:rPr>
        <w:t xml:space="preserve"> </w:t>
      </w:r>
      <w:r w:rsidRPr="00F4361E">
        <w:rPr>
          <w:lang w:val="fr-CA"/>
        </w:rPr>
        <w:t>1(1).</w:t>
      </w:r>
    </w:p>
    <w:p w:rsidR="004B6D8E" w:rsidRPr="00F4361E" w:rsidRDefault="004B6D8E" w:rsidP="007B13C0">
      <w:pPr>
        <w:pStyle w:val="SCCNormalDoubleSpacing"/>
        <w:spacing w:after="240" w:line="240" w:lineRule="auto"/>
        <w:ind w:left="540" w:hanging="540"/>
        <w:rPr>
          <w:lang w:val="fr-CA"/>
        </w:rPr>
      </w:pPr>
      <w:r w:rsidRPr="00F4361E">
        <w:rPr>
          <w:i/>
          <w:lang w:val="fr-CA"/>
        </w:rPr>
        <w:t>Loi d’interprétation</w:t>
      </w:r>
      <w:r w:rsidRPr="00F4361E">
        <w:rPr>
          <w:lang w:val="fr-CA"/>
        </w:rPr>
        <w:t xml:space="preserve">, L.R.C. 1985, </w:t>
      </w:r>
      <w:r w:rsidR="00F06139">
        <w:rPr>
          <w:lang w:val="fr-CA"/>
        </w:rPr>
        <w:t>ch.</w:t>
      </w:r>
      <w:r w:rsidR="007B13C0">
        <w:rPr>
          <w:lang w:val="fr-CA"/>
        </w:rPr>
        <w:t xml:space="preserve"> </w:t>
      </w:r>
      <w:r w:rsidRPr="00F4361E">
        <w:rPr>
          <w:lang w:val="fr-CA"/>
        </w:rPr>
        <w:t>I</w:t>
      </w:r>
      <w:r w:rsidR="00F06139">
        <w:rPr>
          <w:lang w:val="fr-CA"/>
        </w:rPr>
        <w:noBreakHyphen/>
      </w:r>
      <w:r w:rsidRPr="00F4361E">
        <w:rPr>
          <w:lang w:val="fr-CA"/>
        </w:rPr>
        <w:t xml:space="preserve">21, </w:t>
      </w:r>
      <w:r w:rsidR="00F06139">
        <w:rPr>
          <w:lang w:val="fr-CA"/>
        </w:rPr>
        <w:t>art.</w:t>
      </w:r>
      <w:r w:rsidR="007B13C0">
        <w:rPr>
          <w:lang w:val="fr-CA"/>
        </w:rPr>
        <w:t xml:space="preserve"> </w:t>
      </w:r>
      <w:r w:rsidRPr="00F4361E">
        <w:rPr>
          <w:lang w:val="fr-CA"/>
        </w:rPr>
        <w:t>14.</w:t>
      </w:r>
    </w:p>
    <w:p w:rsidR="00FE6F61" w:rsidRPr="00F4361E" w:rsidRDefault="00FE6F61" w:rsidP="007B13C0">
      <w:pPr>
        <w:pStyle w:val="SCCNormalDoubleSpacing"/>
        <w:spacing w:after="240" w:line="240" w:lineRule="auto"/>
        <w:ind w:left="540" w:hanging="540"/>
        <w:rPr>
          <w:lang w:val="fr-CA"/>
        </w:rPr>
      </w:pPr>
      <w:r w:rsidRPr="00F4361E">
        <w:rPr>
          <w:i/>
          <w:lang w:val="fr-CA"/>
        </w:rPr>
        <w:t>Loi de 1947 sur l’indemnisation des employés de l’État</w:t>
      </w:r>
      <w:r w:rsidRPr="00F4361E">
        <w:rPr>
          <w:lang w:val="fr-CA"/>
        </w:rPr>
        <w:t xml:space="preserve">, S.C. 1947, </w:t>
      </w:r>
      <w:r w:rsidR="00F06139">
        <w:rPr>
          <w:lang w:val="fr-CA"/>
        </w:rPr>
        <w:t>ch.</w:t>
      </w:r>
      <w:r w:rsidR="007B13C0">
        <w:rPr>
          <w:lang w:val="fr-CA"/>
        </w:rPr>
        <w:t xml:space="preserve"> </w:t>
      </w:r>
      <w:r w:rsidRPr="00F4361E">
        <w:rPr>
          <w:lang w:val="fr-CA"/>
        </w:rPr>
        <w:t xml:space="preserve">18, </w:t>
      </w:r>
      <w:r w:rsidR="00F06139">
        <w:rPr>
          <w:lang w:val="fr-CA"/>
        </w:rPr>
        <w:t>art.</w:t>
      </w:r>
      <w:r w:rsidR="007B13C0">
        <w:rPr>
          <w:lang w:val="fr-CA"/>
        </w:rPr>
        <w:t xml:space="preserve"> </w:t>
      </w:r>
      <w:r w:rsidRPr="00F4361E">
        <w:rPr>
          <w:lang w:val="fr-CA"/>
        </w:rPr>
        <w:t>2(1) «</w:t>
      </w:r>
      <w:r w:rsidR="007B13C0">
        <w:rPr>
          <w:lang w:val="fr-CA"/>
        </w:rPr>
        <w:t xml:space="preserve"> </w:t>
      </w:r>
      <w:r w:rsidRPr="00F4361E">
        <w:rPr>
          <w:lang w:val="fr-CA"/>
        </w:rPr>
        <w:t>accident</w:t>
      </w:r>
      <w:r w:rsidR="007B13C0">
        <w:rPr>
          <w:lang w:val="fr-CA"/>
        </w:rPr>
        <w:t xml:space="preserve"> </w:t>
      </w:r>
      <w:r w:rsidRPr="00F4361E">
        <w:rPr>
          <w:lang w:val="fr-CA"/>
        </w:rPr>
        <w:t>», 3(1).</w:t>
      </w:r>
    </w:p>
    <w:p w:rsidR="00FE6F61" w:rsidRPr="00F4361E" w:rsidRDefault="00FE6F61" w:rsidP="007B13C0">
      <w:pPr>
        <w:pStyle w:val="SCCNormalDoubleSpacing"/>
        <w:spacing w:after="240" w:line="240" w:lineRule="auto"/>
        <w:ind w:left="540" w:hanging="540"/>
        <w:rPr>
          <w:i/>
          <w:szCs w:val="24"/>
          <w:lang w:val="fr-CA"/>
        </w:rPr>
      </w:pPr>
      <w:r w:rsidRPr="00F4361E">
        <w:rPr>
          <w:i/>
          <w:szCs w:val="24"/>
          <w:lang w:val="fr-CA"/>
        </w:rPr>
        <w:t>Loi de 1997 sur la sécurité professionnelle et l’assurance contre les accidents du travail</w:t>
      </w:r>
      <w:r w:rsidRPr="00F4361E">
        <w:rPr>
          <w:szCs w:val="24"/>
          <w:lang w:val="fr-CA"/>
        </w:rPr>
        <w:t xml:space="preserve">, L.O. 1997, </w:t>
      </w:r>
      <w:r w:rsidR="00F06139">
        <w:rPr>
          <w:szCs w:val="24"/>
          <w:lang w:val="fr-CA"/>
        </w:rPr>
        <w:t>ch.</w:t>
      </w:r>
      <w:r w:rsidR="007B13C0">
        <w:rPr>
          <w:szCs w:val="24"/>
          <w:lang w:val="fr-CA"/>
        </w:rPr>
        <w:t xml:space="preserve"> </w:t>
      </w:r>
      <w:r w:rsidRPr="00F4361E">
        <w:rPr>
          <w:szCs w:val="24"/>
          <w:lang w:val="fr-CA"/>
        </w:rPr>
        <w:t xml:space="preserve">16, </w:t>
      </w:r>
      <w:r w:rsidR="003756D0">
        <w:rPr>
          <w:szCs w:val="24"/>
          <w:lang w:val="fr-CA"/>
        </w:rPr>
        <w:t xml:space="preserve">ann. A, </w:t>
      </w:r>
      <w:r w:rsidR="00F06139">
        <w:rPr>
          <w:szCs w:val="24"/>
          <w:lang w:val="fr-CA"/>
        </w:rPr>
        <w:t>art.</w:t>
      </w:r>
      <w:r w:rsidR="007B13C0">
        <w:rPr>
          <w:szCs w:val="24"/>
          <w:lang w:val="fr-CA"/>
        </w:rPr>
        <w:t xml:space="preserve"> </w:t>
      </w:r>
      <w:r w:rsidRPr="00F4361E">
        <w:rPr>
          <w:szCs w:val="24"/>
          <w:lang w:val="fr-CA"/>
        </w:rPr>
        <w:t>126, 161</w:t>
      </w:r>
      <w:r w:rsidR="001A1742" w:rsidRPr="00F4361E">
        <w:rPr>
          <w:szCs w:val="24"/>
          <w:lang w:val="fr-CA"/>
        </w:rPr>
        <w:t>.</w:t>
      </w:r>
    </w:p>
    <w:p w:rsidR="001A1742" w:rsidRPr="00F4361E" w:rsidRDefault="001A1742" w:rsidP="007B13C0">
      <w:pPr>
        <w:pStyle w:val="SCCNormalDoubleSpacing"/>
        <w:spacing w:after="240" w:line="240" w:lineRule="auto"/>
        <w:ind w:left="540" w:hanging="540"/>
        <w:rPr>
          <w:lang w:val="fr-CA"/>
        </w:rPr>
      </w:pPr>
      <w:r w:rsidRPr="00F4361E">
        <w:rPr>
          <w:i/>
          <w:lang w:val="fr-CA"/>
        </w:rPr>
        <w:t>Loi modifiant la Loi d’indemnisation des employés de l’État</w:t>
      </w:r>
      <w:r w:rsidRPr="00F4361E">
        <w:rPr>
          <w:lang w:val="fr-CA"/>
        </w:rPr>
        <w:t xml:space="preserve">, S.C. 1931, </w:t>
      </w:r>
      <w:r w:rsidR="00F06139">
        <w:rPr>
          <w:lang w:val="fr-CA"/>
        </w:rPr>
        <w:t>ch.</w:t>
      </w:r>
      <w:r w:rsidR="007B13C0">
        <w:rPr>
          <w:lang w:val="fr-CA"/>
        </w:rPr>
        <w:t xml:space="preserve"> </w:t>
      </w:r>
      <w:r w:rsidRPr="00F4361E">
        <w:rPr>
          <w:lang w:val="fr-CA"/>
        </w:rPr>
        <w:t xml:space="preserve">9, </w:t>
      </w:r>
      <w:r w:rsidR="00F06139">
        <w:rPr>
          <w:lang w:val="fr-CA"/>
        </w:rPr>
        <w:t>art.</w:t>
      </w:r>
      <w:r w:rsidR="007B13C0">
        <w:rPr>
          <w:lang w:val="fr-CA"/>
        </w:rPr>
        <w:t xml:space="preserve"> </w:t>
      </w:r>
      <w:r w:rsidRPr="00F4361E">
        <w:rPr>
          <w:lang w:val="fr-CA"/>
        </w:rPr>
        <w:t>2.</w:t>
      </w:r>
    </w:p>
    <w:p w:rsidR="009B39E1" w:rsidRPr="00F4361E" w:rsidRDefault="00EE6344" w:rsidP="007B13C0">
      <w:pPr>
        <w:pStyle w:val="SCCNormalDoubleSpacing"/>
        <w:spacing w:after="240" w:line="240" w:lineRule="auto"/>
        <w:ind w:left="540" w:hanging="540"/>
        <w:rPr>
          <w:szCs w:val="24"/>
          <w:lang w:val="fr-CA"/>
        </w:rPr>
      </w:pPr>
      <w:r w:rsidRPr="00F4361E">
        <w:rPr>
          <w:i/>
          <w:szCs w:val="24"/>
          <w:lang w:val="fr-CA"/>
        </w:rPr>
        <w:t>Loi modifiant la Loi sur l’indemnisation des employés de l’État</w:t>
      </w:r>
      <w:r w:rsidRPr="00F4361E">
        <w:rPr>
          <w:szCs w:val="24"/>
          <w:lang w:val="fr-CA"/>
        </w:rPr>
        <w:t xml:space="preserve">, S.C. 1955, </w:t>
      </w:r>
      <w:r w:rsidR="00F06139">
        <w:rPr>
          <w:szCs w:val="24"/>
          <w:lang w:val="fr-CA"/>
        </w:rPr>
        <w:t>ch.</w:t>
      </w:r>
      <w:r w:rsidR="007B13C0">
        <w:rPr>
          <w:szCs w:val="24"/>
          <w:lang w:val="fr-CA"/>
        </w:rPr>
        <w:t xml:space="preserve"> </w:t>
      </w:r>
      <w:r w:rsidRPr="00F4361E">
        <w:rPr>
          <w:szCs w:val="24"/>
          <w:lang w:val="fr-CA"/>
        </w:rPr>
        <w:t xml:space="preserve">33, </w:t>
      </w:r>
      <w:r w:rsidR="00F06139">
        <w:rPr>
          <w:szCs w:val="24"/>
          <w:lang w:val="fr-CA"/>
        </w:rPr>
        <w:t>art.</w:t>
      </w:r>
      <w:r w:rsidR="007B13C0">
        <w:rPr>
          <w:szCs w:val="24"/>
          <w:lang w:val="fr-CA"/>
        </w:rPr>
        <w:t xml:space="preserve"> </w:t>
      </w:r>
      <w:r w:rsidRPr="00F4361E">
        <w:rPr>
          <w:szCs w:val="24"/>
          <w:lang w:val="fr-CA"/>
        </w:rPr>
        <w:t>2.</w:t>
      </w:r>
    </w:p>
    <w:p w:rsidR="009B39E1" w:rsidRPr="00F4361E" w:rsidRDefault="009B39E1" w:rsidP="007B13C0">
      <w:pPr>
        <w:pStyle w:val="SCCNormalDoubleSpacing"/>
        <w:spacing w:after="240" w:line="240" w:lineRule="auto"/>
        <w:ind w:left="540" w:hanging="540"/>
        <w:rPr>
          <w:szCs w:val="24"/>
          <w:lang w:val="fr-CA"/>
        </w:rPr>
      </w:pPr>
      <w:r w:rsidRPr="00F4361E">
        <w:rPr>
          <w:i/>
          <w:szCs w:val="24"/>
          <w:lang w:val="fr-CA"/>
        </w:rPr>
        <w:t>Loi sur l’indemnisation des agents de l’État</w:t>
      </w:r>
      <w:r w:rsidRPr="00F4361E">
        <w:rPr>
          <w:szCs w:val="24"/>
          <w:lang w:val="fr-CA"/>
        </w:rPr>
        <w:t xml:space="preserve">, L.R.C. 1985, </w:t>
      </w:r>
      <w:r w:rsidR="00F06139">
        <w:rPr>
          <w:szCs w:val="24"/>
          <w:lang w:val="fr-CA"/>
        </w:rPr>
        <w:t>ch.</w:t>
      </w:r>
      <w:r w:rsidR="007B13C0">
        <w:rPr>
          <w:szCs w:val="24"/>
          <w:lang w:val="fr-CA"/>
        </w:rPr>
        <w:t xml:space="preserve"> </w:t>
      </w:r>
      <w:r w:rsidRPr="00F4361E">
        <w:rPr>
          <w:szCs w:val="24"/>
          <w:lang w:val="fr-CA"/>
        </w:rPr>
        <w:t>G</w:t>
      </w:r>
      <w:r w:rsidRPr="00F4361E">
        <w:rPr>
          <w:rFonts w:eastAsia="MS Mincho" w:hint="eastAsia"/>
          <w:szCs w:val="24"/>
          <w:lang w:val="fr-CA"/>
        </w:rPr>
        <w:t>‑</w:t>
      </w:r>
      <w:r w:rsidRPr="00F4361E">
        <w:rPr>
          <w:szCs w:val="24"/>
          <w:lang w:val="fr-CA"/>
        </w:rPr>
        <w:t>5</w:t>
      </w:r>
      <w:r w:rsidR="00E904F4" w:rsidRPr="00F4361E">
        <w:rPr>
          <w:szCs w:val="24"/>
          <w:lang w:val="fr-CA"/>
        </w:rPr>
        <w:t xml:space="preserve">, </w:t>
      </w:r>
      <w:r w:rsidR="00F06139">
        <w:rPr>
          <w:szCs w:val="24"/>
          <w:lang w:val="fr-CA"/>
        </w:rPr>
        <w:t>art.</w:t>
      </w:r>
      <w:r w:rsidR="007B13C0">
        <w:rPr>
          <w:szCs w:val="24"/>
          <w:lang w:val="fr-CA"/>
        </w:rPr>
        <w:t xml:space="preserve"> </w:t>
      </w:r>
      <w:r w:rsidR="00E904F4" w:rsidRPr="00F4361E">
        <w:rPr>
          <w:szCs w:val="24"/>
          <w:lang w:val="fr-CA"/>
        </w:rPr>
        <w:t>2 «</w:t>
      </w:r>
      <w:r w:rsidR="007B13C0">
        <w:rPr>
          <w:szCs w:val="24"/>
          <w:lang w:val="fr-CA"/>
        </w:rPr>
        <w:t xml:space="preserve"> </w:t>
      </w:r>
      <w:r w:rsidR="00E904F4" w:rsidRPr="00F4361E">
        <w:rPr>
          <w:szCs w:val="24"/>
          <w:lang w:val="fr-CA"/>
        </w:rPr>
        <w:t>accident</w:t>
      </w:r>
      <w:r w:rsidR="007B13C0">
        <w:rPr>
          <w:szCs w:val="24"/>
          <w:lang w:val="fr-CA"/>
        </w:rPr>
        <w:t xml:space="preserve"> </w:t>
      </w:r>
      <w:r w:rsidR="00E904F4" w:rsidRPr="00F4361E">
        <w:rPr>
          <w:szCs w:val="24"/>
          <w:lang w:val="fr-CA"/>
        </w:rPr>
        <w:t>»</w:t>
      </w:r>
      <w:r w:rsidR="004B6D8E" w:rsidRPr="00F4361E">
        <w:rPr>
          <w:szCs w:val="24"/>
          <w:lang w:val="fr-CA"/>
        </w:rPr>
        <w:t>, 4(1), (2), (3)</w:t>
      </w:r>
      <w:r w:rsidR="00E904F4" w:rsidRPr="00F4361E">
        <w:rPr>
          <w:szCs w:val="24"/>
          <w:lang w:val="fr-CA"/>
        </w:rPr>
        <w:t>.</w:t>
      </w:r>
    </w:p>
    <w:p w:rsidR="00FE6F61" w:rsidRPr="00F4361E" w:rsidRDefault="00FE6F61" w:rsidP="007B13C0">
      <w:pPr>
        <w:pStyle w:val="SCCNormalDoubleSpacing"/>
        <w:spacing w:after="240" w:line="240" w:lineRule="auto"/>
        <w:ind w:left="540" w:hanging="540"/>
        <w:rPr>
          <w:szCs w:val="24"/>
          <w:lang w:val="fr-CA"/>
        </w:rPr>
      </w:pPr>
      <w:r w:rsidRPr="00F4361E">
        <w:rPr>
          <w:i/>
          <w:szCs w:val="24"/>
          <w:lang w:val="fr-CA"/>
        </w:rPr>
        <w:t>Loi sur l’indemnisation des travailleurs</w:t>
      </w:r>
      <w:r w:rsidRPr="00F4361E">
        <w:rPr>
          <w:szCs w:val="24"/>
          <w:lang w:val="fr-CA"/>
        </w:rPr>
        <w:t xml:space="preserve">, L.Nu. 2007, </w:t>
      </w:r>
      <w:r w:rsidR="00F06139">
        <w:rPr>
          <w:szCs w:val="24"/>
          <w:lang w:val="fr-CA"/>
        </w:rPr>
        <w:t>ch.</w:t>
      </w:r>
      <w:r w:rsidR="007B13C0">
        <w:rPr>
          <w:szCs w:val="24"/>
          <w:lang w:val="fr-CA"/>
        </w:rPr>
        <w:t xml:space="preserve"> </w:t>
      </w:r>
      <w:r w:rsidRPr="00F4361E">
        <w:rPr>
          <w:szCs w:val="24"/>
          <w:lang w:val="fr-CA"/>
        </w:rPr>
        <w:t xml:space="preserve">15, </w:t>
      </w:r>
      <w:r w:rsidR="00F06139">
        <w:rPr>
          <w:szCs w:val="24"/>
          <w:lang w:val="fr-CA"/>
        </w:rPr>
        <w:t>art.</w:t>
      </w:r>
      <w:r w:rsidR="007B13C0">
        <w:rPr>
          <w:szCs w:val="24"/>
          <w:lang w:val="fr-CA"/>
        </w:rPr>
        <w:t xml:space="preserve"> </w:t>
      </w:r>
      <w:r w:rsidRPr="00F4361E">
        <w:rPr>
          <w:szCs w:val="24"/>
          <w:lang w:val="fr-CA"/>
        </w:rPr>
        <w:t>31(2)</w:t>
      </w:r>
      <w:r w:rsidR="001A1742" w:rsidRPr="00F4361E">
        <w:rPr>
          <w:szCs w:val="24"/>
          <w:lang w:val="fr-CA"/>
        </w:rPr>
        <w:t>.</w:t>
      </w:r>
    </w:p>
    <w:p w:rsidR="00FE6F61" w:rsidRDefault="00FE6F61" w:rsidP="007B13C0">
      <w:pPr>
        <w:pStyle w:val="SCCNormalDoubleSpacing"/>
        <w:spacing w:after="240" w:line="240" w:lineRule="auto"/>
        <w:ind w:left="540" w:hanging="540"/>
        <w:rPr>
          <w:szCs w:val="24"/>
          <w:lang w:val="fr-CA"/>
        </w:rPr>
      </w:pPr>
      <w:r w:rsidRPr="00F4361E">
        <w:rPr>
          <w:i/>
          <w:szCs w:val="24"/>
          <w:lang w:val="fr-CA"/>
        </w:rPr>
        <w:t>Loi sur l’indemnisation des travailleurs</w:t>
      </w:r>
      <w:r w:rsidRPr="00F4361E">
        <w:rPr>
          <w:szCs w:val="24"/>
          <w:lang w:val="fr-CA"/>
        </w:rPr>
        <w:t>, L.T</w:t>
      </w:r>
      <w:r w:rsidR="001A1742" w:rsidRPr="00F4361E">
        <w:rPr>
          <w:szCs w:val="24"/>
          <w:lang w:val="fr-CA"/>
        </w:rPr>
        <w:t>.N.</w:t>
      </w:r>
      <w:r w:rsidR="00F06139">
        <w:rPr>
          <w:szCs w:val="24"/>
          <w:lang w:val="fr-CA"/>
        </w:rPr>
        <w:noBreakHyphen/>
      </w:r>
      <w:r w:rsidR="001A1742" w:rsidRPr="00F4361E">
        <w:rPr>
          <w:szCs w:val="24"/>
          <w:lang w:val="fr-CA"/>
        </w:rPr>
        <w:t xml:space="preserve">O. 2007, </w:t>
      </w:r>
      <w:r w:rsidR="00F06139">
        <w:rPr>
          <w:szCs w:val="24"/>
          <w:lang w:val="fr-CA"/>
        </w:rPr>
        <w:t>ch.</w:t>
      </w:r>
      <w:r w:rsidR="007B13C0">
        <w:rPr>
          <w:szCs w:val="24"/>
          <w:lang w:val="fr-CA"/>
        </w:rPr>
        <w:t xml:space="preserve"> </w:t>
      </w:r>
      <w:r w:rsidR="001A1742" w:rsidRPr="00F4361E">
        <w:rPr>
          <w:szCs w:val="24"/>
          <w:lang w:val="fr-CA"/>
        </w:rPr>
        <w:t xml:space="preserve">21, </w:t>
      </w:r>
      <w:r w:rsidR="00F06139">
        <w:rPr>
          <w:szCs w:val="24"/>
          <w:lang w:val="fr-CA"/>
        </w:rPr>
        <w:t>art.</w:t>
      </w:r>
      <w:r w:rsidR="007B13C0">
        <w:rPr>
          <w:szCs w:val="24"/>
          <w:lang w:val="fr-CA"/>
        </w:rPr>
        <w:t xml:space="preserve"> </w:t>
      </w:r>
      <w:r w:rsidR="001A1742" w:rsidRPr="00F4361E">
        <w:rPr>
          <w:szCs w:val="24"/>
          <w:lang w:val="fr-CA"/>
        </w:rPr>
        <w:t>91(3).</w:t>
      </w:r>
    </w:p>
    <w:p w:rsidR="003756D0" w:rsidRPr="00F4361E" w:rsidRDefault="003756D0" w:rsidP="007B13C0">
      <w:pPr>
        <w:pStyle w:val="SCCNormalDoubleSpacing"/>
        <w:spacing w:after="240" w:line="240" w:lineRule="auto"/>
        <w:ind w:left="540" w:hanging="540"/>
        <w:rPr>
          <w:szCs w:val="24"/>
          <w:lang w:val="fr-CA"/>
        </w:rPr>
      </w:pPr>
      <w:r w:rsidRPr="00F4361E">
        <w:rPr>
          <w:i/>
          <w:szCs w:val="24"/>
          <w:lang w:val="fr-CA"/>
        </w:rPr>
        <w:t>Loi sur la Commission de la santé, de la sécurité et de l’indemnisation des accidents au travail</w:t>
      </w:r>
      <w:r w:rsidRPr="00F4361E">
        <w:rPr>
          <w:szCs w:val="24"/>
          <w:lang w:val="fr-CA"/>
        </w:rPr>
        <w:t>, L.N.</w:t>
      </w:r>
      <w:r>
        <w:rPr>
          <w:szCs w:val="24"/>
          <w:lang w:val="fr-CA"/>
        </w:rPr>
        <w:noBreakHyphen/>
      </w:r>
      <w:r w:rsidRPr="00F4361E">
        <w:rPr>
          <w:szCs w:val="24"/>
          <w:lang w:val="fr-CA"/>
        </w:rPr>
        <w:t xml:space="preserve">B. 1994, </w:t>
      </w:r>
      <w:r>
        <w:rPr>
          <w:szCs w:val="24"/>
          <w:lang w:val="fr-CA"/>
        </w:rPr>
        <w:t>ch.</w:t>
      </w:r>
      <w:r w:rsidR="007B13C0">
        <w:rPr>
          <w:szCs w:val="24"/>
          <w:lang w:val="fr-CA"/>
        </w:rPr>
        <w:t xml:space="preserve"> </w:t>
      </w:r>
      <w:r w:rsidRPr="00F4361E">
        <w:rPr>
          <w:szCs w:val="24"/>
          <w:lang w:val="fr-CA"/>
        </w:rPr>
        <w:t>W</w:t>
      </w:r>
      <w:r>
        <w:rPr>
          <w:szCs w:val="24"/>
          <w:lang w:val="fr-CA"/>
        </w:rPr>
        <w:noBreakHyphen/>
      </w:r>
      <w:r w:rsidRPr="00F4361E">
        <w:rPr>
          <w:szCs w:val="24"/>
          <w:lang w:val="fr-CA"/>
        </w:rPr>
        <w:t xml:space="preserve">14, </w:t>
      </w:r>
      <w:r>
        <w:rPr>
          <w:szCs w:val="24"/>
          <w:lang w:val="fr-CA"/>
        </w:rPr>
        <w:t>art.</w:t>
      </w:r>
      <w:r w:rsidR="007B13C0">
        <w:rPr>
          <w:szCs w:val="24"/>
          <w:lang w:val="fr-CA"/>
        </w:rPr>
        <w:t xml:space="preserve"> </w:t>
      </w:r>
      <w:r w:rsidRPr="00F4361E">
        <w:rPr>
          <w:szCs w:val="24"/>
          <w:lang w:val="fr-CA"/>
        </w:rPr>
        <w:t>7</w:t>
      </w:r>
      <w:r w:rsidRPr="00F4361E">
        <w:rPr>
          <w:i/>
          <w:szCs w:val="24"/>
          <w:lang w:val="fr-CA"/>
        </w:rPr>
        <w:t>f</w:t>
      </w:r>
      <w:r w:rsidRPr="00F4361E">
        <w:rPr>
          <w:szCs w:val="24"/>
          <w:lang w:val="fr-CA"/>
        </w:rPr>
        <w:t>).</w:t>
      </w:r>
    </w:p>
    <w:p w:rsidR="00FE6F61" w:rsidRPr="00F4361E" w:rsidRDefault="00FE6F61" w:rsidP="007B13C0">
      <w:pPr>
        <w:pStyle w:val="SCCNormalDoubleSpacing"/>
        <w:spacing w:after="240" w:line="240" w:lineRule="auto"/>
        <w:ind w:left="540" w:hanging="540"/>
        <w:rPr>
          <w:szCs w:val="24"/>
          <w:lang w:val="fr-CA"/>
        </w:rPr>
      </w:pPr>
      <w:r w:rsidRPr="00F4361E">
        <w:rPr>
          <w:i/>
          <w:szCs w:val="24"/>
          <w:lang w:val="fr-CA"/>
        </w:rPr>
        <w:t>Loi sur les accidents du travail</w:t>
      </w:r>
      <w:r w:rsidRPr="00F4361E">
        <w:rPr>
          <w:szCs w:val="24"/>
          <w:lang w:val="fr-CA"/>
        </w:rPr>
        <w:t>, C.</w:t>
      </w:r>
      <w:r w:rsidR="00DC0558">
        <w:rPr>
          <w:szCs w:val="24"/>
          <w:lang w:val="fr-CA"/>
        </w:rPr>
        <w:t xml:space="preserve">P.L.M., </w:t>
      </w:r>
      <w:r w:rsidR="00F06139">
        <w:rPr>
          <w:szCs w:val="24"/>
          <w:lang w:val="fr-CA"/>
        </w:rPr>
        <w:t>ch.</w:t>
      </w:r>
      <w:r w:rsidR="007B13C0">
        <w:rPr>
          <w:szCs w:val="24"/>
          <w:lang w:val="fr-CA"/>
        </w:rPr>
        <w:t xml:space="preserve"> </w:t>
      </w:r>
      <w:r w:rsidR="001A1742" w:rsidRPr="00F4361E">
        <w:rPr>
          <w:szCs w:val="24"/>
          <w:lang w:val="fr-CA"/>
        </w:rPr>
        <w:t xml:space="preserve">W200, </w:t>
      </w:r>
      <w:r w:rsidR="00F06139">
        <w:rPr>
          <w:szCs w:val="24"/>
          <w:lang w:val="fr-CA"/>
        </w:rPr>
        <w:t>art.</w:t>
      </w:r>
      <w:r w:rsidR="007B13C0">
        <w:rPr>
          <w:szCs w:val="24"/>
          <w:lang w:val="fr-CA"/>
        </w:rPr>
        <w:t xml:space="preserve"> </w:t>
      </w:r>
      <w:r w:rsidR="001A1742" w:rsidRPr="00F4361E">
        <w:rPr>
          <w:szCs w:val="24"/>
          <w:lang w:val="fr-CA"/>
        </w:rPr>
        <w:t>51.1(1)a).</w:t>
      </w:r>
    </w:p>
    <w:p w:rsidR="00FE6F61" w:rsidRPr="00F4361E" w:rsidRDefault="00FE6F61" w:rsidP="007B13C0">
      <w:pPr>
        <w:pStyle w:val="SCCNormalDoubleSpacing"/>
        <w:spacing w:after="240" w:line="240" w:lineRule="auto"/>
        <w:ind w:left="540" w:hanging="540"/>
        <w:rPr>
          <w:szCs w:val="24"/>
          <w:lang w:val="fr-CA"/>
        </w:rPr>
      </w:pPr>
      <w:r w:rsidRPr="00F4361E">
        <w:rPr>
          <w:i/>
          <w:szCs w:val="24"/>
          <w:lang w:val="fr-CA"/>
        </w:rPr>
        <w:t>Loi sur les accidents du travail</w:t>
      </w:r>
      <w:r w:rsidR="001A1742" w:rsidRPr="00F4361E">
        <w:rPr>
          <w:szCs w:val="24"/>
          <w:lang w:val="fr-CA"/>
        </w:rPr>
        <w:t xml:space="preserve">, L.Y. 2008, </w:t>
      </w:r>
      <w:r w:rsidR="00F06139">
        <w:rPr>
          <w:szCs w:val="24"/>
          <w:lang w:val="fr-CA"/>
        </w:rPr>
        <w:t>ch.</w:t>
      </w:r>
      <w:r w:rsidR="007B13C0">
        <w:rPr>
          <w:szCs w:val="24"/>
          <w:lang w:val="fr-CA"/>
        </w:rPr>
        <w:t xml:space="preserve"> </w:t>
      </w:r>
      <w:r w:rsidR="001A1742" w:rsidRPr="00F4361E">
        <w:rPr>
          <w:szCs w:val="24"/>
          <w:lang w:val="fr-CA"/>
        </w:rPr>
        <w:t xml:space="preserve">12, </w:t>
      </w:r>
      <w:r w:rsidR="00F06139">
        <w:rPr>
          <w:szCs w:val="24"/>
          <w:lang w:val="fr-CA"/>
        </w:rPr>
        <w:t>art.</w:t>
      </w:r>
      <w:r w:rsidR="007B13C0">
        <w:rPr>
          <w:szCs w:val="24"/>
          <w:lang w:val="fr-CA"/>
        </w:rPr>
        <w:t xml:space="preserve"> </w:t>
      </w:r>
      <w:r w:rsidR="001A1742" w:rsidRPr="00F4361E">
        <w:rPr>
          <w:szCs w:val="24"/>
          <w:lang w:val="fr-CA"/>
        </w:rPr>
        <w:t>3</w:t>
      </w:r>
      <w:r w:rsidR="00167386" w:rsidRPr="00F4361E">
        <w:rPr>
          <w:szCs w:val="24"/>
          <w:lang w:val="fr-CA"/>
        </w:rPr>
        <w:t xml:space="preserve"> «</w:t>
      </w:r>
      <w:r w:rsidR="007B13C0">
        <w:rPr>
          <w:szCs w:val="24"/>
          <w:lang w:val="fr-CA"/>
        </w:rPr>
        <w:t xml:space="preserve"> </w:t>
      </w:r>
      <w:r w:rsidR="00167386" w:rsidRPr="00F4361E">
        <w:rPr>
          <w:szCs w:val="24"/>
          <w:lang w:val="fr-CA"/>
        </w:rPr>
        <w:t>politique</w:t>
      </w:r>
      <w:r w:rsidR="007B13C0">
        <w:rPr>
          <w:szCs w:val="24"/>
          <w:lang w:val="fr-CA"/>
        </w:rPr>
        <w:t xml:space="preserve"> </w:t>
      </w:r>
      <w:r w:rsidR="00167386" w:rsidRPr="00F4361E">
        <w:rPr>
          <w:szCs w:val="24"/>
          <w:lang w:val="fr-CA"/>
        </w:rPr>
        <w:t>»</w:t>
      </w:r>
      <w:r w:rsidR="001A1742" w:rsidRPr="00F4361E">
        <w:rPr>
          <w:szCs w:val="24"/>
          <w:lang w:val="fr-CA"/>
        </w:rPr>
        <w:t>, 18.</w:t>
      </w:r>
    </w:p>
    <w:p w:rsidR="00AA4991" w:rsidRPr="00F4361E" w:rsidRDefault="00A24119" w:rsidP="007B13C0">
      <w:pPr>
        <w:pStyle w:val="SCCNormalDoubleSpacing"/>
        <w:spacing w:after="240" w:line="240" w:lineRule="auto"/>
        <w:ind w:left="540" w:hanging="540"/>
        <w:rPr>
          <w:i/>
          <w:szCs w:val="24"/>
          <w:lang w:val="fr-CA"/>
        </w:rPr>
      </w:pPr>
      <w:r w:rsidRPr="00F4361E">
        <w:rPr>
          <w:i/>
          <w:lang w:val="fr-CA"/>
        </w:rPr>
        <w:t>Loi sur les accidents du travail et les maladies professionnelles</w:t>
      </w:r>
      <w:r w:rsidR="003756D0">
        <w:rPr>
          <w:lang w:val="fr-CA"/>
        </w:rPr>
        <w:t>, RLRQ</w:t>
      </w:r>
      <w:r w:rsidR="001F411A">
        <w:rPr>
          <w:lang w:val="fr-CA"/>
        </w:rPr>
        <w:t>,</w:t>
      </w:r>
      <w:r w:rsidRPr="00F4361E">
        <w:rPr>
          <w:lang w:val="fr-CA"/>
        </w:rPr>
        <w:t xml:space="preserve"> </w:t>
      </w:r>
      <w:r w:rsidR="00F06139">
        <w:rPr>
          <w:lang w:val="fr-CA"/>
        </w:rPr>
        <w:t>ch.</w:t>
      </w:r>
      <w:r w:rsidR="007B13C0">
        <w:rPr>
          <w:lang w:val="fr-CA"/>
        </w:rPr>
        <w:t xml:space="preserve"> </w:t>
      </w:r>
      <w:r w:rsidRPr="00F4361E">
        <w:rPr>
          <w:lang w:val="fr-CA"/>
        </w:rPr>
        <w:t>A</w:t>
      </w:r>
      <w:r w:rsidR="00F06139">
        <w:rPr>
          <w:lang w:val="fr-CA"/>
        </w:rPr>
        <w:noBreakHyphen/>
      </w:r>
      <w:r w:rsidRPr="00F4361E">
        <w:rPr>
          <w:lang w:val="fr-CA"/>
        </w:rPr>
        <w:t xml:space="preserve">3.001, </w:t>
      </w:r>
      <w:r w:rsidR="00F06139">
        <w:rPr>
          <w:lang w:val="fr-CA"/>
        </w:rPr>
        <w:t>art.</w:t>
      </w:r>
      <w:r w:rsidR="007B13C0">
        <w:rPr>
          <w:lang w:val="fr-CA"/>
        </w:rPr>
        <w:t xml:space="preserve"> </w:t>
      </w:r>
      <w:r w:rsidRPr="00F4361E">
        <w:rPr>
          <w:lang w:val="fr-CA"/>
        </w:rPr>
        <w:t>382, 454.</w:t>
      </w:r>
    </w:p>
    <w:p w:rsidR="00AA4991" w:rsidRPr="00F4361E" w:rsidRDefault="00AA4991" w:rsidP="007B13C0">
      <w:pPr>
        <w:pStyle w:val="SCCNormalDoubleSpacing"/>
        <w:spacing w:after="240" w:line="240" w:lineRule="auto"/>
        <w:ind w:left="540" w:hanging="540"/>
        <w:rPr>
          <w:szCs w:val="24"/>
          <w:lang w:val="fr-CA"/>
        </w:rPr>
      </w:pPr>
      <w:r w:rsidRPr="00F4361E">
        <w:rPr>
          <w:i/>
          <w:szCs w:val="24"/>
          <w:lang w:val="fr-CA"/>
        </w:rPr>
        <w:t>Règlements concernant l’indemnisation des employés de l’État</w:t>
      </w:r>
      <w:r w:rsidR="003756D0">
        <w:rPr>
          <w:i/>
          <w:szCs w:val="24"/>
          <w:lang w:val="fr-CA"/>
        </w:rPr>
        <w:t>, 1948</w:t>
      </w:r>
      <w:r w:rsidRPr="00F4361E">
        <w:rPr>
          <w:i/>
          <w:szCs w:val="24"/>
          <w:lang w:val="fr-CA"/>
        </w:rPr>
        <w:t xml:space="preserve"> (Tuberculose pulmonaire)</w:t>
      </w:r>
      <w:r w:rsidRPr="00F4361E">
        <w:rPr>
          <w:szCs w:val="24"/>
          <w:lang w:val="fr-CA"/>
        </w:rPr>
        <w:t>, DORS/48</w:t>
      </w:r>
      <w:r w:rsidR="00F06139">
        <w:rPr>
          <w:szCs w:val="24"/>
          <w:lang w:val="fr-CA"/>
        </w:rPr>
        <w:noBreakHyphen/>
      </w:r>
      <w:r w:rsidRPr="00F4361E">
        <w:rPr>
          <w:szCs w:val="24"/>
          <w:lang w:val="fr-CA"/>
        </w:rPr>
        <w:t>573.</w:t>
      </w:r>
    </w:p>
    <w:p w:rsidR="00FE6F61" w:rsidRPr="00F4361E" w:rsidRDefault="00FE6F61" w:rsidP="007B13C0">
      <w:pPr>
        <w:pStyle w:val="SCCNormalDoubleSpacing"/>
        <w:spacing w:after="240" w:line="240" w:lineRule="auto"/>
        <w:ind w:left="540" w:hanging="540"/>
        <w:rPr>
          <w:szCs w:val="24"/>
          <w:lang w:val="en-US"/>
        </w:rPr>
      </w:pPr>
      <w:r w:rsidRPr="00F4361E">
        <w:rPr>
          <w:i/>
          <w:szCs w:val="24"/>
          <w:lang w:val="en-US"/>
        </w:rPr>
        <w:t>Workers Compensation Act</w:t>
      </w:r>
      <w:r w:rsidRPr="00F4361E">
        <w:rPr>
          <w:szCs w:val="24"/>
          <w:lang w:val="en-US"/>
        </w:rPr>
        <w:t xml:space="preserve">, </w:t>
      </w:r>
      <w:r w:rsidRPr="00F4361E">
        <w:rPr>
          <w:rStyle w:val="nowrap"/>
          <w:rFonts w:eastAsiaTheme="majorEastAsia"/>
          <w:szCs w:val="24"/>
          <w:lang w:val="en-US"/>
        </w:rPr>
        <w:t xml:space="preserve">R.S.B.C. 1996, </w:t>
      </w:r>
      <w:r w:rsidR="00F06139">
        <w:rPr>
          <w:rStyle w:val="nowrap"/>
          <w:rFonts w:eastAsiaTheme="majorEastAsia"/>
          <w:szCs w:val="24"/>
          <w:lang w:val="en-US"/>
        </w:rPr>
        <w:t>ch.</w:t>
      </w:r>
      <w:r w:rsidR="007B13C0">
        <w:rPr>
          <w:rStyle w:val="nowrap"/>
          <w:rFonts w:eastAsiaTheme="majorEastAsia"/>
          <w:szCs w:val="24"/>
          <w:lang w:val="en-US"/>
        </w:rPr>
        <w:t xml:space="preserve"> </w:t>
      </w:r>
      <w:r w:rsidRPr="00F4361E">
        <w:rPr>
          <w:rStyle w:val="nowrap"/>
          <w:rFonts w:eastAsiaTheme="majorEastAsia"/>
          <w:szCs w:val="24"/>
          <w:lang w:val="en-US"/>
        </w:rPr>
        <w:t xml:space="preserve">492, </w:t>
      </w:r>
      <w:r w:rsidR="00F06139">
        <w:rPr>
          <w:rStyle w:val="nowrap"/>
          <w:rFonts w:eastAsiaTheme="majorEastAsia"/>
          <w:szCs w:val="24"/>
          <w:lang w:val="en-US"/>
        </w:rPr>
        <w:t>art.</w:t>
      </w:r>
      <w:r w:rsidR="007B13C0">
        <w:rPr>
          <w:rStyle w:val="nowrap"/>
          <w:rFonts w:eastAsiaTheme="majorEastAsia"/>
          <w:szCs w:val="24"/>
          <w:lang w:val="en-US"/>
        </w:rPr>
        <w:t xml:space="preserve"> </w:t>
      </w:r>
      <w:r w:rsidRPr="00F4361E">
        <w:rPr>
          <w:szCs w:val="24"/>
          <w:lang w:val="en-US"/>
        </w:rPr>
        <w:t>99(2).</w:t>
      </w:r>
    </w:p>
    <w:p w:rsidR="00FE6F61" w:rsidRDefault="00FE6F61" w:rsidP="007B13C0">
      <w:pPr>
        <w:pStyle w:val="SCCNormalDoubleSpacing"/>
        <w:spacing w:after="240" w:line="240" w:lineRule="auto"/>
        <w:ind w:left="540" w:hanging="540"/>
        <w:rPr>
          <w:szCs w:val="24"/>
          <w:lang w:val="en-US"/>
        </w:rPr>
      </w:pPr>
      <w:r w:rsidRPr="00F4361E">
        <w:rPr>
          <w:i/>
          <w:szCs w:val="24"/>
          <w:lang w:val="en-US"/>
        </w:rPr>
        <w:t>Workers Compensation Act</w:t>
      </w:r>
      <w:r w:rsidRPr="00F4361E">
        <w:rPr>
          <w:szCs w:val="24"/>
          <w:lang w:val="en-US"/>
        </w:rPr>
        <w:t xml:space="preserve">, R.S.P.E.I. 1988, </w:t>
      </w:r>
      <w:r w:rsidR="00F06139">
        <w:rPr>
          <w:szCs w:val="24"/>
          <w:lang w:val="en-US"/>
        </w:rPr>
        <w:t>ch.</w:t>
      </w:r>
      <w:r w:rsidR="007B13C0">
        <w:rPr>
          <w:szCs w:val="24"/>
          <w:lang w:val="en-US"/>
        </w:rPr>
        <w:t xml:space="preserve"> </w:t>
      </w:r>
      <w:r w:rsidRPr="00F4361E">
        <w:rPr>
          <w:szCs w:val="24"/>
          <w:lang w:val="en-US"/>
        </w:rPr>
        <w:t>W</w:t>
      </w:r>
      <w:r w:rsidR="00F06139">
        <w:rPr>
          <w:szCs w:val="24"/>
          <w:lang w:val="en-US"/>
        </w:rPr>
        <w:noBreakHyphen/>
      </w:r>
      <w:r w:rsidRPr="00F4361E">
        <w:rPr>
          <w:szCs w:val="24"/>
          <w:lang w:val="en-US"/>
        </w:rPr>
        <w:t>7.1,</w:t>
      </w:r>
      <w:r w:rsidRPr="00F4361E">
        <w:rPr>
          <w:i/>
          <w:szCs w:val="24"/>
          <w:lang w:val="en-US"/>
        </w:rPr>
        <w:t xml:space="preserve"> </w:t>
      </w:r>
      <w:r w:rsidR="00F06139">
        <w:rPr>
          <w:szCs w:val="24"/>
          <w:lang w:val="en-US"/>
        </w:rPr>
        <w:t>art.</w:t>
      </w:r>
      <w:r w:rsidR="007B13C0">
        <w:rPr>
          <w:szCs w:val="24"/>
          <w:lang w:val="en-US"/>
        </w:rPr>
        <w:t xml:space="preserve"> </w:t>
      </w:r>
      <w:r w:rsidRPr="00F4361E">
        <w:rPr>
          <w:szCs w:val="24"/>
          <w:lang w:val="en-US"/>
        </w:rPr>
        <w:t>30(1).</w:t>
      </w:r>
    </w:p>
    <w:p w:rsidR="00FE6F61" w:rsidRPr="00F4361E" w:rsidRDefault="00FE6F61" w:rsidP="007B13C0">
      <w:pPr>
        <w:pStyle w:val="SCCNormalDoubleSpacing"/>
        <w:spacing w:after="240" w:line="240" w:lineRule="auto"/>
        <w:ind w:left="540" w:hanging="540"/>
        <w:rPr>
          <w:szCs w:val="24"/>
          <w:lang w:val="en-US"/>
        </w:rPr>
      </w:pPr>
      <w:r w:rsidRPr="00F4361E">
        <w:rPr>
          <w:i/>
          <w:szCs w:val="24"/>
        </w:rPr>
        <w:t>Workers’ Compensation Act</w:t>
      </w:r>
      <w:r w:rsidRPr="00F4361E">
        <w:rPr>
          <w:szCs w:val="24"/>
        </w:rPr>
        <w:t xml:space="preserve">, R.S.A. 2000, </w:t>
      </w:r>
      <w:r w:rsidR="00F06139">
        <w:rPr>
          <w:szCs w:val="24"/>
        </w:rPr>
        <w:t>ch.</w:t>
      </w:r>
      <w:r w:rsidR="007B13C0">
        <w:rPr>
          <w:szCs w:val="24"/>
        </w:rPr>
        <w:t xml:space="preserve"> </w:t>
      </w:r>
      <w:r w:rsidRPr="00F4361E">
        <w:rPr>
          <w:szCs w:val="24"/>
          <w:lang w:val="en-US"/>
        </w:rPr>
        <w:t>W</w:t>
      </w:r>
      <w:r w:rsidR="00F06139">
        <w:rPr>
          <w:szCs w:val="24"/>
          <w:lang w:val="en-US"/>
        </w:rPr>
        <w:noBreakHyphen/>
      </w:r>
      <w:r w:rsidRPr="00F4361E">
        <w:rPr>
          <w:szCs w:val="24"/>
          <w:lang w:val="en-US"/>
        </w:rPr>
        <w:t xml:space="preserve">15, </w:t>
      </w:r>
      <w:r w:rsidR="00F06139">
        <w:rPr>
          <w:szCs w:val="24"/>
          <w:lang w:val="en-US"/>
        </w:rPr>
        <w:t>art.</w:t>
      </w:r>
      <w:r w:rsidR="007B13C0">
        <w:rPr>
          <w:szCs w:val="24"/>
          <w:lang w:val="en-US"/>
        </w:rPr>
        <w:t xml:space="preserve"> </w:t>
      </w:r>
      <w:r w:rsidRPr="00F4361E">
        <w:rPr>
          <w:szCs w:val="24"/>
          <w:lang w:val="en-US"/>
        </w:rPr>
        <w:t>1(1) «</w:t>
      </w:r>
      <w:r w:rsidR="007B13C0">
        <w:rPr>
          <w:szCs w:val="24"/>
          <w:lang w:val="en-US"/>
        </w:rPr>
        <w:t xml:space="preserve"> </w:t>
      </w:r>
      <w:r w:rsidRPr="00217231">
        <w:rPr>
          <w:szCs w:val="24"/>
          <w:lang w:val="en-US"/>
        </w:rPr>
        <w:t>accident</w:t>
      </w:r>
      <w:r w:rsidR="007B13C0">
        <w:rPr>
          <w:szCs w:val="24"/>
          <w:lang w:val="en-US"/>
        </w:rPr>
        <w:t xml:space="preserve"> </w:t>
      </w:r>
      <w:r w:rsidRPr="00F4361E">
        <w:rPr>
          <w:szCs w:val="24"/>
          <w:lang w:val="en-US"/>
        </w:rPr>
        <w:t>», 8(3)</w:t>
      </w:r>
      <w:r w:rsidR="00A540F5" w:rsidRPr="00F4361E">
        <w:rPr>
          <w:szCs w:val="24"/>
          <w:lang w:val="en-US"/>
        </w:rPr>
        <w:t>(c), (d)</w:t>
      </w:r>
      <w:r w:rsidRPr="00F4361E">
        <w:rPr>
          <w:szCs w:val="24"/>
          <w:lang w:val="en-US"/>
        </w:rPr>
        <w:t>, 13.2(6).</w:t>
      </w:r>
    </w:p>
    <w:p w:rsidR="00DC0558" w:rsidRDefault="00FE6F61" w:rsidP="00DC0558">
      <w:pPr>
        <w:pStyle w:val="SCCNormalDoubleSpacing"/>
        <w:spacing w:after="240" w:line="240" w:lineRule="auto"/>
        <w:ind w:left="540" w:hanging="540"/>
        <w:rPr>
          <w:szCs w:val="24"/>
          <w:lang w:val="en-US"/>
        </w:rPr>
      </w:pPr>
      <w:r w:rsidRPr="00F4361E">
        <w:rPr>
          <w:i/>
          <w:szCs w:val="24"/>
          <w:lang w:val="en-US"/>
        </w:rPr>
        <w:t>Workers’ Compensation Act</w:t>
      </w:r>
      <w:r w:rsidRPr="00F4361E">
        <w:rPr>
          <w:szCs w:val="24"/>
          <w:lang w:val="en-US"/>
        </w:rPr>
        <w:t xml:space="preserve">, </w:t>
      </w:r>
      <w:r w:rsidR="000C3CA0" w:rsidRPr="00F4361E">
        <w:rPr>
          <w:szCs w:val="24"/>
          <w:lang w:val="en-US"/>
        </w:rPr>
        <w:t>S.N.S. 1994</w:t>
      </w:r>
      <w:r w:rsidR="00F06139">
        <w:rPr>
          <w:szCs w:val="24"/>
          <w:lang w:val="en-US"/>
        </w:rPr>
        <w:noBreakHyphen/>
      </w:r>
      <w:r w:rsidR="000C3CA0" w:rsidRPr="00F4361E">
        <w:rPr>
          <w:szCs w:val="24"/>
          <w:lang w:val="en-US"/>
        </w:rPr>
        <w:t xml:space="preserve">95, </w:t>
      </w:r>
      <w:r w:rsidR="00F06139">
        <w:rPr>
          <w:szCs w:val="24"/>
          <w:lang w:val="en-US"/>
        </w:rPr>
        <w:t>ch.</w:t>
      </w:r>
      <w:r w:rsidR="007B13C0">
        <w:rPr>
          <w:szCs w:val="24"/>
          <w:lang w:val="en-US"/>
        </w:rPr>
        <w:t xml:space="preserve"> </w:t>
      </w:r>
      <w:r w:rsidR="000C3CA0" w:rsidRPr="00F4361E">
        <w:rPr>
          <w:szCs w:val="24"/>
          <w:lang w:val="en-US"/>
        </w:rPr>
        <w:t xml:space="preserve">10, </w:t>
      </w:r>
      <w:r w:rsidR="00F06139">
        <w:rPr>
          <w:szCs w:val="24"/>
          <w:lang w:val="en-US"/>
        </w:rPr>
        <w:t>art.</w:t>
      </w:r>
      <w:r w:rsidR="007B13C0">
        <w:rPr>
          <w:szCs w:val="24"/>
          <w:lang w:val="en-US"/>
        </w:rPr>
        <w:t xml:space="preserve"> </w:t>
      </w:r>
      <w:r w:rsidRPr="00F4361E">
        <w:rPr>
          <w:szCs w:val="24"/>
          <w:lang w:val="en-US"/>
        </w:rPr>
        <w:t>183.</w:t>
      </w:r>
    </w:p>
    <w:p w:rsidR="00DC0558" w:rsidRPr="00F4361E" w:rsidRDefault="00DC0558" w:rsidP="00DC0558">
      <w:pPr>
        <w:pStyle w:val="SCCNormalDoubleSpacing"/>
        <w:spacing w:after="240" w:line="240" w:lineRule="auto"/>
        <w:ind w:left="540" w:hanging="540"/>
        <w:rPr>
          <w:szCs w:val="24"/>
          <w:lang w:val="en-US"/>
        </w:rPr>
      </w:pPr>
      <w:r w:rsidRPr="00F4361E">
        <w:rPr>
          <w:i/>
          <w:szCs w:val="24"/>
          <w:lang w:val="en-US"/>
        </w:rPr>
        <w:lastRenderedPageBreak/>
        <w:t>Workers’ Compensation Act, 2013</w:t>
      </w:r>
      <w:r w:rsidRPr="00F4361E">
        <w:rPr>
          <w:szCs w:val="24"/>
          <w:lang w:val="en-US"/>
        </w:rPr>
        <w:t xml:space="preserve">, S.S. 2013, </w:t>
      </w:r>
      <w:r>
        <w:rPr>
          <w:szCs w:val="24"/>
          <w:lang w:val="en-US"/>
        </w:rPr>
        <w:t xml:space="preserve">ch. </w:t>
      </w:r>
      <w:r w:rsidRPr="00F4361E">
        <w:rPr>
          <w:szCs w:val="24"/>
          <w:lang w:val="en-US"/>
        </w:rPr>
        <w:t>W</w:t>
      </w:r>
      <w:r>
        <w:rPr>
          <w:szCs w:val="24"/>
          <w:lang w:val="en-US"/>
        </w:rPr>
        <w:noBreakHyphen/>
      </w:r>
      <w:r w:rsidRPr="00F4361E">
        <w:rPr>
          <w:szCs w:val="24"/>
          <w:lang w:val="en-US"/>
        </w:rPr>
        <w:t xml:space="preserve">17.11, </w:t>
      </w:r>
      <w:r>
        <w:rPr>
          <w:szCs w:val="24"/>
          <w:lang w:val="en-US"/>
        </w:rPr>
        <w:t xml:space="preserve">art. </w:t>
      </w:r>
      <w:r w:rsidRPr="00F4361E">
        <w:rPr>
          <w:szCs w:val="24"/>
          <w:lang w:val="en-US"/>
        </w:rPr>
        <w:t>23(2).</w:t>
      </w:r>
    </w:p>
    <w:p w:rsidR="00FE6F61" w:rsidRPr="00F4361E" w:rsidRDefault="00FE6F61" w:rsidP="00DC0558">
      <w:pPr>
        <w:pStyle w:val="SCCNormalDoubleSpacing"/>
        <w:spacing w:after="720" w:line="240" w:lineRule="auto"/>
        <w:ind w:left="547" w:hanging="547"/>
        <w:rPr>
          <w:szCs w:val="24"/>
          <w:lang w:val="en-US"/>
        </w:rPr>
      </w:pPr>
      <w:r w:rsidRPr="00F4361E">
        <w:rPr>
          <w:i/>
          <w:szCs w:val="24"/>
          <w:lang w:val="en-US"/>
        </w:rPr>
        <w:t>Workplace Health, Safety and Compensation Act</w:t>
      </w:r>
      <w:r w:rsidRPr="00F4361E">
        <w:rPr>
          <w:szCs w:val="24"/>
          <w:lang w:val="en-US"/>
        </w:rPr>
        <w:t xml:space="preserve">, </w:t>
      </w:r>
      <w:r w:rsidRPr="00F4361E">
        <w:rPr>
          <w:rStyle w:val="nowrap"/>
          <w:rFonts w:eastAsiaTheme="majorEastAsia"/>
          <w:szCs w:val="24"/>
          <w:lang w:val="en-US"/>
        </w:rPr>
        <w:t xml:space="preserve">R.S.N.L. 1990, </w:t>
      </w:r>
      <w:r w:rsidR="00F06139">
        <w:rPr>
          <w:rStyle w:val="nowrap"/>
          <w:rFonts w:eastAsiaTheme="majorEastAsia"/>
          <w:szCs w:val="24"/>
          <w:lang w:val="en-US"/>
        </w:rPr>
        <w:t>ch.</w:t>
      </w:r>
      <w:r w:rsidR="007B13C0">
        <w:rPr>
          <w:rStyle w:val="nowrap"/>
          <w:rFonts w:eastAsiaTheme="majorEastAsia"/>
          <w:szCs w:val="24"/>
          <w:lang w:val="en-US"/>
        </w:rPr>
        <w:t xml:space="preserve"> </w:t>
      </w:r>
      <w:r w:rsidRPr="00F4361E">
        <w:rPr>
          <w:rStyle w:val="nowrap"/>
          <w:rFonts w:eastAsiaTheme="majorEastAsia"/>
          <w:szCs w:val="24"/>
          <w:lang w:val="en-US"/>
        </w:rPr>
        <w:t>W</w:t>
      </w:r>
      <w:r w:rsidR="00F06139">
        <w:rPr>
          <w:rStyle w:val="nowrap"/>
          <w:rFonts w:eastAsiaTheme="majorEastAsia"/>
          <w:szCs w:val="24"/>
          <w:lang w:val="en-US"/>
        </w:rPr>
        <w:noBreakHyphen/>
      </w:r>
      <w:r w:rsidRPr="00F4361E">
        <w:rPr>
          <w:rStyle w:val="nowrap"/>
          <w:rFonts w:eastAsiaTheme="majorEastAsia"/>
          <w:szCs w:val="24"/>
          <w:lang w:val="en-US"/>
        </w:rPr>
        <w:t>11</w:t>
      </w:r>
      <w:r w:rsidR="000C3CA0" w:rsidRPr="00F4361E">
        <w:rPr>
          <w:szCs w:val="24"/>
          <w:lang w:val="en-US"/>
        </w:rPr>
        <w:t xml:space="preserve">, </w:t>
      </w:r>
      <w:r w:rsidR="00F06139">
        <w:rPr>
          <w:szCs w:val="24"/>
          <w:lang w:val="en-US"/>
        </w:rPr>
        <w:t>art.</w:t>
      </w:r>
      <w:r w:rsidR="007B13C0">
        <w:rPr>
          <w:szCs w:val="24"/>
          <w:lang w:val="en-US"/>
        </w:rPr>
        <w:t xml:space="preserve"> </w:t>
      </w:r>
      <w:r w:rsidRPr="00F4361E">
        <w:rPr>
          <w:szCs w:val="24"/>
          <w:lang w:val="en-US"/>
        </w:rPr>
        <w:t>5(1)(a).</w:t>
      </w:r>
    </w:p>
    <w:p w:rsidR="004D7D95" w:rsidRPr="00F4361E" w:rsidRDefault="004D7D95" w:rsidP="007B13C0">
      <w:pPr>
        <w:pStyle w:val="SCCNormalDoubleSpacing"/>
        <w:spacing w:after="720" w:line="240" w:lineRule="auto"/>
        <w:rPr>
          <w:b/>
          <w:lang w:val="en-US"/>
        </w:rPr>
      </w:pPr>
      <w:r w:rsidRPr="00F4361E">
        <w:rPr>
          <w:b/>
          <w:lang w:val="en-US"/>
        </w:rPr>
        <w:t>Doctrine et autres documents cités</w:t>
      </w:r>
    </w:p>
    <w:p w:rsidR="00FF5CA4" w:rsidRPr="00F4361E" w:rsidRDefault="00FF5CA4" w:rsidP="007B13C0">
      <w:pPr>
        <w:pStyle w:val="SCCNormalDoubleSpacing"/>
        <w:spacing w:after="240" w:line="240" w:lineRule="auto"/>
        <w:ind w:left="547" w:hanging="547"/>
      </w:pPr>
      <w:r w:rsidRPr="00F4361E">
        <w:rPr>
          <w:lang w:val="en-US"/>
        </w:rPr>
        <w:t xml:space="preserve">Alberta.  </w:t>
      </w:r>
      <w:r w:rsidRPr="00F4361E">
        <w:t xml:space="preserve">Workers’ Compensation Board.  </w:t>
      </w:r>
      <w:r w:rsidRPr="00F4361E">
        <w:rPr>
          <w:i/>
        </w:rPr>
        <w:t>Policies and Information Manual</w:t>
      </w:r>
      <w:r w:rsidRPr="00F4361E">
        <w:t>, Claimant &amp; Health Care Services Policies (online</w:t>
      </w:r>
      <w:r w:rsidR="00DC0558">
        <w:t xml:space="preserve"> </w:t>
      </w:r>
      <w:r w:rsidRPr="00F4361E">
        <w:t>:  http://www.wcb.ab.ca/public/policy/manual/claimant.asp).</w:t>
      </w:r>
    </w:p>
    <w:p w:rsidR="00065530" w:rsidRPr="00F4361E" w:rsidRDefault="00065530" w:rsidP="007B13C0">
      <w:pPr>
        <w:pStyle w:val="SCCNormalDoubleSpacing"/>
        <w:spacing w:after="240" w:line="240" w:lineRule="auto"/>
        <w:ind w:left="547" w:hanging="547"/>
        <w:rPr>
          <w:lang w:val="fr-CA"/>
        </w:rPr>
      </w:pPr>
      <w:r w:rsidRPr="00F4361E">
        <w:rPr>
          <w:lang w:val="fr-CA"/>
        </w:rPr>
        <w:t xml:space="preserve">Canada.  Chambre des communes.  </w:t>
      </w:r>
      <w:r w:rsidRPr="00F4361E">
        <w:rPr>
          <w:i/>
          <w:lang w:val="fr-CA"/>
        </w:rPr>
        <w:t>Débats de la Chambre des communes</w:t>
      </w:r>
      <w:r w:rsidRPr="00F4361E">
        <w:rPr>
          <w:lang w:val="fr-CA"/>
        </w:rPr>
        <w:t xml:space="preserve">, </w:t>
      </w:r>
      <w:r w:rsidR="00F06139">
        <w:rPr>
          <w:lang w:val="fr-CA"/>
        </w:rPr>
        <w:t>vol.</w:t>
      </w:r>
      <w:r w:rsidR="007B13C0">
        <w:rPr>
          <w:lang w:val="fr-CA"/>
        </w:rPr>
        <w:t xml:space="preserve"> </w:t>
      </w:r>
      <w:r w:rsidRPr="00F4361E">
        <w:rPr>
          <w:lang w:val="fr-CA"/>
        </w:rPr>
        <w:t>II, 2</w:t>
      </w:r>
      <w:r w:rsidRPr="00F4361E">
        <w:rPr>
          <w:vertAlign w:val="superscript"/>
          <w:lang w:val="fr-CA"/>
        </w:rPr>
        <w:t>e</w:t>
      </w:r>
      <w:r w:rsidR="007B13C0">
        <w:rPr>
          <w:lang w:val="fr-CA"/>
        </w:rPr>
        <w:t xml:space="preserve"> </w:t>
      </w:r>
      <w:r w:rsidRPr="00F4361E">
        <w:rPr>
          <w:lang w:val="fr-CA"/>
        </w:rPr>
        <w:t>sess., 22</w:t>
      </w:r>
      <w:r w:rsidRPr="00F4361E">
        <w:rPr>
          <w:vertAlign w:val="superscript"/>
          <w:lang w:val="fr-CA"/>
        </w:rPr>
        <w:t>e</w:t>
      </w:r>
      <w:r w:rsidRPr="00F4361E">
        <w:rPr>
          <w:lang w:val="fr-CA"/>
        </w:rPr>
        <w:t xml:space="preserve"> lég., </w:t>
      </w:r>
      <w:r w:rsidR="00E517CB" w:rsidRPr="00F4361E">
        <w:rPr>
          <w:lang w:val="fr-CA"/>
        </w:rPr>
        <w:t>28</w:t>
      </w:r>
      <w:r w:rsidR="007B13C0">
        <w:rPr>
          <w:lang w:val="fr-CA"/>
        </w:rPr>
        <w:t xml:space="preserve"> </w:t>
      </w:r>
      <w:r w:rsidRPr="00F4361E">
        <w:rPr>
          <w:lang w:val="fr-CA"/>
        </w:rPr>
        <w:t xml:space="preserve">février 1955, </w:t>
      </w:r>
      <w:r w:rsidR="00F06139">
        <w:rPr>
          <w:lang w:val="fr-CA"/>
        </w:rPr>
        <w:t>p.</w:t>
      </w:r>
      <w:r w:rsidR="007B13C0">
        <w:rPr>
          <w:lang w:val="fr-CA"/>
        </w:rPr>
        <w:t xml:space="preserve"> </w:t>
      </w:r>
      <w:r w:rsidRPr="00F4361E">
        <w:rPr>
          <w:lang w:val="fr-CA"/>
        </w:rPr>
        <w:t>1</w:t>
      </w:r>
      <w:r w:rsidR="00AD56C9" w:rsidRPr="00F4361E">
        <w:rPr>
          <w:lang w:val="fr-CA"/>
        </w:rPr>
        <w:t>648</w:t>
      </w:r>
      <w:r w:rsidRPr="00F4361E">
        <w:rPr>
          <w:lang w:val="fr-CA"/>
        </w:rPr>
        <w:t>.</w:t>
      </w:r>
    </w:p>
    <w:p w:rsidR="00AF7D34" w:rsidRPr="00F4361E" w:rsidRDefault="00AF7D34" w:rsidP="007B13C0">
      <w:pPr>
        <w:pStyle w:val="SCCNormalDoubleSpacing"/>
        <w:spacing w:after="240" w:line="240" w:lineRule="auto"/>
        <w:ind w:left="547" w:hanging="547"/>
        <w:rPr>
          <w:lang w:val="fr-CA"/>
        </w:rPr>
      </w:pPr>
      <w:r w:rsidRPr="00F4361E">
        <w:rPr>
          <w:lang w:val="fr-CA"/>
        </w:rPr>
        <w:t xml:space="preserve">Canada.  Chambre des communes.  </w:t>
      </w:r>
      <w:r w:rsidRPr="00F4361E">
        <w:rPr>
          <w:i/>
          <w:lang w:val="fr-CA"/>
        </w:rPr>
        <w:t>Débats de la Chambre des communes</w:t>
      </w:r>
      <w:r w:rsidRPr="00F4361E">
        <w:rPr>
          <w:lang w:val="fr-CA"/>
        </w:rPr>
        <w:t xml:space="preserve">, </w:t>
      </w:r>
      <w:r w:rsidR="00F06139">
        <w:rPr>
          <w:lang w:val="fr-CA"/>
        </w:rPr>
        <w:t>vol.</w:t>
      </w:r>
      <w:r w:rsidR="007B13C0">
        <w:rPr>
          <w:lang w:val="fr-CA"/>
        </w:rPr>
        <w:t xml:space="preserve"> </w:t>
      </w:r>
      <w:r w:rsidRPr="00F4361E">
        <w:rPr>
          <w:lang w:val="fr-CA"/>
        </w:rPr>
        <w:t>II, 3</w:t>
      </w:r>
      <w:r w:rsidRPr="00F4361E">
        <w:rPr>
          <w:vertAlign w:val="superscript"/>
          <w:lang w:val="fr-CA"/>
        </w:rPr>
        <w:t>e</w:t>
      </w:r>
      <w:r w:rsidR="007B13C0">
        <w:rPr>
          <w:lang w:val="fr-CA"/>
        </w:rPr>
        <w:t xml:space="preserve"> </w:t>
      </w:r>
      <w:r w:rsidRPr="00F4361E">
        <w:rPr>
          <w:lang w:val="fr-CA"/>
        </w:rPr>
        <w:t>sess., 20</w:t>
      </w:r>
      <w:r w:rsidRPr="00F4361E">
        <w:rPr>
          <w:vertAlign w:val="superscript"/>
          <w:lang w:val="fr-CA"/>
        </w:rPr>
        <w:t>e</w:t>
      </w:r>
      <w:r w:rsidRPr="00F4361E">
        <w:rPr>
          <w:lang w:val="fr-CA"/>
        </w:rPr>
        <w:t xml:space="preserve"> lég., </w:t>
      </w:r>
      <w:r w:rsidR="00E517CB" w:rsidRPr="00F4361E">
        <w:rPr>
          <w:lang w:val="fr-CA"/>
        </w:rPr>
        <w:t>27</w:t>
      </w:r>
      <w:r w:rsidR="007B13C0">
        <w:rPr>
          <w:lang w:val="fr-CA"/>
        </w:rPr>
        <w:t xml:space="preserve"> </w:t>
      </w:r>
      <w:r w:rsidRPr="00F4361E">
        <w:rPr>
          <w:lang w:val="fr-CA"/>
        </w:rPr>
        <w:t xml:space="preserve">mars 1947, </w:t>
      </w:r>
      <w:r w:rsidR="00F06139">
        <w:rPr>
          <w:lang w:val="fr-CA"/>
        </w:rPr>
        <w:t>p.</w:t>
      </w:r>
      <w:r w:rsidR="007B13C0">
        <w:rPr>
          <w:lang w:val="fr-CA"/>
        </w:rPr>
        <w:t xml:space="preserve"> </w:t>
      </w:r>
      <w:r w:rsidRPr="00F4361E">
        <w:rPr>
          <w:lang w:val="fr-CA"/>
        </w:rPr>
        <w:t>18</w:t>
      </w:r>
      <w:r w:rsidR="00AD56C9" w:rsidRPr="00F4361E">
        <w:rPr>
          <w:lang w:val="fr-CA"/>
        </w:rPr>
        <w:t>18</w:t>
      </w:r>
      <w:r w:rsidRPr="00F4361E">
        <w:rPr>
          <w:lang w:val="fr-CA"/>
        </w:rPr>
        <w:t>.</w:t>
      </w:r>
    </w:p>
    <w:p w:rsidR="00FB487E" w:rsidRPr="00F4361E" w:rsidRDefault="00FB487E" w:rsidP="007B13C0">
      <w:pPr>
        <w:pStyle w:val="SCCNormalDoubleSpacing"/>
        <w:spacing w:after="240" w:line="240" w:lineRule="auto"/>
        <w:ind w:left="547" w:hanging="547"/>
        <w:rPr>
          <w:lang w:val="fr-CA"/>
        </w:rPr>
      </w:pPr>
      <w:r w:rsidRPr="00F4361E">
        <w:rPr>
          <w:lang w:val="fr-CA"/>
        </w:rPr>
        <w:t xml:space="preserve">Canada.  Chambre des communes.  </w:t>
      </w:r>
      <w:r w:rsidRPr="00F4361E">
        <w:rPr>
          <w:i/>
          <w:lang w:val="fr-CA"/>
        </w:rPr>
        <w:t>Débats de la Chambre des communes</w:t>
      </w:r>
      <w:r w:rsidRPr="00F4361E">
        <w:rPr>
          <w:lang w:val="fr-CA"/>
        </w:rPr>
        <w:t xml:space="preserve">, </w:t>
      </w:r>
      <w:r w:rsidR="00F06139">
        <w:rPr>
          <w:lang w:val="fr-CA"/>
        </w:rPr>
        <w:t>vol.</w:t>
      </w:r>
      <w:r w:rsidR="007B13C0">
        <w:rPr>
          <w:lang w:val="fr-CA"/>
        </w:rPr>
        <w:t xml:space="preserve"> </w:t>
      </w:r>
      <w:r w:rsidRPr="00F4361E">
        <w:rPr>
          <w:lang w:val="fr-CA"/>
        </w:rPr>
        <w:t>II, 3</w:t>
      </w:r>
      <w:r w:rsidRPr="00F4361E">
        <w:rPr>
          <w:vertAlign w:val="superscript"/>
          <w:lang w:val="fr-CA"/>
        </w:rPr>
        <w:t>e</w:t>
      </w:r>
      <w:r w:rsidR="007B13C0">
        <w:rPr>
          <w:lang w:val="fr-CA"/>
        </w:rPr>
        <w:t xml:space="preserve"> </w:t>
      </w:r>
      <w:r w:rsidRPr="00F4361E">
        <w:rPr>
          <w:lang w:val="fr-CA"/>
        </w:rPr>
        <w:t>sess., 20</w:t>
      </w:r>
      <w:r w:rsidRPr="00F4361E">
        <w:rPr>
          <w:vertAlign w:val="superscript"/>
          <w:lang w:val="fr-CA"/>
        </w:rPr>
        <w:t>e</w:t>
      </w:r>
      <w:r w:rsidRPr="00F4361E">
        <w:rPr>
          <w:lang w:val="fr-CA"/>
        </w:rPr>
        <w:t xml:space="preserve"> lég., 31</w:t>
      </w:r>
      <w:r w:rsidR="007B13C0">
        <w:rPr>
          <w:lang w:val="fr-CA"/>
        </w:rPr>
        <w:t xml:space="preserve"> </w:t>
      </w:r>
      <w:r w:rsidRPr="00F4361E">
        <w:rPr>
          <w:lang w:val="fr-CA"/>
        </w:rPr>
        <w:t xml:space="preserve">mars 1947, </w:t>
      </w:r>
      <w:r w:rsidR="00F06139">
        <w:rPr>
          <w:lang w:val="fr-CA"/>
        </w:rPr>
        <w:t>p.</w:t>
      </w:r>
      <w:r w:rsidR="007B13C0">
        <w:rPr>
          <w:lang w:val="fr-CA"/>
        </w:rPr>
        <w:t xml:space="preserve"> </w:t>
      </w:r>
      <w:r w:rsidRPr="00F4361E">
        <w:rPr>
          <w:lang w:val="fr-CA"/>
        </w:rPr>
        <w:t>18</w:t>
      </w:r>
      <w:r w:rsidR="00117B34" w:rsidRPr="00F4361E">
        <w:rPr>
          <w:lang w:val="fr-CA"/>
        </w:rPr>
        <w:t>86</w:t>
      </w:r>
      <w:r w:rsidR="00AB4E0C" w:rsidRPr="00F4361E">
        <w:rPr>
          <w:lang w:val="fr-CA"/>
        </w:rPr>
        <w:t>, 18</w:t>
      </w:r>
      <w:r w:rsidR="00117B34" w:rsidRPr="00F4361E">
        <w:rPr>
          <w:lang w:val="fr-CA"/>
        </w:rPr>
        <w:t>88</w:t>
      </w:r>
      <w:r w:rsidR="00AB4E0C" w:rsidRPr="00F4361E">
        <w:rPr>
          <w:lang w:val="fr-CA"/>
        </w:rPr>
        <w:t>, 189</w:t>
      </w:r>
      <w:r w:rsidR="00117B34" w:rsidRPr="00F4361E">
        <w:rPr>
          <w:lang w:val="fr-CA"/>
        </w:rPr>
        <w:t>1</w:t>
      </w:r>
      <w:r w:rsidRPr="00F4361E">
        <w:rPr>
          <w:lang w:val="fr-CA"/>
        </w:rPr>
        <w:t>.</w:t>
      </w:r>
    </w:p>
    <w:p w:rsidR="00AF7D34" w:rsidRPr="00F4361E" w:rsidRDefault="00AF7D34" w:rsidP="007B13C0">
      <w:pPr>
        <w:pStyle w:val="SCCNormalDoubleSpacing"/>
        <w:spacing w:after="240" w:line="240" w:lineRule="auto"/>
        <w:ind w:left="547" w:hanging="547"/>
        <w:rPr>
          <w:lang w:val="fr-CA"/>
        </w:rPr>
      </w:pPr>
      <w:r w:rsidRPr="00F4361E">
        <w:rPr>
          <w:lang w:val="fr-CA"/>
        </w:rPr>
        <w:t xml:space="preserve">Canada.  Chambre des communes.  </w:t>
      </w:r>
      <w:r w:rsidRPr="00F4361E">
        <w:rPr>
          <w:i/>
          <w:lang w:val="fr-CA"/>
        </w:rPr>
        <w:t>Débats de la Chambre des communes</w:t>
      </w:r>
      <w:r w:rsidRPr="00F4361E">
        <w:rPr>
          <w:lang w:val="fr-CA"/>
        </w:rPr>
        <w:t xml:space="preserve">, </w:t>
      </w:r>
      <w:r w:rsidR="00F06139">
        <w:rPr>
          <w:lang w:val="fr-CA"/>
        </w:rPr>
        <w:t>vol.</w:t>
      </w:r>
      <w:r w:rsidR="007B13C0">
        <w:rPr>
          <w:lang w:val="fr-CA"/>
        </w:rPr>
        <w:t xml:space="preserve"> </w:t>
      </w:r>
      <w:r w:rsidRPr="00F4361E">
        <w:rPr>
          <w:lang w:val="fr-CA"/>
        </w:rPr>
        <w:t>II, 6</w:t>
      </w:r>
      <w:r w:rsidRPr="00F4361E">
        <w:rPr>
          <w:vertAlign w:val="superscript"/>
          <w:lang w:val="fr-CA"/>
        </w:rPr>
        <w:t>e</w:t>
      </w:r>
      <w:r w:rsidR="007B13C0">
        <w:rPr>
          <w:lang w:val="fr-CA"/>
        </w:rPr>
        <w:t xml:space="preserve"> </w:t>
      </w:r>
      <w:r w:rsidRPr="00F4361E">
        <w:rPr>
          <w:lang w:val="fr-CA"/>
        </w:rPr>
        <w:t>sess., 21</w:t>
      </w:r>
      <w:r w:rsidRPr="00F4361E">
        <w:rPr>
          <w:vertAlign w:val="superscript"/>
          <w:lang w:val="fr-CA"/>
        </w:rPr>
        <w:t>e</w:t>
      </w:r>
      <w:r w:rsidRPr="00F4361E">
        <w:rPr>
          <w:lang w:val="fr-CA"/>
        </w:rPr>
        <w:t xml:space="preserve"> lég., </w:t>
      </w:r>
      <w:r w:rsidR="00E517CB" w:rsidRPr="00F4361E">
        <w:rPr>
          <w:lang w:val="fr-CA"/>
        </w:rPr>
        <w:t>7</w:t>
      </w:r>
      <w:r w:rsidR="007B13C0">
        <w:rPr>
          <w:lang w:val="fr-CA"/>
        </w:rPr>
        <w:t xml:space="preserve"> </w:t>
      </w:r>
      <w:r w:rsidRPr="00F4361E">
        <w:rPr>
          <w:lang w:val="fr-CA"/>
        </w:rPr>
        <w:t xml:space="preserve">mai 1952, </w:t>
      </w:r>
      <w:r w:rsidR="00F06139">
        <w:rPr>
          <w:lang w:val="fr-CA"/>
        </w:rPr>
        <w:t>p.</w:t>
      </w:r>
      <w:r w:rsidR="007B13C0">
        <w:rPr>
          <w:lang w:val="fr-CA"/>
        </w:rPr>
        <w:t xml:space="preserve"> </w:t>
      </w:r>
      <w:r w:rsidR="00C42C86" w:rsidRPr="00F4361E">
        <w:rPr>
          <w:lang w:val="fr-CA"/>
        </w:rPr>
        <w:t>2103</w:t>
      </w:r>
      <w:r w:rsidRPr="00F4361E">
        <w:rPr>
          <w:lang w:val="fr-CA"/>
        </w:rPr>
        <w:t>.</w:t>
      </w:r>
    </w:p>
    <w:p w:rsidR="002716E3" w:rsidRPr="00F4361E" w:rsidRDefault="002716E3" w:rsidP="007B13C0">
      <w:pPr>
        <w:pStyle w:val="SCCNormalDoubleSpacing"/>
        <w:spacing w:after="240" w:line="240" w:lineRule="auto"/>
        <w:ind w:left="547" w:hanging="547"/>
        <w:rPr>
          <w:lang w:val="fr-CA"/>
        </w:rPr>
      </w:pPr>
      <w:r w:rsidRPr="00F4361E">
        <w:rPr>
          <w:lang w:val="fr-CA"/>
        </w:rPr>
        <w:t xml:space="preserve">Canada.  Chambre des communes.  </w:t>
      </w:r>
      <w:r w:rsidRPr="00F4361E">
        <w:rPr>
          <w:i/>
          <w:lang w:val="fr-CA"/>
        </w:rPr>
        <w:t>Débats de la Chambre des communes</w:t>
      </w:r>
      <w:r w:rsidRPr="00F4361E">
        <w:rPr>
          <w:lang w:val="fr-CA"/>
        </w:rPr>
        <w:t xml:space="preserve">, </w:t>
      </w:r>
      <w:r w:rsidR="00F06139">
        <w:rPr>
          <w:lang w:val="fr-CA"/>
        </w:rPr>
        <w:t>vol.</w:t>
      </w:r>
      <w:r w:rsidR="007B13C0">
        <w:rPr>
          <w:lang w:val="fr-CA"/>
        </w:rPr>
        <w:t xml:space="preserve"> </w:t>
      </w:r>
      <w:r w:rsidRPr="00F4361E">
        <w:rPr>
          <w:lang w:val="fr-CA"/>
        </w:rPr>
        <w:t>132, 1</w:t>
      </w:r>
      <w:r w:rsidRPr="00F4361E">
        <w:rPr>
          <w:vertAlign w:val="superscript"/>
          <w:lang w:val="fr-CA"/>
        </w:rPr>
        <w:t>re</w:t>
      </w:r>
      <w:r w:rsidRPr="00F4361E">
        <w:rPr>
          <w:lang w:val="fr-CA"/>
        </w:rPr>
        <w:t xml:space="preserve"> sess., 13</w:t>
      </w:r>
      <w:r w:rsidRPr="00F4361E">
        <w:rPr>
          <w:vertAlign w:val="superscript"/>
          <w:lang w:val="fr-CA"/>
        </w:rPr>
        <w:t>e</w:t>
      </w:r>
      <w:r w:rsidRPr="00F4361E">
        <w:rPr>
          <w:lang w:val="fr-CA"/>
        </w:rPr>
        <w:t xml:space="preserve"> lég., 16</w:t>
      </w:r>
      <w:r w:rsidR="007B13C0">
        <w:rPr>
          <w:lang w:val="fr-CA"/>
        </w:rPr>
        <w:t xml:space="preserve"> </w:t>
      </w:r>
      <w:r w:rsidRPr="00F4361E">
        <w:rPr>
          <w:lang w:val="fr-CA"/>
        </w:rPr>
        <w:t>avril 1918</w:t>
      </w:r>
      <w:r w:rsidR="008E141D" w:rsidRPr="00F4361E">
        <w:rPr>
          <w:lang w:val="fr-CA"/>
        </w:rPr>
        <w:t xml:space="preserve">, </w:t>
      </w:r>
      <w:r w:rsidR="00F06139">
        <w:rPr>
          <w:lang w:val="fr-CA"/>
        </w:rPr>
        <w:t>p.</w:t>
      </w:r>
      <w:r w:rsidR="007B13C0">
        <w:rPr>
          <w:lang w:val="fr-CA"/>
        </w:rPr>
        <w:t xml:space="preserve"> </w:t>
      </w:r>
      <w:r w:rsidR="008E141D" w:rsidRPr="00F4361E">
        <w:rPr>
          <w:lang w:val="fr-CA"/>
        </w:rPr>
        <w:t>857</w:t>
      </w:r>
      <w:r w:rsidRPr="00F4361E">
        <w:rPr>
          <w:lang w:val="fr-CA"/>
        </w:rPr>
        <w:t>.</w:t>
      </w:r>
    </w:p>
    <w:p w:rsidR="00975EC4" w:rsidRPr="00F4361E" w:rsidRDefault="00E517CB" w:rsidP="007B13C0">
      <w:pPr>
        <w:pStyle w:val="SCCNormalDoubleSpacing"/>
        <w:spacing w:after="720" w:line="240" w:lineRule="auto"/>
        <w:ind w:left="547" w:hanging="547"/>
        <w:rPr>
          <w:lang w:val="fr-CA"/>
        </w:rPr>
      </w:pPr>
      <w:r w:rsidRPr="00F4361E">
        <w:t>Driedger, Elmer</w:t>
      </w:r>
      <w:r w:rsidR="007B13C0">
        <w:t xml:space="preserve"> </w:t>
      </w:r>
      <w:r w:rsidR="00975EC4" w:rsidRPr="00F4361E">
        <w:t xml:space="preserve">A.  </w:t>
      </w:r>
      <w:r w:rsidR="00975EC4" w:rsidRPr="00F4361E">
        <w:rPr>
          <w:i/>
        </w:rPr>
        <w:t>Construction of Statutes</w:t>
      </w:r>
      <w:r w:rsidR="00975EC4" w:rsidRPr="00F4361E">
        <w:t xml:space="preserve">, 2nd ed.  </w:t>
      </w:r>
      <w:r w:rsidR="00975EC4" w:rsidRPr="00F4361E">
        <w:rPr>
          <w:lang w:val="fr-CA"/>
        </w:rPr>
        <w:t>Toronto</w:t>
      </w:r>
      <w:r w:rsidR="007B13C0">
        <w:rPr>
          <w:lang w:val="fr-CA"/>
        </w:rPr>
        <w:t xml:space="preserve"> </w:t>
      </w:r>
      <w:r w:rsidR="00F06139">
        <w:rPr>
          <w:lang w:val="fr-CA"/>
        </w:rPr>
        <w:t>:</w:t>
      </w:r>
      <w:r w:rsidR="00975EC4" w:rsidRPr="00F4361E">
        <w:rPr>
          <w:lang w:val="fr-CA"/>
        </w:rPr>
        <w:t xml:space="preserve"> Butterworths, 1983.</w:t>
      </w:r>
    </w:p>
    <w:p w:rsidR="00992684" w:rsidRPr="00F4361E" w:rsidRDefault="00864755" w:rsidP="007B13C0">
      <w:pPr>
        <w:pStyle w:val="SCCNormalDoubleSpacing"/>
        <w:spacing w:before="480" w:after="480"/>
        <w:rPr>
          <w:lang w:val="fr-CA"/>
        </w:rPr>
      </w:pPr>
      <w:r w:rsidRPr="00F4361E">
        <w:rPr>
          <w:lang w:val="fr-CA"/>
        </w:rPr>
        <w:tab/>
      </w:r>
      <w:r w:rsidR="004D7D95" w:rsidRPr="00F4361E">
        <w:rPr>
          <w:lang w:val="fr-CA"/>
        </w:rPr>
        <w:t>POURVOI contre un arrêt de la Cour d</w:t>
      </w:r>
      <w:r w:rsidR="006913CE" w:rsidRPr="00F4361E">
        <w:rPr>
          <w:lang w:val="fr-CA"/>
        </w:rPr>
        <w:t>’</w:t>
      </w:r>
      <w:r w:rsidR="004D7D95" w:rsidRPr="00F4361E">
        <w:rPr>
          <w:lang w:val="fr-CA"/>
        </w:rPr>
        <w:t>appel de l</w:t>
      </w:r>
      <w:r w:rsidR="006913CE" w:rsidRPr="00F4361E">
        <w:rPr>
          <w:lang w:val="fr-CA"/>
        </w:rPr>
        <w:t>’</w:t>
      </w:r>
      <w:r w:rsidR="004D7D95" w:rsidRPr="00F4361E">
        <w:rPr>
          <w:lang w:val="fr-CA"/>
        </w:rPr>
        <w:t>Alberta</w:t>
      </w:r>
      <w:r w:rsidR="00436D3A" w:rsidRPr="00F4361E">
        <w:rPr>
          <w:lang w:val="fr-CA"/>
        </w:rPr>
        <w:t xml:space="preserve"> (l</w:t>
      </w:r>
      <w:r w:rsidR="00992684" w:rsidRPr="00F4361E">
        <w:rPr>
          <w:lang w:val="fr-CA"/>
        </w:rPr>
        <w:t>a</w:t>
      </w:r>
      <w:r w:rsidR="00436D3A" w:rsidRPr="00F4361E">
        <w:rPr>
          <w:lang w:val="fr-CA"/>
        </w:rPr>
        <w:t xml:space="preserve"> juge en chef Fraser et les juges Watson et McDonald), </w:t>
      </w:r>
      <w:r w:rsidR="00992684" w:rsidRPr="00F4361E">
        <w:rPr>
          <w:lang w:val="fr-CA"/>
        </w:rPr>
        <w:t xml:space="preserve">2012 ABCA 248, </w:t>
      </w:r>
      <w:r w:rsidR="00E136D5" w:rsidRPr="00F4361E">
        <w:rPr>
          <w:lang w:val="fr-CA"/>
        </w:rPr>
        <w:t xml:space="preserve">65 Alta. L.R. (5th) 220, 536 A.R. 121, </w:t>
      </w:r>
      <w:r w:rsidR="005E0434">
        <w:rPr>
          <w:lang w:val="fr-CA"/>
        </w:rPr>
        <w:t xml:space="preserve">559 W.A.C. 121, </w:t>
      </w:r>
      <w:r w:rsidR="00992684" w:rsidRPr="00F4361E">
        <w:rPr>
          <w:lang w:val="fr-CA"/>
        </w:rPr>
        <w:t>353 D.L.R. (4th) 499, [2012] 11 W.W.R. 1, 1 C.C.E.L. (4th)</w:t>
      </w:r>
      <w:r w:rsidR="00C408F5" w:rsidRPr="00F4361E">
        <w:rPr>
          <w:lang w:val="fr-CA"/>
        </w:rPr>
        <w:t xml:space="preserve"> 193</w:t>
      </w:r>
      <w:r w:rsidR="00992684" w:rsidRPr="00F4361E">
        <w:rPr>
          <w:lang w:val="fr-CA"/>
        </w:rPr>
        <w:t xml:space="preserve">, [2012] A.J. </w:t>
      </w:r>
      <w:r w:rsidR="00F06139">
        <w:rPr>
          <w:lang w:val="fr-CA"/>
        </w:rPr>
        <w:t>No.</w:t>
      </w:r>
      <w:r w:rsidR="007B13C0">
        <w:rPr>
          <w:lang w:val="fr-CA"/>
        </w:rPr>
        <w:t xml:space="preserve"> </w:t>
      </w:r>
      <w:r w:rsidR="00992684" w:rsidRPr="00F4361E">
        <w:rPr>
          <w:lang w:val="fr-CA"/>
        </w:rPr>
        <w:t>879</w:t>
      </w:r>
      <w:r w:rsidR="000B2272">
        <w:rPr>
          <w:lang w:val="fr-CA"/>
        </w:rPr>
        <w:t xml:space="preserve"> (QL)</w:t>
      </w:r>
      <w:r w:rsidR="00992684" w:rsidRPr="00F4361E">
        <w:rPr>
          <w:lang w:val="fr-CA"/>
        </w:rPr>
        <w:t>, 2012 CarswellAlta 1444,</w:t>
      </w:r>
      <w:r w:rsidR="008A595A" w:rsidRPr="00F4361E">
        <w:rPr>
          <w:lang w:val="fr-CA"/>
        </w:rPr>
        <w:t xml:space="preserve"> qui a </w:t>
      </w:r>
      <w:r w:rsidR="00AD2E6F" w:rsidRPr="00F4361E">
        <w:rPr>
          <w:lang w:val="fr-CA"/>
        </w:rPr>
        <w:t>accueilli l’appel interjeté d’</w:t>
      </w:r>
      <w:r w:rsidR="009234A5" w:rsidRPr="00F4361E">
        <w:rPr>
          <w:lang w:val="fr-CA"/>
        </w:rPr>
        <w:t>une</w:t>
      </w:r>
      <w:r w:rsidR="008A595A" w:rsidRPr="00F4361E">
        <w:rPr>
          <w:lang w:val="fr-CA"/>
        </w:rPr>
        <w:t xml:space="preserve"> décision du juge Ouellette</w:t>
      </w:r>
      <w:r w:rsidR="004F6C15" w:rsidRPr="00F4361E">
        <w:rPr>
          <w:lang w:val="fr-CA"/>
        </w:rPr>
        <w:t>, 2010 Carswell</w:t>
      </w:r>
      <w:r w:rsidR="00BE2C65" w:rsidRPr="00F4361E">
        <w:rPr>
          <w:lang w:val="fr-CA"/>
        </w:rPr>
        <w:t>Alta 2817</w:t>
      </w:r>
      <w:r w:rsidR="00B043DE" w:rsidRPr="00F4361E">
        <w:rPr>
          <w:lang w:val="fr-CA"/>
        </w:rPr>
        <w:t>, qui a</w:t>
      </w:r>
      <w:r w:rsidR="00AD2E6F" w:rsidRPr="00F4361E">
        <w:rPr>
          <w:lang w:val="fr-CA"/>
        </w:rPr>
        <w:t>vait</w:t>
      </w:r>
      <w:r w:rsidR="00B043DE" w:rsidRPr="00F4361E">
        <w:rPr>
          <w:lang w:val="fr-CA"/>
        </w:rPr>
        <w:t xml:space="preserve"> </w:t>
      </w:r>
      <w:r w:rsidR="00D96DC1" w:rsidRPr="00F4361E">
        <w:rPr>
          <w:lang w:val="fr-CA"/>
        </w:rPr>
        <w:t>infirmé la décision de</w:t>
      </w:r>
      <w:r w:rsidR="00F2683A" w:rsidRPr="00F4361E">
        <w:rPr>
          <w:lang w:val="fr-CA"/>
        </w:rPr>
        <w:t xml:space="preserve"> l</w:t>
      </w:r>
      <w:r w:rsidR="00AD2E6F" w:rsidRPr="00F4361E">
        <w:rPr>
          <w:lang w:val="fr-CA"/>
        </w:rPr>
        <w:t>’</w:t>
      </w:r>
      <w:r w:rsidR="00B043DE" w:rsidRPr="00F4361E">
        <w:rPr>
          <w:lang w:val="fr-CA"/>
        </w:rPr>
        <w:t xml:space="preserve">Appeals Commission for Alberta Workers’ </w:t>
      </w:r>
      <w:r w:rsidR="00B043DE" w:rsidRPr="00F4361E">
        <w:rPr>
          <w:lang w:val="fr-CA"/>
        </w:rPr>
        <w:lastRenderedPageBreak/>
        <w:t>Compensation, 2009 CanLII 6629</w:t>
      </w:r>
      <w:r w:rsidR="00D96DC1" w:rsidRPr="00F4361E">
        <w:rPr>
          <w:lang w:val="fr-CA"/>
        </w:rPr>
        <w:t>2, et ordonné une nouvelle audi</w:t>
      </w:r>
      <w:r w:rsidR="00AD2E6F" w:rsidRPr="00F4361E">
        <w:rPr>
          <w:lang w:val="fr-CA"/>
        </w:rPr>
        <w:t>ence</w:t>
      </w:r>
      <w:r w:rsidR="00B043DE" w:rsidRPr="00F4361E">
        <w:rPr>
          <w:lang w:val="fr-CA"/>
        </w:rPr>
        <w:t>.</w:t>
      </w:r>
      <w:r w:rsidR="00F2683A" w:rsidRPr="00F4361E">
        <w:rPr>
          <w:lang w:val="fr-CA"/>
        </w:rPr>
        <w:t xml:space="preserve">  Pourvoi rejeté.</w:t>
      </w:r>
    </w:p>
    <w:p w:rsidR="006E68A6" w:rsidRPr="00F4361E" w:rsidRDefault="006358D6" w:rsidP="007B13C0">
      <w:pPr>
        <w:pStyle w:val="SCCNormalDoubleSpacing"/>
        <w:spacing w:before="480" w:after="480"/>
        <w:rPr>
          <w:lang w:val="fr-CA"/>
        </w:rPr>
      </w:pPr>
      <w:r w:rsidRPr="00F4361E">
        <w:rPr>
          <w:i/>
          <w:lang w:val="fr-CA"/>
        </w:rPr>
        <w:tab/>
        <w:t>Andrew Raven</w:t>
      </w:r>
      <w:r w:rsidRPr="00F4361E">
        <w:rPr>
          <w:lang w:val="fr-CA"/>
        </w:rPr>
        <w:t xml:space="preserve">, </w:t>
      </w:r>
      <w:r w:rsidRPr="00F4361E">
        <w:rPr>
          <w:i/>
          <w:lang w:val="fr-CA"/>
        </w:rPr>
        <w:t>Andrew Astritis</w:t>
      </w:r>
      <w:r w:rsidRPr="00F4361E">
        <w:rPr>
          <w:lang w:val="fr-CA"/>
        </w:rPr>
        <w:t xml:space="preserve"> et </w:t>
      </w:r>
      <w:r w:rsidRPr="00F4361E">
        <w:rPr>
          <w:i/>
          <w:lang w:val="fr-CA"/>
        </w:rPr>
        <w:t>Amanda Montague</w:t>
      </w:r>
      <w:r w:rsidR="00F06139">
        <w:rPr>
          <w:i/>
          <w:lang w:val="fr-CA"/>
        </w:rPr>
        <w:noBreakHyphen/>
      </w:r>
      <w:r w:rsidRPr="00F4361E">
        <w:rPr>
          <w:i/>
          <w:lang w:val="fr-CA"/>
        </w:rPr>
        <w:t>Reinholdt</w:t>
      </w:r>
      <w:r w:rsidRPr="00F4361E">
        <w:rPr>
          <w:lang w:val="fr-CA"/>
        </w:rPr>
        <w:t>, pour l</w:t>
      </w:r>
      <w:r w:rsidR="006913CE" w:rsidRPr="00F4361E">
        <w:rPr>
          <w:lang w:val="fr-CA"/>
        </w:rPr>
        <w:t>’</w:t>
      </w:r>
      <w:r w:rsidRPr="00F4361E">
        <w:rPr>
          <w:lang w:val="fr-CA"/>
        </w:rPr>
        <w:t>appelant</w:t>
      </w:r>
      <w:r w:rsidR="001128E4" w:rsidRPr="00F4361E">
        <w:rPr>
          <w:lang w:val="fr-CA"/>
        </w:rPr>
        <w:t>.</w:t>
      </w:r>
    </w:p>
    <w:p w:rsidR="006E68A6" w:rsidRPr="00F4361E" w:rsidRDefault="006358D6" w:rsidP="007B13C0">
      <w:pPr>
        <w:pStyle w:val="SCCNormalDoubleSpacing"/>
        <w:spacing w:before="480" w:after="480"/>
        <w:rPr>
          <w:lang w:val="en-US"/>
        </w:rPr>
      </w:pPr>
      <w:r w:rsidRPr="00F4361E">
        <w:rPr>
          <w:i/>
          <w:lang w:val="fr-CA"/>
        </w:rPr>
        <w:tab/>
      </w:r>
      <w:r w:rsidR="00E517CB" w:rsidRPr="00F4361E">
        <w:rPr>
          <w:i/>
          <w:lang w:val="en-US"/>
        </w:rPr>
        <w:t>Douglas</w:t>
      </w:r>
      <w:r w:rsidR="007B13C0">
        <w:rPr>
          <w:i/>
          <w:lang w:val="en-US"/>
        </w:rPr>
        <w:t xml:space="preserve"> </w:t>
      </w:r>
      <w:r w:rsidRPr="00F4361E">
        <w:rPr>
          <w:i/>
          <w:lang w:val="en-US"/>
        </w:rPr>
        <w:t>R. Mah</w:t>
      </w:r>
      <w:r w:rsidRPr="005E0434">
        <w:rPr>
          <w:lang w:val="en-US"/>
        </w:rPr>
        <w:t>,</w:t>
      </w:r>
      <w:r w:rsidRPr="00F4361E">
        <w:rPr>
          <w:i/>
          <w:lang w:val="en-US"/>
        </w:rPr>
        <w:t xml:space="preserve"> </w:t>
      </w:r>
      <w:r w:rsidR="00FB1431" w:rsidRPr="00F4361E">
        <w:rPr>
          <w:i/>
          <w:lang w:val="en-US"/>
        </w:rPr>
        <w:t>c.r.</w:t>
      </w:r>
      <w:r w:rsidR="00FB1431" w:rsidRPr="005E0434">
        <w:rPr>
          <w:lang w:val="en-US"/>
        </w:rPr>
        <w:t>,</w:t>
      </w:r>
      <w:r w:rsidRPr="00F4361E">
        <w:rPr>
          <w:i/>
          <w:lang w:val="en-US"/>
        </w:rPr>
        <w:t xml:space="preserve"> </w:t>
      </w:r>
      <w:r w:rsidRPr="00F4361E">
        <w:rPr>
          <w:lang w:val="en-US"/>
        </w:rPr>
        <w:t xml:space="preserve">et </w:t>
      </w:r>
      <w:r w:rsidRPr="00F4361E">
        <w:rPr>
          <w:i/>
          <w:lang w:val="en-US"/>
        </w:rPr>
        <w:t>Ron Goltz</w:t>
      </w:r>
      <w:r w:rsidRPr="00F4361E">
        <w:rPr>
          <w:lang w:val="en-US"/>
        </w:rPr>
        <w:t>, pour l</w:t>
      </w:r>
      <w:r w:rsidR="006913CE" w:rsidRPr="00F4361E">
        <w:rPr>
          <w:lang w:val="en-US"/>
        </w:rPr>
        <w:t>’</w:t>
      </w:r>
      <w:r w:rsidRPr="00F4361E">
        <w:rPr>
          <w:lang w:val="en-US"/>
        </w:rPr>
        <w:t>intimé</w:t>
      </w:r>
      <w:r w:rsidR="00FB1431" w:rsidRPr="00F4361E">
        <w:rPr>
          <w:lang w:val="en-US"/>
        </w:rPr>
        <w:t xml:space="preserve"> Workers’ Compensation Board of Albert</w:t>
      </w:r>
      <w:r w:rsidR="004F6C15" w:rsidRPr="00F4361E">
        <w:rPr>
          <w:lang w:val="en-US"/>
        </w:rPr>
        <w:t>a</w:t>
      </w:r>
      <w:r w:rsidRPr="00F4361E">
        <w:rPr>
          <w:lang w:val="en-US"/>
        </w:rPr>
        <w:t>.</w:t>
      </w:r>
    </w:p>
    <w:p w:rsidR="006E68A6" w:rsidRPr="00F4361E" w:rsidRDefault="006358D6" w:rsidP="007B13C0">
      <w:pPr>
        <w:pStyle w:val="SCCNormalDoubleSpacing"/>
        <w:spacing w:before="480" w:after="480"/>
        <w:rPr>
          <w:lang w:val="fr-CA"/>
        </w:rPr>
      </w:pPr>
      <w:r w:rsidRPr="00F4361E">
        <w:rPr>
          <w:i/>
          <w:lang w:val="en-US"/>
        </w:rPr>
        <w:tab/>
      </w:r>
      <w:r w:rsidRPr="00F4361E">
        <w:rPr>
          <w:i/>
          <w:lang w:val="fr-CA"/>
        </w:rPr>
        <w:t>Sandra Hermiston</w:t>
      </w:r>
      <w:r w:rsidRPr="00F4361E">
        <w:rPr>
          <w:lang w:val="fr-CA"/>
        </w:rPr>
        <w:t>, pour l</w:t>
      </w:r>
      <w:r w:rsidR="006913CE" w:rsidRPr="00F4361E">
        <w:rPr>
          <w:lang w:val="fr-CA"/>
        </w:rPr>
        <w:t>’</w:t>
      </w:r>
      <w:r w:rsidRPr="00F4361E">
        <w:rPr>
          <w:lang w:val="fr-CA"/>
        </w:rPr>
        <w:t>intimé</w:t>
      </w:r>
      <w:r w:rsidR="00FB1431" w:rsidRPr="00F4361E">
        <w:rPr>
          <w:lang w:val="fr-CA"/>
        </w:rPr>
        <w:t>e Appeals Commis</w:t>
      </w:r>
      <w:r w:rsidR="00536CF1" w:rsidRPr="00F4361E">
        <w:rPr>
          <w:lang w:val="fr-CA"/>
        </w:rPr>
        <w:t>s</w:t>
      </w:r>
      <w:r w:rsidR="00FB1431" w:rsidRPr="00F4361E">
        <w:rPr>
          <w:lang w:val="fr-CA"/>
        </w:rPr>
        <w:t>ion for Alberta Workers’ Compensation.</w:t>
      </w:r>
    </w:p>
    <w:p w:rsidR="006E68A6" w:rsidRPr="00F4361E" w:rsidRDefault="006358D6" w:rsidP="007B13C0">
      <w:pPr>
        <w:pStyle w:val="SCCNormalDoubleSpacing"/>
        <w:spacing w:before="480" w:after="480"/>
        <w:rPr>
          <w:lang w:val="fr-CA"/>
        </w:rPr>
      </w:pPr>
      <w:r w:rsidRPr="00F4361E">
        <w:rPr>
          <w:i/>
          <w:lang w:val="fr-CA"/>
        </w:rPr>
        <w:tab/>
      </w:r>
      <w:r w:rsidR="00E517CB" w:rsidRPr="00F4361E">
        <w:rPr>
          <w:i/>
          <w:lang w:val="fr-CA"/>
        </w:rPr>
        <w:t>John</w:t>
      </w:r>
      <w:r w:rsidR="007B13C0">
        <w:rPr>
          <w:i/>
          <w:lang w:val="fr-CA"/>
        </w:rPr>
        <w:t xml:space="preserve"> </w:t>
      </w:r>
      <w:r w:rsidRPr="00F4361E">
        <w:rPr>
          <w:i/>
          <w:lang w:val="fr-CA"/>
        </w:rPr>
        <w:t>S. Tyhurst</w:t>
      </w:r>
      <w:r w:rsidRPr="00F4361E">
        <w:rPr>
          <w:lang w:val="fr-CA"/>
        </w:rPr>
        <w:t>, pour l</w:t>
      </w:r>
      <w:r w:rsidR="006913CE" w:rsidRPr="00F4361E">
        <w:rPr>
          <w:lang w:val="fr-CA"/>
        </w:rPr>
        <w:t>’</w:t>
      </w:r>
      <w:r w:rsidRPr="00F4361E">
        <w:rPr>
          <w:lang w:val="fr-CA"/>
        </w:rPr>
        <w:t>intimé</w:t>
      </w:r>
      <w:r w:rsidR="00FB1431" w:rsidRPr="00F4361E">
        <w:rPr>
          <w:lang w:val="fr-CA"/>
        </w:rPr>
        <w:t xml:space="preserve"> le procureur général du Canada.</w:t>
      </w:r>
    </w:p>
    <w:p w:rsidR="006E68A6" w:rsidRPr="00F4361E" w:rsidRDefault="006358D6" w:rsidP="007B13C0">
      <w:pPr>
        <w:pStyle w:val="SCCNormalDoubleSpacing"/>
        <w:spacing w:before="480" w:after="480"/>
      </w:pPr>
      <w:r w:rsidRPr="00F4361E">
        <w:rPr>
          <w:i/>
          <w:lang w:val="fr-CA"/>
        </w:rPr>
        <w:tab/>
      </w:r>
      <w:r w:rsidR="00E517CB" w:rsidRPr="00F4361E">
        <w:rPr>
          <w:i/>
        </w:rPr>
        <w:t>Laurel</w:t>
      </w:r>
      <w:r w:rsidR="007B13C0">
        <w:rPr>
          <w:i/>
        </w:rPr>
        <w:t xml:space="preserve"> </w:t>
      </w:r>
      <w:r w:rsidRPr="00F4361E">
        <w:rPr>
          <w:i/>
        </w:rPr>
        <w:t>M. Courtenay</w:t>
      </w:r>
      <w:r w:rsidRPr="00F4361E">
        <w:t xml:space="preserve"> et </w:t>
      </w:r>
      <w:r w:rsidR="00E517CB" w:rsidRPr="00F4361E">
        <w:rPr>
          <w:i/>
        </w:rPr>
        <w:t>Scott</w:t>
      </w:r>
      <w:r w:rsidR="007B13C0">
        <w:rPr>
          <w:i/>
        </w:rPr>
        <w:t xml:space="preserve"> </w:t>
      </w:r>
      <w:r w:rsidRPr="00F4361E">
        <w:rPr>
          <w:i/>
        </w:rPr>
        <w:t>A. Nielsen</w:t>
      </w:r>
      <w:r w:rsidRPr="00F4361E">
        <w:t>, pour l</w:t>
      </w:r>
      <w:r w:rsidR="006913CE" w:rsidRPr="00F4361E">
        <w:t>’</w:t>
      </w:r>
      <w:r w:rsidRPr="00F4361E">
        <w:t>intervenant</w:t>
      </w:r>
      <w:r w:rsidR="007810BF" w:rsidRPr="00F4361E">
        <w:t xml:space="preserve"> </w:t>
      </w:r>
      <w:r w:rsidRPr="00F4361E">
        <w:t>Workers</w:t>
      </w:r>
      <w:r w:rsidR="006913CE" w:rsidRPr="00F4361E">
        <w:t>’</w:t>
      </w:r>
      <w:r w:rsidRPr="00F4361E">
        <w:t xml:space="preserve"> Compensation Board of British Columbia.</w:t>
      </w:r>
    </w:p>
    <w:p w:rsidR="006E68A6" w:rsidRPr="00F4361E" w:rsidRDefault="006358D6" w:rsidP="007B13C0">
      <w:pPr>
        <w:pStyle w:val="SCCNormalDoubleSpacing"/>
        <w:spacing w:before="480" w:after="480"/>
        <w:rPr>
          <w:lang w:val="fr-CA"/>
        </w:rPr>
      </w:pPr>
      <w:r w:rsidRPr="00F4361E">
        <w:rPr>
          <w:i/>
        </w:rPr>
        <w:tab/>
      </w:r>
      <w:r w:rsidR="00DC0558">
        <w:rPr>
          <w:i/>
          <w:lang w:val="fr-CA"/>
        </w:rPr>
        <w:t>Pierre-</w:t>
      </w:r>
      <w:r w:rsidRPr="00F4361E">
        <w:rPr>
          <w:i/>
          <w:lang w:val="fr-CA"/>
        </w:rPr>
        <w:t>Michel Lajeunesse</w:t>
      </w:r>
      <w:r w:rsidRPr="00F4361E">
        <w:rPr>
          <w:lang w:val="fr-CA"/>
        </w:rPr>
        <w:t xml:space="preserve"> et </w:t>
      </w:r>
      <w:r w:rsidRPr="00F4361E">
        <w:rPr>
          <w:i/>
          <w:lang w:val="fr-CA"/>
        </w:rPr>
        <w:t>Lucille Giard</w:t>
      </w:r>
      <w:r w:rsidRPr="00F4361E">
        <w:rPr>
          <w:lang w:val="fr-CA"/>
        </w:rPr>
        <w:t>, pour l</w:t>
      </w:r>
      <w:r w:rsidR="006913CE" w:rsidRPr="00F4361E">
        <w:rPr>
          <w:lang w:val="fr-CA"/>
        </w:rPr>
        <w:t>’</w:t>
      </w:r>
      <w:r w:rsidR="007810BF" w:rsidRPr="00F4361E">
        <w:rPr>
          <w:lang w:val="fr-CA"/>
        </w:rPr>
        <w:t>intervenante</w:t>
      </w:r>
      <w:r w:rsidRPr="00F4361E">
        <w:rPr>
          <w:lang w:val="fr-CA"/>
        </w:rPr>
        <w:t xml:space="preserve"> </w:t>
      </w:r>
      <w:r w:rsidR="007810BF" w:rsidRPr="00F4361E">
        <w:rPr>
          <w:lang w:val="fr-CA"/>
        </w:rPr>
        <w:t xml:space="preserve">la </w:t>
      </w:r>
      <w:r w:rsidRPr="00F4361E">
        <w:rPr>
          <w:lang w:val="fr-CA"/>
        </w:rPr>
        <w:t>Commission de la santé et de la sécurité du travail.</w:t>
      </w:r>
    </w:p>
    <w:p w:rsidR="006E68A6" w:rsidRPr="00F4361E" w:rsidRDefault="006358D6" w:rsidP="007B13C0">
      <w:pPr>
        <w:pStyle w:val="SCCNormalDoubleSpacing"/>
        <w:spacing w:before="480" w:after="480"/>
      </w:pPr>
      <w:r w:rsidRPr="00F4361E">
        <w:rPr>
          <w:i/>
          <w:lang w:val="fr-CA"/>
        </w:rPr>
        <w:tab/>
      </w:r>
      <w:r w:rsidR="00E517CB" w:rsidRPr="00F4361E">
        <w:rPr>
          <w:i/>
        </w:rPr>
        <w:t>Roderick (Rory)</w:t>
      </w:r>
      <w:r w:rsidR="005E0434">
        <w:rPr>
          <w:i/>
        </w:rPr>
        <w:t xml:space="preserve"> </w:t>
      </w:r>
      <w:r w:rsidRPr="00F4361E">
        <w:rPr>
          <w:i/>
        </w:rPr>
        <w:t>H. Rogers</w:t>
      </w:r>
      <w:r w:rsidRPr="005E0434">
        <w:t>,</w:t>
      </w:r>
      <w:r w:rsidRPr="00F4361E">
        <w:rPr>
          <w:i/>
        </w:rPr>
        <w:t xml:space="preserve"> </w:t>
      </w:r>
      <w:r w:rsidR="007478EF" w:rsidRPr="00F4361E">
        <w:rPr>
          <w:i/>
        </w:rPr>
        <w:t>c.r.</w:t>
      </w:r>
      <w:r w:rsidRPr="00F4361E">
        <w:t xml:space="preserve">, </w:t>
      </w:r>
      <w:r w:rsidR="007478EF" w:rsidRPr="00F4361E">
        <w:t xml:space="preserve">et </w:t>
      </w:r>
      <w:r w:rsidRPr="00F4361E">
        <w:rPr>
          <w:i/>
        </w:rPr>
        <w:t>Madeleine</w:t>
      </w:r>
      <w:r w:rsidR="007B13C0">
        <w:rPr>
          <w:i/>
        </w:rPr>
        <w:t xml:space="preserve"> </w:t>
      </w:r>
      <w:r w:rsidRPr="00F4361E">
        <w:rPr>
          <w:i/>
        </w:rPr>
        <w:t>F. Hearns</w:t>
      </w:r>
      <w:r w:rsidRPr="00F4361E">
        <w:t>, pour l</w:t>
      </w:r>
      <w:r w:rsidR="006913CE" w:rsidRPr="00F4361E">
        <w:t>’</w:t>
      </w:r>
      <w:r w:rsidRPr="00F4361E">
        <w:t>intervenant</w:t>
      </w:r>
      <w:r w:rsidR="007810BF" w:rsidRPr="00F4361E">
        <w:t xml:space="preserve"> </w:t>
      </w:r>
      <w:r w:rsidRPr="00F4361E">
        <w:t>Workers</w:t>
      </w:r>
      <w:r w:rsidR="006913CE" w:rsidRPr="00F4361E">
        <w:t>’</w:t>
      </w:r>
      <w:r w:rsidRPr="00F4361E">
        <w:t xml:space="preserve"> Compensation Board of Nova Scotia.</w:t>
      </w:r>
    </w:p>
    <w:p w:rsidR="003D74EC" w:rsidRPr="00550303" w:rsidRDefault="005E0434" w:rsidP="007B13C0">
      <w:pPr>
        <w:pStyle w:val="SCCNormalDoubleSpacing"/>
        <w:spacing w:before="480" w:after="480"/>
        <w:rPr>
          <w:szCs w:val="24"/>
          <w:lang w:val="fr-CA"/>
        </w:rPr>
      </w:pPr>
      <w:r w:rsidRPr="00DC0558">
        <w:rPr>
          <w:szCs w:val="24"/>
          <w:lang w:val="en-US"/>
        </w:rPr>
        <w:tab/>
      </w:r>
      <w:r w:rsidR="003D74EC">
        <w:rPr>
          <w:szCs w:val="24"/>
          <w:lang w:val="fr-CA"/>
        </w:rPr>
        <w:t>Ver</w:t>
      </w:r>
      <w:r w:rsidR="003D74EC" w:rsidRPr="00B6619D">
        <w:rPr>
          <w:szCs w:val="24"/>
          <w:lang w:val="fr-CA"/>
        </w:rPr>
        <w:t xml:space="preserve">sion française du </w:t>
      </w:r>
      <w:r w:rsidR="003D74EC" w:rsidRPr="00DC0558">
        <w:rPr>
          <w:lang w:val="fr-CA"/>
        </w:rPr>
        <w:t>jugement</w:t>
      </w:r>
      <w:r w:rsidR="003D74EC" w:rsidRPr="00B6619D">
        <w:rPr>
          <w:szCs w:val="24"/>
          <w:lang w:val="fr-CA"/>
        </w:rPr>
        <w:t xml:space="preserve"> </w:t>
      </w:r>
      <w:r w:rsidR="003D74EC">
        <w:rPr>
          <w:szCs w:val="24"/>
          <w:lang w:val="fr-CA"/>
        </w:rPr>
        <w:t>de la Cour r</w:t>
      </w:r>
      <w:r w:rsidR="003D74EC" w:rsidRPr="00B6619D">
        <w:rPr>
          <w:szCs w:val="24"/>
          <w:lang w:val="fr-CA"/>
        </w:rPr>
        <w:t>endu par</w:t>
      </w:r>
    </w:p>
    <w:p w:rsidR="003D74EC" w:rsidRPr="00F8065C" w:rsidRDefault="003D74EC" w:rsidP="007B13C0">
      <w:pPr>
        <w:pStyle w:val="JudgeJuge"/>
        <w:spacing w:before="480"/>
        <w:rPr>
          <w:lang w:val="fr-CA"/>
        </w:rPr>
      </w:pPr>
      <w:r w:rsidRPr="00F8065C">
        <w:rPr>
          <w:lang w:val="fr-CA"/>
        </w:rPr>
        <w:lastRenderedPageBreak/>
        <w:tab/>
      </w:r>
      <w:r>
        <w:rPr>
          <w:lang w:val="fr-CA"/>
        </w:rPr>
        <w:t xml:space="preserve">La juge </w:t>
      </w:r>
      <w:r w:rsidRPr="00F8065C">
        <w:rPr>
          <w:lang w:val="fr-CA"/>
        </w:rPr>
        <w:t xml:space="preserve">Karakatsanis — </w:t>
      </w:r>
    </w:p>
    <w:p w:rsidR="003D74EC" w:rsidRPr="00F8065C" w:rsidRDefault="003D74EC" w:rsidP="007B13C0">
      <w:pPr>
        <w:pStyle w:val="Title1LevelTitre1Niveau-AltL"/>
        <w:keepNext w:val="0"/>
        <w:spacing w:before="0"/>
        <w:rPr>
          <w:lang w:val="fr-CA"/>
        </w:rPr>
      </w:pPr>
      <w:r w:rsidRPr="00D672C2">
        <w:t>Introduction</w:t>
      </w:r>
      <w:r w:rsidRPr="00F8065C">
        <w:rPr>
          <w:lang w:val="fr-CA"/>
        </w:rPr>
        <w:t xml:space="preserve"> </w:t>
      </w:r>
      <w:r>
        <w:rPr>
          <w:lang w:val="fr-CA"/>
        </w:rPr>
        <w:t>et survol</w:t>
      </w:r>
    </w:p>
    <w:p w:rsidR="003D74EC" w:rsidRPr="00F8065C" w:rsidRDefault="003D74EC" w:rsidP="007B13C0">
      <w:pPr>
        <w:pStyle w:val="ParaNoNdepar-AltN"/>
        <w:rPr>
          <w:lang w:val="fr-CA"/>
        </w:rPr>
      </w:pPr>
      <w:r>
        <w:rPr>
          <w:lang w:val="fr-CA"/>
        </w:rPr>
        <w:t xml:space="preserve">L’appelant, un employé de Parcs </w:t>
      </w:r>
      <w:r w:rsidRPr="00F8065C">
        <w:rPr>
          <w:lang w:val="fr-CA"/>
        </w:rPr>
        <w:t xml:space="preserve">Canada, </w:t>
      </w:r>
      <w:r>
        <w:rPr>
          <w:lang w:val="fr-CA"/>
        </w:rPr>
        <w:t xml:space="preserve">a présenté une demande d’indemnisation pour accident du travail.  Aux termes de la </w:t>
      </w:r>
      <w:r>
        <w:rPr>
          <w:i/>
          <w:lang w:val="fr-CA"/>
        </w:rPr>
        <w:t>Loi sur l’indemnisation des agents de</w:t>
      </w:r>
      <w:r w:rsidRPr="00F8065C">
        <w:rPr>
          <w:i/>
          <w:lang w:val="fr-CA"/>
        </w:rPr>
        <w:t xml:space="preserve"> l</w:t>
      </w:r>
      <w:r>
        <w:rPr>
          <w:i/>
          <w:lang w:val="fr-CA"/>
        </w:rPr>
        <w:t>’</w:t>
      </w:r>
      <w:r w:rsidRPr="00F8065C">
        <w:rPr>
          <w:i/>
          <w:lang w:val="fr-CA"/>
        </w:rPr>
        <w:t>État</w:t>
      </w:r>
      <w:r>
        <w:rPr>
          <w:lang w:val="fr-CA"/>
        </w:rPr>
        <w:t>, L.R.C. 1985, ch.</w:t>
      </w:r>
      <w:r w:rsidR="007B13C0">
        <w:rPr>
          <w:lang w:val="fr-CA"/>
        </w:rPr>
        <w:t xml:space="preserve"> </w:t>
      </w:r>
      <w:r>
        <w:rPr>
          <w:lang w:val="fr-CA"/>
        </w:rPr>
        <w:t>G</w:t>
      </w:r>
      <w:r>
        <w:rPr>
          <w:lang w:val="fr-CA"/>
        </w:rPr>
        <w:noBreakHyphen/>
        <w:t>5</w:t>
      </w:r>
      <w:r>
        <w:rPr>
          <w:i/>
          <w:lang w:val="fr-CA"/>
        </w:rPr>
        <w:t xml:space="preserve"> </w:t>
      </w:r>
      <w:r>
        <w:rPr>
          <w:lang w:val="fr-CA"/>
        </w:rPr>
        <w:t>(</w:t>
      </w:r>
      <w:r w:rsidRPr="00DB6684">
        <w:rPr>
          <w:i/>
          <w:lang w:val="fr-CA"/>
        </w:rPr>
        <w:t>LIAÉ</w:t>
      </w:r>
      <w:r>
        <w:rPr>
          <w:lang w:val="fr-CA"/>
        </w:rPr>
        <w:t xml:space="preserve">), les </w:t>
      </w:r>
      <w:r w:rsidRPr="00C51F6E">
        <w:rPr>
          <w:lang w:val="fr-CA"/>
        </w:rPr>
        <w:t>travailleurs</w:t>
      </w:r>
      <w:r>
        <w:rPr>
          <w:lang w:val="fr-CA"/>
        </w:rPr>
        <w:t xml:space="preserve"> fédéraux blessés au travail ont droit à une indemnité «</w:t>
      </w:r>
      <w:r w:rsidR="007B13C0">
        <w:rPr>
          <w:lang w:val="fr-CA"/>
        </w:rPr>
        <w:t xml:space="preserve"> </w:t>
      </w:r>
      <w:r>
        <w:rPr>
          <w:lang w:val="fr-CA"/>
        </w:rPr>
        <w:t>aux taux et conditions</w:t>
      </w:r>
      <w:r w:rsidR="007B13C0">
        <w:rPr>
          <w:lang w:val="fr-CA"/>
        </w:rPr>
        <w:t xml:space="preserve"> </w:t>
      </w:r>
      <w:r>
        <w:rPr>
          <w:lang w:val="fr-CA"/>
        </w:rPr>
        <w:t>» fixés par la législation de la province où l’agent de l’État exerce habituellement ses fonctions (par.</w:t>
      </w:r>
      <w:r w:rsidR="007B13C0">
        <w:rPr>
          <w:lang w:val="fr-CA"/>
        </w:rPr>
        <w:t xml:space="preserve"> </w:t>
      </w:r>
      <w:r>
        <w:rPr>
          <w:lang w:val="fr-CA"/>
        </w:rPr>
        <w:t>4(1) et</w:t>
      </w:r>
      <w:r w:rsidR="007B13C0">
        <w:rPr>
          <w:lang w:val="fr-CA"/>
        </w:rPr>
        <w:t xml:space="preserve"> </w:t>
      </w:r>
      <w:r>
        <w:rPr>
          <w:lang w:val="fr-CA"/>
        </w:rPr>
        <w:t>(2)).  L’indemnité est déterminée par «</w:t>
      </w:r>
      <w:r w:rsidR="007B13C0">
        <w:rPr>
          <w:lang w:val="fr-CA"/>
        </w:rPr>
        <w:t xml:space="preserve"> </w:t>
      </w:r>
      <w:r>
        <w:rPr>
          <w:lang w:val="fr-CA"/>
        </w:rPr>
        <w:t>l’autorité — personne ou organisme — compétente en la matière</w:t>
      </w:r>
      <w:r w:rsidR="007B13C0">
        <w:rPr>
          <w:lang w:val="fr-CA"/>
        </w:rPr>
        <w:t xml:space="preserve"> </w:t>
      </w:r>
      <w:r>
        <w:rPr>
          <w:lang w:val="fr-CA"/>
        </w:rPr>
        <w:t>» conformément à la législation provinciale (par.</w:t>
      </w:r>
      <w:r w:rsidR="007B13C0">
        <w:rPr>
          <w:lang w:val="fr-CA"/>
        </w:rPr>
        <w:t xml:space="preserve"> </w:t>
      </w:r>
      <w:r>
        <w:rPr>
          <w:lang w:val="fr-CA"/>
        </w:rPr>
        <w:t>4(3)).  L’</w:t>
      </w:r>
      <w:r w:rsidRPr="00F8065C">
        <w:rPr>
          <w:lang w:val="fr-CA"/>
        </w:rPr>
        <w:t>Appeals Commission for Alberta Workers</w:t>
      </w:r>
      <w:r>
        <w:rPr>
          <w:lang w:val="fr-CA"/>
        </w:rPr>
        <w:t>’</w:t>
      </w:r>
      <w:r w:rsidRPr="00F8065C">
        <w:rPr>
          <w:lang w:val="fr-CA"/>
        </w:rPr>
        <w:t xml:space="preserve"> Compensation </w:t>
      </w:r>
      <w:r>
        <w:rPr>
          <w:lang w:val="fr-CA"/>
        </w:rPr>
        <w:t>(Commission) a rejeté la demande de l’appelant (2009 CanLII 66292)  au motif qu’elle ne satisfaisait pas à tous les critères énumérés à la</w:t>
      </w:r>
      <w:r w:rsidRPr="00F8065C">
        <w:rPr>
          <w:lang w:val="fr-CA"/>
        </w:rPr>
        <w:t xml:space="preserve"> </w:t>
      </w:r>
      <w:r>
        <w:rPr>
          <w:lang w:val="fr-CA"/>
        </w:rPr>
        <w:t xml:space="preserve">Alberta </w:t>
      </w:r>
      <w:r w:rsidRPr="00D9578E">
        <w:rPr>
          <w:lang w:val="fr-CA"/>
        </w:rPr>
        <w:t>Workers’ Compensation Board of Directors</w:t>
      </w:r>
      <w:r>
        <w:rPr>
          <w:lang w:val="fr-CA"/>
        </w:rPr>
        <w:t>’ Policy</w:t>
      </w:r>
      <w:r w:rsidR="007B13C0">
        <w:rPr>
          <w:lang w:val="fr-CA"/>
        </w:rPr>
        <w:t xml:space="preserve"> </w:t>
      </w:r>
      <w:r w:rsidRPr="00D9578E">
        <w:rPr>
          <w:lang w:val="fr-CA"/>
        </w:rPr>
        <w:t>03</w:t>
      </w:r>
      <w:r>
        <w:rPr>
          <w:lang w:val="fr-CA"/>
        </w:rPr>
        <w:noBreakHyphen/>
      </w:r>
      <w:r w:rsidRPr="00D9578E">
        <w:rPr>
          <w:lang w:val="fr-CA"/>
        </w:rPr>
        <w:t>01</w:t>
      </w:r>
      <w:r>
        <w:rPr>
          <w:lang w:val="fr-CA"/>
        </w:rPr>
        <w:t>, partie</w:t>
      </w:r>
      <w:r w:rsidR="007B13C0">
        <w:rPr>
          <w:lang w:val="fr-CA"/>
        </w:rPr>
        <w:t xml:space="preserve"> </w:t>
      </w:r>
      <w:r>
        <w:rPr>
          <w:lang w:val="fr-CA"/>
        </w:rPr>
        <w:t>II, Application</w:t>
      </w:r>
      <w:r w:rsidR="007B13C0">
        <w:rPr>
          <w:lang w:val="fr-CA"/>
        </w:rPr>
        <w:t xml:space="preserve"> </w:t>
      </w:r>
      <w:r>
        <w:rPr>
          <w:lang w:val="fr-CA"/>
        </w:rPr>
        <w:t>6 (Politique)</w:t>
      </w:r>
      <w:r w:rsidRPr="00F8065C">
        <w:rPr>
          <w:lang w:val="fr-CA"/>
        </w:rPr>
        <w:t xml:space="preserve">, </w:t>
      </w:r>
      <w:r>
        <w:rPr>
          <w:lang w:val="fr-CA"/>
        </w:rPr>
        <w:t xml:space="preserve">prise en vertu de la </w:t>
      </w:r>
      <w:r w:rsidRPr="00F8065C">
        <w:rPr>
          <w:i/>
          <w:lang w:val="fr-CA"/>
        </w:rPr>
        <w:t>Workers</w:t>
      </w:r>
      <w:r>
        <w:rPr>
          <w:i/>
          <w:lang w:val="fr-CA"/>
        </w:rPr>
        <w:t>’</w:t>
      </w:r>
      <w:r w:rsidRPr="00F8065C">
        <w:rPr>
          <w:i/>
          <w:lang w:val="fr-CA"/>
        </w:rPr>
        <w:t xml:space="preserve"> Compensation Act</w:t>
      </w:r>
      <w:r>
        <w:rPr>
          <w:lang w:val="fr-CA"/>
        </w:rPr>
        <w:t xml:space="preserve"> de l’Alberta, R.S.A.</w:t>
      </w:r>
      <w:r w:rsidR="007B13C0">
        <w:rPr>
          <w:lang w:val="fr-CA"/>
        </w:rPr>
        <w:t xml:space="preserve"> </w:t>
      </w:r>
      <w:r w:rsidRPr="00F8065C">
        <w:rPr>
          <w:lang w:val="fr-CA"/>
        </w:rPr>
        <w:t xml:space="preserve">2000, </w:t>
      </w:r>
      <w:r>
        <w:rPr>
          <w:lang w:val="fr-CA"/>
        </w:rPr>
        <w:t>ch.</w:t>
      </w:r>
      <w:r w:rsidR="007B13C0">
        <w:rPr>
          <w:lang w:val="fr-CA"/>
        </w:rPr>
        <w:t xml:space="preserve"> </w:t>
      </w:r>
      <w:r w:rsidRPr="00F8065C">
        <w:rPr>
          <w:lang w:val="fr-CA"/>
        </w:rPr>
        <w:t>W</w:t>
      </w:r>
      <w:r>
        <w:rPr>
          <w:lang w:val="fr-CA"/>
        </w:rPr>
        <w:noBreakHyphen/>
      </w:r>
      <w:r w:rsidRPr="00F8065C">
        <w:rPr>
          <w:lang w:val="fr-CA"/>
        </w:rPr>
        <w:t>15 (</w:t>
      </w:r>
      <w:r w:rsidRPr="00CE4B26">
        <w:rPr>
          <w:i/>
          <w:lang w:val="fr-CA"/>
        </w:rPr>
        <w:t>WCA</w:t>
      </w:r>
      <w:r w:rsidRPr="00F8065C">
        <w:rPr>
          <w:lang w:val="fr-CA"/>
        </w:rPr>
        <w:t xml:space="preserve">). </w:t>
      </w:r>
      <w:r>
        <w:rPr>
          <w:lang w:val="fr-CA"/>
        </w:rPr>
        <w:t xml:space="preserve"> La Cour d’appel de l’Alberta a conclu que la Politique provinciale s’appliquait, </w:t>
      </w:r>
      <w:r w:rsidRPr="005800D9">
        <w:rPr>
          <w:lang w:val="fr-CA"/>
        </w:rPr>
        <w:t xml:space="preserve">et elle a </w:t>
      </w:r>
      <w:r w:rsidRPr="00120EFB">
        <w:rPr>
          <w:lang w:val="fr-CA"/>
        </w:rPr>
        <w:t>rétabli</w:t>
      </w:r>
      <w:r w:rsidRPr="005800D9">
        <w:rPr>
          <w:lang w:val="fr-CA"/>
        </w:rPr>
        <w:t xml:space="preserve"> </w:t>
      </w:r>
      <w:r>
        <w:rPr>
          <w:lang w:val="fr-CA"/>
        </w:rPr>
        <w:t>la décision de la Commission, qui avait</w:t>
      </w:r>
      <w:r w:rsidRPr="005800D9">
        <w:rPr>
          <w:lang w:val="fr-CA"/>
        </w:rPr>
        <w:t xml:space="preserve"> rejet</w:t>
      </w:r>
      <w:r>
        <w:rPr>
          <w:lang w:val="fr-CA"/>
        </w:rPr>
        <w:t>é</w:t>
      </w:r>
      <w:r w:rsidRPr="005800D9">
        <w:rPr>
          <w:lang w:val="fr-CA"/>
        </w:rPr>
        <w:t xml:space="preserve"> la demande de </w:t>
      </w:r>
      <w:r>
        <w:rPr>
          <w:lang w:val="fr-CA"/>
        </w:rPr>
        <w:t xml:space="preserve">M. Martin. </w:t>
      </w:r>
    </w:p>
    <w:p w:rsidR="003D74EC" w:rsidRPr="00F8065C" w:rsidRDefault="003D74EC" w:rsidP="007B13C0">
      <w:pPr>
        <w:pStyle w:val="ParaNoNdepar-AltN"/>
        <w:rPr>
          <w:lang w:val="fr-CA"/>
        </w:rPr>
      </w:pPr>
      <w:r>
        <w:rPr>
          <w:lang w:val="fr-CA"/>
        </w:rPr>
        <w:t xml:space="preserve">Le pourvoi pose principalement la question de savoir si la </w:t>
      </w:r>
      <w:r w:rsidRPr="008724D4">
        <w:rPr>
          <w:i/>
          <w:lang w:val="fr-CA"/>
        </w:rPr>
        <w:t>LIAÉ</w:t>
      </w:r>
      <w:r>
        <w:rPr>
          <w:lang w:val="fr-CA"/>
        </w:rPr>
        <w:t xml:space="preserve"> exige que les organismes provinciaux déterminent le droit à l’indemnité en appliquant la législation et les politiques provinciales.  Les cours d’appel provinciales ont rendu des décisions divergentes sur ce point.  Certaines ont conclu que la </w:t>
      </w:r>
      <w:r w:rsidRPr="008724D4">
        <w:rPr>
          <w:i/>
          <w:lang w:val="fr-CA"/>
        </w:rPr>
        <w:t>LIAÉ</w:t>
      </w:r>
      <w:r>
        <w:rPr>
          <w:lang w:val="fr-CA"/>
        </w:rPr>
        <w:t xml:space="preserve"> constitue un </w:t>
      </w:r>
      <w:r>
        <w:rPr>
          <w:lang w:val="fr-CA"/>
        </w:rPr>
        <w:lastRenderedPageBreak/>
        <w:t xml:space="preserve">code complet régissant l’admissibilité des </w:t>
      </w:r>
      <w:r w:rsidRPr="00C51F6E">
        <w:rPr>
          <w:lang w:val="fr-CA"/>
        </w:rPr>
        <w:t>travailleurs fédéraux</w:t>
      </w:r>
      <w:r>
        <w:rPr>
          <w:lang w:val="fr-CA"/>
        </w:rPr>
        <w:t xml:space="preserve"> à l’indemnité</w:t>
      </w:r>
      <w:r w:rsidRPr="002D110F">
        <w:rPr>
          <w:rStyle w:val="Hyperlink"/>
          <w:u w:val="none"/>
          <w:vertAlign w:val="superscript"/>
        </w:rPr>
        <w:footnoteReference w:id="1"/>
      </w:r>
      <w:r>
        <w:rPr>
          <w:lang w:val="fr-CA"/>
        </w:rPr>
        <w:t>.  D’autres, telle la Cour d’appel de l’</w:t>
      </w:r>
      <w:r w:rsidRPr="00F8065C">
        <w:rPr>
          <w:lang w:val="fr-CA"/>
        </w:rPr>
        <w:t>Alberta</w:t>
      </w:r>
      <w:r>
        <w:rPr>
          <w:lang w:val="fr-CA"/>
        </w:rPr>
        <w:t xml:space="preserve"> en l’espèce, ont jugé que l’admissibilité à l’indemnité sous le régime de la </w:t>
      </w:r>
      <w:r w:rsidRPr="008724D4">
        <w:rPr>
          <w:i/>
          <w:lang w:val="fr-CA"/>
        </w:rPr>
        <w:t>LIAÉ</w:t>
      </w:r>
      <w:r w:rsidRPr="00F8065C">
        <w:rPr>
          <w:lang w:val="fr-CA"/>
        </w:rPr>
        <w:t xml:space="preserve"> </w:t>
      </w:r>
      <w:r>
        <w:rPr>
          <w:lang w:val="fr-CA"/>
        </w:rPr>
        <w:t>obéit aux règles provinciales</w:t>
      </w:r>
      <w:r w:rsidRPr="002D110F">
        <w:rPr>
          <w:rStyle w:val="Hyperlink"/>
          <w:u w:val="none"/>
          <w:vertAlign w:val="superscript"/>
        </w:rPr>
        <w:footnoteReference w:id="2"/>
      </w:r>
      <w:r>
        <w:rPr>
          <w:lang w:val="fr-CA"/>
        </w:rPr>
        <w:t>.</w:t>
      </w:r>
      <w:r w:rsidRPr="00F8065C">
        <w:rPr>
          <w:lang w:val="fr-CA"/>
        </w:rPr>
        <w:t xml:space="preserve"> </w:t>
      </w:r>
    </w:p>
    <w:p w:rsidR="003D74EC" w:rsidRPr="00F8065C" w:rsidRDefault="003D74EC" w:rsidP="007B13C0">
      <w:pPr>
        <w:pStyle w:val="ParaNoNdepar-AltN"/>
        <w:rPr>
          <w:lang w:val="fr-CA"/>
        </w:rPr>
      </w:pPr>
      <w:r>
        <w:rPr>
          <w:lang w:val="fr-CA"/>
        </w:rPr>
        <w:t xml:space="preserve">Je suis d’avis de rejeter le pourvoi.  Suivant la </w:t>
      </w:r>
      <w:r w:rsidRPr="008724D4">
        <w:rPr>
          <w:i/>
          <w:lang w:val="fr-CA"/>
        </w:rPr>
        <w:t>LIAÉ</w:t>
      </w:r>
      <w:r>
        <w:rPr>
          <w:lang w:val="fr-CA"/>
        </w:rPr>
        <w:t>, les autorités provinciales compétentes doivent appliquer la législation et les politiques en vigueur dans leur province, dans la mesure où celles</w:t>
      </w:r>
      <w:r>
        <w:rPr>
          <w:lang w:val="fr-CA"/>
        </w:rPr>
        <w:noBreakHyphen/>
        <w:t>ci n’entrent pas en conflit avec les dispositions de la loi fédérale.  J’estime que la décision de la Commission, qui a rejeté la demande, était raisonnable</w:t>
      </w:r>
      <w:r w:rsidRPr="00F8065C">
        <w:rPr>
          <w:lang w:val="fr-CA"/>
        </w:rPr>
        <w:t>.</w:t>
      </w:r>
    </w:p>
    <w:p w:rsidR="003D74EC" w:rsidRPr="00F8065C" w:rsidRDefault="003D74EC" w:rsidP="007B13C0">
      <w:pPr>
        <w:pStyle w:val="Title1LevelTitre1Niveau-AltL"/>
        <w:keepNext w:val="0"/>
        <w:rPr>
          <w:lang w:val="fr-CA"/>
        </w:rPr>
      </w:pPr>
      <w:r>
        <w:rPr>
          <w:lang w:val="fr-CA"/>
        </w:rPr>
        <w:t>Les faits</w:t>
      </w:r>
    </w:p>
    <w:p w:rsidR="003D74EC" w:rsidRPr="00F8065C" w:rsidRDefault="003D74EC" w:rsidP="007B13C0">
      <w:pPr>
        <w:pStyle w:val="ParaNoNdepar-AltN"/>
        <w:rPr>
          <w:lang w:val="fr-CA"/>
        </w:rPr>
      </w:pPr>
      <w:r>
        <w:rPr>
          <w:lang w:val="fr-CA"/>
        </w:rPr>
        <w:t>L’appelant, M.</w:t>
      </w:r>
      <w:r w:rsidR="007B13C0">
        <w:rPr>
          <w:lang w:val="fr-CA"/>
        </w:rPr>
        <w:t xml:space="preserve"> </w:t>
      </w:r>
      <w:r w:rsidRPr="00F8065C">
        <w:rPr>
          <w:lang w:val="fr-CA"/>
        </w:rPr>
        <w:t xml:space="preserve">Douglas Martin, </w:t>
      </w:r>
      <w:r>
        <w:rPr>
          <w:lang w:val="fr-CA"/>
        </w:rPr>
        <w:t xml:space="preserve">a été engagé à titre de garde de parc par Parcs Canada en 1973.  En 2000, il a déposé contre son employeur une plainte en matière de santé et sécurité au travail, exigeant le port d’armes pour les gardes lorsqu’ils accomplissent des fonctions d’application de la loi.  Cette plainte a donné lieu à diverses procédures au sein de l’organisation, recours judiciaires et appels.  L’appelant a estimé que son rôle directeur dans ce différend lui avait fait perdre des occasions professionnelles, de formation et d’avancement. </w:t>
      </w:r>
    </w:p>
    <w:p w:rsidR="003D74EC" w:rsidRPr="00F8065C" w:rsidRDefault="003D74EC" w:rsidP="007B13C0">
      <w:pPr>
        <w:pStyle w:val="ParaNoNdepar-AltN"/>
        <w:rPr>
          <w:lang w:val="fr-CA"/>
        </w:rPr>
      </w:pPr>
      <w:r>
        <w:rPr>
          <w:lang w:val="fr-CA"/>
        </w:rPr>
        <w:lastRenderedPageBreak/>
        <w:t xml:space="preserve">En juin 2006, </w:t>
      </w:r>
      <w:r w:rsidRPr="00F8065C">
        <w:rPr>
          <w:lang w:val="fr-CA"/>
        </w:rPr>
        <w:t>Par</w:t>
      </w:r>
      <w:r>
        <w:rPr>
          <w:lang w:val="fr-CA"/>
        </w:rPr>
        <w:t>c</w:t>
      </w:r>
      <w:r w:rsidRPr="00F8065C">
        <w:rPr>
          <w:lang w:val="fr-CA"/>
        </w:rPr>
        <w:t xml:space="preserve">s Canada </w:t>
      </w:r>
      <w:r>
        <w:rPr>
          <w:lang w:val="fr-CA"/>
        </w:rPr>
        <w:t xml:space="preserve">a </w:t>
      </w:r>
      <w:r w:rsidRPr="00120EFB">
        <w:rPr>
          <w:lang w:val="fr-CA"/>
        </w:rPr>
        <w:t>reçu une demande présentée en vertu de la législation sur l’accès à l’information et a</w:t>
      </w:r>
      <w:r>
        <w:rPr>
          <w:lang w:val="fr-CA"/>
        </w:rPr>
        <w:t xml:space="preserve"> enjoint à l’appelant de communiquer des renseignements au sujet de données contenues dans son ordinateur de travail </w:t>
      </w:r>
      <w:r w:rsidRPr="00120EFB">
        <w:rPr>
          <w:lang w:val="fr-CA"/>
        </w:rPr>
        <w:t>pour lui permettre de répondre à cette demande.  Jugeant la réponse insatisfaisante</w:t>
      </w:r>
      <w:r>
        <w:rPr>
          <w:lang w:val="fr-CA"/>
        </w:rPr>
        <w:t>, Parcs Canada a informé l’appelant, dans une lettre qu’il a reçue le 18</w:t>
      </w:r>
      <w:r w:rsidR="007B13C0">
        <w:rPr>
          <w:lang w:val="fr-CA"/>
        </w:rPr>
        <w:t xml:space="preserve"> </w:t>
      </w:r>
      <w:r>
        <w:rPr>
          <w:lang w:val="fr-CA"/>
        </w:rPr>
        <w:t>décembre, que des mesures disciplinaires seraient prises s’il ne la complétait pas au plus tard le 13</w:t>
      </w:r>
      <w:r w:rsidR="007B13C0">
        <w:rPr>
          <w:lang w:val="fr-CA"/>
        </w:rPr>
        <w:t xml:space="preserve"> </w:t>
      </w:r>
      <w:r>
        <w:rPr>
          <w:lang w:val="fr-CA"/>
        </w:rPr>
        <w:t xml:space="preserve">décembre (soit cinq jours avant la réception de la lettre). </w:t>
      </w:r>
    </w:p>
    <w:p w:rsidR="003D74EC" w:rsidRPr="00F8065C" w:rsidRDefault="003D74EC" w:rsidP="007B13C0">
      <w:pPr>
        <w:pStyle w:val="ParaNoNdepar-AltN"/>
        <w:rPr>
          <w:lang w:val="fr-CA"/>
        </w:rPr>
      </w:pPr>
      <w:r>
        <w:rPr>
          <w:lang w:val="fr-CA"/>
        </w:rPr>
        <w:t>L’appelant, qui avait déjà une réprimande à son dossier, craignait que la prochaine mesure disciplinaire ne prenne la forme d’un renvoi.  Prétendant que la lettre avait provoqué chez lui des troubles psychologiques, après les années de stress causé par le différend relatif à la santé et la sécurité au travail, il a pris un congé de maladie à compter du 23</w:t>
      </w:r>
      <w:r w:rsidR="007B13C0">
        <w:rPr>
          <w:lang w:val="fr-CA"/>
        </w:rPr>
        <w:t xml:space="preserve"> </w:t>
      </w:r>
      <w:r>
        <w:rPr>
          <w:lang w:val="fr-CA"/>
        </w:rPr>
        <w:t>décembre 2006, a consulté des professionnels de la santé en vue d’obtenir un traitement et, le mois suivant, a présenté une demande d’indemnisation pour stress chronique</w:t>
      </w:r>
      <w:r w:rsidRPr="00F8065C">
        <w:rPr>
          <w:lang w:val="fr-CA"/>
        </w:rPr>
        <w:t>.</w:t>
      </w:r>
    </w:p>
    <w:p w:rsidR="003D74EC" w:rsidRPr="00F8065C" w:rsidRDefault="003D74EC" w:rsidP="007B13C0">
      <w:pPr>
        <w:pStyle w:val="Title1LevelTitre1Niveau-AltL"/>
        <w:keepNext w:val="0"/>
        <w:rPr>
          <w:lang w:val="fr-CA"/>
        </w:rPr>
      </w:pPr>
      <w:r>
        <w:rPr>
          <w:lang w:val="fr-CA"/>
        </w:rPr>
        <w:t>Historique judiciaire</w:t>
      </w:r>
    </w:p>
    <w:p w:rsidR="003D74EC" w:rsidRPr="000E2846" w:rsidRDefault="003D74EC" w:rsidP="007B13C0">
      <w:pPr>
        <w:pStyle w:val="ParaNoNdepar-AltN"/>
        <w:rPr>
          <w:lang w:val="fr-CA"/>
        </w:rPr>
      </w:pPr>
      <w:r>
        <w:rPr>
          <w:lang w:val="fr-CA"/>
        </w:rPr>
        <w:t>La demande de l’appelant a été rejetée à trois paliers de la procédure d’</w:t>
      </w:r>
      <w:r w:rsidRPr="000E2846">
        <w:rPr>
          <w:lang w:val="fr-CA"/>
        </w:rPr>
        <w:t>indemnisation des accidents du travail — l</w:t>
      </w:r>
      <w:r>
        <w:rPr>
          <w:lang w:val="fr-CA"/>
        </w:rPr>
        <w:t>’</w:t>
      </w:r>
      <w:r w:rsidRPr="000E2846">
        <w:rPr>
          <w:lang w:val="fr-CA"/>
        </w:rPr>
        <w:t>Alberta Workers</w:t>
      </w:r>
      <w:r>
        <w:rPr>
          <w:lang w:val="fr-CA"/>
        </w:rPr>
        <w:t>’</w:t>
      </w:r>
      <w:r w:rsidRPr="000E2846">
        <w:rPr>
          <w:lang w:val="fr-CA"/>
        </w:rPr>
        <w:t xml:space="preserve"> Compensation Board (WCB), le Dispute Resolution and Decision Review Bo</w:t>
      </w:r>
      <w:r>
        <w:rPr>
          <w:lang w:val="fr-CA"/>
        </w:rPr>
        <w:t>dy</w:t>
      </w:r>
      <w:r w:rsidRPr="000E2846">
        <w:rPr>
          <w:lang w:val="fr-CA"/>
        </w:rPr>
        <w:t xml:space="preserve"> et la Commission </w:t>
      </w:r>
      <w:r>
        <w:rPr>
          <w:lang w:val="fr-CA"/>
        </w:rPr>
        <w:t xml:space="preserve">— </w:t>
      </w:r>
      <w:r w:rsidRPr="00120EFB">
        <w:rPr>
          <w:lang w:val="fr-CA"/>
        </w:rPr>
        <w:t>au motif qu’elle</w:t>
      </w:r>
      <w:r w:rsidRPr="000E2846">
        <w:rPr>
          <w:lang w:val="fr-CA"/>
        </w:rPr>
        <w:t xml:space="preserve"> ne satisfaisait pas aux c</w:t>
      </w:r>
      <w:r>
        <w:rPr>
          <w:lang w:val="fr-CA"/>
        </w:rPr>
        <w:t>ritères</w:t>
      </w:r>
      <w:r w:rsidRPr="000E2846">
        <w:rPr>
          <w:lang w:val="fr-CA"/>
        </w:rPr>
        <w:t xml:space="preserve"> énumérés à la Politique </w:t>
      </w:r>
      <w:r>
        <w:rPr>
          <w:lang w:val="fr-CA"/>
        </w:rPr>
        <w:t xml:space="preserve">quant </w:t>
      </w:r>
      <w:r w:rsidRPr="000E2846">
        <w:rPr>
          <w:lang w:val="fr-CA"/>
        </w:rPr>
        <w:t xml:space="preserve">au stress chronique.  Plus particulièrement, la Commission a </w:t>
      </w:r>
      <w:r>
        <w:rPr>
          <w:lang w:val="fr-CA"/>
        </w:rPr>
        <w:t>conclu</w:t>
      </w:r>
      <w:r w:rsidRPr="000E2846">
        <w:rPr>
          <w:lang w:val="fr-CA"/>
        </w:rPr>
        <w:t xml:space="preserve"> que les troisième et quatrième c</w:t>
      </w:r>
      <w:r>
        <w:rPr>
          <w:lang w:val="fr-CA"/>
        </w:rPr>
        <w:t>ritères de la Politique provinciale</w:t>
      </w:r>
      <w:r w:rsidRPr="000E2846">
        <w:rPr>
          <w:lang w:val="fr-CA"/>
        </w:rPr>
        <w:t>, à savoir [</w:t>
      </w:r>
      <w:r w:rsidRPr="000E2846">
        <w:rPr>
          <w:smallCaps/>
          <w:lang w:val="fr-CA"/>
        </w:rPr>
        <w:t>traduction</w:t>
      </w:r>
      <w:r w:rsidRPr="000E2846">
        <w:rPr>
          <w:lang w:val="fr-CA"/>
        </w:rPr>
        <w:t>] «</w:t>
      </w:r>
      <w:r w:rsidR="007B13C0">
        <w:rPr>
          <w:lang w:val="fr-CA"/>
        </w:rPr>
        <w:t xml:space="preserve"> </w:t>
      </w:r>
      <w:r w:rsidRPr="000E2846">
        <w:rPr>
          <w:lang w:val="fr-CA"/>
        </w:rPr>
        <w:t xml:space="preserve">les </w:t>
      </w:r>
      <w:r>
        <w:rPr>
          <w:lang w:val="fr-CA"/>
        </w:rPr>
        <w:lastRenderedPageBreak/>
        <w:t>événements</w:t>
      </w:r>
      <w:r w:rsidRPr="000E2846">
        <w:rPr>
          <w:lang w:val="fr-CA"/>
        </w:rPr>
        <w:t xml:space="preserve"> liés au travail sont excessifs ou inusités par rapport aux pressions et tensions normales auxquelles le travailleur moyen occupant un emploi semblable est assujetti</w:t>
      </w:r>
      <w:r w:rsidR="007B13C0">
        <w:rPr>
          <w:lang w:val="fr-CA"/>
        </w:rPr>
        <w:t xml:space="preserve"> </w:t>
      </w:r>
      <w:r w:rsidRPr="000E2846">
        <w:rPr>
          <w:lang w:val="fr-CA"/>
        </w:rPr>
        <w:t>» et</w:t>
      </w:r>
      <w:r>
        <w:rPr>
          <w:lang w:val="fr-CA"/>
        </w:rPr>
        <w:t xml:space="preserve"> «</w:t>
      </w:r>
      <w:r w:rsidR="007B13C0">
        <w:rPr>
          <w:lang w:val="fr-CA"/>
        </w:rPr>
        <w:t xml:space="preserve"> </w:t>
      </w:r>
      <w:r>
        <w:rPr>
          <w:lang w:val="fr-CA"/>
        </w:rPr>
        <w:t>l</w:t>
      </w:r>
      <w:r w:rsidRPr="000E2846">
        <w:rPr>
          <w:lang w:val="fr-CA"/>
        </w:rPr>
        <w:t xml:space="preserve">es </w:t>
      </w:r>
      <w:r>
        <w:rPr>
          <w:lang w:val="fr-CA"/>
        </w:rPr>
        <w:t>événements ont été confirmés de manière objective</w:t>
      </w:r>
      <w:r w:rsidR="007B13C0">
        <w:rPr>
          <w:lang w:val="fr-CA"/>
        </w:rPr>
        <w:t xml:space="preserve"> </w:t>
      </w:r>
      <w:r>
        <w:rPr>
          <w:lang w:val="fr-CA"/>
        </w:rPr>
        <w:t xml:space="preserve">», </w:t>
      </w:r>
      <w:r w:rsidRPr="000E2846">
        <w:rPr>
          <w:lang w:val="fr-CA"/>
        </w:rPr>
        <w:t>n</w:t>
      </w:r>
      <w:r>
        <w:rPr>
          <w:lang w:val="fr-CA"/>
        </w:rPr>
        <w:t>’étaient pas rempli</w:t>
      </w:r>
      <w:r w:rsidRPr="000E2846">
        <w:rPr>
          <w:lang w:val="fr-CA"/>
        </w:rPr>
        <w:t>s</w:t>
      </w:r>
      <w:r>
        <w:rPr>
          <w:lang w:val="fr-CA"/>
        </w:rPr>
        <w:t xml:space="preserve"> (</w:t>
      </w:r>
      <w:r w:rsidR="007B13C0">
        <w:rPr>
          <w:lang w:val="fr-CA"/>
        </w:rPr>
        <w:t>Recueil de sources de l’appelant</w:t>
      </w:r>
      <w:r>
        <w:rPr>
          <w:lang w:val="fr-CA"/>
        </w:rPr>
        <w:t>, p.</w:t>
      </w:r>
      <w:r w:rsidR="007B13C0">
        <w:rPr>
          <w:lang w:val="fr-CA"/>
        </w:rPr>
        <w:t xml:space="preserve"> </w:t>
      </w:r>
      <w:r>
        <w:rPr>
          <w:lang w:val="fr-CA"/>
        </w:rPr>
        <w:t>56)</w:t>
      </w:r>
      <w:r w:rsidRPr="000E2846">
        <w:rPr>
          <w:lang w:val="fr-CA"/>
        </w:rPr>
        <w:t>.</w:t>
      </w:r>
    </w:p>
    <w:p w:rsidR="003D74EC" w:rsidRPr="00F8065C" w:rsidRDefault="003D74EC" w:rsidP="007B13C0">
      <w:pPr>
        <w:pStyle w:val="ParaNoNdepar-AltN"/>
        <w:rPr>
          <w:lang w:val="fr-CA"/>
        </w:rPr>
      </w:pPr>
      <w:r>
        <w:rPr>
          <w:lang w:val="fr-CA"/>
        </w:rPr>
        <w:t>À l’issue d’un contrôle judiciaire, la Cour du Banc de la Reine de l’</w:t>
      </w:r>
      <w:r w:rsidRPr="00F8065C">
        <w:rPr>
          <w:lang w:val="fr-CA"/>
        </w:rPr>
        <w:t>Alberta</w:t>
      </w:r>
      <w:r>
        <w:rPr>
          <w:lang w:val="fr-CA"/>
        </w:rPr>
        <w:t>,</w:t>
      </w:r>
      <w:r w:rsidRPr="00F8065C">
        <w:rPr>
          <w:lang w:val="fr-CA"/>
        </w:rPr>
        <w:t xml:space="preserve"> </w:t>
      </w:r>
      <w:r>
        <w:rPr>
          <w:lang w:val="fr-CA"/>
        </w:rPr>
        <w:t xml:space="preserve">concluant à l’inapplicabilité de la Politique, a annulé la décision et renvoyé l’affaire à la Commission.  Selon la cour, l’appelant étant un agent de l’État fédéral, son admissibilité à l’indemnité était régie par la </w:t>
      </w:r>
      <w:r w:rsidRPr="002D6B86">
        <w:rPr>
          <w:i/>
          <w:lang w:val="fr-CA"/>
        </w:rPr>
        <w:t>LIAÉ</w:t>
      </w:r>
      <w:r>
        <w:rPr>
          <w:i/>
          <w:lang w:val="fr-CA"/>
        </w:rPr>
        <w:t xml:space="preserve"> </w:t>
      </w:r>
      <w:r>
        <w:rPr>
          <w:lang w:val="fr-CA"/>
        </w:rPr>
        <w:t xml:space="preserve">seulement, laquelle visait à garantir l’application des mêmes règles à tous les agents de l’État fédéral au Canada.  Les troisième et quatrième critères d’admissibilité énoncés à la Politique présentaient </w:t>
      </w:r>
      <w:r w:rsidRPr="00120EFB">
        <w:rPr>
          <w:lang w:val="fr-CA"/>
        </w:rPr>
        <w:t>d’autres obstacles illégitimes et incompatibles</w:t>
      </w:r>
      <w:r>
        <w:rPr>
          <w:lang w:val="fr-CA"/>
        </w:rPr>
        <w:t xml:space="preserve"> avec la </w:t>
      </w:r>
      <w:r w:rsidRPr="002D6B86">
        <w:rPr>
          <w:i/>
          <w:lang w:val="fr-CA"/>
        </w:rPr>
        <w:t>LIAÉ</w:t>
      </w:r>
      <w:r w:rsidRPr="00F8065C">
        <w:rPr>
          <w:lang w:val="fr-CA"/>
        </w:rPr>
        <w:t>.</w:t>
      </w:r>
    </w:p>
    <w:p w:rsidR="003D74EC" w:rsidRPr="00F8065C" w:rsidRDefault="003D74EC" w:rsidP="007B13C0">
      <w:pPr>
        <w:pStyle w:val="ParaNoNdepar-AltN"/>
        <w:rPr>
          <w:lang w:val="fr-CA"/>
        </w:rPr>
      </w:pPr>
      <w:r>
        <w:rPr>
          <w:lang w:val="fr-CA"/>
        </w:rPr>
        <w:t xml:space="preserve">La Cour d’appel de l’Alberta </w:t>
      </w:r>
      <w:r w:rsidRPr="00F8065C">
        <w:rPr>
          <w:lang w:val="fr-CA"/>
        </w:rPr>
        <w:t>(2012 ABCA 248</w:t>
      </w:r>
      <w:r>
        <w:rPr>
          <w:lang w:val="fr-CA"/>
        </w:rPr>
        <w:t>, 65 Alta. L.R. (5th) 220</w:t>
      </w:r>
      <w:r w:rsidRPr="00F8065C">
        <w:rPr>
          <w:lang w:val="fr-CA"/>
        </w:rPr>
        <w:t xml:space="preserve"> (</w:t>
      </w:r>
      <w:r>
        <w:rPr>
          <w:lang w:val="fr-CA"/>
        </w:rPr>
        <w:t xml:space="preserve">la juge en chef </w:t>
      </w:r>
      <w:r w:rsidRPr="00F8065C">
        <w:rPr>
          <w:lang w:val="fr-CA"/>
        </w:rPr>
        <w:t>Fraser</w:t>
      </w:r>
      <w:r>
        <w:rPr>
          <w:lang w:val="fr-CA"/>
        </w:rPr>
        <w:t xml:space="preserve"> et les juges </w:t>
      </w:r>
      <w:r w:rsidRPr="00F8065C">
        <w:rPr>
          <w:lang w:val="fr-CA"/>
        </w:rPr>
        <w:t xml:space="preserve">Watson </w:t>
      </w:r>
      <w:r>
        <w:rPr>
          <w:lang w:val="fr-CA"/>
        </w:rPr>
        <w:t>et</w:t>
      </w:r>
      <w:r w:rsidRPr="00F8065C">
        <w:rPr>
          <w:lang w:val="fr-CA"/>
        </w:rPr>
        <w:t xml:space="preserve"> McDonald)) </w:t>
      </w:r>
      <w:r>
        <w:rPr>
          <w:lang w:val="fr-CA"/>
        </w:rPr>
        <w:t>a rétabli la décision de la Commission (par.</w:t>
      </w:r>
      <w:r w:rsidR="007B13C0">
        <w:rPr>
          <w:lang w:val="fr-CA"/>
        </w:rPr>
        <w:t xml:space="preserve"> </w:t>
      </w:r>
      <w:r w:rsidRPr="00F8065C">
        <w:rPr>
          <w:lang w:val="fr-CA"/>
        </w:rPr>
        <w:t>8</w:t>
      </w:r>
      <w:r>
        <w:rPr>
          <w:lang w:val="fr-CA"/>
        </w:rPr>
        <w:t xml:space="preserve">4).  Les juges majoritaires étaient d’avis que le législateur avait eu l’intention de s’en remettre aux critères provinciaux d’admissibilité et que ceux énoncés à la Politique n’entraient pas en conflit avec la </w:t>
      </w:r>
      <w:r w:rsidRPr="002D6B86">
        <w:rPr>
          <w:i/>
          <w:lang w:val="fr-CA"/>
        </w:rPr>
        <w:t>LIAÉ</w:t>
      </w:r>
      <w:r>
        <w:rPr>
          <w:lang w:val="fr-CA"/>
        </w:rPr>
        <w:t xml:space="preserve"> </w:t>
      </w:r>
      <w:r w:rsidRPr="00F8065C">
        <w:rPr>
          <w:lang w:val="fr-CA"/>
        </w:rPr>
        <w:t>(</w:t>
      </w:r>
      <w:r>
        <w:rPr>
          <w:lang w:val="fr-CA"/>
        </w:rPr>
        <w:t>par.</w:t>
      </w:r>
      <w:r w:rsidR="007B13C0">
        <w:rPr>
          <w:lang w:val="fr-CA"/>
        </w:rPr>
        <w:t xml:space="preserve"> </w:t>
      </w:r>
      <w:r w:rsidRPr="00F8065C">
        <w:rPr>
          <w:lang w:val="fr-CA"/>
        </w:rPr>
        <w:t>4</w:t>
      </w:r>
      <w:r w:rsidR="000D6F0F">
        <w:rPr>
          <w:lang w:val="fr-CA"/>
        </w:rPr>
        <w:t>-</w:t>
      </w:r>
      <w:r w:rsidRPr="00F8065C">
        <w:rPr>
          <w:lang w:val="fr-CA"/>
        </w:rPr>
        <w:t>8, 30</w:t>
      </w:r>
      <w:r w:rsidR="000D6F0F">
        <w:rPr>
          <w:lang w:val="fr-CA"/>
        </w:rPr>
        <w:t>-</w:t>
      </w:r>
      <w:r w:rsidRPr="00F8065C">
        <w:rPr>
          <w:lang w:val="fr-CA"/>
        </w:rPr>
        <w:t>33, 35</w:t>
      </w:r>
      <w:r w:rsidR="000D6F0F">
        <w:rPr>
          <w:lang w:val="fr-CA"/>
        </w:rPr>
        <w:t>-</w:t>
      </w:r>
      <w:r w:rsidRPr="00F8065C">
        <w:rPr>
          <w:lang w:val="fr-CA"/>
        </w:rPr>
        <w:t>47</w:t>
      </w:r>
      <w:r>
        <w:rPr>
          <w:lang w:val="fr-CA"/>
        </w:rPr>
        <w:t xml:space="preserve"> et</w:t>
      </w:r>
      <w:r w:rsidR="007B13C0">
        <w:rPr>
          <w:lang w:val="fr-CA"/>
        </w:rPr>
        <w:t xml:space="preserve"> </w:t>
      </w:r>
      <w:r w:rsidRPr="00F8065C">
        <w:rPr>
          <w:lang w:val="fr-CA"/>
        </w:rPr>
        <w:t xml:space="preserve">51). </w:t>
      </w:r>
    </w:p>
    <w:p w:rsidR="003D74EC" w:rsidRPr="007D3981" w:rsidRDefault="003D74EC" w:rsidP="007B13C0">
      <w:pPr>
        <w:pStyle w:val="Title1LevelTitre1Niveau-AltL"/>
        <w:keepNext w:val="0"/>
        <w:rPr>
          <w:lang w:val="fr-CA"/>
        </w:rPr>
      </w:pPr>
      <w:r w:rsidRPr="007D3981">
        <w:rPr>
          <w:lang w:val="fr-CA"/>
        </w:rPr>
        <w:t>Analyse</w:t>
      </w:r>
    </w:p>
    <w:p w:rsidR="003D74EC" w:rsidRPr="00F8065C" w:rsidRDefault="003D74EC" w:rsidP="007B13C0">
      <w:pPr>
        <w:pStyle w:val="Title2LevelTitre2Niveau"/>
        <w:keepNext w:val="0"/>
        <w:rPr>
          <w:lang w:val="fr-CA"/>
        </w:rPr>
      </w:pPr>
      <w:r w:rsidRPr="00D672C2">
        <w:t>Questions</w:t>
      </w:r>
      <w:r>
        <w:rPr>
          <w:lang w:val="fr-CA"/>
        </w:rPr>
        <w:t xml:space="preserve"> en litige</w:t>
      </w:r>
    </w:p>
    <w:p w:rsidR="003D74EC" w:rsidRPr="00F8065C" w:rsidRDefault="003D74EC" w:rsidP="007B13C0">
      <w:pPr>
        <w:pStyle w:val="ParaNoNdepar-AltN"/>
        <w:rPr>
          <w:lang w:val="fr-CA"/>
        </w:rPr>
      </w:pPr>
      <w:r>
        <w:rPr>
          <w:lang w:val="fr-CA"/>
        </w:rPr>
        <w:lastRenderedPageBreak/>
        <w:t>Le pourvoi soulève trois questions.  Premièrement, la Commission est</w:t>
      </w:r>
      <w:r>
        <w:rPr>
          <w:lang w:val="fr-CA"/>
        </w:rPr>
        <w:noBreakHyphen/>
        <w:t xml:space="preserve">elle habilitée à déterminer l’admissibilité à une indemnité prévue par la </w:t>
      </w:r>
      <w:r w:rsidRPr="002E6B6D">
        <w:rPr>
          <w:i/>
          <w:lang w:val="fr-CA"/>
        </w:rPr>
        <w:t>LIAÉ</w:t>
      </w:r>
      <w:r>
        <w:rPr>
          <w:lang w:val="fr-CA"/>
        </w:rPr>
        <w:t xml:space="preserve"> en fonction d’une politique provinciale?  Deuxièmement, si c’est le cas, la Politique en cause entre</w:t>
      </w:r>
      <w:r>
        <w:rPr>
          <w:lang w:val="fr-CA"/>
        </w:rPr>
        <w:noBreakHyphen/>
        <w:t>t</w:t>
      </w:r>
      <w:r>
        <w:rPr>
          <w:lang w:val="fr-CA"/>
        </w:rPr>
        <w:noBreakHyphen/>
        <w:t>elle en conflit avec la définition d’«</w:t>
      </w:r>
      <w:r w:rsidR="007B13C0">
        <w:rPr>
          <w:lang w:val="fr-CA"/>
        </w:rPr>
        <w:t xml:space="preserve"> </w:t>
      </w:r>
      <w:r>
        <w:rPr>
          <w:lang w:val="fr-CA"/>
        </w:rPr>
        <w:t>accident</w:t>
      </w:r>
      <w:r w:rsidR="007B13C0">
        <w:rPr>
          <w:lang w:val="fr-CA"/>
        </w:rPr>
        <w:t xml:space="preserve"> </w:t>
      </w:r>
      <w:r>
        <w:rPr>
          <w:lang w:val="fr-CA"/>
        </w:rPr>
        <w:t xml:space="preserve">» énoncée à la </w:t>
      </w:r>
      <w:r w:rsidRPr="002E6B6D">
        <w:rPr>
          <w:i/>
          <w:lang w:val="fr-CA"/>
        </w:rPr>
        <w:t>LIAÉ</w:t>
      </w:r>
      <w:r>
        <w:rPr>
          <w:lang w:val="fr-CA"/>
        </w:rPr>
        <w:t>? Enfin, la décision de la Commission, qui a rejeté la demande d’indemnisation, était</w:t>
      </w:r>
      <w:r>
        <w:rPr>
          <w:lang w:val="fr-CA"/>
        </w:rPr>
        <w:noBreakHyphen/>
        <w:t>elle raisonnable en l’espèce?</w:t>
      </w:r>
    </w:p>
    <w:p w:rsidR="003D74EC" w:rsidRPr="00F8065C" w:rsidRDefault="003D74EC" w:rsidP="007B13C0">
      <w:pPr>
        <w:pStyle w:val="Title2LevelTitre2Niveau"/>
        <w:keepNext w:val="0"/>
        <w:rPr>
          <w:lang w:val="fr-CA"/>
        </w:rPr>
      </w:pPr>
      <w:r>
        <w:rPr>
          <w:lang w:val="fr-CA"/>
        </w:rPr>
        <w:t>Norme de contrôle</w:t>
      </w:r>
    </w:p>
    <w:p w:rsidR="003D74EC" w:rsidRDefault="003D74EC" w:rsidP="007B13C0">
      <w:pPr>
        <w:pStyle w:val="ParaNoNdepar-AltN"/>
        <w:rPr>
          <w:lang w:val="fr-CA"/>
        </w:rPr>
      </w:pPr>
      <w:r>
        <w:rPr>
          <w:lang w:val="fr-CA"/>
        </w:rPr>
        <w:t>La norme de contrôle applicable en l’espèce est celle de la décision raisonnable.  L’article</w:t>
      </w:r>
      <w:r w:rsidR="007B13C0">
        <w:rPr>
          <w:lang w:val="fr-CA"/>
        </w:rPr>
        <w:t xml:space="preserve"> </w:t>
      </w:r>
      <w:r>
        <w:rPr>
          <w:lang w:val="fr-CA"/>
        </w:rPr>
        <w:t xml:space="preserve">4 de la </w:t>
      </w:r>
      <w:r w:rsidRPr="002F231A">
        <w:rPr>
          <w:i/>
          <w:lang w:val="fr-CA"/>
        </w:rPr>
        <w:t>LIAÉ</w:t>
      </w:r>
      <w:r w:rsidRPr="00F8065C">
        <w:rPr>
          <w:lang w:val="fr-CA"/>
        </w:rPr>
        <w:t xml:space="preserve"> </w:t>
      </w:r>
      <w:r>
        <w:rPr>
          <w:lang w:val="fr-CA"/>
        </w:rPr>
        <w:t xml:space="preserve">investit les provinces d’un large pouvoir décisionnel relativement aux demandes d’indemnisation des </w:t>
      </w:r>
      <w:r w:rsidRPr="00C51F6E">
        <w:rPr>
          <w:lang w:val="fr-CA"/>
        </w:rPr>
        <w:t>travailleurs fédéraux</w:t>
      </w:r>
      <w:r>
        <w:rPr>
          <w:lang w:val="fr-CA"/>
        </w:rPr>
        <w:t xml:space="preserve">, ce qui a pour effet d’assimiler la </w:t>
      </w:r>
      <w:r w:rsidRPr="002F231A">
        <w:rPr>
          <w:i/>
          <w:lang w:val="fr-CA"/>
        </w:rPr>
        <w:t>LIAÉ</w:t>
      </w:r>
      <w:r>
        <w:rPr>
          <w:lang w:val="fr-CA"/>
        </w:rPr>
        <w:t xml:space="preserve"> à une loi «</w:t>
      </w:r>
      <w:r w:rsidR="007B13C0">
        <w:rPr>
          <w:lang w:val="fr-CA"/>
        </w:rPr>
        <w:t xml:space="preserve"> </w:t>
      </w:r>
      <w:r>
        <w:rPr>
          <w:lang w:val="fr-CA"/>
        </w:rPr>
        <w:t>constitutive</w:t>
      </w:r>
      <w:r w:rsidR="007B13C0">
        <w:rPr>
          <w:lang w:val="fr-CA"/>
        </w:rPr>
        <w:t xml:space="preserve"> </w:t>
      </w:r>
      <w:r>
        <w:rPr>
          <w:lang w:val="fr-CA"/>
        </w:rPr>
        <w:t xml:space="preserve">» des tribunaux administratifs provinciaux.  Comme la question de droit en cause ne revêt pas une importance capitale pour le système juridique et </w:t>
      </w:r>
      <w:r w:rsidRPr="00120EFB">
        <w:rPr>
          <w:lang w:val="fr-CA"/>
        </w:rPr>
        <w:t>relève bel et bien de l’expertise des organes d’indemnisation des accidents du travail,</w:t>
      </w:r>
      <w:r>
        <w:rPr>
          <w:lang w:val="fr-CA"/>
        </w:rPr>
        <w:t xml:space="preserve"> la présomption d’application de la norme de la décision raisonnable lorsque le tribunal administratif interprète sa propre loi «</w:t>
      </w:r>
      <w:r w:rsidR="007B13C0">
        <w:rPr>
          <w:lang w:val="fr-CA"/>
        </w:rPr>
        <w:t xml:space="preserve"> </w:t>
      </w:r>
      <w:r>
        <w:rPr>
          <w:lang w:val="fr-CA"/>
        </w:rPr>
        <w:t>constitutive</w:t>
      </w:r>
      <w:r w:rsidR="007B13C0">
        <w:rPr>
          <w:lang w:val="fr-CA"/>
        </w:rPr>
        <w:t xml:space="preserve"> </w:t>
      </w:r>
      <w:r>
        <w:rPr>
          <w:lang w:val="fr-CA"/>
        </w:rPr>
        <w:t>» n’est pas réfutée (</w:t>
      </w:r>
      <w:r>
        <w:rPr>
          <w:i/>
          <w:lang w:val="fr-CA"/>
        </w:rPr>
        <w:t>Alberta (Information and Privacy Commissioner) c. Alberta Teachers’ Association</w:t>
      </w:r>
      <w:r>
        <w:rPr>
          <w:lang w:val="fr-CA"/>
        </w:rPr>
        <w:t>, 2011 CSC 61, [2011] 3 R.C.S. 654, par.</w:t>
      </w:r>
      <w:r w:rsidR="007B13C0">
        <w:rPr>
          <w:lang w:val="fr-CA"/>
        </w:rPr>
        <w:t xml:space="preserve"> </w:t>
      </w:r>
      <w:r>
        <w:rPr>
          <w:lang w:val="fr-CA"/>
        </w:rPr>
        <w:t xml:space="preserve">30).  </w:t>
      </w:r>
      <w:r w:rsidRPr="00191054">
        <w:rPr>
          <w:lang w:val="fr-CA"/>
        </w:rPr>
        <w:t>C</w:t>
      </w:r>
      <w:r>
        <w:rPr>
          <w:lang w:val="fr-CA"/>
        </w:rPr>
        <w:t xml:space="preserve">omme je l’explique plus loin, le législateur entendait que les provinces se prononcent </w:t>
      </w:r>
      <w:r w:rsidRPr="00F76BDA">
        <w:rPr>
          <w:lang w:val="fr-CA"/>
        </w:rPr>
        <w:t>en général</w:t>
      </w:r>
      <w:r>
        <w:rPr>
          <w:lang w:val="fr-CA"/>
        </w:rPr>
        <w:t xml:space="preserve"> sur les demandes en fonction de la législation provinciale, ce qui ouvre la possibilité d’une application de la </w:t>
      </w:r>
      <w:r w:rsidRPr="004B583C">
        <w:rPr>
          <w:i/>
          <w:lang w:val="fr-CA"/>
        </w:rPr>
        <w:t>LIAÉ</w:t>
      </w:r>
      <w:r w:rsidRPr="00F8065C">
        <w:rPr>
          <w:lang w:val="fr-CA"/>
        </w:rPr>
        <w:t xml:space="preserve"> </w:t>
      </w:r>
      <w:r>
        <w:rPr>
          <w:lang w:val="fr-CA"/>
        </w:rPr>
        <w:t>différente dans chaque province</w:t>
      </w:r>
      <w:r w:rsidRPr="00F8065C">
        <w:rPr>
          <w:lang w:val="fr-CA"/>
        </w:rPr>
        <w:t>.</w:t>
      </w:r>
    </w:p>
    <w:p w:rsidR="003D74EC" w:rsidRPr="00F8065C" w:rsidRDefault="003D74EC" w:rsidP="007B13C0">
      <w:pPr>
        <w:pStyle w:val="ParaNoNdepar-AltN"/>
        <w:rPr>
          <w:lang w:val="fr-CA"/>
        </w:rPr>
      </w:pPr>
      <w:r>
        <w:rPr>
          <w:lang w:val="fr-CA"/>
        </w:rPr>
        <w:lastRenderedPageBreak/>
        <w:t>La décision de la Commission, un tribunal spécialisé, sur la demande d’indemnisation de M.</w:t>
      </w:r>
      <w:r w:rsidR="007B13C0">
        <w:rPr>
          <w:lang w:val="fr-CA"/>
        </w:rPr>
        <w:t xml:space="preserve"> </w:t>
      </w:r>
      <w:r>
        <w:rPr>
          <w:lang w:val="fr-CA"/>
        </w:rPr>
        <w:t>Martin en l’espèce, qui fait intervenir une question mixte de fait et de droit, commande la déférence.</w:t>
      </w:r>
    </w:p>
    <w:p w:rsidR="003D74EC" w:rsidRDefault="003D74EC" w:rsidP="007B13C0">
      <w:pPr>
        <w:pStyle w:val="Title2LevelTitre2Niveau"/>
        <w:keepNext w:val="0"/>
        <w:rPr>
          <w:lang w:val="fr-CA"/>
        </w:rPr>
      </w:pPr>
      <w:r>
        <w:rPr>
          <w:lang w:val="fr-CA"/>
        </w:rPr>
        <w:t xml:space="preserve">Dispositions législatives applicables </w:t>
      </w:r>
    </w:p>
    <w:p w:rsidR="003D74EC" w:rsidRPr="00F8065C" w:rsidRDefault="003D74EC" w:rsidP="007B13C0">
      <w:pPr>
        <w:pStyle w:val="ParaNoNdepar-AltN"/>
        <w:rPr>
          <w:lang w:val="fr-CA"/>
        </w:rPr>
      </w:pPr>
      <w:r>
        <w:rPr>
          <w:lang w:val="fr-CA"/>
        </w:rPr>
        <w:t xml:space="preserve">Les dispositions pertinentes de la </w:t>
      </w:r>
      <w:r w:rsidRPr="004B1488">
        <w:rPr>
          <w:i/>
          <w:lang w:val="fr-CA"/>
        </w:rPr>
        <w:t>LIAÉ</w:t>
      </w:r>
      <w:r>
        <w:rPr>
          <w:lang w:val="fr-CA"/>
        </w:rPr>
        <w:t xml:space="preserve"> et de la </w:t>
      </w:r>
      <w:r w:rsidRPr="004B1488">
        <w:rPr>
          <w:i/>
          <w:lang w:val="fr-CA"/>
        </w:rPr>
        <w:t>WCA</w:t>
      </w:r>
      <w:r w:rsidR="007B13C0">
        <w:rPr>
          <w:lang w:val="fr-CA"/>
        </w:rPr>
        <w:t xml:space="preserve"> </w:t>
      </w:r>
      <w:r>
        <w:rPr>
          <w:lang w:val="fr-CA"/>
        </w:rPr>
        <w:t>sont ainsi libellées</w:t>
      </w:r>
      <w:r w:rsidR="007B13C0">
        <w:rPr>
          <w:lang w:val="fr-CA"/>
        </w:rPr>
        <w:t xml:space="preserve"> </w:t>
      </w:r>
      <w:r>
        <w:rPr>
          <w:lang w:val="fr-CA"/>
        </w:rPr>
        <w:t>:</w:t>
      </w:r>
    </w:p>
    <w:p w:rsidR="003D74EC" w:rsidRPr="006912F6" w:rsidRDefault="003D74EC" w:rsidP="007B13C0">
      <w:pPr>
        <w:pStyle w:val="Citation-AltC"/>
        <w:ind w:hanging="1166"/>
        <w:contextualSpacing w:val="0"/>
        <w:rPr>
          <w:rStyle w:val="sectionlabel"/>
          <w:b w:val="0"/>
          <w:lang w:val="fr-CA"/>
        </w:rPr>
      </w:pPr>
      <w:r w:rsidRPr="006912F6">
        <w:rPr>
          <w:rStyle w:val="sectionlabel"/>
          <w:b w:val="0"/>
          <w:i/>
          <w:lang w:val="fr-CA"/>
        </w:rPr>
        <w:t>Loi sur l’indemnisation des agents de l’État</w:t>
      </w:r>
      <w:r w:rsidRPr="006912F6">
        <w:rPr>
          <w:rStyle w:val="sectionlabel"/>
          <w:b w:val="0"/>
          <w:lang w:val="fr-CA"/>
        </w:rPr>
        <w:t>, L.R.C. 1985, ch.</w:t>
      </w:r>
      <w:r w:rsidR="007B13C0">
        <w:rPr>
          <w:rStyle w:val="sectionlabel"/>
          <w:b w:val="0"/>
          <w:lang w:val="fr-CA"/>
        </w:rPr>
        <w:t xml:space="preserve"> </w:t>
      </w:r>
      <w:r w:rsidRPr="006912F6">
        <w:rPr>
          <w:rStyle w:val="sectionlabel"/>
          <w:b w:val="0"/>
          <w:lang w:val="fr-CA"/>
        </w:rPr>
        <w:t>G</w:t>
      </w:r>
      <w:r w:rsidRPr="006912F6">
        <w:rPr>
          <w:rStyle w:val="sectionlabel"/>
          <w:b w:val="0"/>
          <w:lang w:val="fr-CA"/>
        </w:rPr>
        <w:noBreakHyphen/>
        <w:t>5</w:t>
      </w:r>
    </w:p>
    <w:p w:rsidR="003D74EC" w:rsidRDefault="003D74EC" w:rsidP="007B13C0">
      <w:pPr>
        <w:pStyle w:val="Citation-AltC"/>
        <w:tabs>
          <w:tab w:val="left" w:pos="1800"/>
          <w:tab w:val="left" w:pos="2280"/>
        </w:tabs>
        <w:spacing w:after="240"/>
        <w:ind w:left="1200" w:hanging="1200"/>
        <w:contextualSpacing w:val="0"/>
        <w:rPr>
          <w:lang w:val="fr-CA"/>
        </w:rPr>
      </w:pPr>
      <w:r>
        <w:rPr>
          <w:rStyle w:val="sectionlabel"/>
          <w:lang w:val="fr-CA"/>
        </w:rPr>
        <w:tab/>
      </w:r>
      <w:r>
        <w:rPr>
          <w:rStyle w:val="sectionlabel"/>
          <w:lang w:val="fr-CA"/>
        </w:rPr>
        <w:tab/>
      </w:r>
      <w:r w:rsidRPr="00F8065C">
        <w:rPr>
          <w:rStyle w:val="sectionlabel"/>
          <w:lang w:val="fr-CA"/>
        </w:rPr>
        <w:t>2.</w:t>
      </w:r>
      <w:r w:rsidRPr="006912F6">
        <w:rPr>
          <w:rStyle w:val="sectionlabel"/>
          <w:b w:val="0"/>
          <w:lang w:val="fr-CA"/>
        </w:rPr>
        <w:tab/>
        <w:t>[Définitions]</w:t>
      </w:r>
      <w:r>
        <w:rPr>
          <w:rStyle w:val="sectionlabel"/>
          <w:lang w:val="fr-CA"/>
        </w:rPr>
        <w:t xml:space="preserve"> </w:t>
      </w:r>
      <w:r w:rsidRPr="004A39C8">
        <w:rPr>
          <w:lang w:val="fr-CA"/>
        </w:rPr>
        <w:t>Les définitions qui suivent s</w:t>
      </w:r>
      <w:r>
        <w:rPr>
          <w:lang w:val="fr-CA"/>
        </w:rPr>
        <w:t>’</w:t>
      </w:r>
      <w:r w:rsidRPr="004A39C8">
        <w:rPr>
          <w:lang w:val="fr-CA"/>
        </w:rPr>
        <w:t>appliquent à</w:t>
      </w:r>
      <w:r>
        <w:rPr>
          <w:lang w:val="fr-CA"/>
        </w:rPr>
        <w:t xml:space="preserve"> </w:t>
      </w:r>
      <w:r w:rsidRPr="004A39C8">
        <w:rPr>
          <w:lang w:val="fr-CA"/>
        </w:rPr>
        <w:t>la présente lo</w:t>
      </w:r>
      <w:r>
        <w:rPr>
          <w:lang w:val="fr-CA"/>
        </w:rPr>
        <w:t>i.</w:t>
      </w:r>
    </w:p>
    <w:p w:rsidR="003D74EC" w:rsidRDefault="003D74EC" w:rsidP="007B13C0">
      <w:pPr>
        <w:pStyle w:val="SCCNormalDoubleSpacing"/>
        <w:tabs>
          <w:tab w:val="clear" w:pos="1168"/>
          <w:tab w:val="right" w:pos="1800"/>
        </w:tabs>
        <w:spacing w:after="240" w:line="240" w:lineRule="auto"/>
        <w:ind w:left="1800" w:hanging="634"/>
        <w:rPr>
          <w:lang w:val="fr-CA"/>
        </w:rPr>
      </w:pPr>
      <w:r>
        <w:rPr>
          <w:rStyle w:val="sectionlabel"/>
          <w:lang w:val="fr-CA"/>
        </w:rPr>
        <w:tab/>
      </w:r>
      <w:r>
        <w:rPr>
          <w:lang w:val="fr-CA"/>
        </w:rPr>
        <w:t>«</w:t>
      </w:r>
      <w:r w:rsidR="007B13C0">
        <w:rPr>
          <w:lang w:val="fr-CA"/>
        </w:rPr>
        <w:t xml:space="preserve"> </w:t>
      </w:r>
      <w:r>
        <w:rPr>
          <w:lang w:val="fr-CA"/>
        </w:rPr>
        <w:t>accident</w:t>
      </w:r>
      <w:r w:rsidR="007B13C0">
        <w:rPr>
          <w:lang w:val="fr-CA"/>
        </w:rPr>
        <w:t xml:space="preserve"> </w:t>
      </w:r>
      <w:r>
        <w:rPr>
          <w:lang w:val="fr-CA"/>
        </w:rPr>
        <w:t>»</w:t>
      </w:r>
      <w:r w:rsidRPr="00F8065C">
        <w:rPr>
          <w:lang w:val="fr-CA"/>
        </w:rPr>
        <w:t xml:space="preserve"> </w:t>
      </w:r>
      <w:r w:rsidRPr="000217BD">
        <w:rPr>
          <w:lang w:val="fr-CA"/>
        </w:rPr>
        <w:t xml:space="preserve">Sont </w:t>
      </w:r>
      <w:r w:rsidRPr="006912F6">
        <w:rPr>
          <w:lang w:val="fr-CA"/>
        </w:rPr>
        <w:t>assimilés</w:t>
      </w:r>
      <w:r w:rsidRPr="00F8065C">
        <w:rPr>
          <w:lang w:val="fr-CA"/>
        </w:rPr>
        <w:t xml:space="preserve"> </w:t>
      </w:r>
      <w:r>
        <w:rPr>
          <w:lang w:val="fr-CA"/>
        </w:rPr>
        <w:t xml:space="preserve">à un accident </w:t>
      </w:r>
      <w:r w:rsidRPr="004A39C8">
        <w:rPr>
          <w:lang w:val="fr-CA"/>
        </w:rPr>
        <w:t>tout</w:t>
      </w:r>
      <w:r>
        <w:rPr>
          <w:lang w:val="fr-CA"/>
        </w:rPr>
        <w:t xml:space="preserve"> </w:t>
      </w:r>
      <w:r w:rsidRPr="004A39C8">
        <w:rPr>
          <w:lang w:val="fr-CA"/>
        </w:rPr>
        <w:t>fait résultant d</w:t>
      </w:r>
      <w:r>
        <w:rPr>
          <w:lang w:val="fr-CA"/>
        </w:rPr>
        <w:t>’</w:t>
      </w:r>
      <w:r w:rsidRPr="004A39C8">
        <w:rPr>
          <w:lang w:val="fr-CA"/>
        </w:rPr>
        <w:t>un acte délibéré accompli par</w:t>
      </w:r>
      <w:r>
        <w:rPr>
          <w:lang w:val="fr-CA"/>
        </w:rPr>
        <w:t xml:space="preserve"> </w:t>
      </w:r>
      <w:r w:rsidRPr="004A39C8">
        <w:rPr>
          <w:lang w:val="fr-CA"/>
        </w:rPr>
        <w:t>une autre personne que l</w:t>
      </w:r>
      <w:r>
        <w:rPr>
          <w:lang w:val="fr-CA"/>
        </w:rPr>
        <w:t>’</w:t>
      </w:r>
      <w:r w:rsidRPr="004A39C8">
        <w:rPr>
          <w:lang w:val="fr-CA"/>
        </w:rPr>
        <w:t>agent de l</w:t>
      </w:r>
      <w:r>
        <w:rPr>
          <w:lang w:val="fr-CA"/>
        </w:rPr>
        <w:t>’</w:t>
      </w:r>
      <w:r w:rsidRPr="004A39C8">
        <w:rPr>
          <w:lang w:val="fr-CA"/>
        </w:rPr>
        <w:t>État ainsi</w:t>
      </w:r>
      <w:r>
        <w:rPr>
          <w:lang w:val="fr-CA"/>
        </w:rPr>
        <w:t xml:space="preserve"> </w:t>
      </w:r>
      <w:r w:rsidRPr="004A39C8">
        <w:rPr>
          <w:lang w:val="fr-CA"/>
        </w:rPr>
        <w:t>que tout événement fortuit ayant une cause</w:t>
      </w:r>
      <w:r>
        <w:rPr>
          <w:lang w:val="fr-CA"/>
        </w:rPr>
        <w:t xml:space="preserve"> </w:t>
      </w:r>
      <w:r w:rsidRPr="004A39C8">
        <w:rPr>
          <w:lang w:val="fr-CA"/>
        </w:rPr>
        <w:t>physique ou naturelle</w:t>
      </w:r>
      <w:r w:rsidRPr="00F8065C">
        <w:rPr>
          <w:lang w:val="fr-CA"/>
        </w:rPr>
        <w:t>.</w:t>
      </w:r>
    </w:p>
    <w:p w:rsidR="003D74EC" w:rsidRPr="00F8065C" w:rsidRDefault="006912F6" w:rsidP="007B13C0">
      <w:pPr>
        <w:pStyle w:val="Citation-AltC"/>
        <w:spacing w:after="240"/>
        <w:ind w:hanging="1166"/>
        <w:contextualSpacing w:val="0"/>
        <w:jc w:val="center"/>
        <w:rPr>
          <w:lang w:val="fr-CA"/>
        </w:rPr>
      </w:pPr>
      <w:r>
        <w:rPr>
          <w:lang w:val="fr-CA"/>
        </w:rPr>
        <w:t>.</w:t>
      </w:r>
      <w:r w:rsidR="007B13C0">
        <w:rPr>
          <w:lang w:val="fr-CA"/>
        </w:rPr>
        <w:t xml:space="preserve"> </w:t>
      </w:r>
      <w:r>
        <w:rPr>
          <w:lang w:val="fr-CA"/>
        </w:rPr>
        <w:t>.</w:t>
      </w:r>
      <w:r w:rsidR="007B13C0">
        <w:rPr>
          <w:lang w:val="fr-CA"/>
        </w:rPr>
        <w:t xml:space="preserve"> </w:t>
      </w:r>
      <w:r>
        <w:rPr>
          <w:lang w:val="fr-CA"/>
        </w:rPr>
        <w:t xml:space="preserve">. </w:t>
      </w:r>
    </w:p>
    <w:p w:rsidR="003D74EC" w:rsidRPr="004A39C8" w:rsidRDefault="003D74EC" w:rsidP="007B13C0">
      <w:pPr>
        <w:pStyle w:val="Citation-AltC"/>
        <w:tabs>
          <w:tab w:val="left" w:pos="1800"/>
          <w:tab w:val="left" w:pos="2280"/>
        </w:tabs>
        <w:spacing w:after="240"/>
        <w:ind w:left="1200" w:hanging="1200"/>
        <w:contextualSpacing w:val="0"/>
        <w:rPr>
          <w:lang w:val="fr-CA"/>
        </w:rPr>
      </w:pPr>
      <w:r>
        <w:rPr>
          <w:i/>
          <w:lang w:val="fr-CA"/>
        </w:rPr>
        <w:tab/>
      </w:r>
      <w:r>
        <w:rPr>
          <w:b/>
          <w:lang w:val="fr-CA"/>
        </w:rPr>
        <w:tab/>
      </w:r>
      <w:r w:rsidRPr="00F8065C">
        <w:rPr>
          <w:b/>
          <w:lang w:val="fr-CA"/>
        </w:rPr>
        <w:t>4.</w:t>
      </w:r>
      <w:r w:rsidR="006912F6">
        <w:rPr>
          <w:lang w:val="fr-CA"/>
        </w:rPr>
        <w:t xml:space="preserve"> </w:t>
      </w:r>
      <w:r w:rsidR="006912F6" w:rsidRPr="00F8065C">
        <w:rPr>
          <w:lang w:val="fr-CA"/>
        </w:rPr>
        <w:t>(1)</w:t>
      </w:r>
      <w:r w:rsidR="006912F6">
        <w:rPr>
          <w:lang w:val="fr-CA"/>
        </w:rPr>
        <w:t xml:space="preserve"> </w:t>
      </w:r>
      <w:r>
        <w:rPr>
          <w:lang w:val="fr-CA"/>
        </w:rPr>
        <w:t>[</w:t>
      </w:r>
      <w:r w:rsidRPr="008A7C65">
        <w:rPr>
          <w:lang w:val="fr-CA"/>
        </w:rPr>
        <w:t>Ayants droit</w:t>
      </w:r>
      <w:r>
        <w:rPr>
          <w:lang w:val="fr-CA"/>
        </w:rPr>
        <w:t>]</w:t>
      </w:r>
      <w:r w:rsidRPr="00F8065C">
        <w:rPr>
          <w:lang w:val="fr-CA"/>
        </w:rPr>
        <w:t xml:space="preserve"> </w:t>
      </w:r>
      <w:r>
        <w:rPr>
          <w:lang w:val="fr-CA"/>
        </w:rPr>
        <w:t xml:space="preserve"> </w:t>
      </w:r>
      <w:r w:rsidRPr="000217BD">
        <w:rPr>
          <w:lang w:val="fr-CA"/>
        </w:rPr>
        <w:t>Sous réserve des autres dispositions de la présente loi, il est versé une indemnité</w:t>
      </w:r>
      <w:r w:rsidR="007B13C0">
        <w:rPr>
          <w:lang w:val="fr-CA"/>
        </w:rPr>
        <w:t xml:space="preserve"> </w:t>
      </w:r>
      <w:r>
        <w:rPr>
          <w:lang w:val="fr-CA"/>
        </w:rPr>
        <w:t>:</w:t>
      </w:r>
    </w:p>
    <w:p w:rsidR="003D74EC" w:rsidRPr="00F8065C" w:rsidRDefault="003D74EC" w:rsidP="007B13C0">
      <w:pPr>
        <w:pStyle w:val="Citation-AltC"/>
        <w:tabs>
          <w:tab w:val="left" w:pos="2160"/>
        </w:tabs>
        <w:spacing w:after="240"/>
        <w:ind w:left="1800" w:hanging="1800"/>
        <w:contextualSpacing w:val="0"/>
        <w:rPr>
          <w:lang w:val="fr-CA"/>
        </w:rPr>
      </w:pPr>
      <w:r>
        <w:rPr>
          <w:i/>
          <w:lang w:val="fr-CA"/>
        </w:rPr>
        <w:tab/>
      </w:r>
      <w:r w:rsidRPr="00631479">
        <w:rPr>
          <w:i/>
          <w:lang w:val="fr-CA"/>
        </w:rPr>
        <w:t>a</w:t>
      </w:r>
      <w:r w:rsidRPr="006912F6">
        <w:rPr>
          <w:lang w:val="fr-CA"/>
        </w:rPr>
        <w:t>)</w:t>
      </w:r>
      <w:r>
        <w:rPr>
          <w:lang w:val="fr-CA"/>
        </w:rPr>
        <w:tab/>
        <w:t>aux agents de l’État qui sont</w:t>
      </w:r>
      <w:r w:rsidR="007B13C0">
        <w:rPr>
          <w:lang w:val="fr-CA"/>
        </w:rPr>
        <w:t xml:space="preserve"> </w:t>
      </w:r>
      <w:r>
        <w:rPr>
          <w:lang w:val="fr-CA"/>
        </w:rPr>
        <w:t>:</w:t>
      </w:r>
    </w:p>
    <w:p w:rsidR="003D74EC" w:rsidRPr="000217BD" w:rsidRDefault="003D74EC" w:rsidP="007B13C0">
      <w:pPr>
        <w:pStyle w:val="Citation-AltC"/>
        <w:tabs>
          <w:tab w:val="left" w:pos="2760"/>
        </w:tabs>
        <w:spacing w:after="240"/>
        <w:ind w:left="2160" w:hanging="2280"/>
        <w:contextualSpacing w:val="0"/>
        <w:rPr>
          <w:lang w:val="fr-CA"/>
        </w:rPr>
      </w:pPr>
      <w:r>
        <w:rPr>
          <w:lang w:val="fr-CA"/>
        </w:rPr>
        <w:tab/>
        <w:t>(i)</w:t>
      </w:r>
      <w:r>
        <w:rPr>
          <w:lang w:val="fr-CA"/>
        </w:rPr>
        <w:tab/>
      </w:r>
      <w:r w:rsidRPr="000217BD">
        <w:rPr>
          <w:lang w:val="fr-CA"/>
        </w:rPr>
        <w:t xml:space="preserve">soit </w:t>
      </w:r>
      <w:r w:rsidRPr="00DC0558">
        <w:rPr>
          <w:lang w:val="fr-CA"/>
        </w:rPr>
        <w:t>blessés</w:t>
      </w:r>
      <w:r w:rsidRPr="000217BD">
        <w:rPr>
          <w:lang w:val="fr-CA"/>
        </w:rPr>
        <w:t xml:space="preserve"> dans un accident survenu par le fait ou à l’occasion de leur travail,</w:t>
      </w:r>
    </w:p>
    <w:p w:rsidR="003D74EC" w:rsidRPr="004A39C8" w:rsidRDefault="003D74EC" w:rsidP="007B13C0">
      <w:pPr>
        <w:pStyle w:val="Citation-AltC"/>
        <w:tabs>
          <w:tab w:val="left" w:pos="2760"/>
        </w:tabs>
        <w:spacing w:after="240"/>
        <w:ind w:left="2160" w:hanging="2280"/>
        <w:contextualSpacing w:val="0"/>
        <w:rPr>
          <w:lang w:val="fr-CA"/>
        </w:rPr>
      </w:pPr>
      <w:r>
        <w:rPr>
          <w:lang w:val="fr-CA"/>
        </w:rPr>
        <w:tab/>
        <w:t>(ii)</w:t>
      </w:r>
      <w:r>
        <w:rPr>
          <w:lang w:val="fr-CA"/>
        </w:rPr>
        <w:tab/>
      </w:r>
      <w:r w:rsidRPr="004A39C8">
        <w:rPr>
          <w:lang w:val="fr-CA"/>
        </w:rPr>
        <w:t xml:space="preserve">soit </w:t>
      </w:r>
      <w:r w:rsidRPr="00DC0558">
        <w:rPr>
          <w:lang w:val="fr-CA"/>
        </w:rPr>
        <w:t>devenus</w:t>
      </w:r>
      <w:r w:rsidRPr="004A39C8">
        <w:rPr>
          <w:lang w:val="fr-CA"/>
        </w:rPr>
        <w:t xml:space="preserve"> invalides par suite d</w:t>
      </w:r>
      <w:r>
        <w:rPr>
          <w:lang w:val="fr-CA"/>
        </w:rPr>
        <w:t>’</w:t>
      </w:r>
      <w:r w:rsidRPr="004A39C8">
        <w:rPr>
          <w:lang w:val="fr-CA"/>
        </w:rPr>
        <w:t>une maladie professionnelle attribuable à la nature de leur travail</w:t>
      </w:r>
      <w:r>
        <w:rPr>
          <w:lang w:val="fr-CA"/>
        </w:rPr>
        <w:t>;</w:t>
      </w:r>
    </w:p>
    <w:p w:rsidR="003D74EC" w:rsidRPr="008A7C65" w:rsidRDefault="003D74EC" w:rsidP="007B13C0">
      <w:pPr>
        <w:pStyle w:val="Citation-AltC"/>
        <w:tabs>
          <w:tab w:val="left" w:pos="2160"/>
        </w:tabs>
        <w:spacing w:after="240"/>
        <w:ind w:left="1800" w:hanging="1800"/>
        <w:contextualSpacing w:val="0"/>
        <w:rPr>
          <w:lang w:val="fr-CA"/>
        </w:rPr>
      </w:pPr>
      <w:r>
        <w:rPr>
          <w:i/>
          <w:lang w:val="fr-CA"/>
        </w:rPr>
        <w:tab/>
      </w:r>
      <w:r w:rsidRPr="00631479">
        <w:rPr>
          <w:i/>
          <w:lang w:val="fr-CA"/>
        </w:rPr>
        <w:t>b</w:t>
      </w:r>
      <w:r w:rsidRPr="006912F6">
        <w:rPr>
          <w:lang w:val="fr-CA"/>
        </w:rPr>
        <w:t>)</w:t>
      </w:r>
      <w:r>
        <w:rPr>
          <w:lang w:val="fr-CA"/>
        </w:rPr>
        <w:tab/>
      </w:r>
      <w:r w:rsidRPr="0041783D">
        <w:rPr>
          <w:lang w:val="fr-CA"/>
        </w:rPr>
        <w:t>aux personnes à charge des agents décédés des suites de l</w:t>
      </w:r>
      <w:r>
        <w:rPr>
          <w:lang w:val="fr-CA"/>
        </w:rPr>
        <w:t>’</w:t>
      </w:r>
      <w:r w:rsidRPr="0041783D">
        <w:rPr>
          <w:lang w:val="fr-CA"/>
        </w:rPr>
        <w:t>accident ou de la maladie.</w:t>
      </w:r>
      <w:r>
        <w:rPr>
          <w:i/>
          <w:lang w:val="fr-CA"/>
        </w:rPr>
        <w:tab/>
      </w:r>
    </w:p>
    <w:p w:rsidR="003D74EC" w:rsidRPr="00F8065C" w:rsidRDefault="003D74EC" w:rsidP="007B13C0">
      <w:pPr>
        <w:pStyle w:val="Citation-AltC"/>
        <w:tabs>
          <w:tab w:val="left" w:pos="1800"/>
          <w:tab w:val="left" w:pos="2280"/>
        </w:tabs>
        <w:spacing w:after="240"/>
        <w:ind w:left="1200" w:hanging="1200"/>
        <w:contextualSpacing w:val="0"/>
        <w:rPr>
          <w:lang w:val="fr-CA"/>
        </w:rPr>
      </w:pPr>
      <w:r>
        <w:rPr>
          <w:lang w:val="fr-CA"/>
        </w:rPr>
        <w:tab/>
      </w:r>
      <w:r>
        <w:rPr>
          <w:lang w:val="fr-CA"/>
        </w:rPr>
        <w:tab/>
      </w:r>
      <w:r w:rsidRPr="00F8065C">
        <w:rPr>
          <w:lang w:val="fr-CA"/>
        </w:rPr>
        <w:t>(2)</w:t>
      </w:r>
      <w:r>
        <w:rPr>
          <w:lang w:val="fr-CA"/>
        </w:rPr>
        <w:tab/>
        <w:t>[</w:t>
      </w:r>
      <w:r w:rsidRPr="008A7C65">
        <w:rPr>
          <w:lang w:val="fr-CA"/>
        </w:rPr>
        <w:t>Taux et conditions</w:t>
      </w:r>
      <w:r>
        <w:rPr>
          <w:lang w:val="fr-CA"/>
        </w:rPr>
        <w:t xml:space="preserve">]  </w:t>
      </w:r>
      <w:r w:rsidRPr="0041783D">
        <w:rPr>
          <w:lang w:val="fr-CA"/>
        </w:rPr>
        <w:t>Les agents de l</w:t>
      </w:r>
      <w:r>
        <w:rPr>
          <w:lang w:val="fr-CA"/>
        </w:rPr>
        <w:t>’</w:t>
      </w:r>
      <w:r w:rsidRPr="0041783D">
        <w:rPr>
          <w:lang w:val="fr-CA"/>
        </w:rPr>
        <w:t>État visés au paragraphe</w:t>
      </w:r>
      <w:r w:rsidR="007B13C0">
        <w:rPr>
          <w:lang w:val="fr-CA"/>
        </w:rPr>
        <w:t xml:space="preserve"> </w:t>
      </w:r>
      <w:r w:rsidRPr="0041783D">
        <w:rPr>
          <w:lang w:val="fr-CA"/>
        </w:rPr>
        <w:t>(1), quelle que soit la nature de leur travail ou</w:t>
      </w:r>
      <w:r>
        <w:rPr>
          <w:lang w:val="fr-CA"/>
        </w:rPr>
        <w:t xml:space="preserve"> </w:t>
      </w:r>
      <w:r w:rsidRPr="0041783D">
        <w:rPr>
          <w:lang w:val="fr-CA"/>
        </w:rPr>
        <w:t>la catégorie de leur emploi, et les personnes à</w:t>
      </w:r>
      <w:r>
        <w:rPr>
          <w:lang w:val="fr-CA"/>
        </w:rPr>
        <w:t xml:space="preserve"> </w:t>
      </w:r>
      <w:r w:rsidRPr="0041783D">
        <w:rPr>
          <w:lang w:val="fr-CA"/>
        </w:rPr>
        <w:t xml:space="preserve">leur charge ont </w:t>
      </w:r>
      <w:r w:rsidRPr="000217BD">
        <w:rPr>
          <w:lang w:val="fr-CA"/>
        </w:rPr>
        <w:t xml:space="preserve">droit à l’indemnité prévue par la législation — aux taux et conditions qu’elle fixe — de la province où les agents exercent habituellement leurs fonctions en matière </w:t>
      </w:r>
      <w:r w:rsidRPr="000217BD">
        <w:rPr>
          <w:lang w:val="fr-CA"/>
        </w:rPr>
        <w:lastRenderedPageBreak/>
        <w:t>d’indemnisation</w:t>
      </w:r>
      <w:r w:rsidRPr="0041783D">
        <w:rPr>
          <w:lang w:val="fr-CA"/>
        </w:rPr>
        <w:t xml:space="preserve"> des travailleurs non employés par</w:t>
      </w:r>
      <w:r>
        <w:rPr>
          <w:lang w:val="fr-CA"/>
        </w:rPr>
        <w:t xml:space="preserve"> </w:t>
      </w:r>
      <w:r w:rsidRPr="0041783D">
        <w:rPr>
          <w:lang w:val="fr-CA"/>
        </w:rPr>
        <w:t>Sa Majesté — et de leurs personnes à charge,</w:t>
      </w:r>
      <w:r>
        <w:rPr>
          <w:lang w:val="fr-CA"/>
        </w:rPr>
        <w:t xml:space="preserve"> </w:t>
      </w:r>
      <w:r w:rsidRPr="0041783D">
        <w:rPr>
          <w:lang w:val="fr-CA"/>
        </w:rPr>
        <w:t>en cas de décès — et qui sont</w:t>
      </w:r>
      <w:r w:rsidR="007B13C0">
        <w:rPr>
          <w:lang w:val="fr-CA"/>
        </w:rPr>
        <w:t xml:space="preserve"> </w:t>
      </w:r>
      <w:r>
        <w:rPr>
          <w:lang w:val="fr-CA"/>
        </w:rPr>
        <w:t>:</w:t>
      </w:r>
    </w:p>
    <w:p w:rsidR="003D74EC" w:rsidRPr="0041783D" w:rsidRDefault="003D74EC" w:rsidP="007B13C0">
      <w:pPr>
        <w:pStyle w:val="Citation-AltC"/>
        <w:tabs>
          <w:tab w:val="left" w:pos="2160"/>
        </w:tabs>
        <w:spacing w:after="240"/>
        <w:ind w:left="1800" w:hanging="1800"/>
        <w:contextualSpacing w:val="0"/>
        <w:rPr>
          <w:lang w:val="fr-CA"/>
        </w:rPr>
      </w:pPr>
      <w:r>
        <w:rPr>
          <w:i/>
          <w:lang w:val="fr-CA"/>
        </w:rPr>
        <w:tab/>
      </w:r>
      <w:r w:rsidRPr="00226631">
        <w:rPr>
          <w:i/>
          <w:lang w:val="fr-CA"/>
        </w:rPr>
        <w:t>a</w:t>
      </w:r>
      <w:r w:rsidRPr="006912F6">
        <w:rPr>
          <w:lang w:val="fr-CA"/>
        </w:rPr>
        <w:t>)</w:t>
      </w:r>
      <w:r>
        <w:rPr>
          <w:lang w:val="fr-CA"/>
        </w:rPr>
        <w:tab/>
      </w:r>
      <w:r w:rsidRPr="0041783D">
        <w:rPr>
          <w:lang w:val="fr-CA"/>
        </w:rPr>
        <w:t xml:space="preserve">soit blessés dans la province dans des </w:t>
      </w:r>
      <w:r w:rsidRPr="000217BD">
        <w:rPr>
          <w:lang w:val="fr-CA"/>
        </w:rPr>
        <w:t>accidents survenus par le fait ou à l’occasion de leur travail</w:t>
      </w:r>
      <w:r>
        <w:rPr>
          <w:lang w:val="fr-CA"/>
        </w:rPr>
        <w:t>;</w:t>
      </w:r>
    </w:p>
    <w:p w:rsidR="003D74EC" w:rsidRPr="0041783D" w:rsidRDefault="003D74EC" w:rsidP="007B13C0">
      <w:pPr>
        <w:pStyle w:val="Citation-AltC"/>
        <w:tabs>
          <w:tab w:val="left" w:pos="2160"/>
        </w:tabs>
        <w:spacing w:after="240"/>
        <w:ind w:left="1800" w:hanging="1800"/>
        <w:contextualSpacing w:val="0"/>
        <w:rPr>
          <w:lang w:val="fr-CA"/>
        </w:rPr>
      </w:pPr>
      <w:r>
        <w:rPr>
          <w:i/>
          <w:lang w:val="fr-CA"/>
        </w:rPr>
        <w:tab/>
      </w:r>
      <w:r w:rsidRPr="00226631">
        <w:rPr>
          <w:i/>
          <w:lang w:val="fr-CA"/>
        </w:rPr>
        <w:t>b</w:t>
      </w:r>
      <w:r w:rsidRPr="006912F6">
        <w:rPr>
          <w:lang w:val="fr-CA"/>
        </w:rPr>
        <w:t>)</w:t>
      </w:r>
      <w:r>
        <w:rPr>
          <w:i/>
          <w:lang w:val="fr-CA"/>
        </w:rPr>
        <w:tab/>
      </w:r>
      <w:r w:rsidRPr="0041783D">
        <w:rPr>
          <w:lang w:val="fr-CA"/>
        </w:rPr>
        <w:t>soit devenus invalides dans la province par suite de maladies professionnelles attribuables à la nature de leur travai</w:t>
      </w:r>
      <w:r>
        <w:rPr>
          <w:lang w:val="fr-CA"/>
        </w:rPr>
        <w:t>l</w:t>
      </w:r>
      <w:r w:rsidRPr="0041783D">
        <w:rPr>
          <w:lang w:val="fr-CA"/>
        </w:rPr>
        <w:t>.</w:t>
      </w:r>
    </w:p>
    <w:p w:rsidR="003D74EC" w:rsidRPr="00F8065C" w:rsidRDefault="003D74EC" w:rsidP="007B13C0">
      <w:pPr>
        <w:pStyle w:val="Citation-AltC"/>
        <w:tabs>
          <w:tab w:val="left" w:pos="1800"/>
        </w:tabs>
        <w:spacing w:after="240"/>
        <w:ind w:left="1200" w:hanging="1200"/>
        <w:contextualSpacing w:val="0"/>
        <w:rPr>
          <w:u w:val="single"/>
          <w:lang w:val="fr-CA"/>
        </w:rPr>
      </w:pPr>
      <w:r>
        <w:rPr>
          <w:lang w:val="fr-CA"/>
        </w:rPr>
        <w:tab/>
      </w:r>
      <w:r>
        <w:rPr>
          <w:lang w:val="fr-CA"/>
        </w:rPr>
        <w:tab/>
        <w:t>(3)</w:t>
      </w:r>
      <w:r w:rsidRPr="008A7C65">
        <w:rPr>
          <w:lang w:val="fr-CA"/>
        </w:rPr>
        <w:t xml:space="preserve"> </w:t>
      </w:r>
      <w:r>
        <w:rPr>
          <w:lang w:val="fr-CA"/>
        </w:rPr>
        <w:t>[</w:t>
      </w:r>
      <w:r w:rsidRPr="008A7C65">
        <w:rPr>
          <w:lang w:val="fr-CA"/>
        </w:rPr>
        <w:t>Compétence</w:t>
      </w:r>
      <w:r>
        <w:rPr>
          <w:lang w:val="fr-CA"/>
        </w:rPr>
        <w:t xml:space="preserve">]  </w:t>
      </w:r>
      <w:r w:rsidRPr="000217BD">
        <w:rPr>
          <w:lang w:val="fr-CA"/>
        </w:rPr>
        <w:t>L’indemnité est déterminée</w:t>
      </w:r>
      <w:r w:rsidR="007B13C0">
        <w:rPr>
          <w:lang w:val="fr-CA"/>
        </w:rPr>
        <w:t xml:space="preserve"> </w:t>
      </w:r>
      <w:r>
        <w:rPr>
          <w:lang w:val="fr-CA"/>
        </w:rPr>
        <w:t>:</w:t>
      </w:r>
    </w:p>
    <w:p w:rsidR="003D74EC" w:rsidRPr="0041783D" w:rsidRDefault="003D74EC" w:rsidP="007B13C0">
      <w:pPr>
        <w:pStyle w:val="Citation-AltC"/>
        <w:tabs>
          <w:tab w:val="left" w:pos="2160"/>
        </w:tabs>
        <w:spacing w:after="240"/>
        <w:ind w:left="1800" w:hanging="1800"/>
        <w:contextualSpacing w:val="0"/>
        <w:rPr>
          <w:lang w:val="fr-CA"/>
        </w:rPr>
      </w:pPr>
      <w:r>
        <w:rPr>
          <w:i/>
          <w:lang w:val="fr-CA"/>
        </w:rPr>
        <w:tab/>
      </w:r>
      <w:r w:rsidRPr="00226631">
        <w:rPr>
          <w:i/>
          <w:lang w:val="fr-CA"/>
        </w:rPr>
        <w:t>a</w:t>
      </w:r>
      <w:r w:rsidRPr="006912F6">
        <w:rPr>
          <w:lang w:val="fr-CA"/>
        </w:rPr>
        <w:t>)</w:t>
      </w:r>
      <w:r>
        <w:rPr>
          <w:lang w:val="fr-CA"/>
        </w:rPr>
        <w:tab/>
      </w:r>
      <w:r w:rsidRPr="000217BD">
        <w:rPr>
          <w:lang w:val="fr-CA"/>
        </w:rPr>
        <w:t>soit par l’autorité — personne ou organisme — compétente en la matière</w:t>
      </w:r>
      <w:r w:rsidRPr="007D1BD8">
        <w:rPr>
          <w:lang w:val="fr-CA"/>
        </w:rPr>
        <w:t>,</w:t>
      </w:r>
      <w:r w:rsidRPr="0041783D">
        <w:rPr>
          <w:lang w:val="fr-CA"/>
        </w:rPr>
        <w:t xml:space="preserve"> pour les travailleurs non employés par Sa Majesté et leurs personnes à charge, en cas de décès</w:t>
      </w:r>
      <w:r>
        <w:rPr>
          <w:lang w:val="fr-CA"/>
        </w:rPr>
        <w:t>,</w:t>
      </w:r>
      <w:r w:rsidRPr="0041783D">
        <w:rPr>
          <w:lang w:val="fr-CA"/>
        </w:rPr>
        <w:t xml:space="preserve"> dans la province où l</w:t>
      </w:r>
      <w:r>
        <w:rPr>
          <w:lang w:val="fr-CA"/>
        </w:rPr>
        <w:t>’</w:t>
      </w:r>
      <w:r w:rsidRPr="0041783D">
        <w:rPr>
          <w:lang w:val="fr-CA"/>
        </w:rPr>
        <w:t>agent de l</w:t>
      </w:r>
      <w:r>
        <w:rPr>
          <w:lang w:val="fr-CA"/>
        </w:rPr>
        <w:t>’</w:t>
      </w:r>
      <w:r w:rsidRPr="0041783D">
        <w:rPr>
          <w:lang w:val="fr-CA"/>
        </w:rPr>
        <w:t>État exerce habituellement ses fonctions</w:t>
      </w:r>
      <w:r w:rsidRPr="00925E1A">
        <w:rPr>
          <w:lang w:val="fr-CA"/>
        </w:rPr>
        <w:t>;</w:t>
      </w:r>
    </w:p>
    <w:p w:rsidR="003D74EC" w:rsidRPr="006A5E58" w:rsidRDefault="003D74EC" w:rsidP="007B13C0">
      <w:pPr>
        <w:pStyle w:val="Citation-AltC"/>
        <w:tabs>
          <w:tab w:val="left" w:pos="2160"/>
        </w:tabs>
        <w:ind w:left="1800" w:hanging="1800"/>
        <w:contextualSpacing w:val="0"/>
        <w:rPr>
          <w:lang w:val="fr-CA"/>
        </w:rPr>
      </w:pPr>
      <w:r>
        <w:rPr>
          <w:i/>
          <w:lang w:val="fr-CA"/>
        </w:rPr>
        <w:tab/>
      </w:r>
      <w:r w:rsidRPr="00226631">
        <w:rPr>
          <w:i/>
          <w:lang w:val="fr-CA"/>
        </w:rPr>
        <w:t>b</w:t>
      </w:r>
      <w:r w:rsidRPr="006912F6">
        <w:rPr>
          <w:lang w:val="fr-CA"/>
        </w:rPr>
        <w:t>)</w:t>
      </w:r>
      <w:r>
        <w:rPr>
          <w:lang w:val="fr-CA"/>
        </w:rPr>
        <w:tab/>
      </w:r>
      <w:r w:rsidRPr="0062328D">
        <w:rPr>
          <w:lang w:val="fr-CA"/>
        </w:rPr>
        <w:t>soit par l</w:t>
      </w:r>
      <w:r>
        <w:rPr>
          <w:lang w:val="fr-CA"/>
        </w:rPr>
        <w:t>’</w:t>
      </w:r>
      <w:r w:rsidRPr="0062328D">
        <w:rPr>
          <w:lang w:val="fr-CA"/>
        </w:rPr>
        <w:t>autorité, judiciaire ou autre, que désigne le gouverneur en conseil.</w:t>
      </w:r>
      <w:r>
        <w:rPr>
          <w:lang w:val="fr-CA"/>
        </w:rPr>
        <w:t xml:space="preserve"> </w:t>
      </w:r>
    </w:p>
    <w:p w:rsidR="003D74EC" w:rsidRPr="008A7C65" w:rsidRDefault="003D74EC" w:rsidP="007B13C0">
      <w:pPr>
        <w:pStyle w:val="Citation-AltC"/>
        <w:ind w:left="0"/>
        <w:contextualSpacing w:val="0"/>
        <w:rPr>
          <w:lang w:val="fr-CA"/>
        </w:rPr>
      </w:pPr>
      <w:r w:rsidRPr="007A65DA">
        <w:rPr>
          <w:i/>
          <w:lang w:val="en-US"/>
        </w:rPr>
        <w:t>Workers’ Compensation Act</w:t>
      </w:r>
      <w:r w:rsidRPr="007A65DA">
        <w:rPr>
          <w:lang w:val="en-US"/>
        </w:rPr>
        <w:t xml:space="preserve">, R.S.A. 2000, </w:t>
      </w:r>
      <w:r>
        <w:rPr>
          <w:lang w:val="en-US"/>
        </w:rPr>
        <w:t>ch.</w:t>
      </w:r>
      <w:r w:rsidR="007B13C0">
        <w:rPr>
          <w:lang w:val="en-US"/>
        </w:rPr>
        <w:t xml:space="preserve"> </w:t>
      </w:r>
      <w:r w:rsidRPr="008A7C65">
        <w:rPr>
          <w:lang w:val="fr-CA"/>
        </w:rPr>
        <w:t>W</w:t>
      </w:r>
      <w:r>
        <w:rPr>
          <w:lang w:val="fr-CA"/>
        </w:rPr>
        <w:noBreakHyphen/>
      </w:r>
      <w:r w:rsidRPr="008A7C65">
        <w:rPr>
          <w:lang w:val="fr-CA"/>
        </w:rPr>
        <w:t>15</w:t>
      </w:r>
    </w:p>
    <w:p w:rsidR="003D74EC" w:rsidRPr="000244BC" w:rsidRDefault="003D74EC" w:rsidP="007B13C0">
      <w:pPr>
        <w:pStyle w:val="Citation-AltC"/>
        <w:spacing w:after="240"/>
        <w:ind w:hanging="1166"/>
        <w:contextualSpacing w:val="0"/>
        <w:rPr>
          <w:bCs/>
          <w:lang w:val="fr-CA"/>
        </w:rPr>
      </w:pPr>
      <w:r>
        <w:rPr>
          <w:bCs/>
          <w:lang w:val="fr-CA"/>
        </w:rPr>
        <w:tab/>
      </w:r>
      <w:r w:rsidRPr="000244BC">
        <w:rPr>
          <w:bCs/>
          <w:lang w:val="fr-CA"/>
        </w:rPr>
        <w:t>[</w:t>
      </w:r>
      <w:r w:rsidRPr="000244BC">
        <w:rPr>
          <w:bCs/>
          <w:smallCaps/>
          <w:lang w:val="fr-CA"/>
        </w:rPr>
        <w:t>traduction</w:t>
      </w:r>
      <w:r w:rsidRPr="000244BC">
        <w:rPr>
          <w:bCs/>
          <w:lang w:val="fr-CA"/>
        </w:rPr>
        <w:t>]</w:t>
      </w:r>
    </w:p>
    <w:p w:rsidR="003D74EC" w:rsidRPr="000244BC" w:rsidRDefault="006912F6" w:rsidP="007B13C0">
      <w:pPr>
        <w:pStyle w:val="Citation-AltC"/>
        <w:tabs>
          <w:tab w:val="left" w:pos="1800"/>
          <w:tab w:val="left" w:pos="2280"/>
        </w:tabs>
        <w:spacing w:after="240"/>
        <w:ind w:left="1200" w:hanging="1200"/>
        <w:contextualSpacing w:val="0"/>
        <w:rPr>
          <w:lang w:val="fr-CA"/>
        </w:rPr>
      </w:pPr>
      <w:r>
        <w:rPr>
          <w:b/>
          <w:bCs/>
          <w:lang w:val="fr-CA"/>
        </w:rPr>
        <w:tab/>
      </w:r>
      <w:r w:rsidR="003D74EC" w:rsidRPr="000244BC">
        <w:rPr>
          <w:b/>
          <w:bCs/>
          <w:lang w:val="fr-CA"/>
        </w:rPr>
        <w:t>1</w:t>
      </w:r>
      <w:r w:rsidR="003D74EC" w:rsidRPr="006912F6">
        <w:rPr>
          <w:b/>
          <w:bCs/>
          <w:lang w:val="fr-CA"/>
        </w:rPr>
        <w:t>(1)</w:t>
      </w:r>
      <w:r w:rsidR="003D74EC">
        <w:rPr>
          <w:lang w:val="fr-CA"/>
        </w:rPr>
        <w:tab/>
        <w:t xml:space="preserve">[Définitions] </w:t>
      </w:r>
      <w:r w:rsidR="003D74EC" w:rsidRPr="000244BC">
        <w:rPr>
          <w:lang w:val="fr-CA"/>
        </w:rPr>
        <w:t>Les définitions qui suivent s’appliquent à la présente loi.</w:t>
      </w:r>
    </w:p>
    <w:p w:rsidR="003D74EC" w:rsidRPr="00F8065C" w:rsidRDefault="002D110F" w:rsidP="007B13C0">
      <w:pPr>
        <w:pStyle w:val="Citation-AltC"/>
        <w:spacing w:after="240"/>
        <w:ind w:left="2280" w:hanging="480"/>
        <w:contextualSpacing w:val="0"/>
        <w:rPr>
          <w:lang w:val="fr-CA"/>
        </w:rPr>
      </w:pPr>
      <w:r>
        <w:rPr>
          <w:lang w:val="fr-CA"/>
        </w:rPr>
        <w:t>(</w:t>
      </w:r>
      <w:r w:rsidR="003D74EC" w:rsidRPr="006912F6">
        <w:rPr>
          <w:lang w:val="fr-CA"/>
        </w:rPr>
        <w:t>a</w:t>
      </w:r>
      <w:r w:rsidR="003D74EC">
        <w:rPr>
          <w:lang w:val="fr-CA"/>
        </w:rPr>
        <w:t>)</w:t>
      </w:r>
      <w:r w:rsidR="003D74EC">
        <w:rPr>
          <w:lang w:val="fr-CA"/>
        </w:rPr>
        <w:tab/>
        <w:t>«</w:t>
      </w:r>
      <w:r w:rsidR="007B13C0">
        <w:rPr>
          <w:lang w:val="fr-CA"/>
        </w:rPr>
        <w:t xml:space="preserve"> </w:t>
      </w:r>
      <w:r w:rsidR="003D74EC" w:rsidRPr="00F8065C">
        <w:rPr>
          <w:lang w:val="fr-CA"/>
        </w:rPr>
        <w:t>accident</w:t>
      </w:r>
      <w:r w:rsidR="007B13C0">
        <w:rPr>
          <w:lang w:val="fr-CA"/>
        </w:rPr>
        <w:t xml:space="preserve"> </w:t>
      </w:r>
      <w:r w:rsidR="003D74EC">
        <w:rPr>
          <w:lang w:val="fr-CA"/>
        </w:rPr>
        <w:t xml:space="preserve">» Accident </w:t>
      </w:r>
      <w:r w:rsidR="003D74EC" w:rsidRPr="000D3577">
        <w:rPr>
          <w:lang w:val="fr-CA"/>
        </w:rPr>
        <w:t xml:space="preserve">survenu </w:t>
      </w:r>
      <w:r w:rsidR="003D74EC">
        <w:rPr>
          <w:lang w:val="fr-CA"/>
        </w:rPr>
        <w:t>du fait et au cours</w:t>
      </w:r>
      <w:r w:rsidR="003D74EC" w:rsidRPr="000D3577">
        <w:rPr>
          <w:lang w:val="fr-CA"/>
        </w:rPr>
        <w:t xml:space="preserve"> d</w:t>
      </w:r>
      <w:r w:rsidR="003D74EC">
        <w:rPr>
          <w:lang w:val="fr-CA"/>
        </w:rPr>
        <w:t>’un emploi dans une industrie assujettie à la présente loi.  La présente définition s’entend également</w:t>
      </w:r>
      <w:r w:rsidR="007B13C0">
        <w:rPr>
          <w:lang w:val="fr-CA"/>
        </w:rPr>
        <w:t xml:space="preserve"> </w:t>
      </w:r>
      <w:r w:rsidR="003D74EC">
        <w:rPr>
          <w:lang w:val="fr-CA"/>
        </w:rPr>
        <w:t>:</w:t>
      </w:r>
    </w:p>
    <w:p w:rsidR="003D74EC" w:rsidRDefault="003D74EC" w:rsidP="007B13C0">
      <w:pPr>
        <w:pStyle w:val="Citation-AltC"/>
        <w:spacing w:after="240"/>
        <w:ind w:left="2760" w:hanging="480"/>
        <w:contextualSpacing w:val="0"/>
        <w:rPr>
          <w:lang w:val="fr-CA"/>
        </w:rPr>
      </w:pPr>
      <w:r w:rsidRPr="00F8065C">
        <w:rPr>
          <w:lang w:val="fr-CA"/>
        </w:rPr>
        <w:t>(i)</w:t>
      </w:r>
      <w:r>
        <w:rPr>
          <w:lang w:val="fr-CA"/>
        </w:rPr>
        <w:tab/>
        <w:t>de l’</w:t>
      </w:r>
      <w:r w:rsidRPr="000D3577">
        <w:rPr>
          <w:lang w:val="fr-CA"/>
        </w:rPr>
        <w:t>acte délibéré accompli par</w:t>
      </w:r>
      <w:r>
        <w:rPr>
          <w:lang w:val="fr-CA"/>
        </w:rPr>
        <w:t xml:space="preserve"> </w:t>
      </w:r>
      <w:r w:rsidRPr="000D3577">
        <w:rPr>
          <w:lang w:val="fr-CA"/>
        </w:rPr>
        <w:t>une autre personne</w:t>
      </w:r>
      <w:r w:rsidRPr="00F8065C">
        <w:rPr>
          <w:lang w:val="fr-CA"/>
        </w:rPr>
        <w:t xml:space="preserve"> </w:t>
      </w:r>
      <w:r>
        <w:rPr>
          <w:lang w:val="fr-CA"/>
        </w:rPr>
        <w:t>que le travailleur accidenté</w:t>
      </w:r>
      <w:r w:rsidRPr="00F8065C">
        <w:rPr>
          <w:lang w:val="fr-CA"/>
        </w:rPr>
        <w:t>,</w:t>
      </w:r>
    </w:p>
    <w:p w:rsidR="003D74EC" w:rsidRDefault="003D74EC" w:rsidP="007B13C0">
      <w:pPr>
        <w:pStyle w:val="Citation-AltC"/>
        <w:spacing w:after="240"/>
        <w:ind w:left="2760" w:hanging="480"/>
        <w:contextualSpacing w:val="0"/>
        <w:rPr>
          <w:lang w:val="fr-CA"/>
        </w:rPr>
      </w:pPr>
      <w:r w:rsidRPr="00F8065C">
        <w:rPr>
          <w:lang w:val="fr-CA"/>
        </w:rPr>
        <w:t>(ii)</w:t>
      </w:r>
      <w:r>
        <w:rPr>
          <w:lang w:val="fr-CA"/>
        </w:rPr>
        <w:tab/>
        <w:t xml:space="preserve">de tout </w:t>
      </w:r>
      <w:r w:rsidRPr="000D3577">
        <w:rPr>
          <w:lang w:val="fr-CA"/>
        </w:rPr>
        <w:t xml:space="preserve">événement fortuit </w:t>
      </w:r>
      <w:r>
        <w:rPr>
          <w:lang w:val="fr-CA"/>
        </w:rPr>
        <w:t>ayant</w:t>
      </w:r>
      <w:r w:rsidRPr="000D3577">
        <w:rPr>
          <w:lang w:val="fr-CA"/>
        </w:rPr>
        <w:t xml:space="preserve"> une cause</w:t>
      </w:r>
      <w:r>
        <w:rPr>
          <w:lang w:val="fr-CA"/>
        </w:rPr>
        <w:t xml:space="preserve"> </w:t>
      </w:r>
      <w:r w:rsidRPr="000D3577">
        <w:rPr>
          <w:lang w:val="fr-CA"/>
        </w:rPr>
        <w:t>physique ou naturelle</w:t>
      </w:r>
      <w:r w:rsidRPr="00F8065C">
        <w:rPr>
          <w:lang w:val="fr-CA"/>
        </w:rPr>
        <w:t>,</w:t>
      </w:r>
    </w:p>
    <w:p w:rsidR="003D74EC" w:rsidRDefault="003D74EC" w:rsidP="007B13C0">
      <w:pPr>
        <w:pStyle w:val="Citation-AltC"/>
        <w:spacing w:after="240"/>
        <w:ind w:left="2760" w:hanging="480"/>
        <w:contextualSpacing w:val="0"/>
        <w:rPr>
          <w:lang w:val="fr-CA"/>
        </w:rPr>
      </w:pPr>
      <w:r>
        <w:rPr>
          <w:lang w:val="fr-CA"/>
        </w:rPr>
        <w:t>(iii)</w:t>
      </w:r>
      <w:r>
        <w:rPr>
          <w:lang w:val="fr-CA"/>
        </w:rPr>
        <w:tab/>
        <w:t>d’une incapacité,</w:t>
      </w:r>
    </w:p>
    <w:p w:rsidR="003D74EC" w:rsidRDefault="003D74EC" w:rsidP="007B13C0">
      <w:pPr>
        <w:pStyle w:val="Citation-AltC"/>
        <w:ind w:left="2750" w:hanging="475"/>
        <w:contextualSpacing w:val="0"/>
        <w:rPr>
          <w:lang w:val="fr-CA"/>
        </w:rPr>
      </w:pPr>
      <w:r>
        <w:rPr>
          <w:lang w:val="fr-CA"/>
        </w:rPr>
        <w:t>(iv)</w:t>
      </w:r>
      <w:r>
        <w:rPr>
          <w:lang w:val="fr-CA"/>
        </w:rPr>
        <w:tab/>
        <w:t>d’un trouble invalidant ou potentiellement invalidant causé par une maladie professionnelle.</w:t>
      </w:r>
    </w:p>
    <w:p w:rsidR="003D74EC" w:rsidRPr="00F8065C" w:rsidRDefault="007B13C0" w:rsidP="007B13C0">
      <w:pPr>
        <w:pStyle w:val="Title2LevelTitre2Niveau"/>
        <w:keepNext w:val="0"/>
        <w:rPr>
          <w:lang w:val="fr-CA"/>
        </w:rPr>
      </w:pPr>
      <w:r>
        <w:rPr>
          <w:lang w:val="fr-CA"/>
        </w:rPr>
        <w:lastRenderedPageBreak/>
        <w:t>La Politique provinciale régit-</w:t>
      </w:r>
      <w:r w:rsidR="003D74EC">
        <w:rPr>
          <w:lang w:val="fr-CA"/>
        </w:rPr>
        <w:t xml:space="preserve">elle l’admissibilité à l’indemnité prévue à la </w:t>
      </w:r>
      <w:r w:rsidR="003D74EC" w:rsidRPr="005A1934">
        <w:rPr>
          <w:lang w:val="fr-CA"/>
        </w:rPr>
        <w:t>LIAÉ</w:t>
      </w:r>
      <w:r w:rsidR="003D74EC" w:rsidRPr="00F8065C">
        <w:rPr>
          <w:lang w:val="fr-CA"/>
        </w:rPr>
        <w:t>?</w:t>
      </w:r>
    </w:p>
    <w:p w:rsidR="003D74EC" w:rsidRPr="00F8065C" w:rsidRDefault="003D74EC" w:rsidP="007B13C0">
      <w:pPr>
        <w:pStyle w:val="ParaNoNdepar-AltN"/>
        <w:rPr>
          <w:lang w:val="fr-CA"/>
        </w:rPr>
      </w:pPr>
      <w:r>
        <w:rPr>
          <w:lang w:val="fr-CA"/>
        </w:rPr>
        <w:t xml:space="preserve">Le pourvoi porte principalement sur la nature du rapport entre la </w:t>
      </w:r>
      <w:r w:rsidRPr="008823D4">
        <w:rPr>
          <w:i/>
          <w:lang w:val="fr-CA"/>
        </w:rPr>
        <w:t>LIAÉ</w:t>
      </w:r>
      <w:r w:rsidRPr="00F8065C">
        <w:rPr>
          <w:lang w:val="fr-CA"/>
        </w:rPr>
        <w:t xml:space="preserve"> </w:t>
      </w:r>
      <w:r>
        <w:rPr>
          <w:lang w:val="fr-CA"/>
        </w:rPr>
        <w:t>et les lois provinciales sur les accidents du travail</w:t>
      </w:r>
      <w:r w:rsidR="007B13C0">
        <w:rPr>
          <w:lang w:val="fr-CA"/>
        </w:rPr>
        <w:t xml:space="preserve"> </w:t>
      </w:r>
      <w:r>
        <w:rPr>
          <w:lang w:val="fr-CA"/>
        </w:rPr>
        <w:t xml:space="preserve">: il soulève la question de savoir si les lois provinciales en la matière, notamment la </w:t>
      </w:r>
      <w:r w:rsidRPr="008823D4">
        <w:rPr>
          <w:i/>
          <w:lang w:val="fr-CA"/>
        </w:rPr>
        <w:t>WCA</w:t>
      </w:r>
      <w:r>
        <w:rPr>
          <w:lang w:val="fr-CA"/>
        </w:rPr>
        <w:t xml:space="preserve"> de l’Alberta, régissent l’admissibilité à l’indemnité que prévoit la </w:t>
      </w:r>
      <w:r w:rsidRPr="008823D4">
        <w:rPr>
          <w:i/>
          <w:lang w:val="fr-CA"/>
        </w:rPr>
        <w:t>LIAÉ</w:t>
      </w:r>
      <w:r w:rsidRPr="008823D4">
        <w:rPr>
          <w:lang w:val="fr-CA"/>
        </w:rPr>
        <w:t>,</w:t>
      </w:r>
      <w:r>
        <w:rPr>
          <w:lang w:val="fr-CA"/>
        </w:rPr>
        <w:t xml:space="preserve"> et, si c’est le cas, </w:t>
      </w:r>
      <w:r w:rsidRPr="00DA32E1">
        <w:rPr>
          <w:lang w:val="fr-CA"/>
        </w:rPr>
        <w:t>dans quelles circonstances.</w:t>
      </w:r>
    </w:p>
    <w:p w:rsidR="003D74EC" w:rsidRPr="00F8065C" w:rsidRDefault="003D74EC" w:rsidP="007B13C0">
      <w:pPr>
        <w:pStyle w:val="Title3LevelTitre3Niveau"/>
        <w:keepNext w:val="0"/>
        <w:tabs>
          <w:tab w:val="clear" w:pos="1080"/>
        </w:tabs>
        <w:ind w:left="1701"/>
        <w:rPr>
          <w:lang w:val="fr-CA"/>
        </w:rPr>
      </w:pPr>
      <w:r>
        <w:rPr>
          <w:lang w:val="fr-CA"/>
        </w:rPr>
        <w:t>Arguments des parties</w:t>
      </w:r>
    </w:p>
    <w:p w:rsidR="003D74EC" w:rsidRPr="00F8065C" w:rsidRDefault="003D74EC" w:rsidP="007B13C0">
      <w:pPr>
        <w:pStyle w:val="ParaNoNdepar-AltN"/>
        <w:rPr>
          <w:lang w:val="fr-CA"/>
        </w:rPr>
      </w:pPr>
      <w:r>
        <w:rPr>
          <w:lang w:val="fr-CA"/>
        </w:rPr>
        <w:t>Selon l’appelant, l’admissibilité à l’indemnité est entièrement régie par le par.</w:t>
      </w:r>
      <w:r w:rsidR="007B13C0">
        <w:rPr>
          <w:lang w:val="fr-CA"/>
        </w:rPr>
        <w:t xml:space="preserve"> </w:t>
      </w:r>
      <w:r w:rsidRPr="00F8065C">
        <w:rPr>
          <w:lang w:val="fr-CA"/>
        </w:rPr>
        <w:t xml:space="preserve">4(1) </w:t>
      </w:r>
      <w:r>
        <w:rPr>
          <w:lang w:val="fr-CA"/>
        </w:rPr>
        <w:t xml:space="preserve">de la </w:t>
      </w:r>
      <w:r w:rsidRPr="00144297">
        <w:rPr>
          <w:i/>
          <w:lang w:val="fr-CA"/>
        </w:rPr>
        <w:t>LIAÉ</w:t>
      </w:r>
      <w:r w:rsidRPr="00F8065C">
        <w:rPr>
          <w:lang w:val="fr-CA"/>
        </w:rPr>
        <w:t>.</w:t>
      </w:r>
      <w:r>
        <w:rPr>
          <w:lang w:val="fr-CA"/>
        </w:rPr>
        <w:t xml:space="preserve">  Le législateur entendait assujettir tous les agents de l’État fédéral à la même norme d’admissibilité, mais laisser le soin à la province de déterminer le montant de l’indemnité.  Ainsi, le travailleur visé par la </w:t>
      </w:r>
      <w:r w:rsidRPr="00997CE7">
        <w:rPr>
          <w:i/>
          <w:lang w:val="fr-CA"/>
        </w:rPr>
        <w:t>LIAÉ</w:t>
      </w:r>
      <w:r>
        <w:rPr>
          <w:lang w:val="fr-CA"/>
        </w:rPr>
        <w:t xml:space="preserve"> qui est</w:t>
      </w:r>
      <w:r w:rsidRPr="00F8065C">
        <w:rPr>
          <w:i/>
          <w:lang w:val="fr-CA"/>
        </w:rPr>
        <w:t xml:space="preserve"> </w:t>
      </w:r>
      <w:r>
        <w:rPr>
          <w:lang w:val="fr-CA"/>
        </w:rPr>
        <w:t>blessé dans un accident du travail a droit à une indemnité, indépendamment des critères d’admissibilité prévus par les lois ou politiques provinciales.  Si les lois provinciales régissaient l’admissibilité à l’indemnité, le par.</w:t>
      </w:r>
      <w:r w:rsidR="007B13C0">
        <w:rPr>
          <w:lang w:val="fr-CA"/>
        </w:rPr>
        <w:t xml:space="preserve"> </w:t>
      </w:r>
      <w:r w:rsidRPr="00F8065C">
        <w:rPr>
          <w:lang w:val="fr-CA"/>
        </w:rPr>
        <w:t xml:space="preserve">4(1) </w:t>
      </w:r>
      <w:r>
        <w:rPr>
          <w:lang w:val="fr-CA"/>
        </w:rPr>
        <w:t>et la définition d’«</w:t>
      </w:r>
      <w:r w:rsidR="007B13C0">
        <w:rPr>
          <w:lang w:val="fr-CA"/>
        </w:rPr>
        <w:t xml:space="preserve"> </w:t>
      </w:r>
      <w:r>
        <w:rPr>
          <w:lang w:val="fr-CA"/>
        </w:rPr>
        <w:t>accident</w:t>
      </w:r>
      <w:r w:rsidR="007B13C0">
        <w:rPr>
          <w:lang w:val="fr-CA"/>
        </w:rPr>
        <w:t xml:space="preserve"> </w:t>
      </w:r>
      <w:r>
        <w:rPr>
          <w:lang w:val="fr-CA"/>
        </w:rPr>
        <w:t xml:space="preserve">» prévue à la </w:t>
      </w:r>
      <w:r w:rsidRPr="00997CE7">
        <w:rPr>
          <w:i/>
          <w:lang w:val="fr-CA"/>
        </w:rPr>
        <w:t>LIAÉ</w:t>
      </w:r>
      <w:r w:rsidRPr="00F8065C">
        <w:rPr>
          <w:i/>
          <w:lang w:val="fr-CA"/>
        </w:rPr>
        <w:t xml:space="preserve"> </w:t>
      </w:r>
      <w:r>
        <w:rPr>
          <w:lang w:val="fr-CA"/>
        </w:rPr>
        <w:t xml:space="preserve">feraient double emploi.  La question est plutôt celle de savoir si </w:t>
      </w:r>
      <w:r w:rsidRPr="00120EFB">
        <w:rPr>
          <w:lang w:val="fr-CA"/>
        </w:rPr>
        <w:t>le stress constitue un «</w:t>
      </w:r>
      <w:r w:rsidR="007B13C0">
        <w:rPr>
          <w:lang w:val="fr-CA"/>
        </w:rPr>
        <w:t xml:space="preserve"> </w:t>
      </w:r>
      <w:r w:rsidRPr="00120EFB">
        <w:rPr>
          <w:lang w:val="fr-CA"/>
        </w:rPr>
        <w:t>accident</w:t>
      </w:r>
      <w:r w:rsidR="007B13C0">
        <w:rPr>
          <w:lang w:val="fr-CA"/>
        </w:rPr>
        <w:t xml:space="preserve"> </w:t>
      </w:r>
      <w:r w:rsidRPr="00120EFB">
        <w:rPr>
          <w:lang w:val="fr-CA"/>
        </w:rPr>
        <w:t>»</w:t>
      </w:r>
      <w:r>
        <w:rPr>
          <w:lang w:val="fr-CA"/>
        </w:rPr>
        <w:t xml:space="preserve"> au sens de la </w:t>
      </w:r>
      <w:r w:rsidRPr="00997CE7">
        <w:rPr>
          <w:i/>
          <w:lang w:val="fr-CA"/>
        </w:rPr>
        <w:t>LIAÉ</w:t>
      </w:r>
      <w:r w:rsidRPr="00F8065C">
        <w:rPr>
          <w:lang w:val="fr-CA"/>
        </w:rPr>
        <w:t>.</w:t>
      </w:r>
    </w:p>
    <w:p w:rsidR="003D74EC" w:rsidRPr="00F8065C" w:rsidRDefault="003D74EC" w:rsidP="007B13C0">
      <w:pPr>
        <w:pStyle w:val="ParaNoNdepar-AltN"/>
        <w:rPr>
          <w:lang w:val="fr-CA"/>
        </w:rPr>
      </w:pPr>
      <w:r>
        <w:rPr>
          <w:lang w:val="fr-CA"/>
        </w:rPr>
        <w:t xml:space="preserve">Le WCB, intimé en l’espèce, soutient pour sa part que le pouvoir de déterminer </w:t>
      </w:r>
      <w:r w:rsidRPr="00C53627">
        <w:rPr>
          <w:lang w:val="fr-CA"/>
        </w:rPr>
        <w:t>l’indemnité</w:t>
      </w:r>
      <w:r>
        <w:rPr>
          <w:lang w:val="fr-CA"/>
        </w:rPr>
        <w:t xml:space="preserve"> à laquelle ont droit les agents de l’État fédéral qui lui est conféré à l’art.</w:t>
      </w:r>
      <w:r w:rsidR="007B13C0">
        <w:rPr>
          <w:lang w:val="fr-CA"/>
        </w:rPr>
        <w:t xml:space="preserve"> </w:t>
      </w:r>
      <w:r w:rsidRPr="00F8065C">
        <w:rPr>
          <w:lang w:val="fr-CA"/>
        </w:rPr>
        <w:t xml:space="preserve">4 </w:t>
      </w:r>
      <w:r>
        <w:rPr>
          <w:lang w:val="fr-CA"/>
        </w:rPr>
        <w:t xml:space="preserve">de la </w:t>
      </w:r>
      <w:r w:rsidRPr="003A6BC1">
        <w:rPr>
          <w:i/>
          <w:lang w:val="fr-CA"/>
        </w:rPr>
        <w:t>LIAÉ</w:t>
      </w:r>
      <w:r w:rsidRPr="00F8065C">
        <w:rPr>
          <w:i/>
          <w:lang w:val="fr-CA"/>
        </w:rPr>
        <w:t xml:space="preserve"> </w:t>
      </w:r>
      <w:r>
        <w:rPr>
          <w:lang w:val="fr-CA"/>
        </w:rPr>
        <w:t xml:space="preserve">comprend celui de formuler des politiques à ce sujet, </w:t>
      </w:r>
      <w:r>
        <w:rPr>
          <w:lang w:val="fr-CA"/>
        </w:rPr>
        <w:lastRenderedPageBreak/>
        <w:t xml:space="preserve">notamment des politiques sur l’admissibilité.  La </w:t>
      </w:r>
      <w:r w:rsidRPr="0013266B">
        <w:rPr>
          <w:i/>
          <w:lang w:val="fr-CA"/>
        </w:rPr>
        <w:t>LIAÉ</w:t>
      </w:r>
      <w:r w:rsidRPr="00F8065C">
        <w:rPr>
          <w:lang w:val="fr-CA"/>
        </w:rPr>
        <w:t xml:space="preserve"> </w:t>
      </w:r>
      <w:r>
        <w:rPr>
          <w:lang w:val="fr-CA"/>
        </w:rPr>
        <w:t xml:space="preserve">établit un régime d’indemnisation efficace des agents de l’État fédéral s’harmonisant avec celui des travailleurs de la province, et les rapports entre la </w:t>
      </w:r>
      <w:r w:rsidRPr="0013266B">
        <w:rPr>
          <w:i/>
          <w:lang w:val="fr-CA"/>
        </w:rPr>
        <w:t>LIAÉ</w:t>
      </w:r>
      <w:r w:rsidRPr="00F8065C">
        <w:rPr>
          <w:lang w:val="fr-CA"/>
        </w:rPr>
        <w:t xml:space="preserve"> </w:t>
      </w:r>
      <w:r>
        <w:rPr>
          <w:lang w:val="fr-CA"/>
        </w:rPr>
        <w:t xml:space="preserve">et la </w:t>
      </w:r>
      <w:r w:rsidRPr="0013266B">
        <w:rPr>
          <w:i/>
          <w:lang w:val="fr-CA"/>
        </w:rPr>
        <w:t>WCA</w:t>
      </w:r>
      <w:r w:rsidRPr="00F8065C">
        <w:rPr>
          <w:lang w:val="fr-CA"/>
        </w:rPr>
        <w:t xml:space="preserve"> </w:t>
      </w:r>
      <w:r>
        <w:rPr>
          <w:lang w:val="fr-CA"/>
        </w:rPr>
        <w:t>constituent un bel exemple de fédéralisme coopératif.  Le paragraphe</w:t>
      </w:r>
      <w:r w:rsidR="007B13C0">
        <w:rPr>
          <w:lang w:val="fr-CA"/>
        </w:rPr>
        <w:t xml:space="preserve"> </w:t>
      </w:r>
      <w:r w:rsidRPr="00F8065C">
        <w:rPr>
          <w:lang w:val="fr-CA"/>
        </w:rPr>
        <w:t xml:space="preserve">4(2), </w:t>
      </w:r>
      <w:r>
        <w:rPr>
          <w:lang w:val="fr-CA"/>
        </w:rPr>
        <w:t xml:space="preserve">portant que les agents de l’État fédéral ont droit à l’indemnité </w:t>
      </w:r>
      <w:r w:rsidRPr="00186F36">
        <w:rPr>
          <w:lang w:val="fr-CA"/>
        </w:rPr>
        <w:t>«</w:t>
      </w:r>
      <w:r w:rsidR="007B13C0">
        <w:rPr>
          <w:lang w:val="fr-CA"/>
        </w:rPr>
        <w:t xml:space="preserve"> </w:t>
      </w:r>
      <w:r w:rsidRPr="00186F36">
        <w:rPr>
          <w:lang w:val="fr-CA"/>
        </w:rPr>
        <w:t>aux taux et conditions</w:t>
      </w:r>
      <w:r w:rsidR="007B13C0">
        <w:rPr>
          <w:lang w:val="fr-CA"/>
        </w:rPr>
        <w:t xml:space="preserve"> </w:t>
      </w:r>
      <w:r w:rsidRPr="00186F36">
        <w:rPr>
          <w:lang w:val="fr-CA"/>
        </w:rPr>
        <w:t>» prévus</w:t>
      </w:r>
      <w:r w:rsidRPr="00925E1A">
        <w:rPr>
          <w:lang w:val="fr-CA"/>
        </w:rPr>
        <w:t xml:space="preserve"> pour </w:t>
      </w:r>
      <w:r w:rsidRPr="00186F36">
        <w:rPr>
          <w:lang w:val="fr-CA"/>
        </w:rPr>
        <w:t xml:space="preserve">les travailleurs de la province, </w:t>
      </w:r>
      <w:r>
        <w:rPr>
          <w:lang w:val="fr-CA"/>
        </w:rPr>
        <w:t>vise</w:t>
      </w:r>
      <w:r w:rsidRPr="00186F36">
        <w:rPr>
          <w:lang w:val="fr-CA"/>
        </w:rPr>
        <w:t xml:space="preserve"> autant </w:t>
      </w:r>
      <w:r>
        <w:rPr>
          <w:lang w:val="fr-CA"/>
        </w:rPr>
        <w:t>le</w:t>
      </w:r>
      <w:r w:rsidRPr="00186F36">
        <w:rPr>
          <w:lang w:val="fr-CA"/>
        </w:rPr>
        <w:t xml:space="preserve"> droit à l</w:t>
      </w:r>
      <w:r>
        <w:rPr>
          <w:lang w:val="fr-CA"/>
        </w:rPr>
        <w:t>’</w:t>
      </w:r>
      <w:r w:rsidRPr="00186F36">
        <w:rPr>
          <w:lang w:val="fr-CA"/>
        </w:rPr>
        <w:t>indemnité qu</w:t>
      </w:r>
      <w:r>
        <w:rPr>
          <w:lang w:val="fr-CA"/>
        </w:rPr>
        <w:t>e le montant de cette dernière</w:t>
      </w:r>
      <w:r w:rsidRPr="00186F36">
        <w:rPr>
          <w:lang w:val="fr-CA"/>
        </w:rPr>
        <w:t>.</w:t>
      </w:r>
    </w:p>
    <w:p w:rsidR="003D74EC" w:rsidRPr="00F8065C" w:rsidRDefault="003D74EC" w:rsidP="007B13C0">
      <w:pPr>
        <w:pStyle w:val="ParaNoNdepar-AltN"/>
        <w:rPr>
          <w:lang w:val="fr-CA"/>
        </w:rPr>
      </w:pPr>
      <w:r>
        <w:rPr>
          <w:lang w:val="fr-CA"/>
        </w:rPr>
        <w:t>Le procureur général du Canada, intimé en l’espèce,</w:t>
      </w:r>
      <w:r w:rsidRPr="00F8065C">
        <w:rPr>
          <w:lang w:val="fr-CA"/>
        </w:rPr>
        <w:t xml:space="preserve"> </w:t>
      </w:r>
      <w:r>
        <w:rPr>
          <w:lang w:val="fr-CA"/>
        </w:rPr>
        <w:t xml:space="preserve">soutient quant à lui que le législateur avait l’intention d’incorporer par renvoi la législation provinciale dans la </w:t>
      </w:r>
      <w:r w:rsidRPr="00293C41">
        <w:rPr>
          <w:i/>
          <w:lang w:val="fr-CA"/>
        </w:rPr>
        <w:t>LIAÉ</w:t>
      </w:r>
      <w:r>
        <w:rPr>
          <w:lang w:val="fr-CA"/>
        </w:rPr>
        <w:t xml:space="preserve"> afin qu’elle s’applique à la détermination de l’admissibilité et du taux d’indemnisation</w:t>
      </w:r>
      <w:r w:rsidRPr="00F8065C">
        <w:rPr>
          <w:lang w:val="fr-CA"/>
        </w:rPr>
        <w:t xml:space="preserve">.  </w:t>
      </w:r>
      <w:r>
        <w:rPr>
          <w:lang w:val="fr-CA"/>
        </w:rPr>
        <w:t xml:space="preserve">Il entendait ainsi établir la parité entre les travailleurs au sein d’une même province et s’en remettre à la législation et à l’administration provinciales.  Lorsqu’il a voulu établir des distinctions entre des dispositions de la </w:t>
      </w:r>
      <w:r w:rsidRPr="00BB6735">
        <w:rPr>
          <w:i/>
          <w:lang w:val="fr-CA"/>
        </w:rPr>
        <w:t>LIAÉ</w:t>
      </w:r>
      <w:r w:rsidRPr="00F8065C">
        <w:rPr>
          <w:lang w:val="fr-CA"/>
        </w:rPr>
        <w:t xml:space="preserve"> </w:t>
      </w:r>
      <w:r>
        <w:rPr>
          <w:lang w:val="fr-CA"/>
        </w:rPr>
        <w:t xml:space="preserve">et les lois provinciales, le législateur l’a fait expressément.  Par conséquent, les questions relatives à l’indemnité sont déterminées en fonction de la législation provinciale, sauf dans les rares cas où elle entre en conflit avec la </w:t>
      </w:r>
      <w:r w:rsidRPr="00BB6735">
        <w:rPr>
          <w:i/>
          <w:lang w:val="fr-CA"/>
        </w:rPr>
        <w:t>LIAÉ</w:t>
      </w:r>
      <w:r w:rsidRPr="00F8065C">
        <w:rPr>
          <w:lang w:val="fr-CA"/>
        </w:rPr>
        <w:t xml:space="preserve">.  </w:t>
      </w:r>
    </w:p>
    <w:p w:rsidR="003D74EC" w:rsidRPr="00F8065C" w:rsidRDefault="003D74EC" w:rsidP="007B13C0">
      <w:pPr>
        <w:pStyle w:val="Title3LevelTitre3Niveau"/>
        <w:keepNext w:val="0"/>
        <w:tabs>
          <w:tab w:val="clear" w:pos="1080"/>
        </w:tabs>
        <w:ind w:left="1701"/>
        <w:rPr>
          <w:lang w:val="fr-CA"/>
        </w:rPr>
      </w:pPr>
      <w:r w:rsidRPr="00F8065C">
        <w:rPr>
          <w:lang w:val="fr-CA"/>
        </w:rPr>
        <w:t>Analys</w:t>
      </w:r>
      <w:r>
        <w:rPr>
          <w:lang w:val="fr-CA"/>
        </w:rPr>
        <w:t>e</w:t>
      </w:r>
    </w:p>
    <w:p w:rsidR="003D74EC" w:rsidRPr="00F8065C" w:rsidRDefault="003D74EC" w:rsidP="007B13C0">
      <w:pPr>
        <w:pStyle w:val="ParaNoNdepar-AltN"/>
        <w:rPr>
          <w:lang w:val="fr-CA"/>
        </w:rPr>
      </w:pPr>
      <w:r>
        <w:rPr>
          <w:lang w:val="fr-CA"/>
        </w:rPr>
        <w:t>[</w:t>
      </w:r>
      <w:r>
        <w:rPr>
          <w:smallCaps/>
          <w:lang w:val="fr-CA"/>
        </w:rPr>
        <w:t>t</w:t>
      </w:r>
      <w:r w:rsidRPr="006F3288">
        <w:rPr>
          <w:smallCaps/>
          <w:lang w:val="fr-CA"/>
        </w:rPr>
        <w:t>raduction</w:t>
      </w:r>
      <w:r>
        <w:rPr>
          <w:lang w:val="fr-CA"/>
        </w:rPr>
        <w:t>] «</w:t>
      </w:r>
      <w:r w:rsidR="007B13C0">
        <w:rPr>
          <w:lang w:val="fr-CA"/>
        </w:rPr>
        <w:t xml:space="preserve"> </w:t>
      </w:r>
      <w:r>
        <w:rPr>
          <w:lang w:val="fr-CA"/>
        </w:rPr>
        <w:t>[I]l faut lire les termes d’une loi dans leur contexte global en suivant le sens ordinaire et grammatical qui s’harmonise avec l’économie de la loi, l’objet de la loi et l’intention du législateur</w:t>
      </w:r>
      <w:r w:rsidR="007B13C0">
        <w:rPr>
          <w:lang w:val="fr-CA"/>
        </w:rPr>
        <w:t xml:space="preserve"> </w:t>
      </w:r>
      <w:r>
        <w:rPr>
          <w:lang w:val="fr-CA"/>
        </w:rPr>
        <w:t>»</w:t>
      </w:r>
      <w:r w:rsidRPr="00F8065C">
        <w:rPr>
          <w:lang w:val="fr-CA"/>
        </w:rPr>
        <w:t xml:space="preserve"> </w:t>
      </w:r>
      <w:r w:rsidRPr="00C51F6E">
        <w:rPr>
          <w:lang w:val="fr-CA"/>
        </w:rPr>
        <w:t>(</w:t>
      </w:r>
      <w:r>
        <w:rPr>
          <w:lang w:val="fr-CA"/>
        </w:rPr>
        <w:t>E.</w:t>
      </w:r>
      <w:r w:rsidR="007B13C0">
        <w:rPr>
          <w:lang w:val="fr-CA"/>
        </w:rPr>
        <w:t xml:space="preserve"> </w:t>
      </w:r>
      <w:r>
        <w:rPr>
          <w:lang w:val="fr-CA"/>
        </w:rPr>
        <w:t>A.</w:t>
      </w:r>
      <w:r w:rsidR="007B13C0">
        <w:rPr>
          <w:lang w:val="fr-CA"/>
        </w:rPr>
        <w:t xml:space="preserve"> </w:t>
      </w:r>
      <w:r>
        <w:rPr>
          <w:lang w:val="fr-CA"/>
        </w:rPr>
        <w:t xml:space="preserve">Driedger, </w:t>
      </w:r>
      <w:r w:rsidRPr="005B0D54">
        <w:rPr>
          <w:i/>
          <w:lang w:val="fr-CA"/>
        </w:rPr>
        <w:t>Construction of Statutes</w:t>
      </w:r>
      <w:r>
        <w:rPr>
          <w:lang w:val="fr-CA"/>
        </w:rPr>
        <w:t xml:space="preserve"> (2</w:t>
      </w:r>
      <w:r w:rsidRPr="005B0D54">
        <w:rPr>
          <w:vertAlign w:val="superscript"/>
          <w:lang w:val="fr-CA"/>
        </w:rPr>
        <w:t>e</w:t>
      </w:r>
      <w:r w:rsidR="007B13C0">
        <w:rPr>
          <w:lang w:val="fr-CA"/>
        </w:rPr>
        <w:t xml:space="preserve"> </w:t>
      </w:r>
      <w:r>
        <w:rPr>
          <w:lang w:val="fr-CA"/>
        </w:rPr>
        <w:t>éd. 1983), p.</w:t>
      </w:r>
      <w:r w:rsidR="007B13C0">
        <w:rPr>
          <w:lang w:val="fr-CA"/>
        </w:rPr>
        <w:t xml:space="preserve"> </w:t>
      </w:r>
      <w:r>
        <w:rPr>
          <w:lang w:val="fr-CA"/>
        </w:rPr>
        <w:t>87</w:t>
      </w:r>
      <w:r w:rsidRPr="00F8065C">
        <w:rPr>
          <w:lang w:val="fr-CA"/>
        </w:rPr>
        <w:t xml:space="preserve">). </w:t>
      </w:r>
    </w:p>
    <w:p w:rsidR="003D74EC" w:rsidRPr="00F8065C" w:rsidRDefault="003D74EC" w:rsidP="007B13C0">
      <w:pPr>
        <w:pStyle w:val="ParaNoNdepar-AltN"/>
        <w:rPr>
          <w:lang w:val="fr-CA"/>
        </w:rPr>
      </w:pPr>
      <w:r>
        <w:rPr>
          <w:lang w:val="fr-CA"/>
        </w:rPr>
        <w:lastRenderedPageBreak/>
        <w:t>Pour les motifs exposés ci</w:t>
      </w:r>
      <w:r>
        <w:rPr>
          <w:lang w:val="fr-CA"/>
        </w:rPr>
        <w:noBreakHyphen/>
        <w:t xml:space="preserve">dessous, j’estime que la Commission devait appliquer la législation et les politiques provinciales pour se prononcer sur le droit d’un agent de l’État visé par la </w:t>
      </w:r>
      <w:r w:rsidRPr="003432F2">
        <w:rPr>
          <w:i/>
          <w:lang w:val="fr-CA"/>
        </w:rPr>
        <w:t>LIAÉ</w:t>
      </w:r>
      <w:r>
        <w:rPr>
          <w:lang w:val="fr-CA"/>
        </w:rPr>
        <w:t xml:space="preserve"> à l’indemnité et sur le taux d’indemnisation. La </w:t>
      </w:r>
      <w:r w:rsidRPr="003432F2">
        <w:rPr>
          <w:i/>
          <w:lang w:val="fr-CA"/>
        </w:rPr>
        <w:t>LIAÉ</w:t>
      </w:r>
      <w:r w:rsidRPr="00F8065C">
        <w:rPr>
          <w:lang w:val="fr-CA"/>
        </w:rPr>
        <w:t xml:space="preserve"> incorpor</w:t>
      </w:r>
      <w:r>
        <w:rPr>
          <w:lang w:val="fr-CA"/>
        </w:rPr>
        <w:t xml:space="preserve">e par renvoi les régimes provinciaux d’indemnisation des accidents du travail, dans la mesure où ils n’entrent pas en conflit avec ses dispositions.  Elle établit un système efficace qui favorise l’uniformité de sorte que les travailleurs au sein d’une même province — agents de l’État fédéral ou autres — sont généralement indemnisés selon les mêmes taux et conditions.  Dans les cas où le législateur entendait prévoir des conditions </w:t>
      </w:r>
      <w:r w:rsidRPr="00C51F6E">
        <w:rPr>
          <w:lang w:val="fr-CA"/>
        </w:rPr>
        <w:t>différentes</w:t>
      </w:r>
      <w:r>
        <w:rPr>
          <w:lang w:val="fr-CA"/>
        </w:rPr>
        <w:t xml:space="preserve">, il l’a fait expressément. </w:t>
      </w:r>
    </w:p>
    <w:p w:rsidR="003D74EC" w:rsidRPr="00F8065C" w:rsidRDefault="003D74EC" w:rsidP="007B13C0">
      <w:pPr>
        <w:pStyle w:val="Title4LevelTitre4Niveau"/>
        <w:keepNext w:val="0"/>
        <w:tabs>
          <w:tab w:val="clear" w:pos="432"/>
          <w:tab w:val="clear" w:pos="1080"/>
          <w:tab w:val="left" w:pos="1530"/>
          <w:tab w:val="num" w:pos="6048"/>
        </w:tabs>
        <w:ind w:left="1530" w:hanging="360"/>
        <w:jc w:val="left"/>
        <w:rPr>
          <w:lang w:val="fr-CA"/>
        </w:rPr>
      </w:pPr>
      <w:r>
        <w:rPr>
          <w:lang w:val="fr-CA"/>
        </w:rPr>
        <w:t>Le texte et l’économie des dispositions</w:t>
      </w:r>
    </w:p>
    <w:p w:rsidR="003D74EC" w:rsidRPr="00F8065C" w:rsidRDefault="003D74EC" w:rsidP="007B13C0">
      <w:pPr>
        <w:pStyle w:val="ParaNoNdepar-AltN"/>
        <w:rPr>
          <w:lang w:val="fr-CA"/>
        </w:rPr>
      </w:pPr>
      <w:r>
        <w:rPr>
          <w:lang w:val="fr-CA"/>
        </w:rPr>
        <w:t>Le paragraphe</w:t>
      </w:r>
      <w:r w:rsidR="007B13C0">
        <w:rPr>
          <w:lang w:val="fr-CA"/>
        </w:rPr>
        <w:t xml:space="preserve"> </w:t>
      </w:r>
      <w:r w:rsidRPr="00F8065C">
        <w:rPr>
          <w:lang w:val="fr-CA"/>
        </w:rPr>
        <w:t xml:space="preserve">4(1) </w:t>
      </w:r>
      <w:r>
        <w:rPr>
          <w:lang w:val="fr-CA"/>
        </w:rPr>
        <w:t xml:space="preserve">de la </w:t>
      </w:r>
      <w:r w:rsidRPr="00AC68BD">
        <w:rPr>
          <w:i/>
          <w:lang w:val="fr-CA"/>
        </w:rPr>
        <w:t>LIAÉ</w:t>
      </w:r>
      <w:r w:rsidRPr="00F8065C">
        <w:rPr>
          <w:i/>
          <w:lang w:val="fr-CA"/>
        </w:rPr>
        <w:t xml:space="preserve"> </w:t>
      </w:r>
      <w:r>
        <w:rPr>
          <w:lang w:val="fr-CA"/>
        </w:rPr>
        <w:t>est une disposition générale énonçant qu’une indemnité est versée aux agents de l’État blessés dans un accident du travail ou à leurs personnes à charge en cas de décès</w:t>
      </w:r>
      <w:r w:rsidR="007B13C0">
        <w:rPr>
          <w:lang w:val="fr-CA"/>
        </w:rPr>
        <w:t xml:space="preserve"> </w:t>
      </w:r>
      <w:r>
        <w:rPr>
          <w:lang w:val="fr-CA"/>
        </w:rPr>
        <w:t>: «</w:t>
      </w:r>
      <w:r w:rsidR="007B13C0">
        <w:rPr>
          <w:lang w:val="fr-CA"/>
        </w:rPr>
        <w:t xml:space="preserve"> </w:t>
      </w:r>
      <w:r w:rsidR="006912F6">
        <w:rPr>
          <w:lang w:val="fr-CA"/>
        </w:rPr>
        <w:t>S</w:t>
      </w:r>
      <w:r>
        <w:rPr>
          <w:lang w:val="fr-CA"/>
        </w:rPr>
        <w:t>ous réserve des autres dispositions de la présente loi, il est versé une indemnité [.</w:t>
      </w:r>
      <w:r w:rsidR="007B13C0">
        <w:rPr>
          <w:lang w:val="fr-CA"/>
        </w:rPr>
        <w:t xml:space="preserve"> </w:t>
      </w:r>
      <w:r>
        <w:rPr>
          <w:lang w:val="fr-CA"/>
        </w:rPr>
        <w:t>.</w:t>
      </w:r>
      <w:r w:rsidR="007B13C0">
        <w:rPr>
          <w:lang w:val="fr-CA"/>
        </w:rPr>
        <w:t xml:space="preserve"> </w:t>
      </w:r>
      <w:r>
        <w:rPr>
          <w:lang w:val="fr-CA"/>
        </w:rPr>
        <w:t>.] aux agents de l’État qui sont [.</w:t>
      </w:r>
      <w:r w:rsidR="007B13C0">
        <w:rPr>
          <w:lang w:val="fr-CA"/>
        </w:rPr>
        <w:t xml:space="preserve"> </w:t>
      </w:r>
      <w:r>
        <w:rPr>
          <w:lang w:val="fr-CA"/>
        </w:rPr>
        <w:t>.</w:t>
      </w:r>
      <w:r w:rsidR="007B13C0">
        <w:rPr>
          <w:lang w:val="fr-CA"/>
        </w:rPr>
        <w:t xml:space="preserve"> </w:t>
      </w:r>
      <w:r>
        <w:rPr>
          <w:lang w:val="fr-CA"/>
        </w:rPr>
        <w:t>.] soit blessés dans un accident survenu par le fait o</w:t>
      </w:r>
      <w:r w:rsidR="006912F6">
        <w:rPr>
          <w:lang w:val="fr-CA"/>
        </w:rPr>
        <w:t>u à l’occasion de leur travail .</w:t>
      </w:r>
      <w:r w:rsidR="007B13C0">
        <w:rPr>
          <w:lang w:val="fr-CA"/>
        </w:rPr>
        <w:t xml:space="preserve"> </w:t>
      </w:r>
      <w:r w:rsidR="006912F6">
        <w:rPr>
          <w:lang w:val="fr-CA"/>
        </w:rPr>
        <w:t>.</w:t>
      </w:r>
      <w:r w:rsidR="007B13C0">
        <w:rPr>
          <w:lang w:val="fr-CA"/>
        </w:rPr>
        <w:t xml:space="preserve"> </w:t>
      </w:r>
      <w:r w:rsidR="006912F6">
        <w:rPr>
          <w:lang w:val="fr-CA"/>
        </w:rPr>
        <w:t>.</w:t>
      </w:r>
      <w:r w:rsidR="007B13C0">
        <w:rPr>
          <w:lang w:val="fr-CA"/>
        </w:rPr>
        <w:t xml:space="preserve"> </w:t>
      </w:r>
      <w:r w:rsidR="002D110F">
        <w:rPr>
          <w:lang w:val="fr-CA"/>
        </w:rPr>
        <w:t xml:space="preserve">» </w:t>
      </w:r>
      <w:r>
        <w:rPr>
          <w:lang w:val="fr-CA"/>
        </w:rPr>
        <w:t xml:space="preserve"> À mon avis, il ne ressort pas de ce libellé que la disposition constitue un code complet régissant l’admissibilité à l’indemnité.  L’indemnité est subordonnée à l’application des autres dispositions («</w:t>
      </w:r>
      <w:r w:rsidR="007B13C0">
        <w:rPr>
          <w:lang w:val="fr-CA"/>
        </w:rPr>
        <w:t xml:space="preserve"> </w:t>
      </w:r>
      <w:r>
        <w:rPr>
          <w:lang w:val="fr-CA"/>
        </w:rPr>
        <w:t>[s]ous réserve des autres dispositions de la présente loi</w:t>
      </w:r>
      <w:r w:rsidR="007B13C0">
        <w:rPr>
          <w:lang w:val="fr-CA"/>
        </w:rPr>
        <w:t xml:space="preserve"> </w:t>
      </w:r>
      <w:r>
        <w:rPr>
          <w:lang w:val="fr-CA"/>
        </w:rPr>
        <w:t>»).  Les mots «</w:t>
      </w:r>
      <w:r w:rsidR="007B13C0">
        <w:rPr>
          <w:lang w:val="fr-CA"/>
        </w:rPr>
        <w:t xml:space="preserve"> </w:t>
      </w:r>
      <w:r>
        <w:rPr>
          <w:lang w:val="fr-CA"/>
        </w:rPr>
        <w:t>admissibilité</w:t>
      </w:r>
      <w:r w:rsidR="007B13C0">
        <w:rPr>
          <w:lang w:val="fr-CA"/>
        </w:rPr>
        <w:t xml:space="preserve"> </w:t>
      </w:r>
      <w:r>
        <w:rPr>
          <w:lang w:val="fr-CA"/>
        </w:rPr>
        <w:t>» et «</w:t>
      </w:r>
      <w:r w:rsidR="007B13C0">
        <w:rPr>
          <w:lang w:val="fr-CA"/>
        </w:rPr>
        <w:t xml:space="preserve"> </w:t>
      </w:r>
      <w:r>
        <w:rPr>
          <w:lang w:val="fr-CA"/>
        </w:rPr>
        <w:t>droit</w:t>
      </w:r>
      <w:r w:rsidR="007B13C0">
        <w:rPr>
          <w:lang w:val="fr-CA"/>
        </w:rPr>
        <w:t xml:space="preserve"> </w:t>
      </w:r>
      <w:r>
        <w:rPr>
          <w:lang w:val="fr-CA"/>
        </w:rPr>
        <w:t>» ne figurent pas au par.</w:t>
      </w:r>
      <w:r w:rsidR="007B13C0">
        <w:rPr>
          <w:lang w:val="fr-CA"/>
        </w:rPr>
        <w:t xml:space="preserve"> </w:t>
      </w:r>
      <w:r w:rsidRPr="00F8065C">
        <w:rPr>
          <w:lang w:val="fr-CA"/>
        </w:rPr>
        <w:t xml:space="preserve">4(1).  </w:t>
      </w:r>
      <w:r>
        <w:rPr>
          <w:lang w:val="fr-CA"/>
        </w:rPr>
        <w:t xml:space="preserve">Les notes marginales ne font pas partie de </w:t>
      </w:r>
      <w:r w:rsidRPr="00120EFB">
        <w:rPr>
          <w:lang w:val="fr-CA"/>
        </w:rPr>
        <w:t>la</w:t>
      </w:r>
      <w:r>
        <w:rPr>
          <w:lang w:val="fr-CA"/>
        </w:rPr>
        <w:t xml:space="preserve"> disposition ni n’en déterminent le sens (</w:t>
      </w:r>
      <w:r>
        <w:rPr>
          <w:i/>
          <w:lang w:val="fr-CA"/>
        </w:rPr>
        <w:t>Loi d’interprétation</w:t>
      </w:r>
      <w:r w:rsidRPr="00F8065C">
        <w:rPr>
          <w:lang w:val="fr-CA"/>
        </w:rPr>
        <w:t>,</w:t>
      </w:r>
      <w:r w:rsidR="007B13C0">
        <w:rPr>
          <w:lang w:val="fr-CA"/>
        </w:rPr>
        <w:t xml:space="preserve"> L.R.C. 1985, ch. I-</w:t>
      </w:r>
      <w:r>
        <w:rPr>
          <w:lang w:val="fr-CA"/>
        </w:rPr>
        <w:t>21, art.</w:t>
      </w:r>
      <w:r w:rsidR="007B13C0">
        <w:rPr>
          <w:lang w:val="fr-CA"/>
        </w:rPr>
        <w:t xml:space="preserve"> </w:t>
      </w:r>
      <w:r w:rsidRPr="00F8065C">
        <w:rPr>
          <w:lang w:val="fr-CA"/>
        </w:rPr>
        <w:t>14</w:t>
      </w:r>
      <w:r>
        <w:rPr>
          <w:lang w:val="fr-CA"/>
        </w:rPr>
        <w:t>)</w:t>
      </w:r>
      <w:r w:rsidRPr="00F8065C">
        <w:rPr>
          <w:lang w:val="fr-CA"/>
        </w:rPr>
        <w:t>.</w:t>
      </w:r>
    </w:p>
    <w:p w:rsidR="003D74EC" w:rsidRPr="00F8065C" w:rsidRDefault="003D74EC" w:rsidP="007B13C0">
      <w:pPr>
        <w:pStyle w:val="ParaNoNdepar-AltN"/>
        <w:rPr>
          <w:lang w:val="fr-CA"/>
        </w:rPr>
      </w:pPr>
      <w:r>
        <w:rPr>
          <w:lang w:val="fr-CA"/>
        </w:rPr>
        <w:lastRenderedPageBreak/>
        <w:t>L’agent doit avoir été blessé dans un «</w:t>
      </w:r>
      <w:r w:rsidR="007B13C0">
        <w:rPr>
          <w:lang w:val="fr-CA"/>
        </w:rPr>
        <w:t xml:space="preserve"> </w:t>
      </w:r>
      <w:r>
        <w:rPr>
          <w:lang w:val="fr-CA"/>
        </w:rPr>
        <w:t>accident</w:t>
      </w:r>
      <w:r w:rsidR="007B13C0">
        <w:rPr>
          <w:lang w:val="fr-CA"/>
        </w:rPr>
        <w:t xml:space="preserve"> </w:t>
      </w:r>
      <w:r>
        <w:rPr>
          <w:lang w:val="fr-CA"/>
        </w:rPr>
        <w:t>», mais la définition large et non limitative de ce terme, qui figure à l’art.</w:t>
      </w:r>
      <w:r w:rsidR="007B13C0">
        <w:rPr>
          <w:lang w:val="fr-CA"/>
        </w:rPr>
        <w:t xml:space="preserve"> </w:t>
      </w:r>
      <w:r>
        <w:rPr>
          <w:lang w:val="fr-CA"/>
        </w:rPr>
        <w:t xml:space="preserve">2 de la </w:t>
      </w:r>
      <w:r w:rsidRPr="00B56FAB">
        <w:rPr>
          <w:i/>
          <w:lang w:val="fr-CA"/>
        </w:rPr>
        <w:t>LIAÉ</w:t>
      </w:r>
      <w:r>
        <w:rPr>
          <w:lang w:val="fr-CA"/>
        </w:rPr>
        <w:t>, ne donne que deux exemples de catégories d’événements constituant des accidents.  «</w:t>
      </w:r>
      <w:r w:rsidR="007B13C0">
        <w:rPr>
          <w:lang w:val="fr-CA"/>
        </w:rPr>
        <w:t xml:space="preserve"> </w:t>
      </w:r>
      <w:r>
        <w:rPr>
          <w:lang w:val="fr-CA"/>
        </w:rPr>
        <w:t>Sont assimilés</w:t>
      </w:r>
      <w:r w:rsidR="007B13C0">
        <w:rPr>
          <w:lang w:val="fr-CA"/>
        </w:rPr>
        <w:t xml:space="preserve"> </w:t>
      </w:r>
      <w:r>
        <w:rPr>
          <w:lang w:val="fr-CA"/>
        </w:rPr>
        <w:t>» à un accident le fait résultant d’un «</w:t>
      </w:r>
      <w:r w:rsidR="007B13C0">
        <w:rPr>
          <w:lang w:val="fr-CA"/>
        </w:rPr>
        <w:t xml:space="preserve"> </w:t>
      </w:r>
      <w:r>
        <w:rPr>
          <w:lang w:val="fr-CA"/>
        </w:rPr>
        <w:t>acte délibéré</w:t>
      </w:r>
      <w:r w:rsidR="007B13C0">
        <w:rPr>
          <w:lang w:val="fr-CA"/>
        </w:rPr>
        <w:t xml:space="preserve"> </w:t>
      </w:r>
      <w:r>
        <w:rPr>
          <w:lang w:val="fr-CA"/>
        </w:rPr>
        <w:t>» d’une autre personne et l’«</w:t>
      </w:r>
      <w:r w:rsidR="007B13C0">
        <w:rPr>
          <w:lang w:val="fr-CA"/>
        </w:rPr>
        <w:t xml:space="preserve"> </w:t>
      </w:r>
      <w:r>
        <w:rPr>
          <w:lang w:val="fr-CA"/>
        </w:rPr>
        <w:t>événement fortuit</w:t>
      </w:r>
      <w:r w:rsidR="007B13C0">
        <w:rPr>
          <w:lang w:val="fr-CA"/>
        </w:rPr>
        <w:t xml:space="preserve"> </w:t>
      </w:r>
      <w:r>
        <w:rPr>
          <w:lang w:val="fr-CA"/>
        </w:rPr>
        <w:t>».  Ni la définition ni le par.</w:t>
      </w:r>
      <w:r w:rsidR="007B13C0">
        <w:rPr>
          <w:lang w:val="fr-CA"/>
        </w:rPr>
        <w:t xml:space="preserve"> </w:t>
      </w:r>
      <w:r w:rsidRPr="00F8065C">
        <w:rPr>
          <w:lang w:val="fr-CA"/>
        </w:rPr>
        <w:t>4(1)</w:t>
      </w:r>
      <w:r>
        <w:rPr>
          <w:lang w:val="fr-CA"/>
        </w:rPr>
        <w:t xml:space="preserve"> n’énoncent de norme ou de règle permettant de déterminer quelles catégories de «</w:t>
      </w:r>
      <w:r w:rsidR="007B13C0">
        <w:rPr>
          <w:lang w:val="fr-CA"/>
        </w:rPr>
        <w:t xml:space="preserve"> </w:t>
      </w:r>
      <w:r>
        <w:rPr>
          <w:lang w:val="fr-CA"/>
        </w:rPr>
        <w:t>fait[s]</w:t>
      </w:r>
      <w:r w:rsidR="007B13C0">
        <w:rPr>
          <w:lang w:val="fr-CA"/>
        </w:rPr>
        <w:t xml:space="preserve"> </w:t>
      </w:r>
      <w:r>
        <w:rPr>
          <w:lang w:val="fr-CA"/>
        </w:rPr>
        <w:t>» ou d’«</w:t>
      </w:r>
      <w:r w:rsidR="007B13C0">
        <w:rPr>
          <w:lang w:val="fr-CA"/>
        </w:rPr>
        <w:t xml:space="preserve"> </w:t>
      </w:r>
      <w:r>
        <w:rPr>
          <w:lang w:val="fr-CA"/>
        </w:rPr>
        <w:t>événement[s]</w:t>
      </w:r>
      <w:r w:rsidR="007B13C0">
        <w:rPr>
          <w:lang w:val="fr-CA"/>
        </w:rPr>
        <w:t xml:space="preserve"> </w:t>
      </w:r>
      <w:r>
        <w:rPr>
          <w:lang w:val="fr-CA"/>
        </w:rPr>
        <w:t>» peuvent constituer un «</w:t>
      </w:r>
      <w:r w:rsidR="007B13C0">
        <w:rPr>
          <w:lang w:val="fr-CA"/>
        </w:rPr>
        <w:t xml:space="preserve"> </w:t>
      </w:r>
      <w:r>
        <w:rPr>
          <w:lang w:val="fr-CA"/>
        </w:rPr>
        <w:t>accident</w:t>
      </w:r>
      <w:r w:rsidR="007B13C0">
        <w:rPr>
          <w:lang w:val="fr-CA"/>
        </w:rPr>
        <w:t xml:space="preserve"> </w:t>
      </w:r>
      <w:r>
        <w:rPr>
          <w:lang w:val="fr-CA"/>
        </w:rPr>
        <w:t>», quand ils surviennent «</w:t>
      </w:r>
      <w:r w:rsidR="007B13C0">
        <w:rPr>
          <w:lang w:val="fr-CA"/>
        </w:rPr>
        <w:t xml:space="preserve"> </w:t>
      </w:r>
      <w:r>
        <w:rPr>
          <w:lang w:val="fr-CA"/>
        </w:rPr>
        <w:t>par le fait ou à l’occasion [du] travail</w:t>
      </w:r>
      <w:r w:rsidR="007B13C0">
        <w:rPr>
          <w:lang w:val="fr-CA"/>
        </w:rPr>
        <w:t xml:space="preserve"> </w:t>
      </w:r>
      <w:r>
        <w:rPr>
          <w:lang w:val="fr-CA"/>
        </w:rPr>
        <w:t>» ou quand un agent de l’État est blessé «</w:t>
      </w:r>
      <w:r w:rsidR="007B13C0">
        <w:rPr>
          <w:lang w:val="fr-CA"/>
        </w:rPr>
        <w:t xml:space="preserve"> </w:t>
      </w:r>
      <w:r>
        <w:rPr>
          <w:lang w:val="fr-CA"/>
        </w:rPr>
        <w:t>dans</w:t>
      </w:r>
      <w:r w:rsidR="007B13C0">
        <w:rPr>
          <w:lang w:val="fr-CA"/>
        </w:rPr>
        <w:t xml:space="preserve"> </w:t>
      </w:r>
      <w:r>
        <w:rPr>
          <w:lang w:val="fr-CA"/>
        </w:rPr>
        <w:t>» un accident</w:t>
      </w:r>
      <w:r w:rsidRPr="00F8065C">
        <w:rPr>
          <w:lang w:val="fr-CA"/>
        </w:rPr>
        <w:t xml:space="preserve">. </w:t>
      </w:r>
    </w:p>
    <w:p w:rsidR="003D74EC" w:rsidRPr="00F8065C" w:rsidRDefault="003D74EC" w:rsidP="007B13C0">
      <w:pPr>
        <w:pStyle w:val="ParaNoNdepar-AltN"/>
        <w:rPr>
          <w:lang w:val="fr-CA"/>
        </w:rPr>
      </w:pPr>
      <w:r>
        <w:rPr>
          <w:lang w:val="fr-CA"/>
        </w:rPr>
        <w:t>Considéré dans son ensemble et à la lumière de son contexte, l’art.</w:t>
      </w:r>
      <w:r w:rsidR="007B13C0">
        <w:rPr>
          <w:lang w:val="fr-CA"/>
        </w:rPr>
        <w:t xml:space="preserve"> </w:t>
      </w:r>
      <w:r>
        <w:rPr>
          <w:lang w:val="fr-CA"/>
        </w:rPr>
        <w:t xml:space="preserve">4 étaye l’interprétation selon laquelle les critères d’admissibilité à l’indemnité ne sont pas précisés dans la </w:t>
      </w:r>
      <w:r w:rsidRPr="000319BB">
        <w:rPr>
          <w:i/>
          <w:lang w:val="fr-CA"/>
        </w:rPr>
        <w:t>LIAÉ</w:t>
      </w:r>
      <w:r w:rsidRPr="00F8065C">
        <w:rPr>
          <w:lang w:val="fr-CA"/>
        </w:rPr>
        <w:t xml:space="preserve"> </w:t>
      </w:r>
      <w:r>
        <w:rPr>
          <w:lang w:val="fr-CA"/>
        </w:rPr>
        <w:t>et il ressortit aux autorités provinciales de les déterminer, conformément à la législation provinciale sur les accidents du travail</w:t>
      </w:r>
      <w:r w:rsidRPr="00F8065C">
        <w:rPr>
          <w:lang w:val="fr-CA"/>
        </w:rPr>
        <w:t>.</w:t>
      </w:r>
    </w:p>
    <w:p w:rsidR="003D74EC" w:rsidRPr="008244A5" w:rsidRDefault="003D74EC" w:rsidP="007B13C0">
      <w:pPr>
        <w:pStyle w:val="ParaNoNdepar-AltN"/>
        <w:rPr>
          <w:lang w:val="fr-CA"/>
        </w:rPr>
      </w:pPr>
      <w:r>
        <w:rPr>
          <w:lang w:val="fr-CA"/>
        </w:rPr>
        <w:t>Premièrement, le par.</w:t>
      </w:r>
      <w:r w:rsidR="007B13C0">
        <w:rPr>
          <w:lang w:val="fr-CA"/>
        </w:rPr>
        <w:t xml:space="preserve"> </w:t>
      </w:r>
      <w:r w:rsidRPr="008244A5">
        <w:rPr>
          <w:lang w:val="fr-CA"/>
        </w:rPr>
        <w:t xml:space="preserve">4(2) </w:t>
      </w:r>
      <w:r>
        <w:rPr>
          <w:lang w:val="fr-CA"/>
        </w:rPr>
        <w:t xml:space="preserve">prévoit que les agents de l’État fédéral visés par la </w:t>
      </w:r>
      <w:r w:rsidRPr="006402D6">
        <w:rPr>
          <w:i/>
          <w:lang w:val="fr-CA"/>
        </w:rPr>
        <w:t>LIAÉ</w:t>
      </w:r>
      <w:r w:rsidRPr="008244A5">
        <w:rPr>
          <w:lang w:val="fr-CA"/>
        </w:rPr>
        <w:t xml:space="preserve"> </w:t>
      </w:r>
      <w:r>
        <w:rPr>
          <w:lang w:val="fr-CA"/>
        </w:rPr>
        <w:t>«</w:t>
      </w:r>
      <w:r w:rsidR="007B13C0">
        <w:rPr>
          <w:lang w:val="fr-CA"/>
        </w:rPr>
        <w:t xml:space="preserve"> </w:t>
      </w:r>
      <w:r w:rsidRPr="007F4396">
        <w:rPr>
          <w:u w:val="single"/>
          <w:lang w:val="fr-CA"/>
        </w:rPr>
        <w:t>ont droit</w:t>
      </w:r>
      <w:r w:rsidRPr="008244A5">
        <w:rPr>
          <w:i/>
          <w:lang w:val="fr-CA"/>
        </w:rPr>
        <w:t xml:space="preserve"> </w:t>
      </w:r>
      <w:r w:rsidRPr="008244A5">
        <w:rPr>
          <w:lang w:val="fr-CA"/>
        </w:rPr>
        <w:t>à l</w:t>
      </w:r>
      <w:r>
        <w:rPr>
          <w:lang w:val="fr-CA"/>
        </w:rPr>
        <w:t>’</w:t>
      </w:r>
      <w:r w:rsidRPr="008244A5">
        <w:rPr>
          <w:lang w:val="fr-CA"/>
        </w:rPr>
        <w:t xml:space="preserve">indemnité prévue par la législation — </w:t>
      </w:r>
      <w:r w:rsidRPr="007F4396">
        <w:rPr>
          <w:u w:val="single"/>
          <w:lang w:val="fr-CA"/>
        </w:rPr>
        <w:t>aux taux et conditions</w:t>
      </w:r>
      <w:r w:rsidRPr="008244A5">
        <w:rPr>
          <w:i/>
          <w:lang w:val="fr-CA"/>
        </w:rPr>
        <w:t xml:space="preserve"> </w:t>
      </w:r>
      <w:r w:rsidRPr="008244A5">
        <w:rPr>
          <w:lang w:val="fr-CA"/>
        </w:rPr>
        <w:t>qu</w:t>
      </w:r>
      <w:r>
        <w:rPr>
          <w:lang w:val="fr-CA"/>
        </w:rPr>
        <w:t>’</w:t>
      </w:r>
      <w:r w:rsidRPr="008244A5">
        <w:rPr>
          <w:lang w:val="fr-CA"/>
        </w:rPr>
        <w:t>elle fixe — de la province où les agents exercent habituellement leurs fonctions</w:t>
      </w:r>
      <w:r w:rsidR="007B13C0">
        <w:rPr>
          <w:lang w:val="fr-CA"/>
        </w:rPr>
        <w:t xml:space="preserve"> </w:t>
      </w:r>
      <w:r>
        <w:rPr>
          <w:lang w:val="fr-CA"/>
        </w:rPr>
        <w:t>»</w:t>
      </w:r>
      <w:r w:rsidRPr="008244A5">
        <w:rPr>
          <w:lang w:val="fr-CA"/>
        </w:rPr>
        <w:t xml:space="preserve">.  </w:t>
      </w:r>
      <w:r>
        <w:rPr>
          <w:lang w:val="fr-CA"/>
        </w:rPr>
        <w:t xml:space="preserve">Ainsi, tous les travailleurs </w:t>
      </w:r>
      <w:r w:rsidRPr="00C51F6E">
        <w:rPr>
          <w:i/>
          <w:lang w:val="fr-CA"/>
        </w:rPr>
        <w:t>au sein d</w:t>
      </w:r>
      <w:r>
        <w:rPr>
          <w:lang w:val="fr-CA"/>
        </w:rPr>
        <w:t xml:space="preserve">’une province jouissent de </w:t>
      </w:r>
      <w:r w:rsidRPr="00CE3D4F">
        <w:rPr>
          <w:i/>
          <w:lang w:val="fr-CA"/>
        </w:rPr>
        <w:t>droits</w:t>
      </w:r>
      <w:r>
        <w:rPr>
          <w:lang w:val="fr-CA"/>
        </w:rPr>
        <w:t xml:space="preserve"> parallèles.  Puisque les provinces ont compétence pour légiférer en matière d’indemnisation des accidents du travail, le par.</w:t>
      </w:r>
      <w:r w:rsidR="007B13C0">
        <w:rPr>
          <w:lang w:val="fr-CA"/>
        </w:rPr>
        <w:t xml:space="preserve"> </w:t>
      </w:r>
      <w:r w:rsidRPr="008244A5">
        <w:rPr>
          <w:lang w:val="fr-CA"/>
        </w:rPr>
        <w:t xml:space="preserve">4(2) </w:t>
      </w:r>
      <w:r>
        <w:rPr>
          <w:lang w:val="fr-CA"/>
        </w:rPr>
        <w:t>prévoit la possibilité que les agents de l’État fédéral bénéficient de «</w:t>
      </w:r>
      <w:r w:rsidR="007B13C0">
        <w:rPr>
          <w:lang w:val="fr-CA"/>
        </w:rPr>
        <w:t xml:space="preserve"> </w:t>
      </w:r>
      <w:r>
        <w:rPr>
          <w:lang w:val="fr-CA"/>
        </w:rPr>
        <w:t>taux</w:t>
      </w:r>
      <w:r w:rsidR="007B13C0">
        <w:rPr>
          <w:lang w:val="fr-CA"/>
        </w:rPr>
        <w:t xml:space="preserve"> </w:t>
      </w:r>
      <w:r>
        <w:rPr>
          <w:lang w:val="fr-CA"/>
        </w:rPr>
        <w:t>» et «</w:t>
      </w:r>
      <w:r w:rsidR="007B13C0">
        <w:rPr>
          <w:lang w:val="fr-CA"/>
        </w:rPr>
        <w:t xml:space="preserve"> </w:t>
      </w:r>
      <w:r>
        <w:rPr>
          <w:lang w:val="fr-CA"/>
        </w:rPr>
        <w:t>conditions</w:t>
      </w:r>
      <w:r w:rsidR="007B13C0">
        <w:rPr>
          <w:lang w:val="fr-CA"/>
        </w:rPr>
        <w:t xml:space="preserve"> </w:t>
      </w:r>
      <w:r>
        <w:rPr>
          <w:lang w:val="fr-CA"/>
        </w:rPr>
        <w:t xml:space="preserve">» différents selon la législation applicable dans la province où ils exercent leurs fonctions.  Par </w:t>
      </w:r>
      <w:r>
        <w:rPr>
          <w:lang w:val="fr-CA"/>
        </w:rPr>
        <w:lastRenderedPageBreak/>
        <w:t xml:space="preserve">conséquent, c’est à l’échelle de la province, non pas à l’échelle du pays et du groupe des agents de l’État fédéral, que l’uniformité est favorisée. </w:t>
      </w:r>
    </w:p>
    <w:p w:rsidR="003D74EC" w:rsidRPr="00F8065C" w:rsidRDefault="003D74EC" w:rsidP="007B13C0">
      <w:pPr>
        <w:pStyle w:val="ParaNoNdepar-AltN"/>
        <w:rPr>
          <w:lang w:val="fr-CA"/>
        </w:rPr>
      </w:pPr>
      <w:r>
        <w:rPr>
          <w:lang w:val="fr-CA"/>
        </w:rPr>
        <w:t>Il ne serait guère logique que le régime provincial dicte les taux et les conditions applicables sans régir également les critères d’admissibilité, puisque ces aspects du régime sont inévitablement interreliés.  Les «</w:t>
      </w:r>
      <w:r w:rsidR="007B13C0">
        <w:rPr>
          <w:lang w:val="fr-CA"/>
        </w:rPr>
        <w:t xml:space="preserve"> </w:t>
      </w:r>
      <w:r>
        <w:rPr>
          <w:lang w:val="fr-CA"/>
        </w:rPr>
        <w:t>c</w:t>
      </w:r>
      <w:r w:rsidRPr="00F8065C">
        <w:rPr>
          <w:lang w:val="fr-CA"/>
        </w:rPr>
        <w:t>onditio</w:t>
      </w:r>
      <w:r>
        <w:rPr>
          <w:lang w:val="fr-CA"/>
        </w:rPr>
        <w:t>ns</w:t>
      </w:r>
      <w:r w:rsidR="007B13C0">
        <w:rPr>
          <w:lang w:val="fr-CA"/>
        </w:rPr>
        <w:t xml:space="preserve"> </w:t>
      </w:r>
      <w:r>
        <w:rPr>
          <w:lang w:val="fr-CA"/>
        </w:rPr>
        <w:t>»</w:t>
      </w:r>
      <w:r w:rsidRPr="00F8065C">
        <w:rPr>
          <w:lang w:val="fr-CA"/>
        </w:rPr>
        <w:t xml:space="preserve"> </w:t>
      </w:r>
      <w:r>
        <w:rPr>
          <w:lang w:val="fr-CA"/>
        </w:rPr>
        <w:t>à respecter pour obtenir le versement de l’indemnité déterminent si un agent de l’État y aura droit.  En conséquence, le «</w:t>
      </w:r>
      <w:r w:rsidR="007B13C0">
        <w:rPr>
          <w:lang w:val="fr-CA"/>
        </w:rPr>
        <w:t xml:space="preserve"> </w:t>
      </w:r>
      <w:r>
        <w:rPr>
          <w:lang w:val="fr-CA"/>
        </w:rPr>
        <w:t>droit</w:t>
      </w:r>
      <w:r w:rsidR="007B13C0">
        <w:rPr>
          <w:lang w:val="fr-CA"/>
        </w:rPr>
        <w:t xml:space="preserve"> </w:t>
      </w:r>
      <w:r>
        <w:rPr>
          <w:lang w:val="fr-CA"/>
        </w:rPr>
        <w:t>» à l’indemnité, prévu au par.</w:t>
      </w:r>
      <w:r w:rsidR="007B13C0">
        <w:rPr>
          <w:lang w:val="fr-CA"/>
        </w:rPr>
        <w:t xml:space="preserve"> </w:t>
      </w:r>
      <w:r>
        <w:rPr>
          <w:lang w:val="fr-CA"/>
        </w:rPr>
        <w:t>4(2), aux «</w:t>
      </w:r>
      <w:r w:rsidR="007B13C0">
        <w:rPr>
          <w:lang w:val="fr-CA"/>
        </w:rPr>
        <w:t xml:space="preserve"> </w:t>
      </w:r>
      <w:r>
        <w:rPr>
          <w:lang w:val="fr-CA"/>
        </w:rPr>
        <w:t>conditions</w:t>
      </w:r>
      <w:r w:rsidR="007B13C0">
        <w:rPr>
          <w:lang w:val="fr-CA"/>
        </w:rPr>
        <w:t xml:space="preserve"> </w:t>
      </w:r>
      <w:r>
        <w:rPr>
          <w:lang w:val="fr-CA"/>
        </w:rPr>
        <w:t xml:space="preserve">» fixées par la législation de la province </w:t>
      </w:r>
      <w:r w:rsidRPr="00DF320F">
        <w:rPr>
          <w:lang w:val="fr-CA"/>
        </w:rPr>
        <w:t>où l’agent de l’État fédéral exerce ses fonctions,</w:t>
      </w:r>
      <w:r>
        <w:rPr>
          <w:lang w:val="fr-CA"/>
        </w:rPr>
        <w:t xml:space="preserve"> indique qu’il y a droit dans les mêmes circonstances que les autres travailleurs de la province.  Comme je le fais remarquer </w:t>
      </w:r>
      <w:r w:rsidRPr="00120EFB">
        <w:rPr>
          <w:lang w:val="fr-CA"/>
        </w:rPr>
        <w:t>plus loin, il</w:t>
      </w:r>
      <w:r>
        <w:rPr>
          <w:lang w:val="fr-CA"/>
        </w:rPr>
        <w:t xml:space="preserve"> appert clairement de l’historique législatif que la mention des «</w:t>
      </w:r>
      <w:r w:rsidR="007B13C0">
        <w:rPr>
          <w:lang w:val="fr-CA"/>
        </w:rPr>
        <w:t xml:space="preserve"> </w:t>
      </w:r>
      <w:r>
        <w:rPr>
          <w:lang w:val="fr-CA"/>
        </w:rPr>
        <w:t>conditions qu’elle [la législation de la province] fixe</w:t>
      </w:r>
      <w:r w:rsidR="007B13C0">
        <w:rPr>
          <w:lang w:val="fr-CA"/>
        </w:rPr>
        <w:t xml:space="preserve"> </w:t>
      </w:r>
      <w:r>
        <w:rPr>
          <w:lang w:val="fr-CA"/>
        </w:rPr>
        <w:t xml:space="preserve">», avait pour objet de préciser que les </w:t>
      </w:r>
      <w:r>
        <w:rPr>
          <w:i/>
          <w:lang w:val="fr-CA"/>
        </w:rPr>
        <w:t>conditions d’admissibilité</w:t>
      </w:r>
      <w:r>
        <w:rPr>
          <w:lang w:val="fr-CA"/>
        </w:rPr>
        <w:t xml:space="preserve"> applicables aux agents de l’État en vertu de la </w:t>
      </w:r>
      <w:r w:rsidRPr="006D69E9">
        <w:rPr>
          <w:i/>
          <w:lang w:val="fr-CA"/>
        </w:rPr>
        <w:t>LIAÉ</w:t>
      </w:r>
      <w:r w:rsidRPr="00F8065C">
        <w:rPr>
          <w:i/>
          <w:lang w:val="fr-CA"/>
        </w:rPr>
        <w:t xml:space="preserve"> </w:t>
      </w:r>
      <w:r>
        <w:rPr>
          <w:lang w:val="fr-CA"/>
        </w:rPr>
        <w:t>sont les mêmes que celles que prévoit le régime provincial</w:t>
      </w:r>
      <w:r w:rsidRPr="00F8065C">
        <w:rPr>
          <w:lang w:val="fr-CA"/>
        </w:rPr>
        <w:t>.</w:t>
      </w:r>
    </w:p>
    <w:p w:rsidR="003D74EC" w:rsidRPr="00B34211" w:rsidRDefault="003D74EC" w:rsidP="007B13C0">
      <w:pPr>
        <w:pStyle w:val="ParaNoNdepar-AltN"/>
        <w:rPr>
          <w:lang w:val="fr-CA"/>
        </w:rPr>
      </w:pPr>
      <w:r>
        <w:rPr>
          <w:lang w:val="fr-CA"/>
        </w:rPr>
        <w:t>En outre, le parallélisme du libellé des par.</w:t>
      </w:r>
      <w:r w:rsidR="007B13C0">
        <w:rPr>
          <w:lang w:val="fr-CA"/>
        </w:rPr>
        <w:t xml:space="preserve"> </w:t>
      </w:r>
      <w:r w:rsidRPr="00B34211">
        <w:rPr>
          <w:lang w:val="fr-CA"/>
        </w:rPr>
        <w:t xml:space="preserve">4(1) </w:t>
      </w:r>
      <w:r>
        <w:rPr>
          <w:lang w:val="fr-CA"/>
        </w:rPr>
        <w:t>et</w:t>
      </w:r>
      <w:r w:rsidRPr="00B34211">
        <w:rPr>
          <w:lang w:val="fr-CA"/>
        </w:rPr>
        <w:t xml:space="preserve"> (2) </w:t>
      </w:r>
      <w:r>
        <w:rPr>
          <w:lang w:val="fr-CA"/>
        </w:rPr>
        <w:t xml:space="preserve">démontre que l’admissibilité des agents de l’État fédéral obéit au régime </w:t>
      </w:r>
      <w:r w:rsidRPr="00B34211">
        <w:rPr>
          <w:lang w:val="fr-CA"/>
        </w:rPr>
        <w:t>provinci</w:t>
      </w:r>
      <w:r>
        <w:rPr>
          <w:lang w:val="fr-CA"/>
        </w:rPr>
        <w:t>al.</w:t>
      </w:r>
      <w:r w:rsidR="007B13C0">
        <w:rPr>
          <w:lang w:val="fr-CA"/>
        </w:rPr>
        <w:t xml:space="preserve"> </w:t>
      </w:r>
      <w:r>
        <w:rPr>
          <w:lang w:val="fr-CA"/>
        </w:rPr>
        <w:t xml:space="preserve"> Aux termes du par.</w:t>
      </w:r>
      <w:r w:rsidR="007B13C0">
        <w:rPr>
          <w:lang w:val="fr-CA"/>
        </w:rPr>
        <w:t xml:space="preserve"> </w:t>
      </w:r>
      <w:r w:rsidRPr="00B34211">
        <w:rPr>
          <w:lang w:val="fr-CA"/>
        </w:rPr>
        <w:t xml:space="preserve">4(1), </w:t>
      </w:r>
      <w:r>
        <w:rPr>
          <w:lang w:val="fr-CA"/>
        </w:rPr>
        <w:t>les agents de l’État fédéral touchent une indemnité s’ils sont «</w:t>
      </w:r>
      <w:r w:rsidR="007B13C0">
        <w:rPr>
          <w:lang w:val="fr-CA"/>
        </w:rPr>
        <w:t xml:space="preserve"> </w:t>
      </w:r>
      <w:r w:rsidRPr="00B34211">
        <w:rPr>
          <w:u w:val="single"/>
          <w:lang w:val="fr-CA"/>
        </w:rPr>
        <w:t>blessés dans un accident survenu par le fait ou à l</w:t>
      </w:r>
      <w:r>
        <w:rPr>
          <w:u w:val="single"/>
          <w:lang w:val="fr-CA"/>
        </w:rPr>
        <w:t>’</w:t>
      </w:r>
      <w:r w:rsidRPr="00B34211">
        <w:rPr>
          <w:u w:val="single"/>
          <w:lang w:val="fr-CA"/>
        </w:rPr>
        <w:t>occasion de leur travail</w:t>
      </w:r>
      <w:r w:rsidR="007B13C0">
        <w:rPr>
          <w:lang w:val="fr-CA"/>
        </w:rPr>
        <w:t xml:space="preserve"> </w:t>
      </w:r>
      <w:r>
        <w:rPr>
          <w:lang w:val="fr-CA"/>
        </w:rPr>
        <w:t>»</w:t>
      </w:r>
      <w:r w:rsidRPr="00B34211">
        <w:rPr>
          <w:lang w:val="fr-CA"/>
        </w:rPr>
        <w:t>.</w:t>
      </w:r>
      <w:r>
        <w:rPr>
          <w:lang w:val="fr-CA"/>
        </w:rPr>
        <w:t xml:space="preserve">  Le paragraphe</w:t>
      </w:r>
      <w:r w:rsidR="007B13C0">
        <w:rPr>
          <w:lang w:val="fr-CA"/>
        </w:rPr>
        <w:t xml:space="preserve"> </w:t>
      </w:r>
      <w:r w:rsidRPr="00B34211">
        <w:rPr>
          <w:lang w:val="fr-CA"/>
        </w:rPr>
        <w:t xml:space="preserve">4(2) </w:t>
      </w:r>
      <w:r>
        <w:rPr>
          <w:lang w:val="fr-CA"/>
        </w:rPr>
        <w:t xml:space="preserve">énonce que les agents de l’État fédéral ont droit à l’indemnité prévue par la législation de la province en matière d’indemnisation des travailleurs </w:t>
      </w:r>
      <w:r w:rsidRPr="00120EFB">
        <w:rPr>
          <w:lang w:val="fr-CA"/>
        </w:rPr>
        <w:t>sous responsabilité provinciale</w:t>
      </w:r>
      <w:r>
        <w:rPr>
          <w:i/>
          <w:lang w:val="fr-CA"/>
        </w:rPr>
        <w:t xml:space="preserve"> </w:t>
      </w:r>
      <w:r>
        <w:rPr>
          <w:lang w:val="fr-CA"/>
        </w:rPr>
        <w:t>qui sont «</w:t>
      </w:r>
      <w:r w:rsidR="007B13C0">
        <w:rPr>
          <w:lang w:val="fr-CA"/>
        </w:rPr>
        <w:t xml:space="preserve"> </w:t>
      </w:r>
      <w:r w:rsidRPr="00B34211">
        <w:rPr>
          <w:u w:val="single"/>
          <w:lang w:val="fr-CA"/>
        </w:rPr>
        <w:t xml:space="preserve">blessés dans la province dans des accidents survenus par le fait </w:t>
      </w:r>
      <w:r w:rsidRPr="00B34211">
        <w:rPr>
          <w:u w:val="single"/>
          <w:lang w:val="fr-CA"/>
        </w:rPr>
        <w:lastRenderedPageBreak/>
        <w:t>ou à l</w:t>
      </w:r>
      <w:r>
        <w:rPr>
          <w:u w:val="single"/>
          <w:lang w:val="fr-CA"/>
        </w:rPr>
        <w:t>’</w:t>
      </w:r>
      <w:r w:rsidRPr="00B34211">
        <w:rPr>
          <w:u w:val="single"/>
          <w:lang w:val="fr-CA"/>
        </w:rPr>
        <w:t>occasion de leur travail</w:t>
      </w:r>
      <w:r w:rsidR="007B13C0">
        <w:rPr>
          <w:lang w:val="fr-CA"/>
        </w:rPr>
        <w:t xml:space="preserve"> </w:t>
      </w:r>
      <w:r>
        <w:rPr>
          <w:lang w:val="fr-CA"/>
        </w:rPr>
        <w:t xml:space="preserve">».  Cette correspondance des énoncés laisse entendre que les agents de l’État fédéral sont indemnisés dans les mêmes circonstances que les autres travailleurs de la province où ces agents exercent leurs fonctions, lorsqu’ils sont </w:t>
      </w:r>
      <w:r w:rsidRPr="007F4396">
        <w:rPr>
          <w:lang w:val="fr-CA"/>
        </w:rPr>
        <w:t>blessés</w:t>
      </w:r>
      <w:r w:rsidRPr="003917BC">
        <w:rPr>
          <w:lang w:val="fr-CA"/>
        </w:rPr>
        <w:t xml:space="preserve"> </w:t>
      </w:r>
      <w:r w:rsidRPr="001637DF">
        <w:rPr>
          <w:lang w:val="fr-CA"/>
        </w:rPr>
        <w:t xml:space="preserve">dans un accident </w:t>
      </w:r>
      <w:r w:rsidR="001637DF">
        <w:rPr>
          <w:lang w:val="fr-CA"/>
        </w:rPr>
        <w:t>«</w:t>
      </w:r>
      <w:r w:rsidR="007B13C0">
        <w:rPr>
          <w:lang w:val="fr-CA"/>
        </w:rPr>
        <w:t xml:space="preserve"> </w:t>
      </w:r>
      <w:r w:rsidRPr="003F0A3A">
        <w:rPr>
          <w:u w:val="single"/>
          <w:lang w:val="fr-CA"/>
        </w:rPr>
        <w:t>survenu par le fait ou à l</w:t>
      </w:r>
      <w:r>
        <w:rPr>
          <w:u w:val="single"/>
          <w:lang w:val="fr-CA"/>
        </w:rPr>
        <w:t>’</w:t>
      </w:r>
      <w:r w:rsidRPr="003F0A3A">
        <w:rPr>
          <w:u w:val="single"/>
          <w:lang w:val="fr-CA"/>
        </w:rPr>
        <w:t>occasion de leur travail</w:t>
      </w:r>
      <w:r w:rsidR="007B13C0">
        <w:rPr>
          <w:lang w:val="fr-CA"/>
        </w:rPr>
        <w:t xml:space="preserve"> </w:t>
      </w:r>
      <w:r>
        <w:rPr>
          <w:lang w:val="fr-CA"/>
        </w:rPr>
        <w:t xml:space="preserve">». </w:t>
      </w:r>
    </w:p>
    <w:p w:rsidR="003D74EC" w:rsidRPr="003F0A3A" w:rsidRDefault="003D74EC" w:rsidP="007B13C0">
      <w:pPr>
        <w:pStyle w:val="ParaNoNdepar-AltN"/>
        <w:rPr>
          <w:lang w:val="fr-CA"/>
        </w:rPr>
      </w:pPr>
      <w:r w:rsidRPr="003F0A3A">
        <w:rPr>
          <w:lang w:val="fr-CA"/>
        </w:rPr>
        <w:t>Le paragraphe</w:t>
      </w:r>
      <w:r w:rsidR="007B13C0">
        <w:rPr>
          <w:lang w:val="fr-CA"/>
        </w:rPr>
        <w:t xml:space="preserve"> </w:t>
      </w:r>
      <w:r w:rsidRPr="003F0A3A">
        <w:rPr>
          <w:lang w:val="fr-CA"/>
        </w:rPr>
        <w:t xml:space="preserve">4(3) </w:t>
      </w:r>
      <w:r>
        <w:rPr>
          <w:lang w:val="fr-CA"/>
        </w:rPr>
        <w:t>dispose</w:t>
      </w:r>
      <w:r w:rsidRPr="003F0A3A">
        <w:rPr>
          <w:lang w:val="fr-CA"/>
        </w:rPr>
        <w:t xml:space="preserve"> que «</w:t>
      </w:r>
      <w:r w:rsidR="007B13C0">
        <w:rPr>
          <w:lang w:val="fr-CA"/>
        </w:rPr>
        <w:t xml:space="preserve"> </w:t>
      </w:r>
      <w:r w:rsidRPr="003F0A3A">
        <w:rPr>
          <w:lang w:val="fr-CA"/>
        </w:rPr>
        <w:t>[l]</w:t>
      </w:r>
      <w:r>
        <w:rPr>
          <w:lang w:val="fr-CA"/>
        </w:rPr>
        <w:t>’</w:t>
      </w:r>
      <w:r w:rsidRPr="003F0A3A">
        <w:rPr>
          <w:lang w:val="fr-CA"/>
        </w:rPr>
        <w:t>indemnité est déterminé</w:t>
      </w:r>
      <w:r>
        <w:rPr>
          <w:lang w:val="fr-CA"/>
        </w:rPr>
        <w:t>e [.</w:t>
      </w:r>
      <w:r w:rsidR="007B13C0">
        <w:rPr>
          <w:lang w:val="fr-CA"/>
        </w:rPr>
        <w:t xml:space="preserve"> </w:t>
      </w:r>
      <w:r>
        <w:rPr>
          <w:lang w:val="fr-CA"/>
        </w:rPr>
        <w:t>.</w:t>
      </w:r>
      <w:r w:rsidR="007B13C0">
        <w:rPr>
          <w:lang w:val="fr-CA"/>
        </w:rPr>
        <w:t xml:space="preserve"> </w:t>
      </w:r>
      <w:r>
        <w:rPr>
          <w:lang w:val="fr-CA"/>
        </w:rPr>
        <w:t>.</w:t>
      </w:r>
      <w:r w:rsidRPr="003F0A3A">
        <w:rPr>
          <w:lang w:val="fr-CA"/>
        </w:rPr>
        <w:t>] par l</w:t>
      </w:r>
      <w:r>
        <w:rPr>
          <w:lang w:val="fr-CA"/>
        </w:rPr>
        <w:t>’</w:t>
      </w:r>
      <w:r w:rsidRPr="003F0A3A">
        <w:rPr>
          <w:lang w:val="fr-CA"/>
        </w:rPr>
        <w:t>autorité — personne ou organisme — compétente en la matière, pour les travailleurs</w:t>
      </w:r>
      <w:r>
        <w:rPr>
          <w:lang w:val="fr-CA"/>
        </w:rPr>
        <w:t xml:space="preserve"> [</w:t>
      </w:r>
      <w:r w:rsidRPr="00120EFB">
        <w:rPr>
          <w:lang w:val="fr-CA"/>
        </w:rPr>
        <w:t>qui relèvent de la compétence provinciale</w:t>
      </w:r>
      <w:r>
        <w:rPr>
          <w:lang w:val="fr-CA"/>
        </w:rPr>
        <w:t>] dans la province</w:t>
      </w:r>
      <w:r w:rsidR="007B13C0">
        <w:rPr>
          <w:lang w:val="fr-CA"/>
        </w:rPr>
        <w:t xml:space="preserve"> </w:t>
      </w:r>
      <w:r>
        <w:rPr>
          <w:lang w:val="fr-CA"/>
        </w:rPr>
        <w:t>».  Cette disposition, comme le par.</w:t>
      </w:r>
      <w:r w:rsidR="007B13C0">
        <w:rPr>
          <w:lang w:val="fr-CA"/>
        </w:rPr>
        <w:t xml:space="preserve"> </w:t>
      </w:r>
      <w:r w:rsidRPr="003F0A3A">
        <w:rPr>
          <w:lang w:val="fr-CA"/>
        </w:rPr>
        <w:t>4(2)</w:t>
      </w:r>
      <w:r>
        <w:rPr>
          <w:lang w:val="fr-CA"/>
        </w:rPr>
        <w:t>, prévoit la possibilité que les autorités compétentes procèdent différemment à la détermination de l’indemnité d’une province à l’autre.</w:t>
      </w:r>
    </w:p>
    <w:p w:rsidR="003D74EC" w:rsidRPr="00F8065C" w:rsidRDefault="003D74EC" w:rsidP="007B13C0">
      <w:pPr>
        <w:pStyle w:val="ParaNoNdepar-AltN"/>
        <w:rPr>
          <w:lang w:val="fr-CA"/>
        </w:rPr>
      </w:pPr>
      <w:r>
        <w:rPr>
          <w:lang w:val="fr-CA"/>
        </w:rPr>
        <w:t xml:space="preserve">Ainsi, le texte de la </w:t>
      </w:r>
      <w:r w:rsidRPr="00C10196">
        <w:rPr>
          <w:i/>
          <w:lang w:val="fr-CA"/>
        </w:rPr>
        <w:t>LIAÉ</w:t>
      </w:r>
      <w:r w:rsidRPr="00F8065C">
        <w:rPr>
          <w:lang w:val="fr-CA"/>
        </w:rPr>
        <w:t xml:space="preserve"> </w:t>
      </w:r>
      <w:r>
        <w:rPr>
          <w:lang w:val="fr-CA"/>
        </w:rPr>
        <w:t>laisse entendre que le par.</w:t>
      </w:r>
      <w:r w:rsidR="007B13C0">
        <w:rPr>
          <w:lang w:val="fr-CA"/>
        </w:rPr>
        <w:t xml:space="preserve"> </w:t>
      </w:r>
      <w:r w:rsidRPr="00F8065C">
        <w:rPr>
          <w:lang w:val="fr-CA"/>
        </w:rPr>
        <w:t xml:space="preserve">4(1) </w:t>
      </w:r>
      <w:r>
        <w:rPr>
          <w:lang w:val="fr-CA"/>
        </w:rPr>
        <w:t xml:space="preserve">n’établit pas de critère complet en matière d’admissibilité à l’indemnité; il énonce simplement que les travailleurs fédéraux blessés dans un accident du travail sont indemnisés sous réserve des autres dispositions de la </w:t>
      </w:r>
      <w:r w:rsidRPr="00C10196">
        <w:rPr>
          <w:i/>
          <w:lang w:val="fr-CA"/>
        </w:rPr>
        <w:t>LIAÉ</w:t>
      </w:r>
      <w:r w:rsidRPr="00F8065C">
        <w:rPr>
          <w:lang w:val="fr-CA"/>
        </w:rPr>
        <w:t xml:space="preserve">.  </w:t>
      </w:r>
      <w:r>
        <w:rPr>
          <w:lang w:val="fr-CA"/>
        </w:rPr>
        <w:t>La définition large et non limitative du terme «</w:t>
      </w:r>
      <w:r w:rsidR="007B13C0">
        <w:rPr>
          <w:lang w:val="fr-CA"/>
        </w:rPr>
        <w:t xml:space="preserve"> </w:t>
      </w:r>
      <w:r>
        <w:rPr>
          <w:lang w:val="fr-CA"/>
        </w:rPr>
        <w:t>accident</w:t>
      </w:r>
      <w:r w:rsidR="007B13C0">
        <w:rPr>
          <w:lang w:val="fr-CA"/>
        </w:rPr>
        <w:t xml:space="preserve"> </w:t>
      </w:r>
      <w:r>
        <w:rPr>
          <w:lang w:val="fr-CA"/>
        </w:rPr>
        <w:t>» formulée à l’art.</w:t>
      </w:r>
      <w:r w:rsidR="007B13C0">
        <w:rPr>
          <w:lang w:val="fr-CA"/>
        </w:rPr>
        <w:t xml:space="preserve"> </w:t>
      </w:r>
      <w:r>
        <w:rPr>
          <w:lang w:val="fr-CA"/>
        </w:rPr>
        <w:t xml:space="preserve">2 ne permet pas de circonscrire le droit à l’indemnité.  Il est beaucoup plus probable que le législateur ait voulu s’en remettre à la législation provinciale </w:t>
      </w:r>
      <w:r w:rsidRPr="00120EFB">
        <w:rPr>
          <w:lang w:val="fr-CA"/>
        </w:rPr>
        <w:t>en ce qui a trait à la teneur de la définition du terme «</w:t>
      </w:r>
      <w:r w:rsidR="007B13C0">
        <w:rPr>
          <w:lang w:val="fr-CA"/>
        </w:rPr>
        <w:t xml:space="preserve"> </w:t>
      </w:r>
      <w:r w:rsidRPr="00120EFB">
        <w:rPr>
          <w:lang w:val="fr-CA"/>
        </w:rPr>
        <w:t>accident</w:t>
      </w:r>
      <w:r w:rsidR="007B13C0">
        <w:rPr>
          <w:lang w:val="fr-CA"/>
        </w:rPr>
        <w:t xml:space="preserve"> </w:t>
      </w:r>
      <w:r w:rsidRPr="00120EFB">
        <w:rPr>
          <w:lang w:val="fr-CA"/>
        </w:rPr>
        <w:t>» p</w:t>
      </w:r>
      <w:r>
        <w:rPr>
          <w:lang w:val="fr-CA"/>
        </w:rPr>
        <w:t>our apporter un certain degré de certitude.  Ce rôle ressort clairement du pouvoir conféré aux par.</w:t>
      </w:r>
      <w:r w:rsidR="007B13C0">
        <w:rPr>
          <w:lang w:val="fr-CA"/>
        </w:rPr>
        <w:t xml:space="preserve"> </w:t>
      </w:r>
      <w:r w:rsidRPr="00F8065C">
        <w:rPr>
          <w:lang w:val="fr-CA"/>
        </w:rPr>
        <w:t xml:space="preserve">4(2) </w:t>
      </w:r>
      <w:r>
        <w:rPr>
          <w:lang w:val="fr-CA"/>
        </w:rPr>
        <w:t>et</w:t>
      </w:r>
      <w:r w:rsidRPr="00F8065C">
        <w:rPr>
          <w:lang w:val="fr-CA"/>
        </w:rPr>
        <w:t xml:space="preserve"> (3)</w:t>
      </w:r>
      <w:r>
        <w:rPr>
          <w:lang w:val="fr-CA"/>
        </w:rPr>
        <w:t>.  Aux termes du par.</w:t>
      </w:r>
      <w:r w:rsidR="007B13C0">
        <w:rPr>
          <w:lang w:val="fr-CA"/>
        </w:rPr>
        <w:t xml:space="preserve"> </w:t>
      </w:r>
      <w:r w:rsidRPr="00F8065C">
        <w:rPr>
          <w:lang w:val="fr-CA"/>
        </w:rPr>
        <w:t xml:space="preserve">4(2), </w:t>
      </w:r>
      <w:r>
        <w:rPr>
          <w:lang w:val="fr-CA"/>
        </w:rPr>
        <w:t>les travailleurs fédéraux ont droit à l’indemnité aux taux et conditions que fixe la législation provinciale et, au par.</w:t>
      </w:r>
      <w:r w:rsidR="007B13C0">
        <w:rPr>
          <w:lang w:val="fr-CA"/>
        </w:rPr>
        <w:t xml:space="preserve"> </w:t>
      </w:r>
      <w:r>
        <w:rPr>
          <w:lang w:val="fr-CA"/>
        </w:rPr>
        <w:t>4(3), la</w:t>
      </w:r>
      <w:r w:rsidRPr="00F8065C">
        <w:rPr>
          <w:i/>
          <w:lang w:val="fr-CA"/>
        </w:rPr>
        <w:t xml:space="preserve"> </w:t>
      </w:r>
      <w:r w:rsidRPr="008C37AE">
        <w:rPr>
          <w:i/>
          <w:lang w:val="fr-CA"/>
        </w:rPr>
        <w:t>LIAÉ</w:t>
      </w:r>
      <w:r w:rsidRPr="00F8065C">
        <w:rPr>
          <w:i/>
          <w:lang w:val="fr-CA"/>
        </w:rPr>
        <w:t xml:space="preserve"> </w:t>
      </w:r>
      <w:r>
        <w:rPr>
          <w:lang w:val="fr-CA"/>
        </w:rPr>
        <w:t xml:space="preserve">délègue clairement à l’autorité provinciale la responsabilité de </w:t>
      </w:r>
      <w:r w:rsidRPr="001E00ED">
        <w:rPr>
          <w:i/>
          <w:lang w:val="fr-CA"/>
        </w:rPr>
        <w:t>détermin</w:t>
      </w:r>
      <w:r>
        <w:rPr>
          <w:i/>
          <w:lang w:val="fr-CA"/>
        </w:rPr>
        <w:t>er</w:t>
      </w:r>
      <w:r>
        <w:rPr>
          <w:lang w:val="fr-CA"/>
        </w:rPr>
        <w:t xml:space="preserve"> l’indemnité visée au par.</w:t>
      </w:r>
      <w:r w:rsidR="007B13C0">
        <w:rPr>
          <w:lang w:val="fr-CA"/>
        </w:rPr>
        <w:t xml:space="preserve"> </w:t>
      </w:r>
      <w:r>
        <w:rPr>
          <w:lang w:val="fr-CA"/>
        </w:rPr>
        <w:t xml:space="preserve">4(1).  Les institutions et les lois provinciales fournissent </w:t>
      </w:r>
      <w:r>
        <w:rPr>
          <w:lang w:val="fr-CA"/>
        </w:rPr>
        <w:lastRenderedPageBreak/>
        <w:t xml:space="preserve">donc la structure et les balises qui permettent de déterminer s’il y a lieu de verser une indemnité à un agent de l’État fédéral et, dans l’affirmative, d’en fixer le montant. </w:t>
      </w:r>
    </w:p>
    <w:p w:rsidR="003D74EC" w:rsidRPr="00F8065C" w:rsidRDefault="003D74EC" w:rsidP="007B13C0">
      <w:pPr>
        <w:pStyle w:val="Title4LevelTitre4Niveau"/>
        <w:keepNext w:val="0"/>
        <w:tabs>
          <w:tab w:val="clear" w:pos="432"/>
          <w:tab w:val="num" w:pos="993"/>
        </w:tabs>
        <w:ind w:left="1560"/>
        <w:rPr>
          <w:lang w:val="fr-CA"/>
        </w:rPr>
      </w:pPr>
      <w:r>
        <w:rPr>
          <w:lang w:val="fr-CA"/>
        </w:rPr>
        <w:t>Objet de la loi</w:t>
      </w:r>
    </w:p>
    <w:p w:rsidR="003D74EC" w:rsidRPr="00F8065C" w:rsidRDefault="003D74EC" w:rsidP="007B13C0">
      <w:pPr>
        <w:pStyle w:val="ParaNoNdepar-AltN"/>
        <w:rPr>
          <w:lang w:val="fr-CA"/>
        </w:rPr>
      </w:pPr>
      <w:r>
        <w:rPr>
          <w:lang w:val="fr-CA"/>
        </w:rPr>
        <w:t xml:space="preserve">L’historique législatif de la </w:t>
      </w:r>
      <w:r w:rsidRPr="00A6281D">
        <w:rPr>
          <w:i/>
          <w:lang w:val="fr-CA"/>
        </w:rPr>
        <w:t>LIAÉ</w:t>
      </w:r>
      <w:r w:rsidRPr="00F8065C">
        <w:rPr>
          <w:i/>
          <w:lang w:val="fr-CA"/>
        </w:rPr>
        <w:t xml:space="preserve"> </w:t>
      </w:r>
      <w:r>
        <w:rPr>
          <w:lang w:val="fr-CA"/>
        </w:rPr>
        <w:t xml:space="preserve">et les déclarations d’intention du législateur démontrent sans équivoque qu’il souhaitait, par l’adoption de ce texte de loi, s’en rapporter aux lois et aux autorités provinciales pour le règlement des demandes d’indemnisation des agents de l’État fédéral, exception faite des cas où la </w:t>
      </w:r>
      <w:r w:rsidRPr="00FB7C13">
        <w:rPr>
          <w:i/>
          <w:lang w:val="fr-CA"/>
        </w:rPr>
        <w:t>LIAÉ</w:t>
      </w:r>
      <w:r>
        <w:rPr>
          <w:lang w:val="fr-CA"/>
        </w:rPr>
        <w:t xml:space="preserve"> entre clairement en conflit avec la législation provinciale</w:t>
      </w:r>
      <w:r w:rsidRPr="00F8065C">
        <w:rPr>
          <w:lang w:val="fr-CA"/>
        </w:rPr>
        <w:t>.</w:t>
      </w:r>
    </w:p>
    <w:p w:rsidR="003D74EC" w:rsidRPr="00F8065C" w:rsidRDefault="003D74EC" w:rsidP="007B13C0">
      <w:pPr>
        <w:pStyle w:val="ParaNoNdepar-AltN"/>
        <w:rPr>
          <w:lang w:val="fr-CA"/>
        </w:rPr>
      </w:pPr>
      <w:r>
        <w:rPr>
          <w:lang w:val="fr-CA"/>
        </w:rPr>
        <w:t xml:space="preserve">La loi antérieure à la </w:t>
      </w:r>
      <w:r w:rsidRPr="004F021A">
        <w:rPr>
          <w:i/>
          <w:lang w:val="fr-CA"/>
        </w:rPr>
        <w:t>LIAÉ</w:t>
      </w:r>
      <w:r>
        <w:rPr>
          <w:lang w:val="fr-CA"/>
        </w:rPr>
        <w:t xml:space="preserve"> avait été édictée en </w:t>
      </w:r>
      <w:r w:rsidRPr="00F8065C">
        <w:rPr>
          <w:lang w:val="fr-CA"/>
        </w:rPr>
        <w:t>1918</w:t>
      </w:r>
      <w:r>
        <w:rPr>
          <w:lang w:val="fr-CA"/>
        </w:rPr>
        <w:t xml:space="preserve">; elle s’intitulait </w:t>
      </w:r>
      <w:r>
        <w:rPr>
          <w:i/>
          <w:lang w:val="fr-CA"/>
        </w:rPr>
        <w:t>Loi ayant pour objet d’accorder une indemnité lorsque des employés de Sa Majesté sont tués ou blessés dans l’exécution de leurs devoirs</w:t>
      </w:r>
      <w:r w:rsidRPr="00293C41">
        <w:rPr>
          <w:lang w:val="fr-CA"/>
        </w:rPr>
        <w:t>,</w:t>
      </w:r>
      <w:r w:rsidRPr="00293C41">
        <w:rPr>
          <w:i/>
          <w:lang w:val="fr-CA"/>
        </w:rPr>
        <w:t xml:space="preserve"> </w:t>
      </w:r>
      <w:r w:rsidRPr="00293C41">
        <w:rPr>
          <w:lang w:val="fr-CA"/>
        </w:rPr>
        <w:t>S.C.</w:t>
      </w:r>
      <w:r w:rsidRPr="00F8065C">
        <w:rPr>
          <w:lang w:val="fr-CA"/>
        </w:rPr>
        <w:t xml:space="preserve"> 1918, </w:t>
      </w:r>
      <w:r>
        <w:rPr>
          <w:lang w:val="fr-CA"/>
        </w:rPr>
        <w:t>ch.</w:t>
      </w:r>
      <w:r w:rsidR="007B13C0">
        <w:rPr>
          <w:lang w:val="fr-CA"/>
        </w:rPr>
        <w:t xml:space="preserve"> </w:t>
      </w:r>
      <w:r w:rsidRPr="00F8065C">
        <w:rPr>
          <w:lang w:val="fr-CA"/>
        </w:rPr>
        <w:t xml:space="preserve">15.  </w:t>
      </w:r>
      <w:r>
        <w:rPr>
          <w:lang w:val="fr-CA"/>
        </w:rPr>
        <w:t>Aux termes du par.</w:t>
      </w:r>
      <w:r w:rsidR="007B13C0">
        <w:rPr>
          <w:lang w:val="fr-CA"/>
        </w:rPr>
        <w:t xml:space="preserve"> </w:t>
      </w:r>
      <w:r>
        <w:rPr>
          <w:lang w:val="fr-CA"/>
        </w:rPr>
        <w:t>1(1) de cette loi, «</w:t>
      </w:r>
      <w:r w:rsidR="007B13C0">
        <w:rPr>
          <w:lang w:val="fr-CA"/>
        </w:rPr>
        <w:t xml:space="preserve"> </w:t>
      </w:r>
      <w:r w:rsidRPr="00E77BEA">
        <w:rPr>
          <w:lang w:val="fr-CA"/>
        </w:rPr>
        <w:t>et la responsabilité et le chiffre de pareille indemnité</w:t>
      </w:r>
      <w:r w:rsidR="007B13C0">
        <w:rPr>
          <w:lang w:val="fr-CA"/>
        </w:rPr>
        <w:t xml:space="preserve"> </w:t>
      </w:r>
      <w:r>
        <w:rPr>
          <w:lang w:val="fr-CA"/>
        </w:rPr>
        <w:t>» devaient être déterminés en application de la loi provinciale par les autorités provinciales</w:t>
      </w:r>
      <w:r w:rsidR="007B13C0">
        <w:rPr>
          <w:lang w:val="fr-CA"/>
        </w:rPr>
        <w:t xml:space="preserve"> </w:t>
      </w:r>
      <w:r>
        <w:rPr>
          <w:lang w:val="fr-CA"/>
        </w:rPr>
        <w:t>:</w:t>
      </w:r>
      <w:r w:rsidRPr="00F8065C">
        <w:rPr>
          <w:lang w:val="fr-CA"/>
        </w:rPr>
        <w:t xml:space="preserve"> </w:t>
      </w:r>
    </w:p>
    <w:p w:rsidR="003D74EC" w:rsidRPr="00F8065C" w:rsidRDefault="003D74EC" w:rsidP="007B13C0">
      <w:pPr>
        <w:pStyle w:val="Citation-AltC"/>
        <w:ind w:hanging="1166"/>
        <w:contextualSpacing w:val="0"/>
        <w:rPr>
          <w:lang w:val="fr-CA"/>
        </w:rPr>
      </w:pPr>
      <w:r>
        <w:rPr>
          <w:lang w:val="fr-CA"/>
        </w:rPr>
        <w:tab/>
      </w:r>
      <w:r>
        <w:rPr>
          <w:lang w:val="fr-CA"/>
        </w:rPr>
        <w:tab/>
      </w:r>
      <w:r w:rsidRPr="00036498">
        <w:rPr>
          <w:b/>
          <w:lang w:val="fr-CA"/>
        </w:rPr>
        <w:t>1</w:t>
      </w:r>
      <w:r w:rsidRPr="000C02BD">
        <w:rPr>
          <w:b/>
          <w:lang w:val="fr-CA"/>
        </w:rPr>
        <w:t>.</w:t>
      </w:r>
      <w:r w:rsidR="00DC2D25">
        <w:rPr>
          <w:b/>
          <w:lang w:val="fr-CA"/>
        </w:rPr>
        <w:t xml:space="preserve"> </w:t>
      </w:r>
      <w:r w:rsidRPr="00376A93">
        <w:rPr>
          <w:lang w:val="fr-CA"/>
        </w:rPr>
        <w:t>(1)</w:t>
      </w:r>
      <w:r>
        <w:rPr>
          <w:lang w:val="fr-CA"/>
        </w:rPr>
        <w:t xml:space="preserve"> </w:t>
      </w:r>
      <w:r w:rsidRPr="00E77BEA">
        <w:rPr>
          <w:lang w:val="fr-CA"/>
        </w:rPr>
        <w:t>Un employé dans le service de Sa Majesté qui est blessé, et les dépendants de tout pareil employé qui est tué, doivent avoir droit à la même indemnité que celle que l</w:t>
      </w:r>
      <w:r>
        <w:rPr>
          <w:lang w:val="fr-CA"/>
        </w:rPr>
        <w:t>’</w:t>
      </w:r>
      <w:r w:rsidRPr="00E77BEA">
        <w:rPr>
          <w:lang w:val="fr-CA"/>
        </w:rPr>
        <w:t>employé, ou que le dépendant d</w:t>
      </w:r>
      <w:r>
        <w:rPr>
          <w:lang w:val="fr-CA"/>
        </w:rPr>
        <w:t>’</w:t>
      </w:r>
      <w:r w:rsidRPr="00E77BEA">
        <w:rPr>
          <w:lang w:val="fr-CA"/>
        </w:rPr>
        <w:t>un employé décédé, d</w:t>
      </w:r>
      <w:r>
        <w:rPr>
          <w:lang w:val="fr-CA"/>
        </w:rPr>
        <w:t>’</w:t>
      </w:r>
      <w:r w:rsidRPr="00E77BEA">
        <w:rPr>
          <w:lang w:val="fr-CA"/>
        </w:rPr>
        <w:t>une personne autre que Sa Majesté aurait eu droit de recevoir, dans les mêmes circonstances, en vertu de la loi de la province où s</w:t>
      </w:r>
      <w:r>
        <w:rPr>
          <w:lang w:val="fr-CA"/>
        </w:rPr>
        <w:t>’</w:t>
      </w:r>
      <w:r w:rsidRPr="00E77BEA">
        <w:rPr>
          <w:lang w:val="fr-CA"/>
        </w:rPr>
        <w:t>est produit l</w:t>
      </w:r>
      <w:r>
        <w:rPr>
          <w:lang w:val="fr-CA"/>
        </w:rPr>
        <w:t>’</w:t>
      </w:r>
      <w:r w:rsidRPr="00E77BEA">
        <w:rPr>
          <w:lang w:val="fr-CA"/>
        </w:rPr>
        <w:t xml:space="preserve">accident, et </w:t>
      </w:r>
      <w:r w:rsidRPr="00E77BEA">
        <w:rPr>
          <w:u w:val="single"/>
          <w:lang w:val="fr-CA"/>
        </w:rPr>
        <w:t>la responsabilité</w:t>
      </w:r>
      <w:r w:rsidRPr="00E77BEA">
        <w:rPr>
          <w:lang w:val="fr-CA"/>
        </w:rPr>
        <w:t xml:space="preserve"> et le chiffre de pareille indemnité doivent être déterminés en la même manière, et par la même Commission ou autorité, ou les mêmes officiers qu</w:t>
      </w:r>
      <w:r>
        <w:rPr>
          <w:lang w:val="fr-CA"/>
        </w:rPr>
        <w:t>’</w:t>
      </w:r>
      <w:r w:rsidRPr="00E77BEA">
        <w:rPr>
          <w:lang w:val="fr-CA"/>
        </w:rPr>
        <w:t>établis par la loi de la province pour déterminer l</w:t>
      </w:r>
      <w:r>
        <w:rPr>
          <w:lang w:val="fr-CA"/>
        </w:rPr>
        <w:t>’</w:t>
      </w:r>
      <w:r w:rsidRPr="00E77BEA">
        <w:rPr>
          <w:lang w:val="fr-CA"/>
        </w:rPr>
        <w:t>indemnité dans les cas semblables, ou par telle autre Commission ou autorité, ou tels autres officiers, ou par telle cour que le Gouverneur en conseil peut de temps à autre prescrire.</w:t>
      </w:r>
      <w:r>
        <w:rPr>
          <w:lang w:val="fr-CA"/>
        </w:rPr>
        <w:t xml:space="preserve">  </w:t>
      </w:r>
    </w:p>
    <w:p w:rsidR="003D74EC" w:rsidRPr="00F8065C" w:rsidRDefault="003D74EC" w:rsidP="007B13C0">
      <w:pPr>
        <w:pStyle w:val="ParaNoNdepar-AltN"/>
        <w:rPr>
          <w:lang w:val="fr-CA"/>
        </w:rPr>
      </w:pPr>
      <w:r>
        <w:rPr>
          <w:lang w:val="fr-CA"/>
        </w:rPr>
        <w:lastRenderedPageBreak/>
        <w:t>D’ailleurs, le ministre responsable de cette loi a indiqué qu’elle visait à garantir que «</w:t>
      </w:r>
      <w:r w:rsidR="007B13C0">
        <w:rPr>
          <w:lang w:val="fr-CA"/>
        </w:rPr>
        <w:t xml:space="preserve"> </w:t>
      </w:r>
      <w:r>
        <w:rPr>
          <w:lang w:val="fr-CA"/>
        </w:rPr>
        <w:t xml:space="preserve">[s]’il est blessé, </w:t>
      </w:r>
      <w:r w:rsidRPr="0098561D">
        <w:rPr>
          <w:lang w:val="fr-CA"/>
        </w:rPr>
        <w:t xml:space="preserve">un employé du chemin de fer du Gouvernement se trouvera </w:t>
      </w:r>
      <w:r w:rsidRPr="0098561D">
        <w:rPr>
          <w:u w:val="single"/>
          <w:lang w:val="fr-CA"/>
        </w:rPr>
        <w:t xml:space="preserve">exactement </w:t>
      </w:r>
      <w:r>
        <w:rPr>
          <w:u w:val="single"/>
          <w:lang w:val="fr-CA"/>
        </w:rPr>
        <w:t>dans la même position, quant à l’</w:t>
      </w:r>
      <w:r w:rsidRPr="0098561D">
        <w:rPr>
          <w:u w:val="single"/>
          <w:lang w:val="fr-CA"/>
        </w:rPr>
        <w:t>indemnité</w:t>
      </w:r>
      <w:r w:rsidRPr="0098561D">
        <w:rPr>
          <w:lang w:val="fr-CA"/>
        </w:rPr>
        <w:t>, que celle où serait placé l</w:t>
      </w:r>
      <w:r>
        <w:rPr>
          <w:lang w:val="fr-CA"/>
        </w:rPr>
        <w:t>’</w:t>
      </w:r>
      <w:r w:rsidRPr="0098561D">
        <w:rPr>
          <w:lang w:val="fr-CA"/>
        </w:rPr>
        <w:t>employé d</w:t>
      </w:r>
      <w:r>
        <w:rPr>
          <w:lang w:val="fr-CA"/>
        </w:rPr>
        <w:t>’</w:t>
      </w:r>
      <w:r w:rsidRPr="0098561D">
        <w:rPr>
          <w:lang w:val="fr-CA"/>
        </w:rPr>
        <w:t>une compagnie de chemin de fer ordinaire</w:t>
      </w:r>
      <w:r w:rsidR="007B13C0">
        <w:rPr>
          <w:lang w:val="fr-CA"/>
        </w:rPr>
        <w:t xml:space="preserve"> </w:t>
      </w:r>
      <w:r w:rsidRPr="0098561D">
        <w:rPr>
          <w:lang w:val="fr-CA"/>
        </w:rPr>
        <w:t>» (</w:t>
      </w:r>
      <w:r w:rsidR="00DC2D25">
        <w:rPr>
          <w:lang w:val="fr-CA"/>
        </w:rPr>
        <w:t>l’h</w:t>
      </w:r>
      <w:r w:rsidRPr="00F8065C">
        <w:rPr>
          <w:lang w:val="fr-CA"/>
        </w:rPr>
        <w:t>on.</w:t>
      </w:r>
      <w:r w:rsidR="007B13C0">
        <w:rPr>
          <w:lang w:val="fr-CA"/>
        </w:rPr>
        <w:t xml:space="preserve"> </w:t>
      </w:r>
      <w:r w:rsidRPr="00F8065C">
        <w:rPr>
          <w:lang w:val="fr-CA"/>
        </w:rPr>
        <w:t>J.</w:t>
      </w:r>
      <w:r>
        <w:rPr>
          <w:lang w:val="fr-CA"/>
        </w:rPr>
        <w:t xml:space="preserve"> </w:t>
      </w:r>
      <w:r w:rsidRPr="00F8065C">
        <w:rPr>
          <w:lang w:val="fr-CA"/>
        </w:rPr>
        <w:t>D.</w:t>
      </w:r>
      <w:r w:rsidR="007B13C0">
        <w:rPr>
          <w:lang w:val="fr-CA"/>
        </w:rPr>
        <w:t xml:space="preserve"> </w:t>
      </w:r>
      <w:r w:rsidRPr="00F8065C">
        <w:rPr>
          <w:lang w:val="fr-CA"/>
        </w:rPr>
        <w:t>Reid</w:t>
      </w:r>
      <w:r>
        <w:rPr>
          <w:lang w:val="fr-CA"/>
        </w:rPr>
        <w:t xml:space="preserve">, </w:t>
      </w:r>
      <w:r w:rsidRPr="0098561D">
        <w:rPr>
          <w:i/>
          <w:lang w:val="fr-CA"/>
        </w:rPr>
        <w:t>Débats de la Chambre des communes</w:t>
      </w:r>
      <w:r w:rsidRPr="0098561D">
        <w:rPr>
          <w:lang w:val="fr-CA"/>
        </w:rPr>
        <w:t xml:space="preserve">, </w:t>
      </w:r>
      <w:r>
        <w:rPr>
          <w:lang w:val="fr-CA"/>
        </w:rPr>
        <w:t>vol.</w:t>
      </w:r>
      <w:r w:rsidR="007B13C0">
        <w:rPr>
          <w:lang w:val="fr-CA"/>
        </w:rPr>
        <w:t xml:space="preserve"> </w:t>
      </w:r>
      <w:r>
        <w:rPr>
          <w:lang w:val="fr-CA"/>
        </w:rPr>
        <w:t>132,</w:t>
      </w:r>
      <w:r w:rsidRPr="0098561D">
        <w:rPr>
          <w:lang w:val="fr-CA"/>
        </w:rPr>
        <w:t xml:space="preserve"> 1</w:t>
      </w:r>
      <w:r w:rsidRPr="0098561D">
        <w:rPr>
          <w:vertAlign w:val="superscript"/>
          <w:lang w:val="fr-CA"/>
        </w:rPr>
        <w:t>re</w:t>
      </w:r>
      <w:r w:rsidR="007B13C0">
        <w:rPr>
          <w:lang w:val="fr-CA"/>
        </w:rPr>
        <w:t xml:space="preserve"> </w:t>
      </w:r>
      <w:r>
        <w:rPr>
          <w:lang w:val="fr-CA"/>
        </w:rPr>
        <w:t>sess.</w:t>
      </w:r>
      <w:r w:rsidRPr="0098561D">
        <w:rPr>
          <w:lang w:val="fr-CA"/>
        </w:rPr>
        <w:t>,</w:t>
      </w:r>
      <w:r w:rsidR="00DC2D25">
        <w:rPr>
          <w:lang w:val="fr-CA"/>
        </w:rPr>
        <w:t xml:space="preserve"> </w:t>
      </w:r>
      <w:r w:rsidRPr="0098561D">
        <w:rPr>
          <w:lang w:val="fr-CA"/>
        </w:rPr>
        <w:t>13</w:t>
      </w:r>
      <w:r w:rsidRPr="0098561D">
        <w:rPr>
          <w:vertAlign w:val="superscript"/>
          <w:lang w:val="fr-CA"/>
        </w:rPr>
        <w:t>e</w:t>
      </w:r>
      <w:r w:rsidR="007B13C0">
        <w:rPr>
          <w:lang w:val="fr-CA"/>
        </w:rPr>
        <w:t xml:space="preserve"> </w:t>
      </w:r>
      <w:r w:rsidR="00DC2D25">
        <w:rPr>
          <w:lang w:val="fr-CA"/>
        </w:rPr>
        <w:t>lég</w:t>
      </w:r>
      <w:r>
        <w:rPr>
          <w:lang w:val="fr-CA"/>
        </w:rPr>
        <w:t>.</w:t>
      </w:r>
      <w:r w:rsidRPr="0098561D">
        <w:rPr>
          <w:lang w:val="fr-CA"/>
        </w:rPr>
        <w:t>, 16</w:t>
      </w:r>
      <w:r w:rsidR="007B13C0">
        <w:rPr>
          <w:lang w:val="fr-CA"/>
        </w:rPr>
        <w:t xml:space="preserve"> </w:t>
      </w:r>
      <w:r w:rsidRPr="0098561D">
        <w:rPr>
          <w:lang w:val="fr-CA"/>
        </w:rPr>
        <w:t>avril</w:t>
      </w:r>
      <w:r w:rsidR="007B13C0">
        <w:rPr>
          <w:lang w:val="fr-CA"/>
        </w:rPr>
        <w:t xml:space="preserve"> </w:t>
      </w:r>
      <w:r>
        <w:rPr>
          <w:lang w:val="fr-CA"/>
        </w:rPr>
        <w:t>1918, p.</w:t>
      </w:r>
      <w:r w:rsidR="007B13C0">
        <w:rPr>
          <w:lang w:val="fr-CA"/>
        </w:rPr>
        <w:t xml:space="preserve"> </w:t>
      </w:r>
      <w:r w:rsidRPr="0098561D">
        <w:rPr>
          <w:lang w:val="fr-CA"/>
        </w:rPr>
        <w:t>857</w:t>
      </w:r>
      <w:r w:rsidRPr="00F8065C">
        <w:rPr>
          <w:lang w:val="fr-CA"/>
        </w:rPr>
        <w:t xml:space="preserve"> </w:t>
      </w:r>
      <w:r>
        <w:rPr>
          <w:lang w:val="fr-CA"/>
        </w:rPr>
        <w:t>(je souligne</w:t>
      </w:r>
      <w:r w:rsidRPr="00F8065C">
        <w:rPr>
          <w:lang w:val="fr-CA"/>
        </w:rPr>
        <w:t>)</w:t>
      </w:r>
      <w:r>
        <w:rPr>
          <w:lang w:val="fr-CA"/>
        </w:rPr>
        <w:t>).</w:t>
      </w:r>
      <w:r w:rsidRPr="00F8065C">
        <w:rPr>
          <w:lang w:val="fr-CA"/>
        </w:rPr>
        <w:t xml:space="preserve">  </w:t>
      </w:r>
    </w:p>
    <w:p w:rsidR="003D74EC" w:rsidRPr="00F8065C" w:rsidRDefault="003D74EC" w:rsidP="007B13C0">
      <w:pPr>
        <w:pStyle w:val="ParaNoNdepar-AltN"/>
        <w:rPr>
          <w:lang w:val="fr-CA"/>
        </w:rPr>
      </w:pPr>
      <w:r>
        <w:rPr>
          <w:lang w:val="fr-CA"/>
        </w:rPr>
        <w:t xml:space="preserve">En </w:t>
      </w:r>
      <w:r w:rsidRPr="00F8065C">
        <w:rPr>
          <w:lang w:val="fr-CA"/>
        </w:rPr>
        <w:t>1947</w:t>
      </w:r>
      <w:r>
        <w:rPr>
          <w:lang w:val="fr-CA"/>
        </w:rPr>
        <w:t>,</w:t>
      </w:r>
      <w:r w:rsidRPr="00F8065C">
        <w:rPr>
          <w:lang w:val="fr-CA"/>
        </w:rPr>
        <w:t xml:space="preserve"> </w:t>
      </w:r>
      <w:r>
        <w:rPr>
          <w:lang w:val="fr-CA"/>
        </w:rPr>
        <w:t>les mots «</w:t>
      </w:r>
      <w:r w:rsidR="007B13C0">
        <w:rPr>
          <w:lang w:val="fr-CA"/>
        </w:rPr>
        <w:t xml:space="preserve"> </w:t>
      </w:r>
      <w:r>
        <w:rPr>
          <w:lang w:val="fr-CA"/>
        </w:rPr>
        <w:t>la responsabilité</w:t>
      </w:r>
      <w:r w:rsidR="007B13C0">
        <w:rPr>
          <w:lang w:val="fr-CA"/>
        </w:rPr>
        <w:t xml:space="preserve"> </w:t>
      </w:r>
      <w:r>
        <w:rPr>
          <w:lang w:val="fr-CA"/>
        </w:rPr>
        <w:t>» ont été remplacés par les mots «</w:t>
      </w:r>
      <w:r w:rsidR="007B13C0">
        <w:rPr>
          <w:lang w:val="fr-CA"/>
        </w:rPr>
        <w:t xml:space="preserve"> </w:t>
      </w:r>
      <w:r>
        <w:rPr>
          <w:lang w:val="fr-CA"/>
        </w:rPr>
        <w:t>le droit à</w:t>
      </w:r>
      <w:r w:rsidR="007B13C0">
        <w:rPr>
          <w:lang w:val="fr-CA"/>
        </w:rPr>
        <w:t xml:space="preserve"> </w:t>
      </w:r>
      <w:r>
        <w:rPr>
          <w:lang w:val="fr-CA"/>
        </w:rPr>
        <w:t>»</w:t>
      </w:r>
      <w:r w:rsidRPr="00F8065C">
        <w:rPr>
          <w:lang w:val="fr-CA"/>
        </w:rPr>
        <w:t xml:space="preserve"> (</w:t>
      </w:r>
      <w:r>
        <w:rPr>
          <w:lang w:val="fr-CA"/>
        </w:rPr>
        <w:t>S</w:t>
      </w:r>
      <w:r w:rsidRPr="00293C41">
        <w:rPr>
          <w:lang w:val="fr-CA"/>
        </w:rPr>
        <w:t>.C.</w:t>
      </w:r>
      <w:r w:rsidRPr="00F8065C">
        <w:rPr>
          <w:lang w:val="fr-CA"/>
        </w:rPr>
        <w:t xml:space="preserve"> 1947, </w:t>
      </w:r>
      <w:r>
        <w:rPr>
          <w:lang w:val="fr-CA"/>
        </w:rPr>
        <w:t>ch.</w:t>
      </w:r>
      <w:r w:rsidR="007B13C0">
        <w:rPr>
          <w:lang w:val="fr-CA"/>
        </w:rPr>
        <w:t xml:space="preserve"> </w:t>
      </w:r>
      <w:r w:rsidRPr="00F8065C">
        <w:rPr>
          <w:lang w:val="fr-CA"/>
        </w:rPr>
        <w:t xml:space="preserve">18, </w:t>
      </w:r>
      <w:r>
        <w:rPr>
          <w:lang w:val="fr-CA"/>
        </w:rPr>
        <w:t>par.</w:t>
      </w:r>
      <w:r w:rsidR="007B13C0">
        <w:rPr>
          <w:lang w:val="fr-CA"/>
        </w:rPr>
        <w:t xml:space="preserve"> </w:t>
      </w:r>
      <w:r w:rsidRPr="00F8065C">
        <w:rPr>
          <w:lang w:val="fr-CA"/>
        </w:rPr>
        <w:t xml:space="preserve">3(1)).  </w:t>
      </w:r>
      <w:r>
        <w:rPr>
          <w:lang w:val="fr-CA"/>
        </w:rPr>
        <w:t>Les deux énoncés renvoient clairement au droit ou à l’admissibilité d’un travailleur à l’indemnité.  Le terme «</w:t>
      </w:r>
      <w:r w:rsidR="007B13C0">
        <w:rPr>
          <w:lang w:val="fr-CA"/>
        </w:rPr>
        <w:t xml:space="preserve"> </w:t>
      </w:r>
      <w:r>
        <w:rPr>
          <w:lang w:val="fr-CA"/>
        </w:rPr>
        <w:t>accident</w:t>
      </w:r>
      <w:r w:rsidR="007B13C0">
        <w:rPr>
          <w:lang w:val="fr-CA"/>
        </w:rPr>
        <w:t xml:space="preserve"> </w:t>
      </w:r>
      <w:r>
        <w:rPr>
          <w:lang w:val="fr-CA"/>
        </w:rPr>
        <w:t xml:space="preserve">» y était défini pour la première fois à cette époque, sans débat particulier en Chambre à ce sujet. </w:t>
      </w:r>
    </w:p>
    <w:p w:rsidR="003D74EC" w:rsidRPr="00F8065C" w:rsidRDefault="003D74EC" w:rsidP="007B13C0">
      <w:pPr>
        <w:pStyle w:val="ParaNoNdepar-AltN"/>
        <w:rPr>
          <w:lang w:val="fr-CA"/>
        </w:rPr>
      </w:pPr>
      <w:r>
        <w:rPr>
          <w:lang w:val="fr-CA"/>
        </w:rPr>
        <w:t>En 1955, la proposition actuelle a été adoptée, aux termes de laquelle l’agent de l’État fédéral est en droit de recevoir une indemnité «</w:t>
      </w:r>
      <w:r w:rsidR="007B13C0">
        <w:rPr>
          <w:lang w:val="fr-CA"/>
        </w:rPr>
        <w:t xml:space="preserve"> </w:t>
      </w:r>
      <w:r w:rsidRPr="00F17802">
        <w:rPr>
          <w:u w:val="single"/>
          <w:lang w:val="fr-CA"/>
        </w:rPr>
        <w:t>au taux et aux conditions</w:t>
      </w:r>
      <w:r w:rsidR="007B13C0">
        <w:rPr>
          <w:lang w:val="fr-CA"/>
        </w:rPr>
        <w:t xml:space="preserve"> </w:t>
      </w:r>
      <w:r>
        <w:rPr>
          <w:lang w:val="fr-CA"/>
        </w:rPr>
        <w:t xml:space="preserve">» que prévoit la législation de la province où l’employé est ordinairement occupé </w:t>
      </w:r>
      <w:r w:rsidRPr="00C51F6E">
        <w:rPr>
          <w:lang w:val="fr-CA"/>
        </w:rPr>
        <w:t xml:space="preserve">(S.C. 1955, </w:t>
      </w:r>
      <w:r>
        <w:rPr>
          <w:lang w:val="fr-CA"/>
        </w:rPr>
        <w:t>ch.</w:t>
      </w:r>
      <w:r w:rsidR="007B13C0">
        <w:rPr>
          <w:lang w:val="fr-CA"/>
        </w:rPr>
        <w:t xml:space="preserve"> </w:t>
      </w:r>
      <w:r w:rsidRPr="00C51F6E">
        <w:rPr>
          <w:lang w:val="fr-CA"/>
        </w:rPr>
        <w:t xml:space="preserve">33, </w:t>
      </w:r>
      <w:r>
        <w:rPr>
          <w:lang w:val="fr-CA"/>
        </w:rPr>
        <w:t>art.</w:t>
      </w:r>
      <w:r w:rsidR="007B13C0">
        <w:rPr>
          <w:lang w:val="fr-CA"/>
        </w:rPr>
        <w:t xml:space="preserve"> </w:t>
      </w:r>
      <w:r w:rsidRPr="00C51F6E">
        <w:rPr>
          <w:lang w:val="fr-CA"/>
        </w:rPr>
        <w:t>2).</w:t>
      </w:r>
      <w:r>
        <w:rPr>
          <w:lang w:val="fr-CA"/>
        </w:rPr>
        <w:t xml:space="preserve">  Le ministre responsable a tenu les propos suivants lors des débats en première lecture concernant de telles modifications</w:t>
      </w:r>
      <w:r w:rsidR="007B13C0">
        <w:rPr>
          <w:lang w:val="fr-CA"/>
        </w:rPr>
        <w:t xml:space="preserve"> </w:t>
      </w:r>
      <w:r>
        <w:rPr>
          <w:lang w:val="fr-CA"/>
        </w:rPr>
        <w:t>:</w:t>
      </w:r>
    </w:p>
    <w:p w:rsidR="003D74EC" w:rsidRDefault="003D74EC" w:rsidP="007B13C0">
      <w:pPr>
        <w:pStyle w:val="Citation-AltC"/>
        <w:ind w:hanging="1166"/>
        <w:contextualSpacing w:val="0"/>
        <w:rPr>
          <w:lang w:val="fr-CA"/>
        </w:rPr>
      </w:pPr>
      <w:r>
        <w:rPr>
          <w:lang w:val="fr-CA"/>
        </w:rPr>
        <w:tab/>
      </w:r>
      <w:r>
        <w:rPr>
          <w:lang w:val="fr-CA"/>
        </w:rPr>
        <w:tab/>
      </w:r>
      <w:r w:rsidRPr="00416DDA">
        <w:rPr>
          <w:lang w:val="fr-CA"/>
        </w:rPr>
        <w:t xml:space="preserve">Les modifications envisagées portent que </w:t>
      </w:r>
      <w:r w:rsidRPr="00416DDA">
        <w:rPr>
          <w:u w:val="single"/>
          <w:lang w:val="fr-CA"/>
        </w:rPr>
        <w:t>le droit à</w:t>
      </w:r>
      <w:r w:rsidRPr="00416DDA">
        <w:rPr>
          <w:lang w:val="fr-CA"/>
        </w:rPr>
        <w:t xml:space="preserve"> l</w:t>
      </w:r>
      <w:r>
        <w:rPr>
          <w:lang w:val="fr-CA"/>
        </w:rPr>
        <w:t>’</w:t>
      </w:r>
      <w:r w:rsidRPr="00416DDA">
        <w:rPr>
          <w:lang w:val="fr-CA"/>
        </w:rPr>
        <w:t>indemnité et le taux d</w:t>
      </w:r>
      <w:r>
        <w:rPr>
          <w:lang w:val="fr-CA"/>
        </w:rPr>
        <w:t>’</w:t>
      </w:r>
      <w:r w:rsidRPr="00416DDA">
        <w:rPr>
          <w:lang w:val="fr-CA"/>
        </w:rPr>
        <w:t xml:space="preserve">indemnisation seront déterminés </w:t>
      </w:r>
      <w:r w:rsidRPr="003C7788">
        <w:rPr>
          <w:u w:val="single"/>
          <w:lang w:val="fr-CA"/>
        </w:rPr>
        <w:t>selon les modalités</w:t>
      </w:r>
      <w:r w:rsidRPr="00416DDA">
        <w:rPr>
          <w:lang w:val="fr-CA"/>
        </w:rPr>
        <w:t xml:space="preserve"> prévues à la loi appliquée dans la province où l</w:t>
      </w:r>
      <w:r>
        <w:rPr>
          <w:lang w:val="fr-CA"/>
        </w:rPr>
        <w:t>’</w:t>
      </w:r>
      <w:r w:rsidRPr="00416DDA">
        <w:rPr>
          <w:lang w:val="fr-CA"/>
        </w:rPr>
        <w:t>employé travaille habituellement</w:t>
      </w:r>
      <w:r>
        <w:rPr>
          <w:lang w:val="fr-CA"/>
        </w:rPr>
        <w:t xml:space="preserve">. [Je souligne.] </w:t>
      </w:r>
      <w:r w:rsidRPr="00416DDA">
        <w:rPr>
          <w:lang w:val="fr-CA"/>
        </w:rPr>
        <w:t xml:space="preserve"> </w:t>
      </w:r>
    </w:p>
    <w:p w:rsidR="003D74EC" w:rsidRPr="00F8065C" w:rsidRDefault="003D74EC" w:rsidP="007B13C0">
      <w:pPr>
        <w:pStyle w:val="ContinueParaSuitedupar-AltP"/>
        <w:rPr>
          <w:lang w:val="fr-CA"/>
        </w:rPr>
      </w:pPr>
      <w:r w:rsidRPr="00416DDA">
        <w:rPr>
          <w:lang w:val="fr-CA"/>
        </w:rPr>
        <w:lastRenderedPageBreak/>
        <w:t>(</w:t>
      </w:r>
      <w:r w:rsidR="006B13A2">
        <w:rPr>
          <w:lang w:val="fr-CA"/>
        </w:rPr>
        <w:t>L’h</w:t>
      </w:r>
      <w:r w:rsidRPr="00F8065C">
        <w:rPr>
          <w:lang w:val="fr-CA"/>
        </w:rPr>
        <w:t>on.</w:t>
      </w:r>
      <w:r w:rsidR="007B13C0">
        <w:rPr>
          <w:lang w:val="fr-CA"/>
        </w:rPr>
        <w:t xml:space="preserve"> </w:t>
      </w:r>
      <w:r>
        <w:rPr>
          <w:lang w:val="fr-CA"/>
        </w:rPr>
        <w:t>M</w:t>
      </w:r>
      <w:r w:rsidR="006B13A2">
        <w:rPr>
          <w:lang w:val="fr-CA"/>
        </w:rPr>
        <w:t>.</w:t>
      </w:r>
      <w:r w:rsidR="007B13C0">
        <w:rPr>
          <w:lang w:val="fr-CA"/>
        </w:rPr>
        <w:t xml:space="preserve"> </w:t>
      </w:r>
      <w:r>
        <w:rPr>
          <w:lang w:val="fr-CA"/>
        </w:rPr>
        <w:t xml:space="preserve">F. </w:t>
      </w:r>
      <w:r w:rsidRPr="00F8065C">
        <w:rPr>
          <w:lang w:val="fr-CA"/>
        </w:rPr>
        <w:t>Gregg</w:t>
      </w:r>
      <w:r>
        <w:rPr>
          <w:lang w:val="fr-CA"/>
        </w:rPr>
        <w:t xml:space="preserve">, </w:t>
      </w:r>
      <w:r w:rsidRPr="003C7788">
        <w:rPr>
          <w:i/>
          <w:lang w:val="fr-CA"/>
        </w:rPr>
        <w:t>Débats de la Chambre des communes</w:t>
      </w:r>
      <w:r w:rsidRPr="00416DDA">
        <w:rPr>
          <w:lang w:val="fr-CA"/>
        </w:rPr>
        <w:t xml:space="preserve">, </w:t>
      </w:r>
      <w:r>
        <w:rPr>
          <w:lang w:val="fr-CA"/>
        </w:rPr>
        <w:t>vol.</w:t>
      </w:r>
      <w:r w:rsidR="007B13C0">
        <w:rPr>
          <w:lang w:val="fr-CA"/>
        </w:rPr>
        <w:t xml:space="preserve"> </w:t>
      </w:r>
      <w:r>
        <w:rPr>
          <w:lang w:val="fr-CA"/>
        </w:rPr>
        <w:t xml:space="preserve">II, </w:t>
      </w:r>
      <w:r w:rsidRPr="00416DDA">
        <w:rPr>
          <w:lang w:val="fr-CA"/>
        </w:rPr>
        <w:t>2</w:t>
      </w:r>
      <w:r w:rsidRPr="003C7788">
        <w:rPr>
          <w:vertAlign w:val="superscript"/>
          <w:lang w:val="fr-CA"/>
        </w:rPr>
        <w:t>e</w:t>
      </w:r>
      <w:r w:rsidR="007B13C0">
        <w:rPr>
          <w:lang w:val="fr-CA"/>
        </w:rPr>
        <w:t xml:space="preserve"> </w:t>
      </w:r>
      <w:r>
        <w:rPr>
          <w:lang w:val="fr-CA"/>
        </w:rPr>
        <w:t xml:space="preserve">sess., </w:t>
      </w:r>
      <w:r w:rsidRPr="00416DDA">
        <w:rPr>
          <w:lang w:val="fr-CA"/>
        </w:rPr>
        <w:t>22</w:t>
      </w:r>
      <w:r w:rsidRPr="003C7788">
        <w:rPr>
          <w:vertAlign w:val="superscript"/>
          <w:lang w:val="fr-CA"/>
        </w:rPr>
        <w:t>e</w:t>
      </w:r>
      <w:r w:rsidR="007B13C0">
        <w:rPr>
          <w:lang w:val="fr-CA"/>
        </w:rPr>
        <w:t xml:space="preserve"> </w:t>
      </w:r>
      <w:r w:rsidRPr="00416DDA">
        <w:rPr>
          <w:lang w:val="fr-CA"/>
        </w:rPr>
        <w:t>lég</w:t>
      </w:r>
      <w:r>
        <w:rPr>
          <w:lang w:val="fr-CA"/>
        </w:rPr>
        <w:t>.</w:t>
      </w:r>
      <w:r w:rsidRPr="00416DDA">
        <w:rPr>
          <w:lang w:val="fr-CA"/>
        </w:rPr>
        <w:t xml:space="preserve">, </w:t>
      </w:r>
      <w:r>
        <w:rPr>
          <w:lang w:val="fr-CA"/>
        </w:rPr>
        <w:t>28</w:t>
      </w:r>
      <w:r w:rsidR="007B13C0">
        <w:rPr>
          <w:lang w:val="fr-CA"/>
        </w:rPr>
        <w:t xml:space="preserve"> </w:t>
      </w:r>
      <w:r>
        <w:rPr>
          <w:lang w:val="fr-CA"/>
        </w:rPr>
        <w:t>février 1955, p.</w:t>
      </w:r>
      <w:r w:rsidR="007B13C0">
        <w:rPr>
          <w:lang w:val="fr-CA"/>
        </w:rPr>
        <w:t xml:space="preserve"> </w:t>
      </w:r>
      <w:r w:rsidRPr="00416DDA">
        <w:rPr>
          <w:lang w:val="fr-CA"/>
        </w:rPr>
        <w:t>1648</w:t>
      </w:r>
      <w:r>
        <w:rPr>
          <w:lang w:val="fr-CA"/>
        </w:rPr>
        <w:t xml:space="preserve">) </w:t>
      </w:r>
    </w:p>
    <w:p w:rsidR="003D74EC" w:rsidRPr="00F8065C" w:rsidRDefault="003D74EC" w:rsidP="007B13C0">
      <w:pPr>
        <w:pStyle w:val="ParaNoNdepar-AltN"/>
        <w:rPr>
          <w:lang w:val="fr-CA"/>
        </w:rPr>
      </w:pPr>
      <w:r>
        <w:rPr>
          <w:lang w:val="fr-CA"/>
        </w:rPr>
        <w:t>Les mots «</w:t>
      </w:r>
      <w:r w:rsidR="007B13C0">
        <w:rPr>
          <w:lang w:val="fr-CA"/>
        </w:rPr>
        <w:t xml:space="preserve"> </w:t>
      </w:r>
      <w:r>
        <w:rPr>
          <w:lang w:val="fr-CA"/>
        </w:rPr>
        <w:t>aux conditions</w:t>
      </w:r>
      <w:r w:rsidR="007B13C0">
        <w:rPr>
          <w:lang w:val="fr-CA"/>
        </w:rPr>
        <w:t xml:space="preserve"> </w:t>
      </w:r>
      <w:r>
        <w:rPr>
          <w:lang w:val="fr-CA"/>
        </w:rPr>
        <w:t>» semblent s’être substitués directement aux termes «</w:t>
      </w:r>
      <w:r w:rsidR="007B13C0">
        <w:rPr>
          <w:lang w:val="fr-CA"/>
        </w:rPr>
        <w:t xml:space="preserve"> </w:t>
      </w:r>
      <w:r>
        <w:rPr>
          <w:lang w:val="fr-CA"/>
        </w:rPr>
        <w:t>la responsabilité</w:t>
      </w:r>
      <w:r w:rsidR="007B13C0">
        <w:rPr>
          <w:lang w:val="fr-CA"/>
        </w:rPr>
        <w:t xml:space="preserve"> </w:t>
      </w:r>
      <w:r>
        <w:rPr>
          <w:lang w:val="fr-CA"/>
        </w:rPr>
        <w:t>» et «</w:t>
      </w:r>
      <w:r w:rsidR="007B13C0">
        <w:rPr>
          <w:lang w:val="fr-CA"/>
        </w:rPr>
        <w:t xml:space="preserve"> </w:t>
      </w:r>
      <w:r>
        <w:rPr>
          <w:lang w:val="fr-CA"/>
        </w:rPr>
        <w:t>le droit à</w:t>
      </w:r>
      <w:r w:rsidR="007B13C0">
        <w:rPr>
          <w:lang w:val="fr-CA"/>
        </w:rPr>
        <w:t xml:space="preserve"> </w:t>
      </w:r>
      <w:r>
        <w:rPr>
          <w:lang w:val="fr-CA"/>
        </w:rPr>
        <w:t xml:space="preserve">» que comportait auparavant le texte de loi.  Les débats en Chambre indiquent clairement que ces éléments étaient déterminés par les autorités provinciales en fonction de la législation provinciale. </w:t>
      </w:r>
    </w:p>
    <w:p w:rsidR="003D74EC" w:rsidRPr="00F8065C" w:rsidRDefault="003D74EC" w:rsidP="007B13C0">
      <w:pPr>
        <w:pStyle w:val="ParaNoNdepar-AltN"/>
        <w:rPr>
          <w:lang w:val="fr-CA"/>
        </w:rPr>
      </w:pPr>
      <w:r>
        <w:rPr>
          <w:lang w:val="fr-CA"/>
        </w:rPr>
        <w:t xml:space="preserve">En prévoyant que la législation provinciale s’applique et que les autorités provinciales ont compétence pour déterminer l’indemnité applicable aux travailleurs du gouvernement fédéral, le législateur a expressément reconnu que </w:t>
      </w:r>
      <w:r>
        <w:rPr>
          <w:rFonts w:cs="Times New Roman"/>
          <w:szCs w:val="24"/>
          <w:lang w:val="fr-CA"/>
        </w:rPr>
        <w:t>«</w:t>
      </w:r>
      <w:r w:rsidR="007B13C0">
        <w:rPr>
          <w:rFonts w:cs="Times New Roman"/>
          <w:szCs w:val="24"/>
          <w:lang w:val="fr-CA"/>
        </w:rPr>
        <w:t xml:space="preserve"> </w:t>
      </w:r>
      <w:r>
        <w:rPr>
          <w:rFonts w:cs="Times New Roman"/>
          <w:szCs w:val="24"/>
          <w:lang w:val="fr-CA"/>
        </w:rPr>
        <w:t>[l]</w:t>
      </w:r>
      <w:r w:rsidRPr="004776D7">
        <w:rPr>
          <w:rFonts w:cs="Times New Roman"/>
          <w:szCs w:val="24"/>
          <w:lang w:val="fr-CA"/>
        </w:rPr>
        <w:t>es réclamations en cas d</w:t>
      </w:r>
      <w:r>
        <w:rPr>
          <w:rFonts w:cs="Times New Roman"/>
          <w:szCs w:val="24"/>
          <w:lang w:val="fr-CA"/>
        </w:rPr>
        <w:t>’</w:t>
      </w:r>
      <w:r w:rsidRPr="004776D7">
        <w:rPr>
          <w:rFonts w:cs="Times New Roman"/>
          <w:szCs w:val="24"/>
          <w:lang w:val="fr-CA"/>
        </w:rPr>
        <w:t>accidents ou pour d</w:t>
      </w:r>
      <w:r>
        <w:rPr>
          <w:rFonts w:cs="Times New Roman"/>
          <w:szCs w:val="24"/>
          <w:lang w:val="fr-CA"/>
        </w:rPr>
        <w:t>’</w:t>
      </w:r>
      <w:r w:rsidRPr="004776D7">
        <w:rPr>
          <w:rFonts w:cs="Times New Roman"/>
          <w:szCs w:val="24"/>
          <w:lang w:val="fr-CA"/>
        </w:rPr>
        <w:t>autres causes sont traitées différemment selon les provinces</w:t>
      </w:r>
      <w:r w:rsidR="007B13C0">
        <w:rPr>
          <w:rFonts w:cs="Times New Roman"/>
          <w:szCs w:val="24"/>
          <w:lang w:val="fr-CA"/>
        </w:rPr>
        <w:t xml:space="preserve"> </w:t>
      </w:r>
      <w:r w:rsidRPr="004776D7">
        <w:rPr>
          <w:rFonts w:cs="Times New Roman"/>
          <w:szCs w:val="24"/>
          <w:lang w:val="fr-CA"/>
        </w:rPr>
        <w:t>» (</w:t>
      </w:r>
      <w:r w:rsidR="006B13A2">
        <w:rPr>
          <w:lang w:val="fr-CA"/>
        </w:rPr>
        <w:t>l’h</w:t>
      </w:r>
      <w:r w:rsidRPr="00F8065C">
        <w:rPr>
          <w:lang w:val="fr-CA"/>
        </w:rPr>
        <w:t>on. L</w:t>
      </w:r>
      <w:r w:rsidR="006B13A2">
        <w:rPr>
          <w:lang w:val="fr-CA"/>
        </w:rPr>
        <w:t>.</w:t>
      </w:r>
      <w:r w:rsidRPr="00F8065C">
        <w:rPr>
          <w:lang w:val="fr-CA"/>
        </w:rPr>
        <w:t xml:space="preserve"> Chevrier</w:t>
      </w:r>
      <w:r>
        <w:rPr>
          <w:lang w:val="fr-CA"/>
        </w:rPr>
        <w:t>,</w:t>
      </w:r>
      <w:r w:rsidRPr="004776D7">
        <w:rPr>
          <w:rFonts w:cs="Times New Roman"/>
          <w:i/>
          <w:iCs/>
          <w:szCs w:val="24"/>
          <w:lang w:val="fr-CA"/>
        </w:rPr>
        <w:t xml:space="preserve"> Débats de la Chambre des communes</w:t>
      </w:r>
      <w:r w:rsidRPr="004776D7">
        <w:rPr>
          <w:rFonts w:cs="Times New Roman"/>
          <w:szCs w:val="24"/>
          <w:lang w:val="fr-CA"/>
        </w:rPr>
        <w:t xml:space="preserve">, </w:t>
      </w:r>
      <w:r>
        <w:rPr>
          <w:rFonts w:cs="Times New Roman"/>
          <w:szCs w:val="24"/>
          <w:lang w:val="fr-CA"/>
        </w:rPr>
        <w:t>vol.</w:t>
      </w:r>
      <w:r w:rsidR="007B13C0">
        <w:rPr>
          <w:rFonts w:cs="Times New Roman"/>
          <w:szCs w:val="24"/>
          <w:lang w:val="fr-CA"/>
        </w:rPr>
        <w:t xml:space="preserve"> </w:t>
      </w:r>
      <w:r>
        <w:rPr>
          <w:rFonts w:cs="Times New Roman"/>
          <w:szCs w:val="24"/>
          <w:lang w:val="fr-CA"/>
        </w:rPr>
        <w:t xml:space="preserve">II, </w:t>
      </w:r>
      <w:r w:rsidRPr="004776D7">
        <w:rPr>
          <w:rFonts w:cs="Times New Roman"/>
          <w:szCs w:val="24"/>
          <w:lang w:val="fr-CA"/>
        </w:rPr>
        <w:t>3</w:t>
      </w:r>
      <w:r w:rsidRPr="004776D7">
        <w:rPr>
          <w:rFonts w:cs="Times New Roman"/>
          <w:szCs w:val="24"/>
          <w:vertAlign w:val="superscript"/>
          <w:lang w:val="fr-CA"/>
        </w:rPr>
        <w:t>e</w:t>
      </w:r>
      <w:r w:rsidR="007B13C0">
        <w:rPr>
          <w:rFonts w:cs="Times New Roman"/>
          <w:szCs w:val="24"/>
          <w:lang w:val="fr-CA"/>
        </w:rPr>
        <w:t xml:space="preserve"> </w:t>
      </w:r>
      <w:r>
        <w:rPr>
          <w:rFonts w:cs="Times New Roman"/>
          <w:szCs w:val="24"/>
          <w:lang w:val="fr-CA"/>
        </w:rPr>
        <w:t xml:space="preserve">sess., </w:t>
      </w:r>
      <w:r w:rsidRPr="004776D7">
        <w:rPr>
          <w:rFonts w:cs="Times New Roman"/>
          <w:szCs w:val="24"/>
          <w:lang w:val="fr-CA"/>
        </w:rPr>
        <w:t>20</w:t>
      </w:r>
      <w:r w:rsidRPr="004776D7">
        <w:rPr>
          <w:rFonts w:cs="Times New Roman"/>
          <w:szCs w:val="24"/>
          <w:vertAlign w:val="superscript"/>
          <w:lang w:val="fr-CA"/>
        </w:rPr>
        <w:t>e</w:t>
      </w:r>
      <w:r w:rsidR="007B13C0">
        <w:rPr>
          <w:rFonts w:cs="Times New Roman"/>
          <w:szCs w:val="24"/>
          <w:lang w:val="fr-CA"/>
        </w:rPr>
        <w:t xml:space="preserve"> </w:t>
      </w:r>
      <w:r w:rsidRPr="004776D7">
        <w:rPr>
          <w:rFonts w:cs="Times New Roman"/>
          <w:szCs w:val="24"/>
          <w:lang w:val="fr-CA"/>
        </w:rPr>
        <w:t>lég</w:t>
      </w:r>
      <w:r>
        <w:rPr>
          <w:rFonts w:cs="Times New Roman"/>
          <w:szCs w:val="24"/>
          <w:lang w:val="fr-CA"/>
        </w:rPr>
        <w:t>.</w:t>
      </w:r>
      <w:r w:rsidRPr="004776D7">
        <w:rPr>
          <w:rFonts w:cs="Times New Roman"/>
          <w:szCs w:val="24"/>
          <w:lang w:val="fr-CA"/>
        </w:rPr>
        <w:t xml:space="preserve">, </w:t>
      </w:r>
      <w:r>
        <w:rPr>
          <w:rFonts w:cs="Times New Roman"/>
          <w:szCs w:val="24"/>
          <w:lang w:val="fr-CA"/>
        </w:rPr>
        <w:t>27</w:t>
      </w:r>
      <w:r w:rsidR="007B13C0">
        <w:rPr>
          <w:rFonts w:cs="Times New Roman"/>
          <w:szCs w:val="24"/>
          <w:lang w:val="fr-CA"/>
        </w:rPr>
        <w:t xml:space="preserve"> </w:t>
      </w:r>
      <w:r w:rsidRPr="004776D7">
        <w:rPr>
          <w:rFonts w:cs="Times New Roman"/>
          <w:szCs w:val="24"/>
          <w:lang w:val="fr-CA"/>
        </w:rPr>
        <w:t>mars</w:t>
      </w:r>
      <w:r w:rsidR="007B13C0">
        <w:rPr>
          <w:rFonts w:cs="Times New Roman"/>
          <w:szCs w:val="24"/>
          <w:lang w:val="fr-CA"/>
        </w:rPr>
        <w:t xml:space="preserve"> </w:t>
      </w:r>
      <w:r w:rsidRPr="004776D7">
        <w:rPr>
          <w:rFonts w:cs="Times New Roman"/>
          <w:szCs w:val="24"/>
          <w:lang w:val="fr-CA"/>
        </w:rPr>
        <w:t xml:space="preserve">1947, </w:t>
      </w:r>
      <w:r>
        <w:rPr>
          <w:rFonts w:cs="Times New Roman"/>
          <w:szCs w:val="24"/>
          <w:lang w:val="fr-CA"/>
        </w:rPr>
        <w:t>p.</w:t>
      </w:r>
      <w:r w:rsidR="007B13C0">
        <w:rPr>
          <w:rFonts w:cs="Times New Roman"/>
          <w:szCs w:val="24"/>
          <w:lang w:val="fr-CA"/>
        </w:rPr>
        <w:t xml:space="preserve"> </w:t>
      </w:r>
      <w:r>
        <w:rPr>
          <w:rFonts w:cs="Times New Roman"/>
          <w:szCs w:val="24"/>
          <w:lang w:val="fr-CA"/>
        </w:rPr>
        <w:t>1818</w:t>
      </w:r>
      <w:r w:rsidRPr="00F8065C">
        <w:rPr>
          <w:lang w:val="fr-CA"/>
        </w:rPr>
        <w:t xml:space="preserve">) </w:t>
      </w:r>
      <w:r>
        <w:rPr>
          <w:lang w:val="fr-CA"/>
        </w:rPr>
        <w:t>et que «</w:t>
      </w:r>
      <w:r w:rsidR="007B13C0">
        <w:rPr>
          <w:lang w:val="fr-CA"/>
        </w:rPr>
        <w:t xml:space="preserve"> </w:t>
      </w:r>
      <w:r>
        <w:rPr>
          <w:lang w:val="fr-CA"/>
        </w:rPr>
        <w:t>[c]’</w:t>
      </w:r>
      <w:r w:rsidRPr="00BA769A">
        <w:rPr>
          <w:lang w:val="fr-CA"/>
        </w:rPr>
        <w:t xml:space="preserve">est la commission provinciale des accidents du travail qui décide, </w:t>
      </w:r>
      <w:r w:rsidRPr="00BA769A">
        <w:rPr>
          <w:u w:val="single"/>
          <w:lang w:val="fr-CA"/>
        </w:rPr>
        <w:t>sous le régime de la loi provinciale</w:t>
      </w:r>
      <w:r w:rsidRPr="00BA769A">
        <w:rPr>
          <w:lang w:val="fr-CA"/>
        </w:rPr>
        <w:t xml:space="preserve">, </w:t>
      </w:r>
      <w:r w:rsidRPr="00BA769A">
        <w:rPr>
          <w:u w:val="single"/>
          <w:lang w:val="fr-CA"/>
        </w:rPr>
        <w:t>du droit à</w:t>
      </w:r>
      <w:r w:rsidRPr="00BA769A">
        <w:rPr>
          <w:lang w:val="fr-CA"/>
        </w:rPr>
        <w:t xml:space="preserve"> l</w:t>
      </w:r>
      <w:r>
        <w:rPr>
          <w:lang w:val="fr-CA"/>
        </w:rPr>
        <w:t>’</w:t>
      </w:r>
      <w:r w:rsidRPr="00BA769A">
        <w:rPr>
          <w:lang w:val="fr-CA"/>
        </w:rPr>
        <w:t>indemnité et du montant à verser, dans chaque cas</w:t>
      </w:r>
      <w:r w:rsidR="007B13C0">
        <w:rPr>
          <w:lang w:val="fr-CA"/>
        </w:rPr>
        <w:t xml:space="preserve"> </w:t>
      </w:r>
      <w:r w:rsidRPr="00BA769A">
        <w:rPr>
          <w:lang w:val="fr-CA"/>
        </w:rPr>
        <w:t>» (</w:t>
      </w:r>
      <w:r w:rsidR="006B13A2">
        <w:rPr>
          <w:lang w:val="fr-CA"/>
        </w:rPr>
        <w:t>l’h</w:t>
      </w:r>
      <w:r w:rsidRPr="00F8065C">
        <w:rPr>
          <w:lang w:val="fr-CA"/>
        </w:rPr>
        <w:t>on.</w:t>
      </w:r>
      <w:r w:rsidR="007B13C0">
        <w:rPr>
          <w:lang w:val="fr-CA"/>
        </w:rPr>
        <w:t xml:space="preserve"> </w:t>
      </w:r>
      <w:r w:rsidRPr="00F8065C">
        <w:rPr>
          <w:lang w:val="fr-CA"/>
        </w:rPr>
        <w:t>M</w:t>
      </w:r>
      <w:r w:rsidR="006B13A2">
        <w:rPr>
          <w:lang w:val="fr-CA"/>
        </w:rPr>
        <w:t>.</w:t>
      </w:r>
      <w:r w:rsidR="007B13C0">
        <w:rPr>
          <w:lang w:val="fr-CA"/>
        </w:rPr>
        <w:t xml:space="preserve"> </w:t>
      </w:r>
      <w:r>
        <w:rPr>
          <w:lang w:val="fr-CA"/>
        </w:rPr>
        <w:t>F.</w:t>
      </w:r>
      <w:r w:rsidR="007B13C0">
        <w:rPr>
          <w:lang w:val="fr-CA"/>
        </w:rPr>
        <w:t xml:space="preserve"> </w:t>
      </w:r>
      <w:r w:rsidRPr="00F8065C">
        <w:rPr>
          <w:lang w:val="fr-CA"/>
        </w:rPr>
        <w:t>Gregg</w:t>
      </w:r>
      <w:r>
        <w:rPr>
          <w:lang w:val="fr-CA"/>
        </w:rPr>
        <w:t>,</w:t>
      </w:r>
      <w:r w:rsidRPr="00BA769A">
        <w:rPr>
          <w:i/>
          <w:lang w:val="fr-CA"/>
        </w:rPr>
        <w:t xml:space="preserve"> Débats de la Chambre des communes</w:t>
      </w:r>
      <w:r w:rsidRPr="00BA769A">
        <w:rPr>
          <w:lang w:val="fr-CA"/>
        </w:rPr>
        <w:t xml:space="preserve">, </w:t>
      </w:r>
      <w:r>
        <w:rPr>
          <w:lang w:val="fr-CA"/>
        </w:rPr>
        <w:t>vol.</w:t>
      </w:r>
      <w:r w:rsidR="007B13C0">
        <w:rPr>
          <w:lang w:val="fr-CA"/>
        </w:rPr>
        <w:t xml:space="preserve"> </w:t>
      </w:r>
      <w:r w:rsidRPr="00BA769A">
        <w:rPr>
          <w:lang w:val="fr-CA"/>
        </w:rPr>
        <w:t>II</w:t>
      </w:r>
      <w:r>
        <w:rPr>
          <w:lang w:val="fr-CA"/>
        </w:rPr>
        <w:t>,</w:t>
      </w:r>
      <w:r w:rsidRPr="00BA769A">
        <w:rPr>
          <w:lang w:val="fr-CA"/>
        </w:rPr>
        <w:t xml:space="preserve"> 6</w:t>
      </w:r>
      <w:r w:rsidRPr="00BA769A">
        <w:rPr>
          <w:vertAlign w:val="superscript"/>
          <w:lang w:val="fr-CA"/>
        </w:rPr>
        <w:t>e</w:t>
      </w:r>
      <w:r w:rsidR="007B13C0">
        <w:rPr>
          <w:lang w:val="fr-CA"/>
        </w:rPr>
        <w:t xml:space="preserve"> </w:t>
      </w:r>
      <w:r>
        <w:rPr>
          <w:lang w:val="fr-CA"/>
        </w:rPr>
        <w:t xml:space="preserve">sess., </w:t>
      </w:r>
      <w:r w:rsidRPr="00BA769A">
        <w:rPr>
          <w:lang w:val="fr-CA"/>
        </w:rPr>
        <w:t>21</w:t>
      </w:r>
      <w:r w:rsidRPr="00BA769A">
        <w:rPr>
          <w:vertAlign w:val="superscript"/>
          <w:lang w:val="fr-CA"/>
        </w:rPr>
        <w:t>e</w:t>
      </w:r>
      <w:r w:rsidR="007B13C0">
        <w:rPr>
          <w:lang w:val="fr-CA"/>
        </w:rPr>
        <w:t xml:space="preserve"> </w:t>
      </w:r>
      <w:r w:rsidRPr="00BA769A">
        <w:rPr>
          <w:lang w:val="fr-CA"/>
        </w:rPr>
        <w:t>lég</w:t>
      </w:r>
      <w:r>
        <w:rPr>
          <w:lang w:val="fr-CA"/>
        </w:rPr>
        <w:t>.</w:t>
      </w:r>
      <w:r w:rsidRPr="00BA769A">
        <w:rPr>
          <w:lang w:val="fr-CA"/>
        </w:rPr>
        <w:t>, 7</w:t>
      </w:r>
      <w:r w:rsidR="007B13C0">
        <w:rPr>
          <w:lang w:val="fr-CA"/>
        </w:rPr>
        <w:t xml:space="preserve"> </w:t>
      </w:r>
      <w:r w:rsidRPr="00BA769A">
        <w:rPr>
          <w:lang w:val="fr-CA"/>
        </w:rPr>
        <w:t>mai</w:t>
      </w:r>
      <w:r>
        <w:rPr>
          <w:lang w:val="fr-CA"/>
        </w:rPr>
        <w:t xml:space="preserve"> </w:t>
      </w:r>
      <w:r w:rsidRPr="00BA769A">
        <w:rPr>
          <w:lang w:val="fr-CA"/>
        </w:rPr>
        <w:t xml:space="preserve">1952, </w:t>
      </w:r>
      <w:r>
        <w:rPr>
          <w:lang w:val="fr-CA"/>
        </w:rPr>
        <w:t>p.</w:t>
      </w:r>
      <w:r w:rsidR="007B13C0">
        <w:rPr>
          <w:lang w:val="fr-CA"/>
        </w:rPr>
        <w:t xml:space="preserve"> </w:t>
      </w:r>
      <w:r w:rsidRPr="00BA769A">
        <w:rPr>
          <w:lang w:val="fr-CA"/>
        </w:rPr>
        <w:t xml:space="preserve">2103 </w:t>
      </w:r>
      <w:r>
        <w:rPr>
          <w:lang w:val="fr-CA"/>
        </w:rPr>
        <w:t>(je souligne</w:t>
      </w:r>
      <w:r w:rsidRPr="00F8065C">
        <w:rPr>
          <w:lang w:val="fr-CA"/>
        </w:rPr>
        <w:t>)</w:t>
      </w:r>
      <w:r>
        <w:rPr>
          <w:lang w:val="fr-CA"/>
        </w:rPr>
        <w:t>)</w:t>
      </w:r>
      <w:r w:rsidRPr="00F8065C">
        <w:rPr>
          <w:lang w:val="fr-CA"/>
        </w:rPr>
        <w:t>.</w:t>
      </w:r>
    </w:p>
    <w:p w:rsidR="003D74EC" w:rsidRPr="00F8065C" w:rsidRDefault="003D74EC" w:rsidP="007B13C0">
      <w:pPr>
        <w:pStyle w:val="ParaNoNdepar-AltN"/>
        <w:rPr>
          <w:lang w:val="fr-CA"/>
        </w:rPr>
      </w:pPr>
      <w:r>
        <w:rPr>
          <w:lang w:val="fr-CA"/>
        </w:rPr>
        <w:t xml:space="preserve">Bref, l’historique législatif de la </w:t>
      </w:r>
      <w:r w:rsidRPr="00F527BC">
        <w:rPr>
          <w:i/>
          <w:lang w:val="fr-CA"/>
        </w:rPr>
        <w:t>LIAÉ</w:t>
      </w:r>
      <w:r w:rsidRPr="00F8065C">
        <w:rPr>
          <w:i/>
          <w:lang w:val="fr-CA"/>
        </w:rPr>
        <w:t xml:space="preserve"> </w:t>
      </w:r>
      <w:r>
        <w:rPr>
          <w:lang w:val="fr-CA"/>
        </w:rPr>
        <w:t>et les déclarations d’intention du législateur démontrent que l’intention n’a pas varié depuis 1918</w:t>
      </w:r>
      <w:r w:rsidR="007B13C0">
        <w:rPr>
          <w:lang w:val="fr-CA"/>
        </w:rPr>
        <w:t xml:space="preserve"> </w:t>
      </w:r>
      <w:r>
        <w:rPr>
          <w:lang w:val="fr-CA"/>
        </w:rPr>
        <w:t>: l’admissibilité à l’indemnité et le taux d’indemnisation sont tous deux déterminés conformément à la législation provinciale.</w:t>
      </w:r>
      <w:r w:rsidRPr="00F8065C">
        <w:rPr>
          <w:lang w:val="fr-CA"/>
        </w:rPr>
        <w:t xml:space="preserve">  </w:t>
      </w:r>
    </w:p>
    <w:p w:rsidR="003D74EC" w:rsidRPr="005523A6" w:rsidRDefault="003D74EC" w:rsidP="007B13C0">
      <w:pPr>
        <w:pStyle w:val="Title4LevelTitre4Niveau"/>
        <w:keepNext w:val="0"/>
        <w:numPr>
          <w:ilvl w:val="0"/>
          <w:numId w:val="0"/>
        </w:numPr>
        <w:tabs>
          <w:tab w:val="left" w:pos="1560"/>
          <w:tab w:val="num" w:pos="6048"/>
        </w:tabs>
        <w:ind w:left="1134"/>
        <w:rPr>
          <w:lang w:val="fr-CA"/>
        </w:rPr>
      </w:pPr>
      <w:r w:rsidRPr="00547042">
        <w:rPr>
          <w:i w:val="0"/>
          <w:lang w:val="fr-CA"/>
        </w:rPr>
        <w:lastRenderedPageBreak/>
        <w:t>c)</w:t>
      </w:r>
      <w:r>
        <w:rPr>
          <w:lang w:val="fr-CA"/>
        </w:rPr>
        <w:tab/>
      </w:r>
      <w:r w:rsidRPr="005523A6">
        <w:rPr>
          <w:lang w:val="fr-CA"/>
        </w:rPr>
        <w:t>Conflits entre la LIAÉ et la législation provinciale</w:t>
      </w:r>
    </w:p>
    <w:p w:rsidR="003D74EC" w:rsidRPr="00F8065C" w:rsidRDefault="003D74EC" w:rsidP="007B13C0">
      <w:pPr>
        <w:pStyle w:val="ParaNoNdepar-AltN"/>
        <w:rPr>
          <w:lang w:val="fr-CA"/>
        </w:rPr>
      </w:pPr>
      <w:r>
        <w:rPr>
          <w:lang w:val="fr-CA"/>
        </w:rPr>
        <w:t xml:space="preserve">Il ressort de l’historique législatif que le législateur entendait également assortir d’exceptions </w:t>
      </w:r>
      <w:r w:rsidRPr="00120EFB">
        <w:rPr>
          <w:lang w:val="fr-CA"/>
        </w:rPr>
        <w:t>précises</w:t>
      </w:r>
      <w:r>
        <w:rPr>
          <w:lang w:val="fr-CA"/>
        </w:rPr>
        <w:t xml:space="preserve"> l’application de la législation provinciale</w:t>
      </w:r>
      <w:r w:rsidRPr="00F8065C">
        <w:rPr>
          <w:lang w:val="fr-CA"/>
        </w:rPr>
        <w:t>.</w:t>
      </w:r>
    </w:p>
    <w:p w:rsidR="003D74EC" w:rsidRPr="00F8065C" w:rsidRDefault="003D74EC" w:rsidP="007B13C0">
      <w:pPr>
        <w:pStyle w:val="ParaNoNdepar-AltN"/>
        <w:rPr>
          <w:lang w:val="fr-CA"/>
        </w:rPr>
      </w:pPr>
      <w:r>
        <w:rPr>
          <w:lang w:val="fr-CA"/>
        </w:rPr>
        <w:t xml:space="preserve">Par exemple, des modifications apportées en </w:t>
      </w:r>
      <w:r w:rsidRPr="00F8065C">
        <w:rPr>
          <w:lang w:val="fr-CA"/>
        </w:rPr>
        <w:t>1947</w:t>
      </w:r>
      <w:r>
        <w:rPr>
          <w:lang w:val="fr-CA"/>
        </w:rPr>
        <w:t xml:space="preserve"> à la </w:t>
      </w:r>
      <w:r w:rsidRPr="00883955">
        <w:rPr>
          <w:i/>
          <w:lang w:val="fr-CA"/>
        </w:rPr>
        <w:t>LIAÉ</w:t>
      </w:r>
      <w:r>
        <w:rPr>
          <w:lang w:val="fr-CA"/>
        </w:rPr>
        <w:t xml:space="preserve"> prévoyaient le versement de l’indemnité dans les cas de tuberculose pulmonaire contractée dans un hôpital ou un sanatorium dirigé par le gouvernement.  Cette affection était exclue à l’époque par les lois provinciales.  Au cours des débats à la Chambre des communes, le ministre qui présentait les modifications a fait état à plusieurs reprises de l’intention </w:t>
      </w:r>
      <w:r>
        <w:rPr>
          <w:i/>
          <w:lang w:val="fr-CA"/>
        </w:rPr>
        <w:t>générale</w:t>
      </w:r>
      <w:r>
        <w:rPr>
          <w:lang w:val="fr-CA"/>
        </w:rPr>
        <w:t xml:space="preserve"> de «</w:t>
      </w:r>
      <w:r w:rsidR="007B13C0">
        <w:rPr>
          <w:lang w:val="fr-CA"/>
        </w:rPr>
        <w:t xml:space="preserve"> </w:t>
      </w:r>
      <w:r>
        <w:rPr>
          <w:lang w:val="fr-CA"/>
        </w:rPr>
        <w:t>nous en remettre aux décisions des commissions provinciales quant à la définition d’un accident ou d’une maladie industrielle</w:t>
      </w:r>
      <w:r w:rsidR="007B13C0">
        <w:rPr>
          <w:lang w:val="fr-CA"/>
        </w:rPr>
        <w:t xml:space="preserve"> </w:t>
      </w:r>
      <w:r>
        <w:rPr>
          <w:lang w:val="fr-CA"/>
        </w:rPr>
        <w:t xml:space="preserve">» afin d’éviter de constituer une autorité fédérale distincte chargée de statuer sur les demandes d’indemnisation </w:t>
      </w:r>
      <w:r w:rsidRPr="004776D7">
        <w:rPr>
          <w:rFonts w:cs="Times New Roman"/>
          <w:szCs w:val="24"/>
          <w:lang w:val="fr-CA"/>
        </w:rPr>
        <w:t>(</w:t>
      </w:r>
      <w:r w:rsidR="00FF64AF">
        <w:rPr>
          <w:rFonts w:cs="Times New Roman"/>
          <w:szCs w:val="24"/>
          <w:lang w:val="fr-CA"/>
        </w:rPr>
        <w:t>l’h</w:t>
      </w:r>
      <w:r w:rsidRPr="00F8065C">
        <w:rPr>
          <w:lang w:val="fr-CA"/>
        </w:rPr>
        <w:t>on.</w:t>
      </w:r>
      <w:r w:rsidR="007B13C0">
        <w:rPr>
          <w:lang w:val="fr-CA"/>
        </w:rPr>
        <w:t xml:space="preserve"> </w:t>
      </w:r>
      <w:r w:rsidRPr="00F8065C">
        <w:rPr>
          <w:lang w:val="fr-CA"/>
        </w:rPr>
        <w:t>L</w:t>
      </w:r>
      <w:r w:rsidR="00FF64AF">
        <w:rPr>
          <w:lang w:val="fr-CA"/>
        </w:rPr>
        <w:t>.</w:t>
      </w:r>
      <w:r w:rsidR="007B13C0">
        <w:rPr>
          <w:lang w:val="fr-CA"/>
        </w:rPr>
        <w:t xml:space="preserve"> </w:t>
      </w:r>
      <w:r w:rsidRPr="00F8065C">
        <w:rPr>
          <w:lang w:val="fr-CA"/>
        </w:rPr>
        <w:t>Chevrier</w:t>
      </w:r>
      <w:r>
        <w:rPr>
          <w:lang w:val="fr-CA"/>
        </w:rPr>
        <w:t>,</w:t>
      </w:r>
      <w:r w:rsidRPr="004776D7">
        <w:rPr>
          <w:rFonts w:cs="Times New Roman"/>
          <w:i/>
          <w:iCs/>
          <w:szCs w:val="24"/>
          <w:lang w:val="fr-CA"/>
        </w:rPr>
        <w:t xml:space="preserve"> Débats de la Chambre des communes</w:t>
      </w:r>
      <w:r w:rsidRPr="004776D7">
        <w:rPr>
          <w:rFonts w:cs="Times New Roman"/>
          <w:szCs w:val="24"/>
          <w:lang w:val="fr-CA"/>
        </w:rPr>
        <w:t xml:space="preserve">, </w:t>
      </w:r>
      <w:r>
        <w:rPr>
          <w:rFonts w:cs="Times New Roman"/>
          <w:szCs w:val="24"/>
          <w:lang w:val="fr-CA"/>
        </w:rPr>
        <w:t>vol.</w:t>
      </w:r>
      <w:r w:rsidR="007B13C0">
        <w:rPr>
          <w:rFonts w:cs="Times New Roman"/>
          <w:szCs w:val="24"/>
          <w:lang w:val="fr-CA"/>
        </w:rPr>
        <w:t xml:space="preserve"> </w:t>
      </w:r>
      <w:r>
        <w:rPr>
          <w:rFonts w:cs="Times New Roman"/>
          <w:szCs w:val="24"/>
          <w:lang w:val="fr-CA"/>
        </w:rPr>
        <w:t xml:space="preserve">II, </w:t>
      </w:r>
      <w:r w:rsidRPr="004776D7">
        <w:rPr>
          <w:rFonts w:cs="Times New Roman"/>
          <w:szCs w:val="24"/>
          <w:lang w:val="fr-CA"/>
        </w:rPr>
        <w:t>3</w:t>
      </w:r>
      <w:r w:rsidRPr="004776D7">
        <w:rPr>
          <w:rFonts w:cs="Times New Roman"/>
          <w:szCs w:val="24"/>
          <w:vertAlign w:val="superscript"/>
          <w:lang w:val="fr-CA"/>
        </w:rPr>
        <w:t>e</w:t>
      </w:r>
      <w:r w:rsidR="007B13C0">
        <w:rPr>
          <w:rFonts w:cs="Times New Roman"/>
          <w:szCs w:val="24"/>
          <w:lang w:val="fr-CA"/>
        </w:rPr>
        <w:t xml:space="preserve"> </w:t>
      </w:r>
      <w:r>
        <w:rPr>
          <w:rFonts w:cs="Times New Roman"/>
          <w:szCs w:val="24"/>
          <w:lang w:val="fr-CA"/>
        </w:rPr>
        <w:t xml:space="preserve">sess., </w:t>
      </w:r>
      <w:r w:rsidRPr="004776D7">
        <w:rPr>
          <w:rFonts w:cs="Times New Roman"/>
          <w:szCs w:val="24"/>
          <w:lang w:val="fr-CA"/>
        </w:rPr>
        <w:t>20</w:t>
      </w:r>
      <w:r w:rsidRPr="004776D7">
        <w:rPr>
          <w:rFonts w:cs="Times New Roman"/>
          <w:szCs w:val="24"/>
          <w:vertAlign w:val="superscript"/>
          <w:lang w:val="fr-CA"/>
        </w:rPr>
        <w:t>e</w:t>
      </w:r>
      <w:r w:rsidR="007B13C0">
        <w:rPr>
          <w:rFonts w:cs="Times New Roman"/>
          <w:szCs w:val="24"/>
          <w:lang w:val="fr-CA"/>
        </w:rPr>
        <w:t xml:space="preserve"> </w:t>
      </w:r>
      <w:r w:rsidRPr="004776D7">
        <w:rPr>
          <w:rFonts w:cs="Times New Roman"/>
          <w:szCs w:val="24"/>
          <w:lang w:val="fr-CA"/>
        </w:rPr>
        <w:t>lég</w:t>
      </w:r>
      <w:r>
        <w:rPr>
          <w:rFonts w:cs="Times New Roman"/>
          <w:szCs w:val="24"/>
          <w:lang w:val="fr-CA"/>
        </w:rPr>
        <w:t>.</w:t>
      </w:r>
      <w:r w:rsidRPr="004776D7">
        <w:rPr>
          <w:rFonts w:cs="Times New Roman"/>
          <w:szCs w:val="24"/>
          <w:lang w:val="fr-CA"/>
        </w:rPr>
        <w:t xml:space="preserve">, </w:t>
      </w:r>
      <w:r>
        <w:rPr>
          <w:rFonts w:cs="Times New Roman"/>
          <w:szCs w:val="24"/>
          <w:lang w:val="fr-CA"/>
        </w:rPr>
        <w:t>31</w:t>
      </w:r>
      <w:r w:rsidR="007B13C0">
        <w:rPr>
          <w:rFonts w:cs="Times New Roman"/>
          <w:szCs w:val="24"/>
          <w:lang w:val="fr-CA"/>
        </w:rPr>
        <w:t xml:space="preserve"> </w:t>
      </w:r>
      <w:r w:rsidRPr="004776D7">
        <w:rPr>
          <w:rFonts w:cs="Times New Roman"/>
          <w:szCs w:val="24"/>
          <w:lang w:val="fr-CA"/>
        </w:rPr>
        <w:t>mars</w:t>
      </w:r>
      <w:r>
        <w:rPr>
          <w:rFonts w:cs="Times New Roman"/>
          <w:szCs w:val="24"/>
          <w:lang w:val="fr-CA"/>
        </w:rPr>
        <w:t xml:space="preserve"> </w:t>
      </w:r>
      <w:r w:rsidRPr="004776D7">
        <w:rPr>
          <w:rFonts w:cs="Times New Roman"/>
          <w:szCs w:val="24"/>
          <w:lang w:val="fr-CA"/>
        </w:rPr>
        <w:t xml:space="preserve">1947, </w:t>
      </w:r>
      <w:r>
        <w:rPr>
          <w:rFonts w:cs="Times New Roman"/>
          <w:szCs w:val="24"/>
          <w:lang w:val="fr-CA"/>
        </w:rPr>
        <w:t>p.</w:t>
      </w:r>
      <w:r w:rsidR="007B13C0">
        <w:rPr>
          <w:rFonts w:cs="Times New Roman"/>
          <w:szCs w:val="24"/>
          <w:lang w:val="fr-CA"/>
        </w:rPr>
        <w:t xml:space="preserve"> </w:t>
      </w:r>
      <w:r w:rsidRPr="00F8065C">
        <w:rPr>
          <w:lang w:val="fr-CA"/>
        </w:rPr>
        <w:t>18</w:t>
      </w:r>
      <w:r>
        <w:rPr>
          <w:lang w:val="fr-CA"/>
        </w:rPr>
        <w:t>86</w:t>
      </w:r>
      <w:r w:rsidRPr="00F8065C">
        <w:rPr>
          <w:lang w:val="fr-CA"/>
        </w:rPr>
        <w:t xml:space="preserve">).  </w:t>
      </w:r>
      <w:r>
        <w:rPr>
          <w:lang w:val="fr-CA"/>
        </w:rPr>
        <w:t>Il a toutefois déclaré que la modification «</w:t>
      </w:r>
      <w:r w:rsidR="007B13C0">
        <w:rPr>
          <w:lang w:val="fr-CA"/>
        </w:rPr>
        <w:t xml:space="preserve"> </w:t>
      </w:r>
      <w:r>
        <w:rPr>
          <w:lang w:val="fr-CA"/>
        </w:rPr>
        <w:t>applique le principe d’indemnisation de manière à inclure les personnes atteintes de tuberculose pulmonaire</w:t>
      </w:r>
      <w:r w:rsidR="007B13C0">
        <w:rPr>
          <w:lang w:val="fr-CA"/>
        </w:rPr>
        <w:t xml:space="preserve"> </w:t>
      </w:r>
      <w:r>
        <w:rPr>
          <w:lang w:val="fr-CA"/>
        </w:rPr>
        <w:t xml:space="preserve">» et que le nouvel article </w:t>
      </w:r>
      <w:r w:rsidRPr="00712854">
        <w:rPr>
          <w:lang w:val="fr-CA"/>
        </w:rPr>
        <w:t>«</w:t>
      </w:r>
      <w:r w:rsidR="007B13C0">
        <w:rPr>
          <w:lang w:val="fr-CA"/>
        </w:rPr>
        <w:t xml:space="preserve"> </w:t>
      </w:r>
      <w:r w:rsidRPr="00712854">
        <w:rPr>
          <w:lang w:val="fr-CA"/>
        </w:rPr>
        <w:t>renferme une disposition qui ne se trouve dans aucune loi provinciale, sauf peut</w:t>
      </w:r>
      <w:r>
        <w:rPr>
          <w:lang w:val="fr-CA"/>
        </w:rPr>
        <w:noBreakHyphen/>
      </w:r>
      <w:r w:rsidRPr="00712854">
        <w:rPr>
          <w:lang w:val="fr-CA"/>
        </w:rPr>
        <w:t>être une</w:t>
      </w:r>
      <w:r w:rsidR="007B13C0">
        <w:rPr>
          <w:lang w:val="fr-CA"/>
        </w:rPr>
        <w:t xml:space="preserve"> </w:t>
      </w:r>
      <w:r w:rsidRPr="00712854">
        <w:rPr>
          <w:lang w:val="fr-CA"/>
        </w:rPr>
        <w:t xml:space="preserve">» </w:t>
      </w:r>
      <w:r w:rsidRPr="00F8065C">
        <w:rPr>
          <w:lang w:val="fr-CA"/>
        </w:rPr>
        <w:t>(</w:t>
      </w:r>
      <w:r>
        <w:rPr>
          <w:lang w:val="fr-CA"/>
        </w:rPr>
        <w:t>p.</w:t>
      </w:r>
      <w:r w:rsidR="007B13C0">
        <w:rPr>
          <w:lang w:val="fr-CA"/>
        </w:rPr>
        <w:t xml:space="preserve"> </w:t>
      </w:r>
      <w:r w:rsidRPr="00F8065C">
        <w:rPr>
          <w:lang w:val="fr-CA"/>
        </w:rPr>
        <w:t>18</w:t>
      </w:r>
      <w:r>
        <w:rPr>
          <w:lang w:val="fr-CA"/>
        </w:rPr>
        <w:t>88 et</w:t>
      </w:r>
      <w:r w:rsidRPr="00F8065C">
        <w:rPr>
          <w:lang w:val="fr-CA"/>
        </w:rPr>
        <w:t xml:space="preserve"> 189</w:t>
      </w:r>
      <w:r>
        <w:rPr>
          <w:lang w:val="fr-CA"/>
        </w:rPr>
        <w:t>1</w:t>
      </w:r>
      <w:r w:rsidRPr="00F8065C">
        <w:rPr>
          <w:lang w:val="fr-CA"/>
        </w:rPr>
        <w:t xml:space="preserve">). </w:t>
      </w:r>
    </w:p>
    <w:p w:rsidR="003D74EC" w:rsidRPr="00E50130" w:rsidRDefault="003D74EC" w:rsidP="007B13C0">
      <w:pPr>
        <w:pStyle w:val="ParaNoNdepar-AltN"/>
        <w:rPr>
          <w:lang w:val="fr-CA"/>
        </w:rPr>
      </w:pPr>
      <w:r w:rsidRPr="00E50130">
        <w:rPr>
          <w:lang w:val="fr-CA"/>
        </w:rPr>
        <w:t xml:space="preserve">La question des conflits potentiels entre la </w:t>
      </w:r>
      <w:r w:rsidRPr="00EE098E">
        <w:rPr>
          <w:i/>
          <w:lang w:val="fr-CA"/>
        </w:rPr>
        <w:t>LIAÉ</w:t>
      </w:r>
      <w:r w:rsidRPr="00E50130">
        <w:rPr>
          <w:lang w:val="fr-CA"/>
        </w:rPr>
        <w:t xml:space="preserve"> et les lois provinciales </w:t>
      </w:r>
      <w:r>
        <w:rPr>
          <w:lang w:val="fr-CA"/>
        </w:rPr>
        <w:t xml:space="preserve">sur les </w:t>
      </w:r>
      <w:r w:rsidRPr="00E50130">
        <w:rPr>
          <w:lang w:val="fr-CA"/>
        </w:rPr>
        <w:t xml:space="preserve">accidents du travail a été examinée dans </w:t>
      </w:r>
      <w:r w:rsidRPr="00E50130">
        <w:rPr>
          <w:i/>
          <w:lang w:val="fr-CA"/>
        </w:rPr>
        <w:t>Cape Breton Development Cor</w:t>
      </w:r>
      <w:r>
        <w:rPr>
          <w:i/>
          <w:lang w:val="fr-CA"/>
        </w:rPr>
        <w:t>p.</w:t>
      </w:r>
      <w:r w:rsidR="007B13C0">
        <w:rPr>
          <w:i/>
          <w:lang w:val="fr-CA"/>
        </w:rPr>
        <w:t xml:space="preserve"> </w:t>
      </w:r>
      <w:r w:rsidRPr="00547042">
        <w:rPr>
          <w:i/>
          <w:lang w:val="fr-CA"/>
        </w:rPr>
        <w:t>c.</w:t>
      </w:r>
      <w:r>
        <w:rPr>
          <w:lang w:val="fr-CA"/>
        </w:rPr>
        <w:t xml:space="preserve"> </w:t>
      </w:r>
      <w:r w:rsidRPr="00E50130">
        <w:rPr>
          <w:i/>
          <w:lang w:val="fr-CA"/>
        </w:rPr>
        <w:t>Morrison Estate</w:t>
      </w:r>
      <w:r w:rsidRPr="00E50130">
        <w:rPr>
          <w:lang w:val="fr-CA"/>
        </w:rPr>
        <w:t xml:space="preserve">, 2003 NSCA 103, </w:t>
      </w:r>
      <w:r>
        <w:rPr>
          <w:lang w:val="fr-CA"/>
        </w:rPr>
        <w:t xml:space="preserve">218 N.S.R. (2d) 53, </w:t>
      </w:r>
      <w:r w:rsidRPr="00E50130">
        <w:rPr>
          <w:lang w:val="fr-CA"/>
        </w:rPr>
        <w:t>autorisation d’appel refusée</w:t>
      </w:r>
      <w:r>
        <w:rPr>
          <w:lang w:val="fr-CA"/>
        </w:rPr>
        <w:t>, [2004</w:t>
      </w:r>
      <w:r w:rsidRPr="00E50130">
        <w:rPr>
          <w:lang w:val="fr-CA"/>
        </w:rPr>
        <w:t xml:space="preserve">] </w:t>
      </w:r>
      <w:r>
        <w:rPr>
          <w:lang w:val="fr-CA"/>
        </w:rPr>
        <w:t>1 R.</w:t>
      </w:r>
      <w:r w:rsidRPr="00E50130">
        <w:rPr>
          <w:lang w:val="fr-CA"/>
        </w:rPr>
        <w:t>C.S.</w:t>
      </w:r>
      <w:r>
        <w:rPr>
          <w:lang w:val="fr-CA"/>
        </w:rPr>
        <w:t xml:space="preserve"> vii.</w:t>
      </w:r>
      <w:r w:rsidRPr="00E50130">
        <w:rPr>
          <w:lang w:val="fr-CA"/>
        </w:rPr>
        <w:t xml:space="preserve"> </w:t>
      </w:r>
    </w:p>
    <w:p w:rsidR="003D74EC" w:rsidRPr="00F8065C" w:rsidRDefault="003D74EC" w:rsidP="007B13C0">
      <w:pPr>
        <w:pStyle w:val="ParaNoNdepar-AltN"/>
        <w:rPr>
          <w:lang w:val="fr-CA"/>
        </w:rPr>
      </w:pPr>
      <w:r>
        <w:rPr>
          <w:lang w:val="fr-CA"/>
        </w:rPr>
        <w:lastRenderedPageBreak/>
        <w:t xml:space="preserve">Dans </w:t>
      </w:r>
      <w:r w:rsidRPr="00F8065C">
        <w:rPr>
          <w:i/>
          <w:lang w:val="fr-CA"/>
        </w:rPr>
        <w:t>Morrison</w:t>
      </w:r>
      <w:r>
        <w:rPr>
          <w:lang w:val="fr-CA"/>
        </w:rPr>
        <w:t>, la Cour d’appel de la Nouvelle</w:t>
      </w:r>
      <w:r>
        <w:rPr>
          <w:lang w:val="fr-CA"/>
        </w:rPr>
        <w:noBreakHyphen/>
        <w:t>Écosse devait déterminer si une présomption prévue par la loi provinciale sur les accidents du travail et accordant le [</w:t>
      </w:r>
      <w:r w:rsidRPr="00BC09D7">
        <w:rPr>
          <w:smallCaps/>
          <w:lang w:val="fr-CA"/>
        </w:rPr>
        <w:t>traduction</w:t>
      </w:r>
      <w:r>
        <w:rPr>
          <w:lang w:val="fr-CA"/>
        </w:rPr>
        <w:t>] «</w:t>
      </w:r>
      <w:r w:rsidR="007B13C0">
        <w:rPr>
          <w:lang w:val="fr-CA"/>
        </w:rPr>
        <w:t xml:space="preserve"> </w:t>
      </w:r>
      <w:r>
        <w:rPr>
          <w:lang w:val="fr-CA"/>
        </w:rPr>
        <w:t>bénéfice du doute</w:t>
      </w:r>
      <w:r w:rsidR="007B13C0">
        <w:rPr>
          <w:lang w:val="fr-CA"/>
        </w:rPr>
        <w:t xml:space="preserve"> </w:t>
      </w:r>
      <w:r>
        <w:rPr>
          <w:lang w:val="fr-CA"/>
        </w:rPr>
        <w:t xml:space="preserve">» s’appliquait aux travailleurs visés par la </w:t>
      </w:r>
      <w:r w:rsidRPr="00E439FA">
        <w:rPr>
          <w:i/>
          <w:lang w:val="fr-CA"/>
        </w:rPr>
        <w:t>LIAÉ</w:t>
      </w:r>
      <w:r>
        <w:rPr>
          <w:lang w:val="fr-CA"/>
        </w:rPr>
        <w:t xml:space="preserve">.  Elle a statué que cette présomption en matière de causalité s’appliquait aussi aux travailleurs fédéraux.  Il n’y avait pas conflit entre les lois, selon elle, car rien dans le libellé de la </w:t>
      </w:r>
      <w:r w:rsidRPr="00EE0C56">
        <w:rPr>
          <w:i/>
          <w:lang w:val="fr-CA"/>
        </w:rPr>
        <w:t>LIAÉ</w:t>
      </w:r>
      <w:r w:rsidRPr="00F8065C">
        <w:rPr>
          <w:lang w:val="fr-CA"/>
        </w:rPr>
        <w:t xml:space="preserve"> </w:t>
      </w:r>
      <w:r>
        <w:rPr>
          <w:lang w:val="fr-CA"/>
        </w:rPr>
        <w:t>n’empêchait les travailleurs fédéraux de bénéficier de l’application d’une telle présomption</w:t>
      </w:r>
      <w:r w:rsidRPr="00F8065C">
        <w:rPr>
          <w:lang w:val="fr-CA"/>
        </w:rPr>
        <w:t xml:space="preserve"> (</w:t>
      </w:r>
      <w:r>
        <w:rPr>
          <w:lang w:val="fr-CA"/>
        </w:rPr>
        <w:t>par.</w:t>
      </w:r>
      <w:r w:rsidR="007B13C0">
        <w:rPr>
          <w:lang w:val="fr-CA"/>
        </w:rPr>
        <w:t xml:space="preserve"> </w:t>
      </w:r>
      <w:r w:rsidRPr="00120EFB">
        <w:rPr>
          <w:lang w:val="fr-CA"/>
        </w:rPr>
        <w:t>45)</w:t>
      </w:r>
      <w:r w:rsidRPr="009C7B31">
        <w:rPr>
          <w:rStyle w:val="Hyperlink"/>
          <w:u w:val="none"/>
          <w:vertAlign w:val="superscript"/>
        </w:rPr>
        <w:footnoteReference w:id="3"/>
      </w:r>
      <w:r>
        <w:rPr>
          <w:lang w:val="fr-CA"/>
        </w:rPr>
        <w:t>.</w:t>
      </w:r>
      <w:r w:rsidRPr="00F8065C">
        <w:rPr>
          <w:lang w:val="fr-CA"/>
        </w:rPr>
        <w:t xml:space="preserve">  </w:t>
      </w:r>
      <w:r w:rsidRPr="00120EFB">
        <w:rPr>
          <w:lang w:val="fr-CA"/>
        </w:rPr>
        <w:t>Faisant sienne la description que fait le procureur général du Canada du paysage législatif,</w:t>
      </w:r>
      <w:r>
        <w:rPr>
          <w:lang w:val="fr-CA"/>
        </w:rPr>
        <w:t xml:space="preserve"> elle a conclu ainsi</w:t>
      </w:r>
      <w:r w:rsidR="007B13C0">
        <w:rPr>
          <w:lang w:val="fr-CA"/>
        </w:rPr>
        <w:t xml:space="preserve"> </w:t>
      </w:r>
      <w:r>
        <w:rPr>
          <w:lang w:val="fr-CA"/>
        </w:rPr>
        <w:t>:</w:t>
      </w:r>
    </w:p>
    <w:p w:rsidR="003D74EC" w:rsidRDefault="003D74EC" w:rsidP="007B13C0">
      <w:pPr>
        <w:pStyle w:val="Citation-AltC"/>
        <w:ind w:hanging="1166"/>
        <w:rPr>
          <w:lang w:val="fr-CA"/>
        </w:rPr>
      </w:pPr>
      <w:r>
        <w:rPr>
          <w:lang w:val="fr-CA"/>
        </w:rPr>
        <w:tab/>
        <w:t>[</w:t>
      </w:r>
      <w:r w:rsidRPr="00135D48">
        <w:rPr>
          <w:smallCaps/>
          <w:lang w:val="fr-CA"/>
        </w:rPr>
        <w:t>traduction</w:t>
      </w:r>
      <w:r>
        <w:rPr>
          <w:lang w:val="fr-CA"/>
        </w:rPr>
        <w:t>]</w:t>
      </w:r>
    </w:p>
    <w:p w:rsidR="009C7B31" w:rsidRDefault="009C7B31" w:rsidP="007B13C0">
      <w:pPr>
        <w:pStyle w:val="Citation-AltC"/>
        <w:ind w:hanging="1166"/>
        <w:rPr>
          <w:lang w:val="fr-CA"/>
        </w:rPr>
      </w:pPr>
    </w:p>
    <w:p w:rsidR="003D74EC" w:rsidRPr="00F8065C" w:rsidRDefault="003D74EC" w:rsidP="007B13C0">
      <w:pPr>
        <w:pStyle w:val="Citation-AltC"/>
        <w:spacing w:after="240"/>
        <w:ind w:hanging="1166"/>
        <w:contextualSpacing w:val="0"/>
        <w:rPr>
          <w:lang w:val="fr-CA"/>
        </w:rPr>
      </w:pPr>
      <w:r>
        <w:rPr>
          <w:lang w:val="fr-CA"/>
        </w:rPr>
        <w:tab/>
        <w:t xml:space="preserve">Le régime provincial en matière d’accidents du travail s’applique aux demandes d’indemnisation présentées en vertu de la </w:t>
      </w:r>
      <w:r w:rsidRPr="00E34963">
        <w:rPr>
          <w:i/>
          <w:lang w:val="fr-CA"/>
        </w:rPr>
        <w:t>LIAÉ</w:t>
      </w:r>
      <w:r w:rsidRPr="00F8065C">
        <w:rPr>
          <w:lang w:val="fr-CA"/>
        </w:rPr>
        <w:t xml:space="preserve"> </w:t>
      </w:r>
      <w:r>
        <w:rPr>
          <w:lang w:val="fr-CA"/>
        </w:rPr>
        <w:t>lorsque les conditions suivantes sont réunies</w:t>
      </w:r>
      <w:r w:rsidR="007B13C0">
        <w:rPr>
          <w:lang w:val="fr-CA"/>
        </w:rPr>
        <w:t xml:space="preserve"> </w:t>
      </w:r>
      <w:r>
        <w:rPr>
          <w:lang w:val="fr-CA"/>
        </w:rPr>
        <w:t>:</w:t>
      </w:r>
    </w:p>
    <w:p w:rsidR="003D74EC" w:rsidRPr="00F8065C" w:rsidRDefault="003D74EC" w:rsidP="007B13C0">
      <w:pPr>
        <w:pStyle w:val="Citation-AltC"/>
        <w:tabs>
          <w:tab w:val="left" w:pos="1920"/>
        </w:tabs>
        <w:spacing w:after="240"/>
        <w:ind w:left="1411" w:hanging="1411"/>
        <w:contextualSpacing w:val="0"/>
        <w:rPr>
          <w:lang w:val="fr-CA"/>
        </w:rPr>
      </w:pPr>
      <w:r>
        <w:rPr>
          <w:lang w:val="fr-CA"/>
        </w:rPr>
        <w:tab/>
        <w:t>a)</w:t>
      </w:r>
      <w:r>
        <w:rPr>
          <w:lang w:val="fr-CA"/>
        </w:rPr>
        <w:tab/>
        <w:t>la disposition en cause peut raisonnablement se rattacher à un «</w:t>
      </w:r>
      <w:r w:rsidR="007B13C0">
        <w:rPr>
          <w:lang w:val="fr-CA"/>
        </w:rPr>
        <w:t xml:space="preserve"> </w:t>
      </w:r>
      <w:r>
        <w:rPr>
          <w:lang w:val="fr-CA"/>
        </w:rPr>
        <w:t>taux</w:t>
      </w:r>
      <w:r w:rsidR="007B13C0">
        <w:rPr>
          <w:lang w:val="fr-CA"/>
        </w:rPr>
        <w:t xml:space="preserve"> </w:t>
      </w:r>
      <w:r>
        <w:rPr>
          <w:lang w:val="fr-CA"/>
        </w:rPr>
        <w:t>» ou à une «</w:t>
      </w:r>
      <w:r w:rsidR="007B13C0">
        <w:rPr>
          <w:lang w:val="fr-CA"/>
        </w:rPr>
        <w:t xml:space="preserve"> </w:t>
      </w:r>
      <w:r>
        <w:rPr>
          <w:lang w:val="fr-CA"/>
        </w:rPr>
        <w:t>condition</w:t>
      </w:r>
      <w:r w:rsidR="007B13C0">
        <w:rPr>
          <w:lang w:val="fr-CA"/>
        </w:rPr>
        <w:t xml:space="preserve"> </w:t>
      </w:r>
      <w:r>
        <w:rPr>
          <w:lang w:val="fr-CA"/>
        </w:rPr>
        <w:t>» applicable à l’indemnisation en vertu de la législation de la province</w:t>
      </w:r>
      <w:r w:rsidRPr="00F8065C">
        <w:rPr>
          <w:lang w:val="fr-CA"/>
        </w:rPr>
        <w:t xml:space="preserve">, </w:t>
      </w:r>
    </w:p>
    <w:p w:rsidR="003D74EC" w:rsidRPr="00F8065C" w:rsidRDefault="009C7B31" w:rsidP="007B13C0">
      <w:pPr>
        <w:pStyle w:val="Citation-AltC"/>
        <w:tabs>
          <w:tab w:val="left" w:pos="1920"/>
        </w:tabs>
        <w:ind w:left="1418" w:hanging="1418"/>
        <w:rPr>
          <w:lang w:val="fr-CA"/>
        </w:rPr>
      </w:pPr>
      <w:r>
        <w:rPr>
          <w:lang w:val="fr-CA"/>
        </w:rPr>
        <w:tab/>
      </w:r>
      <w:r w:rsidR="003D74EC">
        <w:rPr>
          <w:lang w:val="fr-CA"/>
        </w:rPr>
        <w:t>b)</w:t>
      </w:r>
      <w:r w:rsidR="003D74EC">
        <w:rPr>
          <w:lang w:val="fr-CA"/>
        </w:rPr>
        <w:tab/>
        <w:t xml:space="preserve">la disposition n’entre pas par ailleurs en conflit avec la </w:t>
      </w:r>
      <w:r w:rsidR="003D74EC" w:rsidRPr="00E34963">
        <w:rPr>
          <w:i/>
          <w:lang w:val="fr-CA"/>
        </w:rPr>
        <w:t>LIAÉ</w:t>
      </w:r>
      <w:r w:rsidR="003D74EC" w:rsidRPr="00F8065C">
        <w:rPr>
          <w:lang w:val="fr-CA"/>
        </w:rPr>
        <w:t>.</w:t>
      </w:r>
      <w:r w:rsidR="003D74EC">
        <w:rPr>
          <w:lang w:val="fr-CA"/>
        </w:rPr>
        <w:t xml:space="preserve"> [par.</w:t>
      </w:r>
      <w:r w:rsidR="007B13C0">
        <w:rPr>
          <w:lang w:val="fr-CA"/>
        </w:rPr>
        <w:t xml:space="preserve"> </w:t>
      </w:r>
      <w:r w:rsidR="003D74EC" w:rsidRPr="00F8065C">
        <w:rPr>
          <w:lang w:val="fr-CA"/>
        </w:rPr>
        <w:t>6</w:t>
      </w:r>
      <w:r w:rsidR="003D74EC">
        <w:rPr>
          <w:lang w:val="fr-CA"/>
        </w:rPr>
        <w:t>8]</w:t>
      </w:r>
    </w:p>
    <w:p w:rsidR="003D74EC" w:rsidRDefault="003D74EC" w:rsidP="007B13C0">
      <w:pPr>
        <w:pStyle w:val="ContinueParaSuitedupar-AltP"/>
        <w:rPr>
          <w:lang w:val="fr-CA"/>
        </w:rPr>
      </w:pPr>
      <w:r>
        <w:rPr>
          <w:lang w:val="fr-CA"/>
        </w:rPr>
        <w:t xml:space="preserve">Je partage son avis.  Lorsqu’une disposition ou une politique provinciale entre directement en conflit avec la </w:t>
      </w:r>
      <w:r w:rsidRPr="00E34963">
        <w:rPr>
          <w:i/>
          <w:lang w:val="fr-CA"/>
        </w:rPr>
        <w:t>LIAÉ</w:t>
      </w:r>
      <w:r>
        <w:rPr>
          <w:lang w:val="fr-CA"/>
        </w:rPr>
        <w:t>, cette dernière prime et rend inapplicable la disposition ou la politique provinciale aux travailleurs fédéraux</w:t>
      </w:r>
      <w:r w:rsidRPr="00F509F5">
        <w:rPr>
          <w:rStyle w:val="Hyperlink"/>
          <w:u w:val="none"/>
          <w:vertAlign w:val="superscript"/>
        </w:rPr>
        <w:footnoteReference w:id="4"/>
      </w:r>
      <w:r>
        <w:rPr>
          <w:lang w:val="fr-CA"/>
        </w:rPr>
        <w:t xml:space="preserve">.  En l’absence de </w:t>
      </w:r>
      <w:r>
        <w:rPr>
          <w:lang w:val="fr-CA"/>
        </w:rPr>
        <w:lastRenderedPageBreak/>
        <w:t>conflit, le régime provincial</w:t>
      </w:r>
      <w:r w:rsidRPr="00F8065C">
        <w:rPr>
          <w:lang w:val="fr-CA"/>
        </w:rPr>
        <w:t xml:space="preserve"> </w:t>
      </w:r>
      <w:r>
        <w:rPr>
          <w:lang w:val="fr-CA"/>
        </w:rPr>
        <w:t>en matière d’accidents du travail s’applique.  Quoi qu’il en soit</w:t>
      </w:r>
      <w:r w:rsidRPr="00120EFB">
        <w:rPr>
          <w:lang w:val="fr-CA"/>
        </w:rPr>
        <w:t>, les</w:t>
      </w:r>
      <w:r>
        <w:rPr>
          <w:lang w:val="fr-CA"/>
        </w:rPr>
        <w:t xml:space="preserve"> autorités provinciales compétentes </w:t>
      </w:r>
      <w:r w:rsidRPr="00120EFB">
        <w:rPr>
          <w:lang w:val="fr-CA"/>
        </w:rPr>
        <w:t>constituent</w:t>
      </w:r>
      <w:r>
        <w:rPr>
          <w:lang w:val="fr-CA"/>
        </w:rPr>
        <w:t xml:space="preserve"> les instances décisionnelles.</w:t>
      </w:r>
    </w:p>
    <w:p w:rsidR="003D74EC" w:rsidRDefault="003D74EC" w:rsidP="007B13C0">
      <w:pPr>
        <w:pStyle w:val="ParaNoNdepar-AltN"/>
        <w:rPr>
          <w:lang w:val="fr-CA"/>
        </w:rPr>
      </w:pPr>
      <w:r>
        <w:rPr>
          <w:lang w:val="fr-CA"/>
        </w:rPr>
        <w:t xml:space="preserve">Le pouvoir de statuer en matière d’admissibilité ayant été largement délégué à l’échelon provincial, les conflits entre la </w:t>
      </w:r>
      <w:r w:rsidRPr="00AD0970">
        <w:rPr>
          <w:i/>
          <w:lang w:val="fr-CA"/>
        </w:rPr>
        <w:t>LIAÉ</w:t>
      </w:r>
      <w:r>
        <w:rPr>
          <w:lang w:val="fr-CA"/>
        </w:rPr>
        <w:t xml:space="preserve"> et la législation provinciale ne surgissent habituellement que lorsque le régime établi par la </w:t>
      </w:r>
      <w:r w:rsidRPr="00AD0970">
        <w:rPr>
          <w:i/>
          <w:lang w:val="fr-CA"/>
        </w:rPr>
        <w:t>LIAÉ</w:t>
      </w:r>
      <w:r>
        <w:rPr>
          <w:lang w:val="fr-CA"/>
        </w:rPr>
        <w:t xml:space="preserve"> prévoit expressément l’inclusion ou l’exclusion d’éléments particuliers, incompatibles avec la législation provinciale applicable, comme ce fut le cas, par exemple, pour la tuberculose pulmonaire.</w:t>
      </w:r>
    </w:p>
    <w:p w:rsidR="003D74EC" w:rsidRPr="00F8065C" w:rsidRDefault="003D74EC" w:rsidP="007B13C0">
      <w:pPr>
        <w:pStyle w:val="Title2LevelTitre2Niveau"/>
        <w:keepNext w:val="0"/>
        <w:rPr>
          <w:lang w:val="fr-CA"/>
        </w:rPr>
      </w:pPr>
      <w:r>
        <w:rPr>
          <w:lang w:val="fr-CA"/>
        </w:rPr>
        <w:t>L’interprétation du terme «</w:t>
      </w:r>
      <w:r w:rsidR="007B13C0">
        <w:rPr>
          <w:lang w:val="fr-CA"/>
        </w:rPr>
        <w:t xml:space="preserve"> </w:t>
      </w:r>
      <w:r>
        <w:rPr>
          <w:lang w:val="fr-CA"/>
        </w:rPr>
        <w:t>a</w:t>
      </w:r>
      <w:r w:rsidRPr="00F8065C">
        <w:rPr>
          <w:lang w:val="fr-CA"/>
        </w:rPr>
        <w:t>ccident</w:t>
      </w:r>
      <w:r w:rsidR="007B13C0">
        <w:rPr>
          <w:lang w:val="fr-CA"/>
        </w:rPr>
        <w:t xml:space="preserve"> </w:t>
      </w:r>
      <w:r>
        <w:rPr>
          <w:lang w:val="fr-CA"/>
        </w:rPr>
        <w:t>»</w:t>
      </w:r>
      <w:r w:rsidR="007B13C0">
        <w:rPr>
          <w:lang w:val="fr-CA"/>
        </w:rPr>
        <w:t xml:space="preserve"> </w:t>
      </w:r>
      <w:r>
        <w:rPr>
          <w:lang w:val="fr-CA"/>
        </w:rPr>
        <w:t>:</w:t>
      </w:r>
      <w:r w:rsidRPr="00F8065C">
        <w:rPr>
          <w:lang w:val="fr-CA"/>
        </w:rPr>
        <w:t xml:space="preserve"> </w:t>
      </w:r>
      <w:r w:rsidR="00DC0558">
        <w:rPr>
          <w:lang w:val="fr-CA"/>
        </w:rPr>
        <w:t>Y</w:t>
      </w:r>
      <w:r w:rsidR="007B13C0">
        <w:rPr>
          <w:lang w:val="fr-CA"/>
        </w:rPr>
        <w:t xml:space="preserve"> a-t-</w:t>
      </w:r>
      <w:r>
        <w:rPr>
          <w:lang w:val="fr-CA"/>
        </w:rPr>
        <w:t xml:space="preserve">il un conflit entre la Politique et la </w:t>
      </w:r>
      <w:r w:rsidRPr="00F24E62">
        <w:rPr>
          <w:lang w:val="fr-CA"/>
        </w:rPr>
        <w:t>LIAÉ</w:t>
      </w:r>
      <w:r w:rsidRPr="00F8065C">
        <w:rPr>
          <w:lang w:val="fr-CA"/>
        </w:rPr>
        <w:t xml:space="preserve">? </w:t>
      </w:r>
    </w:p>
    <w:p w:rsidR="003D74EC" w:rsidRPr="00F8065C" w:rsidRDefault="003D74EC" w:rsidP="007B13C0">
      <w:pPr>
        <w:pStyle w:val="ParaNoNdepar-AltN"/>
        <w:rPr>
          <w:lang w:val="fr-CA"/>
        </w:rPr>
      </w:pPr>
      <w:r>
        <w:rPr>
          <w:lang w:val="fr-CA"/>
        </w:rPr>
        <w:t xml:space="preserve">Ayant conclu à l’applicabilité de la législation provinciale dans la mesure où elle n’entre pas en conflit avec la </w:t>
      </w:r>
      <w:r w:rsidRPr="00C32FDE">
        <w:rPr>
          <w:i/>
          <w:lang w:val="fr-CA"/>
        </w:rPr>
        <w:t>LIAÉ</w:t>
      </w:r>
      <w:r>
        <w:rPr>
          <w:lang w:val="fr-CA"/>
        </w:rPr>
        <w:t>, je passe à la deuxième question, à savoir si la Politique entre en conflit avec la définition du terme «</w:t>
      </w:r>
      <w:r w:rsidR="007B13C0">
        <w:rPr>
          <w:lang w:val="fr-CA"/>
        </w:rPr>
        <w:t xml:space="preserve"> </w:t>
      </w:r>
      <w:r>
        <w:rPr>
          <w:lang w:val="fr-CA"/>
        </w:rPr>
        <w:t>accident</w:t>
      </w:r>
      <w:r w:rsidR="007B13C0">
        <w:rPr>
          <w:lang w:val="fr-CA"/>
        </w:rPr>
        <w:t xml:space="preserve"> </w:t>
      </w:r>
      <w:r>
        <w:rPr>
          <w:lang w:val="fr-CA"/>
        </w:rPr>
        <w:t>» énoncée à l’art.</w:t>
      </w:r>
      <w:r w:rsidR="007B13C0">
        <w:rPr>
          <w:lang w:val="fr-CA"/>
        </w:rPr>
        <w:t xml:space="preserve"> </w:t>
      </w:r>
      <w:r>
        <w:rPr>
          <w:lang w:val="fr-CA"/>
        </w:rPr>
        <w:t xml:space="preserve">2 de la </w:t>
      </w:r>
      <w:r w:rsidRPr="00C32FDE">
        <w:rPr>
          <w:i/>
          <w:lang w:val="fr-CA"/>
        </w:rPr>
        <w:t>LIAÉ</w:t>
      </w:r>
      <w:r w:rsidRPr="00F8065C">
        <w:rPr>
          <w:lang w:val="fr-CA"/>
        </w:rPr>
        <w:t xml:space="preserve">. </w:t>
      </w:r>
      <w:r>
        <w:rPr>
          <w:lang w:val="fr-CA"/>
        </w:rPr>
        <w:t xml:space="preserve"> Plus précisément, il faut se demander si la décision de la Commission d’appliquer les critères énumérés à la Politique pour déterminer si le stress chronique résultait d’un accident survenu par le fait ou à l’occasion du travail était raisonnable.  </w:t>
      </w:r>
      <w:r w:rsidR="007B13C0">
        <w:rPr>
          <w:lang w:val="fr-CA"/>
        </w:rPr>
        <w:t>Ou encore, la Politique entrait-</w:t>
      </w:r>
      <w:r>
        <w:rPr>
          <w:lang w:val="fr-CA"/>
        </w:rPr>
        <w:t xml:space="preserve">elle forcément en conflit avec la </w:t>
      </w:r>
      <w:r w:rsidRPr="003F589D">
        <w:rPr>
          <w:i/>
          <w:lang w:val="fr-CA"/>
        </w:rPr>
        <w:t>LIAÉ</w:t>
      </w:r>
      <w:r>
        <w:rPr>
          <w:lang w:val="fr-CA"/>
        </w:rPr>
        <w:t>?</w:t>
      </w:r>
      <w:r w:rsidRPr="00F8065C">
        <w:rPr>
          <w:lang w:val="fr-CA"/>
        </w:rPr>
        <w:t xml:space="preserve">  </w:t>
      </w:r>
    </w:p>
    <w:p w:rsidR="003D74EC" w:rsidRPr="00F8065C" w:rsidRDefault="003D74EC" w:rsidP="007B13C0">
      <w:pPr>
        <w:pStyle w:val="Title3LevelTitre3Niveau"/>
        <w:keepNext w:val="0"/>
        <w:tabs>
          <w:tab w:val="clear" w:pos="1080"/>
          <w:tab w:val="num" w:pos="1701"/>
        </w:tabs>
        <w:ind w:left="1701"/>
        <w:rPr>
          <w:lang w:val="fr-CA"/>
        </w:rPr>
      </w:pPr>
      <w:r>
        <w:rPr>
          <w:lang w:val="fr-CA"/>
        </w:rPr>
        <w:t>Arguments des parties</w:t>
      </w:r>
    </w:p>
    <w:p w:rsidR="003D74EC" w:rsidRPr="00F8065C" w:rsidRDefault="003D74EC" w:rsidP="007B13C0">
      <w:pPr>
        <w:pStyle w:val="ParaNoNdepar-AltN"/>
        <w:rPr>
          <w:lang w:val="fr-CA"/>
        </w:rPr>
      </w:pPr>
      <w:r>
        <w:rPr>
          <w:lang w:val="fr-CA"/>
        </w:rPr>
        <w:lastRenderedPageBreak/>
        <w:t>L’appelant soutient que la définition</w:t>
      </w:r>
      <w:r w:rsidRPr="00631F17">
        <w:rPr>
          <w:lang w:val="fr-CA"/>
        </w:rPr>
        <w:t xml:space="preserve"> </w:t>
      </w:r>
      <w:r>
        <w:rPr>
          <w:lang w:val="fr-CA"/>
        </w:rPr>
        <w:t>large et extensive du terme «</w:t>
      </w:r>
      <w:r w:rsidR="007B13C0">
        <w:rPr>
          <w:lang w:val="fr-CA"/>
        </w:rPr>
        <w:t xml:space="preserve"> </w:t>
      </w:r>
      <w:r>
        <w:rPr>
          <w:lang w:val="fr-CA"/>
        </w:rPr>
        <w:t>accident</w:t>
      </w:r>
      <w:r w:rsidR="007B13C0">
        <w:rPr>
          <w:lang w:val="fr-CA"/>
        </w:rPr>
        <w:t xml:space="preserve"> </w:t>
      </w:r>
      <w:r>
        <w:rPr>
          <w:lang w:val="fr-CA"/>
        </w:rPr>
        <w:t xml:space="preserve">» prévue dans la </w:t>
      </w:r>
      <w:r w:rsidRPr="00631F17">
        <w:rPr>
          <w:i/>
          <w:lang w:val="fr-CA"/>
        </w:rPr>
        <w:t>LIAÉ</w:t>
      </w:r>
      <w:r>
        <w:rPr>
          <w:lang w:val="fr-CA"/>
        </w:rPr>
        <w:t xml:space="preserve"> ne saurait être limitée par une loi ou une politique provinciale.  Assortir l’interprétation du terme «</w:t>
      </w:r>
      <w:r w:rsidR="007B13C0">
        <w:rPr>
          <w:lang w:val="fr-CA"/>
        </w:rPr>
        <w:t xml:space="preserve"> </w:t>
      </w:r>
      <w:r>
        <w:rPr>
          <w:lang w:val="fr-CA"/>
        </w:rPr>
        <w:t>accident</w:t>
      </w:r>
      <w:r w:rsidR="007B13C0">
        <w:rPr>
          <w:lang w:val="fr-CA"/>
        </w:rPr>
        <w:t xml:space="preserve"> </w:t>
      </w:r>
      <w:r>
        <w:rPr>
          <w:lang w:val="fr-CA"/>
        </w:rPr>
        <w:t xml:space="preserve">» d’une exigence relative à l’existence d’événements </w:t>
      </w:r>
      <w:r w:rsidRPr="0026299A">
        <w:rPr>
          <w:lang w:val="fr-CA"/>
        </w:rPr>
        <w:t>excessifs ou inusités</w:t>
      </w:r>
      <w:r>
        <w:rPr>
          <w:lang w:val="fr-CA"/>
        </w:rPr>
        <w:t xml:space="preserve"> liés au travail va à l’encontre de la définition large qui figure à la </w:t>
      </w:r>
      <w:r w:rsidRPr="00E023F4">
        <w:rPr>
          <w:i/>
          <w:lang w:val="fr-CA"/>
        </w:rPr>
        <w:t>LIAÉ</w:t>
      </w:r>
      <w:r>
        <w:rPr>
          <w:lang w:val="fr-CA"/>
        </w:rPr>
        <w:t>.  La Politique impose une exigence déraisonnable et inéquitable en matière de causalité plus stricte pour les personnes ayant des atteintes psychologiques</w:t>
      </w:r>
      <w:r w:rsidRPr="0026299A">
        <w:rPr>
          <w:lang w:val="fr-CA"/>
        </w:rPr>
        <w:t xml:space="preserve"> </w:t>
      </w:r>
      <w:r>
        <w:rPr>
          <w:lang w:val="fr-CA"/>
        </w:rPr>
        <w:t xml:space="preserve">que pour celles dont les atteintes sont physiques. </w:t>
      </w:r>
    </w:p>
    <w:p w:rsidR="003D74EC" w:rsidRPr="00120EFB" w:rsidRDefault="003D74EC" w:rsidP="007B13C0">
      <w:pPr>
        <w:pStyle w:val="ParaNoNdepar-AltN"/>
        <w:rPr>
          <w:lang w:val="fr-CA"/>
        </w:rPr>
      </w:pPr>
      <w:r>
        <w:rPr>
          <w:lang w:val="fr-CA"/>
        </w:rPr>
        <w:t>Selon le WCB, intimé en l’espèce, la Politique ne modifie pas la définition du terme «</w:t>
      </w:r>
      <w:r w:rsidR="007B13C0">
        <w:rPr>
          <w:lang w:val="fr-CA"/>
        </w:rPr>
        <w:t xml:space="preserve"> </w:t>
      </w:r>
      <w:r>
        <w:rPr>
          <w:lang w:val="fr-CA"/>
        </w:rPr>
        <w:t>accident</w:t>
      </w:r>
      <w:r w:rsidR="007B13C0">
        <w:rPr>
          <w:lang w:val="fr-CA"/>
        </w:rPr>
        <w:t xml:space="preserve"> </w:t>
      </w:r>
      <w:r>
        <w:rPr>
          <w:lang w:val="fr-CA"/>
        </w:rPr>
        <w:t xml:space="preserve">» énoncée à la </w:t>
      </w:r>
      <w:r w:rsidRPr="00CC0BB8">
        <w:rPr>
          <w:i/>
          <w:lang w:val="fr-CA"/>
        </w:rPr>
        <w:t>LIAÉ</w:t>
      </w:r>
      <w:r>
        <w:rPr>
          <w:lang w:val="fr-CA"/>
        </w:rPr>
        <w:t xml:space="preserve">, pas plus qu’elle ne l’assortit de critères supplémentaires.  Elle balise plutôt l’appréciation permettant de déterminer si un accident au sens de la </w:t>
      </w:r>
      <w:r w:rsidRPr="005F40F8">
        <w:rPr>
          <w:i/>
          <w:lang w:val="fr-CA"/>
        </w:rPr>
        <w:t>WCA</w:t>
      </w:r>
      <w:r>
        <w:rPr>
          <w:lang w:val="fr-CA"/>
        </w:rPr>
        <w:t xml:space="preserve"> et de la </w:t>
      </w:r>
      <w:r w:rsidRPr="005F40F8">
        <w:rPr>
          <w:i/>
          <w:lang w:val="fr-CA"/>
        </w:rPr>
        <w:t>LIAÉ</w:t>
      </w:r>
      <w:r>
        <w:rPr>
          <w:lang w:val="fr-CA"/>
        </w:rPr>
        <w:t xml:space="preserve"> est survenu et, dans l’affirmative, </w:t>
      </w:r>
      <w:r w:rsidRPr="00120EFB">
        <w:rPr>
          <w:lang w:val="fr-CA"/>
        </w:rPr>
        <w:t xml:space="preserve">s’il est survenu par le fait ou à l’occasion du travail.  </w:t>
      </w:r>
    </w:p>
    <w:p w:rsidR="003D74EC" w:rsidRPr="00F8065C" w:rsidRDefault="003D74EC" w:rsidP="007B13C0">
      <w:pPr>
        <w:pStyle w:val="ParaNoNdepar-AltN"/>
        <w:rPr>
          <w:lang w:val="fr-CA"/>
        </w:rPr>
      </w:pPr>
      <w:r>
        <w:rPr>
          <w:lang w:val="fr-CA"/>
        </w:rPr>
        <w:t>Le procureur général du Canada</w:t>
      </w:r>
      <w:r w:rsidRPr="00120EFB">
        <w:rPr>
          <w:lang w:val="fr-CA"/>
        </w:rPr>
        <w:t>, intimé en l’espèce,</w:t>
      </w:r>
      <w:r>
        <w:rPr>
          <w:lang w:val="fr-CA"/>
        </w:rPr>
        <w:t xml:space="preserve"> soutient que le législateur a laissé une grande latitude aux provinces pour déterminer dans quelles circonstances précises un travailleur blessé pourra être indemnisé et les facteurs entrant en ligne de compte. </w:t>
      </w:r>
    </w:p>
    <w:p w:rsidR="003D74EC" w:rsidRPr="00F8065C" w:rsidRDefault="003D74EC" w:rsidP="007B13C0">
      <w:pPr>
        <w:pStyle w:val="Title3LevelTitre3Niveau"/>
        <w:keepNext w:val="0"/>
        <w:tabs>
          <w:tab w:val="clear" w:pos="1080"/>
        </w:tabs>
        <w:ind w:left="1560"/>
        <w:rPr>
          <w:lang w:val="fr-CA"/>
        </w:rPr>
      </w:pPr>
      <w:r w:rsidRPr="00F8065C">
        <w:rPr>
          <w:lang w:val="fr-CA"/>
        </w:rPr>
        <w:t>Analys</w:t>
      </w:r>
      <w:r>
        <w:rPr>
          <w:lang w:val="fr-CA"/>
        </w:rPr>
        <w:t>e</w:t>
      </w:r>
    </w:p>
    <w:p w:rsidR="003D74EC" w:rsidRPr="00F8065C" w:rsidRDefault="003D74EC" w:rsidP="007B13C0">
      <w:pPr>
        <w:pStyle w:val="Title4LevelTitre4Niveau"/>
        <w:keepNext w:val="0"/>
        <w:tabs>
          <w:tab w:val="clear" w:pos="1080"/>
        </w:tabs>
        <w:ind w:left="1560"/>
        <w:rPr>
          <w:lang w:val="fr-CA"/>
        </w:rPr>
      </w:pPr>
      <w:r>
        <w:rPr>
          <w:lang w:val="fr-CA"/>
        </w:rPr>
        <w:t xml:space="preserve">Le </w:t>
      </w:r>
      <w:r w:rsidRPr="00C120CB">
        <w:rPr>
          <w:lang w:val="fr-CA"/>
        </w:rPr>
        <w:t>rapport</w:t>
      </w:r>
      <w:r>
        <w:rPr>
          <w:lang w:val="fr-CA"/>
        </w:rPr>
        <w:t xml:space="preserve"> entre la </w:t>
      </w:r>
      <w:r w:rsidRPr="00AE4A86">
        <w:rPr>
          <w:lang w:val="fr-CA"/>
        </w:rPr>
        <w:t>LIAÉ</w:t>
      </w:r>
      <w:r w:rsidRPr="00F8065C">
        <w:rPr>
          <w:lang w:val="fr-CA"/>
        </w:rPr>
        <w:t xml:space="preserve"> </w:t>
      </w:r>
      <w:r>
        <w:rPr>
          <w:lang w:val="fr-CA"/>
        </w:rPr>
        <w:t xml:space="preserve">et la </w:t>
      </w:r>
      <w:r w:rsidRPr="00AE4A86">
        <w:rPr>
          <w:lang w:val="fr-CA"/>
        </w:rPr>
        <w:t>WCA</w:t>
      </w:r>
    </w:p>
    <w:p w:rsidR="003D74EC" w:rsidRPr="00F8065C" w:rsidRDefault="003D74EC" w:rsidP="007B13C0">
      <w:pPr>
        <w:pStyle w:val="ParaNoNdepar-AltN"/>
        <w:rPr>
          <w:lang w:val="fr-CA"/>
        </w:rPr>
      </w:pPr>
      <w:r>
        <w:rPr>
          <w:lang w:val="fr-CA"/>
        </w:rPr>
        <w:lastRenderedPageBreak/>
        <w:t>Même si, déjà en 1931 (S.C. 1931, ch.</w:t>
      </w:r>
      <w:r w:rsidR="007B13C0">
        <w:rPr>
          <w:lang w:val="fr-CA"/>
        </w:rPr>
        <w:t xml:space="preserve"> </w:t>
      </w:r>
      <w:r>
        <w:rPr>
          <w:lang w:val="fr-CA"/>
        </w:rPr>
        <w:t>9, art.</w:t>
      </w:r>
      <w:r w:rsidR="007B13C0">
        <w:rPr>
          <w:lang w:val="fr-CA"/>
        </w:rPr>
        <w:t xml:space="preserve"> </w:t>
      </w:r>
      <w:r>
        <w:rPr>
          <w:lang w:val="fr-CA"/>
        </w:rPr>
        <w:t>2), l’exigence suivant laquelle l’employé devait être blessé par un «</w:t>
      </w:r>
      <w:r w:rsidR="007B13C0">
        <w:rPr>
          <w:lang w:val="fr-CA"/>
        </w:rPr>
        <w:t xml:space="preserve"> </w:t>
      </w:r>
      <w:r w:rsidRPr="00F8065C">
        <w:rPr>
          <w:lang w:val="fr-CA"/>
        </w:rPr>
        <w:t xml:space="preserve">accident </w:t>
      </w:r>
      <w:r>
        <w:rPr>
          <w:lang w:val="fr-CA"/>
        </w:rPr>
        <w:t>provenant et dans le cours de son emploi</w:t>
      </w:r>
      <w:r w:rsidR="007B13C0">
        <w:rPr>
          <w:lang w:val="fr-CA"/>
        </w:rPr>
        <w:t xml:space="preserve"> </w:t>
      </w:r>
      <w:r>
        <w:rPr>
          <w:lang w:val="fr-CA"/>
        </w:rPr>
        <w:t xml:space="preserve">» figurait dans la  </w:t>
      </w:r>
      <w:r w:rsidRPr="00AE4A86">
        <w:rPr>
          <w:i/>
          <w:lang w:val="fr-CA"/>
        </w:rPr>
        <w:t>LIAÉ</w:t>
      </w:r>
      <w:r>
        <w:rPr>
          <w:lang w:val="fr-CA"/>
        </w:rPr>
        <w:t xml:space="preserve">, ce n’est qu’en </w:t>
      </w:r>
      <w:r w:rsidRPr="00F8065C">
        <w:rPr>
          <w:lang w:val="fr-CA"/>
        </w:rPr>
        <w:t>1947</w:t>
      </w:r>
      <w:r>
        <w:rPr>
          <w:lang w:val="fr-CA"/>
        </w:rPr>
        <w:t xml:space="preserve"> que le terme «</w:t>
      </w:r>
      <w:r w:rsidR="007B13C0">
        <w:rPr>
          <w:lang w:val="fr-CA"/>
        </w:rPr>
        <w:t xml:space="preserve"> </w:t>
      </w:r>
      <w:r>
        <w:rPr>
          <w:lang w:val="fr-CA"/>
        </w:rPr>
        <w:t>accident</w:t>
      </w:r>
      <w:r w:rsidR="007B13C0">
        <w:rPr>
          <w:lang w:val="fr-CA"/>
        </w:rPr>
        <w:t xml:space="preserve"> </w:t>
      </w:r>
      <w:r>
        <w:rPr>
          <w:lang w:val="fr-CA"/>
        </w:rPr>
        <w:t>» y a été défini</w:t>
      </w:r>
      <w:r w:rsidRPr="00F8065C">
        <w:rPr>
          <w:lang w:val="fr-CA"/>
        </w:rPr>
        <w:t>.</w:t>
      </w:r>
    </w:p>
    <w:p w:rsidR="003D74EC" w:rsidRPr="00F8065C" w:rsidRDefault="003D74EC" w:rsidP="007B13C0">
      <w:pPr>
        <w:pStyle w:val="ParaNoNdepar-AltN"/>
        <w:rPr>
          <w:lang w:val="fr-CA"/>
        </w:rPr>
      </w:pPr>
      <w:r>
        <w:rPr>
          <w:lang w:val="fr-CA"/>
        </w:rPr>
        <w:t>La définition du terme «</w:t>
      </w:r>
      <w:r w:rsidR="007B13C0">
        <w:rPr>
          <w:lang w:val="fr-CA"/>
        </w:rPr>
        <w:t xml:space="preserve"> </w:t>
      </w:r>
      <w:r>
        <w:rPr>
          <w:lang w:val="fr-CA"/>
        </w:rPr>
        <w:t>accident</w:t>
      </w:r>
      <w:r w:rsidR="007B13C0">
        <w:rPr>
          <w:lang w:val="fr-CA"/>
        </w:rPr>
        <w:t xml:space="preserve"> </w:t>
      </w:r>
      <w:r>
        <w:rPr>
          <w:lang w:val="fr-CA"/>
        </w:rPr>
        <w:t xml:space="preserve">» formulée par le législateur albertain ressemble essentiellement à celle qui figure dans la </w:t>
      </w:r>
      <w:r w:rsidRPr="00F83708">
        <w:rPr>
          <w:i/>
          <w:lang w:val="fr-CA"/>
        </w:rPr>
        <w:t>LIAÉ</w:t>
      </w:r>
      <w:r w:rsidRPr="00F8065C">
        <w:rPr>
          <w:lang w:val="fr-CA"/>
        </w:rPr>
        <w:t xml:space="preserve">. </w:t>
      </w:r>
      <w:r>
        <w:rPr>
          <w:lang w:val="fr-CA"/>
        </w:rPr>
        <w:t xml:space="preserve"> Les deux lois</w:t>
      </w:r>
      <w:r w:rsidRPr="00F8065C">
        <w:rPr>
          <w:lang w:val="fr-CA"/>
        </w:rPr>
        <w:t xml:space="preserve"> </w:t>
      </w:r>
      <w:r>
        <w:rPr>
          <w:lang w:val="fr-CA"/>
        </w:rPr>
        <w:t xml:space="preserve">s’appliquent aux accidents </w:t>
      </w:r>
      <w:r w:rsidRPr="000D3577">
        <w:rPr>
          <w:lang w:val="fr-CA"/>
        </w:rPr>
        <w:t>survenu</w:t>
      </w:r>
      <w:r>
        <w:rPr>
          <w:lang w:val="fr-CA"/>
        </w:rPr>
        <w:t>s</w:t>
      </w:r>
      <w:r w:rsidRPr="000D3577">
        <w:rPr>
          <w:lang w:val="fr-CA"/>
        </w:rPr>
        <w:t xml:space="preserve"> </w:t>
      </w:r>
      <w:r>
        <w:rPr>
          <w:lang w:val="fr-CA"/>
        </w:rPr>
        <w:t>par le</w:t>
      </w:r>
      <w:r w:rsidRPr="000D3577">
        <w:rPr>
          <w:lang w:val="fr-CA"/>
        </w:rPr>
        <w:t xml:space="preserve"> fait ou à l</w:t>
      </w:r>
      <w:r>
        <w:rPr>
          <w:lang w:val="fr-CA"/>
        </w:rPr>
        <w:t>’</w:t>
      </w:r>
      <w:r w:rsidRPr="000D3577">
        <w:rPr>
          <w:lang w:val="fr-CA"/>
        </w:rPr>
        <w:t>occasion d</w:t>
      </w:r>
      <w:r>
        <w:rPr>
          <w:lang w:val="fr-CA"/>
        </w:rPr>
        <w:t>u travail</w:t>
      </w:r>
      <w:r w:rsidRPr="00F8065C">
        <w:rPr>
          <w:lang w:val="fr-CA"/>
        </w:rPr>
        <w:t xml:space="preserve"> (</w:t>
      </w:r>
      <w:r>
        <w:rPr>
          <w:lang w:val="fr-CA"/>
        </w:rPr>
        <w:t>voir le par.</w:t>
      </w:r>
      <w:r w:rsidR="007B13C0">
        <w:rPr>
          <w:lang w:val="fr-CA"/>
        </w:rPr>
        <w:t xml:space="preserve"> </w:t>
      </w:r>
      <w:r w:rsidRPr="00F8065C">
        <w:rPr>
          <w:lang w:val="fr-CA"/>
        </w:rPr>
        <w:t xml:space="preserve">4(1) </w:t>
      </w:r>
      <w:r>
        <w:rPr>
          <w:lang w:val="fr-CA"/>
        </w:rPr>
        <w:t xml:space="preserve">de la </w:t>
      </w:r>
      <w:r w:rsidRPr="00F83708">
        <w:rPr>
          <w:i/>
          <w:lang w:val="fr-CA"/>
        </w:rPr>
        <w:t>LIAÉ</w:t>
      </w:r>
      <w:r w:rsidRPr="00F8065C">
        <w:rPr>
          <w:i/>
          <w:lang w:val="fr-CA"/>
        </w:rPr>
        <w:t xml:space="preserve"> </w:t>
      </w:r>
      <w:r>
        <w:rPr>
          <w:lang w:val="fr-CA"/>
        </w:rPr>
        <w:t>et la défini</w:t>
      </w:r>
      <w:r w:rsidR="00C263F1">
        <w:rPr>
          <w:lang w:val="fr-CA"/>
        </w:rPr>
        <w:t>tion d’</w:t>
      </w:r>
      <w:r>
        <w:rPr>
          <w:lang w:val="fr-CA"/>
        </w:rPr>
        <w:t>«</w:t>
      </w:r>
      <w:r w:rsidR="007B13C0">
        <w:rPr>
          <w:lang w:val="fr-CA"/>
        </w:rPr>
        <w:t xml:space="preserve"> </w:t>
      </w:r>
      <w:r>
        <w:rPr>
          <w:lang w:val="fr-CA"/>
        </w:rPr>
        <w:t>accident</w:t>
      </w:r>
      <w:r w:rsidR="007B13C0">
        <w:rPr>
          <w:lang w:val="fr-CA"/>
        </w:rPr>
        <w:t xml:space="preserve"> </w:t>
      </w:r>
      <w:r>
        <w:rPr>
          <w:lang w:val="fr-CA"/>
        </w:rPr>
        <w:t>» au par.</w:t>
      </w:r>
      <w:r w:rsidR="007B13C0">
        <w:rPr>
          <w:lang w:val="fr-CA"/>
        </w:rPr>
        <w:t xml:space="preserve"> </w:t>
      </w:r>
      <w:r w:rsidRPr="00F8065C">
        <w:rPr>
          <w:lang w:val="fr-CA"/>
        </w:rPr>
        <w:t xml:space="preserve">1(1) </w:t>
      </w:r>
      <w:r>
        <w:rPr>
          <w:lang w:val="fr-CA"/>
        </w:rPr>
        <w:t xml:space="preserve">de la </w:t>
      </w:r>
      <w:r w:rsidRPr="00F83708">
        <w:rPr>
          <w:i/>
          <w:lang w:val="fr-CA"/>
        </w:rPr>
        <w:t>WCA</w:t>
      </w:r>
      <w:r w:rsidRPr="00F8065C">
        <w:rPr>
          <w:lang w:val="fr-CA"/>
        </w:rPr>
        <w:t>)</w:t>
      </w:r>
      <w:r>
        <w:rPr>
          <w:lang w:val="fr-CA"/>
        </w:rPr>
        <w:t xml:space="preserve"> et, dans les deux cas, il s’entend notamment d’</w:t>
      </w:r>
      <w:r w:rsidRPr="000D3577">
        <w:rPr>
          <w:lang w:val="fr-CA"/>
        </w:rPr>
        <w:t xml:space="preserve">un </w:t>
      </w:r>
      <w:r>
        <w:rPr>
          <w:lang w:val="fr-CA"/>
        </w:rPr>
        <w:t>«</w:t>
      </w:r>
      <w:r w:rsidR="007B13C0">
        <w:rPr>
          <w:lang w:val="fr-CA"/>
        </w:rPr>
        <w:t xml:space="preserve"> </w:t>
      </w:r>
      <w:r w:rsidRPr="000D3577">
        <w:rPr>
          <w:lang w:val="fr-CA"/>
        </w:rPr>
        <w:t>acte délibéré</w:t>
      </w:r>
      <w:r w:rsidR="007B13C0">
        <w:rPr>
          <w:lang w:val="fr-CA"/>
        </w:rPr>
        <w:t xml:space="preserve"> </w:t>
      </w:r>
      <w:r>
        <w:rPr>
          <w:lang w:val="fr-CA"/>
        </w:rPr>
        <w:t>»</w:t>
      </w:r>
      <w:r w:rsidRPr="000D3577">
        <w:rPr>
          <w:lang w:val="fr-CA"/>
        </w:rPr>
        <w:t xml:space="preserve"> accompli par</w:t>
      </w:r>
      <w:r>
        <w:rPr>
          <w:lang w:val="fr-CA"/>
        </w:rPr>
        <w:t xml:space="preserve"> </w:t>
      </w:r>
      <w:r w:rsidRPr="000D3577">
        <w:rPr>
          <w:lang w:val="fr-CA"/>
        </w:rPr>
        <w:t>une autre personne</w:t>
      </w:r>
      <w:r>
        <w:rPr>
          <w:lang w:val="fr-CA"/>
        </w:rPr>
        <w:t xml:space="preserve"> que le demandeur et d’un «</w:t>
      </w:r>
      <w:r w:rsidR="007B13C0">
        <w:rPr>
          <w:lang w:val="fr-CA"/>
        </w:rPr>
        <w:t xml:space="preserve"> </w:t>
      </w:r>
      <w:r>
        <w:rPr>
          <w:lang w:val="fr-CA"/>
        </w:rPr>
        <w:t xml:space="preserve">événement fortuit </w:t>
      </w:r>
      <w:r w:rsidRPr="000D3577">
        <w:rPr>
          <w:lang w:val="fr-CA"/>
        </w:rPr>
        <w:t>ayant une cause</w:t>
      </w:r>
      <w:r>
        <w:rPr>
          <w:lang w:val="fr-CA"/>
        </w:rPr>
        <w:t xml:space="preserve"> </w:t>
      </w:r>
      <w:r w:rsidRPr="000D3577">
        <w:rPr>
          <w:lang w:val="fr-CA"/>
        </w:rPr>
        <w:t>physique ou naturelle</w:t>
      </w:r>
      <w:r w:rsidR="007B13C0">
        <w:rPr>
          <w:lang w:val="fr-CA"/>
        </w:rPr>
        <w:t xml:space="preserve"> </w:t>
      </w:r>
      <w:r>
        <w:rPr>
          <w:lang w:val="fr-CA"/>
        </w:rPr>
        <w:t>» (</w:t>
      </w:r>
      <w:r w:rsidRPr="00120EFB">
        <w:rPr>
          <w:lang w:val="fr-CA"/>
        </w:rPr>
        <w:t>voir les définitions d</w:t>
      </w:r>
      <w:r w:rsidR="009E7895">
        <w:rPr>
          <w:lang w:val="fr-CA"/>
        </w:rPr>
        <w:t xml:space="preserve">u mot </w:t>
      </w:r>
      <w:r w:rsidRPr="00120EFB">
        <w:rPr>
          <w:lang w:val="fr-CA"/>
        </w:rPr>
        <w:t>«</w:t>
      </w:r>
      <w:r w:rsidR="007B13C0">
        <w:rPr>
          <w:lang w:val="fr-CA"/>
        </w:rPr>
        <w:t xml:space="preserve"> </w:t>
      </w:r>
      <w:r w:rsidRPr="00120EFB">
        <w:rPr>
          <w:lang w:val="fr-CA"/>
        </w:rPr>
        <w:t>accident</w:t>
      </w:r>
      <w:r w:rsidR="007B13C0">
        <w:rPr>
          <w:lang w:val="fr-CA"/>
        </w:rPr>
        <w:t xml:space="preserve"> </w:t>
      </w:r>
      <w:r w:rsidRPr="00120EFB">
        <w:rPr>
          <w:lang w:val="fr-CA"/>
        </w:rPr>
        <w:t>» à l’</w:t>
      </w:r>
      <w:r>
        <w:rPr>
          <w:lang w:val="fr-CA"/>
        </w:rPr>
        <w:t>art.</w:t>
      </w:r>
      <w:r w:rsidR="007B13C0">
        <w:rPr>
          <w:lang w:val="fr-CA"/>
        </w:rPr>
        <w:t xml:space="preserve"> </w:t>
      </w:r>
      <w:r w:rsidRPr="00120EFB">
        <w:rPr>
          <w:lang w:val="fr-CA"/>
        </w:rPr>
        <w:t xml:space="preserve">2 de la </w:t>
      </w:r>
      <w:r w:rsidRPr="00120EFB">
        <w:rPr>
          <w:i/>
          <w:lang w:val="fr-CA"/>
        </w:rPr>
        <w:t>LIAÉ</w:t>
      </w:r>
      <w:r w:rsidRPr="00120EFB">
        <w:rPr>
          <w:lang w:val="fr-CA"/>
        </w:rPr>
        <w:t xml:space="preserve"> et au </w:t>
      </w:r>
      <w:r>
        <w:rPr>
          <w:lang w:val="fr-CA"/>
        </w:rPr>
        <w:t>par.</w:t>
      </w:r>
      <w:r w:rsidR="007B13C0">
        <w:rPr>
          <w:lang w:val="fr-CA"/>
        </w:rPr>
        <w:t xml:space="preserve"> </w:t>
      </w:r>
      <w:r w:rsidRPr="00120EFB">
        <w:rPr>
          <w:lang w:val="fr-CA"/>
        </w:rPr>
        <w:t xml:space="preserve">1(1) de la </w:t>
      </w:r>
      <w:r w:rsidRPr="00120EFB">
        <w:rPr>
          <w:i/>
          <w:lang w:val="fr-CA"/>
        </w:rPr>
        <w:t>WCA</w:t>
      </w:r>
      <w:r>
        <w:rPr>
          <w:lang w:val="fr-CA"/>
        </w:rPr>
        <w:t>)</w:t>
      </w:r>
      <w:r w:rsidRPr="00F8065C">
        <w:rPr>
          <w:lang w:val="fr-CA"/>
        </w:rPr>
        <w:t xml:space="preserve">.  </w:t>
      </w:r>
    </w:p>
    <w:p w:rsidR="003D74EC" w:rsidRPr="00F8065C" w:rsidRDefault="003D74EC" w:rsidP="007B13C0">
      <w:pPr>
        <w:pStyle w:val="ParaNoNdepar-AltN"/>
        <w:rPr>
          <w:lang w:val="fr-CA"/>
        </w:rPr>
      </w:pPr>
      <w:r>
        <w:rPr>
          <w:lang w:val="fr-CA"/>
        </w:rPr>
        <w:t xml:space="preserve">La </w:t>
      </w:r>
      <w:r w:rsidRPr="0097678D">
        <w:rPr>
          <w:i/>
          <w:lang w:val="fr-CA"/>
        </w:rPr>
        <w:t>WCA</w:t>
      </w:r>
      <w:r>
        <w:rPr>
          <w:lang w:val="fr-CA"/>
        </w:rPr>
        <w:t xml:space="preserve"> de l’Alberta, comme toutes les autres lois provinciales sur l’indemnisation des accidents du travail, pourvoit au règlement uniforme des demandes d’indemnisation par l’application de politiques</w:t>
      </w:r>
      <w:r w:rsidRPr="00D16B85">
        <w:rPr>
          <w:rStyle w:val="Hyperlink"/>
          <w:u w:val="none"/>
          <w:vertAlign w:val="superscript"/>
        </w:rPr>
        <w:footnoteReference w:id="5"/>
      </w:r>
      <w:r>
        <w:rPr>
          <w:lang w:val="fr-CA"/>
        </w:rPr>
        <w:t>.  Elle énonce, à l’al.</w:t>
      </w:r>
      <w:r w:rsidR="007B13C0">
        <w:rPr>
          <w:lang w:val="fr-CA"/>
        </w:rPr>
        <w:t xml:space="preserve"> </w:t>
      </w:r>
      <w:r>
        <w:rPr>
          <w:lang w:val="fr-CA"/>
        </w:rPr>
        <w:t>13.2(6)(b), que la Commission d’appel [</w:t>
      </w:r>
      <w:r w:rsidRPr="00F06B1B">
        <w:rPr>
          <w:smallCaps/>
          <w:lang w:val="fr-CA"/>
        </w:rPr>
        <w:t>traduction</w:t>
      </w:r>
      <w:r>
        <w:rPr>
          <w:lang w:val="fr-CA"/>
        </w:rPr>
        <w:t>] «</w:t>
      </w:r>
      <w:r w:rsidR="007B13C0">
        <w:rPr>
          <w:lang w:val="fr-CA"/>
        </w:rPr>
        <w:t xml:space="preserve"> </w:t>
      </w:r>
      <w:r>
        <w:rPr>
          <w:lang w:val="fr-CA"/>
        </w:rPr>
        <w:t xml:space="preserve">est liée par les politiques du </w:t>
      </w:r>
      <w:r>
        <w:rPr>
          <w:lang w:val="fr-CA"/>
        </w:rPr>
        <w:lastRenderedPageBreak/>
        <w:t>conseil d’administration se rapportant à la question faisant l’objet de l’appel</w:t>
      </w:r>
      <w:r w:rsidR="007B13C0">
        <w:rPr>
          <w:lang w:val="fr-CA"/>
        </w:rPr>
        <w:t xml:space="preserve"> </w:t>
      </w:r>
      <w:r>
        <w:rPr>
          <w:lang w:val="fr-CA"/>
        </w:rPr>
        <w:t xml:space="preserve">».  En fait, les politiques albertaines régissent l’interprétation et l’application de la </w:t>
      </w:r>
      <w:r w:rsidRPr="00C51F6E">
        <w:rPr>
          <w:i/>
          <w:lang w:val="fr-CA"/>
        </w:rPr>
        <w:t>WCA</w:t>
      </w:r>
      <w:r>
        <w:rPr>
          <w:lang w:val="fr-CA"/>
        </w:rPr>
        <w:t>.</w:t>
      </w:r>
      <w:r w:rsidRPr="00F8065C">
        <w:rPr>
          <w:lang w:val="fr-CA"/>
        </w:rPr>
        <w:t xml:space="preserve"> </w:t>
      </w:r>
    </w:p>
    <w:p w:rsidR="003D74EC" w:rsidRPr="00F8065C" w:rsidRDefault="003D74EC" w:rsidP="007B13C0">
      <w:pPr>
        <w:pStyle w:val="Title4LevelTitre4Niveau"/>
        <w:keepNext w:val="0"/>
        <w:tabs>
          <w:tab w:val="clear" w:pos="432"/>
          <w:tab w:val="num" w:pos="993"/>
        </w:tabs>
        <w:ind w:left="1560"/>
        <w:rPr>
          <w:lang w:val="fr-CA"/>
        </w:rPr>
      </w:pPr>
      <w:r>
        <w:rPr>
          <w:lang w:val="fr-CA"/>
        </w:rPr>
        <w:t>La Politique en cause</w:t>
      </w:r>
    </w:p>
    <w:p w:rsidR="003D74EC" w:rsidRPr="00F8065C" w:rsidRDefault="003D74EC" w:rsidP="007B13C0">
      <w:pPr>
        <w:pStyle w:val="ParaNoNdepar-AltN"/>
        <w:rPr>
          <w:lang w:val="fr-CA"/>
        </w:rPr>
      </w:pPr>
      <w:r>
        <w:rPr>
          <w:lang w:val="fr-CA"/>
        </w:rPr>
        <w:t xml:space="preserve">Le </w:t>
      </w:r>
      <w:r w:rsidRPr="00F8065C">
        <w:rPr>
          <w:lang w:val="fr-CA"/>
        </w:rPr>
        <w:t xml:space="preserve">WCB </w:t>
      </w:r>
      <w:r>
        <w:rPr>
          <w:lang w:val="fr-CA"/>
        </w:rPr>
        <w:t xml:space="preserve">a adopté des politiques particulières pour encadrer le processus décisionnel applicable aux demandes fondées sur certains troubles médicaux.  La </w:t>
      </w:r>
      <w:r w:rsidRPr="007E6034">
        <w:rPr>
          <w:lang w:val="fr-CA"/>
        </w:rPr>
        <w:t>Politique</w:t>
      </w:r>
      <w:r w:rsidRPr="00F8065C">
        <w:rPr>
          <w:lang w:val="fr-CA"/>
        </w:rPr>
        <w:t xml:space="preserve"> </w:t>
      </w:r>
      <w:r>
        <w:rPr>
          <w:lang w:val="fr-CA"/>
        </w:rPr>
        <w:t xml:space="preserve">précise dans quelles circonstances une invalidité d’ordre psychiatrique ou psychologique donne ouverture à indemnisation.  Nul n’a soutenu que la Politique ne relève pas des pouvoirs conférés par la </w:t>
      </w:r>
      <w:r w:rsidRPr="00B27258">
        <w:rPr>
          <w:i/>
          <w:lang w:val="fr-CA"/>
        </w:rPr>
        <w:t>WCA</w:t>
      </w:r>
      <w:r>
        <w:rPr>
          <w:lang w:val="fr-CA"/>
        </w:rPr>
        <w:t>.  Elle précise ce qui constitue un «</w:t>
      </w:r>
      <w:r w:rsidR="007B13C0">
        <w:rPr>
          <w:lang w:val="fr-CA"/>
        </w:rPr>
        <w:t xml:space="preserve"> </w:t>
      </w:r>
      <w:r>
        <w:rPr>
          <w:lang w:val="fr-CA"/>
        </w:rPr>
        <w:t>accident</w:t>
      </w:r>
      <w:r w:rsidR="007B13C0">
        <w:rPr>
          <w:lang w:val="fr-CA"/>
        </w:rPr>
        <w:t xml:space="preserve"> </w:t>
      </w:r>
      <w:r>
        <w:rPr>
          <w:lang w:val="fr-CA"/>
        </w:rPr>
        <w:t>» dans le contexte d’une demande d’indemnisation pour stress chronique en énumérant quatre critères auxquels il doit être satisfait pour que le droit à l’indemnité soit reconnu</w:t>
      </w:r>
      <w:r w:rsidR="007B13C0">
        <w:rPr>
          <w:lang w:val="fr-CA"/>
        </w:rPr>
        <w:t xml:space="preserve"> </w:t>
      </w:r>
      <w:r>
        <w:rPr>
          <w:lang w:val="fr-CA"/>
        </w:rPr>
        <w:t>:</w:t>
      </w:r>
      <w:r w:rsidRPr="00F8065C">
        <w:rPr>
          <w:lang w:val="fr-CA"/>
        </w:rPr>
        <w:t xml:space="preserve">  </w:t>
      </w:r>
    </w:p>
    <w:p w:rsidR="003D74EC" w:rsidRDefault="003D74EC" w:rsidP="007B13C0">
      <w:pPr>
        <w:pStyle w:val="Citation-AltC"/>
        <w:spacing w:after="240"/>
        <w:ind w:left="1195" w:hanging="1195"/>
        <w:contextualSpacing w:val="0"/>
        <w:rPr>
          <w:lang w:val="fr-CA"/>
        </w:rPr>
      </w:pPr>
      <w:r>
        <w:rPr>
          <w:lang w:val="fr-CA"/>
        </w:rPr>
        <w:tab/>
        <w:t>[</w:t>
      </w:r>
      <w:r w:rsidRPr="00135D48">
        <w:rPr>
          <w:smallCaps/>
          <w:lang w:val="fr-CA"/>
        </w:rPr>
        <w:t>traduction</w:t>
      </w:r>
      <w:r>
        <w:rPr>
          <w:lang w:val="fr-CA"/>
        </w:rPr>
        <w:t>]</w:t>
      </w:r>
    </w:p>
    <w:p w:rsidR="003D74EC" w:rsidRPr="00376A93" w:rsidRDefault="003D74EC" w:rsidP="007B13C0">
      <w:pPr>
        <w:pStyle w:val="Citation-AltC"/>
        <w:spacing w:after="240"/>
        <w:ind w:left="1195" w:hanging="1195"/>
        <w:contextualSpacing w:val="0"/>
        <w:rPr>
          <w:i/>
          <w:lang w:val="fr-CA"/>
        </w:rPr>
      </w:pPr>
      <w:r>
        <w:rPr>
          <w:lang w:val="fr-CA"/>
        </w:rPr>
        <w:tab/>
      </w:r>
      <w:r w:rsidRPr="00B661DD">
        <w:rPr>
          <w:lang w:val="fr-CA"/>
        </w:rPr>
        <w:t>11.</w:t>
      </w:r>
      <w:r w:rsidRPr="00120EFB">
        <w:rPr>
          <w:i/>
          <w:lang w:val="fr-CA"/>
        </w:rPr>
        <w:t xml:space="preserve"> Dans quelles circonstances le WCB accepte</w:t>
      </w:r>
      <w:r w:rsidR="007B13C0">
        <w:rPr>
          <w:i/>
          <w:lang w:val="fr-CA"/>
        </w:rPr>
        <w:t>-</w:t>
      </w:r>
      <w:r w:rsidRPr="00120EFB">
        <w:rPr>
          <w:i/>
          <w:lang w:val="fr-CA"/>
        </w:rPr>
        <w:t>t</w:t>
      </w:r>
      <w:r w:rsidR="007B13C0">
        <w:rPr>
          <w:i/>
          <w:lang w:val="fr-CA"/>
        </w:rPr>
        <w:t>-</w:t>
      </w:r>
      <w:r w:rsidRPr="00120EFB">
        <w:rPr>
          <w:i/>
          <w:lang w:val="fr-CA"/>
        </w:rPr>
        <w:t>il les demandes d’indemnisation pour stress chronique?</w:t>
      </w:r>
    </w:p>
    <w:p w:rsidR="003D74EC" w:rsidRPr="00F8065C" w:rsidRDefault="003D74EC" w:rsidP="007B13C0">
      <w:pPr>
        <w:pStyle w:val="Citation-AltC"/>
        <w:spacing w:after="240"/>
        <w:ind w:left="1195" w:hanging="1195"/>
        <w:contextualSpacing w:val="0"/>
        <w:rPr>
          <w:lang w:val="fr-CA"/>
        </w:rPr>
      </w:pPr>
      <w:r w:rsidRPr="00C120CB">
        <w:rPr>
          <w:lang w:val="fr-CA"/>
        </w:rPr>
        <w:tab/>
      </w:r>
      <w:r>
        <w:rPr>
          <w:lang w:val="fr-CA"/>
        </w:rPr>
        <w:t xml:space="preserve">Comme il le fait à l’égard de toute demande, le </w:t>
      </w:r>
      <w:r w:rsidRPr="00F8065C">
        <w:rPr>
          <w:lang w:val="fr-CA"/>
        </w:rPr>
        <w:t xml:space="preserve">WCB </w:t>
      </w:r>
      <w:r>
        <w:rPr>
          <w:lang w:val="fr-CA"/>
        </w:rPr>
        <w:t xml:space="preserve">examine la cause pour déterminer si la demande est recevable.  Les demandes d’indemnisation fondées sur ce type d’atteinte ne sont admissibles que lorsqu’il est satisfait à </w:t>
      </w:r>
      <w:r w:rsidRPr="00F56A77">
        <w:rPr>
          <w:i/>
          <w:lang w:val="fr-CA"/>
        </w:rPr>
        <w:t>l’ensemble</w:t>
      </w:r>
      <w:r>
        <w:rPr>
          <w:lang w:val="fr-CA"/>
        </w:rPr>
        <w:t xml:space="preserve"> des critères suivants</w:t>
      </w:r>
      <w:r w:rsidR="007B13C0">
        <w:rPr>
          <w:lang w:val="fr-CA"/>
        </w:rPr>
        <w:t xml:space="preserve"> </w:t>
      </w:r>
      <w:r>
        <w:rPr>
          <w:lang w:val="fr-CA"/>
        </w:rPr>
        <w:t>:</w:t>
      </w:r>
    </w:p>
    <w:p w:rsidR="003D74EC" w:rsidRPr="00F8065C" w:rsidRDefault="003D74EC" w:rsidP="007B13C0">
      <w:pPr>
        <w:pStyle w:val="Citation-AltC"/>
        <w:numPr>
          <w:ilvl w:val="0"/>
          <w:numId w:val="14"/>
        </w:numPr>
        <w:spacing w:after="240"/>
        <w:ind w:left="2160" w:hanging="446"/>
        <w:contextualSpacing w:val="0"/>
        <w:rPr>
          <w:lang w:val="fr-CA"/>
        </w:rPr>
      </w:pPr>
      <w:r>
        <w:rPr>
          <w:lang w:val="fr-CA"/>
        </w:rPr>
        <w:t>un diagnostic psychologique ou psychiatrique a été établi</w:t>
      </w:r>
      <w:r w:rsidRPr="00F8065C">
        <w:rPr>
          <w:lang w:val="fr-CA"/>
        </w:rPr>
        <w:t xml:space="preserve"> </w:t>
      </w:r>
      <w:r w:rsidR="00FD0B7F">
        <w:rPr>
          <w:lang w:val="fr-CA"/>
        </w:rPr>
        <w:t>.</w:t>
      </w:r>
      <w:r w:rsidR="007B13C0">
        <w:rPr>
          <w:lang w:val="fr-CA"/>
        </w:rPr>
        <w:t xml:space="preserve"> </w:t>
      </w:r>
      <w:r w:rsidR="00FD0B7F">
        <w:rPr>
          <w:lang w:val="fr-CA"/>
        </w:rPr>
        <w:t>.</w:t>
      </w:r>
      <w:r w:rsidR="007B13C0">
        <w:rPr>
          <w:lang w:val="fr-CA"/>
        </w:rPr>
        <w:t xml:space="preserve"> </w:t>
      </w:r>
      <w:r w:rsidR="00FD0B7F">
        <w:rPr>
          <w:lang w:val="fr-CA"/>
        </w:rPr>
        <w:t>.</w:t>
      </w:r>
    </w:p>
    <w:p w:rsidR="003D74EC" w:rsidRPr="00F8065C" w:rsidRDefault="003D74EC" w:rsidP="007B13C0">
      <w:pPr>
        <w:pStyle w:val="Citation-AltC"/>
        <w:numPr>
          <w:ilvl w:val="0"/>
          <w:numId w:val="14"/>
        </w:numPr>
        <w:spacing w:after="240"/>
        <w:ind w:left="2160" w:hanging="446"/>
        <w:contextualSpacing w:val="0"/>
        <w:rPr>
          <w:lang w:val="fr-CA"/>
        </w:rPr>
      </w:pPr>
      <w:r>
        <w:rPr>
          <w:lang w:val="fr-CA"/>
        </w:rPr>
        <w:t>les événements ou facteurs de stress liés au travail sont la cause p</w:t>
      </w:r>
      <w:r w:rsidR="00FD0B7F">
        <w:rPr>
          <w:lang w:val="fr-CA"/>
        </w:rPr>
        <w:t>rédominante de l’atteinte .</w:t>
      </w:r>
      <w:r w:rsidR="007B13C0">
        <w:rPr>
          <w:lang w:val="fr-CA"/>
        </w:rPr>
        <w:t xml:space="preserve"> </w:t>
      </w:r>
      <w:r w:rsidR="00FD0B7F">
        <w:rPr>
          <w:lang w:val="fr-CA"/>
        </w:rPr>
        <w:t>.</w:t>
      </w:r>
      <w:r w:rsidR="007B13C0">
        <w:rPr>
          <w:lang w:val="fr-CA"/>
        </w:rPr>
        <w:t xml:space="preserve"> </w:t>
      </w:r>
      <w:r w:rsidR="00FD0B7F">
        <w:rPr>
          <w:lang w:val="fr-CA"/>
        </w:rPr>
        <w:t>.</w:t>
      </w:r>
      <w:r>
        <w:rPr>
          <w:lang w:val="fr-CA"/>
        </w:rPr>
        <w:t xml:space="preserve"> </w:t>
      </w:r>
    </w:p>
    <w:p w:rsidR="003D74EC" w:rsidRDefault="003D74EC" w:rsidP="007B13C0">
      <w:pPr>
        <w:pStyle w:val="Citation-AltC"/>
        <w:numPr>
          <w:ilvl w:val="0"/>
          <w:numId w:val="14"/>
        </w:numPr>
        <w:spacing w:after="240"/>
        <w:ind w:left="2160" w:hanging="446"/>
        <w:contextualSpacing w:val="0"/>
        <w:rPr>
          <w:lang w:val="fr-CA"/>
        </w:rPr>
      </w:pPr>
      <w:r w:rsidRPr="00D65839">
        <w:rPr>
          <w:lang w:val="fr-CA"/>
        </w:rPr>
        <w:t xml:space="preserve">les événements liés au travail sont excessifs ou inusités par rapport aux pressions et tensions </w:t>
      </w:r>
      <w:r>
        <w:rPr>
          <w:lang w:val="fr-CA"/>
        </w:rPr>
        <w:t>normales auxquelles le travailleur moyen occupant un emploi semblable est assujetti,</w:t>
      </w:r>
    </w:p>
    <w:p w:rsidR="003D74EC" w:rsidRPr="00D65839" w:rsidRDefault="003D74EC" w:rsidP="007B13C0">
      <w:pPr>
        <w:pStyle w:val="Citation-AltC"/>
        <w:numPr>
          <w:ilvl w:val="0"/>
          <w:numId w:val="14"/>
        </w:numPr>
        <w:spacing w:after="240"/>
        <w:ind w:left="2160" w:hanging="446"/>
        <w:contextualSpacing w:val="0"/>
        <w:rPr>
          <w:lang w:val="fr-CA"/>
        </w:rPr>
      </w:pPr>
      <w:r>
        <w:rPr>
          <w:lang w:val="fr-CA"/>
        </w:rPr>
        <w:lastRenderedPageBreak/>
        <w:t>les événements ont été confirmés de manière objective.</w:t>
      </w:r>
    </w:p>
    <w:p w:rsidR="003D74EC" w:rsidRPr="00F8065C" w:rsidRDefault="003D74EC" w:rsidP="007B13C0">
      <w:pPr>
        <w:pStyle w:val="Citation-AltC"/>
        <w:ind w:left="1710" w:hanging="1195"/>
        <w:contextualSpacing w:val="0"/>
        <w:rPr>
          <w:lang w:val="fr-CA"/>
        </w:rPr>
      </w:pPr>
      <w:r>
        <w:rPr>
          <w:lang w:val="fr-CA"/>
        </w:rPr>
        <w:tab/>
        <w:t>Outre les fonctions pouvant raisonnablement se rattacher à la nature du travail en cause, les pressions et tensions normales s’entendent, par exemple, des relations et conflits interpersonnels, des préoccupations en matière de santé et sécurité, des questions syndicales et des mesures courantes de gestion des relations de travail prises par l’employeur, notamment la charge de travail et les délais, l’évaluation du travail, la gestion du rendement (discipline), les mutations, la modification des fonctions, les mises à pied, les rétrogradations, les licenciements et les réorganisations, susceptibles d’être imposées à tous les travailleurs à un moment donné.  [p.</w:t>
      </w:r>
      <w:r w:rsidR="007B13C0">
        <w:rPr>
          <w:lang w:val="fr-CA"/>
        </w:rPr>
        <w:t xml:space="preserve"> </w:t>
      </w:r>
      <w:r>
        <w:rPr>
          <w:lang w:val="fr-CA"/>
        </w:rPr>
        <w:t>5</w:t>
      </w:r>
      <w:r>
        <w:rPr>
          <w:lang w:val="fr-CA"/>
        </w:rPr>
        <w:noBreakHyphen/>
        <w:t>6]</w:t>
      </w:r>
    </w:p>
    <w:p w:rsidR="003D74EC" w:rsidRPr="00DD2C4E" w:rsidRDefault="003D74EC" w:rsidP="007B13C0">
      <w:pPr>
        <w:pStyle w:val="ParaNoNdepar-AltN"/>
        <w:rPr>
          <w:lang w:val="fr-CA"/>
        </w:rPr>
      </w:pPr>
      <w:r>
        <w:rPr>
          <w:lang w:val="fr-CA"/>
        </w:rPr>
        <w:t>Selon moi, assortir l’interprétation du terme «</w:t>
      </w:r>
      <w:r w:rsidR="007B13C0">
        <w:rPr>
          <w:lang w:val="fr-CA"/>
        </w:rPr>
        <w:t xml:space="preserve"> </w:t>
      </w:r>
      <w:r>
        <w:rPr>
          <w:lang w:val="fr-CA"/>
        </w:rPr>
        <w:t>accident</w:t>
      </w:r>
      <w:r w:rsidR="007B13C0">
        <w:rPr>
          <w:lang w:val="fr-CA"/>
        </w:rPr>
        <w:t xml:space="preserve"> </w:t>
      </w:r>
      <w:r>
        <w:rPr>
          <w:lang w:val="fr-CA"/>
        </w:rPr>
        <w:t xml:space="preserve">» d’une exigence relative à l’existence d’événements </w:t>
      </w:r>
      <w:r w:rsidRPr="0026299A">
        <w:rPr>
          <w:lang w:val="fr-CA"/>
        </w:rPr>
        <w:t>excessifs ou inusités</w:t>
      </w:r>
      <w:r>
        <w:rPr>
          <w:lang w:val="fr-CA"/>
        </w:rPr>
        <w:t xml:space="preserve"> liés au travail ne va pas à l’encontre de la définition large de ce terme qui figure à l’art.</w:t>
      </w:r>
      <w:r w:rsidR="007B13C0">
        <w:rPr>
          <w:lang w:val="fr-CA"/>
        </w:rPr>
        <w:t xml:space="preserve"> </w:t>
      </w:r>
      <w:r>
        <w:rPr>
          <w:lang w:val="fr-CA"/>
        </w:rPr>
        <w:t xml:space="preserve">2 de la </w:t>
      </w:r>
      <w:r w:rsidRPr="00644284">
        <w:rPr>
          <w:i/>
          <w:lang w:val="fr-CA"/>
        </w:rPr>
        <w:t>LIAÉ</w:t>
      </w:r>
      <w:r w:rsidRPr="00F8065C">
        <w:rPr>
          <w:lang w:val="fr-CA"/>
        </w:rPr>
        <w:t xml:space="preserve">, </w:t>
      </w:r>
      <w:r>
        <w:rPr>
          <w:lang w:val="fr-CA"/>
        </w:rPr>
        <w:t>suivant laquelle «</w:t>
      </w:r>
      <w:r w:rsidR="007B13C0">
        <w:rPr>
          <w:lang w:val="fr-CA"/>
        </w:rPr>
        <w:t xml:space="preserve"> </w:t>
      </w:r>
      <w:r w:rsidRPr="009201EB">
        <w:rPr>
          <w:u w:val="single"/>
          <w:lang w:val="fr-CA"/>
        </w:rPr>
        <w:t>[s]ont assimilés</w:t>
      </w:r>
      <w:r>
        <w:rPr>
          <w:lang w:val="fr-CA"/>
        </w:rPr>
        <w:t xml:space="preserve"> à un accident tout fait résultant d’un acte délibéré accompli par une autre personne que l’agent de l’État ainsi que tout événement fortuit ayant une cause physique ou naturelle</w:t>
      </w:r>
      <w:r w:rsidR="007B13C0">
        <w:rPr>
          <w:lang w:val="fr-CA"/>
        </w:rPr>
        <w:t xml:space="preserve"> </w:t>
      </w:r>
      <w:r>
        <w:rPr>
          <w:lang w:val="fr-CA"/>
        </w:rPr>
        <w:t>»</w:t>
      </w:r>
      <w:r w:rsidRPr="00F8065C">
        <w:rPr>
          <w:lang w:val="fr-CA"/>
        </w:rPr>
        <w:t xml:space="preserve">. </w:t>
      </w:r>
      <w:r>
        <w:rPr>
          <w:lang w:val="fr-CA"/>
        </w:rPr>
        <w:t xml:space="preserve"> La définition d’«</w:t>
      </w:r>
      <w:r w:rsidR="007B13C0">
        <w:rPr>
          <w:lang w:val="fr-CA"/>
        </w:rPr>
        <w:t xml:space="preserve"> </w:t>
      </w:r>
      <w:r>
        <w:rPr>
          <w:lang w:val="fr-CA"/>
        </w:rPr>
        <w:t>accident</w:t>
      </w:r>
      <w:r w:rsidR="007B13C0">
        <w:rPr>
          <w:lang w:val="fr-CA"/>
        </w:rPr>
        <w:t xml:space="preserve"> </w:t>
      </w:r>
      <w:r>
        <w:rPr>
          <w:lang w:val="fr-CA"/>
        </w:rPr>
        <w:t>» énonce les éléments de base qui la composent; elle n’est ni exhaustive ni restrictive.  Il s’agit plutôt d’une définition ouverte et souple, qui témoigne de l’intention du législateur de déléguer aux autorités provinciales l’administration du r</w:t>
      </w:r>
      <w:r w:rsidR="00FD0B7F">
        <w:rPr>
          <w:lang w:val="fr-CA"/>
        </w:rPr>
        <w:t>égime d’indemnisation.  Comme le</w:t>
      </w:r>
      <w:r>
        <w:rPr>
          <w:lang w:val="fr-CA"/>
        </w:rPr>
        <w:t xml:space="preserve"> </w:t>
      </w:r>
      <w:r w:rsidRPr="00F8065C">
        <w:rPr>
          <w:lang w:val="fr-CA"/>
        </w:rPr>
        <w:t>Workers</w:t>
      </w:r>
      <w:r>
        <w:rPr>
          <w:lang w:val="fr-CA"/>
        </w:rPr>
        <w:t>’</w:t>
      </w:r>
      <w:r w:rsidRPr="00F8065C">
        <w:rPr>
          <w:lang w:val="fr-CA"/>
        </w:rPr>
        <w:t xml:space="preserve"> Compensation Board </w:t>
      </w:r>
      <w:r>
        <w:rPr>
          <w:lang w:val="fr-CA"/>
        </w:rPr>
        <w:t>de la Colombie</w:t>
      </w:r>
      <w:r>
        <w:rPr>
          <w:lang w:val="fr-CA"/>
        </w:rPr>
        <w:noBreakHyphen/>
        <w:t>Britannique l’a souligné dans son intervention, ni la définition d’«</w:t>
      </w:r>
      <w:r w:rsidR="007B13C0">
        <w:rPr>
          <w:lang w:val="fr-CA"/>
        </w:rPr>
        <w:t xml:space="preserve"> </w:t>
      </w:r>
      <w:r>
        <w:rPr>
          <w:lang w:val="fr-CA"/>
        </w:rPr>
        <w:t>accident</w:t>
      </w:r>
      <w:r w:rsidR="007B13C0">
        <w:rPr>
          <w:lang w:val="fr-CA"/>
        </w:rPr>
        <w:t xml:space="preserve"> </w:t>
      </w:r>
      <w:r>
        <w:rPr>
          <w:lang w:val="fr-CA"/>
        </w:rPr>
        <w:t xml:space="preserve">» énoncée à la </w:t>
      </w:r>
      <w:r w:rsidRPr="005B1CA7">
        <w:rPr>
          <w:i/>
          <w:lang w:val="fr-CA"/>
        </w:rPr>
        <w:t>LIAÉ</w:t>
      </w:r>
      <w:r>
        <w:rPr>
          <w:lang w:val="fr-CA"/>
        </w:rPr>
        <w:t xml:space="preserve"> ni celle qui figure à la </w:t>
      </w:r>
      <w:r w:rsidRPr="005B1CA7">
        <w:rPr>
          <w:i/>
          <w:lang w:val="fr-CA"/>
        </w:rPr>
        <w:t>WCA</w:t>
      </w:r>
      <w:r>
        <w:rPr>
          <w:lang w:val="fr-CA"/>
        </w:rPr>
        <w:t xml:space="preserve"> n’indiquent quand un accident ou une atteinte est effectivement </w:t>
      </w:r>
      <w:r w:rsidRPr="004967AE">
        <w:rPr>
          <w:i/>
          <w:lang w:val="fr-CA"/>
        </w:rPr>
        <w:t>causé par</w:t>
      </w:r>
      <w:r>
        <w:rPr>
          <w:lang w:val="fr-CA"/>
        </w:rPr>
        <w:t xml:space="preserve"> le travail.  La législation </w:t>
      </w:r>
      <w:r w:rsidRPr="00C51F6E">
        <w:rPr>
          <w:lang w:val="fr-CA"/>
        </w:rPr>
        <w:t>de chaque province complète</w:t>
      </w:r>
      <w:r>
        <w:rPr>
          <w:lang w:val="fr-CA"/>
        </w:rPr>
        <w:t xml:space="preserve"> </w:t>
      </w:r>
      <w:r w:rsidRPr="00DD2C4E">
        <w:rPr>
          <w:lang w:val="fr-CA"/>
        </w:rPr>
        <w:t xml:space="preserve">la </w:t>
      </w:r>
      <w:r>
        <w:rPr>
          <w:lang w:val="fr-CA"/>
        </w:rPr>
        <w:t>L</w:t>
      </w:r>
      <w:r w:rsidRPr="00DD2C4E">
        <w:rPr>
          <w:lang w:val="fr-CA"/>
        </w:rPr>
        <w:t>oi fédérale</w:t>
      </w:r>
      <w:r>
        <w:rPr>
          <w:lang w:val="fr-CA"/>
        </w:rPr>
        <w:t xml:space="preserve"> en fait </w:t>
      </w:r>
      <w:r w:rsidRPr="00DD2C4E">
        <w:rPr>
          <w:lang w:val="fr-CA"/>
        </w:rPr>
        <w:t xml:space="preserve">de </w:t>
      </w:r>
      <w:r w:rsidRPr="00131317">
        <w:rPr>
          <w:lang w:val="fr-CA"/>
        </w:rPr>
        <w:t>structure</w:t>
      </w:r>
      <w:r w:rsidRPr="00DD2C4E">
        <w:rPr>
          <w:lang w:val="fr-CA"/>
        </w:rPr>
        <w:t xml:space="preserve"> et de </w:t>
      </w:r>
      <w:r w:rsidRPr="00C51F6E">
        <w:rPr>
          <w:lang w:val="fr-CA"/>
        </w:rPr>
        <w:t>spécificité</w:t>
      </w:r>
      <w:r w:rsidRPr="00DD2C4E">
        <w:rPr>
          <w:lang w:val="fr-CA"/>
        </w:rPr>
        <w:t xml:space="preserve">. </w:t>
      </w:r>
    </w:p>
    <w:p w:rsidR="003D74EC" w:rsidRPr="00F8065C" w:rsidRDefault="003D74EC" w:rsidP="007B13C0">
      <w:pPr>
        <w:pStyle w:val="ParaNoNdepar-AltN"/>
        <w:rPr>
          <w:lang w:val="fr-CA"/>
        </w:rPr>
      </w:pPr>
      <w:r>
        <w:rPr>
          <w:lang w:val="fr-CA"/>
        </w:rPr>
        <w:lastRenderedPageBreak/>
        <w:t>En l’espèce, la province exigeait, pour accepter la demande d’indemnisation pour stress psychologique, des événements excessifs ou inusités et la confirmation objective de ces événements.  Ces exigences témoignent simplement de l’interprétation qu’a donnée l’Alberta du terme «</w:t>
      </w:r>
      <w:r w:rsidR="007B13C0">
        <w:rPr>
          <w:lang w:val="fr-CA"/>
        </w:rPr>
        <w:t xml:space="preserve"> </w:t>
      </w:r>
      <w:r>
        <w:rPr>
          <w:lang w:val="fr-CA"/>
        </w:rPr>
        <w:t>accident</w:t>
      </w:r>
      <w:r w:rsidR="007B13C0">
        <w:rPr>
          <w:lang w:val="fr-CA"/>
        </w:rPr>
        <w:t xml:space="preserve"> </w:t>
      </w:r>
      <w:r>
        <w:rPr>
          <w:lang w:val="fr-CA"/>
        </w:rPr>
        <w:t>» dans le contexte des demandes fondées sur le stress psychologique.  Ce qui constitue un «</w:t>
      </w:r>
      <w:r w:rsidR="007B13C0">
        <w:rPr>
          <w:lang w:val="fr-CA"/>
        </w:rPr>
        <w:t xml:space="preserve"> </w:t>
      </w:r>
      <w:r>
        <w:rPr>
          <w:lang w:val="fr-CA"/>
        </w:rPr>
        <w:t>accident</w:t>
      </w:r>
      <w:r w:rsidR="007B13C0">
        <w:rPr>
          <w:lang w:val="fr-CA"/>
        </w:rPr>
        <w:t xml:space="preserve"> </w:t>
      </w:r>
      <w:r>
        <w:rPr>
          <w:lang w:val="fr-CA"/>
        </w:rPr>
        <w:t>» dans le cadre d’un régime d’indemnisation sans égard à la faute ne saurait dépendre de la seule perception subjective du travailleur.  Il est souvent plus facile de reconnaître l’événement qui a entraîné une atteinte physique que celui qui a provoqué une atteinte psychologique.  Il n’était pas déraisonnable pour l’Alberta d’établir une politique définissant l’«</w:t>
      </w:r>
      <w:r w:rsidR="007B13C0">
        <w:rPr>
          <w:lang w:val="fr-CA"/>
        </w:rPr>
        <w:t xml:space="preserve"> </w:t>
      </w:r>
      <w:r>
        <w:rPr>
          <w:lang w:val="fr-CA"/>
        </w:rPr>
        <w:t>accident</w:t>
      </w:r>
      <w:r w:rsidR="007B13C0">
        <w:rPr>
          <w:lang w:val="fr-CA"/>
        </w:rPr>
        <w:t xml:space="preserve"> </w:t>
      </w:r>
      <w:r>
        <w:rPr>
          <w:lang w:val="fr-CA"/>
        </w:rPr>
        <w:t xml:space="preserve">» de travail causant une atteinte psychologique. </w:t>
      </w:r>
    </w:p>
    <w:p w:rsidR="003D74EC" w:rsidRPr="00F8065C" w:rsidRDefault="003D74EC" w:rsidP="007B13C0">
      <w:pPr>
        <w:pStyle w:val="ParaNoNdepar-AltN"/>
        <w:rPr>
          <w:lang w:val="fr-CA"/>
        </w:rPr>
      </w:pPr>
      <w:r>
        <w:rPr>
          <w:lang w:val="fr-CA"/>
        </w:rPr>
        <w:t>Au Canada, les régimes d’indemnisation des travailleurs</w:t>
      </w:r>
      <w:r w:rsidR="00FD0B7F">
        <w:rPr>
          <w:lang w:val="fr-CA"/>
        </w:rPr>
        <w:t xml:space="preserve"> suivent le modèle proposé par s</w:t>
      </w:r>
      <w:r>
        <w:rPr>
          <w:lang w:val="fr-CA"/>
        </w:rPr>
        <w:t xml:space="preserve">ir </w:t>
      </w:r>
      <w:r w:rsidR="00FD0B7F">
        <w:rPr>
          <w:lang w:val="fr-CA"/>
        </w:rPr>
        <w:t xml:space="preserve">W. R. </w:t>
      </w:r>
      <w:r w:rsidRPr="00F8065C">
        <w:rPr>
          <w:lang w:val="fr-CA"/>
        </w:rPr>
        <w:t>Meredith</w:t>
      </w:r>
      <w:r>
        <w:rPr>
          <w:lang w:val="fr-CA"/>
        </w:rPr>
        <w:t>, procédant du «</w:t>
      </w:r>
      <w:r w:rsidR="007B13C0">
        <w:rPr>
          <w:lang w:val="fr-CA"/>
        </w:rPr>
        <w:t xml:space="preserve"> </w:t>
      </w:r>
      <w:r>
        <w:rPr>
          <w:lang w:val="fr-CA"/>
        </w:rPr>
        <w:t>compromis historique</w:t>
      </w:r>
      <w:r w:rsidR="007B13C0">
        <w:rPr>
          <w:lang w:val="fr-CA"/>
        </w:rPr>
        <w:t xml:space="preserve"> </w:t>
      </w:r>
      <w:r>
        <w:rPr>
          <w:lang w:val="fr-CA"/>
        </w:rPr>
        <w:t xml:space="preserve">» en vertu duquel les travailleurs sont privés d’une cause d’action contre leur employeur en cas d’accident du travail, mais bénéficient d’un régime d’indemnisation sans égard à la faute </w:t>
      </w:r>
      <w:r w:rsidRPr="00F8065C">
        <w:rPr>
          <w:lang w:val="fr-CA"/>
        </w:rPr>
        <w:t>(</w:t>
      </w:r>
      <w:r w:rsidRPr="00F8065C">
        <w:rPr>
          <w:i/>
          <w:lang w:val="fr-CA"/>
        </w:rPr>
        <w:t>Marine Services International</w:t>
      </w:r>
      <w:r>
        <w:rPr>
          <w:i/>
          <w:lang w:val="fr-CA"/>
        </w:rPr>
        <w:t xml:space="preserve"> Ltd.</w:t>
      </w:r>
      <w:r w:rsidRPr="00F8065C">
        <w:rPr>
          <w:i/>
          <w:lang w:val="fr-CA"/>
        </w:rPr>
        <w:t xml:space="preserve"> </w:t>
      </w:r>
      <w:r>
        <w:rPr>
          <w:i/>
          <w:lang w:val="fr-CA"/>
        </w:rPr>
        <w:t>c</w:t>
      </w:r>
      <w:r w:rsidRPr="00F8065C">
        <w:rPr>
          <w:i/>
          <w:lang w:val="fr-CA"/>
        </w:rPr>
        <w:t>. Ryan</w:t>
      </w:r>
      <w:r>
        <w:rPr>
          <w:i/>
          <w:lang w:val="fr-CA"/>
        </w:rPr>
        <w:t xml:space="preserve"> (Succession)</w:t>
      </w:r>
      <w:r w:rsidRPr="00F8065C">
        <w:rPr>
          <w:lang w:val="fr-CA"/>
        </w:rPr>
        <w:t>, 2013 C</w:t>
      </w:r>
      <w:r>
        <w:rPr>
          <w:lang w:val="fr-CA"/>
        </w:rPr>
        <w:t>S</w:t>
      </w:r>
      <w:r w:rsidRPr="00F8065C">
        <w:rPr>
          <w:lang w:val="fr-CA"/>
        </w:rPr>
        <w:t>C 44,</w:t>
      </w:r>
      <w:r w:rsidRPr="00F8065C">
        <w:rPr>
          <w:i/>
          <w:lang w:val="fr-CA"/>
        </w:rPr>
        <w:t xml:space="preserve"> </w:t>
      </w:r>
      <w:r w:rsidR="001D2FED">
        <w:rPr>
          <w:lang w:val="fr-CA"/>
        </w:rPr>
        <w:t xml:space="preserve">[2013] 3 R.C.S. 53, </w:t>
      </w:r>
      <w:r>
        <w:rPr>
          <w:lang w:val="fr-CA"/>
        </w:rPr>
        <w:t>par.</w:t>
      </w:r>
      <w:r w:rsidR="007B13C0">
        <w:rPr>
          <w:lang w:val="fr-CA"/>
        </w:rPr>
        <w:t xml:space="preserve"> </w:t>
      </w:r>
      <w:r w:rsidRPr="00F8065C">
        <w:rPr>
          <w:lang w:val="fr-CA"/>
        </w:rPr>
        <w:t>29, cit</w:t>
      </w:r>
      <w:r>
        <w:rPr>
          <w:lang w:val="fr-CA"/>
        </w:rPr>
        <w:t xml:space="preserve">ant </w:t>
      </w:r>
      <w:r w:rsidRPr="00F8065C">
        <w:rPr>
          <w:i/>
          <w:lang w:val="fr-CA"/>
        </w:rPr>
        <w:t>Pasiechnyk</w:t>
      </w:r>
      <w:r>
        <w:rPr>
          <w:i/>
          <w:lang w:val="fr-CA"/>
        </w:rPr>
        <w:t xml:space="preserve"> c. Saskatchewan (Workers’ Compensation Board)</w:t>
      </w:r>
      <w:r w:rsidRPr="007320A2">
        <w:rPr>
          <w:lang w:val="fr-CA"/>
        </w:rPr>
        <w:t xml:space="preserve">, </w:t>
      </w:r>
      <w:r>
        <w:rPr>
          <w:lang w:val="fr-CA"/>
        </w:rPr>
        <w:t>[1997] 2 R.C.S. 890</w:t>
      </w:r>
      <w:r w:rsidRPr="00F8065C">
        <w:rPr>
          <w:lang w:val="fr-CA"/>
        </w:rPr>
        <w:t xml:space="preserve">, </w:t>
      </w:r>
      <w:r>
        <w:rPr>
          <w:lang w:val="fr-CA"/>
        </w:rPr>
        <w:t>par.</w:t>
      </w:r>
      <w:r w:rsidR="007B13C0">
        <w:rPr>
          <w:lang w:val="fr-CA"/>
        </w:rPr>
        <w:t xml:space="preserve"> </w:t>
      </w:r>
      <w:r w:rsidRPr="00F8065C">
        <w:rPr>
          <w:lang w:val="fr-CA"/>
        </w:rPr>
        <w:t>25)</w:t>
      </w:r>
      <w:r>
        <w:rPr>
          <w:lang w:val="fr-CA"/>
        </w:rPr>
        <w:t>.  Les employeurs sont obligés de cotiser au régime, mais ils échappent à une responsabilité potentiellement écrasante</w:t>
      </w:r>
      <w:r w:rsidRPr="00F8065C">
        <w:rPr>
          <w:lang w:val="fr-CA"/>
        </w:rPr>
        <w:t xml:space="preserve">.  </w:t>
      </w:r>
      <w:r>
        <w:rPr>
          <w:lang w:val="fr-CA"/>
        </w:rPr>
        <w:t xml:space="preserve">Ces régimes garantissent une indemnisation aux travailleurs blessés dans un accident du travail ou atteints de maladies professionnelles </w:t>
      </w:r>
      <w:r w:rsidRPr="00F8065C">
        <w:rPr>
          <w:lang w:val="fr-CA"/>
        </w:rPr>
        <w:t>(</w:t>
      </w:r>
      <w:r w:rsidRPr="00F8065C">
        <w:rPr>
          <w:i/>
          <w:lang w:val="fr-CA"/>
        </w:rPr>
        <w:t>Marine Services</w:t>
      </w:r>
      <w:r w:rsidRPr="00F8065C">
        <w:rPr>
          <w:lang w:val="fr-CA"/>
        </w:rPr>
        <w:t>,</w:t>
      </w:r>
      <w:r w:rsidRPr="00F8065C">
        <w:rPr>
          <w:i/>
          <w:lang w:val="fr-CA"/>
        </w:rPr>
        <w:t xml:space="preserve"> </w:t>
      </w:r>
      <w:r>
        <w:rPr>
          <w:lang w:val="fr-CA"/>
        </w:rPr>
        <w:t>par.</w:t>
      </w:r>
      <w:r w:rsidR="007B13C0">
        <w:rPr>
          <w:lang w:val="fr-CA"/>
        </w:rPr>
        <w:t xml:space="preserve"> </w:t>
      </w:r>
      <w:r w:rsidRPr="00F8065C">
        <w:rPr>
          <w:lang w:val="fr-CA"/>
        </w:rPr>
        <w:t>30).</w:t>
      </w:r>
    </w:p>
    <w:p w:rsidR="003D74EC" w:rsidRPr="00F8065C" w:rsidRDefault="003D74EC" w:rsidP="007B13C0">
      <w:pPr>
        <w:pStyle w:val="ParaNoNdepar-AltN"/>
        <w:rPr>
          <w:lang w:val="fr-CA"/>
        </w:rPr>
      </w:pPr>
      <w:r>
        <w:rPr>
          <w:lang w:val="fr-CA"/>
        </w:rPr>
        <w:lastRenderedPageBreak/>
        <w:t xml:space="preserve">Comme la Cour d’appel de l’Ontario l’a indiqué dans </w:t>
      </w:r>
      <w:r w:rsidRPr="00F8065C">
        <w:rPr>
          <w:i/>
          <w:lang w:val="fr-CA"/>
        </w:rPr>
        <w:t>Canada Post</w:t>
      </w:r>
      <w:r w:rsidRPr="00F8065C">
        <w:rPr>
          <w:lang w:val="fr-CA"/>
        </w:rPr>
        <w:t xml:space="preserve">, </w:t>
      </w:r>
      <w:r>
        <w:rPr>
          <w:lang w:val="fr-CA"/>
        </w:rPr>
        <w:t>il n’est pas [</w:t>
      </w:r>
      <w:r w:rsidRPr="00135D48">
        <w:rPr>
          <w:smallCaps/>
          <w:lang w:val="fr-CA"/>
        </w:rPr>
        <w:t>traduction</w:t>
      </w:r>
      <w:r>
        <w:rPr>
          <w:lang w:val="fr-CA"/>
        </w:rPr>
        <w:t>] «</w:t>
      </w:r>
      <w:r w:rsidR="007B13C0">
        <w:rPr>
          <w:lang w:val="fr-CA"/>
        </w:rPr>
        <w:t xml:space="preserve"> </w:t>
      </w:r>
      <w:r>
        <w:rPr>
          <w:lang w:val="fr-CA"/>
        </w:rPr>
        <w:t>incompatible avec les principes du fédéralisme</w:t>
      </w:r>
      <w:r w:rsidR="007B13C0">
        <w:rPr>
          <w:lang w:val="fr-CA"/>
        </w:rPr>
        <w:t xml:space="preserve"> </w:t>
      </w:r>
      <w:r>
        <w:rPr>
          <w:lang w:val="fr-CA"/>
        </w:rPr>
        <w:t>» que les droits des travailleurs fédéraux diffèrent selon les provinces</w:t>
      </w:r>
      <w:r w:rsidRPr="00F8065C">
        <w:rPr>
          <w:lang w:val="fr-CA"/>
        </w:rPr>
        <w:t xml:space="preserve"> </w:t>
      </w:r>
      <w:r>
        <w:rPr>
          <w:lang w:val="fr-CA"/>
        </w:rPr>
        <w:t xml:space="preserve">par le jeu du régime établi par la </w:t>
      </w:r>
      <w:r w:rsidRPr="0066351B">
        <w:rPr>
          <w:i/>
          <w:lang w:val="fr-CA"/>
        </w:rPr>
        <w:t>LIAÉ</w:t>
      </w:r>
      <w:r w:rsidR="00093503">
        <w:rPr>
          <w:i/>
          <w:lang w:val="fr-CA"/>
        </w:rPr>
        <w:t xml:space="preserve"> </w:t>
      </w:r>
      <w:r w:rsidR="00093503" w:rsidRPr="00F8065C">
        <w:rPr>
          <w:lang w:val="fr-CA"/>
        </w:rPr>
        <w:t>(</w:t>
      </w:r>
      <w:r w:rsidR="00093503">
        <w:rPr>
          <w:lang w:val="fr-CA"/>
        </w:rPr>
        <w:t>p. 105</w:t>
      </w:r>
      <w:r w:rsidR="00093503" w:rsidRPr="00F8065C">
        <w:rPr>
          <w:lang w:val="fr-CA"/>
        </w:rPr>
        <w:t>)</w:t>
      </w:r>
      <w:r w:rsidRPr="00F8065C">
        <w:rPr>
          <w:lang w:val="fr-CA"/>
        </w:rPr>
        <w:t xml:space="preserve">. </w:t>
      </w:r>
      <w:r>
        <w:rPr>
          <w:lang w:val="fr-CA"/>
        </w:rPr>
        <w:t xml:space="preserve"> Ce régime représente le fédéralisme coopératif en action.  Il se peut que les provinces prévoient des règles d’admissibilité différentes, pourtant le législateur voulait pareille souplesse.  La définition non limitative du terme «</w:t>
      </w:r>
      <w:r w:rsidR="007B13C0">
        <w:rPr>
          <w:lang w:val="fr-CA"/>
        </w:rPr>
        <w:t xml:space="preserve"> </w:t>
      </w:r>
      <w:r>
        <w:rPr>
          <w:lang w:val="fr-CA"/>
        </w:rPr>
        <w:t>accident</w:t>
      </w:r>
      <w:r w:rsidR="007B13C0">
        <w:rPr>
          <w:lang w:val="fr-CA"/>
        </w:rPr>
        <w:t xml:space="preserve"> </w:t>
      </w:r>
      <w:r>
        <w:rPr>
          <w:lang w:val="fr-CA"/>
        </w:rPr>
        <w:t xml:space="preserve">» prévue dans la </w:t>
      </w:r>
      <w:r w:rsidRPr="0066351B">
        <w:rPr>
          <w:i/>
          <w:lang w:val="fr-CA"/>
        </w:rPr>
        <w:t>LIAÉ</w:t>
      </w:r>
      <w:r>
        <w:rPr>
          <w:lang w:val="fr-CA"/>
        </w:rPr>
        <w:t xml:space="preserve"> ne restreint pas cette souplesse, elle la rend possible. </w:t>
      </w:r>
    </w:p>
    <w:p w:rsidR="003D74EC" w:rsidRPr="00F8065C" w:rsidRDefault="003D74EC" w:rsidP="007B13C0">
      <w:pPr>
        <w:pStyle w:val="ParaNoNdepar-AltN"/>
        <w:tabs>
          <w:tab w:val="clear" w:pos="1152"/>
          <w:tab w:val="left" w:pos="1166"/>
        </w:tabs>
        <w:rPr>
          <w:lang w:val="fr-CA"/>
        </w:rPr>
      </w:pPr>
      <w:r>
        <w:rPr>
          <w:lang w:val="fr-CA"/>
        </w:rPr>
        <w:t xml:space="preserve">Enfin, </w:t>
      </w:r>
      <w:r w:rsidRPr="009719AF">
        <w:rPr>
          <w:lang w:val="fr-CA"/>
        </w:rPr>
        <w:t>l’appelant</w:t>
      </w:r>
      <w:r>
        <w:rPr>
          <w:lang w:val="fr-CA"/>
        </w:rPr>
        <w:t xml:space="preserve"> invoque les valeurs </w:t>
      </w:r>
      <w:r w:rsidRPr="003648CF">
        <w:rPr>
          <w:lang w:val="fr-CA"/>
        </w:rPr>
        <w:t>de</w:t>
      </w:r>
      <w:r>
        <w:rPr>
          <w:lang w:val="fr-CA"/>
        </w:rPr>
        <w:t xml:space="preserve"> la </w:t>
      </w:r>
      <w:r>
        <w:rPr>
          <w:i/>
          <w:lang w:val="fr-CA"/>
        </w:rPr>
        <w:t>Charte canadienne des droits et libertés</w:t>
      </w:r>
      <w:r>
        <w:rPr>
          <w:lang w:val="fr-CA"/>
        </w:rPr>
        <w:t xml:space="preserve"> à l’appui de son argument qu’il faut interpréter le terme «</w:t>
      </w:r>
      <w:r w:rsidR="007B13C0">
        <w:rPr>
          <w:lang w:val="fr-CA"/>
        </w:rPr>
        <w:t xml:space="preserve"> </w:t>
      </w:r>
      <w:r>
        <w:rPr>
          <w:lang w:val="fr-CA"/>
        </w:rPr>
        <w:t>accident</w:t>
      </w:r>
      <w:r w:rsidR="007B13C0">
        <w:rPr>
          <w:lang w:val="fr-CA"/>
        </w:rPr>
        <w:t xml:space="preserve"> </w:t>
      </w:r>
      <w:r>
        <w:rPr>
          <w:lang w:val="fr-CA"/>
        </w:rPr>
        <w:t xml:space="preserve">» de manière à ne pas imposer un fardeau supérieur en matière de causalité aux demandeurs victimes d’une atteinte psychologique qu’à ceux qui ont une atteinte physique.  Cependant, on n’a pas contesté devant nous la constitutionnalité des dispositions en cause.  Si notre Cour tranchait le litige sur le fondement des valeurs de la </w:t>
      </w:r>
      <w:r w:rsidRPr="00E661A0">
        <w:rPr>
          <w:i/>
          <w:lang w:val="fr-CA"/>
        </w:rPr>
        <w:t>Charte</w:t>
      </w:r>
      <w:r>
        <w:rPr>
          <w:lang w:val="fr-CA"/>
        </w:rPr>
        <w:t xml:space="preserve">, elle se prononcerait en fait sur une contestation de la Politique </w:t>
      </w:r>
      <w:r w:rsidRPr="00120EFB">
        <w:rPr>
          <w:lang w:val="fr-CA"/>
        </w:rPr>
        <w:t xml:space="preserve">fondée sur la </w:t>
      </w:r>
      <w:r w:rsidRPr="00120EFB">
        <w:rPr>
          <w:i/>
          <w:lang w:val="fr-CA"/>
        </w:rPr>
        <w:t>Charte</w:t>
      </w:r>
      <w:r>
        <w:rPr>
          <w:lang w:val="fr-CA"/>
        </w:rPr>
        <w:t xml:space="preserve"> sans disposer du dossier voulu</w:t>
      </w:r>
      <w:r w:rsidRPr="00F8065C">
        <w:rPr>
          <w:lang w:val="fr-CA"/>
        </w:rPr>
        <w:t>.</w:t>
      </w:r>
    </w:p>
    <w:p w:rsidR="003D74EC" w:rsidRPr="00F8065C" w:rsidRDefault="003D74EC" w:rsidP="007B13C0">
      <w:pPr>
        <w:pStyle w:val="ParaNoNdepar-AltN"/>
        <w:rPr>
          <w:lang w:val="fr-CA"/>
        </w:rPr>
      </w:pPr>
      <w:r>
        <w:rPr>
          <w:lang w:val="fr-CA"/>
        </w:rPr>
        <w:t>Pour les motifs qui précèdent, la Commission pouvait conclure à l’absence de conflit entre la définition d’«</w:t>
      </w:r>
      <w:r w:rsidR="007B13C0">
        <w:rPr>
          <w:lang w:val="fr-CA"/>
        </w:rPr>
        <w:t xml:space="preserve"> </w:t>
      </w:r>
      <w:r>
        <w:rPr>
          <w:lang w:val="fr-CA"/>
        </w:rPr>
        <w:t>accident</w:t>
      </w:r>
      <w:r w:rsidR="007B13C0">
        <w:rPr>
          <w:lang w:val="fr-CA"/>
        </w:rPr>
        <w:t xml:space="preserve"> </w:t>
      </w:r>
      <w:r>
        <w:rPr>
          <w:lang w:val="fr-CA"/>
        </w:rPr>
        <w:t xml:space="preserve">» énoncée à la </w:t>
      </w:r>
      <w:r w:rsidRPr="00C77C58">
        <w:rPr>
          <w:i/>
          <w:lang w:val="fr-CA"/>
        </w:rPr>
        <w:t>LIAÉ</w:t>
      </w:r>
      <w:r>
        <w:rPr>
          <w:lang w:val="fr-CA"/>
        </w:rPr>
        <w:t xml:space="preserve"> et l’exigence prévue à la Politique voulant que le stress chronique découle d’événements [</w:t>
      </w:r>
      <w:r w:rsidRPr="00135D48">
        <w:rPr>
          <w:smallCaps/>
          <w:lang w:val="fr-CA"/>
        </w:rPr>
        <w:t>traduction</w:t>
      </w:r>
      <w:r>
        <w:rPr>
          <w:lang w:val="fr-CA"/>
        </w:rPr>
        <w:t>] «</w:t>
      </w:r>
      <w:r w:rsidR="007B13C0">
        <w:rPr>
          <w:lang w:val="fr-CA"/>
        </w:rPr>
        <w:t xml:space="preserve"> </w:t>
      </w:r>
      <w:r w:rsidRPr="0026299A">
        <w:rPr>
          <w:lang w:val="fr-CA"/>
        </w:rPr>
        <w:t>excessifs ou inusités</w:t>
      </w:r>
      <w:r w:rsidR="007B13C0">
        <w:rPr>
          <w:lang w:val="fr-CA"/>
        </w:rPr>
        <w:t xml:space="preserve"> </w:t>
      </w:r>
      <w:r>
        <w:rPr>
          <w:lang w:val="fr-CA"/>
        </w:rPr>
        <w:t xml:space="preserve">» </w:t>
      </w:r>
      <w:r w:rsidRPr="00120EFB">
        <w:rPr>
          <w:lang w:val="fr-CA"/>
        </w:rPr>
        <w:t>s’ils «</w:t>
      </w:r>
      <w:r w:rsidR="007B13C0">
        <w:rPr>
          <w:lang w:val="fr-CA"/>
        </w:rPr>
        <w:t xml:space="preserve"> </w:t>
      </w:r>
      <w:r w:rsidRPr="00120EFB">
        <w:rPr>
          <w:lang w:val="fr-CA"/>
        </w:rPr>
        <w:t>ont été confirmés</w:t>
      </w:r>
      <w:r>
        <w:rPr>
          <w:lang w:val="fr-CA"/>
        </w:rPr>
        <w:t xml:space="preserve"> de manière </w:t>
      </w:r>
      <w:r w:rsidRPr="000E2846">
        <w:rPr>
          <w:lang w:val="fr-CA"/>
        </w:rPr>
        <w:t>objective</w:t>
      </w:r>
      <w:r w:rsidR="007B13C0">
        <w:rPr>
          <w:lang w:val="fr-CA"/>
        </w:rPr>
        <w:t xml:space="preserve"> </w:t>
      </w:r>
      <w:r>
        <w:rPr>
          <w:lang w:val="fr-CA"/>
        </w:rPr>
        <w:t>»</w:t>
      </w:r>
      <w:r w:rsidRPr="00F8065C">
        <w:rPr>
          <w:lang w:val="fr-CA"/>
        </w:rPr>
        <w:t xml:space="preserve">.  </w:t>
      </w:r>
    </w:p>
    <w:p w:rsidR="003D74EC" w:rsidRPr="00F8065C" w:rsidRDefault="007B13C0" w:rsidP="007B13C0">
      <w:pPr>
        <w:pStyle w:val="Title2LevelTitre2Niveau"/>
        <w:keepNext w:val="0"/>
        <w:rPr>
          <w:lang w:val="fr-CA"/>
        </w:rPr>
      </w:pPr>
      <w:r>
        <w:rPr>
          <w:lang w:val="fr-CA"/>
        </w:rPr>
        <w:t>Le rejet de la demande était-</w:t>
      </w:r>
      <w:r w:rsidR="003D74EC">
        <w:rPr>
          <w:lang w:val="fr-CA"/>
        </w:rPr>
        <w:t>il raisonnable en l’espèce</w:t>
      </w:r>
      <w:r w:rsidR="003D74EC" w:rsidRPr="00F8065C">
        <w:rPr>
          <w:lang w:val="fr-CA"/>
        </w:rPr>
        <w:t>?</w:t>
      </w:r>
    </w:p>
    <w:p w:rsidR="003D74EC" w:rsidRPr="0098193A" w:rsidRDefault="003D74EC" w:rsidP="007B13C0">
      <w:pPr>
        <w:pStyle w:val="ParaNoNdepar-AltN"/>
        <w:rPr>
          <w:lang w:val="fr-CA"/>
        </w:rPr>
      </w:pPr>
      <w:r>
        <w:rPr>
          <w:lang w:val="fr-CA"/>
        </w:rPr>
        <w:lastRenderedPageBreak/>
        <w:t>Enfin, la troisième et dernière question soulevée par le présent pourvoi est celle de savoir s’il était raisonnable pour la Commission d’appliquer la Politique à la demande de l’appelant.  Nul ne conteste qu’il était satisfait aux deux premiers critères</w:t>
      </w:r>
      <w:r w:rsidRPr="0098193A">
        <w:rPr>
          <w:lang w:val="fr-CA"/>
        </w:rPr>
        <w:t xml:space="preserve"> prévus dans la Politique. </w:t>
      </w:r>
      <w:r>
        <w:rPr>
          <w:lang w:val="fr-CA"/>
        </w:rPr>
        <w:t xml:space="preserve"> Un</w:t>
      </w:r>
      <w:r w:rsidRPr="0098193A">
        <w:rPr>
          <w:lang w:val="fr-CA"/>
        </w:rPr>
        <w:t xml:space="preserve"> diagnostic psychologique ou psychiatrique</w:t>
      </w:r>
      <w:r>
        <w:rPr>
          <w:lang w:val="fr-CA"/>
        </w:rPr>
        <w:t xml:space="preserve"> avait été porté</w:t>
      </w:r>
      <w:r w:rsidRPr="0098193A">
        <w:rPr>
          <w:lang w:val="fr-CA"/>
        </w:rPr>
        <w:t>, et les événements ou facteurs de stress liés au travail étaient la cause prédominante de l’atteinte.</w:t>
      </w:r>
    </w:p>
    <w:p w:rsidR="006A23E8" w:rsidRDefault="003D74EC" w:rsidP="007B13C0">
      <w:pPr>
        <w:pStyle w:val="ParaNoNdepar-AltN"/>
        <w:rPr>
          <w:lang w:val="fr-CA"/>
        </w:rPr>
      </w:pPr>
      <w:r>
        <w:rPr>
          <w:lang w:val="fr-CA"/>
        </w:rPr>
        <w:t>Le litige concerne les deux derniers critères de la Politique, p.</w:t>
      </w:r>
      <w:r w:rsidR="007B13C0">
        <w:rPr>
          <w:lang w:val="fr-CA"/>
        </w:rPr>
        <w:t xml:space="preserve"> </w:t>
      </w:r>
      <w:r>
        <w:rPr>
          <w:lang w:val="fr-CA"/>
        </w:rPr>
        <w:t>5</w:t>
      </w:r>
      <w:r w:rsidR="007B13C0">
        <w:rPr>
          <w:lang w:val="fr-CA"/>
        </w:rPr>
        <w:t xml:space="preserve"> </w:t>
      </w:r>
      <w:r>
        <w:rPr>
          <w:lang w:val="fr-CA"/>
        </w:rPr>
        <w:t>:</w:t>
      </w:r>
    </w:p>
    <w:p w:rsidR="003D74EC" w:rsidRPr="00F8065C" w:rsidRDefault="006A23E8" w:rsidP="007B13C0">
      <w:pPr>
        <w:pStyle w:val="ParaNoNdepar-AltN"/>
        <w:numPr>
          <w:ilvl w:val="0"/>
          <w:numId w:val="0"/>
        </w:numPr>
        <w:tabs>
          <w:tab w:val="left" w:pos="1620"/>
        </w:tabs>
        <w:spacing w:before="0" w:after="240" w:line="240" w:lineRule="auto"/>
        <w:ind w:left="1620" w:hanging="1620"/>
        <w:rPr>
          <w:lang w:val="fr-CA"/>
        </w:rPr>
      </w:pPr>
      <w:r>
        <w:rPr>
          <w:lang w:val="fr-CA"/>
        </w:rPr>
        <w:tab/>
        <w:t>[</w:t>
      </w:r>
      <w:r w:rsidRPr="006A23E8">
        <w:rPr>
          <w:smallCaps/>
          <w:lang w:val="fr-CA"/>
        </w:rPr>
        <w:t>traduction</w:t>
      </w:r>
      <w:r>
        <w:rPr>
          <w:lang w:val="fr-CA"/>
        </w:rPr>
        <w:t>]</w:t>
      </w:r>
      <w:r w:rsidR="003D74EC" w:rsidRPr="00F8065C">
        <w:rPr>
          <w:lang w:val="fr-CA"/>
        </w:rPr>
        <w:t xml:space="preserve"> </w:t>
      </w:r>
    </w:p>
    <w:p w:rsidR="003D74EC" w:rsidRDefault="003D74EC" w:rsidP="007B13C0">
      <w:pPr>
        <w:pStyle w:val="Citation-AltC"/>
        <w:numPr>
          <w:ilvl w:val="0"/>
          <w:numId w:val="20"/>
        </w:numPr>
        <w:spacing w:after="240"/>
        <w:ind w:left="2340" w:hanging="540"/>
        <w:contextualSpacing w:val="0"/>
        <w:rPr>
          <w:lang w:val="fr-CA"/>
        </w:rPr>
      </w:pPr>
      <w:r w:rsidRPr="003A0772">
        <w:rPr>
          <w:lang w:val="fr-CA"/>
        </w:rPr>
        <w:t>les événements liés au travail sont excessifs ou inusités par rapport aux pressions et tensions normales auxquelles le travailleur moyen occupant un emploi semblable est assujetti</w:t>
      </w:r>
      <w:r>
        <w:rPr>
          <w:lang w:val="fr-CA"/>
        </w:rPr>
        <w:t xml:space="preserve">, </w:t>
      </w:r>
    </w:p>
    <w:p w:rsidR="003D74EC" w:rsidRPr="00F8065C" w:rsidRDefault="003D74EC" w:rsidP="007B13C0">
      <w:pPr>
        <w:pStyle w:val="Citation-AltC"/>
        <w:numPr>
          <w:ilvl w:val="0"/>
          <w:numId w:val="20"/>
        </w:numPr>
        <w:spacing w:after="240"/>
        <w:ind w:left="2340" w:hanging="540"/>
        <w:contextualSpacing w:val="0"/>
        <w:rPr>
          <w:lang w:val="fr-CA"/>
        </w:rPr>
      </w:pPr>
      <w:r>
        <w:rPr>
          <w:lang w:val="fr-CA"/>
        </w:rPr>
        <w:t>les événements ont été confirmés de manière objective</w:t>
      </w:r>
      <w:r w:rsidRPr="00F8065C">
        <w:rPr>
          <w:iCs/>
          <w:lang w:val="fr-CA"/>
        </w:rPr>
        <w:t>.</w:t>
      </w:r>
    </w:p>
    <w:p w:rsidR="003D74EC" w:rsidRPr="00F8065C" w:rsidRDefault="003D74EC" w:rsidP="007B13C0">
      <w:pPr>
        <w:pStyle w:val="ParaNoNdepar-AltN"/>
        <w:rPr>
          <w:lang w:val="fr-CA"/>
        </w:rPr>
      </w:pPr>
      <w:r>
        <w:rPr>
          <w:lang w:val="fr-CA"/>
        </w:rPr>
        <w:t>S’agissant du troisième critère, exigeant des événements excessifs ou inusités, l’appelant fait valoir que la Commission a fait erreur en concluant que la [</w:t>
      </w:r>
      <w:r w:rsidRPr="00135D48">
        <w:rPr>
          <w:smallCaps/>
          <w:lang w:val="fr-CA"/>
        </w:rPr>
        <w:t>traduction</w:t>
      </w:r>
      <w:r>
        <w:rPr>
          <w:lang w:val="fr-CA"/>
        </w:rPr>
        <w:t>] «</w:t>
      </w:r>
      <w:r w:rsidR="007B13C0">
        <w:rPr>
          <w:lang w:val="fr-CA"/>
        </w:rPr>
        <w:t xml:space="preserve"> </w:t>
      </w:r>
      <w:r>
        <w:rPr>
          <w:lang w:val="fr-CA"/>
        </w:rPr>
        <w:t>cause prédominante</w:t>
      </w:r>
      <w:r w:rsidR="007B13C0">
        <w:rPr>
          <w:lang w:val="fr-CA"/>
        </w:rPr>
        <w:t xml:space="preserve"> </w:t>
      </w:r>
      <w:r>
        <w:rPr>
          <w:lang w:val="fr-CA"/>
        </w:rPr>
        <w:t>» de l’état de l’appelant était la lettre (m.a., par.</w:t>
      </w:r>
      <w:r w:rsidR="007B13C0">
        <w:rPr>
          <w:lang w:val="fr-CA"/>
        </w:rPr>
        <w:t xml:space="preserve"> </w:t>
      </w:r>
      <w:r>
        <w:rPr>
          <w:lang w:val="fr-CA"/>
        </w:rPr>
        <w:t>85, citant la décision de la Commission, par.</w:t>
      </w:r>
      <w:r w:rsidR="007B13C0">
        <w:rPr>
          <w:lang w:val="fr-CA"/>
        </w:rPr>
        <w:t xml:space="preserve"> </w:t>
      </w:r>
      <w:r>
        <w:rPr>
          <w:lang w:val="fr-CA"/>
        </w:rPr>
        <w:t>28).  Selon lui, en faisant fi de la série d’événements qui avait mené au point culminant, elle n’avait pas tenu compte de sa situation dans son ensemble.</w:t>
      </w:r>
    </w:p>
    <w:p w:rsidR="003D74EC" w:rsidRPr="00F8065C" w:rsidRDefault="003D74EC" w:rsidP="007B13C0">
      <w:pPr>
        <w:pStyle w:val="ParaNoNdepar-AltN"/>
        <w:rPr>
          <w:lang w:val="fr-CA"/>
        </w:rPr>
      </w:pPr>
      <w:r>
        <w:rPr>
          <w:lang w:val="fr-CA"/>
        </w:rPr>
        <w:t>Pourtant, la Commission a expressément reconnu dans son analyse [</w:t>
      </w:r>
      <w:r w:rsidRPr="00135D48">
        <w:rPr>
          <w:smallCaps/>
          <w:lang w:val="fr-CA"/>
        </w:rPr>
        <w:t>traduction</w:t>
      </w:r>
      <w:r>
        <w:rPr>
          <w:lang w:val="fr-CA"/>
        </w:rPr>
        <w:t>] «</w:t>
      </w:r>
      <w:r w:rsidR="007B13C0">
        <w:rPr>
          <w:lang w:val="fr-CA"/>
        </w:rPr>
        <w:t xml:space="preserve"> </w:t>
      </w:r>
      <w:r>
        <w:rPr>
          <w:lang w:val="fr-CA"/>
        </w:rPr>
        <w:t xml:space="preserve">que les facteurs de stress découlant de la situation au travail incluaient, par exemple, des préoccupations en matière de santé et sécurité, des </w:t>
      </w:r>
      <w:r>
        <w:rPr>
          <w:lang w:val="fr-CA"/>
        </w:rPr>
        <w:lastRenderedPageBreak/>
        <w:t xml:space="preserve">relations et conflits interpersonnels, des échéances à respecter, la gestion du rendement et l’ordre de l’employeur de donner suite à une demande de communication présentée en vertu de la </w:t>
      </w:r>
      <w:r>
        <w:rPr>
          <w:i/>
          <w:lang w:val="fr-CA"/>
        </w:rPr>
        <w:t>Loi sur l’accès à l’information</w:t>
      </w:r>
      <w:r w:rsidR="007B13C0">
        <w:rPr>
          <w:lang w:val="fr-CA"/>
        </w:rPr>
        <w:t xml:space="preserve"> </w:t>
      </w:r>
      <w:r>
        <w:rPr>
          <w:lang w:val="fr-CA"/>
        </w:rPr>
        <w:t>» (par.</w:t>
      </w:r>
      <w:r w:rsidR="007B13C0">
        <w:rPr>
          <w:lang w:val="fr-CA"/>
        </w:rPr>
        <w:t xml:space="preserve"> </w:t>
      </w:r>
      <w:r w:rsidRPr="00F8065C">
        <w:rPr>
          <w:lang w:val="fr-CA"/>
        </w:rPr>
        <w:t xml:space="preserve">29). </w:t>
      </w:r>
      <w:r>
        <w:rPr>
          <w:lang w:val="fr-CA"/>
        </w:rPr>
        <w:t xml:space="preserve"> Elle a indiqué que ces facteurs faisaient partie des </w:t>
      </w:r>
      <w:r w:rsidRPr="003A0772">
        <w:rPr>
          <w:lang w:val="fr-CA"/>
        </w:rPr>
        <w:t>pressions et tensions nor</w:t>
      </w:r>
      <w:r>
        <w:rPr>
          <w:lang w:val="fr-CA"/>
        </w:rPr>
        <w:t>males énumérées à la Politique et qu’ils ne pouvaient donc être considérés comme excessifs ou inusités</w:t>
      </w:r>
      <w:r w:rsidRPr="00F8065C">
        <w:rPr>
          <w:lang w:val="fr-CA"/>
        </w:rPr>
        <w:t>.</w:t>
      </w:r>
    </w:p>
    <w:p w:rsidR="003D74EC" w:rsidRPr="00F8065C" w:rsidRDefault="003D74EC" w:rsidP="007B13C0">
      <w:pPr>
        <w:pStyle w:val="ParaNoNdepar-AltN"/>
        <w:rPr>
          <w:lang w:val="fr-CA"/>
        </w:rPr>
      </w:pPr>
      <w:r>
        <w:rPr>
          <w:lang w:val="fr-CA"/>
        </w:rPr>
        <w:t>Vu le dossier et les circonstances entourant la demande d’indemnisation, il était loisible à la Commission de conclure que la [</w:t>
      </w:r>
      <w:r w:rsidRPr="00135D48">
        <w:rPr>
          <w:smallCaps/>
          <w:lang w:val="fr-CA"/>
        </w:rPr>
        <w:t>traduction</w:t>
      </w:r>
      <w:r>
        <w:rPr>
          <w:lang w:val="fr-CA"/>
        </w:rPr>
        <w:t>] «</w:t>
      </w:r>
      <w:r w:rsidR="007B13C0">
        <w:rPr>
          <w:lang w:val="fr-CA"/>
        </w:rPr>
        <w:t xml:space="preserve"> </w:t>
      </w:r>
      <w:r>
        <w:rPr>
          <w:lang w:val="fr-CA"/>
        </w:rPr>
        <w:t>cause prédominante</w:t>
      </w:r>
      <w:r w:rsidR="007B13C0">
        <w:rPr>
          <w:lang w:val="fr-CA"/>
        </w:rPr>
        <w:t xml:space="preserve"> </w:t>
      </w:r>
      <w:r>
        <w:rPr>
          <w:lang w:val="fr-CA"/>
        </w:rPr>
        <w:t>» de l’atteinte psychologique de M.</w:t>
      </w:r>
      <w:r w:rsidR="007B13C0">
        <w:rPr>
          <w:lang w:val="fr-CA"/>
        </w:rPr>
        <w:t xml:space="preserve"> </w:t>
      </w:r>
      <w:r>
        <w:rPr>
          <w:lang w:val="fr-CA"/>
        </w:rPr>
        <w:t xml:space="preserve">Martin était sa réaction à la lettre de l’employeur lui intimant de donner suite à une demande d’accès à l’information, laquelle n’était pas inusitée par rapport aux </w:t>
      </w:r>
      <w:r w:rsidRPr="00D65839">
        <w:rPr>
          <w:lang w:val="fr-CA"/>
        </w:rPr>
        <w:t xml:space="preserve">pressions et tensions </w:t>
      </w:r>
      <w:r>
        <w:rPr>
          <w:lang w:val="fr-CA"/>
        </w:rPr>
        <w:t xml:space="preserve">normales s’exerçant dans un </w:t>
      </w:r>
      <w:r w:rsidRPr="00D65839">
        <w:rPr>
          <w:lang w:val="fr-CA"/>
        </w:rPr>
        <w:t>emploi semblable</w:t>
      </w:r>
      <w:r w:rsidRPr="00F8065C">
        <w:rPr>
          <w:lang w:val="fr-CA"/>
        </w:rPr>
        <w:t xml:space="preserve"> (</w:t>
      </w:r>
      <w:r>
        <w:rPr>
          <w:lang w:val="fr-CA"/>
        </w:rPr>
        <w:t>par.</w:t>
      </w:r>
      <w:r w:rsidR="007B13C0">
        <w:rPr>
          <w:lang w:val="fr-CA"/>
        </w:rPr>
        <w:t xml:space="preserve"> </w:t>
      </w:r>
      <w:r w:rsidRPr="00F8065C">
        <w:rPr>
          <w:lang w:val="fr-CA"/>
        </w:rPr>
        <w:t>2</w:t>
      </w:r>
      <w:r>
        <w:rPr>
          <w:lang w:val="fr-CA"/>
        </w:rPr>
        <w:t xml:space="preserve">8 et </w:t>
      </w:r>
      <w:r w:rsidRPr="00F8065C">
        <w:rPr>
          <w:lang w:val="fr-CA"/>
        </w:rPr>
        <w:t xml:space="preserve">30). </w:t>
      </w:r>
    </w:p>
    <w:p w:rsidR="003D74EC" w:rsidRPr="00F8065C" w:rsidRDefault="003D74EC" w:rsidP="007B13C0">
      <w:pPr>
        <w:pStyle w:val="ParaNoNdepar-AltN"/>
        <w:rPr>
          <w:lang w:val="fr-CA"/>
        </w:rPr>
      </w:pPr>
      <w:r>
        <w:rPr>
          <w:lang w:val="fr-CA"/>
        </w:rPr>
        <w:t xml:space="preserve">Je ne partage pas l’avis de l’appelant qui estime déraisonnable la conclusion de la Commission selon laquelle </w:t>
      </w:r>
      <w:r w:rsidR="006A23E8">
        <w:rPr>
          <w:lang w:val="fr-CA"/>
        </w:rPr>
        <w:t>[</w:t>
      </w:r>
      <w:r w:rsidR="006A23E8" w:rsidRPr="006A23E8">
        <w:rPr>
          <w:smallCaps/>
          <w:lang w:val="fr-CA"/>
        </w:rPr>
        <w:t>traduction</w:t>
      </w:r>
      <w:r w:rsidR="006A23E8">
        <w:rPr>
          <w:lang w:val="fr-CA"/>
        </w:rPr>
        <w:t xml:space="preserve">] </w:t>
      </w:r>
      <w:r>
        <w:rPr>
          <w:lang w:val="fr-CA"/>
        </w:rPr>
        <w:t>«</w:t>
      </w:r>
      <w:r w:rsidR="007B13C0">
        <w:rPr>
          <w:lang w:val="fr-CA"/>
        </w:rPr>
        <w:t xml:space="preserve"> </w:t>
      </w:r>
      <w:r>
        <w:rPr>
          <w:lang w:val="fr-CA"/>
        </w:rPr>
        <w:t xml:space="preserve">les </w:t>
      </w:r>
      <w:r w:rsidRPr="00D65839">
        <w:rPr>
          <w:lang w:val="fr-CA"/>
        </w:rPr>
        <w:t xml:space="preserve">pressions et tensions </w:t>
      </w:r>
      <w:r>
        <w:rPr>
          <w:lang w:val="fr-CA"/>
        </w:rPr>
        <w:t>normales</w:t>
      </w:r>
      <w:r w:rsidR="007B13C0">
        <w:rPr>
          <w:lang w:val="fr-CA"/>
        </w:rPr>
        <w:t xml:space="preserve"> </w:t>
      </w:r>
      <w:r>
        <w:rPr>
          <w:lang w:val="fr-CA"/>
        </w:rPr>
        <w:t>» énumérées à la Politique excluaient complètement les questions concernant les relations de travail, les préoccupations en matière de santé et sécurité</w:t>
      </w:r>
      <w:r w:rsidRPr="00D65839">
        <w:rPr>
          <w:lang w:val="fr-CA"/>
        </w:rPr>
        <w:t xml:space="preserve"> </w:t>
      </w:r>
      <w:r>
        <w:rPr>
          <w:lang w:val="fr-CA"/>
        </w:rPr>
        <w:t xml:space="preserve">ou les relations et conflits interpersonnels aux fins d’indemnisation.  Correctement interprétés, les motifs de la Commission indiquent clairement que, selon elle, les événements n’étaient pas excessifs ou inusités, compte tenu des faits de l’espèce. </w:t>
      </w:r>
    </w:p>
    <w:p w:rsidR="003D74EC" w:rsidRPr="00F8065C" w:rsidRDefault="003D74EC" w:rsidP="007B13C0">
      <w:pPr>
        <w:pStyle w:val="ParaNoNdepar-AltN"/>
        <w:rPr>
          <w:lang w:val="fr-CA"/>
        </w:rPr>
      </w:pPr>
      <w:r>
        <w:rPr>
          <w:lang w:val="fr-CA"/>
        </w:rPr>
        <w:lastRenderedPageBreak/>
        <w:t xml:space="preserve">La conclusion de la </w:t>
      </w:r>
      <w:r w:rsidRPr="00F8065C">
        <w:rPr>
          <w:lang w:val="fr-CA"/>
        </w:rPr>
        <w:t>Commission</w:t>
      </w:r>
      <w:r>
        <w:rPr>
          <w:lang w:val="fr-CA"/>
        </w:rPr>
        <w:t xml:space="preserve"> concernant le troisième critère faisait partie des «</w:t>
      </w:r>
      <w:r w:rsidR="007B13C0">
        <w:rPr>
          <w:lang w:val="fr-CA"/>
        </w:rPr>
        <w:t xml:space="preserve"> </w:t>
      </w:r>
      <w:r>
        <w:rPr>
          <w:lang w:val="fr-CA"/>
        </w:rPr>
        <w:t>issues possibles acceptables pouvant se justifier au regard des faits et du droit</w:t>
      </w:r>
      <w:r w:rsidR="007B13C0">
        <w:rPr>
          <w:lang w:val="fr-CA"/>
        </w:rPr>
        <w:t xml:space="preserve"> </w:t>
      </w:r>
      <w:r>
        <w:rPr>
          <w:lang w:val="fr-CA"/>
        </w:rPr>
        <w:t xml:space="preserve">» </w:t>
      </w:r>
      <w:r w:rsidRPr="00F8065C">
        <w:rPr>
          <w:lang w:val="fr-CA"/>
        </w:rPr>
        <w:t>(</w:t>
      </w:r>
      <w:r w:rsidRPr="00F8065C">
        <w:rPr>
          <w:i/>
          <w:lang w:val="fr-CA"/>
        </w:rPr>
        <w:t xml:space="preserve">Dunsmuir </w:t>
      </w:r>
      <w:r>
        <w:rPr>
          <w:i/>
          <w:lang w:val="fr-CA"/>
        </w:rPr>
        <w:t>c</w:t>
      </w:r>
      <w:r w:rsidRPr="00F8065C">
        <w:rPr>
          <w:i/>
          <w:lang w:val="fr-CA"/>
        </w:rPr>
        <w:t>. N</w:t>
      </w:r>
      <w:r>
        <w:rPr>
          <w:i/>
          <w:lang w:val="fr-CA"/>
        </w:rPr>
        <w:t>ouveau</w:t>
      </w:r>
      <w:r>
        <w:rPr>
          <w:i/>
          <w:lang w:val="fr-CA"/>
        </w:rPr>
        <w:noBreakHyphen/>
      </w:r>
      <w:r w:rsidRPr="00F8065C">
        <w:rPr>
          <w:i/>
          <w:lang w:val="fr-CA"/>
        </w:rPr>
        <w:t>Brunswick</w:t>
      </w:r>
      <w:r w:rsidRPr="00F8065C">
        <w:rPr>
          <w:lang w:val="fr-CA"/>
        </w:rPr>
        <w:t>, 2008 C</w:t>
      </w:r>
      <w:r>
        <w:rPr>
          <w:lang w:val="fr-CA"/>
        </w:rPr>
        <w:t>S</w:t>
      </w:r>
      <w:r w:rsidRPr="00F8065C">
        <w:rPr>
          <w:lang w:val="fr-CA"/>
        </w:rPr>
        <w:t>C 9,</w:t>
      </w:r>
      <w:r>
        <w:rPr>
          <w:lang w:val="fr-CA"/>
        </w:rPr>
        <w:t xml:space="preserve"> [2008] 1 R.C.S. 190,</w:t>
      </w:r>
      <w:r w:rsidRPr="00F8065C">
        <w:rPr>
          <w:lang w:val="fr-CA"/>
        </w:rPr>
        <w:t xml:space="preserve"> </w:t>
      </w:r>
      <w:r>
        <w:rPr>
          <w:lang w:val="fr-CA"/>
        </w:rPr>
        <w:t>par.</w:t>
      </w:r>
      <w:r w:rsidR="007B13C0">
        <w:rPr>
          <w:lang w:val="fr-CA"/>
        </w:rPr>
        <w:t xml:space="preserve"> </w:t>
      </w:r>
      <w:r w:rsidRPr="00F8065C">
        <w:rPr>
          <w:lang w:val="fr-CA"/>
        </w:rPr>
        <w:t>47).</w:t>
      </w:r>
    </w:p>
    <w:p w:rsidR="003D74EC" w:rsidRPr="00F8065C" w:rsidRDefault="003D74EC" w:rsidP="007B13C0">
      <w:pPr>
        <w:pStyle w:val="ParaNoNdepar-AltN"/>
        <w:rPr>
          <w:lang w:val="fr-CA"/>
        </w:rPr>
      </w:pPr>
      <w:r>
        <w:rPr>
          <w:lang w:val="fr-CA"/>
        </w:rPr>
        <w:t xml:space="preserve">Le troisième critère n’étant pas rempli, la décision de la Commission de rejeter la demande d’indemnisation était raisonnable.  Il n’est pas nécessaire d’examiner son analyse quant au quatrième critère. </w:t>
      </w:r>
    </w:p>
    <w:p w:rsidR="003D74EC" w:rsidRPr="00F8065C" w:rsidRDefault="003D74EC" w:rsidP="007B13C0">
      <w:pPr>
        <w:pStyle w:val="Title1LevelTitre1Niveau-AltL"/>
        <w:keepNext w:val="0"/>
        <w:rPr>
          <w:lang w:val="fr-CA"/>
        </w:rPr>
      </w:pPr>
      <w:r w:rsidRPr="00F8065C">
        <w:rPr>
          <w:lang w:val="fr-CA"/>
        </w:rPr>
        <w:t>Conclusion</w:t>
      </w:r>
    </w:p>
    <w:p w:rsidR="003D74EC" w:rsidRPr="00F8065C" w:rsidRDefault="003D74EC" w:rsidP="007B13C0">
      <w:pPr>
        <w:pStyle w:val="ParaNoNdepar-AltN"/>
        <w:rPr>
          <w:lang w:val="fr-CA"/>
        </w:rPr>
      </w:pPr>
      <w:r>
        <w:rPr>
          <w:lang w:val="fr-CA"/>
        </w:rPr>
        <w:t xml:space="preserve">En adoptant la </w:t>
      </w:r>
      <w:r w:rsidRPr="00C472AE">
        <w:rPr>
          <w:i/>
          <w:lang w:val="fr-CA"/>
        </w:rPr>
        <w:t>LIAÉ</w:t>
      </w:r>
      <w:r w:rsidRPr="00F8065C">
        <w:rPr>
          <w:lang w:val="fr-CA"/>
        </w:rPr>
        <w:t xml:space="preserve">, </w:t>
      </w:r>
      <w:r>
        <w:rPr>
          <w:lang w:val="fr-CA"/>
        </w:rPr>
        <w:t xml:space="preserve">le législateur entendait que les autorités provinciales compétentes statuent sur les demandes d’indemnisation des agents de l’État fédéral, </w:t>
      </w:r>
      <w:r w:rsidRPr="00F8065C">
        <w:rPr>
          <w:lang w:val="fr-CA"/>
        </w:rPr>
        <w:t xml:space="preserve">— </w:t>
      </w:r>
      <w:r>
        <w:rPr>
          <w:lang w:val="fr-CA"/>
        </w:rPr>
        <w:t>y compris le droit à l’indemnité et les taux d’indemnisation</w:t>
      </w:r>
      <w:r w:rsidRPr="00F8065C">
        <w:rPr>
          <w:lang w:val="fr-CA"/>
        </w:rPr>
        <w:t xml:space="preserve"> — </w:t>
      </w:r>
      <w:r>
        <w:rPr>
          <w:lang w:val="fr-CA"/>
        </w:rPr>
        <w:t xml:space="preserve">selon la législation provinciale, sauf lorsqu’il y a conflit entre cette législation et la </w:t>
      </w:r>
      <w:r w:rsidRPr="00C77A2B">
        <w:rPr>
          <w:i/>
          <w:lang w:val="fr-CA"/>
        </w:rPr>
        <w:t>LIAÉ</w:t>
      </w:r>
      <w:r w:rsidRPr="00F8065C">
        <w:rPr>
          <w:lang w:val="fr-CA"/>
        </w:rPr>
        <w:t xml:space="preserve">.  </w:t>
      </w:r>
      <w:r>
        <w:rPr>
          <w:lang w:val="fr-CA"/>
        </w:rPr>
        <w:t>L’interprétation de ce qui constitue un «</w:t>
      </w:r>
      <w:r w:rsidR="007B13C0">
        <w:rPr>
          <w:lang w:val="fr-CA"/>
        </w:rPr>
        <w:t xml:space="preserve"> </w:t>
      </w:r>
      <w:r>
        <w:rPr>
          <w:lang w:val="fr-CA"/>
        </w:rPr>
        <w:t>accident</w:t>
      </w:r>
      <w:r w:rsidR="007B13C0">
        <w:rPr>
          <w:lang w:val="fr-CA"/>
        </w:rPr>
        <w:t xml:space="preserve"> </w:t>
      </w:r>
      <w:r>
        <w:rPr>
          <w:lang w:val="fr-CA"/>
        </w:rPr>
        <w:t xml:space="preserve">» pour le traitement d’une demande d’indemnisation pour stress psychologique qui figure à la Politique albertaine n’entre pas en conflit avec la </w:t>
      </w:r>
      <w:r w:rsidRPr="00C77A2B">
        <w:rPr>
          <w:i/>
          <w:lang w:val="fr-CA"/>
        </w:rPr>
        <w:t>LIAÉ</w:t>
      </w:r>
      <w:r>
        <w:rPr>
          <w:lang w:val="fr-CA"/>
        </w:rPr>
        <w:t xml:space="preserve">.  Elle s’appliquait donc à la demande de l’appelant. La décision de la Commission, qui a refusé d’accorder l’indemnité, était raisonnable.  Le pourvoi est rejeté. </w:t>
      </w:r>
    </w:p>
    <w:p w:rsidR="004D7D95" w:rsidRPr="00F4361E" w:rsidRDefault="004D7D95" w:rsidP="007B13C0">
      <w:pPr>
        <w:pStyle w:val="SCCNormalDoubleSpacing"/>
        <w:spacing w:before="480" w:after="480"/>
        <w:rPr>
          <w:i/>
          <w:lang w:val="fr-CA"/>
        </w:rPr>
      </w:pPr>
      <w:r w:rsidRPr="003D74EC">
        <w:rPr>
          <w:lang w:val="fr-CA"/>
        </w:rPr>
        <w:tab/>
      </w:r>
      <w:r w:rsidR="007478EF" w:rsidRPr="00F4361E">
        <w:rPr>
          <w:i/>
          <w:lang w:val="fr-CA"/>
        </w:rPr>
        <w:t xml:space="preserve">Pourvoi </w:t>
      </w:r>
      <w:r w:rsidR="00F2683A" w:rsidRPr="00F4361E">
        <w:rPr>
          <w:i/>
          <w:lang w:val="fr-CA"/>
        </w:rPr>
        <w:t>rejeté.</w:t>
      </w:r>
    </w:p>
    <w:p w:rsidR="006E68A6" w:rsidRPr="00F4361E" w:rsidRDefault="007478EF" w:rsidP="007B13C0">
      <w:pPr>
        <w:pStyle w:val="SCCLawFirm"/>
        <w:spacing w:before="480" w:after="480"/>
        <w:rPr>
          <w:lang w:val="fr-CA"/>
        </w:rPr>
      </w:pPr>
      <w:r w:rsidRPr="00F4361E">
        <w:rPr>
          <w:lang w:val="fr-CA"/>
        </w:rPr>
        <w:tab/>
        <w:t>Procureurs</w:t>
      </w:r>
      <w:r w:rsidR="006358D6" w:rsidRPr="00F4361E">
        <w:rPr>
          <w:lang w:val="fr-CA"/>
        </w:rPr>
        <w:t xml:space="preserve"> de l</w:t>
      </w:r>
      <w:r w:rsidR="006913CE" w:rsidRPr="00F4361E">
        <w:rPr>
          <w:lang w:val="fr-CA"/>
        </w:rPr>
        <w:t>’</w:t>
      </w:r>
      <w:r w:rsidRPr="00F4361E">
        <w:rPr>
          <w:lang w:val="fr-CA"/>
        </w:rPr>
        <w:t>appelant</w:t>
      </w:r>
      <w:r w:rsidR="007B13C0">
        <w:rPr>
          <w:lang w:val="fr-CA"/>
        </w:rPr>
        <w:t xml:space="preserve"> </w:t>
      </w:r>
      <w:r w:rsidR="00F06139">
        <w:rPr>
          <w:lang w:val="fr-CA"/>
        </w:rPr>
        <w:t>:</w:t>
      </w:r>
      <w:r w:rsidR="007B13C0">
        <w:rPr>
          <w:lang w:val="fr-CA"/>
        </w:rPr>
        <w:t xml:space="preserve"> </w:t>
      </w:r>
      <w:r w:rsidR="006358D6" w:rsidRPr="00F4361E">
        <w:rPr>
          <w:lang w:val="fr-CA"/>
        </w:rPr>
        <w:t>Raven, Cameron, Ballantyne &amp; Yazbeck, Ottawa.</w:t>
      </w:r>
    </w:p>
    <w:p w:rsidR="006E68A6" w:rsidRPr="00F4361E" w:rsidRDefault="00164F7C" w:rsidP="007B13C0">
      <w:pPr>
        <w:pStyle w:val="SCCLawFirm"/>
        <w:spacing w:before="480" w:after="480"/>
        <w:rPr>
          <w:lang w:val="en-US"/>
        </w:rPr>
      </w:pPr>
      <w:r w:rsidRPr="00F4361E">
        <w:rPr>
          <w:lang w:val="fr-CA"/>
        </w:rPr>
        <w:lastRenderedPageBreak/>
        <w:tab/>
      </w:r>
      <w:r w:rsidRPr="00F4361E">
        <w:rPr>
          <w:lang w:val="en-US"/>
        </w:rPr>
        <w:t xml:space="preserve">Procureur </w:t>
      </w:r>
      <w:r w:rsidR="006358D6" w:rsidRPr="00F4361E">
        <w:rPr>
          <w:lang w:val="en-US"/>
        </w:rPr>
        <w:t>de l</w:t>
      </w:r>
      <w:r w:rsidR="006913CE" w:rsidRPr="00F4361E">
        <w:rPr>
          <w:lang w:val="en-US"/>
        </w:rPr>
        <w:t>’</w:t>
      </w:r>
      <w:r w:rsidR="006358D6" w:rsidRPr="00F4361E">
        <w:rPr>
          <w:lang w:val="en-US"/>
        </w:rPr>
        <w:t>intimé</w:t>
      </w:r>
      <w:r w:rsidRPr="00F4361E">
        <w:rPr>
          <w:lang w:val="en-US"/>
        </w:rPr>
        <w:t xml:space="preserve"> Workers’ Compensation Board of Alberta</w:t>
      </w:r>
      <w:r w:rsidR="007B13C0">
        <w:rPr>
          <w:lang w:val="en-US"/>
        </w:rPr>
        <w:t xml:space="preserve"> </w:t>
      </w:r>
      <w:r w:rsidR="00F06139">
        <w:rPr>
          <w:lang w:val="en-US"/>
        </w:rPr>
        <w:t>:</w:t>
      </w:r>
      <w:r w:rsidR="007B13C0">
        <w:rPr>
          <w:lang w:val="en-US"/>
        </w:rPr>
        <w:t xml:space="preserve"> </w:t>
      </w:r>
      <w:r w:rsidR="006358D6" w:rsidRPr="00F4361E">
        <w:rPr>
          <w:lang w:val="en-US"/>
        </w:rPr>
        <w:t>Workers</w:t>
      </w:r>
      <w:r w:rsidR="006913CE" w:rsidRPr="00F4361E">
        <w:rPr>
          <w:lang w:val="en-US"/>
        </w:rPr>
        <w:t>’</w:t>
      </w:r>
      <w:r w:rsidR="006358D6" w:rsidRPr="00F4361E">
        <w:rPr>
          <w:lang w:val="en-US"/>
        </w:rPr>
        <w:t xml:space="preserve"> Compensation Board of Alberta, Edmonton.</w:t>
      </w:r>
    </w:p>
    <w:p w:rsidR="006E68A6" w:rsidRPr="00F4361E" w:rsidRDefault="006358D6" w:rsidP="007B13C0">
      <w:pPr>
        <w:pStyle w:val="SCCLawFirm"/>
        <w:spacing w:before="480" w:after="480"/>
        <w:rPr>
          <w:lang w:val="en-US"/>
        </w:rPr>
      </w:pPr>
      <w:r w:rsidRPr="00F4361E">
        <w:rPr>
          <w:lang w:val="en-US"/>
        </w:rPr>
        <w:tab/>
        <w:t>Procureur</w:t>
      </w:r>
      <w:r w:rsidR="00EE70A0" w:rsidRPr="00F4361E">
        <w:rPr>
          <w:lang w:val="en-US"/>
        </w:rPr>
        <w:t xml:space="preserve"> de l’intimée Appeals Commission for Alberta Wo</w:t>
      </w:r>
      <w:r w:rsidR="004F6C15" w:rsidRPr="00F4361E">
        <w:rPr>
          <w:lang w:val="en-US"/>
        </w:rPr>
        <w:t>r</w:t>
      </w:r>
      <w:r w:rsidR="00EE70A0" w:rsidRPr="00F4361E">
        <w:rPr>
          <w:lang w:val="en-US"/>
        </w:rPr>
        <w:t>kers’ Compensation</w:t>
      </w:r>
      <w:r w:rsidR="007B13C0">
        <w:rPr>
          <w:lang w:val="en-US"/>
        </w:rPr>
        <w:t xml:space="preserve"> </w:t>
      </w:r>
      <w:r w:rsidR="00F06139">
        <w:rPr>
          <w:lang w:val="en-US"/>
        </w:rPr>
        <w:t>:</w:t>
      </w:r>
      <w:r w:rsidR="007B13C0">
        <w:rPr>
          <w:lang w:val="en-US"/>
        </w:rPr>
        <w:t xml:space="preserve"> </w:t>
      </w:r>
      <w:r w:rsidRPr="00F4361E">
        <w:rPr>
          <w:lang w:val="en-US"/>
        </w:rPr>
        <w:t>Appeals Commission</w:t>
      </w:r>
      <w:r w:rsidR="004F6C15" w:rsidRPr="00F4361E">
        <w:rPr>
          <w:lang w:val="en-US"/>
        </w:rPr>
        <w:t xml:space="preserve"> for Alberta Workers’ Compensation</w:t>
      </w:r>
      <w:r w:rsidRPr="00F4361E">
        <w:rPr>
          <w:lang w:val="en-US"/>
        </w:rPr>
        <w:t>, Edmonton.</w:t>
      </w:r>
    </w:p>
    <w:p w:rsidR="006E68A6" w:rsidRPr="00F4361E" w:rsidRDefault="006358D6" w:rsidP="007B13C0">
      <w:pPr>
        <w:pStyle w:val="SCCLawFirm"/>
        <w:spacing w:before="480" w:after="480"/>
        <w:rPr>
          <w:lang w:val="fr-CA"/>
        </w:rPr>
      </w:pPr>
      <w:r w:rsidRPr="00F4361E">
        <w:rPr>
          <w:lang w:val="en-US"/>
        </w:rPr>
        <w:tab/>
      </w:r>
      <w:r w:rsidRPr="00F4361E">
        <w:rPr>
          <w:lang w:val="fr-CA"/>
        </w:rPr>
        <w:t>Procureur</w:t>
      </w:r>
      <w:r w:rsidR="00564CBD" w:rsidRPr="00F4361E">
        <w:rPr>
          <w:lang w:val="fr-CA"/>
        </w:rPr>
        <w:t xml:space="preserve"> </w:t>
      </w:r>
      <w:r w:rsidRPr="00F4361E">
        <w:rPr>
          <w:lang w:val="fr-CA"/>
        </w:rPr>
        <w:t>de l</w:t>
      </w:r>
      <w:r w:rsidR="006913CE" w:rsidRPr="00F4361E">
        <w:rPr>
          <w:lang w:val="fr-CA"/>
        </w:rPr>
        <w:t>’</w:t>
      </w:r>
      <w:r w:rsidR="00564CBD" w:rsidRPr="00F4361E">
        <w:rPr>
          <w:lang w:val="fr-CA"/>
        </w:rPr>
        <w:t xml:space="preserve">intimé le procureur </w:t>
      </w:r>
      <w:r w:rsidR="004F6C15" w:rsidRPr="00F4361E">
        <w:rPr>
          <w:lang w:val="fr-CA"/>
        </w:rPr>
        <w:t>géné</w:t>
      </w:r>
      <w:r w:rsidR="00564CBD" w:rsidRPr="00F4361E">
        <w:rPr>
          <w:lang w:val="fr-CA"/>
        </w:rPr>
        <w:t>ral du Canada</w:t>
      </w:r>
      <w:r w:rsidR="007B13C0">
        <w:rPr>
          <w:lang w:val="fr-CA"/>
        </w:rPr>
        <w:t xml:space="preserve"> </w:t>
      </w:r>
      <w:r w:rsidR="00F06139">
        <w:rPr>
          <w:lang w:val="fr-CA"/>
        </w:rPr>
        <w:t>:</w:t>
      </w:r>
      <w:r w:rsidR="007B13C0">
        <w:rPr>
          <w:lang w:val="fr-CA"/>
        </w:rPr>
        <w:t xml:space="preserve"> </w:t>
      </w:r>
      <w:r w:rsidR="00564CBD" w:rsidRPr="00F4361E">
        <w:rPr>
          <w:lang w:val="fr-CA"/>
        </w:rPr>
        <w:t>Procureur g</w:t>
      </w:r>
      <w:r w:rsidR="006A23E8">
        <w:rPr>
          <w:lang w:val="fr-CA"/>
        </w:rPr>
        <w:t>éné</w:t>
      </w:r>
      <w:r w:rsidR="00564CBD" w:rsidRPr="00F4361E">
        <w:rPr>
          <w:lang w:val="fr-CA"/>
        </w:rPr>
        <w:t xml:space="preserve">ral du </w:t>
      </w:r>
      <w:r w:rsidRPr="00F4361E">
        <w:rPr>
          <w:lang w:val="fr-CA"/>
        </w:rPr>
        <w:t>Canada, Ottawa.</w:t>
      </w:r>
    </w:p>
    <w:p w:rsidR="006E68A6" w:rsidRPr="00F4361E" w:rsidRDefault="006358D6" w:rsidP="007B13C0">
      <w:pPr>
        <w:pStyle w:val="SCCLawFirm"/>
        <w:spacing w:before="480" w:after="480"/>
      </w:pPr>
      <w:r w:rsidRPr="00F4361E">
        <w:rPr>
          <w:lang w:val="fr-CA"/>
        </w:rPr>
        <w:tab/>
      </w:r>
      <w:r w:rsidRPr="00F4361E">
        <w:t>Procureur</w:t>
      </w:r>
      <w:r w:rsidR="00B1390D" w:rsidRPr="00F4361E">
        <w:t xml:space="preserve"> </w:t>
      </w:r>
      <w:r w:rsidRPr="00F4361E">
        <w:t>de l</w:t>
      </w:r>
      <w:r w:rsidR="006913CE" w:rsidRPr="00F4361E">
        <w:t>’</w:t>
      </w:r>
      <w:r w:rsidR="00B1390D" w:rsidRPr="00F4361E">
        <w:t xml:space="preserve">intervenant </w:t>
      </w:r>
      <w:r w:rsidRPr="00F4361E">
        <w:t>Workers</w:t>
      </w:r>
      <w:r w:rsidR="006913CE" w:rsidRPr="00F4361E">
        <w:t>’</w:t>
      </w:r>
      <w:r w:rsidRPr="00F4361E">
        <w:t xml:space="preserve"> Compensation Board of British Columbia</w:t>
      </w:r>
      <w:r w:rsidR="007B13C0">
        <w:t xml:space="preserve"> </w:t>
      </w:r>
      <w:r w:rsidR="00F06139">
        <w:t>:</w:t>
      </w:r>
      <w:r w:rsidR="007B13C0">
        <w:t xml:space="preserve"> </w:t>
      </w:r>
      <w:r w:rsidRPr="00F4361E">
        <w:t>Workers</w:t>
      </w:r>
      <w:r w:rsidR="006913CE" w:rsidRPr="00F4361E">
        <w:t>’</w:t>
      </w:r>
      <w:r w:rsidRPr="00F4361E">
        <w:t xml:space="preserve"> Compensation Board of British Columbia, Richmond.</w:t>
      </w:r>
    </w:p>
    <w:p w:rsidR="006E68A6" w:rsidRPr="00F4361E" w:rsidRDefault="006358D6" w:rsidP="007B13C0">
      <w:pPr>
        <w:pStyle w:val="SCCLawFirm"/>
        <w:spacing w:before="480" w:after="480"/>
        <w:rPr>
          <w:lang w:val="fr-CA"/>
        </w:rPr>
      </w:pPr>
      <w:r w:rsidRPr="00F4361E">
        <w:tab/>
      </w:r>
      <w:r w:rsidRPr="00F4361E">
        <w:rPr>
          <w:lang w:val="fr-CA"/>
        </w:rPr>
        <w:t>Procureur</w:t>
      </w:r>
      <w:r w:rsidR="003821AE" w:rsidRPr="00F4361E">
        <w:rPr>
          <w:lang w:val="fr-CA"/>
        </w:rPr>
        <w:t>s</w:t>
      </w:r>
      <w:r w:rsidRPr="00F4361E">
        <w:rPr>
          <w:lang w:val="fr-CA"/>
        </w:rPr>
        <w:t xml:space="preserve"> de l</w:t>
      </w:r>
      <w:r w:rsidR="006913CE" w:rsidRPr="00F4361E">
        <w:rPr>
          <w:lang w:val="fr-CA"/>
        </w:rPr>
        <w:t>’</w:t>
      </w:r>
      <w:r w:rsidRPr="00F4361E">
        <w:rPr>
          <w:lang w:val="fr-CA"/>
        </w:rPr>
        <w:t>intervenant</w:t>
      </w:r>
      <w:r w:rsidR="003821AE" w:rsidRPr="00F4361E">
        <w:rPr>
          <w:lang w:val="fr-CA"/>
        </w:rPr>
        <w:t>e la</w:t>
      </w:r>
      <w:r w:rsidRPr="00F4361E">
        <w:rPr>
          <w:lang w:val="fr-CA"/>
        </w:rPr>
        <w:t xml:space="preserve"> Commission de la santé et de la sécurité du travail</w:t>
      </w:r>
      <w:r w:rsidR="007B13C0">
        <w:rPr>
          <w:lang w:val="fr-CA"/>
        </w:rPr>
        <w:t xml:space="preserve"> </w:t>
      </w:r>
      <w:r w:rsidR="00F06139">
        <w:rPr>
          <w:lang w:val="fr-CA"/>
        </w:rPr>
        <w:t>:</w:t>
      </w:r>
      <w:r w:rsidR="007B13C0">
        <w:rPr>
          <w:lang w:val="fr-CA"/>
        </w:rPr>
        <w:t xml:space="preserve"> </w:t>
      </w:r>
      <w:r w:rsidRPr="00F4361E">
        <w:rPr>
          <w:lang w:val="fr-CA"/>
        </w:rPr>
        <w:t>Vigneault Thibodeau Bergeron, Québec.</w:t>
      </w:r>
    </w:p>
    <w:p w:rsidR="004D7D95" w:rsidRDefault="006358D6" w:rsidP="007B13C0">
      <w:pPr>
        <w:pStyle w:val="SCCLawFirm"/>
      </w:pPr>
      <w:r w:rsidRPr="00F4361E">
        <w:rPr>
          <w:lang w:val="fr-CA"/>
        </w:rPr>
        <w:tab/>
      </w:r>
      <w:r w:rsidRPr="00F4361E">
        <w:t>Procureur</w:t>
      </w:r>
      <w:r w:rsidR="006A0E7D" w:rsidRPr="00F4361E">
        <w:t>s</w:t>
      </w:r>
      <w:r w:rsidRPr="00F4361E">
        <w:t xml:space="preserve"> de l</w:t>
      </w:r>
      <w:r w:rsidR="006913CE" w:rsidRPr="00F4361E">
        <w:t>’</w:t>
      </w:r>
      <w:r w:rsidRPr="00F4361E">
        <w:t>intervenant</w:t>
      </w:r>
      <w:r w:rsidR="006A0E7D" w:rsidRPr="00F4361E">
        <w:t xml:space="preserve"> </w:t>
      </w:r>
      <w:r w:rsidRPr="00F4361E">
        <w:t>Workers</w:t>
      </w:r>
      <w:r w:rsidR="006913CE" w:rsidRPr="00F4361E">
        <w:t>’</w:t>
      </w:r>
      <w:r w:rsidRPr="00F4361E">
        <w:t xml:space="preserve"> Compensation Board of Nova Scotia</w:t>
      </w:r>
      <w:r w:rsidR="007B13C0">
        <w:t xml:space="preserve"> </w:t>
      </w:r>
      <w:r w:rsidR="00F06139">
        <w:t>:</w:t>
      </w:r>
      <w:r w:rsidR="007B13C0">
        <w:t xml:space="preserve"> </w:t>
      </w:r>
      <w:r w:rsidRPr="00F4361E">
        <w:t>Stewart McKelvey, Halifax.</w:t>
      </w:r>
    </w:p>
    <w:p w:rsidR="00BC41CE" w:rsidRPr="009575FF" w:rsidRDefault="00BC41CE" w:rsidP="007B13C0">
      <w:pPr>
        <w:rPr>
          <w:lang w:val="en-US"/>
        </w:rPr>
      </w:pPr>
    </w:p>
    <w:sectPr w:rsidR="00BC41CE" w:rsidRPr="009575FF" w:rsidSect="000648CC">
      <w:headerReference w:type="even" r:id="rId10"/>
      <w:headerReference w:type="default" r:id="rId11"/>
      <w:footerReference w:type="even" r:id="rId12"/>
      <w:footerReference w:type="default" r:id="rId13"/>
      <w:headerReference w:type="first" r:id="rId14"/>
      <w:footerReference w:type="first" r:id="rId15"/>
      <w:pgSz w:w="12240" w:h="15840"/>
      <w:pgMar w:top="1267" w:right="2160" w:bottom="720" w:left="1800" w:header="1802"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1A8C" w:rsidRDefault="008E1A8C">
      <w:r>
        <w:separator/>
      </w:r>
    </w:p>
  </w:endnote>
  <w:endnote w:type="continuationSeparator" w:id="0">
    <w:p w:rsidR="008E1A8C" w:rsidRDefault="008E1A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A8C" w:rsidRDefault="008E1A8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A8C" w:rsidRDefault="008E1A8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A8C" w:rsidRDefault="008E1A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1A8C" w:rsidRDefault="008E1A8C">
      <w:r>
        <w:separator/>
      </w:r>
    </w:p>
  </w:footnote>
  <w:footnote w:type="continuationSeparator" w:id="0">
    <w:p w:rsidR="008E1A8C" w:rsidRDefault="008E1A8C">
      <w:r>
        <w:continuationSeparator/>
      </w:r>
    </w:p>
  </w:footnote>
  <w:footnote w:id="1">
    <w:p w:rsidR="008E1A8C" w:rsidRPr="007A65DA" w:rsidRDefault="008E1A8C" w:rsidP="003D74EC">
      <w:pPr>
        <w:pStyle w:val="FootnoteText"/>
        <w:jc w:val="both"/>
        <w:rPr>
          <w:lang w:val="fr-CA"/>
        </w:rPr>
      </w:pPr>
      <w:r w:rsidRPr="007A65DA">
        <w:rPr>
          <w:rStyle w:val="FootnoteReference"/>
        </w:rPr>
        <w:footnoteRef/>
      </w:r>
      <w:r w:rsidRPr="007A65DA">
        <w:rPr>
          <w:lang w:val="fr-CA"/>
        </w:rPr>
        <w:t xml:space="preserve"> Voir, par exemple, </w:t>
      </w:r>
      <w:r w:rsidRPr="007A65DA">
        <w:rPr>
          <w:i/>
          <w:lang w:val="fr-CA"/>
        </w:rPr>
        <w:t>Rees c. Royal Canadian Mounted Police</w:t>
      </w:r>
      <w:r w:rsidRPr="007A65DA">
        <w:rPr>
          <w:lang w:val="fr-CA"/>
        </w:rPr>
        <w:t xml:space="preserve">, 2005 NLCA 15, 246 Nfld. &amp; P.E.I.R. 79, </w:t>
      </w:r>
      <w:r>
        <w:rPr>
          <w:lang w:val="fr-CA"/>
        </w:rPr>
        <w:t>par.</w:t>
      </w:r>
      <w:r w:rsidR="007B13C0">
        <w:rPr>
          <w:lang w:val="fr-CA"/>
        </w:rPr>
        <w:t xml:space="preserve"> </w:t>
      </w:r>
      <w:r w:rsidRPr="007A65DA">
        <w:rPr>
          <w:lang w:val="fr-CA"/>
        </w:rPr>
        <w:t>31, autorisation d’appel re</w:t>
      </w:r>
      <w:r>
        <w:rPr>
          <w:lang w:val="fr-CA"/>
        </w:rPr>
        <w:t>jet</w:t>
      </w:r>
      <w:r w:rsidRPr="007A65DA">
        <w:rPr>
          <w:lang w:val="fr-CA"/>
        </w:rPr>
        <w:t xml:space="preserve">ée, [2005] 2 R.C.S. x; </w:t>
      </w:r>
      <w:r w:rsidRPr="007A65DA">
        <w:rPr>
          <w:i/>
          <w:lang w:val="fr-CA"/>
        </w:rPr>
        <w:t>Stewart c. Commission de la santé, de la sécurité et de l’indemnisation des accidents au travail</w:t>
      </w:r>
      <w:r w:rsidRPr="007A65DA">
        <w:rPr>
          <w:lang w:val="fr-CA"/>
        </w:rPr>
        <w:t xml:space="preserve">, 2008 NBCA 45, 331 </w:t>
      </w:r>
      <w:r>
        <w:rPr>
          <w:lang w:val="fr-CA"/>
        </w:rPr>
        <w:t>R.N.-B.</w:t>
      </w:r>
      <w:r w:rsidRPr="007A65DA">
        <w:rPr>
          <w:lang w:val="fr-CA"/>
        </w:rPr>
        <w:t xml:space="preserve"> (2</w:t>
      </w:r>
      <w:r w:rsidRPr="00CE4B26">
        <w:rPr>
          <w:vertAlign w:val="superscript"/>
          <w:lang w:val="fr-CA"/>
        </w:rPr>
        <w:t>e</w:t>
      </w:r>
      <w:r w:rsidRPr="007A65DA">
        <w:rPr>
          <w:lang w:val="fr-CA"/>
        </w:rPr>
        <w:t xml:space="preserve">) 278, </w:t>
      </w:r>
      <w:r>
        <w:rPr>
          <w:lang w:val="fr-CA"/>
        </w:rPr>
        <w:t>par.</w:t>
      </w:r>
      <w:r w:rsidR="007B13C0">
        <w:rPr>
          <w:lang w:val="fr-CA"/>
        </w:rPr>
        <w:t xml:space="preserve"> </w:t>
      </w:r>
      <w:r w:rsidRPr="007A65DA">
        <w:rPr>
          <w:lang w:val="fr-CA"/>
        </w:rPr>
        <w:t>10.</w:t>
      </w:r>
    </w:p>
    <w:p w:rsidR="008E1A8C" w:rsidRPr="007A65DA" w:rsidRDefault="008E1A8C" w:rsidP="003D74EC">
      <w:pPr>
        <w:pStyle w:val="FootnoteText"/>
        <w:jc w:val="both"/>
        <w:rPr>
          <w:lang w:val="fr-CA"/>
        </w:rPr>
      </w:pPr>
    </w:p>
  </w:footnote>
  <w:footnote w:id="2">
    <w:p w:rsidR="008E1A8C" w:rsidRPr="007A65DA" w:rsidRDefault="008E1A8C" w:rsidP="003D74EC">
      <w:pPr>
        <w:pStyle w:val="FootnoteText"/>
        <w:jc w:val="both"/>
        <w:rPr>
          <w:lang w:val="fr-CA"/>
        </w:rPr>
      </w:pPr>
      <w:r w:rsidRPr="007A65DA">
        <w:rPr>
          <w:rStyle w:val="FootnoteReference"/>
        </w:rPr>
        <w:footnoteRef/>
      </w:r>
      <w:r w:rsidRPr="007A65DA">
        <w:rPr>
          <w:lang w:val="fr-CA"/>
        </w:rPr>
        <w:t xml:space="preserve"> </w:t>
      </w:r>
      <w:r w:rsidRPr="007A65DA">
        <w:rPr>
          <w:i/>
          <w:lang w:val="fr-CA"/>
        </w:rPr>
        <w:t>Canada Post Cor</w:t>
      </w:r>
      <w:r>
        <w:rPr>
          <w:i/>
          <w:lang w:val="fr-CA"/>
        </w:rPr>
        <w:t>p.</w:t>
      </w:r>
      <w:r w:rsidR="007B13C0">
        <w:rPr>
          <w:i/>
          <w:lang w:val="fr-CA"/>
        </w:rPr>
        <w:t xml:space="preserve"> </w:t>
      </w:r>
      <w:r w:rsidRPr="007A65DA">
        <w:rPr>
          <w:i/>
          <w:lang w:val="fr-CA"/>
        </w:rPr>
        <w:t>c. Smith</w:t>
      </w:r>
      <w:r w:rsidRPr="007A65DA">
        <w:rPr>
          <w:lang w:val="fr-CA"/>
        </w:rPr>
        <w:t xml:space="preserve"> (1998), 40 O.R. (3d) 97, </w:t>
      </w:r>
      <w:r>
        <w:rPr>
          <w:lang w:val="fr-CA"/>
        </w:rPr>
        <w:t>p.</w:t>
      </w:r>
      <w:r w:rsidR="007B13C0">
        <w:rPr>
          <w:lang w:val="fr-CA"/>
        </w:rPr>
        <w:t xml:space="preserve"> </w:t>
      </w:r>
      <w:r w:rsidRPr="007A65DA">
        <w:rPr>
          <w:lang w:val="fr-CA"/>
        </w:rPr>
        <w:t xml:space="preserve">109 et 111, autorisation </w:t>
      </w:r>
      <w:r>
        <w:rPr>
          <w:lang w:val="fr-CA"/>
        </w:rPr>
        <w:t>de pourvoi</w:t>
      </w:r>
      <w:r w:rsidRPr="007A65DA">
        <w:rPr>
          <w:lang w:val="fr-CA"/>
        </w:rPr>
        <w:t xml:space="preserve"> refusée, [1998] 3 R.C.S. v; </w:t>
      </w:r>
      <w:r w:rsidRPr="007A65DA">
        <w:rPr>
          <w:i/>
          <w:lang w:val="fr-CA"/>
        </w:rPr>
        <w:t>Thomson c. Workers’ Compensation Appeal</w:t>
      </w:r>
      <w:r>
        <w:rPr>
          <w:i/>
          <w:lang w:val="fr-CA"/>
        </w:rPr>
        <w:t>s</w:t>
      </w:r>
      <w:r w:rsidRPr="007A65DA">
        <w:rPr>
          <w:i/>
          <w:lang w:val="fr-CA"/>
        </w:rPr>
        <w:t xml:space="preserve"> Tribunal</w:t>
      </w:r>
      <w:r w:rsidRPr="007A65DA">
        <w:rPr>
          <w:lang w:val="fr-CA"/>
        </w:rPr>
        <w:t>, 2003</w:t>
      </w:r>
      <w:r w:rsidR="007B13C0">
        <w:rPr>
          <w:lang w:val="fr-CA"/>
        </w:rPr>
        <w:t xml:space="preserve"> </w:t>
      </w:r>
      <w:r w:rsidRPr="007A65DA">
        <w:rPr>
          <w:lang w:val="fr-CA"/>
        </w:rPr>
        <w:t xml:space="preserve">NSCA 14, 212 N.S.R. (2d) 81, </w:t>
      </w:r>
      <w:r>
        <w:rPr>
          <w:lang w:val="fr-CA"/>
        </w:rPr>
        <w:t>par.</w:t>
      </w:r>
      <w:r w:rsidR="007B13C0">
        <w:rPr>
          <w:lang w:val="fr-CA"/>
        </w:rPr>
        <w:t xml:space="preserve"> </w:t>
      </w:r>
      <w:r w:rsidRPr="007A65DA">
        <w:rPr>
          <w:lang w:val="fr-CA"/>
        </w:rPr>
        <w:t xml:space="preserve">18; </w:t>
      </w:r>
      <w:r w:rsidRPr="007A65DA">
        <w:rPr>
          <w:i/>
          <w:lang w:val="fr-CA"/>
        </w:rPr>
        <w:t>Canadian Broadcasting Cor</w:t>
      </w:r>
      <w:r>
        <w:rPr>
          <w:i/>
          <w:lang w:val="fr-CA"/>
        </w:rPr>
        <w:t>p.</w:t>
      </w:r>
      <w:r w:rsidR="007B13C0">
        <w:rPr>
          <w:i/>
          <w:lang w:val="fr-CA"/>
        </w:rPr>
        <w:t xml:space="preserve"> </w:t>
      </w:r>
      <w:r w:rsidRPr="007A65DA">
        <w:rPr>
          <w:i/>
          <w:lang w:val="fr-CA"/>
        </w:rPr>
        <w:t>c. Luo</w:t>
      </w:r>
      <w:r w:rsidRPr="007A65DA">
        <w:rPr>
          <w:lang w:val="fr-CA"/>
        </w:rPr>
        <w:t xml:space="preserve">, 2009 BCCA 318, 273 B.C.A.C. 203, </w:t>
      </w:r>
      <w:r>
        <w:rPr>
          <w:lang w:val="fr-CA"/>
        </w:rPr>
        <w:t>par.</w:t>
      </w:r>
      <w:r w:rsidR="007B13C0">
        <w:rPr>
          <w:lang w:val="fr-CA"/>
        </w:rPr>
        <w:t xml:space="preserve"> </w:t>
      </w:r>
      <w:r w:rsidRPr="007A65DA">
        <w:rPr>
          <w:lang w:val="fr-CA"/>
        </w:rPr>
        <w:t>22 et 40.</w:t>
      </w:r>
      <w:r w:rsidRPr="007A65DA">
        <w:rPr>
          <w:i/>
          <w:lang w:val="fr-CA"/>
        </w:rPr>
        <w:t xml:space="preserve"> </w:t>
      </w:r>
    </w:p>
  </w:footnote>
  <w:footnote w:id="3">
    <w:p w:rsidR="008E1A8C" w:rsidRPr="007A65DA" w:rsidRDefault="008E1A8C" w:rsidP="003D74EC">
      <w:pPr>
        <w:pStyle w:val="FootnoteText"/>
        <w:jc w:val="both"/>
        <w:rPr>
          <w:lang w:val="fr-CA"/>
        </w:rPr>
      </w:pPr>
      <w:r w:rsidRPr="007A65DA">
        <w:rPr>
          <w:rStyle w:val="FootnoteReference"/>
          <w:lang w:val="fr-CA"/>
        </w:rPr>
        <w:footnoteRef/>
      </w:r>
      <w:r w:rsidRPr="007A65DA">
        <w:rPr>
          <w:lang w:val="fr-CA"/>
        </w:rPr>
        <w:t xml:space="preserve"> Dans l’affaire similaire </w:t>
      </w:r>
      <w:r w:rsidRPr="007A65DA">
        <w:rPr>
          <w:i/>
          <w:lang w:val="fr-CA"/>
        </w:rPr>
        <w:t>McLellan c. Workers’ Compensation Appeals Tribunal</w:t>
      </w:r>
      <w:r>
        <w:rPr>
          <w:lang w:val="fr-CA"/>
        </w:rPr>
        <w:t xml:space="preserve">, </w:t>
      </w:r>
      <w:r w:rsidRPr="007A65DA">
        <w:rPr>
          <w:lang w:val="fr-CA"/>
        </w:rPr>
        <w:t>2003 NSCA 106, 218 N.S.R. (2d) 176, une présomption en matière de causalité établie au profit des travailleurs miniers a été déclarée applicable également aux travailleurs fédéraux.  Les deux dispositions pouvaient [</w:t>
      </w:r>
      <w:r w:rsidRPr="007A65DA">
        <w:rPr>
          <w:smallCaps/>
          <w:lang w:val="fr-CA"/>
        </w:rPr>
        <w:t>traduction</w:t>
      </w:r>
      <w:r w:rsidRPr="007A65DA">
        <w:rPr>
          <w:lang w:val="fr-CA"/>
        </w:rPr>
        <w:t>] «</w:t>
      </w:r>
      <w:r w:rsidR="007B13C0">
        <w:rPr>
          <w:lang w:val="fr-CA"/>
        </w:rPr>
        <w:t xml:space="preserve"> </w:t>
      </w:r>
      <w:r w:rsidRPr="007A65DA">
        <w:rPr>
          <w:lang w:val="fr-CA"/>
        </w:rPr>
        <w:t>raisonnablement se rattacher</w:t>
      </w:r>
      <w:r w:rsidR="007B13C0">
        <w:rPr>
          <w:lang w:val="fr-CA"/>
        </w:rPr>
        <w:t xml:space="preserve"> </w:t>
      </w:r>
      <w:r w:rsidRPr="007A65DA">
        <w:rPr>
          <w:lang w:val="fr-CA"/>
        </w:rPr>
        <w:t xml:space="preserve">» à l’indemnisation visée par la loi provinciale et n’entraient pas par ailleurs en conflit avec la </w:t>
      </w:r>
      <w:r w:rsidRPr="007A65DA">
        <w:rPr>
          <w:i/>
          <w:lang w:val="fr-CA"/>
        </w:rPr>
        <w:t>LIAÉ</w:t>
      </w:r>
      <w:r w:rsidRPr="007A65DA">
        <w:rPr>
          <w:lang w:val="fr-CA"/>
        </w:rPr>
        <w:t xml:space="preserve"> (</w:t>
      </w:r>
      <w:r>
        <w:rPr>
          <w:lang w:val="fr-CA"/>
        </w:rPr>
        <w:t>par.</w:t>
      </w:r>
      <w:r w:rsidR="007B13C0">
        <w:rPr>
          <w:lang w:val="fr-CA"/>
        </w:rPr>
        <w:t xml:space="preserve"> </w:t>
      </w:r>
      <w:r w:rsidRPr="007A65DA">
        <w:rPr>
          <w:lang w:val="fr-CA"/>
        </w:rPr>
        <w:t>30).</w:t>
      </w:r>
    </w:p>
  </w:footnote>
  <w:footnote w:id="4">
    <w:p w:rsidR="008E1A8C" w:rsidRPr="007A65DA" w:rsidRDefault="008E1A8C" w:rsidP="003D74EC">
      <w:pPr>
        <w:pStyle w:val="FootnoteText"/>
        <w:jc w:val="both"/>
        <w:rPr>
          <w:lang w:val="fr-CA"/>
        </w:rPr>
      </w:pPr>
      <w:r w:rsidRPr="007A65DA">
        <w:rPr>
          <w:rStyle w:val="FootnoteReference"/>
          <w:lang w:val="fr-CA"/>
        </w:rPr>
        <w:footnoteRef/>
      </w:r>
      <w:r w:rsidRPr="007A65DA">
        <w:rPr>
          <w:lang w:val="fr-CA"/>
        </w:rPr>
        <w:t xml:space="preserve"> Par exemple, les autorités provinciales compétentes n’auraient pu, dans le cas de la modification touchant la tuberculose pulmonaire, laquelle a été suivie d’un règlement pris pour la mettre en œuvre (</w:t>
      </w:r>
      <w:r w:rsidRPr="007A65DA">
        <w:rPr>
          <w:i/>
          <w:lang w:val="fr-CA"/>
        </w:rPr>
        <w:t>Règlements concernant l’indemnisation des employés de l’État</w:t>
      </w:r>
      <w:r>
        <w:rPr>
          <w:i/>
          <w:lang w:val="fr-CA"/>
        </w:rPr>
        <w:t>, 1948</w:t>
      </w:r>
      <w:r w:rsidRPr="007A65DA">
        <w:rPr>
          <w:i/>
          <w:lang w:val="fr-CA"/>
        </w:rPr>
        <w:t xml:space="preserve"> (Tuberculose pulmonaire)</w:t>
      </w:r>
      <w:r w:rsidRPr="007A65DA">
        <w:rPr>
          <w:lang w:val="fr-CA"/>
        </w:rPr>
        <w:t>, DORS/48</w:t>
      </w:r>
      <w:r>
        <w:rPr>
          <w:lang w:val="fr-CA"/>
        </w:rPr>
        <w:noBreakHyphen/>
      </w:r>
      <w:r w:rsidRPr="007A65DA">
        <w:rPr>
          <w:lang w:val="fr-CA"/>
        </w:rPr>
        <w:t xml:space="preserve">573), rejeter une demande d’indemnisation présentée par un agent de l’État fédéral et fondée sur cette maladie même si la loi provinciale l’excluait expressément du régime, parce qu’il y aurait alors eu conflit avec la </w:t>
      </w:r>
      <w:r w:rsidRPr="007A65DA">
        <w:rPr>
          <w:i/>
          <w:lang w:val="fr-CA"/>
        </w:rPr>
        <w:t>LIAÉ</w:t>
      </w:r>
      <w:r w:rsidRPr="007A65DA">
        <w:rPr>
          <w:lang w:val="fr-CA"/>
        </w:rPr>
        <w:t>.</w:t>
      </w:r>
    </w:p>
  </w:footnote>
  <w:footnote w:id="5">
    <w:p w:rsidR="008E1A8C" w:rsidRPr="007A65DA" w:rsidRDefault="008E1A8C" w:rsidP="003D74EC">
      <w:pPr>
        <w:pStyle w:val="FootnoteText"/>
        <w:jc w:val="both"/>
        <w:rPr>
          <w:lang w:val="fr-CA"/>
        </w:rPr>
      </w:pPr>
      <w:r w:rsidRPr="007A65DA">
        <w:rPr>
          <w:rStyle w:val="FootnoteReference"/>
        </w:rPr>
        <w:footnoteRef/>
      </w:r>
      <w:r w:rsidRPr="007A65DA">
        <w:rPr>
          <w:lang w:val="fr-CA"/>
        </w:rPr>
        <w:t xml:space="preserve"> </w:t>
      </w:r>
      <w:r w:rsidRPr="007A65DA">
        <w:rPr>
          <w:i/>
          <w:lang w:val="fr-CA"/>
        </w:rPr>
        <w:t xml:space="preserve">Workers Compensation Act </w:t>
      </w:r>
      <w:r w:rsidRPr="007A65DA">
        <w:rPr>
          <w:lang w:val="fr-CA"/>
        </w:rPr>
        <w:t>de la C.</w:t>
      </w:r>
      <w:r>
        <w:rPr>
          <w:lang w:val="fr-CA"/>
        </w:rPr>
        <w:noBreakHyphen/>
      </w:r>
      <w:r w:rsidRPr="007A65DA">
        <w:rPr>
          <w:lang w:val="fr-CA"/>
        </w:rPr>
        <w:t xml:space="preserve">B., </w:t>
      </w:r>
      <w:r w:rsidRPr="007A65DA">
        <w:rPr>
          <w:rStyle w:val="nowrap"/>
          <w:lang w:val="fr-CA"/>
        </w:rPr>
        <w:t xml:space="preserve">R.S.B.C. 1996, </w:t>
      </w:r>
      <w:r>
        <w:rPr>
          <w:rStyle w:val="nowrap"/>
          <w:lang w:val="fr-CA"/>
        </w:rPr>
        <w:t>ch.</w:t>
      </w:r>
      <w:r w:rsidR="007B13C0">
        <w:rPr>
          <w:rStyle w:val="nowrap"/>
          <w:lang w:val="fr-CA"/>
        </w:rPr>
        <w:t xml:space="preserve"> </w:t>
      </w:r>
      <w:r w:rsidRPr="007A65DA">
        <w:rPr>
          <w:rStyle w:val="nowrap"/>
          <w:lang w:val="fr-CA"/>
        </w:rPr>
        <w:t xml:space="preserve">492, </w:t>
      </w:r>
      <w:r>
        <w:rPr>
          <w:rStyle w:val="nowrap"/>
          <w:lang w:val="fr-CA"/>
        </w:rPr>
        <w:t>par.</w:t>
      </w:r>
      <w:r w:rsidR="007B13C0">
        <w:rPr>
          <w:rStyle w:val="nowrap"/>
          <w:lang w:val="fr-CA"/>
        </w:rPr>
        <w:t xml:space="preserve"> </w:t>
      </w:r>
      <w:r w:rsidRPr="007A65DA">
        <w:rPr>
          <w:lang w:val="fr-CA"/>
        </w:rPr>
        <w:t xml:space="preserve">99(2); </w:t>
      </w:r>
      <w:r w:rsidRPr="007A65DA">
        <w:rPr>
          <w:i/>
          <w:lang w:val="fr-CA"/>
        </w:rPr>
        <w:t>WCA</w:t>
      </w:r>
      <w:r w:rsidRPr="007A65DA">
        <w:rPr>
          <w:lang w:val="fr-CA"/>
        </w:rPr>
        <w:t xml:space="preserve"> de l’Alberta, </w:t>
      </w:r>
      <w:r>
        <w:rPr>
          <w:lang w:val="fr-CA"/>
        </w:rPr>
        <w:t>al.</w:t>
      </w:r>
      <w:r w:rsidR="007B13C0">
        <w:rPr>
          <w:lang w:val="fr-CA"/>
        </w:rPr>
        <w:t xml:space="preserve"> </w:t>
      </w:r>
      <w:r w:rsidRPr="007A65DA">
        <w:rPr>
          <w:lang w:val="fr-CA"/>
        </w:rPr>
        <w:t xml:space="preserve">8(3)(c) et (d) et </w:t>
      </w:r>
      <w:r>
        <w:rPr>
          <w:lang w:val="fr-CA"/>
        </w:rPr>
        <w:t>par.</w:t>
      </w:r>
      <w:r w:rsidR="007B13C0">
        <w:rPr>
          <w:lang w:val="fr-CA"/>
        </w:rPr>
        <w:t xml:space="preserve"> </w:t>
      </w:r>
      <w:r w:rsidRPr="007A65DA">
        <w:rPr>
          <w:lang w:val="fr-CA"/>
        </w:rPr>
        <w:t xml:space="preserve">13.2(6); </w:t>
      </w:r>
      <w:r w:rsidRPr="007A65DA">
        <w:rPr>
          <w:i/>
          <w:lang w:val="fr-CA"/>
        </w:rPr>
        <w:t xml:space="preserve">Workers’ Compensation Act, 2013 </w:t>
      </w:r>
      <w:r w:rsidRPr="007A65DA">
        <w:rPr>
          <w:lang w:val="fr-CA"/>
        </w:rPr>
        <w:t xml:space="preserve">de la Saskatchewan, S.S. 2013, </w:t>
      </w:r>
      <w:r>
        <w:rPr>
          <w:lang w:val="fr-CA"/>
        </w:rPr>
        <w:t>ch.</w:t>
      </w:r>
      <w:r w:rsidR="007B13C0">
        <w:rPr>
          <w:lang w:val="fr-CA"/>
        </w:rPr>
        <w:t xml:space="preserve"> </w:t>
      </w:r>
      <w:r w:rsidRPr="007A65DA">
        <w:rPr>
          <w:lang w:val="fr-CA"/>
        </w:rPr>
        <w:t>W</w:t>
      </w:r>
      <w:r>
        <w:rPr>
          <w:lang w:val="fr-CA"/>
        </w:rPr>
        <w:noBreakHyphen/>
      </w:r>
      <w:r w:rsidRPr="007A65DA">
        <w:rPr>
          <w:lang w:val="fr-CA"/>
        </w:rPr>
        <w:t xml:space="preserve">17.11, </w:t>
      </w:r>
      <w:r>
        <w:rPr>
          <w:lang w:val="fr-CA"/>
        </w:rPr>
        <w:t>par.</w:t>
      </w:r>
      <w:r w:rsidR="007B13C0">
        <w:rPr>
          <w:lang w:val="fr-CA"/>
        </w:rPr>
        <w:t xml:space="preserve"> </w:t>
      </w:r>
      <w:r w:rsidRPr="007A65DA">
        <w:rPr>
          <w:lang w:val="fr-CA"/>
        </w:rPr>
        <w:t xml:space="preserve">23(2); </w:t>
      </w:r>
      <w:r w:rsidRPr="007A65DA">
        <w:rPr>
          <w:i/>
          <w:lang w:val="fr-CA"/>
        </w:rPr>
        <w:t>Loi sur les accidents du travail</w:t>
      </w:r>
      <w:r w:rsidR="00806642">
        <w:rPr>
          <w:lang w:val="fr-CA"/>
        </w:rPr>
        <w:t xml:space="preserve"> du Manitoba, C.P.L.M., </w:t>
      </w:r>
      <w:r>
        <w:rPr>
          <w:lang w:val="fr-CA"/>
        </w:rPr>
        <w:t>ch.</w:t>
      </w:r>
      <w:r w:rsidR="007B13C0">
        <w:rPr>
          <w:lang w:val="fr-CA"/>
        </w:rPr>
        <w:t xml:space="preserve"> </w:t>
      </w:r>
      <w:r w:rsidRPr="007A65DA">
        <w:rPr>
          <w:lang w:val="fr-CA"/>
        </w:rPr>
        <w:t xml:space="preserve">W200, </w:t>
      </w:r>
      <w:r>
        <w:rPr>
          <w:lang w:val="fr-CA"/>
        </w:rPr>
        <w:t>al.</w:t>
      </w:r>
      <w:r w:rsidR="007B13C0">
        <w:rPr>
          <w:lang w:val="fr-CA"/>
        </w:rPr>
        <w:t xml:space="preserve"> </w:t>
      </w:r>
      <w:r w:rsidRPr="007A65DA">
        <w:rPr>
          <w:lang w:val="fr-CA"/>
        </w:rPr>
        <w:t xml:space="preserve">51.1(1)a); </w:t>
      </w:r>
      <w:r w:rsidRPr="007A65DA">
        <w:rPr>
          <w:i/>
          <w:lang w:val="fr-CA"/>
        </w:rPr>
        <w:t>Loi de 1997 sur la sécurité professionnelle et l’assurance contre les accidents du travail</w:t>
      </w:r>
      <w:r w:rsidRPr="007A65DA">
        <w:rPr>
          <w:lang w:val="fr-CA"/>
        </w:rPr>
        <w:t xml:space="preserve"> de l’Ontario, L.O. 1997, </w:t>
      </w:r>
      <w:r>
        <w:rPr>
          <w:lang w:val="fr-CA"/>
        </w:rPr>
        <w:t>ch.</w:t>
      </w:r>
      <w:r w:rsidR="007B13C0">
        <w:rPr>
          <w:lang w:val="fr-CA"/>
        </w:rPr>
        <w:t xml:space="preserve"> </w:t>
      </w:r>
      <w:r w:rsidRPr="007A65DA">
        <w:rPr>
          <w:lang w:val="fr-CA"/>
        </w:rPr>
        <w:t xml:space="preserve">16, </w:t>
      </w:r>
      <w:r w:rsidR="007C25F0">
        <w:rPr>
          <w:lang w:val="fr-CA"/>
        </w:rPr>
        <w:t xml:space="preserve">ann. A, </w:t>
      </w:r>
      <w:r>
        <w:rPr>
          <w:lang w:val="fr-CA"/>
        </w:rPr>
        <w:t>art.</w:t>
      </w:r>
      <w:r w:rsidR="007B13C0">
        <w:rPr>
          <w:lang w:val="fr-CA"/>
        </w:rPr>
        <w:t xml:space="preserve"> </w:t>
      </w:r>
      <w:r w:rsidRPr="007A65DA">
        <w:rPr>
          <w:lang w:val="fr-CA"/>
        </w:rPr>
        <w:t xml:space="preserve">126 et 161; </w:t>
      </w:r>
      <w:r w:rsidRPr="007A65DA">
        <w:rPr>
          <w:i/>
          <w:lang w:val="fr-CA"/>
        </w:rPr>
        <w:t>Loi sur les accidents du travail et les maladies professionnelles</w:t>
      </w:r>
      <w:r w:rsidRPr="007A65DA">
        <w:rPr>
          <w:lang w:val="fr-CA"/>
        </w:rPr>
        <w:t xml:space="preserve"> du Québec, </w:t>
      </w:r>
      <w:r>
        <w:rPr>
          <w:lang w:val="fr-CA"/>
        </w:rPr>
        <w:t>R</w:t>
      </w:r>
      <w:r w:rsidRPr="007A65DA">
        <w:rPr>
          <w:lang w:val="fr-CA"/>
        </w:rPr>
        <w:t>L</w:t>
      </w:r>
      <w:r>
        <w:rPr>
          <w:lang w:val="fr-CA"/>
        </w:rPr>
        <w:t>RQ</w:t>
      </w:r>
      <w:r w:rsidRPr="007A65DA">
        <w:rPr>
          <w:lang w:val="fr-CA"/>
        </w:rPr>
        <w:t xml:space="preserve">, </w:t>
      </w:r>
      <w:r>
        <w:rPr>
          <w:lang w:val="fr-CA"/>
        </w:rPr>
        <w:t>ch.</w:t>
      </w:r>
      <w:r w:rsidR="007B13C0">
        <w:rPr>
          <w:lang w:val="fr-CA"/>
        </w:rPr>
        <w:t xml:space="preserve"> </w:t>
      </w:r>
      <w:r w:rsidRPr="007A65DA">
        <w:rPr>
          <w:lang w:val="fr-CA"/>
        </w:rPr>
        <w:t>A</w:t>
      </w:r>
      <w:r>
        <w:rPr>
          <w:lang w:val="fr-CA"/>
        </w:rPr>
        <w:noBreakHyphen/>
      </w:r>
      <w:r w:rsidRPr="007A65DA">
        <w:rPr>
          <w:lang w:val="fr-CA"/>
        </w:rPr>
        <w:t xml:space="preserve">3.001, </w:t>
      </w:r>
      <w:r>
        <w:rPr>
          <w:lang w:val="fr-CA"/>
        </w:rPr>
        <w:t>art.</w:t>
      </w:r>
      <w:r w:rsidR="007B13C0">
        <w:rPr>
          <w:lang w:val="fr-CA"/>
        </w:rPr>
        <w:t xml:space="preserve"> </w:t>
      </w:r>
      <w:r w:rsidRPr="007A65DA">
        <w:rPr>
          <w:lang w:val="fr-CA"/>
        </w:rPr>
        <w:t xml:space="preserve">382 et 454; </w:t>
      </w:r>
      <w:r w:rsidRPr="007A65DA">
        <w:rPr>
          <w:i/>
          <w:lang w:val="fr-CA"/>
        </w:rPr>
        <w:t>Loi sur la Commission de la santé, de la sécurité et de l’indemnisation des accidents au travail</w:t>
      </w:r>
      <w:r w:rsidRPr="007A65DA">
        <w:rPr>
          <w:lang w:val="fr-CA"/>
        </w:rPr>
        <w:t xml:space="preserve"> du Nouveau</w:t>
      </w:r>
      <w:r>
        <w:rPr>
          <w:lang w:val="fr-CA"/>
        </w:rPr>
        <w:noBreakHyphen/>
      </w:r>
      <w:r w:rsidRPr="007A65DA">
        <w:rPr>
          <w:lang w:val="fr-CA"/>
        </w:rPr>
        <w:t>Brunswick, L.N.</w:t>
      </w:r>
      <w:r>
        <w:rPr>
          <w:lang w:val="fr-CA"/>
        </w:rPr>
        <w:noBreakHyphen/>
      </w:r>
      <w:r w:rsidRPr="007A65DA">
        <w:rPr>
          <w:lang w:val="fr-CA"/>
        </w:rPr>
        <w:t xml:space="preserve">B. 1994, </w:t>
      </w:r>
      <w:r>
        <w:rPr>
          <w:lang w:val="fr-CA"/>
        </w:rPr>
        <w:t>ch.</w:t>
      </w:r>
      <w:r w:rsidR="007B13C0">
        <w:rPr>
          <w:lang w:val="fr-CA"/>
        </w:rPr>
        <w:t xml:space="preserve"> </w:t>
      </w:r>
      <w:r w:rsidRPr="007A65DA">
        <w:rPr>
          <w:lang w:val="fr-CA"/>
        </w:rPr>
        <w:t>W</w:t>
      </w:r>
      <w:r>
        <w:rPr>
          <w:lang w:val="fr-CA"/>
        </w:rPr>
        <w:noBreakHyphen/>
      </w:r>
      <w:r w:rsidRPr="007A65DA">
        <w:rPr>
          <w:lang w:val="fr-CA"/>
        </w:rPr>
        <w:t xml:space="preserve">14, </w:t>
      </w:r>
      <w:r>
        <w:rPr>
          <w:lang w:val="fr-CA"/>
        </w:rPr>
        <w:t>al.</w:t>
      </w:r>
      <w:r w:rsidR="007B13C0">
        <w:rPr>
          <w:lang w:val="fr-CA"/>
        </w:rPr>
        <w:t xml:space="preserve"> </w:t>
      </w:r>
      <w:r w:rsidRPr="007A65DA">
        <w:rPr>
          <w:lang w:val="fr-CA"/>
        </w:rPr>
        <w:t>7</w:t>
      </w:r>
      <w:r w:rsidRPr="007A65DA">
        <w:rPr>
          <w:i/>
          <w:lang w:val="fr-CA"/>
        </w:rPr>
        <w:t>f</w:t>
      </w:r>
      <w:r w:rsidRPr="007A65DA">
        <w:rPr>
          <w:lang w:val="fr-CA"/>
        </w:rPr>
        <w:t xml:space="preserve">); </w:t>
      </w:r>
      <w:r>
        <w:rPr>
          <w:i/>
          <w:lang w:val="fr-CA"/>
        </w:rPr>
        <w:t>Workers</w:t>
      </w:r>
      <w:r w:rsidR="00806642">
        <w:rPr>
          <w:i/>
          <w:lang w:val="fr-CA"/>
        </w:rPr>
        <w:t>’</w:t>
      </w:r>
      <w:r w:rsidRPr="007A65DA">
        <w:rPr>
          <w:i/>
          <w:lang w:val="fr-CA"/>
        </w:rPr>
        <w:t xml:space="preserve"> Compensation Act</w:t>
      </w:r>
      <w:r w:rsidRPr="007A65DA">
        <w:rPr>
          <w:lang w:val="fr-CA"/>
        </w:rPr>
        <w:t xml:space="preserve"> de la Nouvelle</w:t>
      </w:r>
      <w:r>
        <w:rPr>
          <w:lang w:val="fr-CA"/>
        </w:rPr>
        <w:noBreakHyphen/>
      </w:r>
      <w:r w:rsidRPr="007A65DA">
        <w:rPr>
          <w:lang w:val="fr-CA"/>
        </w:rPr>
        <w:t>Écosse</w:t>
      </w:r>
      <w:r w:rsidRPr="009E7895">
        <w:rPr>
          <w:lang w:val="fr-CA"/>
        </w:rPr>
        <w:t xml:space="preserve">, </w:t>
      </w:r>
      <w:r w:rsidRPr="007A65DA">
        <w:rPr>
          <w:lang w:val="fr-CA"/>
        </w:rPr>
        <w:t>S.N.S. 1994</w:t>
      </w:r>
      <w:r>
        <w:rPr>
          <w:lang w:val="fr-CA"/>
        </w:rPr>
        <w:noBreakHyphen/>
      </w:r>
      <w:r w:rsidRPr="007A65DA">
        <w:rPr>
          <w:lang w:val="fr-CA"/>
        </w:rPr>
        <w:t xml:space="preserve">95, </w:t>
      </w:r>
      <w:r>
        <w:rPr>
          <w:lang w:val="fr-CA"/>
        </w:rPr>
        <w:t>ch.</w:t>
      </w:r>
      <w:r w:rsidR="007B13C0">
        <w:rPr>
          <w:lang w:val="fr-CA"/>
        </w:rPr>
        <w:t xml:space="preserve"> </w:t>
      </w:r>
      <w:r w:rsidRPr="007A65DA">
        <w:rPr>
          <w:lang w:val="fr-CA"/>
        </w:rPr>
        <w:t xml:space="preserve">10, </w:t>
      </w:r>
      <w:r>
        <w:rPr>
          <w:lang w:val="fr-CA"/>
        </w:rPr>
        <w:t>art.</w:t>
      </w:r>
      <w:r w:rsidR="007B13C0">
        <w:rPr>
          <w:lang w:val="fr-CA"/>
        </w:rPr>
        <w:t xml:space="preserve"> </w:t>
      </w:r>
      <w:r w:rsidRPr="007A65DA">
        <w:rPr>
          <w:lang w:val="fr-CA"/>
        </w:rPr>
        <w:t xml:space="preserve">183; </w:t>
      </w:r>
      <w:r w:rsidRPr="007A65DA">
        <w:rPr>
          <w:i/>
          <w:lang w:val="fr-CA"/>
        </w:rPr>
        <w:t>Workers Compensation Act</w:t>
      </w:r>
      <w:r w:rsidRPr="007A65DA">
        <w:rPr>
          <w:lang w:val="fr-CA"/>
        </w:rPr>
        <w:t xml:space="preserve"> de l’Î.</w:t>
      </w:r>
      <w:r>
        <w:rPr>
          <w:lang w:val="fr-CA"/>
        </w:rPr>
        <w:noBreakHyphen/>
      </w:r>
      <w:r w:rsidRPr="007A65DA">
        <w:rPr>
          <w:lang w:val="fr-CA"/>
        </w:rPr>
        <w:t>P.</w:t>
      </w:r>
      <w:r>
        <w:rPr>
          <w:lang w:val="fr-CA"/>
        </w:rPr>
        <w:noBreakHyphen/>
      </w:r>
      <w:r w:rsidRPr="007A65DA">
        <w:rPr>
          <w:lang w:val="fr-CA"/>
        </w:rPr>
        <w:t xml:space="preserve">É., R.S.P.E.I. 1988, </w:t>
      </w:r>
      <w:r>
        <w:rPr>
          <w:lang w:val="fr-CA"/>
        </w:rPr>
        <w:t>ch.</w:t>
      </w:r>
      <w:r w:rsidR="007B13C0">
        <w:rPr>
          <w:lang w:val="fr-CA"/>
        </w:rPr>
        <w:t xml:space="preserve"> </w:t>
      </w:r>
      <w:r w:rsidRPr="007A65DA">
        <w:t>W</w:t>
      </w:r>
      <w:r>
        <w:noBreakHyphen/>
      </w:r>
      <w:r w:rsidRPr="007A65DA">
        <w:t>7.1,</w:t>
      </w:r>
      <w:r w:rsidRPr="007A65DA">
        <w:rPr>
          <w:i/>
        </w:rPr>
        <w:t xml:space="preserve"> </w:t>
      </w:r>
      <w:r>
        <w:t>par.</w:t>
      </w:r>
      <w:r w:rsidR="007B13C0">
        <w:t xml:space="preserve"> </w:t>
      </w:r>
      <w:r w:rsidRPr="007A65DA">
        <w:t xml:space="preserve">30(1); </w:t>
      </w:r>
      <w:r w:rsidRPr="007A65DA">
        <w:rPr>
          <w:i/>
        </w:rPr>
        <w:t xml:space="preserve">Workplace Health, Safety and Compensation Act </w:t>
      </w:r>
      <w:r w:rsidRPr="007A65DA">
        <w:t>de Terre</w:t>
      </w:r>
      <w:r>
        <w:noBreakHyphen/>
      </w:r>
      <w:r w:rsidRPr="007A65DA">
        <w:t>Neuve</w:t>
      </w:r>
      <w:r>
        <w:noBreakHyphen/>
      </w:r>
      <w:r w:rsidRPr="007A65DA">
        <w:t>et</w:t>
      </w:r>
      <w:r>
        <w:noBreakHyphen/>
      </w:r>
      <w:r w:rsidRPr="007A65DA">
        <w:t xml:space="preserve">Labrador, </w:t>
      </w:r>
      <w:r w:rsidRPr="007A65DA">
        <w:rPr>
          <w:rStyle w:val="nowrap"/>
        </w:rPr>
        <w:t xml:space="preserve">R.S.N.L. 1990, </w:t>
      </w:r>
      <w:r>
        <w:rPr>
          <w:rStyle w:val="nowrap"/>
        </w:rPr>
        <w:t>ch.</w:t>
      </w:r>
      <w:r w:rsidR="007B13C0">
        <w:rPr>
          <w:rStyle w:val="nowrap"/>
        </w:rPr>
        <w:t xml:space="preserve"> </w:t>
      </w:r>
      <w:r w:rsidRPr="007A65DA">
        <w:rPr>
          <w:rStyle w:val="nowrap"/>
          <w:lang w:val="fr-CA"/>
        </w:rPr>
        <w:t>W</w:t>
      </w:r>
      <w:r>
        <w:rPr>
          <w:rStyle w:val="nowrap"/>
          <w:lang w:val="fr-CA"/>
        </w:rPr>
        <w:noBreakHyphen/>
      </w:r>
      <w:r w:rsidRPr="007A65DA">
        <w:rPr>
          <w:rStyle w:val="nowrap"/>
          <w:lang w:val="fr-CA"/>
        </w:rPr>
        <w:t>11</w:t>
      </w:r>
      <w:r w:rsidRPr="007A65DA">
        <w:rPr>
          <w:lang w:val="fr-CA"/>
        </w:rPr>
        <w:t xml:space="preserve">, </w:t>
      </w:r>
      <w:r>
        <w:rPr>
          <w:lang w:val="fr-CA"/>
        </w:rPr>
        <w:t>al.</w:t>
      </w:r>
      <w:r w:rsidR="007B13C0">
        <w:rPr>
          <w:lang w:val="fr-CA"/>
        </w:rPr>
        <w:t xml:space="preserve"> </w:t>
      </w:r>
      <w:r w:rsidRPr="007A65DA">
        <w:rPr>
          <w:lang w:val="fr-CA"/>
        </w:rPr>
        <w:t xml:space="preserve">5(1)(a); </w:t>
      </w:r>
      <w:r w:rsidRPr="007A65DA">
        <w:rPr>
          <w:i/>
          <w:lang w:val="fr-CA"/>
        </w:rPr>
        <w:t xml:space="preserve">Loi sur l’indemnisation des travailleurs </w:t>
      </w:r>
      <w:r w:rsidRPr="007A65DA">
        <w:rPr>
          <w:lang w:val="fr-CA"/>
        </w:rPr>
        <w:t>des Territoires du Nord</w:t>
      </w:r>
      <w:r>
        <w:rPr>
          <w:lang w:val="fr-CA"/>
        </w:rPr>
        <w:noBreakHyphen/>
      </w:r>
      <w:r w:rsidRPr="007A65DA">
        <w:rPr>
          <w:lang w:val="fr-CA"/>
        </w:rPr>
        <w:t>Ouest, L.T.N.</w:t>
      </w:r>
      <w:r>
        <w:rPr>
          <w:lang w:val="fr-CA"/>
        </w:rPr>
        <w:noBreakHyphen/>
      </w:r>
      <w:r w:rsidRPr="007A65DA">
        <w:rPr>
          <w:lang w:val="fr-CA"/>
        </w:rPr>
        <w:t xml:space="preserve">O. 2007, </w:t>
      </w:r>
      <w:r>
        <w:rPr>
          <w:lang w:val="fr-CA"/>
        </w:rPr>
        <w:t>ch.</w:t>
      </w:r>
      <w:r w:rsidR="007B13C0">
        <w:rPr>
          <w:lang w:val="fr-CA"/>
        </w:rPr>
        <w:t xml:space="preserve"> </w:t>
      </w:r>
      <w:r w:rsidRPr="007A65DA">
        <w:rPr>
          <w:lang w:val="fr-CA"/>
        </w:rPr>
        <w:t xml:space="preserve">21, </w:t>
      </w:r>
      <w:r>
        <w:rPr>
          <w:lang w:val="fr-CA"/>
        </w:rPr>
        <w:t>par.</w:t>
      </w:r>
      <w:r w:rsidR="007B13C0">
        <w:rPr>
          <w:lang w:val="fr-CA"/>
        </w:rPr>
        <w:t xml:space="preserve"> </w:t>
      </w:r>
      <w:r w:rsidRPr="007A65DA">
        <w:rPr>
          <w:lang w:val="fr-CA"/>
        </w:rPr>
        <w:t xml:space="preserve">91(3); </w:t>
      </w:r>
      <w:r w:rsidRPr="007A65DA">
        <w:rPr>
          <w:i/>
          <w:lang w:val="fr-CA"/>
        </w:rPr>
        <w:t xml:space="preserve">Loi sur les accidents du travail </w:t>
      </w:r>
      <w:r w:rsidRPr="007A65DA">
        <w:rPr>
          <w:lang w:val="fr-CA"/>
        </w:rPr>
        <w:t xml:space="preserve">du Yukon, L.Y. 2008, </w:t>
      </w:r>
      <w:r>
        <w:rPr>
          <w:lang w:val="fr-CA"/>
        </w:rPr>
        <w:t>ch.</w:t>
      </w:r>
      <w:r w:rsidR="007B13C0">
        <w:rPr>
          <w:lang w:val="fr-CA"/>
        </w:rPr>
        <w:t xml:space="preserve"> </w:t>
      </w:r>
      <w:r w:rsidRPr="007A65DA">
        <w:rPr>
          <w:lang w:val="fr-CA"/>
        </w:rPr>
        <w:t xml:space="preserve">12, </w:t>
      </w:r>
      <w:r>
        <w:rPr>
          <w:lang w:val="fr-CA"/>
        </w:rPr>
        <w:t>art.</w:t>
      </w:r>
      <w:r w:rsidR="007B13C0">
        <w:rPr>
          <w:lang w:val="fr-CA"/>
        </w:rPr>
        <w:t xml:space="preserve"> </w:t>
      </w:r>
      <w:r w:rsidRPr="007A65DA">
        <w:rPr>
          <w:lang w:val="fr-CA"/>
        </w:rPr>
        <w:t>3 «</w:t>
      </w:r>
      <w:r w:rsidR="007B13C0">
        <w:rPr>
          <w:lang w:val="fr-CA"/>
        </w:rPr>
        <w:t xml:space="preserve"> </w:t>
      </w:r>
      <w:r w:rsidRPr="007A65DA">
        <w:rPr>
          <w:lang w:val="fr-CA"/>
        </w:rPr>
        <w:t>politique</w:t>
      </w:r>
      <w:r w:rsidR="007B13C0">
        <w:rPr>
          <w:lang w:val="fr-CA"/>
        </w:rPr>
        <w:t xml:space="preserve"> </w:t>
      </w:r>
      <w:r w:rsidRPr="007A65DA">
        <w:rPr>
          <w:lang w:val="fr-CA"/>
        </w:rPr>
        <w:t xml:space="preserve">» et 18; </w:t>
      </w:r>
      <w:r w:rsidRPr="007A65DA">
        <w:rPr>
          <w:i/>
          <w:lang w:val="fr-CA"/>
        </w:rPr>
        <w:t xml:space="preserve">Loi sur l’indemnisation des travailleurs </w:t>
      </w:r>
      <w:r>
        <w:rPr>
          <w:lang w:val="fr-CA"/>
        </w:rPr>
        <w:t>du Nunavut, L.Nu</w:t>
      </w:r>
      <w:r w:rsidRPr="007A65DA">
        <w:rPr>
          <w:lang w:val="fr-CA"/>
        </w:rPr>
        <w:t xml:space="preserve">. 2007, </w:t>
      </w:r>
      <w:r>
        <w:rPr>
          <w:lang w:val="fr-CA"/>
        </w:rPr>
        <w:t>ch.</w:t>
      </w:r>
      <w:r w:rsidR="007B13C0">
        <w:rPr>
          <w:lang w:val="fr-CA"/>
        </w:rPr>
        <w:t xml:space="preserve"> </w:t>
      </w:r>
      <w:r w:rsidRPr="007A65DA">
        <w:rPr>
          <w:lang w:val="fr-CA"/>
        </w:rPr>
        <w:t>15,</w:t>
      </w:r>
      <w:r>
        <w:rPr>
          <w:lang w:val="fr-CA"/>
        </w:rPr>
        <w:t xml:space="preserve"> par.</w:t>
      </w:r>
      <w:r w:rsidR="007B13C0">
        <w:rPr>
          <w:lang w:val="fr-CA"/>
        </w:rPr>
        <w:t xml:space="preserve"> </w:t>
      </w:r>
      <w:r w:rsidRPr="007A65DA">
        <w:rPr>
          <w:lang w:val="fr-CA"/>
        </w:rPr>
        <w:t>31(2).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A8C" w:rsidRDefault="008E1A8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A8C" w:rsidRPr="00450352" w:rsidRDefault="008E1A8C" w:rsidP="0045035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A8C" w:rsidRDefault="008E1A8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2" type="#_x0000_t75" style="width:3in;height:3in" o:bullet="t"/>
    </w:pict>
  </w:numPicBullet>
  <w:abstractNum w:abstractNumId="0">
    <w:nsid w:val="02122A85"/>
    <w:multiLevelType w:val="hybridMultilevel"/>
    <w:tmpl w:val="0BE0D7FA"/>
    <w:lvl w:ilvl="0" w:tplc="0C0C0017">
      <w:start w:val="1"/>
      <w:numFmt w:val="lowerLetter"/>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0FB269C"/>
    <w:multiLevelType w:val="hybridMultilevel"/>
    <w:tmpl w:val="67049CAA"/>
    <w:lvl w:ilvl="0" w:tplc="3F96E2AC">
      <w:start w:val="4"/>
      <w:numFmt w:val="lowerRoman"/>
      <w:lvlText w:val="(%1)"/>
      <w:lvlJc w:val="left"/>
      <w:pPr>
        <w:ind w:left="862" w:hanging="720"/>
      </w:pPr>
      <w:rPr>
        <w:rFonts w:hint="default"/>
      </w:rPr>
    </w:lvl>
    <w:lvl w:ilvl="1" w:tplc="0C0C0019" w:tentative="1">
      <w:start w:val="1"/>
      <w:numFmt w:val="lowerLetter"/>
      <w:lvlText w:val="%2."/>
      <w:lvlJc w:val="left"/>
      <w:pPr>
        <w:ind w:left="1222" w:hanging="360"/>
      </w:pPr>
    </w:lvl>
    <w:lvl w:ilvl="2" w:tplc="0C0C001B" w:tentative="1">
      <w:start w:val="1"/>
      <w:numFmt w:val="lowerRoman"/>
      <w:lvlText w:val="%3."/>
      <w:lvlJc w:val="right"/>
      <w:pPr>
        <w:ind w:left="1942" w:hanging="180"/>
      </w:pPr>
    </w:lvl>
    <w:lvl w:ilvl="3" w:tplc="0C0C000F" w:tentative="1">
      <w:start w:val="1"/>
      <w:numFmt w:val="decimal"/>
      <w:lvlText w:val="%4."/>
      <w:lvlJc w:val="left"/>
      <w:pPr>
        <w:ind w:left="2662" w:hanging="360"/>
      </w:pPr>
    </w:lvl>
    <w:lvl w:ilvl="4" w:tplc="0C0C0019" w:tentative="1">
      <w:start w:val="1"/>
      <w:numFmt w:val="lowerLetter"/>
      <w:lvlText w:val="%5."/>
      <w:lvlJc w:val="left"/>
      <w:pPr>
        <w:ind w:left="3382" w:hanging="360"/>
      </w:pPr>
    </w:lvl>
    <w:lvl w:ilvl="5" w:tplc="0C0C001B" w:tentative="1">
      <w:start w:val="1"/>
      <w:numFmt w:val="lowerRoman"/>
      <w:lvlText w:val="%6."/>
      <w:lvlJc w:val="right"/>
      <w:pPr>
        <w:ind w:left="4102" w:hanging="180"/>
      </w:pPr>
    </w:lvl>
    <w:lvl w:ilvl="6" w:tplc="0C0C000F" w:tentative="1">
      <w:start w:val="1"/>
      <w:numFmt w:val="decimal"/>
      <w:lvlText w:val="%7."/>
      <w:lvlJc w:val="left"/>
      <w:pPr>
        <w:ind w:left="4822" w:hanging="360"/>
      </w:pPr>
    </w:lvl>
    <w:lvl w:ilvl="7" w:tplc="0C0C0019" w:tentative="1">
      <w:start w:val="1"/>
      <w:numFmt w:val="lowerLetter"/>
      <w:lvlText w:val="%8."/>
      <w:lvlJc w:val="left"/>
      <w:pPr>
        <w:ind w:left="5542" w:hanging="360"/>
      </w:pPr>
    </w:lvl>
    <w:lvl w:ilvl="8" w:tplc="0C0C001B" w:tentative="1">
      <w:start w:val="1"/>
      <w:numFmt w:val="lowerRoman"/>
      <w:lvlText w:val="%9."/>
      <w:lvlJc w:val="right"/>
      <w:pPr>
        <w:ind w:left="6262" w:hanging="180"/>
      </w:pPr>
    </w:lvl>
  </w:abstractNum>
  <w:abstractNum w:abstractNumId="3">
    <w:nsid w:val="11452947"/>
    <w:multiLevelType w:val="hybridMultilevel"/>
    <w:tmpl w:val="42EE19AA"/>
    <w:lvl w:ilvl="0" w:tplc="0C0C0017">
      <w:start w:val="1"/>
      <w:numFmt w:val="lowerLetter"/>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1DA0BB4"/>
    <w:multiLevelType w:val="hybridMultilevel"/>
    <w:tmpl w:val="EE26B862"/>
    <w:lvl w:ilvl="0" w:tplc="0C0C0017">
      <w:start w:val="1"/>
      <w:numFmt w:val="lowerLetter"/>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C506B99"/>
    <w:multiLevelType w:val="hybridMultilevel"/>
    <w:tmpl w:val="4A04FD90"/>
    <w:lvl w:ilvl="0" w:tplc="6F207EE2">
      <w:start w:val="1"/>
      <w:numFmt w:val="lowerLetter"/>
      <w:lvlText w:val="(%1)"/>
      <w:lvlJc w:val="left"/>
      <w:pPr>
        <w:ind w:left="1886" w:hanging="360"/>
      </w:pPr>
      <w:rPr>
        <w:rFonts w:hint="default"/>
      </w:rPr>
    </w:lvl>
    <w:lvl w:ilvl="1" w:tplc="10090019" w:tentative="1">
      <w:start w:val="1"/>
      <w:numFmt w:val="lowerLetter"/>
      <w:lvlText w:val="%2."/>
      <w:lvlJc w:val="left"/>
      <w:pPr>
        <w:ind w:left="2606" w:hanging="360"/>
      </w:pPr>
    </w:lvl>
    <w:lvl w:ilvl="2" w:tplc="1009001B" w:tentative="1">
      <w:start w:val="1"/>
      <w:numFmt w:val="lowerRoman"/>
      <w:lvlText w:val="%3."/>
      <w:lvlJc w:val="right"/>
      <w:pPr>
        <w:ind w:left="3326" w:hanging="180"/>
      </w:pPr>
    </w:lvl>
    <w:lvl w:ilvl="3" w:tplc="1009000F" w:tentative="1">
      <w:start w:val="1"/>
      <w:numFmt w:val="decimal"/>
      <w:lvlText w:val="%4."/>
      <w:lvlJc w:val="left"/>
      <w:pPr>
        <w:ind w:left="4046" w:hanging="360"/>
      </w:pPr>
    </w:lvl>
    <w:lvl w:ilvl="4" w:tplc="10090019" w:tentative="1">
      <w:start w:val="1"/>
      <w:numFmt w:val="lowerLetter"/>
      <w:lvlText w:val="%5."/>
      <w:lvlJc w:val="left"/>
      <w:pPr>
        <w:ind w:left="4766" w:hanging="360"/>
      </w:pPr>
    </w:lvl>
    <w:lvl w:ilvl="5" w:tplc="1009001B" w:tentative="1">
      <w:start w:val="1"/>
      <w:numFmt w:val="lowerRoman"/>
      <w:lvlText w:val="%6."/>
      <w:lvlJc w:val="right"/>
      <w:pPr>
        <w:ind w:left="5486" w:hanging="180"/>
      </w:pPr>
    </w:lvl>
    <w:lvl w:ilvl="6" w:tplc="1009000F" w:tentative="1">
      <w:start w:val="1"/>
      <w:numFmt w:val="decimal"/>
      <w:lvlText w:val="%7."/>
      <w:lvlJc w:val="left"/>
      <w:pPr>
        <w:ind w:left="6206" w:hanging="360"/>
      </w:pPr>
    </w:lvl>
    <w:lvl w:ilvl="7" w:tplc="10090019" w:tentative="1">
      <w:start w:val="1"/>
      <w:numFmt w:val="lowerLetter"/>
      <w:lvlText w:val="%8."/>
      <w:lvlJc w:val="left"/>
      <w:pPr>
        <w:ind w:left="6926" w:hanging="360"/>
      </w:pPr>
    </w:lvl>
    <w:lvl w:ilvl="8" w:tplc="1009001B" w:tentative="1">
      <w:start w:val="1"/>
      <w:numFmt w:val="lowerRoman"/>
      <w:lvlText w:val="%9."/>
      <w:lvlJc w:val="right"/>
      <w:pPr>
        <w:ind w:left="7646" w:hanging="180"/>
      </w:pPr>
    </w:lvl>
  </w:abstractNum>
  <w:abstractNum w:abstractNumId="6">
    <w:nsid w:val="1CB752E9"/>
    <w:multiLevelType w:val="hybridMultilevel"/>
    <w:tmpl w:val="DF961CF2"/>
    <w:lvl w:ilvl="0" w:tplc="10090001">
      <w:start w:val="1"/>
      <w:numFmt w:val="bullet"/>
      <w:lvlText w:val=""/>
      <w:lvlJc w:val="left"/>
      <w:pPr>
        <w:ind w:left="1886" w:hanging="360"/>
      </w:pPr>
      <w:rPr>
        <w:rFonts w:ascii="Symbol" w:hAnsi="Symbol" w:hint="default"/>
      </w:rPr>
    </w:lvl>
    <w:lvl w:ilvl="1" w:tplc="10090003" w:tentative="1">
      <w:start w:val="1"/>
      <w:numFmt w:val="bullet"/>
      <w:lvlText w:val="o"/>
      <w:lvlJc w:val="left"/>
      <w:pPr>
        <w:ind w:left="2606" w:hanging="360"/>
      </w:pPr>
      <w:rPr>
        <w:rFonts w:ascii="Courier New" w:hAnsi="Courier New" w:cs="Courier New" w:hint="default"/>
      </w:rPr>
    </w:lvl>
    <w:lvl w:ilvl="2" w:tplc="10090005" w:tentative="1">
      <w:start w:val="1"/>
      <w:numFmt w:val="bullet"/>
      <w:lvlText w:val=""/>
      <w:lvlJc w:val="left"/>
      <w:pPr>
        <w:ind w:left="3326" w:hanging="360"/>
      </w:pPr>
      <w:rPr>
        <w:rFonts w:ascii="Wingdings" w:hAnsi="Wingdings" w:hint="default"/>
      </w:rPr>
    </w:lvl>
    <w:lvl w:ilvl="3" w:tplc="10090001" w:tentative="1">
      <w:start w:val="1"/>
      <w:numFmt w:val="bullet"/>
      <w:lvlText w:val=""/>
      <w:lvlJc w:val="left"/>
      <w:pPr>
        <w:ind w:left="4046" w:hanging="360"/>
      </w:pPr>
      <w:rPr>
        <w:rFonts w:ascii="Symbol" w:hAnsi="Symbol" w:hint="default"/>
      </w:rPr>
    </w:lvl>
    <w:lvl w:ilvl="4" w:tplc="10090003" w:tentative="1">
      <w:start w:val="1"/>
      <w:numFmt w:val="bullet"/>
      <w:lvlText w:val="o"/>
      <w:lvlJc w:val="left"/>
      <w:pPr>
        <w:ind w:left="4766" w:hanging="360"/>
      </w:pPr>
      <w:rPr>
        <w:rFonts w:ascii="Courier New" w:hAnsi="Courier New" w:cs="Courier New" w:hint="default"/>
      </w:rPr>
    </w:lvl>
    <w:lvl w:ilvl="5" w:tplc="10090005" w:tentative="1">
      <w:start w:val="1"/>
      <w:numFmt w:val="bullet"/>
      <w:lvlText w:val=""/>
      <w:lvlJc w:val="left"/>
      <w:pPr>
        <w:ind w:left="5486" w:hanging="360"/>
      </w:pPr>
      <w:rPr>
        <w:rFonts w:ascii="Wingdings" w:hAnsi="Wingdings" w:hint="default"/>
      </w:rPr>
    </w:lvl>
    <w:lvl w:ilvl="6" w:tplc="10090001" w:tentative="1">
      <w:start w:val="1"/>
      <w:numFmt w:val="bullet"/>
      <w:lvlText w:val=""/>
      <w:lvlJc w:val="left"/>
      <w:pPr>
        <w:ind w:left="6206" w:hanging="360"/>
      </w:pPr>
      <w:rPr>
        <w:rFonts w:ascii="Symbol" w:hAnsi="Symbol" w:hint="default"/>
      </w:rPr>
    </w:lvl>
    <w:lvl w:ilvl="7" w:tplc="10090003" w:tentative="1">
      <w:start w:val="1"/>
      <w:numFmt w:val="bullet"/>
      <w:lvlText w:val="o"/>
      <w:lvlJc w:val="left"/>
      <w:pPr>
        <w:ind w:left="6926" w:hanging="360"/>
      </w:pPr>
      <w:rPr>
        <w:rFonts w:ascii="Courier New" w:hAnsi="Courier New" w:cs="Courier New" w:hint="default"/>
      </w:rPr>
    </w:lvl>
    <w:lvl w:ilvl="8" w:tplc="10090005" w:tentative="1">
      <w:start w:val="1"/>
      <w:numFmt w:val="bullet"/>
      <w:lvlText w:val=""/>
      <w:lvlJc w:val="left"/>
      <w:pPr>
        <w:ind w:left="7646" w:hanging="360"/>
      </w:pPr>
      <w:rPr>
        <w:rFonts w:ascii="Wingdings" w:hAnsi="Wingdings" w:hint="default"/>
      </w:rPr>
    </w:lvl>
  </w:abstractNum>
  <w:abstractNum w:abstractNumId="7">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2E367FBA"/>
    <w:multiLevelType w:val="multilevel"/>
    <w:tmpl w:val="AA7CC1B2"/>
    <w:lvl w:ilvl="0">
      <w:start w:val="1"/>
      <w:numFmt w:val="decimal"/>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b/>
        <w:i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31083455"/>
    <w:multiLevelType w:val="hybridMultilevel"/>
    <w:tmpl w:val="9A74E8BA"/>
    <w:lvl w:ilvl="0" w:tplc="10090001">
      <w:start w:val="1"/>
      <w:numFmt w:val="bullet"/>
      <w:lvlText w:val=""/>
      <w:lvlJc w:val="left"/>
      <w:pPr>
        <w:ind w:left="1800" w:hanging="360"/>
      </w:pPr>
      <w:rPr>
        <w:rFonts w:ascii="Symbol" w:hAnsi="Symbol" w:hint="default"/>
        <w:b w:val="0"/>
        <w:i w:val="0"/>
        <w:color w:val="auto"/>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0">
    <w:nsid w:val="3E4C350C"/>
    <w:multiLevelType w:val="multilevel"/>
    <w:tmpl w:val="B7C8F7D2"/>
    <w:lvl w:ilvl="0">
      <w:start w:val="1"/>
      <w:numFmt w:val="decimal"/>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b/>
        <w:i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41D663F9"/>
    <w:multiLevelType w:val="hybridMultilevel"/>
    <w:tmpl w:val="2B5A738E"/>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2">
    <w:nsid w:val="4603130A"/>
    <w:multiLevelType w:val="multilevel"/>
    <w:tmpl w:val="619C1C14"/>
    <w:lvl w:ilvl="0">
      <w:start w:val="1"/>
      <w:numFmt w:val="upperRoman"/>
      <w:pStyle w:val="Title1LevelTitre1Niveau-AltL"/>
      <w:lvlText w:val="%1."/>
      <w:lvlJc w:val="left"/>
      <w:pPr>
        <w:tabs>
          <w:tab w:val="num" w:pos="5616"/>
        </w:tabs>
        <w:ind w:left="5616" w:hanging="432"/>
      </w:pPr>
      <w:rPr>
        <w:rFonts w:hint="default"/>
        <w:sz w:val="24"/>
      </w:rPr>
    </w:lvl>
    <w:lvl w:ilvl="1">
      <w:start w:val="1"/>
      <w:numFmt w:val="upperLetter"/>
      <w:pStyle w:val="Title2LevelTitre2Niveau"/>
      <w:lvlText w:val="%2."/>
      <w:lvlJc w:val="left"/>
      <w:pPr>
        <w:tabs>
          <w:tab w:val="num" w:pos="5616"/>
        </w:tabs>
        <w:ind w:left="5616" w:hanging="432"/>
      </w:pPr>
      <w:rPr>
        <w:rFonts w:ascii="Times New Roman" w:hAnsi="Times New Roman" w:hint="default"/>
        <w:b w:val="0"/>
        <w:i w:val="0"/>
        <w:sz w:val="24"/>
      </w:rPr>
    </w:lvl>
    <w:lvl w:ilvl="2">
      <w:start w:val="1"/>
      <w:numFmt w:val="decimal"/>
      <w:pStyle w:val="Title3LevelTitre3Niveau"/>
      <w:lvlText w:val="(%3)"/>
      <w:lvlJc w:val="left"/>
      <w:pPr>
        <w:tabs>
          <w:tab w:val="num" w:pos="6048"/>
        </w:tabs>
        <w:ind w:left="6048" w:hanging="432"/>
      </w:pPr>
      <w:rPr>
        <w:rFonts w:ascii="Times New Roman" w:hAnsi="Times New Roman" w:hint="default"/>
        <w:b w:val="0"/>
        <w:i w:val="0"/>
        <w:sz w:val="24"/>
      </w:rPr>
    </w:lvl>
    <w:lvl w:ilvl="3">
      <w:start w:val="1"/>
      <w:numFmt w:val="lowerLetter"/>
      <w:pStyle w:val="Title4LevelTitre4Niveau"/>
      <w:lvlText w:val="%4)"/>
      <w:lvlJc w:val="left"/>
      <w:pPr>
        <w:tabs>
          <w:tab w:val="num" w:pos="432"/>
        </w:tabs>
        <w:ind w:left="432" w:hanging="432"/>
      </w:pPr>
      <w:rPr>
        <w:rFonts w:hint="default"/>
        <w:b w:val="0"/>
        <w:i w:val="0"/>
      </w:rPr>
    </w:lvl>
    <w:lvl w:ilvl="4">
      <w:start w:val="1"/>
      <w:numFmt w:val="lowerRoman"/>
      <w:pStyle w:val="Title5LevelTitre5Niveau"/>
      <w:lvlText w:val="(%5)"/>
      <w:lvlJc w:val="left"/>
      <w:pPr>
        <w:tabs>
          <w:tab w:val="num" w:pos="6912"/>
        </w:tabs>
        <w:ind w:left="6912" w:hanging="432"/>
      </w:pPr>
      <w:rPr>
        <w:rFonts w:hint="default"/>
      </w:rPr>
    </w:lvl>
    <w:lvl w:ilvl="5">
      <w:start w:val="1"/>
      <w:numFmt w:val="decimal"/>
      <w:lvlText w:val="(%6)"/>
      <w:lvlJc w:val="left"/>
      <w:pPr>
        <w:ind w:left="7776" w:hanging="432"/>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3">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4">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55316DEE"/>
    <w:multiLevelType w:val="hybridMultilevel"/>
    <w:tmpl w:val="073CE150"/>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588C2944"/>
    <w:multiLevelType w:val="multilevel"/>
    <w:tmpl w:val="243ED09E"/>
    <w:lvl w:ilvl="0">
      <w:start w:val="1"/>
      <w:numFmt w:val="decimal"/>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b w:val="0"/>
        <w:i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AD67DE6"/>
    <w:multiLevelType w:val="multilevel"/>
    <w:tmpl w:val="8408BA8A"/>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659023BD"/>
    <w:multiLevelType w:val="hybridMultilevel"/>
    <w:tmpl w:val="68FC1C9A"/>
    <w:lvl w:ilvl="0" w:tplc="CA90A28C">
      <w:start w:val="1"/>
      <w:numFmt w:val="lowerRoman"/>
      <w:lvlText w:val="(%1)"/>
      <w:lvlJc w:val="right"/>
      <w:pPr>
        <w:ind w:left="502" w:hanging="360"/>
      </w:pPr>
      <w:rPr>
        <w:rFonts w:hint="default"/>
      </w:r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1">
    <w:nsid w:val="6CAF3BA3"/>
    <w:multiLevelType w:val="hybridMultilevel"/>
    <w:tmpl w:val="2F460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A6303EF"/>
    <w:multiLevelType w:val="multilevel"/>
    <w:tmpl w:val="41907DBC"/>
    <w:lvl w:ilvl="0">
      <w:start w:val="1"/>
      <w:numFmt w:val="decimal"/>
      <w:lvlText w:val="%1"/>
      <w:lvlJc w:val="left"/>
      <w:pPr>
        <w:ind w:left="360" w:hanging="360"/>
      </w:pPr>
      <w:rPr>
        <w:rFonts w:hint="default"/>
        <w:b/>
      </w:rPr>
    </w:lvl>
    <w:lvl w:ilvl="1">
      <w:start w:val="1"/>
      <w:numFmt w:val="decimal"/>
      <w:lvlText w:val="%1.%2"/>
      <w:lvlJc w:val="left"/>
      <w:pPr>
        <w:ind w:left="938" w:hanging="360"/>
      </w:pPr>
      <w:rPr>
        <w:rFonts w:hint="default"/>
        <w:b/>
      </w:rPr>
    </w:lvl>
    <w:lvl w:ilvl="2">
      <w:start w:val="1"/>
      <w:numFmt w:val="decimal"/>
      <w:lvlText w:val="%1.%2.%3"/>
      <w:lvlJc w:val="left"/>
      <w:pPr>
        <w:ind w:left="1876" w:hanging="720"/>
      </w:pPr>
      <w:rPr>
        <w:rFonts w:hint="default"/>
        <w:b/>
      </w:rPr>
    </w:lvl>
    <w:lvl w:ilvl="3">
      <w:start w:val="1"/>
      <w:numFmt w:val="decimal"/>
      <w:lvlText w:val="%1.%2.%3.%4"/>
      <w:lvlJc w:val="left"/>
      <w:pPr>
        <w:ind w:left="2454" w:hanging="720"/>
      </w:pPr>
      <w:rPr>
        <w:rFonts w:hint="default"/>
        <w:b/>
      </w:rPr>
    </w:lvl>
    <w:lvl w:ilvl="4">
      <w:start w:val="1"/>
      <w:numFmt w:val="decimal"/>
      <w:lvlText w:val="%1.%2.%3.%4.%5"/>
      <w:lvlJc w:val="left"/>
      <w:pPr>
        <w:ind w:left="3392" w:hanging="1080"/>
      </w:pPr>
      <w:rPr>
        <w:rFonts w:hint="default"/>
        <w:b/>
      </w:rPr>
    </w:lvl>
    <w:lvl w:ilvl="5">
      <w:start w:val="1"/>
      <w:numFmt w:val="decimal"/>
      <w:lvlText w:val="%1.%2.%3.%4.%5.%6"/>
      <w:lvlJc w:val="left"/>
      <w:pPr>
        <w:ind w:left="3970" w:hanging="1080"/>
      </w:pPr>
      <w:rPr>
        <w:rFonts w:hint="default"/>
        <w:b/>
      </w:rPr>
    </w:lvl>
    <w:lvl w:ilvl="6">
      <w:start w:val="1"/>
      <w:numFmt w:val="decimal"/>
      <w:lvlText w:val="%1.%2.%3.%4.%5.%6.%7"/>
      <w:lvlJc w:val="left"/>
      <w:pPr>
        <w:ind w:left="4908" w:hanging="1440"/>
      </w:pPr>
      <w:rPr>
        <w:rFonts w:hint="default"/>
        <w:b/>
      </w:rPr>
    </w:lvl>
    <w:lvl w:ilvl="7">
      <w:start w:val="1"/>
      <w:numFmt w:val="decimal"/>
      <w:lvlText w:val="%1.%2.%3.%4.%5.%6.%7.%8"/>
      <w:lvlJc w:val="left"/>
      <w:pPr>
        <w:ind w:left="5486" w:hanging="1440"/>
      </w:pPr>
      <w:rPr>
        <w:rFonts w:hint="default"/>
        <w:b/>
      </w:rPr>
    </w:lvl>
    <w:lvl w:ilvl="8">
      <w:start w:val="1"/>
      <w:numFmt w:val="decimal"/>
      <w:lvlText w:val="%1.%2.%3.%4.%5.%6.%7.%8.%9"/>
      <w:lvlJc w:val="left"/>
      <w:pPr>
        <w:ind w:left="6424" w:hanging="1800"/>
      </w:pPr>
      <w:rPr>
        <w:rFonts w:hint="default"/>
        <w:b/>
      </w:rPr>
    </w:lvl>
  </w:abstractNum>
  <w:num w:numId="1">
    <w:abstractNumId w:val="15"/>
  </w:num>
  <w:num w:numId="2">
    <w:abstractNumId w:val="19"/>
  </w:num>
  <w:num w:numId="3">
    <w:abstractNumId w:val="7"/>
  </w:num>
  <w:num w:numId="4">
    <w:abstractNumId w:val="1"/>
  </w:num>
  <w:num w:numId="5">
    <w:abstractNumId w:val="13"/>
  </w:num>
  <w:num w:numId="6">
    <w:abstractNumId w:val="14"/>
  </w:num>
  <w:num w:numId="7">
    <w:abstractNumId w:val="12"/>
  </w:num>
  <w:num w:numId="8">
    <w:abstractNumId w:val="3"/>
  </w:num>
  <w:num w:numId="9">
    <w:abstractNumId w:val="20"/>
  </w:num>
  <w:num w:numId="10">
    <w:abstractNumId w:val="0"/>
  </w:num>
  <w:num w:numId="11">
    <w:abstractNumId w:val="4"/>
  </w:num>
  <w:num w:numId="12">
    <w:abstractNumId w:val="5"/>
  </w:num>
  <w:num w:numId="13">
    <w:abstractNumId w:val="18"/>
  </w:num>
  <w:num w:numId="14">
    <w:abstractNumId w:val="6"/>
  </w:num>
  <w:num w:numId="15">
    <w:abstractNumId w:val="16"/>
  </w:num>
  <w:num w:numId="16">
    <w:abstractNumId w:val="10"/>
  </w:num>
  <w:num w:numId="17">
    <w:abstractNumId w:val="8"/>
  </w:num>
  <w:num w:numId="18">
    <w:abstractNumId w:val="17"/>
  </w:num>
  <w:num w:numId="19">
    <w:abstractNumId w:val="11"/>
  </w:num>
  <w:num w:numId="20">
    <w:abstractNumId w:val="9"/>
  </w:num>
  <w:num w:numId="21">
    <w:abstractNumId w:val="21"/>
  </w:num>
  <w:num w:numId="22">
    <w:abstractNumId w:val="22"/>
  </w:num>
  <w:num w:numId="23">
    <w:abstractNumId w:val="2"/>
  </w:num>
  <w:num w:numId="2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bordersDoNotSurroundHeader/>
  <w:bordersDoNotSurroundFooter/>
  <w:stylePaneFormatFilter w:val="1024"/>
  <w:stylePaneSortMethod w:val="0004"/>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rsids>
    <w:rsidRoot w:val="0031414C"/>
    <w:rsid w:val="00000ED4"/>
    <w:rsid w:val="00023FC7"/>
    <w:rsid w:val="00025198"/>
    <w:rsid w:val="00026721"/>
    <w:rsid w:val="00030775"/>
    <w:rsid w:val="000578A3"/>
    <w:rsid w:val="000648CC"/>
    <w:rsid w:val="00065530"/>
    <w:rsid w:val="00093503"/>
    <w:rsid w:val="000A61BB"/>
    <w:rsid w:val="000B2272"/>
    <w:rsid w:val="000C3CA0"/>
    <w:rsid w:val="000C59B8"/>
    <w:rsid w:val="000C6AF0"/>
    <w:rsid w:val="000D0A77"/>
    <w:rsid w:val="000D479A"/>
    <w:rsid w:val="000D6F0F"/>
    <w:rsid w:val="000F7993"/>
    <w:rsid w:val="00104F33"/>
    <w:rsid w:val="00111DE2"/>
    <w:rsid w:val="001128E4"/>
    <w:rsid w:val="00116B38"/>
    <w:rsid w:val="00117B34"/>
    <w:rsid w:val="0012350A"/>
    <w:rsid w:val="00126204"/>
    <w:rsid w:val="00135270"/>
    <w:rsid w:val="00135406"/>
    <w:rsid w:val="00135972"/>
    <w:rsid w:val="001426A9"/>
    <w:rsid w:val="00154D7C"/>
    <w:rsid w:val="00156FA4"/>
    <w:rsid w:val="001570B0"/>
    <w:rsid w:val="0015752C"/>
    <w:rsid w:val="00157737"/>
    <w:rsid w:val="0016003A"/>
    <w:rsid w:val="001637DF"/>
    <w:rsid w:val="00164F7C"/>
    <w:rsid w:val="00165277"/>
    <w:rsid w:val="00167386"/>
    <w:rsid w:val="00170592"/>
    <w:rsid w:val="001720F7"/>
    <w:rsid w:val="001952A3"/>
    <w:rsid w:val="00195D83"/>
    <w:rsid w:val="001A00C1"/>
    <w:rsid w:val="001A1742"/>
    <w:rsid w:val="001B11D4"/>
    <w:rsid w:val="001B2DE6"/>
    <w:rsid w:val="001B33E0"/>
    <w:rsid w:val="001B4573"/>
    <w:rsid w:val="001C779F"/>
    <w:rsid w:val="001D2AC1"/>
    <w:rsid w:val="001D2FED"/>
    <w:rsid w:val="001D4E88"/>
    <w:rsid w:val="001F411A"/>
    <w:rsid w:val="001F6D58"/>
    <w:rsid w:val="0021004E"/>
    <w:rsid w:val="00217231"/>
    <w:rsid w:val="00220FC2"/>
    <w:rsid w:val="002222F4"/>
    <w:rsid w:val="00224FC0"/>
    <w:rsid w:val="00225EA4"/>
    <w:rsid w:val="00226EAF"/>
    <w:rsid w:val="00231F3A"/>
    <w:rsid w:val="00233EC2"/>
    <w:rsid w:val="002406EE"/>
    <w:rsid w:val="00243EC8"/>
    <w:rsid w:val="00252587"/>
    <w:rsid w:val="00254029"/>
    <w:rsid w:val="00270D93"/>
    <w:rsid w:val="002716E3"/>
    <w:rsid w:val="002745CC"/>
    <w:rsid w:val="00292C4E"/>
    <w:rsid w:val="002B2BE1"/>
    <w:rsid w:val="002B6562"/>
    <w:rsid w:val="002B6FBE"/>
    <w:rsid w:val="002B7924"/>
    <w:rsid w:val="002C10A6"/>
    <w:rsid w:val="002C2AE5"/>
    <w:rsid w:val="002D110F"/>
    <w:rsid w:val="002D28C3"/>
    <w:rsid w:val="002D39A4"/>
    <w:rsid w:val="002E6705"/>
    <w:rsid w:val="002F17D0"/>
    <w:rsid w:val="0030329A"/>
    <w:rsid w:val="00304658"/>
    <w:rsid w:val="0031086F"/>
    <w:rsid w:val="0031414C"/>
    <w:rsid w:val="00314E01"/>
    <w:rsid w:val="0032089D"/>
    <w:rsid w:val="00326E9F"/>
    <w:rsid w:val="003310DE"/>
    <w:rsid w:val="003323B0"/>
    <w:rsid w:val="00340A49"/>
    <w:rsid w:val="0035169A"/>
    <w:rsid w:val="0035259D"/>
    <w:rsid w:val="00364B18"/>
    <w:rsid w:val="003756D0"/>
    <w:rsid w:val="003801D3"/>
    <w:rsid w:val="00380CD6"/>
    <w:rsid w:val="003821AE"/>
    <w:rsid w:val="003A125D"/>
    <w:rsid w:val="003A4C70"/>
    <w:rsid w:val="003B215F"/>
    <w:rsid w:val="003C799C"/>
    <w:rsid w:val="003D0399"/>
    <w:rsid w:val="003D74EC"/>
    <w:rsid w:val="003D7AA3"/>
    <w:rsid w:val="003E1C71"/>
    <w:rsid w:val="003F099D"/>
    <w:rsid w:val="003F327B"/>
    <w:rsid w:val="00406166"/>
    <w:rsid w:val="0040704B"/>
    <w:rsid w:val="00410A55"/>
    <w:rsid w:val="00411300"/>
    <w:rsid w:val="00413F17"/>
    <w:rsid w:val="00415417"/>
    <w:rsid w:val="004240E5"/>
    <w:rsid w:val="00424D9A"/>
    <w:rsid w:val="00426659"/>
    <w:rsid w:val="00431E1F"/>
    <w:rsid w:val="00436D3A"/>
    <w:rsid w:val="00450352"/>
    <w:rsid w:val="00452011"/>
    <w:rsid w:val="00452587"/>
    <w:rsid w:val="00454BDB"/>
    <w:rsid w:val="004623E2"/>
    <w:rsid w:val="00463A2E"/>
    <w:rsid w:val="00465132"/>
    <w:rsid w:val="00473D27"/>
    <w:rsid w:val="00480C90"/>
    <w:rsid w:val="0048396F"/>
    <w:rsid w:val="00493C18"/>
    <w:rsid w:val="00495CF1"/>
    <w:rsid w:val="004A600C"/>
    <w:rsid w:val="004A6118"/>
    <w:rsid w:val="004B58AB"/>
    <w:rsid w:val="004B6D8E"/>
    <w:rsid w:val="004B7BA7"/>
    <w:rsid w:val="004C478D"/>
    <w:rsid w:val="004C6C91"/>
    <w:rsid w:val="004D69AB"/>
    <w:rsid w:val="004D7D95"/>
    <w:rsid w:val="004E2C26"/>
    <w:rsid w:val="004E4ED7"/>
    <w:rsid w:val="004F6C15"/>
    <w:rsid w:val="005125A8"/>
    <w:rsid w:val="00517549"/>
    <w:rsid w:val="00520ABC"/>
    <w:rsid w:val="00521AE8"/>
    <w:rsid w:val="005255A7"/>
    <w:rsid w:val="00527180"/>
    <w:rsid w:val="00533E22"/>
    <w:rsid w:val="00536CF1"/>
    <w:rsid w:val="00555291"/>
    <w:rsid w:val="00564CBD"/>
    <w:rsid w:val="00566AD1"/>
    <w:rsid w:val="00583EDE"/>
    <w:rsid w:val="005937BA"/>
    <w:rsid w:val="005A6079"/>
    <w:rsid w:val="005C7176"/>
    <w:rsid w:val="005E0434"/>
    <w:rsid w:val="005E4698"/>
    <w:rsid w:val="005F57B9"/>
    <w:rsid w:val="00603924"/>
    <w:rsid w:val="00610539"/>
    <w:rsid w:val="00613969"/>
    <w:rsid w:val="00623240"/>
    <w:rsid w:val="00625C35"/>
    <w:rsid w:val="006358D6"/>
    <w:rsid w:val="00642A76"/>
    <w:rsid w:val="00647E49"/>
    <w:rsid w:val="00656313"/>
    <w:rsid w:val="006565F4"/>
    <w:rsid w:val="00676482"/>
    <w:rsid w:val="00684EEA"/>
    <w:rsid w:val="006854F2"/>
    <w:rsid w:val="006912F6"/>
    <w:rsid w:val="006913CE"/>
    <w:rsid w:val="0069689B"/>
    <w:rsid w:val="006A0E7D"/>
    <w:rsid w:val="006A23E8"/>
    <w:rsid w:val="006B13A2"/>
    <w:rsid w:val="006B5FF5"/>
    <w:rsid w:val="006E68A6"/>
    <w:rsid w:val="006F30AF"/>
    <w:rsid w:val="00701759"/>
    <w:rsid w:val="00705C15"/>
    <w:rsid w:val="007110F6"/>
    <w:rsid w:val="007208D1"/>
    <w:rsid w:val="00744518"/>
    <w:rsid w:val="00746516"/>
    <w:rsid w:val="00747288"/>
    <w:rsid w:val="007478EF"/>
    <w:rsid w:val="00747DD3"/>
    <w:rsid w:val="007549C8"/>
    <w:rsid w:val="0076275A"/>
    <w:rsid w:val="00766D14"/>
    <w:rsid w:val="00767A0F"/>
    <w:rsid w:val="007810BF"/>
    <w:rsid w:val="00791074"/>
    <w:rsid w:val="00791272"/>
    <w:rsid w:val="007A05F6"/>
    <w:rsid w:val="007B13C0"/>
    <w:rsid w:val="007B48B0"/>
    <w:rsid w:val="007B6F4A"/>
    <w:rsid w:val="007C25F0"/>
    <w:rsid w:val="007D6E3E"/>
    <w:rsid w:val="007E1C47"/>
    <w:rsid w:val="007E337A"/>
    <w:rsid w:val="007E5C70"/>
    <w:rsid w:val="007F2FF5"/>
    <w:rsid w:val="007F3F08"/>
    <w:rsid w:val="00804CC6"/>
    <w:rsid w:val="00806642"/>
    <w:rsid w:val="008108A1"/>
    <w:rsid w:val="00817190"/>
    <w:rsid w:val="008260E2"/>
    <w:rsid w:val="008322BD"/>
    <w:rsid w:val="00834F73"/>
    <w:rsid w:val="00864755"/>
    <w:rsid w:val="00864C8A"/>
    <w:rsid w:val="00864CF8"/>
    <w:rsid w:val="0087351D"/>
    <w:rsid w:val="00874914"/>
    <w:rsid w:val="008776FD"/>
    <w:rsid w:val="00881E92"/>
    <w:rsid w:val="00891422"/>
    <w:rsid w:val="00892E1A"/>
    <w:rsid w:val="008A595A"/>
    <w:rsid w:val="008B660A"/>
    <w:rsid w:val="008C01DA"/>
    <w:rsid w:val="008E141D"/>
    <w:rsid w:val="008E1A8C"/>
    <w:rsid w:val="008F2674"/>
    <w:rsid w:val="008F6E85"/>
    <w:rsid w:val="008F78E9"/>
    <w:rsid w:val="009179F9"/>
    <w:rsid w:val="00917C7A"/>
    <w:rsid w:val="009234A5"/>
    <w:rsid w:val="00933E5E"/>
    <w:rsid w:val="00935218"/>
    <w:rsid w:val="00937C52"/>
    <w:rsid w:val="009403F3"/>
    <w:rsid w:val="00941BAD"/>
    <w:rsid w:val="00943F4E"/>
    <w:rsid w:val="009555B7"/>
    <w:rsid w:val="009567AA"/>
    <w:rsid w:val="009575FF"/>
    <w:rsid w:val="009602C9"/>
    <w:rsid w:val="00967374"/>
    <w:rsid w:val="00970A5A"/>
    <w:rsid w:val="00975EC4"/>
    <w:rsid w:val="00992684"/>
    <w:rsid w:val="009A343A"/>
    <w:rsid w:val="009B2F23"/>
    <w:rsid w:val="009B39E1"/>
    <w:rsid w:val="009B57B3"/>
    <w:rsid w:val="009C6556"/>
    <w:rsid w:val="009C7B31"/>
    <w:rsid w:val="009C7D61"/>
    <w:rsid w:val="009D2920"/>
    <w:rsid w:val="009D5AEB"/>
    <w:rsid w:val="009E0FA9"/>
    <w:rsid w:val="009E7895"/>
    <w:rsid w:val="009F0E33"/>
    <w:rsid w:val="009F2686"/>
    <w:rsid w:val="00A149DF"/>
    <w:rsid w:val="00A15D4D"/>
    <w:rsid w:val="00A1610D"/>
    <w:rsid w:val="00A1755C"/>
    <w:rsid w:val="00A21B90"/>
    <w:rsid w:val="00A22AAC"/>
    <w:rsid w:val="00A24119"/>
    <w:rsid w:val="00A40441"/>
    <w:rsid w:val="00A41805"/>
    <w:rsid w:val="00A51882"/>
    <w:rsid w:val="00A52AFB"/>
    <w:rsid w:val="00A540F5"/>
    <w:rsid w:val="00A548CB"/>
    <w:rsid w:val="00A5521C"/>
    <w:rsid w:val="00A63E5E"/>
    <w:rsid w:val="00A643E7"/>
    <w:rsid w:val="00A73C38"/>
    <w:rsid w:val="00A8393E"/>
    <w:rsid w:val="00A96362"/>
    <w:rsid w:val="00AA4991"/>
    <w:rsid w:val="00AB4E0C"/>
    <w:rsid w:val="00AB670D"/>
    <w:rsid w:val="00AC378C"/>
    <w:rsid w:val="00AD2E6F"/>
    <w:rsid w:val="00AD56C9"/>
    <w:rsid w:val="00AE6DA4"/>
    <w:rsid w:val="00AF03C5"/>
    <w:rsid w:val="00AF2CED"/>
    <w:rsid w:val="00AF7D34"/>
    <w:rsid w:val="00B000D8"/>
    <w:rsid w:val="00B00F75"/>
    <w:rsid w:val="00B043DE"/>
    <w:rsid w:val="00B10464"/>
    <w:rsid w:val="00B1390D"/>
    <w:rsid w:val="00B145B6"/>
    <w:rsid w:val="00B206DA"/>
    <w:rsid w:val="00B279EB"/>
    <w:rsid w:val="00B41DF7"/>
    <w:rsid w:val="00B4468A"/>
    <w:rsid w:val="00B50C81"/>
    <w:rsid w:val="00B557F8"/>
    <w:rsid w:val="00B57AE3"/>
    <w:rsid w:val="00B656DE"/>
    <w:rsid w:val="00B661DD"/>
    <w:rsid w:val="00B815FC"/>
    <w:rsid w:val="00B93FBC"/>
    <w:rsid w:val="00BA02C4"/>
    <w:rsid w:val="00BA7DA0"/>
    <w:rsid w:val="00BB2EE4"/>
    <w:rsid w:val="00BB4C92"/>
    <w:rsid w:val="00BC2108"/>
    <w:rsid w:val="00BC41CE"/>
    <w:rsid w:val="00BD0E9E"/>
    <w:rsid w:val="00BD1BEC"/>
    <w:rsid w:val="00BD32FF"/>
    <w:rsid w:val="00BE005E"/>
    <w:rsid w:val="00BE2C65"/>
    <w:rsid w:val="00BF6FE9"/>
    <w:rsid w:val="00C02092"/>
    <w:rsid w:val="00C24D91"/>
    <w:rsid w:val="00C257C3"/>
    <w:rsid w:val="00C263F1"/>
    <w:rsid w:val="00C26DB2"/>
    <w:rsid w:val="00C408F5"/>
    <w:rsid w:val="00C42C86"/>
    <w:rsid w:val="00C50305"/>
    <w:rsid w:val="00C53F14"/>
    <w:rsid w:val="00C600CF"/>
    <w:rsid w:val="00C6084F"/>
    <w:rsid w:val="00C62A66"/>
    <w:rsid w:val="00C66359"/>
    <w:rsid w:val="00C71458"/>
    <w:rsid w:val="00C77613"/>
    <w:rsid w:val="00C828E7"/>
    <w:rsid w:val="00C86719"/>
    <w:rsid w:val="00C9015B"/>
    <w:rsid w:val="00C921DD"/>
    <w:rsid w:val="00CA6391"/>
    <w:rsid w:val="00CD55B5"/>
    <w:rsid w:val="00CD6380"/>
    <w:rsid w:val="00CE036E"/>
    <w:rsid w:val="00CE3171"/>
    <w:rsid w:val="00CE32EC"/>
    <w:rsid w:val="00CE4B26"/>
    <w:rsid w:val="00CF1601"/>
    <w:rsid w:val="00D0172F"/>
    <w:rsid w:val="00D01E33"/>
    <w:rsid w:val="00D068A7"/>
    <w:rsid w:val="00D16B85"/>
    <w:rsid w:val="00D17476"/>
    <w:rsid w:val="00D32086"/>
    <w:rsid w:val="00D35CD6"/>
    <w:rsid w:val="00D37A3F"/>
    <w:rsid w:val="00D41533"/>
    <w:rsid w:val="00D43D49"/>
    <w:rsid w:val="00D4431D"/>
    <w:rsid w:val="00D4667A"/>
    <w:rsid w:val="00D63A1C"/>
    <w:rsid w:val="00D7516F"/>
    <w:rsid w:val="00D95F8E"/>
    <w:rsid w:val="00D96DC1"/>
    <w:rsid w:val="00DA0590"/>
    <w:rsid w:val="00DB74D3"/>
    <w:rsid w:val="00DC0558"/>
    <w:rsid w:val="00DC1739"/>
    <w:rsid w:val="00DC1788"/>
    <w:rsid w:val="00DC2D25"/>
    <w:rsid w:val="00DD310B"/>
    <w:rsid w:val="00DE319C"/>
    <w:rsid w:val="00DF0CA8"/>
    <w:rsid w:val="00DF2B48"/>
    <w:rsid w:val="00DF49A7"/>
    <w:rsid w:val="00E0266A"/>
    <w:rsid w:val="00E02E1A"/>
    <w:rsid w:val="00E03417"/>
    <w:rsid w:val="00E07EE2"/>
    <w:rsid w:val="00E07FD1"/>
    <w:rsid w:val="00E136D5"/>
    <w:rsid w:val="00E156AB"/>
    <w:rsid w:val="00E24573"/>
    <w:rsid w:val="00E25E1E"/>
    <w:rsid w:val="00E27EE7"/>
    <w:rsid w:val="00E33B98"/>
    <w:rsid w:val="00E35404"/>
    <w:rsid w:val="00E45109"/>
    <w:rsid w:val="00E47B7A"/>
    <w:rsid w:val="00E517CB"/>
    <w:rsid w:val="00E56A44"/>
    <w:rsid w:val="00E60269"/>
    <w:rsid w:val="00E904F4"/>
    <w:rsid w:val="00E96BFB"/>
    <w:rsid w:val="00E97830"/>
    <w:rsid w:val="00EC37CE"/>
    <w:rsid w:val="00EE0830"/>
    <w:rsid w:val="00EE6344"/>
    <w:rsid w:val="00EE6CB8"/>
    <w:rsid w:val="00EE70A0"/>
    <w:rsid w:val="00EF0683"/>
    <w:rsid w:val="00F0070C"/>
    <w:rsid w:val="00F00EB7"/>
    <w:rsid w:val="00F06139"/>
    <w:rsid w:val="00F138C6"/>
    <w:rsid w:val="00F2683A"/>
    <w:rsid w:val="00F33F2B"/>
    <w:rsid w:val="00F36AB6"/>
    <w:rsid w:val="00F37A09"/>
    <w:rsid w:val="00F409CE"/>
    <w:rsid w:val="00F4361E"/>
    <w:rsid w:val="00F4379D"/>
    <w:rsid w:val="00F509F5"/>
    <w:rsid w:val="00F50D2D"/>
    <w:rsid w:val="00F56C8B"/>
    <w:rsid w:val="00F62639"/>
    <w:rsid w:val="00F66810"/>
    <w:rsid w:val="00F84DF4"/>
    <w:rsid w:val="00F85C97"/>
    <w:rsid w:val="00FB1431"/>
    <w:rsid w:val="00FB37D2"/>
    <w:rsid w:val="00FB487E"/>
    <w:rsid w:val="00FC4EFB"/>
    <w:rsid w:val="00FD068D"/>
    <w:rsid w:val="00FD0B7F"/>
    <w:rsid w:val="00FD32B3"/>
    <w:rsid w:val="00FD4F28"/>
    <w:rsid w:val="00FE6784"/>
    <w:rsid w:val="00FE6F61"/>
    <w:rsid w:val="00FE7A8B"/>
    <w:rsid w:val="00FF33F9"/>
    <w:rsid w:val="00FF5CA4"/>
    <w:rsid w:val="00FF64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_x0000_s1027"/>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99D"/>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i/>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rPr>
  </w:style>
  <w:style w:type="paragraph" w:customStyle="1" w:styleId="ParaNoNdepar-AltN">
    <w:name w:val="Para. No. / Nº de par. - Alt N"/>
    <w:qFormat/>
    <w:rsid w:val="005255A7"/>
    <w:pPr>
      <w:numPr>
        <w:numId w:val="1"/>
      </w:numPr>
      <w:spacing w:before="480" w:after="480" w:line="480" w:lineRule="auto"/>
      <w:jc w:val="both"/>
    </w:pPr>
    <w:rPr>
      <w:rFonts w:eastAsiaTheme="minorEastAsia" w:cstheme="minorBidi"/>
      <w:sz w:val="24"/>
      <w:szCs w:val="22"/>
      <w:lang w:eastAsia="en-US"/>
    </w:rPr>
  </w:style>
  <w:style w:type="character" w:styleId="Hyperlink">
    <w:name w:val="Hyperlink"/>
    <w:basedOn w:val="DefaultParagraphFont"/>
    <w:uiPriority w:val="99"/>
    <w:unhideWhenUsed/>
    <w:rsid w:val="00FF5CA4"/>
    <w:rPr>
      <w:color w:val="0000FF" w:themeColor="hyperlink"/>
      <w:u w:val="single"/>
    </w:rPr>
  </w:style>
  <w:style w:type="character" w:customStyle="1" w:styleId="nowrap">
    <w:name w:val="nowrap"/>
    <w:basedOn w:val="DefaultParagraphFont"/>
    <w:rsid w:val="00FE6F61"/>
  </w:style>
  <w:style w:type="paragraph" w:customStyle="1" w:styleId="SCCLsocOtherPartyRoleSeparator">
    <w:name w:val="SCC.Lsoc.OtherPartyRoleSeparator"/>
    <w:basedOn w:val="Normal"/>
    <w:next w:val="Normal"/>
    <w:link w:val="SCCLsocOtherPartyRoleSeparatorChar"/>
    <w:rsid w:val="003D74EC"/>
    <w:pPr>
      <w:spacing w:after="480"/>
    </w:pPr>
    <w:rPr>
      <w:rFonts w:eastAsiaTheme="minorHAnsi" w:cstheme="minorBidi"/>
      <w:szCs w:val="22"/>
      <w:lang w:eastAsia="en-US"/>
    </w:rPr>
  </w:style>
  <w:style w:type="character" w:customStyle="1" w:styleId="SCCLsocOtherPartyRoleSeparatorChar">
    <w:name w:val="SCC.Lsoc.OtherPartyRoleSeparator Char"/>
    <w:basedOn w:val="DefaultParagraphFont"/>
    <w:link w:val="SCCLsocOtherPartyRoleSeparator"/>
    <w:rsid w:val="003D74EC"/>
    <w:rPr>
      <w:rFonts w:eastAsiaTheme="minorHAnsi" w:cstheme="minorBidi"/>
      <w:sz w:val="24"/>
      <w:szCs w:val="22"/>
      <w:lang w:eastAsia="en-US"/>
    </w:rPr>
  </w:style>
  <w:style w:type="character" w:customStyle="1" w:styleId="SCCBanSummaryChar">
    <w:name w:val="SCC.BanSummary Char"/>
    <w:basedOn w:val="DefaultParagraphFont"/>
    <w:link w:val="SCCBanSummary"/>
    <w:rsid w:val="003D74EC"/>
    <w:rPr>
      <w:b/>
      <w:sz w:val="24"/>
    </w:rPr>
  </w:style>
  <w:style w:type="table" w:styleId="TableGrid">
    <w:name w:val="Table Grid"/>
    <w:basedOn w:val="TableNormal"/>
    <w:uiPriority w:val="59"/>
    <w:rsid w:val="003D74EC"/>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3D74EC"/>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3D74EC"/>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3D74EC"/>
    <w:pPr>
      <w:tabs>
        <w:tab w:val="left" w:pos="1166"/>
      </w:tabs>
      <w:spacing w:after="480" w:line="480" w:lineRule="auto"/>
    </w:pPr>
    <w:rPr>
      <w:smallCaps/>
      <w:sz w:val="24"/>
      <w:szCs w:val="24"/>
    </w:rPr>
  </w:style>
  <w:style w:type="paragraph" w:customStyle="1" w:styleId="Title1LevelTitre1Niveau-AltL">
    <w:name w:val="Title 1 Level / Titre 1 Niveau - Alt L"/>
    <w:next w:val="ParaNoNdepar-AltN"/>
    <w:uiPriority w:val="4"/>
    <w:qFormat/>
    <w:rsid w:val="003D74EC"/>
    <w:pPr>
      <w:keepNext/>
      <w:numPr>
        <w:numId w:val="7"/>
      </w:numPr>
      <w:tabs>
        <w:tab w:val="left" w:pos="576"/>
      </w:tabs>
      <w:spacing w:before="480" w:after="720"/>
      <w:ind w:left="576" w:hanging="576"/>
      <w:jc w:val="both"/>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3D74EC"/>
    <w:pPr>
      <w:numPr>
        <w:ilvl w:val="1"/>
      </w:numPr>
      <w:ind w:left="576" w:hanging="576"/>
    </w:pPr>
    <w:rPr>
      <w:i/>
      <w:u w:val="none"/>
    </w:rPr>
  </w:style>
  <w:style w:type="paragraph" w:customStyle="1" w:styleId="Title3LevelTitre3Niveau">
    <w:name w:val="Title 3 Level / Titre 3 Niveau"/>
    <w:basedOn w:val="Title1LevelTitre1Niveau-AltL"/>
    <w:next w:val="ParaNoNdepar-AltN"/>
    <w:uiPriority w:val="4"/>
    <w:qFormat/>
    <w:rsid w:val="003D74EC"/>
    <w:pPr>
      <w:numPr>
        <w:ilvl w:val="2"/>
      </w:numPr>
      <w:tabs>
        <w:tab w:val="clear" w:pos="576"/>
        <w:tab w:val="num" w:pos="1080"/>
      </w:tabs>
      <w:ind w:left="1080" w:hanging="540"/>
    </w:pPr>
  </w:style>
  <w:style w:type="paragraph" w:customStyle="1" w:styleId="Title4LevelTitre4Niveau">
    <w:name w:val="Title 4 Level / Titre 4 Niveau"/>
    <w:basedOn w:val="Title3LevelTitre3Niveau"/>
    <w:next w:val="ParaNoNdepar-AltN"/>
    <w:uiPriority w:val="4"/>
    <w:qFormat/>
    <w:rsid w:val="003D74EC"/>
    <w:pPr>
      <w:numPr>
        <w:ilvl w:val="3"/>
      </w:numPr>
      <w:tabs>
        <w:tab w:val="clear" w:pos="6048"/>
        <w:tab w:val="left" w:pos="1080"/>
      </w:tabs>
    </w:pPr>
    <w:rPr>
      <w:i/>
      <w:u w:val="none"/>
    </w:rPr>
  </w:style>
  <w:style w:type="paragraph" w:customStyle="1" w:styleId="Title5LevelTitre5Niveau">
    <w:name w:val="Title 5 Level / Titre 5 Niveau"/>
    <w:basedOn w:val="Title1LevelTitre1Niveau-AltL"/>
    <w:next w:val="ParaNoNdepar-AltN"/>
    <w:uiPriority w:val="4"/>
    <w:qFormat/>
    <w:rsid w:val="003D74EC"/>
    <w:pPr>
      <w:numPr>
        <w:ilvl w:val="4"/>
      </w:numPr>
      <w:tabs>
        <w:tab w:val="clear" w:pos="576"/>
        <w:tab w:val="left" w:pos="1620"/>
      </w:tabs>
      <w:ind w:left="1620" w:hanging="540"/>
    </w:pPr>
  </w:style>
  <w:style w:type="paragraph" w:styleId="TOC1">
    <w:name w:val="toc 1"/>
    <w:basedOn w:val="Normal"/>
    <w:next w:val="Normal"/>
    <w:autoRedefine/>
    <w:uiPriority w:val="39"/>
    <w:unhideWhenUsed/>
    <w:rsid w:val="003D74EC"/>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3D74EC"/>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3D74EC"/>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3D74EC"/>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3D74EC"/>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3D74EC"/>
    <w:pPr>
      <w:tabs>
        <w:tab w:val="left" w:pos="2160"/>
        <w:tab w:val="right" w:leader="dot" w:pos="8270"/>
      </w:tabs>
      <w:spacing w:after="100"/>
      <w:ind w:left="1800"/>
    </w:pPr>
    <w:rPr>
      <w:noProof/>
    </w:rPr>
  </w:style>
  <w:style w:type="table" w:customStyle="1" w:styleId="TableGrid1">
    <w:name w:val="Table Grid1"/>
    <w:basedOn w:val="TableNormal"/>
    <w:uiPriority w:val="59"/>
    <w:rsid w:val="003D74EC"/>
    <w:rPr>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itleTitre-AltT">
    <w:name w:val="Title / Titre - Alt T"/>
    <w:next w:val="ParaNoNdepar-AltN"/>
    <w:uiPriority w:val="3"/>
    <w:qFormat/>
    <w:rsid w:val="003D74EC"/>
    <w:pPr>
      <w:tabs>
        <w:tab w:val="left" w:pos="360"/>
      </w:tabs>
      <w:spacing w:before="480" w:after="720"/>
      <w:ind w:left="360" w:hanging="360"/>
      <w:jc w:val="both"/>
    </w:pPr>
    <w:rPr>
      <w:rFonts w:eastAsiaTheme="minorHAnsi" w:cstheme="minorBidi"/>
      <w:sz w:val="24"/>
      <w:szCs w:val="22"/>
      <w:lang w:eastAsia="en-US"/>
    </w:rPr>
  </w:style>
  <w:style w:type="paragraph" w:styleId="ListParagraph">
    <w:name w:val="List Paragraph"/>
    <w:basedOn w:val="Normal"/>
    <w:uiPriority w:val="34"/>
    <w:qFormat/>
    <w:rsid w:val="003D74EC"/>
    <w:pPr>
      <w:ind w:left="720"/>
      <w:contextualSpacing/>
    </w:pPr>
    <w:rPr>
      <w:szCs w:val="24"/>
    </w:rPr>
  </w:style>
  <w:style w:type="character" w:customStyle="1" w:styleId="sectionlabel">
    <w:name w:val="sectionlabel"/>
    <w:basedOn w:val="DefaultParagraphFont"/>
    <w:rsid w:val="003D74EC"/>
    <w:rPr>
      <w:b/>
      <w:bCs/>
    </w:rPr>
  </w:style>
  <w:style w:type="paragraph" w:styleId="FootnoteText">
    <w:name w:val="footnote text"/>
    <w:basedOn w:val="Normal"/>
    <w:link w:val="FootnoteTextChar"/>
    <w:uiPriority w:val="99"/>
    <w:semiHidden/>
    <w:unhideWhenUsed/>
    <w:rsid w:val="003D74EC"/>
    <w:rPr>
      <w:sz w:val="20"/>
    </w:rPr>
  </w:style>
  <w:style w:type="character" w:customStyle="1" w:styleId="FootnoteTextChar">
    <w:name w:val="Footnote Text Char"/>
    <w:basedOn w:val="DefaultParagraphFont"/>
    <w:link w:val="FootnoteText"/>
    <w:uiPriority w:val="99"/>
    <w:semiHidden/>
    <w:rsid w:val="003D74EC"/>
  </w:style>
  <w:style w:type="character" w:styleId="FootnoteReference">
    <w:name w:val="footnote reference"/>
    <w:basedOn w:val="DefaultParagraphFont"/>
    <w:uiPriority w:val="99"/>
    <w:semiHidden/>
    <w:unhideWhenUsed/>
    <w:rsid w:val="003D74EC"/>
    <w:rPr>
      <w:vertAlign w:val="superscript"/>
    </w:rPr>
  </w:style>
  <w:style w:type="character" w:styleId="CommentReference">
    <w:name w:val="annotation reference"/>
    <w:basedOn w:val="DefaultParagraphFont"/>
    <w:uiPriority w:val="99"/>
    <w:semiHidden/>
    <w:unhideWhenUsed/>
    <w:rsid w:val="003D74EC"/>
    <w:rPr>
      <w:sz w:val="16"/>
      <w:szCs w:val="16"/>
    </w:rPr>
  </w:style>
  <w:style w:type="paragraph" w:styleId="CommentText">
    <w:name w:val="annotation text"/>
    <w:basedOn w:val="Normal"/>
    <w:link w:val="CommentTextChar"/>
    <w:uiPriority w:val="99"/>
    <w:unhideWhenUsed/>
    <w:rsid w:val="003D74EC"/>
    <w:rPr>
      <w:sz w:val="20"/>
    </w:rPr>
  </w:style>
  <w:style w:type="character" w:customStyle="1" w:styleId="CommentTextChar">
    <w:name w:val="Comment Text Char"/>
    <w:basedOn w:val="DefaultParagraphFont"/>
    <w:link w:val="CommentText"/>
    <w:uiPriority w:val="99"/>
    <w:rsid w:val="003D74EC"/>
  </w:style>
  <w:style w:type="paragraph" w:styleId="CommentSubject">
    <w:name w:val="annotation subject"/>
    <w:basedOn w:val="CommentText"/>
    <w:next w:val="CommentText"/>
    <w:link w:val="CommentSubjectChar"/>
    <w:uiPriority w:val="99"/>
    <w:semiHidden/>
    <w:unhideWhenUsed/>
    <w:rsid w:val="003D74EC"/>
    <w:rPr>
      <w:b/>
      <w:bCs/>
    </w:rPr>
  </w:style>
  <w:style w:type="character" w:customStyle="1" w:styleId="CommentSubjectChar">
    <w:name w:val="Comment Subject Char"/>
    <w:basedOn w:val="CommentTextChar"/>
    <w:link w:val="CommentSubject"/>
    <w:uiPriority w:val="99"/>
    <w:semiHidden/>
    <w:rsid w:val="003D74EC"/>
    <w:rPr>
      <w:b/>
      <w:bCs/>
    </w:rPr>
  </w:style>
  <w:style w:type="character" w:styleId="SubtleEmphasis">
    <w:name w:val="Subtle Emphasis"/>
    <w:uiPriority w:val="19"/>
    <w:qFormat/>
    <w:rsid w:val="003D74EC"/>
    <w:rPr>
      <w:i/>
      <w:iCs/>
    </w:rPr>
  </w:style>
  <w:style w:type="paragraph" w:styleId="TOCHeading">
    <w:name w:val="TOC Heading"/>
    <w:basedOn w:val="Heading1"/>
    <w:next w:val="Normal"/>
    <w:uiPriority w:val="39"/>
    <w:semiHidden/>
    <w:unhideWhenUsed/>
    <w:qFormat/>
    <w:rsid w:val="003D74EC"/>
    <w:pPr>
      <w:spacing w:before="480" w:after="0" w:line="276" w:lineRule="auto"/>
      <w:ind w:left="0" w:firstLine="0"/>
      <w:outlineLvl w:val="9"/>
    </w:pPr>
    <w:rPr>
      <w:lang w:val="en-US" w:eastAsia="en-US"/>
    </w:rPr>
  </w:style>
  <w:style w:type="paragraph" w:styleId="DocumentMap">
    <w:name w:val="Document Map"/>
    <w:basedOn w:val="Normal"/>
    <w:link w:val="DocumentMapChar"/>
    <w:uiPriority w:val="99"/>
    <w:semiHidden/>
    <w:unhideWhenUsed/>
    <w:rsid w:val="003D74EC"/>
    <w:rPr>
      <w:rFonts w:ascii="Tahoma" w:hAnsi="Tahoma" w:cs="Tahoma"/>
      <w:sz w:val="16"/>
      <w:szCs w:val="16"/>
    </w:rPr>
  </w:style>
  <w:style w:type="character" w:customStyle="1" w:styleId="DocumentMapChar">
    <w:name w:val="Document Map Char"/>
    <w:basedOn w:val="DefaultParagraphFont"/>
    <w:link w:val="DocumentMap"/>
    <w:uiPriority w:val="99"/>
    <w:semiHidden/>
    <w:rsid w:val="003D74EC"/>
    <w:rPr>
      <w:rFonts w:ascii="Tahoma" w:hAnsi="Tahoma" w:cs="Tahoma"/>
      <w:sz w:val="16"/>
      <w:szCs w:val="16"/>
    </w:rPr>
  </w:style>
  <w:style w:type="table" w:customStyle="1" w:styleId="TableGrid2">
    <w:name w:val="Table Grid2"/>
    <w:basedOn w:val="TableNormal"/>
    <w:next w:val="TableGrid"/>
    <w:uiPriority w:val="59"/>
    <w:rsid w:val="003D74EC"/>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A63E5E"/>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ED92DB-7899-43AE-A627-9EF0E1048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8622</Words>
  <Characters>46016</Characters>
  <Application>Microsoft Office Word</Application>
  <DocSecurity>0</DocSecurity>
  <Lines>383</Lines>
  <Paragraphs>109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2014-03-28T19:42:00Z</dcterms:created>
  <dcterms:modified xsi:type="dcterms:W3CDTF">2014-06-26T19:58:00Z</dcterms:modified>
</cp:coreProperties>
</file>