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20" w:rsidRDefault="00032320" w:rsidP="0003232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65.15pt" o:ole="">
            <v:imagedata r:id="rId8" o:title=""/>
          </v:shape>
          <o:OLEObject Type="Embed" ProgID="Presentations.Drawing.13" ShapeID="_x0000_i1025" DrawAspect="Content" ObjectID="_1487137732" r:id="rId9"/>
        </w:object>
      </w:r>
      <w:r>
        <w:t xml:space="preserve"> </w:t>
      </w:r>
      <w:r>
        <w:ptab w:relativeTo="margin" w:alignment="right" w:leader="none"/>
      </w:r>
    </w:p>
    <w:p w:rsidR="00032320" w:rsidRDefault="00032320" w:rsidP="00032320">
      <w:pPr>
        <w:pStyle w:val="Header"/>
      </w:pPr>
    </w:p>
    <w:p w:rsidR="00032320" w:rsidRPr="001E12E2" w:rsidRDefault="00032320" w:rsidP="00032320">
      <w:pPr>
        <w:jc w:val="center"/>
        <w:rPr>
          <w:b/>
        </w:rPr>
      </w:pPr>
      <w:r w:rsidRPr="001E12E2">
        <w:rPr>
          <w:b/>
        </w:rPr>
        <w:t>COUR SUPRÊME DU CANADA</w:t>
      </w:r>
    </w:p>
    <w:p w:rsidR="00032320" w:rsidRDefault="00032320" w:rsidP="0003232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32320" w:rsidRPr="001E12E2" w:rsidTr="00BA652B">
        <w:trPr>
          <w:cantSplit/>
        </w:trPr>
        <w:tc>
          <w:tcPr>
            <w:tcW w:w="6768" w:type="dxa"/>
          </w:tcPr>
          <w:p w:rsidR="00032320" w:rsidRPr="00032320" w:rsidRDefault="00032320" w:rsidP="00BA652B">
            <w:r>
              <w:rPr>
                <w:b/>
                <w:smallCaps/>
              </w:rPr>
              <w:t>Référence :</w:t>
            </w:r>
            <w:r w:rsidRPr="001E12E2">
              <w:t xml:space="preserve"> </w:t>
            </w:r>
            <w:r w:rsidRPr="00DC6D87">
              <w:t xml:space="preserve">Thibodeau </w:t>
            </w:r>
            <w:r w:rsidRPr="00DC6D87">
              <w:rPr>
                <w:i/>
              </w:rPr>
              <w:t>c.</w:t>
            </w:r>
            <w:r w:rsidRPr="00DC6D87">
              <w:t xml:space="preserve"> Air Canada</w:t>
            </w:r>
            <w:r>
              <w:t xml:space="preserve">, 2014 CSC 67, </w:t>
            </w:r>
            <w:r w:rsidRPr="00032320">
              <w:t>[2014] 3 R.C.S. 340</w:t>
            </w:r>
          </w:p>
        </w:tc>
        <w:tc>
          <w:tcPr>
            <w:tcW w:w="2808" w:type="dxa"/>
          </w:tcPr>
          <w:p w:rsidR="00032320" w:rsidRPr="001E12E2" w:rsidRDefault="00032320" w:rsidP="00BA652B">
            <w:r w:rsidRPr="001E12E2">
              <w:rPr>
                <w:b/>
                <w:smallCaps/>
              </w:rPr>
              <w:t>Date</w:t>
            </w:r>
            <w:r>
              <w:rPr>
                <w:b/>
                <w:smallCaps/>
              </w:rPr>
              <w:t> :</w:t>
            </w:r>
            <w:r w:rsidRPr="001E12E2">
              <w:t xml:space="preserve"> </w:t>
            </w:r>
            <w:r>
              <w:t>20141028</w:t>
            </w:r>
          </w:p>
          <w:p w:rsidR="00032320" w:rsidRPr="001E12E2" w:rsidRDefault="00032320" w:rsidP="00BA652B">
            <w:r w:rsidRPr="001E12E2">
              <w:rPr>
                <w:b/>
                <w:smallCaps/>
              </w:rPr>
              <w:t>Do</w:t>
            </w:r>
            <w:r>
              <w:rPr>
                <w:b/>
                <w:smallCaps/>
              </w:rPr>
              <w:t>ssier :</w:t>
            </w:r>
            <w:r w:rsidRPr="001E12E2">
              <w:t xml:space="preserve"> </w:t>
            </w:r>
            <w:r>
              <w:t>35100</w:t>
            </w:r>
          </w:p>
        </w:tc>
      </w:tr>
    </w:tbl>
    <w:p w:rsidR="00032320" w:rsidRPr="001E12E2" w:rsidRDefault="00032320" w:rsidP="00032320"/>
    <w:p w:rsidR="00032320" w:rsidRDefault="00032320" w:rsidP="00032320">
      <w:pPr>
        <w:pStyle w:val="SCCLsocPrefix"/>
      </w:pPr>
      <w:r>
        <w:t>Entre :</w:t>
      </w:r>
    </w:p>
    <w:p w:rsidR="00032320" w:rsidRDefault="00032320" w:rsidP="00032320">
      <w:pPr>
        <w:pStyle w:val="SCCLsocParty"/>
        <w:jc w:val="center"/>
      </w:pPr>
      <w:r>
        <w:t xml:space="preserve">Michel </w:t>
      </w:r>
      <w:proofErr w:type="spellStart"/>
      <w:r>
        <w:t>Thibodeau</w:t>
      </w:r>
      <w:proofErr w:type="spellEnd"/>
      <w:r>
        <w:t xml:space="preserve"> </w:t>
      </w:r>
      <w:proofErr w:type="gramStart"/>
      <w:r>
        <w:t>et</w:t>
      </w:r>
      <w:proofErr w:type="gramEnd"/>
      <w:r>
        <w:t xml:space="preserve"> Lynda </w:t>
      </w:r>
      <w:proofErr w:type="spellStart"/>
      <w:r>
        <w:t>Thibodeau</w:t>
      </w:r>
      <w:proofErr w:type="spellEnd"/>
    </w:p>
    <w:p w:rsidR="00032320" w:rsidRDefault="00032320" w:rsidP="00032320">
      <w:pPr>
        <w:jc w:val="center"/>
      </w:pPr>
      <w:proofErr w:type="spellStart"/>
      <w:r>
        <w:t>Appelants</w:t>
      </w:r>
      <w:proofErr w:type="spellEnd"/>
    </w:p>
    <w:p w:rsidR="00032320" w:rsidRPr="00032320" w:rsidRDefault="00032320" w:rsidP="00032320">
      <w:pPr>
        <w:pStyle w:val="SCCLsocVersus"/>
        <w:spacing w:after="0"/>
        <w:jc w:val="center"/>
        <w:rPr>
          <w:i w:val="0"/>
        </w:rPr>
      </w:pPr>
      <w:proofErr w:type="gramStart"/>
      <w:r w:rsidRPr="00032320">
        <w:rPr>
          <w:i w:val="0"/>
        </w:rPr>
        <w:t>et</w:t>
      </w:r>
      <w:proofErr w:type="gramEnd"/>
    </w:p>
    <w:p w:rsidR="00032320" w:rsidRDefault="00032320" w:rsidP="00032320">
      <w:pPr>
        <w:pStyle w:val="SCCLsocParty"/>
        <w:jc w:val="center"/>
      </w:pPr>
      <w:r>
        <w:t>Air Canada</w:t>
      </w:r>
    </w:p>
    <w:p w:rsidR="00032320" w:rsidRDefault="00032320" w:rsidP="00032320">
      <w:pPr>
        <w:pStyle w:val="SCCLsocOtherPartySeparator"/>
        <w:spacing w:after="0"/>
        <w:jc w:val="center"/>
      </w:pPr>
      <w:proofErr w:type="spellStart"/>
      <w:r>
        <w:t>Intimée</w:t>
      </w:r>
      <w:proofErr w:type="spellEnd"/>
    </w:p>
    <w:p w:rsidR="00032320" w:rsidRDefault="00032320" w:rsidP="00032320"/>
    <w:p w:rsidR="00032320" w:rsidRPr="00032320" w:rsidRDefault="00032320" w:rsidP="00032320">
      <w:pPr>
        <w:pStyle w:val="SCCLsocSubfileSeparator"/>
        <w:spacing w:after="0"/>
        <w:jc w:val="both"/>
        <w:rPr>
          <w:b/>
          <w:smallCaps/>
        </w:rPr>
      </w:pPr>
      <w:r w:rsidRPr="00032320">
        <w:rPr>
          <w:b/>
          <w:smallCaps/>
        </w:rPr>
        <w:t xml:space="preserve">Et </w:t>
      </w:r>
      <w:proofErr w:type="gramStart"/>
      <w:r w:rsidRPr="00032320">
        <w:rPr>
          <w:b/>
          <w:smallCaps/>
        </w:rPr>
        <w:t>entre :</w:t>
      </w:r>
      <w:proofErr w:type="gramEnd"/>
    </w:p>
    <w:p w:rsidR="00032320" w:rsidRPr="00032320" w:rsidRDefault="00032320" w:rsidP="00032320">
      <w:pPr>
        <w:pStyle w:val="SCCLsocParty"/>
        <w:jc w:val="center"/>
        <w:rPr>
          <w:lang w:val="fr-CA"/>
        </w:rPr>
      </w:pPr>
      <w:r w:rsidRPr="00032320">
        <w:rPr>
          <w:lang w:val="fr-CA"/>
        </w:rPr>
        <w:t>Commissaire aux langues officielles du Canada</w:t>
      </w:r>
    </w:p>
    <w:p w:rsidR="00032320" w:rsidRPr="00032320" w:rsidRDefault="00032320" w:rsidP="00032320">
      <w:pPr>
        <w:jc w:val="center"/>
        <w:rPr>
          <w:lang w:val="fr-CA"/>
        </w:rPr>
      </w:pPr>
      <w:r w:rsidRPr="00032320">
        <w:rPr>
          <w:lang w:val="fr-CA"/>
        </w:rPr>
        <w:t>Appelant</w:t>
      </w:r>
    </w:p>
    <w:p w:rsidR="00032320" w:rsidRPr="00032320" w:rsidRDefault="00032320" w:rsidP="00032320">
      <w:pPr>
        <w:pStyle w:val="SCCLsocVersus"/>
        <w:spacing w:after="0"/>
        <w:jc w:val="center"/>
        <w:rPr>
          <w:i w:val="0"/>
          <w:lang w:val="fr-CA"/>
        </w:rPr>
      </w:pPr>
      <w:proofErr w:type="gramStart"/>
      <w:r w:rsidRPr="00032320">
        <w:rPr>
          <w:i w:val="0"/>
          <w:lang w:val="fr-CA"/>
        </w:rPr>
        <w:t>et</w:t>
      </w:r>
      <w:proofErr w:type="gramEnd"/>
    </w:p>
    <w:p w:rsidR="00032320" w:rsidRPr="00032320" w:rsidRDefault="00032320" w:rsidP="00032320">
      <w:pPr>
        <w:pStyle w:val="SCCLsocParty"/>
        <w:jc w:val="center"/>
        <w:rPr>
          <w:lang w:val="fr-CA"/>
        </w:rPr>
      </w:pPr>
      <w:r w:rsidRPr="00032320">
        <w:rPr>
          <w:lang w:val="fr-CA"/>
        </w:rPr>
        <w:t>Air Canada</w:t>
      </w:r>
    </w:p>
    <w:p w:rsidR="00032320" w:rsidRPr="00032320" w:rsidRDefault="00032320" w:rsidP="00032320">
      <w:pPr>
        <w:jc w:val="center"/>
        <w:rPr>
          <w:lang w:val="fr-CA"/>
        </w:rPr>
      </w:pPr>
      <w:r w:rsidRPr="00032320">
        <w:rPr>
          <w:lang w:val="fr-CA"/>
        </w:rPr>
        <w:t>Intimée</w:t>
      </w:r>
    </w:p>
    <w:p w:rsidR="00032320" w:rsidRPr="00032320" w:rsidRDefault="00032320" w:rsidP="00032320">
      <w:pPr>
        <w:rPr>
          <w:lang w:val="fr-CA"/>
        </w:rPr>
      </w:pPr>
    </w:p>
    <w:p w:rsidR="00032320" w:rsidRPr="00032320" w:rsidRDefault="00032320" w:rsidP="00032320">
      <w:pPr>
        <w:jc w:val="center"/>
        <w:rPr>
          <w:b/>
          <w:smallCaps/>
          <w:lang w:val="fr-CA"/>
        </w:rPr>
      </w:pPr>
      <w:r w:rsidRPr="00032320">
        <w:rPr>
          <w:b/>
          <w:smallCaps/>
          <w:lang w:val="fr-CA"/>
        </w:rPr>
        <w:t>Traduction française officielle</w:t>
      </w:r>
    </w:p>
    <w:p w:rsidR="00032320" w:rsidRPr="00032320" w:rsidRDefault="00032320" w:rsidP="00032320">
      <w:pPr>
        <w:rPr>
          <w:lang w:val="fr-CA"/>
        </w:rPr>
      </w:pPr>
    </w:p>
    <w:p w:rsidR="00032320" w:rsidRPr="00032320" w:rsidRDefault="00032320" w:rsidP="00032320">
      <w:pPr>
        <w:rPr>
          <w:lang w:val="fr-CA"/>
        </w:rPr>
      </w:pPr>
      <w:r w:rsidRPr="00032320">
        <w:rPr>
          <w:b/>
          <w:smallCaps/>
          <w:lang w:val="fr-CA"/>
        </w:rPr>
        <w:t>Coram :</w:t>
      </w:r>
      <w:r w:rsidRPr="00032320">
        <w:rPr>
          <w:lang w:val="fr-CA"/>
        </w:rPr>
        <w:t xml:space="preserve"> La juge en chef </w:t>
      </w:r>
      <w:proofErr w:type="spellStart"/>
      <w:r w:rsidRPr="00032320">
        <w:rPr>
          <w:lang w:val="fr-CA"/>
        </w:rPr>
        <w:t>McLachlin</w:t>
      </w:r>
      <w:proofErr w:type="spellEnd"/>
      <w:r w:rsidRPr="00032320">
        <w:rPr>
          <w:lang w:val="fr-CA"/>
        </w:rPr>
        <w:t xml:space="preserve"> et les juges </w:t>
      </w:r>
      <w:proofErr w:type="spellStart"/>
      <w:r w:rsidRPr="00032320">
        <w:rPr>
          <w:lang w:val="fr-CA"/>
        </w:rPr>
        <w:t>LeBel</w:t>
      </w:r>
      <w:proofErr w:type="spellEnd"/>
      <w:r w:rsidRPr="00032320">
        <w:rPr>
          <w:lang w:val="fr-CA"/>
        </w:rPr>
        <w:t xml:space="preserve">, Abella, </w:t>
      </w:r>
      <w:proofErr w:type="spellStart"/>
      <w:r w:rsidRPr="00032320">
        <w:rPr>
          <w:lang w:val="fr-CA"/>
        </w:rPr>
        <w:t>Rothstein</w:t>
      </w:r>
      <w:proofErr w:type="spellEnd"/>
      <w:r w:rsidRPr="00032320">
        <w:rPr>
          <w:lang w:val="fr-CA"/>
        </w:rPr>
        <w:t xml:space="preserve">, Cromwell, </w:t>
      </w:r>
      <w:proofErr w:type="spellStart"/>
      <w:r w:rsidRPr="00032320">
        <w:rPr>
          <w:lang w:val="fr-CA"/>
        </w:rPr>
        <w:t>Karakatsanis</w:t>
      </w:r>
      <w:proofErr w:type="spellEnd"/>
      <w:r w:rsidRPr="00032320">
        <w:rPr>
          <w:lang w:val="fr-CA"/>
        </w:rPr>
        <w:t xml:space="preserve"> et Wagner</w:t>
      </w:r>
    </w:p>
    <w:p w:rsidR="00032320" w:rsidRPr="00032320" w:rsidRDefault="00032320" w:rsidP="00032320">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32320" w:rsidRPr="00032320" w:rsidTr="00BA652B">
        <w:trPr>
          <w:cantSplit/>
        </w:trPr>
        <w:tc>
          <w:tcPr>
            <w:tcW w:w="3618" w:type="dxa"/>
          </w:tcPr>
          <w:p w:rsidR="00032320" w:rsidRDefault="00032320" w:rsidP="00BA652B">
            <w:pPr>
              <w:rPr>
                <w:b/>
                <w:smallCaps/>
              </w:rPr>
            </w:pPr>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Pr>
                <w:b/>
                <w:smallCaps/>
              </w:rPr>
              <w:t> :</w:t>
            </w:r>
          </w:p>
          <w:p w:rsidR="00032320" w:rsidRPr="00DC6D87" w:rsidRDefault="00032320" w:rsidP="00BA652B">
            <w:pPr>
              <w:rPr>
                <w:smallCaps/>
              </w:rPr>
            </w:pPr>
            <w:r>
              <w:t>(par. 1 à 133)</w:t>
            </w:r>
          </w:p>
          <w:p w:rsidR="00032320" w:rsidRDefault="00032320" w:rsidP="00BA652B">
            <w:pPr>
              <w:rPr>
                <w:smallCaps/>
              </w:rPr>
            </w:pPr>
          </w:p>
          <w:p w:rsidR="00032320" w:rsidRPr="00DC6D87" w:rsidRDefault="00032320" w:rsidP="00BA652B">
            <w:pPr>
              <w:rPr>
                <w:b/>
                <w:smallCaps/>
              </w:rPr>
            </w:pPr>
            <w:r w:rsidRPr="00DC6D87">
              <w:rPr>
                <w:b/>
                <w:smallCaps/>
              </w:rPr>
              <w:t>Motifs dissidents :</w:t>
            </w:r>
          </w:p>
          <w:p w:rsidR="00032320" w:rsidRPr="00DC6D87" w:rsidRDefault="00032320" w:rsidP="00BA652B">
            <w:pPr>
              <w:rPr>
                <w:smallCaps/>
              </w:rPr>
            </w:pPr>
            <w:r>
              <w:t>(par. 134 à 178)</w:t>
            </w:r>
          </w:p>
          <w:p w:rsidR="00032320" w:rsidRPr="001E12E2" w:rsidRDefault="00032320" w:rsidP="00BA652B"/>
        </w:tc>
        <w:tc>
          <w:tcPr>
            <w:tcW w:w="5958" w:type="dxa"/>
          </w:tcPr>
          <w:p w:rsidR="00032320" w:rsidRDefault="00032320" w:rsidP="00BA652B">
            <w:r>
              <w:t xml:space="preserve">Le juge Cromwell (avec l’accord de la juge en chef </w:t>
            </w:r>
            <w:proofErr w:type="spellStart"/>
            <w:r>
              <w:t>McLachlin</w:t>
            </w:r>
            <w:proofErr w:type="spellEnd"/>
            <w:r>
              <w:t xml:space="preserve"> et des juges </w:t>
            </w:r>
            <w:proofErr w:type="spellStart"/>
            <w:r>
              <w:t>LeBel</w:t>
            </w:r>
            <w:proofErr w:type="spellEnd"/>
            <w:r>
              <w:t xml:space="preserve">, </w:t>
            </w:r>
            <w:proofErr w:type="spellStart"/>
            <w:r>
              <w:t>Rothstein</w:t>
            </w:r>
            <w:proofErr w:type="spellEnd"/>
            <w:r>
              <w:t xml:space="preserve"> et </w:t>
            </w:r>
            <w:proofErr w:type="spellStart"/>
            <w:r>
              <w:t>Karakatsanis</w:t>
            </w:r>
            <w:proofErr w:type="spellEnd"/>
            <w:r>
              <w:t>)</w:t>
            </w:r>
          </w:p>
          <w:p w:rsidR="00032320" w:rsidRDefault="00032320" w:rsidP="00BA652B"/>
          <w:p w:rsidR="00032320" w:rsidRPr="001E12E2" w:rsidRDefault="00032320" w:rsidP="00BA652B">
            <w:r>
              <w:t>La juge Abella (avec l’accord du juge Wagner)</w:t>
            </w:r>
          </w:p>
        </w:tc>
      </w:tr>
    </w:tbl>
    <w:p w:rsidR="00032320" w:rsidRPr="00032320" w:rsidRDefault="00032320" w:rsidP="00032320">
      <w:pPr>
        <w:rPr>
          <w:lang w:val="fr-CA"/>
        </w:rPr>
      </w:pPr>
      <w:r w:rsidRPr="00E81EB0">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032320" w:rsidRPr="00032320" w:rsidRDefault="00032320" w:rsidP="00A12DCE">
      <w:pPr>
        <w:widowControl w:val="0"/>
        <w:spacing w:after="720"/>
        <w:jc w:val="both"/>
        <w:rPr>
          <w:rStyle w:val="SCCAppellantForRunningHeadChar"/>
          <w:lang w:val="fr-CA"/>
        </w:rPr>
      </w:pPr>
    </w:p>
    <w:p w:rsidR="004D7D95" w:rsidRPr="00032320" w:rsidRDefault="002D1CDF" w:rsidP="00A12DCE">
      <w:pPr>
        <w:widowControl w:val="0"/>
        <w:spacing w:after="720"/>
        <w:jc w:val="both"/>
        <w:rPr>
          <w:lang w:val="en-US"/>
        </w:rPr>
      </w:pPr>
      <w:proofErr w:type="spellStart"/>
      <w:r w:rsidRPr="00032320">
        <w:rPr>
          <w:rStyle w:val="SCCAppellantForRunningHeadChar"/>
          <w:lang w:val="en-US"/>
        </w:rPr>
        <w:t>t</w:t>
      </w:r>
      <w:r w:rsidR="004D7D95" w:rsidRPr="00032320">
        <w:rPr>
          <w:rStyle w:val="SCCAppellantForRunningHeadChar"/>
          <w:lang w:val="en-US"/>
        </w:rPr>
        <w:t>hibodeau</w:t>
      </w:r>
      <w:proofErr w:type="spellEnd"/>
      <w:r w:rsidR="004D7D95" w:rsidRPr="00032320">
        <w:rPr>
          <w:lang w:val="en-US"/>
        </w:rPr>
        <w:t xml:space="preserve"> </w:t>
      </w:r>
      <w:r w:rsidR="004D7D95" w:rsidRPr="00032320">
        <w:rPr>
          <w:i/>
          <w:lang w:val="en-US"/>
        </w:rPr>
        <w:t>c.</w:t>
      </w:r>
      <w:r w:rsidR="004D7D95" w:rsidRPr="00032320">
        <w:rPr>
          <w:lang w:val="en-US"/>
        </w:rPr>
        <w:t xml:space="preserve"> </w:t>
      </w:r>
      <w:r w:rsidRPr="00032320">
        <w:rPr>
          <w:rStyle w:val="SCCRespondentForRunningHeadChar"/>
          <w:lang w:val="en-US"/>
        </w:rPr>
        <w:t xml:space="preserve">air </w:t>
      </w:r>
      <w:r w:rsidR="00334240" w:rsidRPr="00032320">
        <w:rPr>
          <w:rStyle w:val="SCCRespondentForRunningHeadChar"/>
          <w:lang w:val="en-US"/>
        </w:rPr>
        <w:t xml:space="preserve">Canada, </w:t>
      </w:r>
      <w:r w:rsidR="00334240" w:rsidRPr="00032320">
        <w:rPr>
          <w:lang w:val="en-US"/>
        </w:rPr>
        <w:t>2014 CSC 67, [2014] 3 R.C.S. 340</w:t>
      </w:r>
    </w:p>
    <w:p w:rsidR="00AB3083" w:rsidRPr="00874126" w:rsidRDefault="001223F1" w:rsidP="00A12DCE">
      <w:pPr>
        <w:pStyle w:val="SCCLsocParty"/>
        <w:widowControl w:val="0"/>
        <w:rPr>
          <w:lang w:val="fr-CA"/>
        </w:rPr>
      </w:pPr>
      <w:r w:rsidRPr="00874126">
        <w:rPr>
          <w:lang w:val="fr-CA"/>
        </w:rPr>
        <w:t>Michel Thibodeau</w:t>
      </w:r>
      <w:r w:rsidR="002D1CDF" w:rsidRPr="00874126">
        <w:rPr>
          <w:lang w:val="fr-CA"/>
        </w:rPr>
        <w:t xml:space="preserve"> et </w:t>
      </w:r>
    </w:p>
    <w:p w:rsidR="00AB3083" w:rsidRPr="00874126" w:rsidRDefault="001223F1" w:rsidP="00A12DCE">
      <w:pPr>
        <w:pStyle w:val="SCCLsocLastPartyInRole"/>
        <w:widowControl w:val="0"/>
        <w:rPr>
          <w:lang w:val="fr-CA"/>
        </w:rPr>
      </w:pPr>
      <w:r w:rsidRPr="00874126">
        <w:rPr>
          <w:lang w:val="fr-CA"/>
        </w:rPr>
        <w:t>Lynda Thibodeau</w:t>
      </w:r>
      <w:r w:rsidR="002D1CDF" w:rsidRPr="00874126">
        <w:rPr>
          <w:rStyle w:val="SCCLsocPartyRole"/>
          <w:lang w:val="fr-CA"/>
        </w:rPr>
        <w:tab/>
        <w:t>Appelant</w:t>
      </w:r>
      <w:r w:rsidRPr="00874126">
        <w:rPr>
          <w:rStyle w:val="SCCLsocPartyRole"/>
          <w:lang w:val="fr-CA"/>
        </w:rPr>
        <w:t>s</w:t>
      </w:r>
    </w:p>
    <w:p w:rsidR="00AB3083" w:rsidRPr="00874126" w:rsidRDefault="001223F1" w:rsidP="00A12DCE">
      <w:pPr>
        <w:pStyle w:val="SCCLsocVersus"/>
        <w:widowControl w:val="0"/>
        <w:rPr>
          <w:lang w:val="fr-CA"/>
        </w:rPr>
      </w:pPr>
      <w:proofErr w:type="gramStart"/>
      <w:r w:rsidRPr="00874126">
        <w:rPr>
          <w:lang w:val="fr-CA"/>
        </w:rPr>
        <w:lastRenderedPageBreak/>
        <w:t>c</w:t>
      </w:r>
      <w:proofErr w:type="gramEnd"/>
      <w:r w:rsidRPr="00874126">
        <w:rPr>
          <w:lang w:val="fr-CA"/>
        </w:rPr>
        <w:t>.</w:t>
      </w:r>
    </w:p>
    <w:p w:rsidR="00AB3083" w:rsidRPr="00874126" w:rsidRDefault="001223F1" w:rsidP="00A12DCE">
      <w:pPr>
        <w:pStyle w:val="SCCLsocLastPartyInRole"/>
        <w:widowControl w:val="0"/>
        <w:rPr>
          <w:lang w:val="fr-CA"/>
        </w:rPr>
      </w:pPr>
      <w:r w:rsidRPr="00874126">
        <w:rPr>
          <w:lang w:val="fr-CA"/>
        </w:rPr>
        <w:t>Air Canada</w:t>
      </w:r>
      <w:r w:rsidRPr="00874126">
        <w:rPr>
          <w:rStyle w:val="SCCLsocPartyRole"/>
          <w:lang w:val="fr-CA"/>
        </w:rPr>
        <w:tab/>
        <w:t>Intimée</w:t>
      </w:r>
    </w:p>
    <w:p w:rsidR="00AB3083" w:rsidRPr="00874126" w:rsidRDefault="006412AC" w:rsidP="00A12DCE">
      <w:pPr>
        <w:pStyle w:val="SCCLsocSubfileSeparator"/>
        <w:widowControl w:val="0"/>
        <w:rPr>
          <w:lang w:val="fr-CA"/>
        </w:rPr>
      </w:pPr>
      <w:r>
        <w:rPr>
          <w:lang w:val="fr-CA"/>
        </w:rPr>
        <w:t>-</w:t>
      </w:r>
      <w:r w:rsidR="001223F1" w:rsidRPr="00874126">
        <w:rPr>
          <w:lang w:val="fr-CA"/>
        </w:rPr>
        <w:t xml:space="preserve"> et </w:t>
      </w:r>
      <w:r>
        <w:rPr>
          <w:lang w:val="fr-CA"/>
        </w:rPr>
        <w:t>-</w:t>
      </w:r>
    </w:p>
    <w:p w:rsidR="00AB3083" w:rsidRPr="00874126" w:rsidRDefault="001223F1" w:rsidP="00A12DCE">
      <w:pPr>
        <w:pStyle w:val="SCCLsocLastPartyInRole"/>
        <w:widowControl w:val="0"/>
        <w:rPr>
          <w:lang w:val="fr-CA"/>
        </w:rPr>
      </w:pPr>
      <w:r w:rsidRPr="00874126">
        <w:rPr>
          <w:lang w:val="fr-CA"/>
        </w:rPr>
        <w:t>Commissaire aux langues officielles du Canada</w:t>
      </w:r>
      <w:r w:rsidRPr="00874126">
        <w:rPr>
          <w:rStyle w:val="SCCLsocPartyRole"/>
          <w:lang w:val="fr-CA"/>
        </w:rPr>
        <w:tab/>
        <w:t>Appelant</w:t>
      </w:r>
    </w:p>
    <w:p w:rsidR="00AB3083" w:rsidRPr="00874126" w:rsidRDefault="001223F1" w:rsidP="00A12DCE">
      <w:pPr>
        <w:pStyle w:val="SCCLsocVersus"/>
        <w:widowControl w:val="0"/>
        <w:rPr>
          <w:lang w:val="fr-CA"/>
        </w:rPr>
      </w:pPr>
      <w:proofErr w:type="gramStart"/>
      <w:r w:rsidRPr="00874126">
        <w:rPr>
          <w:lang w:val="fr-CA"/>
        </w:rPr>
        <w:t>c</w:t>
      </w:r>
      <w:proofErr w:type="gramEnd"/>
      <w:r w:rsidRPr="00874126">
        <w:rPr>
          <w:lang w:val="fr-CA"/>
        </w:rPr>
        <w:t>.</w:t>
      </w:r>
    </w:p>
    <w:p w:rsidR="00AB3083" w:rsidRPr="00874126" w:rsidRDefault="001223F1" w:rsidP="00A12DCE">
      <w:pPr>
        <w:pStyle w:val="SCCLsocLastPartyInRole"/>
        <w:widowControl w:val="0"/>
        <w:rPr>
          <w:lang w:val="fr-CA"/>
        </w:rPr>
      </w:pPr>
      <w:r w:rsidRPr="00874126">
        <w:rPr>
          <w:lang w:val="fr-CA"/>
        </w:rPr>
        <w:t>Air Canada</w:t>
      </w:r>
      <w:r w:rsidRPr="00874126">
        <w:rPr>
          <w:rStyle w:val="SCCLsocPartyRole"/>
          <w:lang w:val="fr-CA"/>
        </w:rPr>
        <w:tab/>
        <w:t>Intimée</w:t>
      </w:r>
    </w:p>
    <w:p w:rsidR="004D7D95" w:rsidRPr="00874126" w:rsidRDefault="004D7D95" w:rsidP="00A12DCE">
      <w:pPr>
        <w:widowControl w:val="0"/>
        <w:spacing w:after="720"/>
        <w:jc w:val="both"/>
        <w:rPr>
          <w:b/>
          <w:lang w:val="fr-CA"/>
        </w:rPr>
      </w:pPr>
      <w:r w:rsidRPr="00BB4C92">
        <w:rPr>
          <w:b/>
          <w:lang w:val="fr-CA"/>
        </w:rPr>
        <w:t>Répertorié</w:t>
      </w:r>
      <w:r w:rsidR="006412AC">
        <w:rPr>
          <w:b/>
          <w:lang w:val="fr-CA"/>
        </w:rPr>
        <w:t xml:space="preserve"> : </w:t>
      </w:r>
      <w:r w:rsidRPr="00874126">
        <w:rPr>
          <w:rStyle w:val="SCCAppellantForIndexChar"/>
          <w:lang w:val="fr-CA"/>
        </w:rPr>
        <w:t>Thibodeau</w:t>
      </w:r>
      <w:r w:rsidRPr="00BB4C92">
        <w:rPr>
          <w:b/>
          <w:lang w:val="fr-CA"/>
        </w:rPr>
        <w:t xml:space="preserve"> </w:t>
      </w:r>
      <w:r w:rsidRPr="00BB4C92">
        <w:rPr>
          <w:b/>
          <w:i/>
          <w:lang w:val="fr-CA"/>
        </w:rPr>
        <w:t>c.</w:t>
      </w:r>
      <w:r w:rsidRPr="00BB4C92">
        <w:rPr>
          <w:b/>
          <w:lang w:val="fr-CA"/>
        </w:rPr>
        <w:t xml:space="preserve"> </w:t>
      </w:r>
      <w:r w:rsidRPr="00874126">
        <w:rPr>
          <w:rStyle w:val="SCCRespondentForIndexChar"/>
          <w:lang w:val="fr-CA"/>
        </w:rPr>
        <w:t>Air Canada</w:t>
      </w:r>
    </w:p>
    <w:p w:rsidR="004D7D95" w:rsidRPr="00874126" w:rsidRDefault="00F62639" w:rsidP="00A12DCE">
      <w:pPr>
        <w:pStyle w:val="SCCSystemYear"/>
        <w:widowControl w:val="0"/>
        <w:spacing w:after="720"/>
        <w:jc w:val="both"/>
        <w:rPr>
          <w:lang w:val="fr-CA"/>
        </w:rPr>
      </w:pPr>
      <w:r w:rsidRPr="00874126">
        <w:rPr>
          <w:lang w:val="fr-CA"/>
        </w:rPr>
        <w:t>2014</w:t>
      </w:r>
      <w:r w:rsidR="008C464D">
        <w:rPr>
          <w:lang w:val="fr-CA"/>
        </w:rPr>
        <w:t xml:space="preserve"> CSC</w:t>
      </w:r>
      <w:r w:rsidR="006412AC">
        <w:rPr>
          <w:lang w:val="fr-CA"/>
        </w:rPr>
        <w:t xml:space="preserve"> </w:t>
      </w:r>
      <w:r w:rsidR="008C464D">
        <w:rPr>
          <w:lang w:val="fr-CA"/>
        </w:rPr>
        <w:t>67</w:t>
      </w:r>
    </w:p>
    <w:p w:rsidR="004D7D95" w:rsidRPr="00874126" w:rsidRDefault="004D7D95" w:rsidP="00A12DCE">
      <w:pPr>
        <w:widowControl w:val="0"/>
        <w:spacing w:after="720"/>
        <w:jc w:val="both"/>
        <w:rPr>
          <w:lang w:val="fr-CA"/>
        </w:rPr>
      </w:pPr>
      <w:r w:rsidRPr="00874126">
        <w:rPr>
          <w:lang w:val="fr-CA"/>
        </w:rPr>
        <w:t>N</w:t>
      </w:r>
      <w:r w:rsidRPr="00874126">
        <w:rPr>
          <w:vertAlign w:val="superscript"/>
          <w:lang w:val="fr-CA"/>
        </w:rPr>
        <w:t>o</w:t>
      </w:r>
      <w:r w:rsidRPr="00874126">
        <w:rPr>
          <w:lang w:val="fr-CA"/>
        </w:rPr>
        <w:t xml:space="preserve"> du greffe</w:t>
      </w:r>
      <w:r w:rsidR="006412AC">
        <w:rPr>
          <w:lang w:val="fr-CA"/>
        </w:rPr>
        <w:t xml:space="preserve"> : </w:t>
      </w:r>
      <w:r w:rsidRPr="00874126">
        <w:rPr>
          <w:lang w:val="fr-CA"/>
        </w:rPr>
        <w:t>35100.</w:t>
      </w:r>
    </w:p>
    <w:p w:rsidR="004D7D95" w:rsidRPr="00874126" w:rsidRDefault="00F62639" w:rsidP="00A12DCE">
      <w:pPr>
        <w:widowControl w:val="0"/>
        <w:spacing w:after="720"/>
        <w:jc w:val="both"/>
        <w:rPr>
          <w:lang w:val="fr-CA"/>
        </w:rPr>
      </w:pPr>
      <w:r w:rsidRPr="00874126">
        <w:rPr>
          <w:lang w:val="fr-CA"/>
        </w:rPr>
        <w:t>2014</w:t>
      </w:r>
      <w:r w:rsidR="006412AC">
        <w:rPr>
          <w:lang w:val="fr-CA"/>
        </w:rPr>
        <w:t xml:space="preserve"> : </w:t>
      </w:r>
      <w:r w:rsidRPr="00874126">
        <w:rPr>
          <w:lang w:val="fr-CA"/>
        </w:rPr>
        <w:t>26 mars</w:t>
      </w:r>
      <w:r w:rsidR="004D7D95" w:rsidRPr="00874126">
        <w:rPr>
          <w:lang w:val="fr-CA"/>
        </w:rPr>
        <w:t xml:space="preserve">; </w:t>
      </w:r>
      <w:r w:rsidR="009D2793" w:rsidRPr="00874126">
        <w:rPr>
          <w:lang w:val="fr-CA"/>
        </w:rPr>
        <w:t>2014</w:t>
      </w:r>
      <w:r w:rsidR="006412AC">
        <w:rPr>
          <w:lang w:val="fr-CA"/>
        </w:rPr>
        <w:t xml:space="preserve"> : </w:t>
      </w:r>
      <w:r w:rsidR="00585D66" w:rsidRPr="00875800">
        <w:rPr>
          <w:lang w:val="fr-CA"/>
        </w:rPr>
        <w:t>28</w:t>
      </w:r>
      <w:r w:rsidR="006412AC">
        <w:rPr>
          <w:lang w:val="fr-CA"/>
        </w:rPr>
        <w:t xml:space="preserve"> </w:t>
      </w:r>
      <w:r w:rsidR="00D6512C">
        <w:rPr>
          <w:lang w:val="fr-CA"/>
        </w:rPr>
        <w:t>octobre</w:t>
      </w:r>
      <w:r w:rsidR="004D7D95" w:rsidRPr="00874126">
        <w:rPr>
          <w:lang w:val="fr-CA"/>
        </w:rPr>
        <w:t>.</w:t>
      </w:r>
    </w:p>
    <w:p w:rsidR="004D7D95" w:rsidRPr="00874126" w:rsidRDefault="004D7D95" w:rsidP="00A12DCE">
      <w:pPr>
        <w:widowControl w:val="0"/>
        <w:spacing w:after="720"/>
        <w:jc w:val="both"/>
        <w:rPr>
          <w:lang w:val="fr-CA"/>
        </w:rPr>
      </w:pPr>
      <w:r w:rsidRPr="00874126">
        <w:rPr>
          <w:lang w:val="fr-CA"/>
        </w:rPr>
        <w:t>Présents</w:t>
      </w:r>
      <w:r w:rsidR="006412AC">
        <w:rPr>
          <w:lang w:val="fr-CA"/>
        </w:rPr>
        <w:t xml:space="preserve"> : </w:t>
      </w:r>
      <w:r w:rsidRPr="00874126">
        <w:rPr>
          <w:lang w:val="fr-CA"/>
        </w:rPr>
        <w:t xml:space="preserve">La juge en chef </w:t>
      </w:r>
      <w:proofErr w:type="spellStart"/>
      <w:r w:rsidRPr="00874126">
        <w:rPr>
          <w:lang w:val="fr-CA"/>
        </w:rPr>
        <w:t>McLachlin</w:t>
      </w:r>
      <w:proofErr w:type="spellEnd"/>
      <w:r w:rsidRPr="00874126">
        <w:rPr>
          <w:lang w:val="fr-CA"/>
        </w:rPr>
        <w:t xml:space="preserve"> et les juges </w:t>
      </w:r>
      <w:proofErr w:type="spellStart"/>
      <w:r w:rsidRPr="00874126">
        <w:rPr>
          <w:lang w:val="fr-CA"/>
        </w:rPr>
        <w:t>LeBel</w:t>
      </w:r>
      <w:proofErr w:type="spellEnd"/>
      <w:r w:rsidRPr="00874126">
        <w:rPr>
          <w:lang w:val="fr-CA"/>
        </w:rPr>
        <w:t xml:space="preserve">, Abella, </w:t>
      </w:r>
      <w:proofErr w:type="spellStart"/>
      <w:r w:rsidRPr="00874126">
        <w:rPr>
          <w:lang w:val="fr-CA"/>
        </w:rPr>
        <w:t>Rothstein</w:t>
      </w:r>
      <w:proofErr w:type="spellEnd"/>
      <w:r w:rsidRPr="00874126">
        <w:rPr>
          <w:lang w:val="fr-CA"/>
        </w:rPr>
        <w:t xml:space="preserve">, Cromwell, </w:t>
      </w:r>
      <w:proofErr w:type="spellStart"/>
      <w:r w:rsidRPr="00874126">
        <w:rPr>
          <w:lang w:val="fr-CA"/>
        </w:rPr>
        <w:t>Karakatsanis</w:t>
      </w:r>
      <w:proofErr w:type="spellEnd"/>
      <w:r w:rsidRPr="00874126">
        <w:rPr>
          <w:lang w:val="fr-CA"/>
        </w:rPr>
        <w:t xml:space="preserve"> et Wagner.</w:t>
      </w:r>
    </w:p>
    <w:p w:rsidR="004D7D95" w:rsidRPr="009D2793" w:rsidRDefault="004D7D95" w:rsidP="00A12DCE">
      <w:pPr>
        <w:widowControl w:val="0"/>
        <w:spacing w:before="480" w:after="480" w:line="480" w:lineRule="auto"/>
        <w:jc w:val="both"/>
        <w:rPr>
          <w:smallCaps/>
          <w:lang w:val="fr-CA"/>
        </w:rPr>
      </w:pPr>
      <w:r w:rsidRPr="009D2793">
        <w:rPr>
          <w:smallCaps/>
          <w:lang w:val="fr-CA"/>
        </w:rPr>
        <w:t xml:space="preserve">en appel de la </w:t>
      </w:r>
      <w:r w:rsidRPr="00874126">
        <w:rPr>
          <w:smallCaps/>
          <w:lang w:val="fr-CA"/>
        </w:rPr>
        <w:t>cour d</w:t>
      </w:r>
      <w:r w:rsidR="009D2793" w:rsidRPr="00874126">
        <w:rPr>
          <w:smallCaps/>
          <w:lang w:val="fr-CA"/>
        </w:rPr>
        <w:t>’</w:t>
      </w:r>
      <w:r w:rsidRPr="00874126">
        <w:rPr>
          <w:smallCaps/>
          <w:lang w:val="fr-CA"/>
        </w:rPr>
        <w:t>appel fédérale</w:t>
      </w:r>
    </w:p>
    <w:p w:rsidR="00120F8F" w:rsidRPr="001E37CA" w:rsidRDefault="004D7D95" w:rsidP="00A12DCE">
      <w:pPr>
        <w:pStyle w:val="SCCNormalDoubleSpacing"/>
        <w:widowControl w:val="0"/>
        <w:spacing w:before="480" w:after="480"/>
        <w:rPr>
          <w:i/>
          <w:lang w:val="fr-CA"/>
        </w:rPr>
      </w:pPr>
      <w:r w:rsidRPr="00BB4C92">
        <w:rPr>
          <w:lang w:val="fr-CA"/>
        </w:rPr>
        <w:tab/>
      </w:r>
      <w:r w:rsidR="00120F8F" w:rsidRPr="001E37CA">
        <w:rPr>
          <w:i/>
          <w:lang w:val="fr-CA"/>
        </w:rPr>
        <w:t xml:space="preserve">Langues officielles </w:t>
      </w:r>
      <w:r w:rsidR="00DA2A39">
        <w:rPr>
          <w:i/>
          <w:lang w:val="fr-CA"/>
        </w:rPr>
        <w:t>—</w:t>
      </w:r>
      <w:r w:rsidR="00120F8F" w:rsidRPr="001E37CA">
        <w:rPr>
          <w:i/>
          <w:lang w:val="fr-CA"/>
        </w:rPr>
        <w:t xml:space="preserve"> Atteinte à des droits linguistiques au cours d’un </w:t>
      </w:r>
      <w:r w:rsidR="00120F8F" w:rsidRPr="001E37CA">
        <w:rPr>
          <w:i/>
          <w:lang w:val="fr-CA"/>
        </w:rPr>
        <w:lastRenderedPageBreak/>
        <w:t xml:space="preserve">transport aérien international </w:t>
      </w:r>
      <w:r w:rsidR="00DA2A39">
        <w:rPr>
          <w:i/>
          <w:lang w:val="fr-CA"/>
        </w:rPr>
        <w:t>—</w:t>
      </w:r>
      <w:r w:rsidR="00DA2A39" w:rsidRPr="001E37CA">
        <w:rPr>
          <w:i/>
          <w:lang w:val="fr-CA"/>
        </w:rPr>
        <w:t xml:space="preserve"> </w:t>
      </w:r>
      <w:r w:rsidR="00120F8F" w:rsidRPr="001E37CA">
        <w:rPr>
          <w:i/>
          <w:lang w:val="fr-CA"/>
        </w:rPr>
        <w:t xml:space="preserve">Omission du transporteur aérien de fournir des services en français sur des vols internationaux </w:t>
      </w:r>
      <w:r w:rsidR="00DA2A39">
        <w:rPr>
          <w:i/>
          <w:lang w:val="fr-CA"/>
        </w:rPr>
        <w:t>—</w:t>
      </w:r>
      <w:r w:rsidR="00DA2A39" w:rsidRPr="001E37CA">
        <w:rPr>
          <w:i/>
          <w:lang w:val="fr-CA"/>
        </w:rPr>
        <w:t xml:space="preserve"> </w:t>
      </w:r>
      <w:r w:rsidR="001E37CA" w:rsidRPr="001E37CA">
        <w:rPr>
          <w:i/>
          <w:lang w:val="fr-CA"/>
        </w:rPr>
        <w:t>D</w:t>
      </w:r>
      <w:r w:rsidR="001E37CA">
        <w:rPr>
          <w:i/>
          <w:lang w:val="fr-CA"/>
        </w:rPr>
        <w:t>emande de d</w:t>
      </w:r>
      <w:r w:rsidR="00E34779">
        <w:rPr>
          <w:i/>
          <w:lang w:val="fr-CA"/>
        </w:rPr>
        <w:t>ommages</w:t>
      </w:r>
      <w:r w:rsidR="006412AC">
        <w:rPr>
          <w:i/>
          <w:lang w:val="fr-CA"/>
        </w:rPr>
        <w:t>-</w:t>
      </w:r>
      <w:r w:rsidR="001E37CA" w:rsidRPr="001E37CA">
        <w:rPr>
          <w:i/>
          <w:lang w:val="fr-CA"/>
        </w:rPr>
        <w:t xml:space="preserve">intérêts et </w:t>
      </w:r>
      <w:r w:rsidR="001E37CA">
        <w:rPr>
          <w:i/>
          <w:lang w:val="fr-CA"/>
        </w:rPr>
        <w:t>d’</w:t>
      </w:r>
      <w:r w:rsidR="001E37CA" w:rsidRPr="001E37CA">
        <w:rPr>
          <w:i/>
          <w:lang w:val="fr-CA"/>
        </w:rPr>
        <w:t>ordonnan</w:t>
      </w:r>
      <w:r w:rsidR="001E37CA">
        <w:rPr>
          <w:i/>
          <w:lang w:val="fr-CA"/>
        </w:rPr>
        <w:t xml:space="preserve">ce structurelle présentée par des passagers à la Cour fédérale en vertu de la Loi sur les langues officielles </w:t>
      </w:r>
      <w:r w:rsidR="00DA2A39">
        <w:rPr>
          <w:i/>
          <w:lang w:val="fr-CA"/>
        </w:rPr>
        <w:t>—</w:t>
      </w:r>
      <w:r w:rsidR="0085114D">
        <w:rPr>
          <w:i/>
          <w:lang w:val="fr-CA"/>
        </w:rPr>
        <w:t xml:space="preserve"> L</w:t>
      </w:r>
      <w:r w:rsidR="001E37CA">
        <w:rPr>
          <w:i/>
          <w:lang w:val="fr-CA"/>
        </w:rPr>
        <w:t xml:space="preserve">a limite de </w:t>
      </w:r>
      <w:r w:rsidR="00AB0880">
        <w:rPr>
          <w:i/>
          <w:lang w:val="fr-CA"/>
        </w:rPr>
        <w:t xml:space="preserve">la </w:t>
      </w:r>
      <w:r w:rsidR="001E37CA">
        <w:rPr>
          <w:i/>
          <w:lang w:val="fr-CA"/>
        </w:rPr>
        <w:t xml:space="preserve">responsabilité </w:t>
      </w:r>
      <w:r w:rsidR="00AB0880">
        <w:rPr>
          <w:i/>
          <w:lang w:val="fr-CA"/>
        </w:rPr>
        <w:t>à l’égard des</w:t>
      </w:r>
      <w:r w:rsidR="00AE4E81">
        <w:rPr>
          <w:i/>
          <w:lang w:val="fr-CA"/>
        </w:rPr>
        <w:t xml:space="preserve"> </w:t>
      </w:r>
      <w:r w:rsidR="001E37CA">
        <w:rPr>
          <w:i/>
          <w:lang w:val="fr-CA"/>
        </w:rPr>
        <w:t>dommages</w:t>
      </w:r>
      <w:r w:rsidR="00AE4E81">
        <w:rPr>
          <w:i/>
          <w:lang w:val="fr-CA"/>
        </w:rPr>
        <w:t xml:space="preserve"> prescrite par </w:t>
      </w:r>
      <w:r w:rsidR="001E37CA">
        <w:rPr>
          <w:i/>
          <w:lang w:val="fr-CA"/>
        </w:rPr>
        <w:t xml:space="preserve">la </w:t>
      </w:r>
      <w:r w:rsidR="00120F8F" w:rsidRPr="001E37CA">
        <w:rPr>
          <w:i/>
          <w:lang w:val="fr-CA"/>
        </w:rPr>
        <w:t xml:space="preserve">Convention </w:t>
      </w:r>
      <w:r w:rsidR="001E37CA">
        <w:rPr>
          <w:i/>
          <w:lang w:val="fr-CA"/>
        </w:rPr>
        <w:t>pour l’u</w:t>
      </w:r>
      <w:r w:rsidR="00120F8F" w:rsidRPr="001E37CA">
        <w:rPr>
          <w:i/>
          <w:lang w:val="fr-CA"/>
        </w:rPr>
        <w:t xml:space="preserve">nification </w:t>
      </w:r>
      <w:r w:rsidR="001E37CA">
        <w:rPr>
          <w:i/>
          <w:lang w:val="fr-CA"/>
        </w:rPr>
        <w:t>de certaines règles relatives au transport aérien international</w:t>
      </w:r>
      <w:r w:rsidR="0085114D">
        <w:rPr>
          <w:i/>
          <w:lang w:val="fr-CA"/>
        </w:rPr>
        <w:t xml:space="preserve"> (</w:t>
      </w:r>
      <w:r w:rsidR="006412AC">
        <w:rPr>
          <w:i/>
          <w:lang w:val="fr-CA"/>
        </w:rPr>
        <w:t>« </w:t>
      </w:r>
      <w:r w:rsidR="0085114D" w:rsidRPr="00F70AD7">
        <w:rPr>
          <w:i/>
          <w:lang w:val="fr-CA"/>
        </w:rPr>
        <w:t>Convention</w:t>
      </w:r>
      <w:r w:rsidR="0085114D">
        <w:rPr>
          <w:i/>
          <w:lang w:val="fr-CA"/>
        </w:rPr>
        <w:t xml:space="preserve"> de Montréal</w:t>
      </w:r>
      <w:r w:rsidR="006412AC">
        <w:rPr>
          <w:i/>
          <w:lang w:val="fr-CA"/>
        </w:rPr>
        <w:t> »</w:t>
      </w:r>
      <w:r w:rsidR="0085114D" w:rsidRPr="00F70AD7">
        <w:rPr>
          <w:i/>
          <w:lang w:val="fr-CA"/>
        </w:rPr>
        <w:t>)</w:t>
      </w:r>
      <w:r w:rsidR="0085114D">
        <w:rPr>
          <w:i/>
          <w:lang w:val="fr-CA"/>
        </w:rPr>
        <w:t xml:space="preserve"> fait</w:t>
      </w:r>
      <w:r w:rsidR="006412AC">
        <w:rPr>
          <w:i/>
          <w:lang w:val="fr-CA"/>
        </w:rPr>
        <w:t>-</w:t>
      </w:r>
      <w:r w:rsidR="0085114D">
        <w:rPr>
          <w:i/>
          <w:lang w:val="fr-CA"/>
        </w:rPr>
        <w:t>elle obstacle à l’octroi de dommages</w:t>
      </w:r>
      <w:r w:rsidR="006412AC">
        <w:rPr>
          <w:i/>
          <w:lang w:val="fr-CA"/>
        </w:rPr>
        <w:t>-</w:t>
      </w:r>
      <w:r w:rsidR="0085114D">
        <w:rPr>
          <w:i/>
          <w:lang w:val="fr-CA"/>
        </w:rPr>
        <w:t>intérêts</w:t>
      </w:r>
      <w:r w:rsidR="001573B7">
        <w:rPr>
          <w:i/>
          <w:lang w:val="fr-CA"/>
        </w:rPr>
        <w:t>?</w:t>
      </w:r>
      <w:r w:rsidR="00120F8F" w:rsidRPr="001E37CA">
        <w:rPr>
          <w:i/>
          <w:lang w:val="fr-CA"/>
        </w:rPr>
        <w:t xml:space="preserve"> </w:t>
      </w:r>
      <w:r w:rsidR="00DA2A39">
        <w:rPr>
          <w:i/>
          <w:lang w:val="fr-CA"/>
        </w:rPr>
        <w:t>—</w:t>
      </w:r>
      <w:r w:rsidR="00DA2A39" w:rsidRPr="001E37CA">
        <w:rPr>
          <w:i/>
          <w:lang w:val="fr-CA"/>
        </w:rPr>
        <w:t xml:space="preserve"> </w:t>
      </w:r>
      <w:r w:rsidR="001E37CA">
        <w:rPr>
          <w:i/>
          <w:lang w:val="fr-CA"/>
        </w:rPr>
        <w:t xml:space="preserve">L’ordonnance structurelle était-elle convenable? </w:t>
      </w:r>
      <w:r w:rsidR="00DA2A39">
        <w:rPr>
          <w:i/>
          <w:lang w:val="fr-CA"/>
        </w:rPr>
        <w:t>—</w:t>
      </w:r>
      <w:r w:rsidR="00DA2A39" w:rsidRPr="001E37CA">
        <w:rPr>
          <w:i/>
          <w:lang w:val="fr-CA"/>
        </w:rPr>
        <w:t xml:space="preserve"> </w:t>
      </w:r>
      <w:r w:rsidR="001E37CA">
        <w:rPr>
          <w:i/>
          <w:lang w:val="fr-CA"/>
        </w:rPr>
        <w:t>Loi sur les langues officielles</w:t>
      </w:r>
      <w:r w:rsidR="00120F8F" w:rsidRPr="001E37CA">
        <w:rPr>
          <w:i/>
          <w:lang w:val="fr-CA"/>
        </w:rPr>
        <w:t xml:space="preserve">, </w:t>
      </w:r>
      <w:r w:rsidR="001E37CA">
        <w:rPr>
          <w:i/>
          <w:lang w:val="fr-CA"/>
        </w:rPr>
        <w:t>L.</w:t>
      </w:r>
      <w:r w:rsidR="00120F8F" w:rsidRPr="001E37CA">
        <w:rPr>
          <w:i/>
          <w:lang w:val="fr-CA"/>
        </w:rPr>
        <w:t>R.C. 1985, c</w:t>
      </w:r>
      <w:r w:rsidR="00E34779">
        <w:rPr>
          <w:i/>
          <w:lang w:val="fr-CA"/>
        </w:rPr>
        <w:t>h.</w:t>
      </w:r>
      <w:r w:rsidR="006412AC">
        <w:rPr>
          <w:i/>
          <w:lang w:val="fr-CA"/>
        </w:rPr>
        <w:t xml:space="preserve"> </w:t>
      </w:r>
      <w:r w:rsidR="001E37CA">
        <w:rPr>
          <w:i/>
          <w:lang w:val="fr-CA"/>
        </w:rPr>
        <w:t>31 (4</w:t>
      </w:r>
      <w:r w:rsidR="001E37CA" w:rsidRPr="001E37CA">
        <w:rPr>
          <w:i/>
          <w:vertAlign w:val="superscript"/>
          <w:lang w:val="fr-CA"/>
        </w:rPr>
        <w:t>e</w:t>
      </w:r>
      <w:r w:rsidR="006412AC">
        <w:rPr>
          <w:i/>
          <w:lang w:val="fr-CA"/>
        </w:rPr>
        <w:t xml:space="preserve"> </w:t>
      </w:r>
      <w:r w:rsidR="001E37CA">
        <w:rPr>
          <w:i/>
          <w:lang w:val="fr-CA"/>
        </w:rPr>
        <w:t>s</w:t>
      </w:r>
      <w:r w:rsidR="00120F8F" w:rsidRPr="001E37CA">
        <w:rPr>
          <w:i/>
          <w:lang w:val="fr-CA"/>
        </w:rPr>
        <w:t>upp</w:t>
      </w:r>
      <w:r w:rsidR="001E37CA">
        <w:rPr>
          <w:i/>
          <w:lang w:val="fr-CA"/>
        </w:rPr>
        <w:t>l</w:t>
      </w:r>
      <w:r w:rsidR="00120F8F" w:rsidRPr="001E37CA">
        <w:rPr>
          <w:i/>
          <w:lang w:val="fr-CA"/>
        </w:rPr>
        <w:t xml:space="preserve">.), </w:t>
      </w:r>
      <w:r w:rsidR="001E37CA">
        <w:rPr>
          <w:i/>
          <w:lang w:val="fr-CA"/>
        </w:rPr>
        <w:t>art</w:t>
      </w:r>
      <w:r w:rsidR="00E34779">
        <w:rPr>
          <w:i/>
          <w:lang w:val="fr-CA"/>
        </w:rPr>
        <w:t>.</w:t>
      </w:r>
      <w:r w:rsidR="006412AC">
        <w:rPr>
          <w:i/>
          <w:lang w:val="fr-CA"/>
        </w:rPr>
        <w:t xml:space="preserve"> </w:t>
      </w:r>
      <w:r w:rsidR="00120F8F" w:rsidRPr="001E37CA">
        <w:rPr>
          <w:i/>
          <w:lang w:val="fr-CA"/>
        </w:rPr>
        <w:t xml:space="preserve">77(4) </w:t>
      </w:r>
      <w:r w:rsidR="00DA2A39">
        <w:rPr>
          <w:i/>
          <w:lang w:val="fr-CA"/>
        </w:rPr>
        <w:t>—</w:t>
      </w:r>
      <w:r w:rsidR="00DA2A39" w:rsidRPr="001E37CA">
        <w:rPr>
          <w:i/>
          <w:lang w:val="fr-CA"/>
        </w:rPr>
        <w:t xml:space="preserve"> </w:t>
      </w:r>
      <w:r w:rsidR="00120F8F" w:rsidRPr="001E37CA">
        <w:rPr>
          <w:i/>
          <w:lang w:val="fr-CA"/>
        </w:rPr>
        <w:t xml:space="preserve">Convention </w:t>
      </w:r>
      <w:r w:rsidR="001E37CA">
        <w:rPr>
          <w:i/>
          <w:lang w:val="fr-CA"/>
        </w:rPr>
        <w:t>pour l’unification de certaines règles relatives au transport aérien international</w:t>
      </w:r>
      <w:r w:rsidR="00AE4E81">
        <w:rPr>
          <w:i/>
          <w:lang w:val="fr-CA"/>
        </w:rPr>
        <w:t>, 2242</w:t>
      </w:r>
      <w:r w:rsidR="006412AC">
        <w:rPr>
          <w:i/>
          <w:lang w:val="fr-CA"/>
        </w:rPr>
        <w:t xml:space="preserve"> </w:t>
      </w:r>
      <w:r w:rsidR="00624934">
        <w:rPr>
          <w:i/>
          <w:lang w:val="fr-CA"/>
        </w:rPr>
        <w:t>R.T.N.</w:t>
      </w:r>
      <w:r w:rsidR="00120F8F" w:rsidRPr="001E37CA">
        <w:rPr>
          <w:i/>
          <w:lang w:val="fr-CA"/>
        </w:rPr>
        <w:t>U.</w:t>
      </w:r>
      <w:r w:rsidR="00624934">
        <w:rPr>
          <w:i/>
          <w:lang w:val="fr-CA"/>
        </w:rPr>
        <w:t xml:space="preserve"> </w:t>
      </w:r>
      <w:r w:rsidR="000B78B7">
        <w:rPr>
          <w:i/>
          <w:lang w:val="fr-CA"/>
        </w:rPr>
        <w:t>309</w:t>
      </w:r>
      <w:r w:rsidR="00E34779">
        <w:rPr>
          <w:i/>
          <w:lang w:val="fr-CA"/>
        </w:rPr>
        <w:t>, Article</w:t>
      </w:r>
      <w:r w:rsidR="006412AC">
        <w:rPr>
          <w:i/>
          <w:lang w:val="fr-CA"/>
        </w:rPr>
        <w:t xml:space="preserve"> </w:t>
      </w:r>
      <w:r w:rsidR="00120F8F" w:rsidRPr="001E37CA">
        <w:rPr>
          <w:i/>
          <w:lang w:val="fr-CA"/>
        </w:rPr>
        <w:t>29.</w:t>
      </w:r>
    </w:p>
    <w:p w:rsidR="00120F8F" w:rsidRPr="00F70AD7" w:rsidRDefault="00120F8F" w:rsidP="00A12DCE">
      <w:pPr>
        <w:pStyle w:val="SCCNormalDoubleSpacing"/>
        <w:widowControl w:val="0"/>
        <w:spacing w:before="480" w:after="480"/>
        <w:rPr>
          <w:i/>
          <w:lang w:val="fr-CA"/>
        </w:rPr>
      </w:pPr>
      <w:r w:rsidRPr="001E37CA">
        <w:rPr>
          <w:i/>
          <w:lang w:val="fr-CA"/>
        </w:rPr>
        <w:tab/>
      </w:r>
      <w:r w:rsidRPr="00F70AD7">
        <w:rPr>
          <w:i/>
          <w:lang w:val="fr-CA"/>
        </w:rPr>
        <w:t>L</w:t>
      </w:r>
      <w:r w:rsidR="00624934" w:rsidRPr="00F70AD7">
        <w:rPr>
          <w:i/>
          <w:lang w:val="fr-CA"/>
        </w:rPr>
        <w:t>é</w:t>
      </w:r>
      <w:r w:rsidRPr="00F70AD7">
        <w:rPr>
          <w:i/>
          <w:lang w:val="fr-CA"/>
        </w:rPr>
        <w:t xml:space="preserve">gislation </w:t>
      </w:r>
      <w:r w:rsidR="00DA2A39">
        <w:rPr>
          <w:i/>
          <w:lang w:val="fr-CA"/>
        </w:rPr>
        <w:t>—</w:t>
      </w:r>
      <w:r w:rsidR="00DA2A39" w:rsidRPr="001E37CA">
        <w:rPr>
          <w:i/>
          <w:lang w:val="fr-CA"/>
        </w:rPr>
        <w:t xml:space="preserve"> </w:t>
      </w:r>
      <w:r w:rsidRPr="00F70AD7">
        <w:rPr>
          <w:i/>
          <w:lang w:val="fr-CA"/>
        </w:rPr>
        <w:t>Interpr</w:t>
      </w:r>
      <w:r w:rsidR="00F70AD7" w:rsidRPr="00F70AD7">
        <w:rPr>
          <w:i/>
          <w:lang w:val="fr-CA"/>
        </w:rPr>
        <w:t>é</w:t>
      </w:r>
      <w:r w:rsidRPr="00F70AD7">
        <w:rPr>
          <w:i/>
          <w:lang w:val="fr-CA"/>
        </w:rPr>
        <w:t xml:space="preserve">tation </w:t>
      </w:r>
      <w:r w:rsidR="00DA2A39">
        <w:rPr>
          <w:i/>
          <w:lang w:val="fr-CA"/>
        </w:rPr>
        <w:t>—</w:t>
      </w:r>
      <w:r w:rsidR="00DA2A39" w:rsidRPr="001E37CA">
        <w:rPr>
          <w:i/>
          <w:lang w:val="fr-CA"/>
        </w:rPr>
        <w:t xml:space="preserve"> </w:t>
      </w:r>
      <w:r w:rsidRPr="00F70AD7">
        <w:rPr>
          <w:i/>
          <w:lang w:val="fr-CA"/>
        </w:rPr>
        <w:t>Conflit</w:t>
      </w:r>
      <w:r w:rsidR="00F70AD7" w:rsidRPr="00F70AD7">
        <w:rPr>
          <w:i/>
          <w:lang w:val="fr-CA"/>
        </w:rPr>
        <w:t xml:space="preserve"> de loi</w:t>
      </w:r>
      <w:r w:rsidRPr="00F70AD7">
        <w:rPr>
          <w:i/>
          <w:lang w:val="fr-CA"/>
        </w:rPr>
        <w:t xml:space="preserve"> </w:t>
      </w:r>
      <w:r w:rsidR="00DA2A39">
        <w:rPr>
          <w:i/>
          <w:lang w:val="fr-CA"/>
        </w:rPr>
        <w:t>—</w:t>
      </w:r>
      <w:r w:rsidR="00DA2A39" w:rsidRPr="001E37CA">
        <w:rPr>
          <w:i/>
          <w:lang w:val="fr-CA"/>
        </w:rPr>
        <w:t xml:space="preserve"> </w:t>
      </w:r>
      <w:r w:rsidR="00F70AD7" w:rsidRPr="00F70AD7">
        <w:rPr>
          <w:i/>
          <w:lang w:val="fr-CA"/>
        </w:rPr>
        <w:t>Transporteur aérien portant atteinte au droit que confère la Loi sur les langues officielles aux passagers de recevoir des services en français</w:t>
      </w:r>
      <w:r w:rsidR="00AE4E81">
        <w:rPr>
          <w:i/>
          <w:lang w:val="fr-CA"/>
        </w:rPr>
        <w:t xml:space="preserve"> en omettant de les servir dans cette langue</w:t>
      </w:r>
      <w:r w:rsidR="00F70AD7" w:rsidRPr="00F70AD7">
        <w:rPr>
          <w:i/>
          <w:lang w:val="fr-CA"/>
        </w:rPr>
        <w:t xml:space="preserve"> sur des vols internationaux </w:t>
      </w:r>
      <w:r w:rsidR="00DA2A39">
        <w:rPr>
          <w:i/>
          <w:lang w:val="fr-CA"/>
        </w:rPr>
        <w:t>—</w:t>
      </w:r>
      <w:r w:rsidR="00DA2A39" w:rsidRPr="001E37CA">
        <w:rPr>
          <w:i/>
          <w:lang w:val="fr-CA"/>
        </w:rPr>
        <w:t xml:space="preserve"> </w:t>
      </w:r>
      <w:r w:rsidR="00F70AD7" w:rsidRPr="00F70AD7">
        <w:rPr>
          <w:i/>
          <w:lang w:val="fr-CA"/>
        </w:rPr>
        <w:t>D</w:t>
      </w:r>
      <w:r w:rsidR="00F70AD7">
        <w:rPr>
          <w:i/>
          <w:lang w:val="fr-CA"/>
        </w:rPr>
        <w:t xml:space="preserve">emande de dommages-intérêts présentée par des passagers à la Cour fédérale en vertu de la Loi sur les langues officielles </w:t>
      </w:r>
      <w:r w:rsidR="00DA2A39">
        <w:rPr>
          <w:i/>
          <w:lang w:val="fr-CA"/>
        </w:rPr>
        <w:t>—</w:t>
      </w:r>
      <w:r w:rsidR="00DA2A39" w:rsidRPr="001E37CA">
        <w:rPr>
          <w:i/>
          <w:lang w:val="fr-CA"/>
        </w:rPr>
        <w:t xml:space="preserve"> </w:t>
      </w:r>
      <w:r w:rsidR="0085114D">
        <w:rPr>
          <w:i/>
          <w:lang w:val="fr-CA"/>
        </w:rPr>
        <w:t xml:space="preserve">La limite de la responsabilité à l’égard des dommages prescrite par la </w:t>
      </w:r>
      <w:r w:rsidR="0085114D" w:rsidRPr="001E37CA">
        <w:rPr>
          <w:i/>
          <w:lang w:val="fr-CA"/>
        </w:rPr>
        <w:t xml:space="preserve">Convention </w:t>
      </w:r>
      <w:r w:rsidR="0085114D">
        <w:rPr>
          <w:i/>
          <w:lang w:val="fr-CA"/>
        </w:rPr>
        <w:t>pour l’u</w:t>
      </w:r>
      <w:r w:rsidR="0085114D" w:rsidRPr="001E37CA">
        <w:rPr>
          <w:i/>
          <w:lang w:val="fr-CA"/>
        </w:rPr>
        <w:t xml:space="preserve">nification </w:t>
      </w:r>
      <w:r w:rsidR="0085114D">
        <w:rPr>
          <w:i/>
          <w:lang w:val="fr-CA"/>
        </w:rPr>
        <w:t>de certaines règles relatives au transport aérien international (</w:t>
      </w:r>
      <w:r w:rsidR="006412AC">
        <w:rPr>
          <w:i/>
          <w:lang w:val="fr-CA"/>
        </w:rPr>
        <w:t>« </w:t>
      </w:r>
      <w:r w:rsidR="0085114D" w:rsidRPr="00F70AD7">
        <w:rPr>
          <w:i/>
          <w:lang w:val="fr-CA"/>
        </w:rPr>
        <w:t>Convention</w:t>
      </w:r>
      <w:r w:rsidR="0085114D">
        <w:rPr>
          <w:i/>
          <w:lang w:val="fr-CA"/>
        </w:rPr>
        <w:t xml:space="preserve"> de Montréal</w:t>
      </w:r>
      <w:r w:rsidR="006412AC">
        <w:rPr>
          <w:i/>
          <w:lang w:val="fr-CA"/>
        </w:rPr>
        <w:t> »</w:t>
      </w:r>
      <w:r w:rsidR="0085114D" w:rsidRPr="00F70AD7">
        <w:rPr>
          <w:i/>
          <w:lang w:val="fr-CA"/>
        </w:rPr>
        <w:t>)</w:t>
      </w:r>
      <w:r w:rsidR="0085114D">
        <w:rPr>
          <w:i/>
          <w:lang w:val="fr-CA"/>
        </w:rPr>
        <w:t xml:space="preserve"> fait</w:t>
      </w:r>
      <w:r w:rsidR="006412AC">
        <w:rPr>
          <w:i/>
          <w:lang w:val="fr-CA"/>
        </w:rPr>
        <w:t>-</w:t>
      </w:r>
      <w:r w:rsidR="0085114D">
        <w:rPr>
          <w:i/>
          <w:lang w:val="fr-CA"/>
        </w:rPr>
        <w:t>elle obstacle à l’octroi de dommages</w:t>
      </w:r>
      <w:r w:rsidR="006412AC">
        <w:rPr>
          <w:i/>
          <w:lang w:val="fr-CA"/>
        </w:rPr>
        <w:t>-</w:t>
      </w:r>
      <w:r w:rsidR="0085114D">
        <w:rPr>
          <w:i/>
          <w:lang w:val="fr-CA"/>
        </w:rPr>
        <w:t>intérêts?</w:t>
      </w:r>
      <w:r w:rsidRPr="00F70AD7">
        <w:rPr>
          <w:i/>
          <w:lang w:val="fr-CA"/>
        </w:rPr>
        <w:t xml:space="preserve"> </w:t>
      </w:r>
      <w:r w:rsidR="00DA2A39">
        <w:rPr>
          <w:i/>
          <w:lang w:val="fr-CA"/>
        </w:rPr>
        <w:t>—</w:t>
      </w:r>
      <w:r w:rsidR="00DA2A39" w:rsidRPr="001E37CA">
        <w:rPr>
          <w:i/>
          <w:lang w:val="fr-CA"/>
        </w:rPr>
        <w:t xml:space="preserve"> </w:t>
      </w:r>
      <w:r w:rsidR="00E34779">
        <w:rPr>
          <w:i/>
          <w:lang w:val="fr-CA"/>
        </w:rPr>
        <w:t>Y a</w:t>
      </w:r>
      <w:r w:rsidR="006412AC">
        <w:rPr>
          <w:i/>
          <w:lang w:val="fr-CA"/>
        </w:rPr>
        <w:t>-</w:t>
      </w:r>
      <w:r w:rsidR="00E34779">
        <w:rPr>
          <w:i/>
          <w:lang w:val="fr-CA"/>
        </w:rPr>
        <w:t>t</w:t>
      </w:r>
      <w:r w:rsidR="006412AC">
        <w:rPr>
          <w:i/>
          <w:lang w:val="fr-CA"/>
        </w:rPr>
        <w:t>-</w:t>
      </w:r>
      <w:r w:rsidR="00200AB6">
        <w:rPr>
          <w:i/>
          <w:lang w:val="fr-CA"/>
        </w:rPr>
        <w:t xml:space="preserve">il conflit ou chevauchement entre la Loi sur les langues officielles et la </w:t>
      </w:r>
      <w:r w:rsidRPr="00F70AD7">
        <w:rPr>
          <w:i/>
          <w:lang w:val="fr-CA"/>
        </w:rPr>
        <w:t>Convention</w:t>
      </w:r>
      <w:r w:rsidR="00200AB6">
        <w:rPr>
          <w:i/>
          <w:lang w:val="fr-CA"/>
        </w:rPr>
        <w:t xml:space="preserve"> de Montréal</w:t>
      </w:r>
      <w:r w:rsidR="00FB375F">
        <w:rPr>
          <w:i/>
          <w:lang w:val="fr-CA"/>
        </w:rPr>
        <w:t>?</w:t>
      </w:r>
      <w:r w:rsidR="00200AB6">
        <w:rPr>
          <w:i/>
          <w:lang w:val="fr-CA"/>
        </w:rPr>
        <w:t xml:space="preserve"> </w:t>
      </w:r>
      <w:r w:rsidR="00DA2A39">
        <w:rPr>
          <w:i/>
          <w:lang w:val="fr-CA"/>
        </w:rPr>
        <w:t>—</w:t>
      </w:r>
      <w:r w:rsidR="00DA2A39" w:rsidRPr="001E37CA">
        <w:rPr>
          <w:i/>
          <w:lang w:val="fr-CA"/>
        </w:rPr>
        <w:t xml:space="preserve"> </w:t>
      </w:r>
      <w:r w:rsidR="00200AB6">
        <w:rPr>
          <w:i/>
          <w:lang w:val="fr-CA"/>
        </w:rPr>
        <w:t>Loi sur les langues officielles, L.</w:t>
      </w:r>
      <w:r w:rsidRPr="00F70AD7">
        <w:rPr>
          <w:i/>
          <w:lang w:val="fr-CA"/>
        </w:rPr>
        <w:t>R.C. 1985, c</w:t>
      </w:r>
      <w:r w:rsidR="00200AB6">
        <w:rPr>
          <w:i/>
          <w:lang w:val="fr-CA"/>
        </w:rPr>
        <w:t>h</w:t>
      </w:r>
      <w:r w:rsidR="00E34779">
        <w:rPr>
          <w:i/>
          <w:lang w:val="fr-CA"/>
        </w:rPr>
        <w:t>.</w:t>
      </w:r>
      <w:r w:rsidR="006412AC">
        <w:rPr>
          <w:i/>
          <w:lang w:val="fr-CA"/>
        </w:rPr>
        <w:t xml:space="preserve"> </w:t>
      </w:r>
      <w:r w:rsidRPr="00F70AD7">
        <w:rPr>
          <w:i/>
          <w:lang w:val="fr-CA"/>
        </w:rPr>
        <w:t>31 (4</w:t>
      </w:r>
      <w:r w:rsidR="00200AB6" w:rsidRPr="00200AB6">
        <w:rPr>
          <w:i/>
          <w:vertAlign w:val="superscript"/>
          <w:lang w:val="fr-CA"/>
        </w:rPr>
        <w:t>e</w:t>
      </w:r>
      <w:r w:rsidR="006412AC">
        <w:rPr>
          <w:i/>
          <w:lang w:val="fr-CA"/>
        </w:rPr>
        <w:t xml:space="preserve"> </w:t>
      </w:r>
      <w:r w:rsidR="00200AB6">
        <w:rPr>
          <w:i/>
          <w:lang w:val="fr-CA"/>
        </w:rPr>
        <w:t>s</w:t>
      </w:r>
      <w:r w:rsidRPr="00F70AD7">
        <w:rPr>
          <w:i/>
          <w:lang w:val="fr-CA"/>
        </w:rPr>
        <w:t>upp</w:t>
      </w:r>
      <w:r w:rsidR="00200AB6">
        <w:rPr>
          <w:i/>
          <w:lang w:val="fr-CA"/>
        </w:rPr>
        <w:t>l</w:t>
      </w:r>
      <w:r w:rsidRPr="00F70AD7">
        <w:rPr>
          <w:i/>
          <w:lang w:val="fr-CA"/>
        </w:rPr>
        <w:t xml:space="preserve">.), </w:t>
      </w:r>
      <w:r w:rsidR="001573B7">
        <w:rPr>
          <w:i/>
          <w:lang w:val="fr-CA"/>
        </w:rPr>
        <w:t>art</w:t>
      </w:r>
      <w:r w:rsidR="00E34779">
        <w:rPr>
          <w:i/>
          <w:lang w:val="fr-CA"/>
        </w:rPr>
        <w:t>.</w:t>
      </w:r>
      <w:r w:rsidR="006412AC">
        <w:rPr>
          <w:i/>
          <w:lang w:val="fr-CA"/>
        </w:rPr>
        <w:t xml:space="preserve"> </w:t>
      </w:r>
      <w:r w:rsidRPr="00F70AD7">
        <w:rPr>
          <w:i/>
          <w:lang w:val="fr-CA"/>
        </w:rPr>
        <w:t xml:space="preserve">77(4) </w:t>
      </w:r>
      <w:r w:rsidR="00DA2A39">
        <w:rPr>
          <w:i/>
          <w:lang w:val="fr-CA"/>
        </w:rPr>
        <w:t>—</w:t>
      </w:r>
      <w:r w:rsidR="00DA2A39" w:rsidRPr="001E37CA">
        <w:rPr>
          <w:i/>
          <w:lang w:val="fr-CA"/>
        </w:rPr>
        <w:t xml:space="preserve"> </w:t>
      </w:r>
      <w:r w:rsidRPr="00F70AD7">
        <w:rPr>
          <w:i/>
          <w:lang w:val="fr-CA"/>
        </w:rPr>
        <w:t xml:space="preserve">Convention </w:t>
      </w:r>
      <w:r w:rsidR="00200AB6">
        <w:rPr>
          <w:i/>
          <w:lang w:val="fr-CA"/>
        </w:rPr>
        <w:t>pour l’unification de certaines règles relatives au</w:t>
      </w:r>
      <w:r w:rsidR="000F6047">
        <w:rPr>
          <w:i/>
          <w:lang w:val="fr-CA"/>
        </w:rPr>
        <w:t xml:space="preserve"> transport aérien i</w:t>
      </w:r>
      <w:r w:rsidR="000C3860">
        <w:rPr>
          <w:i/>
          <w:lang w:val="fr-CA"/>
        </w:rPr>
        <w:t>nternational</w:t>
      </w:r>
      <w:r w:rsidRPr="00F70AD7">
        <w:rPr>
          <w:i/>
          <w:lang w:val="fr-CA"/>
        </w:rPr>
        <w:t xml:space="preserve">, 2242 </w:t>
      </w:r>
      <w:r w:rsidR="000C3860">
        <w:rPr>
          <w:i/>
          <w:lang w:val="fr-CA"/>
        </w:rPr>
        <w:t>R.T.N.</w:t>
      </w:r>
      <w:r w:rsidR="00E34779">
        <w:rPr>
          <w:i/>
          <w:lang w:val="fr-CA"/>
        </w:rPr>
        <w:t xml:space="preserve">U. </w:t>
      </w:r>
      <w:r w:rsidR="00865389">
        <w:rPr>
          <w:i/>
          <w:lang w:val="fr-CA"/>
        </w:rPr>
        <w:t>309</w:t>
      </w:r>
      <w:r w:rsidR="00E34779">
        <w:rPr>
          <w:i/>
          <w:lang w:val="fr-CA"/>
        </w:rPr>
        <w:t>, Article</w:t>
      </w:r>
      <w:r w:rsidR="006412AC">
        <w:rPr>
          <w:i/>
          <w:lang w:val="fr-CA"/>
        </w:rPr>
        <w:t xml:space="preserve"> </w:t>
      </w:r>
      <w:r w:rsidRPr="00F70AD7">
        <w:rPr>
          <w:i/>
          <w:lang w:val="fr-CA"/>
        </w:rPr>
        <w:t>29.</w:t>
      </w:r>
    </w:p>
    <w:p w:rsidR="007B1A55" w:rsidRPr="00227EC4" w:rsidRDefault="00DA2A39" w:rsidP="00A12DCE">
      <w:pPr>
        <w:pStyle w:val="SCCNormalDoubleSpacing"/>
        <w:widowControl w:val="0"/>
        <w:spacing w:before="480" w:after="480"/>
        <w:rPr>
          <w:lang w:val="fr-CA"/>
        </w:rPr>
      </w:pPr>
      <w:r>
        <w:rPr>
          <w:lang w:val="fr-CA"/>
        </w:rPr>
        <w:lastRenderedPageBreak/>
        <w:tab/>
      </w:r>
      <w:r w:rsidR="000C3860" w:rsidRPr="000C3860">
        <w:rPr>
          <w:lang w:val="fr-CA"/>
        </w:rPr>
        <w:t>E</w:t>
      </w:r>
      <w:r w:rsidR="007B1A55" w:rsidRPr="000C3860">
        <w:rPr>
          <w:lang w:val="fr-CA"/>
        </w:rPr>
        <w:t xml:space="preserve">n 2009, </w:t>
      </w:r>
      <w:r w:rsidR="00056937">
        <w:rPr>
          <w:lang w:val="fr-CA"/>
        </w:rPr>
        <w:t xml:space="preserve">lors de trois vols internationaux du transporteur </w:t>
      </w:r>
      <w:r w:rsidR="00455D1C">
        <w:rPr>
          <w:lang w:val="fr-CA"/>
        </w:rPr>
        <w:t xml:space="preserve">aérien </w:t>
      </w:r>
      <w:r w:rsidR="00056937">
        <w:rPr>
          <w:lang w:val="fr-CA"/>
        </w:rPr>
        <w:t>et</w:t>
      </w:r>
      <w:r w:rsidR="00455D1C">
        <w:rPr>
          <w:lang w:val="fr-CA"/>
        </w:rPr>
        <w:t xml:space="preserve"> </w:t>
      </w:r>
      <w:r w:rsidR="00AB0880">
        <w:rPr>
          <w:lang w:val="fr-CA"/>
        </w:rPr>
        <w:t>dans</w:t>
      </w:r>
      <w:r w:rsidR="00455D1C">
        <w:rPr>
          <w:lang w:val="fr-CA"/>
        </w:rPr>
        <w:t xml:space="preserve"> un aéroport, </w:t>
      </w:r>
      <w:r w:rsidR="000C3860" w:rsidRPr="000C3860">
        <w:rPr>
          <w:lang w:val="fr-CA"/>
        </w:rPr>
        <w:t xml:space="preserve">les passagers n’ont pas reçu de services en français. </w:t>
      </w:r>
      <w:r w:rsidR="00455D1C" w:rsidRPr="0074427E">
        <w:rPr>
          <w:lang w:val="fr-CA"/>
        </w:rPr>
        <w:t>Ils ont déposé</w:t>
      </w:r>
      <w:r w:rsidR="0074427E" w:rsidRPr="0074427E">
        <w:rPr>
          <w:lang w:val="fr-CA"/>
        </w:rPr>
        <w:t xml:space="preserve"> </w:t>
      </w:r>
      <w:r w:rsidR="00455D1C" w:rsidRPr="0074427E">
        <w:rPr>
          <w:lang w:val="fr-CA"/>
        </w:rPr>
        <w:t>plusieurs plaintes</w:t>
      </w:r>
      <w:r w:rsidR="00FB375F">
        <w:rPr>
          <w:lang w:val="fr-CA"/>
        </w:rPr>
        <w:t xml:space="preserve"> </w:t>
      </w:r>
      <w:r w:rsidR="00FB375F" w:rsidRPr="0074427E">
        <w:rPr>
          <w:lang w:val="fr-CA"/>
        </w:rPr>
        <w:t>contre le transporteur aé</w:t>
      </w:r>
      <w:r w:rsidR="00FB375F">
        <w:rPr>
          <w:lang w:val="fr-CA"/>
        </w:rPr>
        <w:t>rien</w:t>
      </w:r>
      <w:r w:rsidR="00455D1C" w:rsidRPr="0074427E">
        <w:rPr>
          <w:lang w:val="fr-CA"/>
        </w:rPr>
        <w:t xml:space="preserve"> au</w:t>
      </w:r>
      <w:r w:rsidR="00AB0880">
        <w:rPr>
          <w:lang w:val="fr-CA"/>
        </w:rPr>
        <w:t>près du</w:t>
      </w:r>
      <w:r w:rsidR="00455D1C" w:rsidRPr="0074427E">
        <w:rPr>
          <w:lang w:val="fr-CA"/>
        </w:rPr>
        <w:t xml:space="preserve"> Commissariat aux langues officielles</w:t>
      </w:r>
      <w:r w:rsidR="0074427E">
        <w:rPr>
          <w:lang w:val="fr-CA"/>
        </w:rPr>
        <w:t xml:space="preserve">, et quatre </w:t>
      </w:r>
      <w:r w:rsidR="00AB0880">
        <w:rPr>
          <w:lang w:val="fr-CA"/>
        </w:rPr>
        <w:t xml:space="preserve">de ces plaintes </w:t>
      </w:r>
      <w:r w:rsidR="0074427E">
        <w:rPr>
          <w:lang w:val="fr-CA"/>
        </w:rPr>
        <w:t xml:space="preserve">ont été accueillies. </w:t>
      </w:r>
      <w:r w:rsidR="0074427E" w:rsidRPr="0074427E">
        <w:rPr>
          <w:lang w:val="fr-CA"/>
        </w:rPr>
        <w:t>Il est acquis aux débats que le transporteur aérien a, à l’occasion des faits à l’origine de ces</w:t>
      </w:r>
      <w:r w:rsidR="0074427E">
        <w:rPr>
          <w:lang w:val="fr-CA"/>
        </w:rPr>
        <w:t xml:space="preserve"> quatre plaintes,</w:t>
      </w:r>
      <w:r w:rsidR="0074427E" w:rsidRPr="0074427E">
        <w:rPr>
          <w:lang w:val="fr-CA"/>
        </w:rPr>
        <w:t xml:space="preserve"> manqué aux obligations</w:t>
      </w:r>
      <w:r w:rsidR="0074427E">
        <w:rPr>
          <w:lang w:val="fr-CA"/>
        </w:rPr>
        <w:t xml:space="preserve"> de fournir des services en</w:t>
      </w:r>
      <w:r w:rsidR="00E34779">
        <w:rPr>
          <w:lang w:val="fr-CA"/>
        </w:rPr>
        <w:t xml:space="preserve"> français que lui impose l’art.</w:t>
      </w:r>
      <w:r w:rsidR="006412AC">
        <w:rPr>
          <w:lang w:val="fr-CA"/>
        </w:rPr>
        <w:t xml:space="preserve"> </w:t>
      </w:r>
      <w:r w:rsidR="007B1A55" w:rsidRPr="0074427E">
        <w:rPr>
          <w:lang w:val="fr-CA"/>
        </w:rPr>
        <w:t xml:space="preserve">22 </w:t>
      </w:r>
      <w:r w:rsidR="0074427E">
        <w:rPr>
          <w:lang w:val="fr-CA"/>
        </w:rPr>
        <w:t xml:space="preserve">de la </w:t>
      </w:r>
      <w:r w:rsidR="0074427E">
        <w:rPr>
          <w:i/>
          <w:lang w:val="fr-CA"/>
        </w:rPr>
        <w:t xml:space="preserve">Loi sur les langues officielles </w:t>
      </w:r>
      <w:r w:rsidR="007B1A55" w:rsidRPr="0074427E">
        <w:rPr>
          <w:lang w:val="fr-CA"/>
        </w:rPr>
        <w:t>(</w:t>
      </w:r>
      <w:r w:rsidR="00E34779">
        <w:rPr>
          <w:lang w:val="fr-CA"/>
        </w:rPr>
        <w:t xml:space="preserve">la </w:t>
      </w:r>
      <w:r w:rsidR="006412AC">
        <w:rPr>
          <w:lang w:val="fr-CA"/>
        </w:rPr>
        <w:t>« </w:t>
      </w:r>
      <w:r w:rsidR="007B1A55" w:rsidRPr="0074427E">
        <w:rPr>
          <w:i/>
          <w:lang w:val="fr-CA"/>
        </w:rPr>
        <w:t>L</w:t>
      </w:r>
      <w:r w:rsidR="0074427E">
        <w:rPr>
          <w:i/>
          <w:lang w:val="fr-CA"/>
        </w:rPr>
        <w:t>LO</w:t>
      </w:r>
      <w:r w:rsidR="006412AC">
        <w:rPr>
          <w:i/>
          <w:lang w:val="fr-CA"/>
        </w:rPr>
        <w:t> </w:t>
      </w:r>
      <w:r w:rsidR="006412AC" w:rsidRPr="006412AC">
        <w:rPr>
          <w:lang w:val="fr-CA"/>
        </w:rPr>
        <w:t>»</w:t>
      </w:r>
      <w:r w:rsidR="0074427E">
        <w:rPr>
          <w:lang w:val="fr-CA"/>
        </w:rPr>
        <w:t>)</w:t>
      </w:r>
      <w:r w:rsidR="007B1A55" w:rsidRPr="0074427E">
        <w:rPr>
          <w:lang w:val="fr-CA"/>
        </w:rPr>
        <w:t xml:space="preserve">. </w:t>
      </w:r>
      <w:r w:rsidR="0074427E" w:rsidRPr="0074427E">
        <w:rPr>
          <w:lang w:val="fr-CA"/>
        </w:rPr>
        <w:t xml:space="preserve">Les </w:t>
      </w:r>
      <w:r w:rsidR="007B1A55" w:rsidRPr="0074427E">
        <w:rPr>
          <w:lang w:val="fr-CA"/>
        </w:rPr>
        <w:t>pass</w:t>
      </w:r>
      <w:r w:rsidR="0074427E" w:rsidRPr="0074427E">
        <w:rPr>
          <w:lang w:val="fr-CA"/>
        </w:rPr>
        <w:t>a</w:t>
      </w:r>
      <w:r w:rsidR="007B1A55" w:rsidRPr="0074427E">
        <w:rPr>
          <w:lang w:val="fr-CA"/>
        </w:rPr>
        <w:t xml:space="preserve">gers </w:t>
      </w:r>
      <w:r w:rsidR="0074427E" w:rsidRPr="0074427E">
        <w:rPr>
          <w:lang w:val="fr-CA"/>
        </w:rPr>
        <w:t>se sont adressés à la Cour fédérale en vertu de l’art.</w:t>
      </w:r>
      <w:r w:rsidR="006412AC">
        <w:rPr>
          <w:lang w:val="fr-CA"/>
        </w:rPr>
        <w:t xml:space="preserve"> </w:t>
      </w:r>
      <w:r w:rsidR="007B1A55" w:rsidRPr="0074427E">
        <w:rPr>
          <w:lang w:val="fr-CA"/>
        </w:rPr>
        <w:t xml:space="preserve">77 </w:t>
      </w:r>
      <w:r w:rsidR="0074427E" w:rsidRPr="0074427E">
        <w:rPr>
          <w:lang w:val="fr-CA"/>
        </w:rPr>
        <w:t>d</w:t>
      </w:r>
      <w:r w:rsidR="0074427E">
        <w:rPr>
          <w:lang w:val="fr-CA"/>
        </w:rPr>
        <w:t xml:space="preserve">e la </w:t>
      </w:r>
      <w:r w:rsidR="0074427E" w:rsidRPr="0074427E">
        <w:rPr>
          <w:i/>
          <w:lang w:val="fr-CA"/>
        </w:rPr>
        <w:t>LLO</w:t>
      </w:r>
      <w:r w:rsidR="0074427E">
        <w:rPr>
          <w:lang w:val="fr-CA"/>
        </w:rPr>
        <w:t xml:space="preserve"> en vue </w:t>
      </w:r>
      <w:r w:rsidR="00CF1526">
        <w:rPr>
          <w:lang w:val="fr-CA"/>
        </w:rPr>
        <w:t xml:space="preserve">d’obtenir des dommages-intérêts et des ordonnances structurelles par suite des atteintes par le transporteur aérien à leur droit d’être servis en français. </w:t>
      </w:r>
      <w:r w:rsidR="00CF1526" w:rsidRPr="007D1BE6">
        <w:rPr>
          <w:lang w:val="fr-CA"/>
        </w:rPr>
        <w:t>Le transporteur aérien a co</w:t>
      </w:r>
      <w:r w:rsidR="00AB0880">
        <w:rPr>
          <w:lang w:val="fr-CA"/>
        </w:rPr>
        <w:t>ntesté les demandes de dommages</w:t>
      </w:r>
      <w:r w:rsidR="006412AC">
        <w:rPr>
          <w:lang w:val="fr-CA"/>
        </w:rPr>
        <w:t>-</w:t>
      </w:r>
      <w:r w:rsidR="00CF1526" w:rsidRPr="007D1BE6">
        <w:rPr>
          <w:lang w:val="fr-CA"/>
        </w:rPr>
        <w:t xml:space="preserve">intérêts en invoquant la limite de </w:t>
      </w:r>
      <w:r w:rsidR="00AB0880">
        <w:rPr>
          <w:lang w:val="fr-CA"/>
        </w:rPr>
        <w:t xml:space="preserve">la </w:t>
      </w:r>
      <w:r w:rsidR="00CF1526" w:rsidRPr="007D1BE6">
        <w:rPr>
          <w:lang w:val="fr-CA"/>
        </w:rPr>
        <w:t xml:space="preserve">responsabilité </w:t>
      </w:r>
      <w:r w:rsidR="00AB0880">
        <w:rPr>
          <w:lang w:val="fr-CA"/>
        </w:rPr>
        <w:t>à l’égard des</w:t>
      </w:r>
      <w:r w:rsidR="00CF1526" w:rsidRPr="007D1BE6">
        <w:rPr>
          <w:lang w:val="fr-CA"/>
        </w:rPr>
        <w:t xml:space="preserve"> dommages</w:t>
      </w:r>
      <w:r w:rsidR="007D1BE6" w:rsidRPr="007D1BE6">
        <w:rPr>
          <w:lang w:val="fr-CA"/>
        </w:rPr>
        <w:t xml:space="preserve"> prescrite par la </w:t>
      </w:r>
      <w:r w:rsidR="007B1A55" w:rsidRPr="007D1BE6">
        <w:rPr>
          <w:i/>
          <w:lang w:val="fr-CA"/>
        </w:rPr>
        <w:t xml:space="preserve">Convention </w:t>
      </w:r>
      <w:r w:rsidR="007D1BE6" w:rsidRPr="007D1BE6">
        <w:rPr>
          <w:i/>
          <w:lang w:val="fr-CA"/>
        </w:rPr>
        <w:t>p</w:t>
      </w:r>
      <w:r w:rsidR="007D1BE6">
        <w:rPr>
          <w:i/>
          <w:lang w:val="fr-CA"/>
        </w:rPr>
        <w:t xml:space="preserve">our l’unification de certaines règles relatives au transport aérien international </w:t>
      </w:r>
      <w:r w:rsidR="007B1A55" w:rsidRPr="007D1BE6">
        <w:rPr>
          <w:lang w:val="fr-CA"/>
        </w:rPr>
        <w:t>(</w:t>
      </w:r>
      <w:r w:rsidR="00E34779">
        <w:rPr>
          <w:lang w:val="fr-CA"/>
        </w:rPr>
        <w:t xml:space="preserve">la </w:t>
      </w:r>
      <w:r w:rsidR="006412AC">
        <w:rPr>
          <w:lang w:val="fr-CA"/>
        </w:rPr>
        <w:t>« </w:t>
      </w:r>
      <w:r w:rsidR="007B1A55" w:rsidRPr="007D1BE6">
        <w:rPr>
          <w:i/>
          <w:lang w:val="fr-CA"/>
        </w:rPr>
        <w:t>Convention</w:t>
      </w:r>
      <w:r w:rsidR="009D7D1C">
        <w:rPr>
          <w:i/>
          <w:lang w:val="fr-CA"/>
        </w:rPr>
        <w:t xml:space="preserve"> de Montréal</w:t>
      </w:r>
      <w:r w:rsidR="006412AC">
        <w:rPr>
          <w:i/>
          <w:lang w:val="fr-CA"/>
        </w:rPr>
        <w:t> </w:t>
      </w:r>
      <w:r w:rsidR="006412AC" w:rsidRPr="006412AC">
        <w:rPr>
          <w:lang w:val="fr-CA"/>
        </w:rPr>
        <w:t>»</w:t>
      </w:r>
      <w:r w:rsidR="007B1A55" w:rsidRPr="007D1BE6">
        <w:rPr>
          <w:lang w:val="fr-CA"/>
        </w:rPr>
        <w:t xml:space="preserve">), </w:t>
      </w:r>
      <w:r w:rsidR="009D7D1C">
        <w:rPr>
          <w:lang w:val="fr-CA"/>
        </w:rPr>
        <w:t xml:space="preserve">qui limite les </w:t>
      </w:r>
      <w:r w:rsidR="007B1A55" w:rsidRPr="007D1BE6">
        <w:rPr>
          <w:lang w:val="fr-CA"/>
        </w:rPr>
        <w:t>types</w:t>
      </w:r>
      <w:r w:rsidR="00E34779">
        <w:rPr>
          <w:lang w:val="fr-CA"/>
        </w:rPr>
        <w:t xml:space="preserve"> de recours en dommages</w:t>
      </w:r>
      <w:r w:rsidR="006412AC">
        <w:rPr>
          <w:lang w:val="fr-CA"/>
        </w:rPr>
        <w:t>-</w:t>
      </w:r>
      <w:r w:rsidR="009D7D1C">
        <w:rPr>
          <w:lang w:val="fr-CA"/>
        </w:rPr>
        <w:t xml:space="preserve">intérêts qui peuvent être intentés contre les transporteurs aériens internationaux et les montants qui peuvent être réclamés. </w:t>
      </w:r>
      <w:r w:rsidR="009D7D1C" w:rsidRPr="009D7D1C">
        <w:rPr>
          <w:lang w:val="fr-CA"/>
        </w:rPr>
        <w:t>La Cour fédérale a conclu que les passage</w:t>
      </w:r>
      <w:r w:rsidR="00E34779">
        <w:rPr>
          <w:lang w:val="fr-CA"/>
        </w:rPr>
        <w:t>rs avaient droit à des dommages</w:t>
      </w:r>
      <w:r w:rsidR="006412AC">
        <w:rPr>
          <w:lang w:val="fr-CA"/>
        </w:rPr>
        <w:t>-</w:t>
      </w:r>
      <w:r w:rsidR="009D7D1C" w:rsidRPr="009D7D1C">
        <w:rPr>
          <w:lang w:val="fr-CA"/>
        </w:rPr>
        <w:t xml:space="preserve">intérêts ainsi qu’à une ordonnance structurelle, </w:t>
      </w:r>
      <w:r w:rsidR="009D7D1C">
        <w:rPr>
          <w:lang w:val="fr-CA"/>
        </w:rPr>
        <w:t xml:space="preserve">et précisé que, malgré l’existence d’un conflit entre la limite imposée </w:t>
      </w:r>
      <w:r w:rsidR="0093003F">
        <w:rPr>
          <w:lang w:val="fr-CA"/>
        </w:rPr>
        <w:t>en matière de</w:t>
      </w:r>
      <w:r w:rsidR="00E34779">
        <w:rPr>
          <w:lang w:val="fr-CA"/>
        </w:rPr>
        <w:t xml:space="preserve"> dommages</w:t>
      </w:r>
      <w:r w:rsidR="006412AC">
        <w:rPr>
          <w:lang w:val="fr-CA"/>
        </w:rPr>
        <w:t>-</w:t>
      </w:r>
      <w:r w:rsidR="009D7D1C">
        <w:rPr>
          <w:lang w:val="fr-CA"/>
        </w:rPr>
        <w:t xml:space="preserve">intérêts par la </w:t>
      </w:r>
      <w:r w:rsidR="009D7D1C">
        <w:rPr>
          <w:i/>
          <w:lang w:val="fr-CA"/>
        </w:rPr>
        <w:t xml:space="preserve">Convention de Montréal </w:t>
      </w:r>
      <w:r w:rsidR="009D7D1C">
        <w:rPr>
          <w:lang w:val="fr-CA"/>
        </w:rPr>
        <w:t xml:space="preserve">et le pouvoir conféré par la </w:t>
      </w:r>
      <w:r w:rsidR="009D7D1C" w:rsidRPr="009D7D1C">
        <w:rPr>
          <w:i/>
          <w:lang w:val="fr-CA"/>
        </w:rPr>
        <w:t>LLO</w:t>
      </w:r>
      <w:r w:rsidR="009D7D1C">
        <w:rPr>
          <w:lang w:val="fr-CA"/>
        </w:rPr>
        <w:t xml:space="preserve"> d’accorder des dommages-intérêts, ce pouvoir l’emportait</w:t>
      </w:r>
      <w:r w:rsidR="007B1A55" w:rsidRPr="009D7D1C">
        <w:rPr>
          <w:lang w:val="fr-CA"/>
        </w:rPr>
        <w:t xml:space="preserve">. </w:t>
      </w:r>
      <w:r w:rsidR="009D7D1C" w:rsidRPr="00B87265">
        <w:rPr>
          <w:lang w:val="fr-CA"/>
        </w:rPr>
        <w:t xml:space="preserve">La Cour d’appel fédérale </w:t>
      </w:r>
      <w:r w:rsidR="00B87265" w:rsidRPr="00B87265">
        <w:rPr>
          <w:lang w:val="fr-CA"/>
        </w:rPr>
        <w:t>a annulé les dommages</w:t>
      </w:r>
      <w:r w:rsidR="006412AC">
        <w:rPr>
          <w:lang w:val="fr-CA"/>
        </w:rPr>
        <w:t>-</w:t>
      </w:r>
      <w:r w:rsidR="00B87265" w:rsidRPr="00B87265">
        <w:rPr>
          <w:lang w:val="fr-CA"/>
        </w:rPr>
        <w:t>intérêts octroyés pour les trois plaintes visant le</w:t>
      </w:r>
      <w:r w:rsidR="00B87265">
        <w:rPr>
          <w:lang w:val="fr-CA"/>
        </w:rPr>
        <w:t xml:space="preserve">s faits survenus </w:t>
      </w:r>
      <w:r w:rsidR="0093003F">
        <w:rPr>
          <w:lang w:val="fr-CA"/>
        </w:rPr>
        <w:t>à bord</w:t>
      </w:r>
      <w:r w:rsidR="00B87265">
        <w:rPr>
          <w:lang w:val="fr-CA"/>
        </w:rPr>
        <w:t xml:space="preserve"> des vols</w:t>
      </w:r>
      <w:r w:rsidR="0093003F">
        <w:rPr>
          <w:lang w:val="fr-CA"/>
        </w:rPr>
        <w:t>, ainsi que</w:t>
      </w:r>
      <w:r w:rsidR="00B87265">
        <w:rPr>
          <w:lang w:val="fr-CA"/>
        </w:rPr>
        <w:t xml:space="preserve"> l’ordonnance structurelle. </w:t>
      </w:r>
      <w:r w:rsidR="00B87265" w:rsidRPr="00227EC4">
        <w:rPr>
          <w:lang w:val="fr-CA"/>
        </w:rPr>
        <w:t xml:space="preserve">Elle a jugé que la </w:t>
      </w:r>
      <w:r w:rsidR="00B87265" w:rsidRPr="00227EC4">
        <w:rPr>
          <w:i/>
          <w:lang w:val="fr-CA"/>
        </w:rPr>
        <w:t>Convention de</w:t>
      </w:r>
      <w:r w:rsidR="00B87265" w:rsidRPr="00227EC4">
        <w:rPr>
          <w:lang w:val="fr-CA"/>
        </w:rPr>
        <w:t xml:space="preserve"> </w:t>
      </w:r>
      <w:r w:rsidR="007B1A55" w:rsidRPr="00227EC4">
        <w:rPr>
          <w:i/>
          <w:lang w:val="fr-CA"/>
        </w:rPr>
        <w:t>Montr</w:t>
      </w:r>
      <w:r w:rsidR="00B87265" w:rsidRPr="00227EC4">
        <w:rPr>
          <w:i/>
          <w:lang w:val="fr-CA"/>
        </w:rPr>
        <w:t>é</w:t>
      </w:r>
      <w:r w:rsidR="007B1A55" w:rsidRPr="00227EC4">
        <w:rPr>
          <w:i/>
          <w:lang w:val="fr-CA"/>
        </w:rPr>
        <w:t xml:space="preserve">al </w:t>
      </w:r>
      <w:r w:rsidR="00227EC4" w:rsidRPr="00227EC4">
        <w:rPr>
          <w:lang w:val="fr-CA"/>
        </w:rPr>
        <w:t>empêchait l</w:t>
      </w:r>
      <w:r w:rsidR="0093003F">
        <w:rPr>
          <w:lang w:val="fr-CA"/>
        </w:rPr>
        <w:t>e recours en dommages</w:t>
      </w:r>
      <w:r w:rsidR="006412AC">
        <w:rPr>
          <w:lang w:val="fr-CA"/>
        </w:rPr>
        <w:t>-</w:t>
      </w:r>
      <w:r w:rsidR="00227EC4">
        <w:rPr>
          <w:lang w:val="fr-CA"/>
        </w:rPr>
        <w:t>intérêts et qu’une ordonnance structurelle</w:t>
      </w:r>
      <w:r w:rsidR="0093003F">
        <w:rPr>
          <w:lang w:val="fr-CA"/>
        </w:rPr>
        <w:t xml:space="preserve"> ne constituait pas une réparation convenable</w:t>
      </w:r>
      <w:r w:rsidR="007B1A55" w:rsidRPr="00227EC4">
        <w:rPr>
          <w:lang w:val="fr-CA"/>
        </w:rPr>
        <w:t>.</w:t>
      </w:r>
    </w:p>
    <w:p w:rsidR="007B1A55" w:rsidRPr="00227EC4" w:rsidRDefault="007B1A55" w:rsidP="00A12DCE">
      <w:pPr>
        <w:pStyle w:val="SCCNormalDoubleSpacing"/>
        <w:widowControl w:val="0"/>
        <w:spacing w:before="480" w:after="480"/>
        <w:rPr>
          <w:lang w:val="fr-CA"/>
        </w:rPr>
      </w:pPr>
      <w:r w:rsidRPr="00227EC4">
        <w:rPr>
          <w:lang w:val="fr-CA"/>
        </w:rPr>
        <w:lastRenderedPageBreak/>
        <w:tab/>
      </w:r>
      <w:r w:rsidR="00227EC4">
        <w:rPr>
          <w:i/>
          <w:lang w:val="fr-CA"/>
        </w:rPr>
        <w:t xml:space="preserve">Arrêt </w:t>
      </w:r>
      <w:r w:rsidRPr="00227EC4">
        <w:rPr>
          <w:rStyle w:val="QuoteChar"/>
          <w:i w:val="0"/>
          <w:color w:val="auto"/>
          <w:lang w:val="fr-CA"/>
        </w:rPr>
        <w:t>(</w:t>
      </w:r>
      <w:r w:rsidR="00227EC4" w:rsidRPr="00227EC4">
        <w:rPr>
          <w:rStyle w:val="QuoteChar"/>
          <w:i w:val="0"/>
          <w:color w:val="auto"/>
          <w:lang w:val="fr-CA"/>
        </w:rPr>
        <w:t>les juge</w:t>
      </w:r>
      <w:r w:rsidR="00DA2A39">
        <w:rPr>
          <w:rStyle w:val="QuoteChar"/>
          <w:i w:val="0"/>
          <w:color w:val="auto"/>
          <w:lang w:val="fr-CA"/>
        </w:rPr>
        <w:t>s</w:t>
      </w:r>
      <w:r w:rsidR="00227EC4" w:rsidRPr="00227EC4">
        <w:rPr>
          <w:rStyle w:val="QuoteChar"/>
          <w:i w:val="0"/>
          <w:color w:val="auto"/>
          <w:lang w:val="fr-CA"/>
        </w:rPr>
        <w:t xml:space="preserve"> </w:t>
      </w:r>
      <w:r w:rsidRPr="00227EC4">
        <w:rPr>
          <w:rStyle w:val="QuoteChar"/>
          <w:i w:val="0"/>
          <w:color w:val="auto"/>
          <w:lang w:val="fr-CA"/>
        </w:rPr>
        <w:t xml:space="preserve">Abella </w:t>
      </w:r>
      <w:r w:rsidR="00227EC4" w:rsidRPr="00227EC4">
        <w:rPr>
          <w:rStyle w:val="QuoteChar"/>
          <w:i w:val="0"/>
          <w:color w:val="auto"/>
          <w:lang w:val="fr-CA"/>
        </w:rPr>
        <w:t xml:space="preserve">et </w:t>
      </w:r>
      <w:r w:rsidRPr="00227EC4">
        <w:rPr>
          <w:rStyle w:val="QuoteChar"/>
          <w:i w:val="0"/>
          <w:color w:val="auto"/>
          <w:lang w:val="fr-CA"/>
        </w:rPr>
        <w:t>Wagner</w:t>
      </w:r>
      <w:r w:rsidR="00227EC4" w:rsidRPr="00227EC4">
        <w:rPr>
          <w:rStyle w:val="QuoteChar"/>
          <w:i w:val="0"/>
          <w:color w:val="auto"/>
          <w:lang w:val="fr-CA"/>
        </w:rPr>
        <w:t xml:space="preserve"> sont dissidents</w:t>
      </w:r>
      <w:r w:rsidRPr="00227EC4">
        <w:rPr>
          <w:rStyle w:val="QuoteChar"/>
          <w:i w:val="0"/>
          <w:color w:val="auto"/>
          <w:lang w:val="fr-CA"/>
        </w:rPr>
        <w:t>)</w:t>
      </w:r>
      <w:r w:rsidR="006412AC">
        <w:rPr>
          <w:rStyle w:val="QuoteChar"/>
          <w:i w:val="0"/>
          <w:color w:val="auto"/>
          <w:lang w:val="fr-CA"/>
        </w:rPr>
        <w:t> :</w:t>
      </w:r>
      <w:r w:rsidRPr="00227EC4">
        <w:rPr>
          <w:lang w:val="fr-CA"/>
        </w:rPr>
        <w:t xml:space="preserve"> </w:t>
      </w:r>
      <w:r w:rsidR="00227EC4" w:rsidRPr="00227EC4">
        <w:rPr>
          <w:lang w:val="fr-CA"/>
        </w:rPr>
        <w:t>Les pourvois</w:t>
      </w:r>
      <w:r w:rsidR="00227EC4">
        <w:rPr>
          <w:lang w:val="fr-CA"/>
        </w:rPr>
        <w:t xml:space="preserve"> sont rejetés</w:t>
      </w:r>
      <w:r w:rsidRPr="00227EC4">
        <w:rPr>
          <w:lang w:val="fr-CA"/>
        </w:rPr>
        <w:t xml:space="preserve">. </w:t>
      </w:r>
    </w:p>
    <w:p w:rsidR="007B1A55" w:rsidRPr="002B5025" w:rsidRDefault="007B1A55" w:rsidP="00A12DCE">
      <w:pPr>
        <w:pStyle w:val="SCCNormalDoubleSpacing"/>
        <w:widowControl w:val="0"/>
        <w:spacing w:before="480" w:after="480"/>
        <w:rPr>
          <w:lang w:val="fr-CA"/>
        </w:rPr>
      </w:pPr>
      <w:r w:rsidRPr="00227EC4">
        <w:rPr>
          <w:lang w:val="fr-CA"/>
        </w:rPr>
        <w:tab/>
      </w:r>
      <w:r w:rsidR="00227EC4" w:rsidRPr="00227EC4">
        <w:rPr>
          <w:i/>
          <w:lang w:val="fr-CA"/>
        </w:rPr>
        <w:t xml:space="preserve">La </w:t>
      </w:r>
      <w:r w:rsidR="00227EC4" w:rsidRPr="00227EC4">
        <w:rPr>
          <w:lang w:val="fr-CA"/>
        </w:rPr>
        <w:t xml:space="preserve">juge en chef </w:t>
      </w:r>
      <w:proofErr w:type="spellStart"/>
      <w:r w:rsidR="00227EC4" w:rsidRPr="00227EC4">
        <w:rPr>
          <w:lang w:val="fr-CA"/>
        </w:rPr>
        <w:t>McLachlin</w:t>
      </w:r>
      <w:proofErr w:type="spellEnd"/>
      <w:r w:rsidR="00227EC4" w:rsidRPr="00227EC4">
        <w:rPr>
          <w:lang w:val="fr-CA"/>
        </w:rPr>
        <w:t xml:space="preserve"> et les juges </w:t>
      </w:r>
      <w:proofErr w:type="spellStart"/>
      <w:r w:rsidRPr="00227EC4">
        <w:rPr>
          <w:lang w:val="fr-CA"/>
        </w:rPr>
        <w:t>LeBel</w:t>
      </w:r>
      <w:proofErr w:type="spellEnd"/>
      <w:r w:rsidRPr="00227EC4">
        <w:rPr>
          <w:lang w:val="fr-CA"/>
        </w:rPr>
        <w:t xml:space="preserve">, </w:t>
      </w:r>
      <w:proofErr w:type="spellStart"/>
      <w:r w:rsidRPr="00227EC4">
        <w:rPr>
          <w:lang w:val="fr-CA"/>
        </w:rPr>
        <w:t>Rothstein</w:t>
      </w:r>
      <w:proofErr w:type="spellEnd"/>
      <w:r w:rsidRPr="00227EC4">
        <w:rPr>
          <w:lang w:val="fr-CA"/>
        </w:rPr>
        <w:t xml:space="preserve">, </w:t>
      </w:r>
      <w:r w:rsidRPr="00167391">
        <w:rPr>
          <w:lang w:val="fr-CA"/>
        </w:rPr>
        <w:t>Cromwell</w:t>
      </w:r>
      <w:r w:rsidRPr="00227EC4">
        <w:rPr>
          <w:lang w:val="fr-CA"/>
        </w:rPr>
        <w:t xml:space="preserve"> </w:t>
      </w:r>
      <w:r w:rsidR="00227EC4" w:rsidRPr="00227EC4">
        <w:rPr>
          <w:lang w:val="fr-CA"/>
        </w:rPr>
        <w:t>et</w:t>
      </w:r>
      <w:r w:rsidRPr="00227EC4">
        <w:rPr>
          <w:lang w:val="fr-CA"/>
        </w:rPr>
        <w:t xml:space="preserve"> </w:t>
      </w:r>
      <w:proofErr w:type="spellStart"/>
      <w:r w:rsidRPr="00227EC4">
        <w:rPr>
          <w:lang w:val="fr-CA"/>
        </w:rPr>
        <w:t>Karakatsanis</w:t>
      </w:r>
      <w:proofErr w:type="spellEnd"/>
      <w:r w:rsidR="006412AC">
        <w:rPr>
          <w:lang w:val="fr-CA"/>
        </w:rPr>
        <w:t> :</w:t>
      </w:r>
      <w:r w:rsidRPr="00227EC4">
        <w:rPr>
          <w:lang w:val="fr-CA"/>
        </w:rPr>
        <w:t xml:space="preserve"> </w:t>
      </w:r>
      <w:r w:rsidR="00227EC4" w:rsidRPr="00227EC4">
        <w:rPr>
          <w:lang w:val="fr-CA"/>
        </w:rPr>
        <w:t>Le régime de responsabilité uniforme et e</w:t>
      </w:r>
      <w:r w:rsidR="00227EC4">
        <w:rPr>
          <w:lang w:val="fr-CA"/>
        </w:rPr>
        <w:t xml:space="preserve">xclusif pour les dommages établi par la </w:t>
      </w:r>
      <w:r w:rsidRPr="00227EC4">
        <w:rPr>
          <w:i/>
          <w:lang w:val="fr-CA"/>
        </w:rPr>
        <w:t>Convention</w:t>
      </w:r>
      <w:r w:rsidR="00227EC4">
        <w:rPr>
          <w:i/>
          <w:lang w:val="fr-CA"/>
        </w:rPr>
        <w:t xml:space="preserve"> de Montréal </w:t>
      </w:r>
      <w:r w:rsidR="00227EC4">
        <w:rPr>
          <w:lang w:val="fr-CA"/>
        </w:rPr>
        <w:t>à l’égard des transporteurs aériens internationaux ne per</w:t>
      </w:r>
      <w:r w:rsidR="00E34779">
        <w:rPr>
          <w:lang w:val="fr-CA"/>
        </w:rPr>
        <w:t>met pas d’accorder des dommages</w:t>
      </w:r>
      <w:r w:rsidR="006412AC">
        <w:rPr>
          <w:lang w:val="fr-CA"/>
        </w:rPr>
        <w:t>-</w:t>
      </w:r>
      <w:r w:rsidR="00227EC4">
        <w:rPr>
          <w:lang w:val="fr-CA"/>
        </w:rPr>
        <w:t>intérêts en cas</w:t>
      </w:r>
      <w:r w:rsidR="00D36DA3">
        <w:rPr>
          <w:lang w:val="fr-CA"/>
        </w:rPr>
        <w:t xml:space="preserve"> de violation de droits linguistiques lors d’un transport aérien international. </w:t>
      </w:r>
      <w:r w:rsidR="0093003F">
        <w:rPr>
          <w:lang w:val="fr-CA"/>
        </w:rPr>
        <w:t>Tirer la c</w:t>
      </w:r>
      <w:r w:rsidR="00227EC4" w:rsidRPr="00227EC4">
        <w:rPr>
          <w:lang w:val="fr-CA"/>
        </w:rPr>
        <w:t>onclu</w:t>
      </w:r>
      <w:r w:rsidR="0093003F">
        <w:rPr>
          <w:lang w:val="fr-CA"/>
        </w:rPr>
        <w:t>sion</w:t>
      </w:r>
      <w:r w:rsidR="00227EC4" w:rsidRPr="00227EC4">
        <w:rPr>
          <w:lang w:val="fr-CA"/>
        </w:rPr>
        <w:t xml:space="preserve"> contraire dénaturerait le libellé et l’objet de la </w:t>
      </w:r>
      <w:r w:rsidRPr="00227EC4">
        <w:rPr>
          <w:i/>
          <w:lang w:val="fr-CA"/>
        </w:rPr>
        <w:t>Convention</w:t>
      </w:r>
      <w:r w:rsidR="00227EC4" w:rsidRPr="00227EC4">
        <w:rPr>
          <w:i/>
          <w:lang w:val="fr-CA"/>
        </w:rPr>
        <w:t xml:space="preserve"> </w:t>
      </w:r>
      <w:r w:rsidR="00227EC4">
        <w:rPr>
          <w:i/>
          <w:lang w:val="fr-CA"/>
        </w:rPr>
        <w:t>de Montréal</w:t>
      </w:r>
      <w:r w:rsidRPr="00227EC4">
        <w:rPr>
          <w:lang w:val="fr-CA"/>
        </w:rPr>
        <w:t xml:space="preserve">, </w:t>
      </w:r>
      <w:r w:rsidR="00AA6857">
        <w:rPr>
          <w:lang w:val="fr-CA"/>
        </w:rPr>
        <w:t xml:space="preserve">irait à l’encontre des obligations internationales que celle-ci impose au </w:t>
      </w:r>
      <w:r w:rsidRPr="00227EC4">
        <w:rPr>
          <w:lang w:val="fr-CA"/>
        </w:rPr>
        <w:t>Canada</w:t>
      </w:r>
      <w:r w:rsidR="00AA6857">
        <w:rPr>
          <w:lang w:val="fr-CA"/>
        </w:rPr>
        <w:t xml:space="preserve"> et exclurait le Canada du solide consensus international qui existe sur sa portée et ses effets</w:t>
      </w:r>
      <w:r w:rsidRPr="00227EC4">
        <w:rPr>
          <w:lang w:val="fr-CA"/>
        </w:rPr>
        <w:t xml:space="preserve">. </w:t>
      </w:r>
      <w:r w:rsidR="00AA6857" w:rsidRPr="002B5025">
        <w:rPr>
          <w:lang w:val="fr-CA"/>
        </w:rPr>
        <w:t xml:space="preserve">Le pouvoir général que confère la </w:t>
      </w:r>
      <w:r w:rsidR="00AA6857" w:rsidRPr="002B5025">
        <w:rPr>
          <w:i/>
          <w:lang w:val="fr-CA"/>
        </w:rPr>
        <w:t>LLO</w:t>
      </w:r>
      <w:r w:rsidR="00AA6857" w:rsidRPr="002B5025">
        <w:rPr>
          <w:lang w:val="fr-CA"/>
        </w:rPr>
        <w:t xml:space="preserve"> </w:t>
      </w:r>
      <w:r w:rsidR="0003355E" w:rsidRPr="002B5025">
        <w:rPr>
          <w:lang w:val="fr-CA"/>
        </w:rPr>
        <w:t xml:space="preserve">d’accorder une réparation juste et convenable ne peut </w:t>
      </w:r>
      <w:r w:rsidR="002B5025" w:rsidRPr="002B5025">
        <w:rPr>
          <w:lang w:val="fr-CA"/>
        </w:rPr>
        <w:t>—</w:t>
      </w:r>
      <w:r w:rsidR="002B5025">
        <w:rPr>
          <w:lang w:val="fr-CA"/>
        </w:rPr>
        <w:t xml:space="preserve"> et ne doit pas </w:t>
      </w:r>
      <w:r w:rsidR="002B5025" w:rsidRPr="002B5025">
        <w:rPr>
          <w:lang w:val="fr-CA"/>
        </w:rPr>
        <w:t>—</w:t>
      </w:r>
      <w:r w:rsidRPr="002B5025">
        <w:rPr>
          <w:lang w:val="fr-CA"/>
        </w:rPr>
        <w:t xml:space="preserve"> </w:t>
      </w:r>
      <w:r w:rsidR="002B5025">
        <w:rPr>
          <w:lang w:val="fr-CA"/>
        </w:rPr>
        <w:t xml:space="preserve">être interprété comme autorisant les tribunaux canadiens à </w:t>
      </w:r>
      <w:r w:rsidR="0093003F">
        <w:rPr>
          <w:lang w:val="fr-CA"/>
        </w:rPr>
        <w:t>déroger aux</w:t>
      </w:r>
      <w:r w:rsidR="002B5025">
        <w:rPr>
          <w:lang w:val="fr-CA"/>
        </w:rPr>
        <w:t xml:space="preserve"> </w:t>
      </w:r>
      <w:r w:rsidRPr="002B5025">
        <w:rPr>
          <w:lang w:val="fr-CA"/>
        </w:rPr>
        <w:t>obligations</w:t>
      </w:r>
      <w:r w:rsidR="002B5025">
        <w:rPr>
          <w:lang w:val="fr-CA"/>
        </w:rPr>
        <w:t xml:space="preserve"> internationales qui incombent au Canada en application de la </w:t>
      </w:r>
      <w:r w:rsidRPr="002B5025">
        <w:rPr>
          <w:i/>
          <w:lang w:val="fr-CA"/>
        </w:rPr>
        <w:t>Convention</w:t>
      </w:r>
      <w:r w:rsidR="002B5025">
        <w:rPr>
          <w:i/>
          <w:lang w:val="fr-CA"/>
        </w:rPr>
        <w:t xml:space="preserve"> de Montréal</w:t>
      </w:r>
      <w:r w:rsidRPr="002B5025">
        <w:rPr>
          <w:lang w:val="fr-CA"/>
        </w:rPr>
        <w:t>.</w:t>
      </w:r>
    </w:p>
    <w:p w:rsidR="007B1A55" w:rsidRPr="00925ABA" w:rsidRDefault="007B1A55" w:rsidP="00A12DCE">
      <w:pPr>
        <w:pStyle w:val="SCCNormalDoubleSpacing"/>
        <w:widowControl w:val="0"/>
        <w:spacing w:before="480" w:after="480"/>
        <w:rPr>
          <w:lang w:val="fr-CA"/>
        </w:rPr>
      </w:pPr>
      <w:r w:rsidRPr="002B5025">
        <w:rPr>
          <w:lang w:val="fr-CA"/>
        </w:rPr>
        <w:tab/>
      </w:r>
      <w:r w:rsidR="00935A39" w:rsidRPr="00935A39">
        <w:rPr>
          <w:lang w:val="fr-CA"/>
        </w:rPr>
        <w:t>Les demandes soumises à notre Cour tombent nettement sous le coup de l’exclusion</w:t>
      </w:r>
      <w:r w:rsidR="00A9608D">
        <w:rPr>
          <w:lang w:val="fr-CA"/>
        </w:rPr>
        <w:t xml:space="preserve"> établie par la </w:t>
      </w:r>
      <w:r w:rsidRPr="00935A39">
        <w:rPr>
          <w:i/>
          <w:lang w:val="fr-CA"/>
        </w:rPr>
        <w:t>Convention</w:t>
      </w:r>
      <w:r w:rsidR="00A9608D">
        <w:rPr>
          <w:i/>
          <w:lang w:val="fr-CA"/>
        </w:rPr>
        <w:t xml:space="preserve"> de Montréal</w:t>
      </w:r>
      <w:r w:rsidRPr="00935A39">
        <w:rPr>
          <w:lang w:val="fr-CA"/>
        </w:rPr>
        <w:t xml:space="preserve">. </w:t>
      </w:r>
      <w:r w:rsidR="00A9608D" w:rsidRPr="00A9608D">
        <w:rPr>
          <w:lang w:val="fr-CA"/>
        </w:rPr>
        <w:t>La disposition qui se trouve au cœur de l’e</w:t>
      </w:r>
      <w:r w:rsidR="00A9608D">
        <w:rPr>
          <w:lang w:val="fr-CA"/>
        </w:rPr>
        <w:t xml:space="preserve">nsemble de règles de responsabilité exclusives établi par la </w:t>
      </w:r>
      <w:r w:rsidR="00A9608D">
        <w:rPr>
          <w:i/>
          <w:lang w:val="fr-CA"/>
        </w:rPr>
        <w:t xml:space="preserve">Convention de </w:t>
      </w:r>
      <w:r w:rsidRPr="00A9608D">
        <w:rPr>
          <w:i/>
          <w:lang w:val="fr-CA"/>
        </w:rPr>
        <w:t>Montr</w:t>
      </w:r>
      <w:r w:rsidR="00A9608D">
        <w:rPr>
          <w:i/>
          <w:lang w:val="fr-CA"/>
        </w:rPr>
        <w:t>é</w:t>
      </w:r>
      <w:r w:rsidRPr="00A9608D">
        <w:rPr>
          <w:i/>
          <w:lang w:val="fr-CA"/>
        </w:rPr>
        <w:t xml:space="preserve">al </w:t>
      </w:r>
      <w:r w:rsidR="00A9608D">
        <w:rPr>
          <w:lang w:val="fr-CA"/>
        </w:rPr>
        <w:t>est l’art</w:t>
      </w:r>
      <w:r w:rsidR="00167391">
        <w:rPr>
          <w:lang w:val="fr-CA"/>
        </w:rPr>
        <w:t>icle</w:t>
      </w:r>
      <w:r w:rsidR="006412AC">
        <w:rPr>
          <w:lang w:val="fr-CA"/>
        </w:rPr>
        <w:t xml:space="preserve"> </w:t>
      </w:r>
      <w:r w:rsidRPr="00A9608D">
        <w:rPr>
          <w:lang w:val="fr-CA"/>
        </w:rPr>
        <w:t xml:space="preserve">29. </w:t>
      </w:r>
      <w:r w:rsidR="009F4425" w:rsidRPr="009F4425">
        <w:rPr>
          <w:lang w:val="fr-CA"/>
        </w:rPr>
        <w:t xml:space="preserve">Il ressort clairement de cette disposition que la </w:t>
      </w:r>
      <w:r w:rsidRPr="009F4425">
        <w:rPr>
          <w:i/>
          <w:lang w:val="fr-CA"/>
        </w:rPr>
        <w:t>Convention</w:t>
      </w:r>
      <w:r w:rsidR="009F4425" w:rsidRPr="009F4425">
        <w:rPr>
          <w:i/>
          <w:lang w:val="fr-CA"/>
        </w:rPr>
        <w:t xml:space="preserve"> </w:t>
      </w:r>
      <w:r w:rsidR="009F4425">
        <w:rPr>
          <w:i/>
          <w:lang w:val="fr-CA"/>
        </w:rPr>
        <w:t>de Montréal</w:t>
      </w:r>
      <w:r w:rsidRPr="009F4425">
        <w:rPr>
          <w:lang w:val="fr-CA"/>
        </w:rPr>
        <w:t xml:space="preserve"> </w:t>
      </w:r>
      <w:r w:rsidR="009F4425">
        <w:rPr>
          <w:lang w:val="fr-CA"/>
        </w:rPr>
        <w:t xml:space="preserve">offre le seul recours pouvant être intenté contre les transporteurs aériens pour différents types de dommages subis lors d’un transport aérien </w:t>
      </w:r>
      <w:r w:rsidRPr="009F4425">
        <w:rPr>
          <w:lang w:val="fr-CA"/>
        </w:rPr>
        <w:t xml:space="preserve">international. </w:t>
      </w:r>
      <w:r w:rsidR="00E34779">
        <w:rPr>
          <w:lang w:val="fr-CA"/>
        </w:rPr>
        <w:t>L’article</w:t>
      </w:r>
      <w:r w:rsidR="006412AC">
        <w:rPr>
          <w:lang w:val="fr-CA"/>
        </w:rPr>
        <w:t xml:space="preserve"> </w:t>
      </w:r>
      <w:r w:rsidR="00711886" w:rsidRPr="00711886">
        <w:rPr>
          <w:lang w:val="fr-CA"/>
        </w:rPr>
        <w:t xml:space="preserve">29 dispose que, pour ce qui est des recours relevant de la </w:t>
      </w:r>
      <w:r w:rsidR="00711886" w:rsidRPr="00711886">
        <w:rPr>
          <w:i/>
          <w:lang w:val="fr-CA"/>
        </w:rPr>
        <w:t>Convention de</w:t>
      </w:r>
      <w:r w:rsidR="00711886" w:rsidRPr="00711886">
        <w:rPr>
          <w:lang w:val="fr-CA"/>
        </w:rPr>
        <w:t xml:space="preserve"> </w:t>
      </w:r>
      <w:r w:rsidR="00711886" w:rsidRPr="00711886">
        <w:rPr>
          <w:i/>
          <w:lang w:val="fr-CA"/>
        </w:rPr>
        <w:t>Montréal</w:t>
      </w:r>
      <w:r w:rsidR="00E34779">
        <w:rPr>
          <w:lang w:val="fr-CA"/>
        </w:rPr>
        <w:t xml:space="preserve">, </w:t>
      </w:r>
      <w:r w:rsidR="006412AC">
        <w:rPr>
          <w:lang w:val="fr-CA"/>
        </w:rPr>
        <w:t>« </w:t>
      </w:r>
      <w:r w:rsidR="00711886" w:rsidRPr="00711886">
        <w:rPr>
          <w:lang w:val="fr-CA"/>
        </w:rPr>
        <w:t>toute action en domma</w:t>
      </w:r>
      <w:r w:rsidR="00711886">
        <w:rPr>
          <w:lang w:val="fr-CA"/>
        </w:rPr>
        <w:t>ges-intérêt</w:t>
      </w:r>
      <w:r w:rsidR="00E34779">
        <w:rPr>
          <w:lang w:val="fr-CA"/>
        </w:rPr>
        <w:t>s, à quelque titre que ce soit</w:t>
      </w:r>
      <w:r w:rsidR="006412AC">
        <w:rPr>
          <w:lang w:val="fr-CA"/>
        </w:rPr>
        <w:t> »</w:t>
      </w:r>
      <w:r w:rsidR="00167391">
        <w:rPr>
          <w:lang w:val="fr-CA"/>
        </w:rPr>
        <w:t>,</w:t>
      </w:r>
      <w:r w:rsidR="00E34779">
        <w:rPr>
          <w:lang w:val="fr-CA"/>
        </w:rPr>
        <w:t xml:space="preserve"> ne peut </w:t>
      </w:r>
      <w:r w:rsidR="00E34779">
        <w:rPr>
          <w:lang w:val="fr-CA"/>
        </w:rPr>
        <w:lastRenderedPageBreak/>
        <w:t xml:space="preserve">être exercée </w:t>
      </w:r>
      <w:r w:rsidR="006412AC">
        <w:rPr>
          <w:lang w:val="fr-CA"/>
        </w:rPr>
        <w:t>« </w:t>
      </w:r>
      <w:r w:rsidR="00711886">
        <w:rPr>
          <w:lang w:val="fr-CA"/>
        </w:rPr>
        <w:t xml:space="preserve">que dans les </w:t>
      </w:r>
      <w:r w:rsidRPr="00711886">
        <w:rPr>
          <w:lang w:val="fr-CA"/>
        </w:rPr>
        <w:t xml:space="preserve">conditions </w:t>
      </w:r>
      <w:r w:rsidR="00711886">
        <w:rPr>
          <w:lang w:val="fr-CA"/>
        </w:rPr>
        <w:t>et limites de responsabilité pré</w:t>
      </w:r>
      <w:r w:rsidR="00E34779">
        <w:rPr>
          <w:lang w:val="fr-CA"/>
        </w:rPr>
        <w:t>vues par la présente convention</w:t>
      </w:r>
      <w:r w:rsidR="006412AC">
        <w:rPr>
          <w:lang w:val="fr-CA"/>
        </w:rPr>
        <w:t> »</w:t>
      </w:r>
      <w:r w:rsidR="00711886">
        <w:rPr>
          <w:lang w:val="fr-CA"/>
        </w:rPr>
        <w:t xml:space="preserve">. </w:t>
      </w:r>
      <w:r w:rsidR="00711886" w:rsidRPr="00586764">
        <w:rPr>
          <w:lang w:val="fr-CA"/>
        </w:rPr>
        <w:t>Les art</w:t>
      </w:r>
      <w:r w:rsidR="00E34779">
        <w:rPr>
          <w:lang w:val="fr-CA"/>
        </w:rPr>
        <w:t>icles</w:t>
      </w:r>
      <w:r w:rsidR="006412AC">
        <w:rPr>
          <w:lang w:val="fr-CA"/>
        </w:rPr>
        <w:t xml:space="preserve"> </w:t>
      </w:r>
      <w:r w:rsidRPr="00586764">
        <w:rPr>
          <w:lang w:val="fr-CA"/>
        </w:rPr>
        <w:t xml:space="preserve">17 </w:t>
      </w:r>
      <w:r w:rsidR="00711886" w:rsidRPr="00586764">
        <w:rPr>
          <w:lang w:val="fr-CA"/>
        </w:rPr>
        <w:t xml:space="preserve">à </w:t>
      </w:r>
      <w:r w:rsidRPr="00586764">
        <w:rPr>
          <w:lang w:val="fr-CA"/>
        </w:rPr>
        <w:t xml:space="preserve">19 </w:t>
      </w:r>
      <w:r w:rsidR="00711886" w:rsidRPr="00586764">
        <w:rPr>
          <w:lang w:val="fr-CA"/>
        </w:rPr>
        <w:t xml:space="preserve">de la </w:t>
      </w:r>
      <w:r w:rsidRPr="00586764">
        <w:rPr>
          <w:i/>
          <w:lang w:val="fr-CA"/>
        </w:rPr>
        <w:t>Convention</w:t>
      </w:r>
      <w:r w:rsidR="00711886" w:rsidRPr="00586764">
        <w:rPr>
          <w:i/>
          <w:lang w:val="fr-CA"/>
        </w:rPr>
        <w:t xml:space="preserve"> de Montréal</w:t>
      </w:r>
      <w:r w:rsidRPr="00586764">
        <w:rPr>
          <w:lang w:val="fr-CA"/>
        </w:rPr>
        <w:t xml:space="preserve"> </w:t>
      </w:r>
      <w:r w:rsidR="0093003F">
        <w:rPr>
          <w:lang w:val="fr-CA"/>
        </w:rPr>
        <w:t>préci</w:t>
      </w:r>
      <w:r w:rsidR="00711886" w:rsidRPr="00586764">
        <w:rPr>
          <w:lang w:val="fr-CA"/>
        </w:rPr>
        <w:t>sent que le transporteur est responsable du préjudice survenu</w:t>
      </w:r>
      <w:r w:rsidR="006412AC">
        <w:rPr>
          <w:lang w:val="fr-CA"/>
        </w:rPr>
        <w:t> :</w:t>
      </w:r>
      <w:r w:rsidR="00711886" w:rsidRPr="00586764">
        <w:rPr>
          <w:lang w:val="fr-CA"/>
        </w:rPr>
        <w:t xml:space="preserve"> e</w:t>
      </w:r>
      <w:r w:rsidRPr="00586764">
        <w:rPr>
          <w:lang w:val="fr-CA"/>
        </w:rPr>
        <w:t>n cas</w:t>
      </w:r>
      <w:r w:rsidR="00711886" w:rsidRPr="00586764">
        <w:rPr>
          <w:lang w:val="fr-CA"/>
        </w:rPr>
        <w:t xml:space="preserve"> de mort ou de l</w:t>
      </w:r>
      <w:r w:rsidR="00586764">
        <w:rPr>
          <w:lang w:val="fr-CA"/>
        </w:rPr>
        <w:t>é</w:t>
      </w:r>
      <w:r w:rsidR="00711886" w:rsidRPr="00586764">
        <w:rPr>
          <w:lang w:val="fr-CA"/>
        </w:rPr>
        <w:t>sion corporelle subie par un passage</w:t>
      </w:r>
      <w:r w:rsidR="009813F5">
        <w:rPr>
          <w:lang w:val="fr-CA"/>
        </w:rPr>
        <w:t>r</w:t>
      </w:r>
      <w:r w:rsidR="00711886" w:rsidRPr="00586764">
        <w:rPr>
          <w:lang w:val="fr-CA"/>
        </w:rPr>
        <w:t xml:space="preserve"> lors d’un accident qui s’est produit à bord</w:t>
      </w:r>
      <w:r w:rsidR="00586764" w:rsidRPr="00586764">
        <w:rPr>
          <w:lang w:val="fr-CA"/>
        </w:rPr>
        <w:t xml:space="preserve"> de l’aéronef ou au co</w:t>
      </w:r>
      <w:r w:rsidR="00586764">
        <w:rPr>
          <w:lang w:val="fr-CA"/>
        </w:rPr>
        <w:t xml:space="preserve">urs de l’embarquement ou du débarquement </w:t>
      </w:r>
      <w:r w:rsidRPr="00586764">
        <w:rPr>
          <w:lang w:val="fr-CA"/>
        </w:rPr>
        <w:t>(</w:t>
      </w:r>
      <w:r w:rsidR="00167391">
        <w:rPr>
          <w:lang w:val="fr-CA"/>
        </w:rPr>
        <w:t>article</w:t>
      </w:r>
      <w:r w:rsidR="006412AC">
        <w:rPr>
          <w:lang w:val="fr-CA"/>
        </w:rPr>
        <w:t xml:space="preserve"> </w:t>
      </w:r>
      <w:r w:rsidRPr="00925ABA">
        <w:rPr>
          <w:lang w:val="fr-CA"/>
        </w:rPr>
        <w:t xml:space="preserve">17); </w:t>
      </w:r>
      <w:r w:rsidR="00925ABA" w:rsidRPr="00925ABA">
        <w:rPr>
          <w:lang w:val="fr-CA"/>
        </w:rPr>
        <w:t>e</w:t>
      </w:r>
      <w:r w:rsidR="00925ABA">
        <w:rPr>
          <w:lang w:val="fr-CA"/>
        </w:rPr>
        <w:t xml:space="preserve">n cas de </w:t>
      </w:r>
      <w:r w:rsidRPr="00925ABA">
        <w:rPr>
          <w:lang w:val="fr-CA"/>
        </w:rPr>
        <w:t>destruction</w:t>
      </w:r>
      <w:r w:rsidR="00925ABA">
        <w:rPr>
          <w:lang w:val="fr-CA"/>
        </w:rPr>
        <w:t xml:space="preserve">, </w:t>
      </w:r>
      <w:r w:rsidR="0093003F">
        <w:rPr>
          <w:lang w:val="fr-CA"/>
        </w:rPr>
        <w:t xml:space="preserve">de </w:t>
      </w:r>
      <w:r w:rsidR="00925ABA">
        <w:rPr>
          <w:lang w:val="fr-CA"/>
        </w:rPr>
        <w:t xml:space="preserve">perte ou </w:t>
      </w:r>
      <w:r w:rsidR="0093003F">
        <w:rPr>
          <w:lang w:val="fr-CA"/>
        </w:rPr>
        <w:t>d’</w:t>
      </w:r>
      <w:r w:rsidR="00925ABA">
        <w:rPr>
          <w:lang w:val="fr-CA"/>
        </w:rPr>
        <w:t xml:space="preserve">avarie des bagages alors que le transporteur en avait la garde </w:t>
      </w:r>
      <w:r w:rsidRPr="00925ABA">
        <w:rPr>
          <w:lang w:val="fr-CA"/>
        </w:rPr>
        <w:t>(</w:t>
      </w:r>
      <w:r w:rsidR="00167391">
        <w:rPr>
          <w:lang w:val="fr-CA"/>
        </w:rPr>
        <w:t>article</w:t>
      </w:r>
      <w:r w:rsidR="006412AC">
        <w:rPr>
          <w:lang w:val="fr-CA"/>
        </w:rPr>
        <w:t xml:space="preserve"> </w:t>
      </w:r>
      <w:r w:rsidRPr="00925ABA">
        <w:rPr>
          <w:lang w:val="fr-CA"/>
        </w:rPr>
        <w:t xml:space="preserve">17); </w:t>
      </w:r>
      <w:r w:rsidR="00925ABA" w:rsidRPr="00925ABA">
        <w:rPr>
          <w:lang w:val="fr-CA"/>
        </w:rPr>
        <w:t>e</w:t>
      </w:r>
      <w:r w:rsidR="00925ABA">
        <w:rPr>
          <w:lang w:val="fr-CA"/>
        </w:rPr>
        <w:t xml:space="preserve">n cas de destruction, </w:t>
      </w:r>
      <w:r w:rsidR="0093003F">
        <w:rPr>
          <w:lang w:val="fr-CA"/>
        </w:rPr>
        <w:t xml:space="preserve">de </w:t>
      </w:r>
      <w:r w:rsidR="00925ABA">
        <w:rPr>
          <w:lang w:val="fr-CA"/>
        </w:rPr>
        <w:t xml:space="preserve">perte ou </w:t>
      </w:r>
      <w:r w:rsidR="0093003F">
        <w:rPr>
          <w:lang w:val="fr-CA"/>
        </w:rPr>
        <w:t>d’</w:t>
      </w:r>
      <w:r w:rsidR="00925ABA">
        <w:rPr>
          <w:lang w:val="fr-CA"/>
        </w:rPr>
        <w:t xml:space="preserve">avarie de la marchandise pendant le transport </w:t>
      </w:r>
      <w:r w:rsidRPr="00925ABA">
        <w:rPr>
          <w:lang w:val="fr-CA"/>
        </w:rPr>
        <w:t>(</w:t>
      </w:r>
      <w:r w:rsidR="00167391">
        <w:rPr>
          <w:lang w:val="fr-CA"/>
        </w:rPr>
        <w:t>article</w:t>
      </w:r>
      <w:r w:rsidR="006412AC">
        <w:rPr>
          <w:lang w:val="fr-CA"/>
        </w:rPr>
        <w:t xml:space="preserve"> </w:t>
      </w:r>
      <w:r w:rsidRPr="00925ABA">
        <w:rPr>
          <w:lang w:val="fr-CA"/>
        </w:rPr>
        <w:t xml:space="preserve">18); </w:t>
      </w:r>
      <w:r w:rsidR="0093003F">
        <w:rPr>
          <w:lang w:val="fr-CA"/>
        </w:rPr>
        <w:t>et en cas de</w:t>
      </w:r>
      <w:r w:rsidR="00925ABA">
        <w:rPr>
          <w:lang w:val="fr-CA"/>
        </w:rPr>
        <w:t xml:space="preserve"> dommage résultant d’un retard </w:t>
      </w:r>
      <w:r w:rsidRPr="00925ABA">
        <w:rPr>
          <w:lang w:val="fr-CA"/>
        </w:rPr>
        <w:t>(</w:t>
      </w:r>
      <w:r w:rsidR="00167391">
        <w:rPr>
          <w:lang w:val="fr-CA"/>
        </w:rPr>
        <w:t>article</w:t>
      </w:r>
      <w:r w:rsidR="006412AC">
        <w:rPr>
          <w:lang w:val="fr-CA"/>
        </w:rPr>
        <w:t xml:space="preserve"> </w:t>
      </w:r>
      <w:r w:rsidRPr="00925ABA">
        <w:rPr>
          <w:lang w:val="fr-CA"/>
        </w:rPr>
        <w:t>19).</w:t>
      </w:r>
    </w:p>
    <w:p w:rsidR="007B1A55" w:rsidRPr="00C60BA9" w:rsidRDefault="007B1A55" w:rsidP="00A12DCE">
      <w:pPr>
        <w:pStyle w:val="SCCNormalDoubleSpacing"/>
        <w:widowControl w:val="0"/>
        <w:spacing w:before="480" w:after="480"/>
        <w:rPr>
          <w:lang w:val="fr-CA"/>
        </w:rPr>
      </w:pPr>
      <w:r w:rsidRPr="00925ABA">
        <w:rPr>
          <w:lang w:val="fr-CA"/>
        </w:rPr>
        <w:tab/>
      </w:r>
      <w:r w:rsidR="00925ABA" w:rsidRPr="00925ABA">
        <w:rPr>
          <w:lang w:val="fr-CA"/>
        </w:rPr>
        <w:t>Établir un ensemble de règles uniformes encadrant la responsabilité pour dommages des transporteurs aériens int</w:t>
      </w:r>
      <w:r w:rsidR="00925ABA">
        <w:rPr>
          <w:lang w:val="fr-CA"/>
        </w:rPr>
        <w:t xml:space="preserve">ernationaux et limiter cette responsabilité sont deux des principaux objectifs de la </w:t>
      </w:r>
      <w:r w:rsidRPr="00925ABA">
        <w:rPr>
          <w:i/>
          <w:lang w:val="fr-CA"/>
        </w:rPr>
        <w:t>Convention</w:t>
      </w:r>
      <w:r w:rsidR="00925ABA">
        <w:rPr>
          <w:i/>
          <w:lang w:val="fr-CA"/>
        </w:rPr>
        <w:t xml:space="preserve"> de Montréal</w:t>
      </w:r>
      <w:r w:rsidR="00925ABA">
        <w:rPr>
          <w:lang w:val="fr-CA"/>
        </w:rPr>
        <w:t xml:space="preserve">, qui ne peut les </w:t>
      </w:r>
      <w:r w:rsidR="0093003F">
        <w:rPr>
          <w:lang w:val="fr-CA"/>
        </w:rPr>
        <w:t>réaliser</w:t>
      </w:r>
      <w:r w:rsidR="00925ABA">
        <w:rPr>
          <w:lang w:val="fr-CA"/>
        </w:rPr>
        <w:t xml:space="preserve"> que si elle </w:t>
      </w:r>
      <w:r w:rsidR="0093003F">
        <w:rPr>
          <w:lang w:val="fr-CA"/>
        </w:rPr>
        <w:t>constitue</w:t>
      </w:r>
      <w:r w:rsidR="00925ABA">
        <w:rPr>
          <w:lang w:val="fr-CA"/>
        </w:rPr>
        <w:t xml:space="preserve"> un ensemble exclusif de règles applicables aux matières auxquelles elle s’applique</w:t>
      </w:r>
      <w:r w:rsidRPr="00925ABA">
        <w:rPr>
          <w:lang w:val="fr-CA"/>
        </w:rPr>
        <w:t xml:space="preserve">. </w:t>
      </w:r>
      <w:r w:rsidR="00925ABA" w:rsidRPr="000B0121">
        <w:rPr>
          <w:lang w:val="fr-CA"/>
        </w:rPr>
        <w:t xml:space="preserve">La </w:t>
      </w:r>
      <w:r w:rsidRPr="000B0121">
        <w:rPr>
          <w:i/>
          <w:lang w:val="fr-CA"/>
        </w:rPr>
        <w:t>Convention</w:t>
      </w:r>
      <w:r w:rsidR="00925ABA" w:rsidRPr="000B0121">
        <w:rPr>
          <w:i/>
          <w:lang w:val="fr-CA"/>
        </w:rPr>
        <w:t xml:space="preserve"> de Montréal</w:t>
      </w:r>
      <w:r w:rsidR="000B0121" w:rsidRPr="000B0121">
        <w:rPr>
          <w:i/>
          <w:lang w:val="fr-CA"/>
        </w:rPr>
        <w:t xml:space="preserve"> </w:t>
      </w:r>
      <w:r w:rsidR="000B0121" w:rsidRPr="000B0121">
        <w:rPr>
          <w:lang w:val="fr-CA"/>
        </w:rPr>
        <w:t>ne touche pas tous les aspects du transport aérien international. Mais</w:t>
      </w:r>
      <w:r w:rsidR="0093003F">
        <w:rPr>
          <w:lang w:val="fr-CA"/>
        </w:rPr>
        <w:t>,</w:t>
      </w:r>
      <w:r w:rsidR="000B0121" w:rsidRPr="000B0121">
        <w:rPr>
          <w:lang w:val="fr-CA"/>
        </w:rPr>
        <w:t xml:space="preserve"> dans les limites des matières qu’elle aborde, elle est exclusive en ce qu’elle interdit tout autre r</w:t>
      </w:r>
      <w:r w:rsidR="000B0121">
        <w:rPr>
          <w:lang w:val="fr-CA"/>
        </w:rPr>
        <w:t xml:space="preserve">ecours en responsabilité. </w:t>
      </w:r>
      <w:r w:rsidR="000B0121" w:rsidRPr="00C60BA9">
        <w:rPr>
          <w:lang w:val="fr-CA"/>
        </w:rPr>
        <w:t xml:space="preserve">Le texte et l’objet de la </w:t>
      </w:r>
      <w:r w:rsidRPr="00C60BA9">
        <w:rPr>
          <w:i/>
          <w:lang w:val="fr-CA"/>
        </w:rPr>
        <w:t>Convention</w:t>
      </w:r>
      <w:r w:rsidR="000B0121" w:rsidRPr="00C60BA9">
        <w:rPr>
          <w:i/>
          <w:lang w:val="fr-CA"/>
        </w:rPr>
        <w:t xml:space="preserve"> de Montréal</w:t>
      </w:r>
      <w:r w:rsidR="00C60BA9" w:rsidRPr="00C60BA9">
        <w:rPr>
          <w:lang w:val="fr-CA"/>
        </w:rPr>
        <w:t>,</w:t>
      </w:r>
      <w:r w:rsidR="000B0121" w:rsidRPr="00C60BA9">
        <w:rPr>
          <w:i/>
          <w:lang w:val="fr-CA"/>
        </w:rPr>
        <w:t xml:space="preserve"> </w:t>
      </w:r>
      <w:r w:rsidR="000B0121" w:rsidRPr="00C60BA9">
        <w:rPr>
          <w:lang w:val="fr-CA"/>
        </w:rPr>
        <w:t>ainsi</w:t>
      </w:r>
      <w:r w:rsidR="00C60BA9" w:rsidRPr="00C60BA9">
        <w:rPr>
          <w:lang w:val="fr-CA"/>
        </w:rPr>
        <w:t xml:space="preserve"> qu’un fort courant </w:t>
      </w:r>
      <w:r w:rsidRPr="00C60BA9">
        <w:rPr>
          <w:lang w:val="fr-CA"/>
        </w:rPr>
        <w:t>jurispruden</w:t>
      </w:r>
      <w:r w:rsidR="00C60BA9" w:rsidRPr="00C60BA9">
        <w:rPr>
          <w:lang w:val="fr-CA"/>
        </w:rPr>
        <w:t>tiel, démontrent clairement que l’exclusivité du régime de responsabilité établi par</w:t>
      </w:r>
      <w:r w:rsidR="00C60BA9">
        <w:rPr>
          <w:lang w:val="fr-CA"/>
        </w:rPr>
        <w:t xml:space="preserve"> la </w:t>
      </w:r>
      <w:r w:rsidR="00C60BA9" w:rsidRPr="00C60BA9">
        <w:rPr>
          <w:i/>
          <w:lang w:val="fr-CA"/>
        </w:rPr>
        <w:t>Convention de Montréal</w:t>
      </w:r>
      <w:r w:rsidR="00C60BA9">
        <w:rPr>
          <w:lang w:val="fr-CA"/>
        </w:rPr>
        <w:t xml:space="preserve"> permet à tout le moins d’exclure les actions découlant du préjudice subi par les passagers en cours de vol ou lors de l’embarquement et du débarquement</w:t>
      </w:r>
      <w:r w:rsidR="0093003F">
        <w:rPr>
          <w:lang w:val="fr-CA"/>
        </w:rPr>
        <w:t>,</w:t>
      </w:r>
      <w:r w:rsidR="00C60BA9">
        <w:rPr>
          <w:lang w:val="fr-CA"/>
        </w:rPr>
        <w:t xml:space="preserve"> si ces actions ne sont pas par ailleurs visées par le régime des recours autorisés. </w:t>
      </w:r>
    </w:p>
    <w:p w:rsidR="007B1A55" w:rsidRPr="00AC484A" w:rsidRDefault="007B1A55" w:rsidP="00A12DCE">
      <w:pPr>
        <w:pStyle w:val="SCCNormalDoubleSpacing"/>
        <w:widowControl w:val="0"/>
        <w:spacing w:before="480" w:after="480"/>
        <w:rPr>
          <w:lang w:val="fr-CA"/>
        </w:rPr>
      </w:pPr>
      <w:r w:rsidRPr="00C60BA9">
        <w:rPr>
          <w:lang w:val="fr-CA"/>
        </w:rPr>
        <w:lastRenderedPageBreak/>
        <w:tab/>
      </w:r>
      <w:r w:rsidR="00C60BA9" w:rsidRPr="00C60BA9">
        <w:rPr>
          <w:lang w:val="fr-CA"/>
        </w:rPr>
        <w:t xml:space="preserve">L’argument des passagers selon lequel la </w:t>
      </w:r>
      <w:r w:rsidR="00C60BA9" w:rsidRPr="00C60BA9">
        <w:rPr>
          <w:i/>
          <w:lang w:val="fr-CA"/>
        </w:rPr>
        <w:t xml:space="preserve">Convention de </w:t>
      </w:r>
      <w:r w:rsidRPr="00C60BA9">
        <w:rPr>
          <w:i/>
          <w:lang w:val="fr-CA"/>
        </w:rPr>
        <w:t>Montr</w:t>
      </w:r>
      <w:r w:rsidR="00C60BA9" w:rsidRPr="00C60BA9">
        <w:rPr>
          <w:i/>
          <w:lang w:val="fr-CA"/>
        </w:rPr>
        <w:t>é</w:t>
      </w:r>
      <w:r w:rsidRPr="00C60BA9">
        <w:rPr>
          <w:i/>
          <w:lang w:val="fr-CA"/>
        </w:rPr>
        <w:t xml:space="preserve">al </w:t>
      </w:r>
      <w:r w:rsidR="00C60BA9" w:rsidRPr="00C60BA9">
        <w:rPr>
          <w:lang w:val="fr-CA"/>
        </w:rPr>
        <w:t>ne limite pas les actions en domma</w:t>
      </w:r>
      <w:r w:rsidR="00734C0D">
        <w:rPr>
          <w:lang w:val="fr-CA"/>
        </w:rPr>
        <w:t>ges</w:t>
      </w:r>
      <w:r w:rsidR="006412AC">
        <w:rPr>
          <w:lang w:val="fr-CA"/>
        </w:rPr>
        <w:t>-</w:t>
      </w:r>
      <w:r w:rsidR="00C60BA9">
        <w:rPr>
          <w:lang w:val="fr-CA"/>
        </w:rPr>
        <w:t xml:space="preserve">intérêts exercées au titre d’un recours de droit public pour violation d’une loi quasi constitutionnelle n’est aucunement étayé par le texte ou l’objet de la </w:t>
      </w:r>
      <w:r w:rsidRPr="00C60BA9">
        <w:rPr>
          <w:i/>
          <w:lang w:val="fr-CA"/>
        </w:rPr>
        <w:t>Convention</w:t>
      </w:r>
      <w:r w:rsidR="00C60BA9">
        <w:rPr>
          <w:i/>
          <w:lang w:val="fr-CA"/>
        </w:rPr>
        <w:t xml:space="preserve"> de Montréal</w:t>
      </w:r>
      <w:r w:rsidR="00C60BA9">
        <w:rPr>
          <w:lang w:val="fr-CA"/>
        </w:rPr>
        <w:t xml:space="preserve">, ni par la </w:t>
      </w:r>
      <w:r w:rsidRPr="00C60BA9">
        <w:rPr>
          <w:lang w:val="fr-CA"/>
        </w:rPr>
        <w:t>jurisprudence</w:t>
      </w:r>
      <w:r w:rsidR="00C60BA9">
        <w:rPr>
          <w:lang w:val="fr-CA"/>
        </w:rPr>
        <w:t xml:space="preserve"> internationale</w:t>
      </w:r>
      <w:r w:rsidRPr="00C60BA9">
        <w:rPr>
          <w:lang w:val="fr-CA"/>
        </w:rPr>
        <w:t xml:space="preserve">. </w:t>
      </w:r>
      <w:r w:rsidR="00F45FCA" w:rsidRPr="00203535">
        <w:rPr>
          <w:lang w:val="fr-CA"/>
        </w:rPr>
        <w:t>L</w:t>
      </w:r>
      <w:r w:rsidR="00203535" w:rsidRPr="00203535">
        <w:rPr>
          <w:lang w:val="fr-CA"/>
        </w:rPr>
        <w:t>es</w:t>
      </w:r>
      <w:r w:rsidR="00F45FCA" w:rsidRPr="00203535">
        <w:rPr>
          <w:lang w:val="fr-CA"/>
        </w:rPr>
        <w:t xml:space="preserve"> limite</w:t>
      </w:r>
      <w:r w:rsidR="00203535" w:rsidRPr="00203535">
        <w:rPr>
          <w:lang w:val="fr-CA"/>
        </w:rPr>
        <w:t>s</w:t>
      </w:r>
      <w:r w:rsidR="00F45FCA" w:rsidRPr="00203535">
        <w:rPr>
          <w:lang w:val="fr-CA"/>
        </w:rPr>
        <w:t xml:space="preserve"> prévue</w:t>
      </w:r>
      <w:r w:rsidR="00203535" w:rsidRPr="00203535">
        <w:rPr>
          <w:lang w:val="fr-CA"/>
        </w:rPr>
        <w:t>s</w:t>
      </w:r>
      <w:r w:rsidR="00361E7A">
        <w:rPr>
          <w:lang w:val="fr-CA"/>
        </w:rPr>
        <w:t xml:space="preserve"> à l’article</w:t>
      </w:r>
      <w:r w:rsidR="006412AC">
        <w:rPr>
          <w:lang w:val="fr-CA"/>
        </w:rPr>
        <w:t xml:space="preserve"> </w:t>
      </w:r>
      <w:r w:rsidRPr="00203535">
        <w:rPr>
          <w:lang w:val="fr-CA"/>
        </w:rPr>
        <w:t xml:space="preserve">29 </w:t>
      </w:r>
      <w:r w:rsidR="00F45FCA" w:rsidRPr="00203535">
        <w:rPr>
          <w:lang w:val="fr-CA"/>
        </w:rPr>
        <w:t xml:space="preserve">de la </w:t>
      </w:r>
      <w:r w:rsidRPr="00203535">
        <w:rPr>
          <w:i/>
          <w:lang w:val="fr-CA"/>
        </w:rPr>
        <w:t>Convention</w:t>
      </w:r>
      <w:r w:rsidR="00F45FCA" w:rsidRPr="00203535">
        <w:rPr>
          <w:i/>
          <w:lang w:val="fr-CA"/>
        </w:rPr>
        <w:t xml:space="preserve"> de Montréal</w:t>
      </w:r>
      <w:r w:rsidRPr="00203535">
        <w:rPr>
          <w:lang w:val="fr-CA"/>
        </w:rPr>
        <w:t xml:space="preserve"> </w:t>
      </w:r>
      <w:r w:rsidR="0093003F">
        <w:rPr>
          <w:lang w:val="fr-CA"/>
        </w:rPr>
        <w:t>s’appliquent</w:t>
      </w:r>
      <w:r w:rsidR="00203535" w:rsidRPr="00203535">
        <w:rPr>
          <w:lang w:val="fr-CA"/>
        </w:rPr>
        <w:t xml:space="preserve">, dans le </w:t>
      </w:r>
      <w:r w:rsidR="00203535">
        <w:rPr>
          <w:lang w:val="fr-CA"/>
        </w:rPr>
        <w:t xml:space="preserve">transport de passagers, de bagages </w:t>
      </w:r>
      <w:r w:rsidR="006F5578">
        <w:rPr>
          <w:lang w:val="fr-CA"/>
        </w:rPr>
        <w:t>ou</w:t>
      </w:r>
      <w:r w:rsidR="00203535">
        <w:rPr>
          <w:lang w:val="fr-CA"/>
        </w:rPr>
        <w:t xml:space="preserve"> de marchandises</w:t>
      </w:r>
      <w:r w:rsidR="006F5578">
        <w:rPr>
          <w:lang w:val="fr-CA"/>
        </w:rPr>
        <w:t>,</w:t>
      </w:r>
      <w:r w:rsidR="0024423D">
        <w:rPr>
          <w:lang w:val="fr-CA"/>
        </w:rPr>
        <w:t xml:space="preserve"> </w:t>
      </w:r>
      <w:r w:rsidR="0093003F">
        <w:rPr>
          <w:lang w:val="fr-CA"/>
        </w:rPr>
        <w:t xml:space="preserve">à </w:t>
      </w:r>
      <w:r w:rsidR="006412AC">
        <w:rPr>
          <w:lang w:val="fr-CA"/>
        </w:rPr>
        <w:t>« </w:t>
      </w:r>
      <w:r w:rsidR="0093003F">
        <w:rPr>
          <w:lang w:val="fr-CA"/>
        </w:rPr>
        <w:t xml:space="preserve">toute action </w:t>
      </w:r>
      <w:r w:rsidR="00734C0D">
        <w:rPr>
          <w:lang w:val="fr-CA"/>
        </w:rPr>
        <w:t>en dommages</w:t>
      </w:r>
      <w:r w:rsidR="006412AC">
        <w:rPr>
          <w:lang w:val="fr-CA"/>
        </w:rPr>
        <w:t>-</w:t>
      </w:r>
      <w:r w:rsidR="0024423D">
        <w:rPr>
          <w:lang w:val="fr-CA"/>
        </w:rPr>
        <w:t>intérêts, à quelque titre que ce soit, en vertu de la présente convention, en raison d’un contrat ou d’un acte illicite ou pour toute autre cause</w:t>
      </w:r>
      <w:r w:rsidR="006412AC">
        <w:rPr>
          <w:lang w:val="fr-CA"/>
        </w:rPr>
        <w:t> »</w:t>
      </w:r>
      <w:r w:rsidRPr="00203535">
        <w:rPr>
          <w:lang w:val="fr-CA"/>
        </w:rPr>
        <w:t xml:space="preserve">. </w:t>
      </w:r>
      <w:r w:rsidR="00D17AE3" w:rsidRPr="00D17AE3">
        <w:rPr>
          <w:lang w:val="fr-CA"/>
        </w:rPr>
        <w:t>Il ne se dégage de ces termes aucune in</w:t>
      </w:r>
      <w:r w:rsidR="009D66F4">
        <w:rPr>
          <w:lang w:val="fr-CA"/>
        </w:rPr>
        <w:t xml:space="preserve">tention de soustraire quelque </w:t>
      </w:r>
      <w:r w:rsidR="006412AC">
        <w:rPr>
          <w:lang w:val="fr-CA"/>
        </w:rPr>
        <w:t>« </w:t>
      </w:r>
      <w:r w:rsidRPr="00D17AE3">
        <w:rPr>
          <w:lang w:val="fr-CA"/>
        </w:rPr>
        <w:t>action</w:t>
      </w:r>
      <w:r w:rsidR="009D66F4">
        <w:rPr>
          <w:lang w:val="fr-CA"/>
        </w:rPr>
        <w:t xml:space="preserve"> en dommages</w:t>
      </w:r>
      <w:r w:rsidR="006412AC">
        <w:rPr>
          <w:lang w:val="fr-CA"/>
        </w:rPr>
        <w:t>-</w:t>
      </w:r>
      <w:r w:rsidR="009D66F4">
        <w:rPr>
          <w:lang w:val="fr-CA"/>
        </w:rPr>
        <w:t>intérêts</w:t>
      </w:r>
      <w:r w:rsidR="006412AC">
        <w:rPr>
          <w:lang w:val="fr-CA"/>
        </w:rPr>
        <w:t> »</w:t>
      </w:r>
      <w:r w:rsidR="00D17AE3" w:rsidRPr="00D17AE3">
        <w:rPr>
          <w:lang w:val="fr-CA"/>
        </w:rPr>
        <w:t xml:space="preserve"> que</w:t>
      </w:r>
      <w:r w:rsidR="00D17AE3">
        <w:rPr>
          <w:lang w:val="fr-CA"/>
        </w:rPr>
        <w:t xml:space="preserve"> ce soit dans le transport de passagers, de bagages </w:t>
      </w:r>
      <w:r w:rsidR="006F5578">
        <w:rPr>
          <w:lang w:val="fr-CA"/>
        </w:rPr>
        <w:t>ou</w:t>
      </w:r>
      <w:r w:rsidR="00D17AE3">
        <w:rPr>
          <w:lang w:val="fr-CA"/>
        </w:rPr>
        <w:t xml:space="preserve"> de marchandises selon son fondement légal, par exemple lorsque le demandeur présente, en vertu de la loi, une demande pécuniaire de droit public fondée sur la violation de droits quasi constitutionnels. </w:t>
      </w:r>
      <w:r w:rsidR="00CD381C" w:rsidRPr="00CD381C">
        <w:rPr>
          <w:lang w:val="fr-CA"/>
        </w:rPr>
        <w:t xml:space="preserve">Les demandes </w:t>
      </w:r>
      <w:r w:rsidR="00734C0D">
        <w:rPr>
          <w:lang w:val="fr-CA"/>
        </w:rPr>
        <w:t xml:space="preserve">des passagers constituent une </w:t>
      </w:r>
      <w:r w:rsidR="006412AC">
        <w:rPr>
          <w:lang w:val="fr-CA"/>
        </w:rPr>
        <w:t>« </w:t>
      </w:r>
      <w:r w:rsidRPr="00CD381C">
        <w:rPr>
          <w:lang w:val="fr-CA"/>
        </w:rPr>
        <w:t>action</w:t>
      </w:r>
      <w:r w:rsidR="00734C0D">
        <w:rPr>
          <w:lang w:val="fr-CA"/>
        </w:rPr>
        <w:t xml:space="preserve"> en dommages</w:t>
      </w:r>
      <w:r w:rsidR="006412AC">
        <w:rPr>
          <w:lang w:val="fr-CA"/>
        </w:rPr>
        <w:t>-</w:t>
      </w:r>
      <w:r w:rsidR="00734C0D">
        <w:rPr>
          <w:lang w:val="fr-CA"/>
        </w:rPr>
        <w:t>intérêts</w:t>
      </w:r>
      <w:r w:rsidR="006412AC">
        <w:rPr>
          <w:lang w:val="fr-CA"/>
        </w:rPr>
        <w:t> »</w:t>
      </w:r>
      <w:r w:rsidR="00734C0D">
        <w:rPr>
          <w:lang w:val="fr-CA"/>
        </w:rPr>
        <w:t xml:space="preserve"> au sens de l’art</w:t>
      </w:r>
      <w:r w:rsidR="00361E7A">
        <w:rPr>
          <w:lang w:val="fr-CA"/>
        </w:rPr>
        <w:t>icle</w:t>
      </w:r>
      <w:r w:rsidR="006412AC">
        <w:rPr>
          <w:lang w:val="fr-CA"/>
        </w:rPr>
        <w:t xml:space="preserve"> </w:t>
      </w:r>
      <w:r w:rsidR="00CD381C" w:rsidRPr="00CD381C">
        <w:rPr>
          <w:lang w:val="fr-CA"/>
        </w:rPr>
        <w:t>29, puisqu</w:t>
      </w:r>
      <w:r w:rsidR="00910BD9">
        <w:rPr>
          <w:lang w:val="fr-CA"/>
        </w:rPr>
        <w:t xml:space="preserve">e ces derniers </w:t>
      </w:r>
      <w:r w:rsidR="006F5578">
        <w:rPr>
          <w:lang w:val="fr-CA"/>
        </w:rPr>
        <w:t xml:space="preserve">réclament </w:t>
      </w:r>
      <w:r w:rsidR="00734C0D">
        <w:rPr>
          <w:lang w:val="fr-CA"/>
        </w:rPr>
        <w:t>des dommages</w:t>
      </w:r>
      <w:r w:rsidR="006412AC">
        <w:rPr>
          <w:lang w:val="fr-CA"/>
        </w:rPr>
        <w:t>-</w:t>
      </w:r>
      <w:r w:rsidR="00CD381C" w:rsidRPr="00CD381C">
        <w:rPr>
          <w:lang w:val="fr-CA"/>
        </w:rPr>
        <w:t>intérêts pour le</w:t>
      </w:r>
      <w:r w:rsidR="00F41406">
        <w:rPr>
          <w:lang w:val="fr-CA"/>
        </w:rPr>
        <w:t>s</w:t>
      </w:r>
      <w:r w:rsidR="00CD381C" w:rsidRPr="00CD381C">
        <w:rPr>
          <w:lang w:val="fr-CA"/>
        </w:rPr>
        <w:t xml:space="preserve"> pré</w:t>
      </w:r>
      <w:r w:rsidR="00CD381C">
        <w:rPr>
          <w:lang w:val="fr-CA"/>
        </w:rPr>
        <w:t>judice</w:t>
      </w:r>
      <w:r w:rsidR="00F41406">
        <w:rPr>
          <w:lang w:val="fr-CA"/>
        </w:rPr>
        <w:t>s</w:t>
      </w:r>
      <w:r w:rsidR="00CD381C">
        <w:rPr>
          <w:lang w:val="fr-CA"/>
        </w:rPr>
        <w:t xml:space="preserve"> subi</w:t>
      </w:r>
      <w:r w:rsidR="00F41406">
        <w:rPr>
          <w:lang w:val="fr-CA"/>
        </w:rPr>
        <w:t>s — à savoir</w:t>
      </w:r>
      <w:r w:rsidR="00833930">
        <w:rPr>
          <w:lang w:val="fr-CA"/>
        </w:rPr>
        <w:t xml:space="preserve"> </w:t>
      </w:r>
      <w:r w:rsidR="00910BD9">
        <w:rPr>
          <w:lang w:val="fr-CA"/>
        </w:rPr>
        <w:t>préjudice moral, troubles et inconvénients</w:t>
      </w:r>
      <w:r w:rsidR="00F41406">
        <w:rPr>
          <w:lang w:val="fr-CA"/>
        </w:rPr>
        <w:t>,</w:t>
      </w:r>
      <w:r w:rsidR="00910BD9">
        <w:rPr>
          <w:lang w:val="fr-CA"/>
        </w:rPr>
        <w:t xml:space="preserve"> et perte de jouissance</w:t>
      </w:r>
      <w:r w:rsidR="00BC28E8">
        <w:rPr>
          <w:lang w:val="fr-CA"/>
        </w:rPr>
        <w:t xml:space="preserve"> de leurs vacances </w:t>
      </w:r>
      <w:r w:rsidR="00230520">
        <w:rPr>
          <w:lang w:val="fr-CA"/>
        </w:rPr>
        <w:t xml:space="preserve">— </w:t>
      </w:r>
      <w:r w:rsidR="00BC28E8">
        <w:rPr>
          <w:lang w:val="fr-CA"/>
        </w:rPr>
        <w:t xml:space="preserve">au cours d’un vol </w:t>
      </w:r>
      <w:r w:rsidRPr="00CD381C">
        <w:rPr>
          <w:lang w:val="fr-CA"/>
        </w:rPr>
        <w:t xml:space="preserve">international. </w:t>
      </w:r>
      <w:r w:rsidR="00BC28E8" w:rsidRPr="00BC28E8">
        <w:rPr>
          <w:lang w:val="fr-CA"/>
        </w:rPr>
        <w:t>Perm</w:t>
      </w:r>
      <w:r w:rsidR="009D66F4">
        <w:rPr>
          <w:lang w:val="fr-CA"/>
        </w:rPr>
        <w:t xml:space="preserve">ettre </w:t>
      </w:r>
      <w:r w:rsidR="00F41406">
        <w:rPr>
          <w:lang w:val="fr-CA"/>
        </w:rPr>
        <w:t>l’exercice d’u</w:t>
      </w:r>
      <w:r w:rsidR="009D66F4">
        <w:rPr>
          <w:lang w:val="fr-CA"/>
        </w:rPr>
        <w:t>ne action en dommages</w:t>
      </w:r>
      <w:r w:rsidR="006412AC">
        <w:rPr>
          <w:lang w:val="fr-CA"/>
        </w:rPr>
        <w:t>-</w:t>
      </w:r>
      <w:r w:rsidR="00BC28E8" w:rsidRPr="00BC28E8">
        <w:rPr>
          <w:lang w:val="fr-CA"/>
        </w:rPr>
        <w:t xml:space="preserve">intérêts </w:t>
      </w:r>
      <w:r w:rsidR="00F41406">
        <w:rPr>
          <w:lang w:val="fr-CA"/>
        </w:rPr>
        <w:t>visant</w:t>
      </w:r>
      <w:r w:rsidR="00BC28E8" w:rsidRPr="00BC28E8">
        <w:rPr>
          <w:lang w:val="fr-CA"/>
        </w:rPr>
        <w:t xml:space="preserve"> l’indemnisation du préjudice </w:t>
      </w:r>
      <w:r w:rsidRPr="00BC28E8">
        <w:rPr>
          <w:lang w:val="fr-CA"/>
        </w:rPr>
        <w:t>moral</w:t>
      </w:r>
      <w:r w:rsidR="00BC28E8" w:rsidRPr="00BC28E8">
        <w:rPr>
          <w:lang w:val="fr-CA"/>
        </w:rPr>
        <w:t>, des troubles et inconv</w:t>
      </w:r>
      <w:r w:rsidR="00BC28E8">
        <w:rPr>
          <w:lang w:val="fr-CA"/>
        </w:rPr>
        <w:t>é</w:t>
      </w:r>
      <w:r w:rsidR="00BC28E8" w:rsidRPr="00BC28E8">
        <w:rPr>
          <w:lang w:val="fr-CA"/>
        </w:rPr>
        <w:t>nient</w:t>
      </w:r>
      <w:r w:rsidR="00BC28E8">
        <w:rPr>
          <w:lang w:val="fr-CA"/>
        </w:rPr>
        <w:t>s</w:t>
      </w:r>
      <w:r w:rsidR="00BC28E8" w:rsidRPr="00BC28E8">
        <w:rPr>
          <w:lang w:val="fr-CA"/>
        </w:rPr>
        <w:t xml:space="preserve"> et de la perte de jouissance </w:t>
      </w:r>
      <w:r w:rsidR="00BC28E8">
        <w:rPr>
          <w:lang w:val="fr-CA"/>
        </w:rPr>
        <w:t>des vacances du passager, action qui ne respecte pas</w:t>
      </w:r>
      <w:r w:rsidR="00AC484A">
        <w:rPr>
          <w:lang w:val="fr-CA"/>
        </w:rPr>
        <w:t xml:space="preserve"> par ailleurs les </w:t>
      </w:r>
      <w:r w:rsidRPr="00BC28E8">
        <w:rPr>
          <w:lang w:val="fr-CA"/>
        </w:rPr>
        <w:t xml:space="preserve">conditions </w:t>
      </w:r>
      <w:r w:rsidR="00361E7A">
        <w:rPr>
          <w:lang w:val="fr-CA"/>
        </w:rPr>
        <w:t>de l’article</w:t>
      </w:r>
      <w:r w:rsidR="006412AC">
        <w:rPr>
          <w:lang w:val="fr-CA"/>
        </w:rPr>
        <w:t xml:space="preserve"> </w:t>
      </w:r>
      <w:r w:rsidRPr="00BC28E8">
        <w:rPr>
          <w:lang w:val="fr-CA"/>
        </w:rPr>
        <w:t xml:space="preserve">17 </w:t>
      </w:r>
      <w:r w:rsidR="00AC484A">
        <w:rPr>
          <w:lang w:val="fr-CA"/>
        </w:rPr>
        <w:t xml:space="preserve">de la </w:t>
      </w:r>
      <w:r w:rsidRPr="00BC28E8">
        <w:rPr>
          <w:i/>
          <w:lang w:val="fr-CA"/>
        </w:rPr>
        <w:t>Convention</w:t>
      </w:r>
      <w:r w:rsidR="00AC484A">
        <w:rPr>
          <w:i/>
          <w:lang w:val="fr-CA"/>
        </w:rPr>
        <w:t xml:space="preserve"> de Montréal</w:t>
      </w:r>
      <w:r w:rsidRPr="00BC28E8">
        <w:rPr>
          <w:lang w:val="fr-CA"/>
        </w:rPr>
        <w:t xml:space="preserve"> (</w:t>
      </w:r>
      <w:r w:rsidR="00AC484A">
        <w:rPr>
          <w:lang w:val="fr-CA"/>
        </w:rPr>
        <w:t>parce qu’elle ne découle pas de la mort ou d’une lésion corporelle</w:t>
      </w:r>
      <w:r w:rsidRPr="00BC28E8">
        <w:rPr>
          <w:lang w:val="fr-CA"/>
        </w:rPr>
        <w:t>)</w:t>
      </w:r>
      <w:r w:rsidR="00AC484A">
        <w:rPr>
          <w:lang w:val="fr-CA"/>
        </w:rPr>
        <w:t>, serait contraire</w:t>
      </w:r>
      <w:r w:rsidRPr="00BC28E8">
        <w:rPr>
          <w:lang w:val="fr-CA"/>
        </w:rPr>
        <w:t xml:space="preserve"> </w:t>
      </w:r>
      <w:r w:rsidR="00361E7A">
        <w:rPr>
          <w:lang w:val="fr-CA"/>
        </w:rPr>
        <w:t>à l’article</w:t>
      </w:r>
      <w:r w:rsidR="006412AC">
        <w:rPr>
          <w:lang w:val="fr-CA"/>
        </w:rPr>
        <w:t xml:space="preserve"> </w:t>
      </w:r>
      <w:r w:rsidRPr="00BC28E8">
        <w:rPr>
          <w:lang w:val="fr-CA"/>
        </w:rPr>
        <w:t xml:space="preserve">29. </w:t>
      </w:r>
      <w:r w:rsidR="00AC484A" w:rsidRPr="00AC484A">
        <w:rPr>
          <w:lang w:val="fr-CA"/>
        </w:rPr>
        <w:t xml:space="preserve">Autoriser une action </w:t>
      </w:r>
      <w:r w:rsidR="00F41406">
        <w:rPr>
          <w:lang w:val="fr-CA"/>
        </w:rPr>
        <w:t xml:space="preserve">de ce genre </w:t>
      </w:r>
      <w:r w:rsidR="00AC484A" w:rsidRPr="00AC484A">
        <w:rPr>
          <w:lang w:val="fr-CA"/>
        </w:rPr>
        <w:t xml:space="preserve">compromettrait aussi l’un des principaux objectifs de la </w:t>
      </w:r>
      <w:r w:rsidRPr="00AC484A">
        <w:rPr>
          <w:i/>
          <w:lang w:val="fr-CA"/>
        </w:rPr>
        <w:t>Convention</w:t>
      </w:r>
      <w:r w:rsidR="00AC484A" w:rsidRPr="00AC484A">
        <w:rPr>
          <w:i/>
          <w:lang w:val="fr-CA"/>
        </w:rPr>
        <w:t xml:space="preserve"> de Montréal</w:t>
      </w:r>
      <w:r w:rsidRPr="00AC484A">
        <w:rPr>
          <w:lang w:val="fr-CA"/>
        </w:rPr>
        <w:t xml:space="preserve">, </w:t>
      </w:r>
      <w:r w:rsidR="00AC484A" w:rsidRPr="00AC484A">
        <w:rPr>
          <w:lang w:val="fr-CA"/>
        </w:rPr>
        <w:t>qui est d’assurer l’uniformité entre les pays</w:t>
      </w:r>
      <w:r w:rsidR="00AC484A">
        <w:rPr>
          <w:lang w:val="fr-CA"/>
        </w:rPr>
        <w:t xml:space="preserve"> quant a</w:t>
      </w:r>
      <w:r w:rsidR="00E34779">
        <w:rPr>
          <w:lang w:val="fr-CA"/>
        </w:rPr>
        <w:t>ux types de recours en dommages</w:t>
      </w:r>
      <w:r w:rsidR="006412AC">
        <w:rPr>
          <w:lang w:val="fr-CA"/>
        </w:rPr>
        <w:t>-</w:t>
      </w:r>
      <w:r w:rsidR="00AC484A">
        <w:rPr>
          <w:lang w:val="fr-CA"/>
        </w:rPr>
        <w:t xml:space="preserve">intérêts pouvant être exercés contre les transporteurs </w:t>
      </w:r>
      <w:r w:rsidR="00AC484A">
        <w:rPr>
          <w:lang w:val="fr-CA"/>
        </w:rPr>
        <w:lastRenderedPageBreak/>
        <w:t>internationaux pour le</w:t>
      </w:r>
      <w:r w:rsidR="00F41406">
        <w:rPr>
          <w:lang w:val="fr-CA"/>
        </w:rPr>
        <w:t>s</w:t>
      </w:r>
      <w:r w:rsidR="00AC484A">
        <w:rPr>
          <w:lang w:val="fr-CA"/>
        </w:rPr>
        <w:t xml:space="preserve"> dommage</w:t>
      </w:r>
      <w:r w:rsidR="00F41406">
        <w:rPr>
          <w:lang w:val="fr-CA"/>
        </w:rPr>
        <w:t>s</w:t>
      </w:r>
      <w:r w:rsidR="00AC484A">
        <w:rPr>
          <w:lang w:val="fr-CA"/>
        </w:rPr>
        <w:t xml:space="preserve"> subi</w:t>
      </w:r>
      <w:r w:rsidR="00F41406">
        <w:rPr>
          <w:lang w:val="fr-CA"/>
        </w:rPr>
        <w:t>s</w:t>
      </w:r>
      <w:r w:rsidR="00AC484A">
        <w:rPr>
          <w:lang w:val="fr-CA"/>
        </w:rPr>
        <w:t xml:space="preserve"> au cours du transport de passagers, de bagages et de marchandises</w:t>
      </w:r>
      <w:r w:rsidR="00C132C2">
        <w:rPr>
          <w:lang w:val="fr-CA"/>
        </w:rPr>
        <w:t xml:space="preserve">, et aux </w:t>
      </w:r>
      <w:r w:rsidR="00F41406">
        <w:rPr>
          <w:lang w:val="fr-CA"/>
        </w:rPr>
        <w:t>plafonds applicables à ces recours</w:t>
      </w:r>
      <w:r w:rsidR="00AC484A">
        <w:rPr>
          <w:lang w:val="fr-CA"/>
        </w:rPr>
        <w:t xml:space="preserve">. </w:t>
      </w:r>
      <w:r w:rsidR="00AC484A" w:rsidRPr="00AC484A">
        <w:rPr>
          <w:lang w:val="fr-CA"/>
        </w:rPr>
        <w:t>L’a</w:t>
      </w:r>
      <w:r w:rsidRPr="00AC484A">
        <w:rPr>
          <w:lang w:val="fr-CA"/>
        </w:rPr>
        <w:t xml:space="preserve">pplication </w:t>
      </w:r>
      <w:r w:rsidR="00AC484A" w:rsidRPr="00AC484A">
        <w:rPr>
          <w:lang w:val="fr-CA"/>
        </w:rPr>
        <w:t xml:space="preserve">de la </w:t>
      </w:r>
      <w:r w:rsidRPr="00AC484A">
        <w:rPr>
          <w:i/>
          <w:lang w:val="fr-CA"/>
        </w:rPr>
        <w:t>Convention</w:t>
      </w:r>
      <w:r w:rsidR="00AC484A" w:rsidRPr="00AC484A">
        <w:rPr>
          <w:i/>
          <w:lang w:val="fr-CA"/>
        </w:rPr>
        <w:t xml:space="preserve"> de Montréal</w:t>
      </w:r>
      <w:r w:rsidRPr="00AC484A">
        <w:rPr>
          <w:lang w:val="fr-CA"/>
        </w:rPr>
        <w:t xml:space="preserve"> </w:t>
      </w:r>
      <w:r w:rsidR="00AC484A" w:rsidRPr="00AC484A">
        <w:rPr>
          <w:lang w:val="fr-CA"/>
        </w:rPr>
        <w:t>s’attache aux fai</w:t>
      </w:r>
      <w:r w:rsidR="00F41406">
        <w:rPr>
          <w:lang w:val="fr-CA"/>
        </w:rPr>
        <w:t>t</w:t>
      </w:r>
      <w:r w:rsidR="00AC484A" w:rsidRPr="00AC484A">
        <w:rPr>
          <w:lang w:val="fr-CA"/>
        </w:rPr>
        <w:t>s qui entourent la</w:t>
      </w:r>
      <w:r w:rsidR="00AC484A">
        <w:rPr>
          <w:lang w:val="fr-CA"/>
        </w:rPr>
        <w:t xml:space="preserve"> réclamation pécuniaire, non au fondement juri</w:t>
      </w:r>
      <w:r w:rsidR="007A715F">
        <w:rPr>
          <w:lang w:val="fr-CA"/>
        </w:rPr>
        <w:t>di</w:t>
      </w:r>
      <w:r w:rsidR="00AC484A">
        <w:rPr>
          <w:lang w:val="fr-CA"/>
        </w:rPr>
        <w:t xml:space="preserve">que de cette réclamation. </w:t>
      </w:r>
    </w:p>
    <w:p w:rsidR="007B1A55" w:rsidRPr="001E0CB9" w:rsidRDefault="007B1A55" w:rsidP="00A12DCE">
      <w:pPr>
        <w:pStyle w:val="SCCNormalDoubleSpacing"/>
        <w:widowControl w:val="0"/>
        <w:spacing w:before="480" w:after="480"/>
        <w:rPr>
          <w:lang w:val="fr-CA"/>
        </w:rPr>
      </w:pPr>
      <w:r w:rsidRPr="00AC484A">
        <w:rPr>
          <w:lang w:val="fr-CA"/>
        </w:rPr>
        <w:tab/>
      </w:r>
      <w:r w:rsidR="001E0CB9">
        <w:rPr>
          <w:lang w:val="fr-CA"/>
        </w:rPr>
        <w:t>Il faut aussi rejeter l</w:t>
      </w:r>
      <w:r w:rsidR="00AC484A" w:rsidRPr="001E0CB9">
        <w:rPr>
          <w:lang w:val="fr-CA"/>
        </w:rPr>
        <w:t xml:space="preserve">’argument des passagers </w:t>
      </w:r>
      <w:r w:rsidR="00F41406">
        <w:rPr>
          <w:lang w:val="fr-CA"/>
        </w:rPr>
        <w:t>selon lequel</w:t>
      </w:r>
      <w:r w:rsidR="001E0CB9">
        <w:rPr>
          <w:lang w:val="fr-CA"/>
        </w:rPr>
        <w:t xml:space="preserve"> </w:t>
      </w:r>
      <w:r w:rsidR="00AC484A" w:rsidRPr="001E0CB9">
        <w:rPr>
          <w:lang w:val="fr-CA"/>
        </w:rPr>
        <w:t xml:space="preserve">le champ d’application substantiel de la </w:t>
      </w:r>
      <w:r w:rsidRPr="001E0CB9">
        <w:rPr>
          <w:i/>
          <w:lang w:val="fr-CA"/>
        </w:rPr>
        <w:t>Convention</w:t>
      </w:r>
      <w:r w:rsidRPr="001E0CB9">
        <w:rPr>
          <w:lang w:val="fr-CA"/>
        </w:rPr>
        <w:t xml:space="preserve"> </w:t>
      </w:r>
      <w:r w:rsidR="00AC484A" w:rsidRPr="001E0CB9">
        <w:rPr>
          <w:i/>
          <w:lang w:val="fr-CA"/>
        </w:rPr>
        <w:t xml:space="preserve">de Montréal </w:t>
      </w:r>
      <w:r w:rsidR="001E0CB9" w:rsidRPr="001E0CB9">
        <w:rPr>
          <w:lang w:val="fr-CA"/>
        </w:rPr>
        <w:t>n</w:t>
      </w:r>
      <w:r w:rsidR="00C132C2">
        <w:rPr>
          <w:lang w:val="fr-CA"/>
        </w:rPr>
        <w:t>e fa</w:t>
      </w:r>
      <w:r w:rsidR="00F41406">
        <w:rPr>
          <w:lang w:val="fr-CA"/>
        </w:rPr>
        <w:t>it</w:t>
      </w:r>
      <w:r w:rsidR="00C132C2">
        <w:rPr>
          <w:lang w:val="fr-CA"/>
        </w:rPr>
        <w:t xml:space="preserve"> pas obstacle aux </w:t>
      </w:r>
      <w:r w:rsidR="00E34779">
        <w:rPr>
          <w:lang w:val="fr-CA"/>
        </w:rPr>
        <w:t xml:space="preserve"> </w:t>
      </w:r>
      <w:r w:rsidR="00F41406">
        <w:rPr>
          <w:lang w:val="fr-CA"/>
        </w:rPr>
        <w:t>r</w:t>
      </w:r>
      <w:r w:rsidR="00E34779">
        <w:rPr>
          <w:lang w:val="fr-CA"/>
        </w:rPr>
        <w:t xml:space="preserve">ecours </w:t>
      </w:r>
      <w:r w:rsidR="00404E46">
        <w:rPr>
          <w:lang w:val="fr-CA"/>
        </w:rPr>
        <w:t>en dommages</w:t>
      </w:r>
      <w:r w:rsidR="006412AC">
        <w:rPr>
          <w:lang w:val="fr-CA"/>
        </w:rPr>
        <w:t>-</w:t>
      </w:r>
      <w:r w:rsidR="00404E46">
        <w:rPr>
          <w:lang w:val="fr-CA"/>
        </w:rPr>
        <w:t xml:space="preserve">intérêts </w:t>
      </w:r>
      <w:r w:rsidR="00E34779">
        <w:rPr>
          <w:lang w:val="fr-CA"/>
        </w:rPr>
        <w:t xml:space="preserve">pour </w:t>
      </w:r>
      <w:r w:rsidR="006412AC">
        <w:rPr>
          <w:lang w:val="fr-CA"/>
        </w:rPr>
        <w:t>« </w:t>
      </w:r>
      <w:r w:rsidR="001E0CB9">
        <w:rPr>
          <w:lang w:val="fr-CA"/>
        </w:rPr>
        <w:t xml:space="preserve">préjudices </w:t>
      </w:r>
      <w:r w:rsidR="00F41406">
        <w:rPr>
          <w:lang w:val="fr-CA"/>
        </w:rPr>
        <w:t xml:space="preserve">appelant des réparations </w:t>
      </w:r>
      <w:r w:rsidR="001E0CB9">
        <w:rPr>
          <w:lang w:val="fr-CA"/>
        </w:rPr>
        <w:t>standardisé</w:t>
      </w:r>
      <w:r w:rsidR="00F41406">
        <w:rPr>
          <w:lang w:val="fr-CA"/>
        </w:rPr>
        <w:t>e</w:t>
      </w:r>
      <w:r w:rsidR="001E0CB9">
        <w:rPr>
          <w:lang w:val="fr-CA"/>
        </w:rPr>
        <w:t>s</w:t>
      </w:r>
      <w:r w:rsidR="006412AC">
        <w:rPr>
          <w:lang w:val="fr-CA"/>
        </w:rPr>
        <w:t> »</w:t>
      </w:r>
      <w:r w:rsidR="00404E46">
        <w:rPr>
          <w:lang w:val="fr-CA"/>
        </w:rPr>
        <w:t>,</w:t>
      </w:r>
      <w:r w:rsidR="001E0CB9">
        <w:rPr>
          <w:lang w:val="fr-CA"/>
        </w:rPr>
        <w:t xml:space="preserve"> et leurs demandes so</w:t>
      </w:r>
      <w:r w:rsidR="00F41406">
        <w:rPr>
          <w:lang w:val="fr-CA"/>
        </w:rPr>
        <w:t>n</w:t>
      </w:r>
      <w:r w:rsidR="001E0CB9">
        <w:rPr>
          <w:lang w:val="fr-CA"/>
        </w:rPr>
        <w:t xml:space="preserve">t de cette nature. Même si notre Cour </w:t>
      </w:r>
      <w:r w:rsidR="00F41406">
        <w:rPr>
          <w:lang w:val="fr-CA"/>
        </w:rPr>
        <w:t xml:space="preserve">adoptait </w:t>
      </w:r>
      <w:r w:rsidR="001E0CB9">
        <w:rPr>
          <w:lang w:val="fr-CA"/>
        </w:rPr>
        <w:t>la distinction établie par la Cour européenne de justice dans sa jurisprudence ent</w:t>
      </w:r>
      <w:r w:rsidR="00E34779">
        <w:rPr>
          <w:lang w:val="fr-CA"/>
        </w:rPr>
        <w:t xml:space="preserve">re les </w:t>
      </w:r>
      <w:r w:rsidR="006412AC">
        <w:rPr>
          <w:lang w:val="fr-CA"/>
        </w:rPr>
        <w:t>« </w:t>
      </w:r>
      <w:r w:rsidR="00E34779">
        <w:rPr>
          <w:lang w:val="fr-CA"/>
        </w:rPr>
        <w:t>préjudices individuels</w:t>
      </w:r>
      <w:r w:rsidR="006412AC">
        <w:rPr>
          <w:lang w:val="fr-CA"/>
        </w:rPr>
        <w:t> »</w:t>
      </w:r>
      <w:r w:rsidR="00E34779">
        <w:rPr>
          <w:lang w:val="fr-CA"/>
        </w:rPr>
        <w:t xml:space="preserve"> et les </w:t>
      </w:r>
      <w:r w:rsidR="006412AC">
        <w:rPr>
          <w:lang w:val="fr-CA"/>
        </w:rPr>
        <w:t>« </w:t>
      </w:r>
      <w:r w:rsidR="00E34779">
        <w:rPr>
          <w:lang w:val="fr-CA"/>
        </w:rPr>
        <w:t xml:space="preserve">préjudices </w:t>
      </w:r>
      <w:r w:rsidR="00F41406">
        <w:rPr>
          <w:lang w:val="fr-CA"/>
        </w:rPr>
        <w:t xml:space="preserve">appelant des réparations </w:t>
      </w:r>
      <w:r w:rsidR="00E34779">
        <w:rPr>
          <w:lang w:val="fr-CA"/>
        </w:rPr>
        <w:t>standardisé</w:t>
      </w:r>
      <w:r w:rsidR="00F41406">
        <w:rPr>
          <w:lang w:val="fr-CA"/>
        </w:rPr>
        <w:t>e</w:t>
      </w:r>
      <w:r w:rsidR="00E34779">
        <w:rPr>
          <w:lang w:val="fr-CA"/>
        </w:rPr>
        <w:t>s</w:t>
      </w:r>
      <w:r w:rsidR="006412AC">
        <w:rPr>
          <w:lang w:val="fr-CA"/>
        </w:rPr>
        <w:t> »</w:t>
      </w:r>
      <w:r w:rsidR="00E34779">
        <w:rPr>
          <w:lang w:val="fr-CA"/>
        </w:rPr>
        <w:t>, les dommages</w:t>
      </w:r>
      <w:r w:rsidR="006412AC">
        <w:rPr>
          <w:lang w:val="fr-CA"/>
        </w:rPr>
        <w:t>-</w:t>
      </w:r>
      <w:r w:rsidR="001E0CB9">
        <w:rPr>
          <w:lang w:val="fr-CA"/>
        </w:rPr>
        <w:t>intérêts réclamés par les passagers en l’espèce l’étaient à titre individuel, car ils étaient fonction du préjudice causé aux pas</w:t>
      </w:r>
      <w:r w:rsidRPr="001E0CB9">
        <w:rPr>
          <w:lang w:val="fr-CA"/>
        </w:rPr>
        <w:t>s</w:t>
      </w:r>
      <w:r w:rsidR="001E0CB9">
        <w:rPr>
          <w:lang w:val="fr-CA"/>
        </w:rPr>
        <w:t xml:space="preserve">agers par les manquements </w:t>
      </w:r>
      <w:r w:rsidR="00230520">
        <w:rPr>
          <w:lang w:val="fr-CA"/>
        </w:rPr>
        <w:t>particulier</w:t>
      </w:r>
      <w:r w:rsidR="00FE71AF">
        <w:rPr>
          <w:lang w:val="fr-CA"/>
        </w:rPr>
        <w:t>s</w:t>
      </w:r>
      <w:r w:rsidR="00F41406">
        <w:rPr>
          <w:lang w:val="fr-CA"/>
        </w:rPr>
        <w:t xml:space="preserve"> </w:t>
      </w:r>
      <w:r w:rsidR="001E0CB9">
        <w:rPr>
          <w:lang w:val="fr-CA"/>
        </w:rPr>
        <w:t xml:space="preserve">en cause. </w:t>
      </w:r>
    </w:p>
    <w:p w:rsidR="007B1A55" w:rsidRPr="00567627" w:rsidRDefault="007B1A55" w:rsidP="00A12DCE">
      <w:pPr>
        <w:pStyle w:val="SCCNormalDoubleSpacing"/>
        <w:widowControl w:val="0"/>
        <w:spacing w:before="480" w:after="480"/>
        <w:rPr>
          <w:lang w:val="fr-CA"/>
        </w:rPr>
      </w:pPr>
      <w:r w:rsidRPr="001E0CB9">
        <w:rPr>
          <w:lang w:val="fr-CA"/>
        </w:rPr>
        <w:tab/>
      </w:r>
      <w:r w:rsidR="001B4055">
        <w:rPr>
          <w:lang w:val="fr-CA"/>
        </w:rPr>
        <w:t>N’est pas fondé l</w:t>
      </w:r>
      <w:r w:rsidR="001E0CB9" w:rsidRPr="00E94212">
        <w:rPr>
          <w:lang w:val="fr-CA"/>
        </w:rPr>
        <w:t>’argument des passagers voulant que, même</w:t>
      </w:r>
      <w:r w:rsidR="00E94212" w:rsidRPr="00E94212">
        <w:rPr>
          <w:lang w:val="fr-CA"/>
        </w:rPr>
        <w:t xml:space="preserve"> si leurs demandes rel</w:t>
      </w:r>
      <w:r w:rsidR="00E94212">
        <w:rPr>
          <w:lang w:val="fr-CA"/>
        </w:rPr>
        <w:t>è</w:t>
      </w:r>
      <w:r w:rsidR="00E94212" w:rsidRPr="00E94212">
        <w:rPr>
          <w:lang w:val="fr-CA"/>
        </w:rPr>
        <w:t>v</w:t>
      </w:r>
      <w:r w:rsidR="00E94212">
        <w:rPr>
          <w:lang w:val="fr-CA"/>
        </w:rPr>
        <w:t>e</w:t>
      </w:r>
      <w:r w:rsidR="00E94212" w:rsidRPr="00E94212">
        <w:rPr>
          <w:lang w:val="fr-CA"/>
        </w:rPr>
        <w:t xml:space="preserve">nt du champ d’application substantiel de la </w:t>
      </w:r>
      <w:r w:rsidRPr="00E94212">
        <w:rPr>
          <w:i/>
          <w:lang w:val="fr-CA"/>
        </w:rPr>
        <w:t>Convention</w:t>
      </w:r>
      <w:r w:rsidR="00E94212" w:rsidRPr="00E94212">
        <w:rPr>
          <w:i/>
          <w:lang w:val="fr-CA"/>
        </w:rPr>
        <w:t xml:space="preserve"> de Montréal</w:t>
      </w:r>
      <w:r w:rsidRPr="00E94212">
        <w:rPr>
          <w:lang w:val="fr-CA"/>
        </w:rPr>
        <w:t xml:space="preserve">, </w:t>
      </w:r>
      <w:r w:rsidR="00E94212" w:rsidRPr="00E94212">
        <w:rPr>
          <w:lang w:val="fr-CA"/>
        </w:rPr>
        <w:t xml:space="preserve">elles </w:t>
      </w:r>
      <w:r w:rsidR="00E94212">
        <w:rPr>
          <w:lang w:val="fr-CA"/>
        </w:rPr>
        <w:t>dépassent son champ d’application temporel pour ce qui est des cas de préjudice personnel</w:t>
      </w:r>
      <w:r w:rsidR="00510FE9">
        <w:rPr>
          <w:lang w:val="fr-CA"/>
        </w:rPr>
        <w:t>,</w:t>
      </w:r>
      <w:r w:rsidR="00E94212">
        <w:rPr>
          <w:lang w:val="fr-CA"/>
        </w:rPr>
        <w:t xml:space="preserve"> parce que l’affectation</w:t>
      </w:r>
      <w:r w:rsidR="005752ED">
        <w:rPr>
          <w:lang w:val="fr-CA"/>
        </w:rPr>
        <w:t xml:space="preserve"> d’agents de bord </w:t>
      </w:r>
      <w:r w:rsidR="000174E1">
        <w:rPr>
          <w:lang w:val="fr-CA"/>
        </w:rPr>
        <w:t xml:space="preserve">non bilingues à bord des vols en cause </w:t>
      </w:r>
      <w:r w:rsidR="001B4055">
        <w:rPr>
          <w:lang w:val="fr-CA"/>
        </w:rPr>
        <w:t>était une décision prise bien avant la procédure d’embarquement</w:t>
      </w:r>
      <w:r w:rsidRPr="00E94212">
        <w:rPr>
          <w:lang w:val="fr-CA"/>
        </w:rPr>
        <w:t xml:space="preserve">. </w:t>
      </w:r>
      <w:r w:rsidR="00E70048" w:rsidRPr="00E70048">
        <w:rPr>
          <w:lang w:val="fr-CA"/>
        </w:rPr>
        <w:t>La situation des passagers relevait clairement du champ d’application tempore</w:t>
      </w:r>
      <w:r w:rsidRPr="00E70048">
        <w:rPr>
          <w:lang w:val="fr-CA"/>
        </w:rPr>
        <w:t xml:space="preserve">l </w:t>
      </w:r>
      <w:r w:rsidR="00E70048" w:rsidRPr="00E70048">
        <w:rPr>
          <w:lang w:val="fr-CA"/>
        </w:rPr>
        <w:t>d</w:t>
      </w:r>
      <w:r w:rsidR="00E70048">
        <w:rPr>
          <w:lang w:val="fr-CA"/>
        </w:rPr>
        <w:t xml:space="preserve">e la </w:t>
      </w:r>
      <w:r w:rsidRPr="00E70048">
        <w:rPr>
          <w:i/>
          <w:lang w:val="fr-CA"/>
        </w:rPr>
        <w:t>Convention</w:t>
      </w:r>
      <w:r w:rsidR="00E70048">
        <w:rPr>
          <w:i/>
          <w:lang w:val="fr-CA"/>
        </w:rPr>
        <w:t xml:space="preserve"> de Montréal</w:t>
      </w:r>
      <w:r w:rsidRPr="00E70048">
        <w:rPr>
          <w:lang w:val="fr-CA"/>
        </w:rPr>
        <w:t xml:space="preserve"> </w:t>
      </w:r>
      <w:r w:rsidR="00E70048">
        <w:rPr>
          <w:lang w:val="fr-CA"/>
        </w:rPr>
        <w:t>lorsqu’on a porté atteinte à leurs droits linguistiques</w:t>
      </w:r>
      <w:r w:rsidRPr="00E70048">
        <w:rPr>
          <w:lang w:val="fr-CA"/>
        </w:rPr>
        <w:t xml:space="preserve">. </w:t>
      </w:r>
      <w:r w:rsidR="00E70048" w:rsidRPr="00E70048">
        <w:rPr>
          <w:lang w:val="fr-CA"/>
        </w:rPr>
        <w:t xml:space="preserve">Les tribunaux doivent appliquer le principe de l’exclusivité en fonction de l’endroit où se </w:t>
      </w:r>
      <w:r w:rsidR="00E70048">
        <w:rPr>
          <w:lang w:val="fr-CA"/>
        </w:rPr>
        <w:t>trouvait le passager</w:t>
      </w:r>
      <w:r w:rsidR="00877322">
        <w:rPr>
          <w:lang w:val="fr-CA"/>
        </w:rPr>
        <w:t xml:space="preserve">, ou de ce qu’il faisait, au moment de l’accident ou de l’événement ayant </w:t>
      </w:r>
      <w:r w:rsidR="00877322">
        <w:rPr>
          <w:lang w:val="fr-CA"/>
        </w:rPr>
        <w:lastRenderedPageBreak/>
        <w:t>causé directement le préjudice ouvrant droit au recours, et non en fonction d’un</w:t>
      </w:r>
      <w:r w:rsidR="00361E7A">
        <w:rPr>
          <w:lang w:val="fr-CA"/>
        </w:rPr>
        <w:t xml:space="preserve">e quelconque faute antérieure. </w:t>
      </w:r>
    </w:p>
    <w:p w:rsidR="007B1A55" w:rsidRPr="002A1E81" w:rsidRDefault="007B1A55" w:rsidP="00A12DCE">
      <w:pPr>
        <w:pStyle w:val="SCCNormalDoubleSpacing"/>
        <w:widowControl w:val="0"/>
        <w:spacing w:before="480" w:after="480"/>
        <w:rPr>
          <w:lang w:val="fr-CA"/>
        </w:rPr>
      </w:pPr>
      <w:r w:rsidRPr="00567627">
        <w:rPr>
          <w:lang w:val="fr-CA"/>
        </w:rPr>
        <w:tab/>
      </w:r>
      <w:r w:rsidR="003734FD" w:rsidRPr="00A9442B">
        <w:rPr>
          <w:lang w:val="fr-CA"/>
        </w:rPr>
        <w:t xml:space="preserve">Suivant une interprétation correcte de la </w:t>
      </w:r>
      <w:r w:rsidR="003734FD" w:rsidRPr="00A9442B">
        <w:rPr>
          <w:i/>
          <w:lang w:val="fr-CA"/>
        </w:rPr>
        <w:t>LLO</w:t>
      </w:r>
      <w:r w:rsidR="003734FD" w:rsidRPr="00A9442B">
        <w:rPr>
          <w:lang w:val="fr-CA"/>
        </w:rPr>
        <w:t xml:space="preserve"> et de la </w:t>
      </w:r>
      <w:r w:rsidR="003734FD" w:rsidRPr="00A9442B">
        <w:rPr>
          <w:i/>
          <w:lang w:val="fr-CA"/>
        </w:rPr>
        <w:t>Convention de</w:t>
      </w:r>
      <w:r w:rsidR="003734FD" w:rsidRPr="00A9442B">
        <w:rPr>
          <w:lang w:val="fr-CA"/>
        </w:rPr>
        <w:t xml:space="preserve"> </w:t>
      </w:r>
      <w:r w:rsidR="003734FD" w:rsidRPr="00A9442B">
        <w:rPr>
          <w:i/>
          <w:lang w:val="fr-CA"/>
        </w:rPr>
        <w:t>Montréal</w:t>
      </w:r>
      <w:r w:rsidR="003734FD" w:rsidRPr="00A9442B">
        <w:rPr>
          <w:lang w:val="fr-CA"/>
        </w:rPr>
        <w:t xml:space="preserve">, aucun conflit n’oppose les pouvoirs de réparation généraux conférés par la </w:t>
      </w:r>
      <w:r w:rsidR="003734FD" w:rsidRPr="00A9442B">
        <w:rPr>
          <w:i/>
          <w:lang w:val="fr-CA"/>
        </w:rPr>
        <w:t>LLO</w:t>
      </w:r>
      <w:r w:rsidR="003734FD" w:rsidRPr="00A9442B">
        <w:rPr>
          <w:lang w:val="fr-CA"/>
        </w:rPr>
        <w:t xml:space="preserve"> et l’exclusion du recours en dommages-intérêts par la </w:t>
      </w:r>
      <w:r w:rsidRPr="00A9442B">
        <w:rPr>
          <w:i/>
          <w:lang w:val="fr-CA"/>
        </w:rPr>
        <w:t>Convention</w:t>
      </w:r>
      <w:r w:rsidR="00A9442B">
        <w:rPr>
          <w:i/>
          <w:lang w:val="fr-CA"/>
        </w:rPr>
        <w:t xml:space="preserve"> de Montréal</w:t>
      </w:r>
      <w:r w:rsidR="00A9442B">
        <w:rPr>
          <w:lang w:val="fr-CA"/>
        </w:rPr>
        <w:t xml:space="preserve">, et il n’est donc pas nécessaire de déterminer lequel de ces textes prévaudrait dans le cas contraire. </w:t>
      </w:r>
      <w:r w:rsidR="00A9442B" w:rsidRPr="00B90EF5">
        <w:rPr>
          <w:lang w:val="fr-CA"/>
        </w:rPr>
        <w:t xml:space="preserve">Les tribunaux présument que les lois adoptées par le législateur </w:t>
      </w:r>
      <w:r w:rsidR="00B90EF5" w:rsidRPr="00B90EF5">
        <w:rPr>
          <w:lang w:val="fr-CA"/>
        </w:rPr>
        <w:t>n</w:t>
      </w:r>
      <w:r w:rsidR="00B90EF5">
        <w:rPr>
          <w:lang w:val="fr-CA"/>
        </w:rPr>
        <w:t xml:space="preserve">e contiennent ni contradiction ni incohérence, et ils ne concluent à l’existence de l’une ou l’autre que si les dispositions sont à ce point incompatibles qu’elles ne peuvent coexister. </w:t>
      </w:r>
      <w:r w:rsidR="00B90EF5" w:rsidRPr="00B90EF5">
        <w:rPr>
          <w:lang w:val="fr-CA"/>
        </w:rPr>
        <w:t>Même lorsque les dispositions se chevauchent, en ce sens où elles traitent des aspects d’une même matière,  elles sont inte</w:t>
      </w:r>
      <w:r w:rsidR="00B90EF5">
        <w:rPr>
          <w:lang w:val="fr-CA"/>
        </w:rPr>
        <w:t xml:space="preserve">rprétées de façon à éviter les conflits chaque fois que cela est possible. </w:t>
      </w:r>
      <w:r w:rsidR="00B90EF5" w:rsidRPr="00B90EF5">
        <w:rPr>
          <w:lang w:val="fr-CA"/>
        </w:rPr>
        <w:t>Les dispositions en cause ici se chevauchent, mais ne s</w:t>
      </w:r>
      <w:r w:rsidR="00B90EF5">
        <w:rPr>
          <w:lang w:val="fr-CA"/>
        </w:rPr>
        <w:t xml:space="preserve">ont pas en conflit. Elles ont des objets sensiblement différents et </w:t>
      </w:r>
      <w:r w:rsidR="006B7DEE">
        <w:rPr>
          <w:lang w:val="fr-CA"/>
        </w:rPr>
        <w:t xml:space="preserve">traitent de matières distinctes. </w:t>
      </w:r>
      <w:r w:rsidR="009F0EA4" w:rsidRPr="00862A8A">
        <w:rPr>
          <w:lang w:val="fr-CA"/>
        </w:rPr>
        <w:t xml:space="preserve">Les dispositions réparatrices de la </w:t>
      </w:r>
      <w:r w:rsidR="009F0EA4" w:rsidRPr="00862A8A">
        <w:rPr>
          <w:i/>
          <w:lang w:val="fr-CA"/>
        </w:rPr>
        <w:t xml:space="preserve">LLO </w:t>
      </w:r>
      <w:r w:rsidR="00862A8A" w:rsidRPr="00862A8A">
        <w:rPr>
          <w:lang w:val="fr-CA"/>
        </w:rPr>
        <w:t xml:space="preserve">s’inscrivent dans un régime général d’obligations et de mécanismes </w:t>
      </w:r>
      <w:r w:rsidR="00862A8A">
        <w:rPr>
          <w:lang w:val="fr-CA"/>
        </w:rPr>
        <w:t xml:space="preserve">visant à préserver et à renforcer l’épanouissement des langues officielles au sein de nos institutions </w:t>
      </w:r>
      <w:r w:rsidRPr="00862A8A">
        <w:rPr>
          <w:lang w:val="fr-CA"/>
        </w:rPr>
        <w:t>f</w:t>
      </w:r>
      <w:r w:rsidR="00862A8A">
        <w:rPr>
          <w:lang w:val="fr-CA"/>
        </w:rPr>
        <w:t>é</w:t>
      </w:r>
      <w:r w:rsidRPr="00862A8A">
        <w:rPr>
          <w:lang w:val="fr-CA"/>
        </w:rPr>
        <w:t>d</w:t>
      </w:r>
      <w:r w:rsidR="00862A8A">
        <w:rPr>
          <w:lang w:val="fr-CA"/>
        </w:rPr>
        <w:t>é</w:t>
      </w:r>
      <w:r w:rsidRPr="00862A8A">
        <w:rPr>
          <w:lang w:val="fr-CA"/>
        </w:rPr>
        <w:t>ral</w:t>
      </w:r>
      <w:r w:rsidR="00862A8A">
        <w:rPr>
          <w:lang w:val="fr-CA"/>
        </w:rPr>
        <w:t>es</w:t>
      </w:r>
      <w:r w:rsidRPr="00862A8A">
        <w:rPr>
          <w:lang w:val="fr-CA"/>
        </w:rPr>
        <w:t xml:space="preserve">. </w:t>
      </w:r>
      <w:r w:rsidR="008414A6" w:rsidRPr="008414A6">
        <w:rPr>
          <w:lang w:val="fr-CA"/>
        </w:rPr>
        <w:t xml:space="preserve">La </w:t>
      </w:r>
      <w:r w:rsidRPr="008414A6">
        <w:rPr>
          <w:i/>
          <w:lang w:val="fr-CA"/>
        </w:rPr>
        <w:t>Convention</w:t>
      </w:r>
      <w:r w:rsidR="008414A6" w:rsidRPr="008414A6">
        <w:rPr>
          <w:i/>
          <w:lang w:val="fr-CA"/>
        </w:rPr>
        <w:t xml:space="preserve"> de Montréal</w:t>
      </w:r>
      <w:r w:rsidRPr="008414A6">
        <w:rPr>
          <w:lang w:val="fr-CA"/>
        </w:rPr>
        <w:t xml:space="preserve">, </w:t>
      </w:r>
      <w:r w:rsidR="008414A6" w:rsidRPr="008414A6">
        <w:rPr>
          <w:lang w:val="fr-CA"/>
        </w:rPr>
        <w:t>e</w:t>
      </w:r>
      <w:r w:rsidRPr="008414A6">
        <w:rPr>
          <w:lang w:val="fr-CA"/>
        </w:rPr>
        <w:t xml:space="preserve">n </w:t>
      </w:r>
      <w:r w:rsidR="008414A6" w:rsidRPr="008414A6">
        <w:rPr>
          <w:lang w:val="fr-CA"/>
        </w:rPr>
        <w:t>revanche, fait partie d’un régime uniforme et exclusi</w:t>
      </w:r>
      <w:r w:rsidR="008414A6">
        <w:rPr>
          <w:lang w:val="fr-CA"/>
        </w:rPr>
        <w:t>f</w:t>
      </w:r>
      <w:r w:rsidR="008414A6" w:rsidRPr="008414A6">
        <w:rPr>
          <w:lang w:val="fr-CA"/>
        </w:rPr>
        <w:t>, reconnu internationalement,</w:t>
      </w:r>
      <w:r w:rsidR="008414A6">
        <w:rPr>
          <w:lang w:val="fr-CA"/>
        </w:rPr>
        <w:t xml:space="preserve"> qui vise à e</w:t>
      </w:r>
      <w:r w:rsidR="00E34779">
        <w:rPr>
          <w:lang w:val="fr-CA"/>
        </w:rPr>
        <w:t>ncadrer les recours en dommages</w:t>
      </w:r>
      <w:r w:rsidR="006412AC">
        <w:rPr>
          <w:lang w:val="fr-CA"/>
        </w:rPr>
        <w:t>-</w:t>
      </w:r>
      <w:r w:rsidR="008414A6">
        <w:rPr>
          <w:lang w:val="fr-CA"/>
        </w:rPr>
        <w:t xml:space="preserve">intérêts dans le domaine du transport aérien international. </w:t>
      </w:r>
      <w:r w:rsidR="008414A6" w:rsidRPr="008414A6">
        <w:rPr>
          <w:lang w:val="fr-CA"/>
        </w:rPr>
        <w:t xml:space="preserve">Les dispositions réparatrices de la </w:t>
      </w:r>
      <w:r w:rsidR="008414A6" w:rsidRPr="008414A6">
        <w:rPr>
          <w:i/>
          <w:lang w:val="fr-CA"/>
        </w:rPr>
        <w:t>LLO</w:t>
      </w:r>
      <w:r w:rsidR="008414A6" w:rsidRPr="008414A6">
        <w:rPr>
          <w:lang w:val="fr-CA"/>
        </w:rPr>
        <w:t xml:space="preserve"> ne peuvent être considérées comme un code exhaustif qui impose l’octroi de d</w:t>
      </w:r>
      <w:r w:rsidR="008414A6">
        <w:rPr>
          <w:lang w:val="fr-CA"/>
        </w:rPr>
        <w:t xml:space="preserve">ommages-intérêts dans toutes les circonstances et sans égard aux autres lois applicables. </w:t>
      </w:r>
      <w:r w:rsidR="008414A6" w:rsidRPr="008414A6">
        <w:rPr>
          <w:lang w:val="fr-CA"/>
        </w:rPr>
        <w:t xml:space="preserve">La </w:t>
      </w:r>
      <w:r w:rsidR="008414A6" w:rsidRPr="008414A6">
        <w:rPr>
          <w:i/>
          <w:lang w:val="fr-CA"/>
        </w:rPr>
        <w:t xml:space="preserve">LLO </w:t>
      </w:r>
      <w:r w:rsidR="00E34779">
        <w:rPr>
          <w:lang w:val="fr-CA"/>
        </w:rPr>
        <w:t>ne dispose pas que des dommages</w:t>
      </w:r>
      <w:r w:rsidR="006412AC">
        <w:rPr>
          <w:lang w:val="fr-CA"/>
        </w:rPr>
        <w:t>-</w:t>
      </w:r>
      <w:r w:rsidR="008414A6" w:rsidRPr="008414A6">
        <w:rPr>
          <w:lang w:val="fr-CA"/>
        </w:rPr>
        <w:t>intérêts doivent être octroyés dans tous</w:t>
      </w:r>
      <w:r w:rsidR="008414A6">
        <w:rPr>
          <w:lang w:val="fr-CA"/>
        </w:rPr>
        <w:t xml:space="preserve"> les cas; elle ne fait qu’autoriser les tribunaux à accorder une réparation </w:t>
      </w:r>
      <w:r w:rsidR="006412AC">
        <w:rPr>
          <w:lang w:val="fr-CA"/>
        </w:rPr>
        <w:lastRenderedPageBreak/>
        <w:t>« </w:t>
      </w:r>
      <w:r w:rsidR="008414A6">
        <w:rPr>
          <w:lang w:val="fr-CA"/>
        </w:rPr>
        <w:t>convenable et juste</w:t>
      </w:r>
      <w:r w:rsidR="006412AC">
        <w:rPr>
          <w:lang w:val="fr-CA"/>
        </w:rPr>
        <w:t> »</w:t>
      </w:r>
      <w:r w:rsidRPr="008414A6">
        <w:rPr>
          <w:lang w:val="fr-CA"/>
        </w:rPr>
        <w:t xml:space="preserve">. </w:t>
      </w:r>
      <w:r w:rsidR="008414A6" w:rsidRPr="002A1E81">
        <w:rPr>
          <w:lang w:val="fr-CA"/>
        </w:rPr>
        <w:t xml:space="preserve">Il est facile de concilier le pouvoir d’accorder une réparation </w:t>
      </w:r>
      <w:r w:rsidR="006412AC">
        <w:rPr>
          <w:lang w:val="fr-CA"/>
        </w:rPr>
        <w:t>« </w:t>
      </w:r>
      <w:r w:rsidR="008414A6" w:rsidRPr="002A1E81">
        <w:rPr>
          <w:lang w:val="fr-CA"/>
        </w:rPr>
        <w:t>convenable et juste</w:t>
      </w:r>
      <w:r w:rsidR="006412AC">
        <w:rPr>
          <w:lang w:val="fr-CA"/>
        </w:rPr>
        <w:t> »</w:t>
      </w:r>
      <w:r w:rsidR="008414A6" w:rsidRPr="002A1E81">
        <w:rPr>
          <w:lang w:val="fr-CA"/>
        </w:rPr>
        <w:t xml:space="preserve"> </w:t>
      </w:r>
      <w:r w:rsidR="002A1E81" w:rsidRPr="002A1E81">
        <w:rPr>
          <w:lang w:val="fr-CA"/>
        </w:rPr>
        <w:t>a</w:t>
      </w:r>
      <w:r w:rsidR="002A1E81">
        <w:rPr>
          <w:lang w:val="fr-CA"/>
        </w:rPr>
        <w:t>vec l’exclusion e</w:t>
      </w:r>
      <w:r w:rsidR="00E34779">
        <w:rPr>
          <w:lang w:val="fr-CA"/>
        </w:rPr>
        <w:t>xpresse et limitée des dommages</w:t>
      </w:r>
      <w:r w:rsidR="006412AC">
        <w:rPr>
          <w:lang w:val="fr-CA"/>
        </w:rPr>
        <w:t>-</w:t>
      </w:r>
      <w:r w:rsidR="002A1E81">
        <w:rPr>
          <w:lang w:val="fr-CA"/>
        </w:rPr>
        <w:t xml:space="preserve">intérêts dans le contexte du transport aérien international. </w:t>
      </w:r>
      <w:r w:rsidR="002A1E81" w:rsidRPr="002A1E81">
        <w:rPr>
          <w:lang w:val="fr-CA"/>
        </w:rPr>
        <w:t xml:space="preserve">Une réparation n’est pas </w:t>
      </w:r>
      <w:r w:rsidR="006412AC">
        <w:rPr>
          <w:lang w:val="fr-CA"/>
        </w:rPr>
        <w:t>« </w:t>
      </w:r>
      <w:r w:rsidR="002A1E81" w:rsidRPr="002A1E81">
        <w:rPr>
          <w:lang w:val="fr-CA"/>
        </w:rPr>
        <w:t>convenable et juste</w:t>
      </w:r>
      <w:r w:rsidR="006412AC">
        <w:rPr>
          <w:lang w:val="fr-CA"/>
        </w:rPr>
        <w:t> »</w:t>
      </w:r>
      <w:r w:rsidR="002A1E81" w:rsidRPr="002A1E81">
        <w:rPr>
          <w:lang w:val="fr-CA"/>
        </w:rPr>
        <w:t xml:space="preserve"> si son octroi contrevient aux obligations internationales qu’impose au Canada la </w:t>
      </w:r>
      <w:r w:rsidRPr="002A1E81">
        <w:rPr>
          <w:i/>
          <w:lang w:val="fr-CA"/>
        </w:rPr>
        <w:t>Convention</w:t>
      </w:r>
      <w:r w:rsidR="002A1E81" w:rsidRPr="002A1E81">
        <w:rPr>
          <w:i/>
          <w:lang w:val="fr-CA"/>
        </w:rPr>
        <w:t xml:space="preserve"> de Mon</w:t>
      </w:r>
      <w:r w:rsidR="002A1E81">
        <w:rPr>
          <w:i/>
          <w:lang w:val="fr-CA"/>
        </w:rPr>
        <w:t>tréal</w:t>
      </w:r>
      <w:r w:rsidRPr="002A1E81">
        <w:rPr>
          <w:lang w:val="fr-CA"/>
        </w:rPr>
        <w:t xml:space="preserve">. </w:t>
      </w:r>
      <w:r w:rsidR="002A1E81" w:rsidRPr="002A1E81">
        <w:rPr>
          <w:lang w:val="fr-CA"/>
        </w:rPr>
        <w:t xml:space="preserve">Par conséquent, au moment de concevoir une réparation convenable et juste au sens de la </w:t>
      </w:r>
      <w:r w:rsidR="002A1E81" w:rsidRPr="002A1E81">
        <w:rPr>
          <w:i/>
          <w:lang w:val="fr-CA"/>
        </w:rPr>
        <w:t>LLO</w:t>
      </w:r>
      <w:r w:rsidR="002A1E81" w:rsidRPr="002A1E81">
        <w:rPr>
          <w:lang w:val="fr-CA"/>
        </w:rPr>
        <w:t xml:space="preserve"> dans une affaire de </w:t>
      </w:r>
      <w:r w:rsidR="002A1E81">
        <w:rPr>
          <w:lang w:val="fr-CA"/>
        </w:rPr>
        <w:t>transport aérien international, la Cour fédérale doit a</w:t>
      </w:r>
      <w:r w:rsidR="00E34779">
        <w:rPr>
          <w:lang w:val="fr-CA"/>
        </w:rPr>
        <w:t xml:space="preserve">ppliquer la limite </w:t>
      </w:r>
      <w:r w:rsidR="00510FE9">
        <w:rPr>
          <w:lang w:val="fr-CA"/>
        </w:rPr>
        <w:t>relative aux</w:t>
      </w:r>
      <w:r w:rsidR="00E34779">
        <w:rPr>
          <w:lang w:val="fr-CA"/>
        </w:rPr>
        <w:t xml:space="preserve"> dommages</w:t>
      </w:r>
      <w:r w:rsidR="006412AC">
        <w:rPr>
          <w:lang w:val="fr-CA"/>
        </w:rPr>
        <w:t>-</w:t>
      </w:r>
      <w:r w:rsidR="002A1E81">
        <w:rPr>
          <w:lang w:val="fr-CA"/>
        </w:rPr>
        <w:t xml:space="preserve">intérêts </w:t>
      </w:r>
      <w:r w:rsidR="0082131E">
        <w:rPr>
          <w:lang w:val="fr-CA"/>
        </w:rPr>
        <w:t xml:space="preserve">prévue </w:t>
      </w:r>
      <w:r w:rsidR="00E34779">
        <w:rPr>
          <w:lang w:val="fr-CA"/>
        </w:rPr>
        <w:t>à</w:t>
      </w:r>
      <w:r w:rsidR="00361E7A">
        <w:rPr>
          <w:lang w:val="fr-CA"/>
        </w:rPr>
        <w:t xml:space="preserve"> l’article</w:t>
      </w:r>
      <w:r w:rsidR="006412AC">
        <w:rPr>
          <w:lang w:val="fr-CA"/>
        </w:rPr>
        <w:t xml:space="preserve"> </w:t>
      </w:r>
      <w:r w:rsidRPr="002A1E81">
        <w:rPr>
          <w:lang w:val="fr-CA"/>
        </w:rPr>
        <w:t xml:space="preserve">29 </w:t>
      </w:r>
      <w:r w:rsidR="002A1E81">
        <w:rPr>
          <w:lang w:val="fr-CA"/>
        </w:rPr>
        <w:t xml:space="preserve">de la </w:t>
      </w:r>
      <w:r w:rsidRPr="002A1E81">
        <w:rPr>
          <w:i/>
          <w:lang w:val="fr-CA"/>
        </w:rPr>
        <w:t>Convention</w:t>
      </w:r>
      <w:r w:rsidR="002A1E81">
        <w:rPr>
          <w:i/>
          <w:lang w:val="fr-CA"/>
        </w:rPr>
        <w:t xml:space="preserve"> de Montréal</w:t>
      </w:r>
      <w:r w:rsidRPr="002A1E81">
        <w:rPr>
          <w:lang w:val="fr-CA"/>
        </w:rPr>
        <w:t xml:space="preserve">. </w:t>
      </w:r>
    </w:p>
    <w:p w:rsidR="007B1A55" w:rsidRPr="00567627" w:rsidRDefault="007B1A55" w:rsidP="00A12DCE">
      <w:pPr>
        <w:pStyle w:val="SCCNormalDoubleSpacing"/>
        <w:widowControl w:val="0"/>
        <w:spacing w:before="480" w:after="480"/>
        <w:rPr>
          <w:lang w:val="fr-CA"/>
        </w:rPr>
      </w:pPr>
      <w:r w:rsidRPr="002A1E81">
        <w:rPr>
          <w:lang w:val="fr-CA"/>
        </w:rPr>
        <w:tab/>
      </w:r>
      <w:r w:rsidR="002A1E81" w:rsidRPr="002A1E81">
        <w:rPr>
          <w:lang w:val="fr-CA"/>
        </w:rPr>
        <w:t xml:space="preserve">Il faut rejeter l’argument des passagers selon lequel le statut </w:t>
      </w:r>
      <w:r w:rsidRPr="002A1E81">
        <w:rPr>
          <w:lang w:val="fr-CA"/>
        </w:rPr>
        <w:t>quasi</w:t>
      </w:r>
      <w:r w:rsidR="002A1E81" w:rsidRPr="002A1E81">
        <w:rPr>
          <w:lang w:val="fr-CA"/>
        </w:rPr>
        <w:t xml:space="preserve"> </w:t>
      </w:r>
      <w:r w:rsidRPr="002A1E81">
        <w:rPr>
          <w:lang w:val="fr-CA"/>
        </w:rPr>
        <w:t>constitution</w:t>
      </w:r>
      <w:r w:rsidR="002A1E81" w:rsidRPr="002A1E81">
        <w:rPr>
          <w:lang w:val="fr-CA"/>
        </w:rPr>
        <w:t>ne</w:t>
      </w:r>
      <w:r w:rsidRPr="002A1E81">
        <w:rPr>
          <w:lang w:val="fr-CA"/>
        </w:rPr>
        <w:t xml:space="preserve">l </w:t>
      </w:r>
      <w:r w:rsidR="002A1E81" w:rsidRPr="002A1E81">
        <w:rPr>
          <w:lang w:val="fr-CA"/>
        </w:rPr>
        <w:t>de</w:t>
      </w:r>
      <w:r w:rsidR="002A1E81">
        <w:rPr>
          <w:lang w:val="fr-CA"/>
        </w:rPr>
        <w:t xml:space="preserve"> la </w:t>
      </w:r>
      <w:r w:rsidR="002A1E81" w:rsidRPr="002A1E81">
        <w:rPr>
          <w:i/>
          <w:lang w:val="fr-CA"/>
        </w:rPr>
        <w:t>LLO</w:t>
      </w:r>
      <w:r w:rsidR="002A1E81">
        <w:rPr>
          <w:lang w:val="fr-CA"/>
        </w:rPr>
        <w:t xml:space="preserve"> empêche d’interpréter harmonieusement </w:t>
      </w:r>
      <w:r w:rsidR="00D72AF1">
        <w:rPr>
          <w:lang w:val="fr-CA"/>
        </w:rPr>
        <w:t>son</w:t>
      </w:r>
      <w:r w:rsidR="00E34779">
        <w:rPr>
          <w:lang w:val="fr-CA"/>
        </w:rPr>
        <w:t xml:space="preserve"> par.</w:t>
      </w:r>
      <w:r w:rsidR="006412AC">
        <w:rPr>
          <w:lang w:val="fr-CA"/>
        </w:rPr>
        <w:t xml:space="preserve"> </w:t>
      </w:r>
      <w:r w:rsidRPr="002A1E81">
        <w:rPr>
          <w:lang w:val="fr-CA"/>
        </w:rPr>
        <w:t xml:space="preserve">77(4) </w:t>
      </w:r>
      <w:r w:rsidR="00361E7A">
        <w:rPr>
          <w:lang w:val="fr-CA"/>
        </w:rPr>
        <w:t>et l’article</w:t>
      </w:r>
      <w:r w:rsidR="006412AC">
        <w:rPr>
          <w:lang w:val="fr-CA"/>
        </w:rPr>
        <w:t xml:space="preserve"> </w:t>
      </w:r>
      <w:r w:rsidR="00D72AF1">
        <w:rPr>
          <w:lang w:val="fr-CA"/>
        </w:rPr>
        <w:t xml:space="preserve">29 de la </w:t>
      </w:r>
      <w:r w:rsidRPr="002A1E81">
        <w:rPr>
          <w:i/>
          <w:lang w:val="fr-CA"/>
        </w:rPr>
        <w:t>Convention</w:t>
      </w:r>
      <w:r w:rsidR="00D72AF1">
        <w:rPr>
          <w:i/>
          <w:lang w:val="fr-CA"/>
        </w:rPr>
        <w:t xml:space="preserve"> de Montréal</w:t>
      </w:r>
      <w:r w:rsidRPr="002A1E81">
        <w:rPr>
          <w:lang w:val="fr-CA"/>
        </w:rPr>
        <w:t xml:space="preserve">. </w:t>
      </w:r>
      <w:r w:rsidR="00553AC6" w:rsidRPr="00553AC6">
        <w:rPr>
          <w:lang w:val="fr-CA"/>
        </w:rPr>
        <w:t>Le paragraphe</w:t>
      </w:r>
      <w:r w:rsidR="006412AC">
        <w:rPr>
          <w:lang w:val="fr-CA"/>
        </w:rPr>
        <w:t xml:space="preserve"> </w:t>
      </w:r>
      <w:r w:rsidRPr="00553AC6">
        <w:rPr>
          <w:lang w:val="fr-CA"/>
        </w:rPr>
        <w:t xml:space="preserve">77(4) </w:t>
      </w:r>
      <w:r w:rsidR="00553AC6" w:rsidRPr="00553AC6">
        <w:rPr>
          <w:lang w:val="fr-CA"/>
        </w:rPr>
        <w:t xml:space="preserve">de la </w:t>
      </w:r>
      <w:r w:rsidR="00553AC6" w:rsidRPr="00553AC6">
        <w:rPr>
          <w:i/>
          <w:lang w:val="fr-CA"/>
        </w:rPr>
        <w:t>LLO</w:t>
      </w:r>
      <w:r w:rsidR="00553AC6" w:rsidRPr="00553AC6">
        <w:rPr>
          <w:lang w:val="fr-CA"/>
        </w:rPr>
        <w:t xml:space="preserve">, </w:t>
      </w:r>
      <w:r w:rsidR="00510FE9">
        <w:rPr>
          <w:lang w:val="fr-CA"/>
        </w:rPr>
        <w:t>qui</w:t>
      </w:r>
      <w:r w:rsidR="00553AC6" w:rsidRPr="00553AC6">
        <w:rPr>
          <w:lang w:val="fr-CA"/>
        </w:rPr>
        <w:t xml:space="preserve"> confère un vaste pouvoir de réparation, s’inscrit assurément dans un régime législatif quasi constitutionnel visant à refléter et à actualiser l’égalité de statut du français et de l’anglais en tant q</w:t>
      </w:r>
      <w:r w:rsidR="00553AC6">
        <w:rPr>
          <w:lang w:val="fr-CA"/>
        </w:rPr>
        <w:t xml:space="preserve">ue langues officielles du </w:t>
      </w:r>
      <w:r w:rsidRPr="00553AC6">
        <w:rPr>
          <w:lang w:val="fr-CA"/>
        </w:rPr>
        <w:t>Canada</w:t>
      </w:r>
      <w:r w:rsidR="00707C8F">
        <w:rPr>
          <w:lang w:val="fr-CA"/>
        </w:rPr>
        <w:t xml:space="preserve">, de même que les droits et privilèges égaux quant à leur usage dans les institutions du </w:t>
      </w:r>
      <w:r w:rsidRPr="00553AC6">
        <w:rPr>
          <w:lang w:val="fr-CA"/>
        </w:rPr>
        <w:t>Parl</w:t>
      </w:r>
      <w:r w:rsidR="00707C8F">
        <w:rPr>
          <w:lang w:val="fr-CA"/>
        </w:rPr>
        <w:t>e</w:t>
      </w:r>
      <w:r w:rsidRPr="00553AC6">
        <w:rPr>
          <w:lang w:val="fr-CA"/>
        </w:rPr>
        <w:t>ment</w:t>
      </w:r>
      <w:r w:rsidR="00707C8F">
        <w:rPr>
          <w:lang w:val="fr-CA"/>
        </w:rPr>
        <w:t xml:space="preserve"> et du gouvernement du </w:t>
      </w:r>
      <w:r w:rsidRPr="00553AC6">
        <w:rPr>
          <w:lang w:val="fr-CA"/>
        </w:rPr>
        <w:t>Canada</w:t>
      </w:r>
      <w:r w:rsidR="00C30831">
        <w:rPr>
          <w:lang w:val="fr-CA"/>
        </w:rPr>
        <w:t xml:space="preserve">, ainsi qu’il </w:t>
      </w:r>
      <w:r w:rsidR="00E34779">
        <w:rPr>
          <w:lang w:val="fr-CA"/>
        </w:rPr>
        <w:t>est déclaré au par.</w:t>
      </w:r>
      <w:r w:rsidR="006412AC">
        <w:rPr>
          <w:lang w:val="fr-CA"/>
        </w:rPr>
        <w:t xml:space="preserve"> </w:t>
      </w:r>
      <w:r w:rsidRPr="00553AC6">
        <w:rPr>
          <w:lang w:val="fr-CA"/>
        </w:rPr>
        <w:t>16(1)</w:t>
      </w:r>
      <w:r w:rsidR="008A1049">
        <w:rPr>
          <w:lang w:val="fr-CA"/>
        </w:rPr>
        <w:t xml:space="preserve"> de la </w:t>
      </w:r>
      <w:r w:rsidRPr="00553AC6">
        <w:rPr>
          <w:i/>
          <w:lang w:val="fr-CA"/>
        </w:rPr>
        <w:t>Charte</w:t>
      </w:r>
      <w:r w:rsidR="008A1049">
        <w:rPr>
          <w:i/>
          <w:lang w:val="fr-CA"/>
        </w:rPr>
        <w:t xml:space="preserve"> canadienne des d</w:t>
      </w:r>
      <w:r w:rsidRPr="00553AC6">
        <w:rPr>
          <w:i/>
          <w:lang w:val="fr-CA"/>
        </w:rPr>
        <w:t>r</w:t>
      </w:r>
      <w:r w:rsidR="008A1049">
        <w:rPr>
          <w:i/>
          <w:lang w:val="fr-CA"/>
        </w:rPr>
        <w:t>oits et libertés</w:t>
      </w:r>
      <w:r w:rsidR="008A1049">
        <w:rPr>
          <w:lang w:val="fr-CA"/>
        </w:rPr>
        <w:t>.</w:t>
      </w:r>
      <w:r w:rsidR="00E7518E">
        <w:rPr>
          <w:lang w:val="fr-CA"/>
        </w:rPr>
        <w:t xml:space="preserve"> L</w:t>
      </w:r>
      <w:r w:rsidR="00E34779">
        <w:rPr>
          <w:lang w:val="fr-CA"/>
        </w:rPr>
        <w:t>e par</w:t>
      </w:r>
      <w:r w:rsidR="00E7518E">
        <w:rPr>
          <w:lang w:val="fr-CA"/>
        </w:rPr>
        <w:t>agraphe</w:t>
      </w:r>
      <w:r w:rsidR="006412AC">
        <w:rPr>
          <w:lang w:val="fr-CA"/>
        </w:rPr>
        <w:t xml:space="preserve"> </w:t>
      </w:r>
      <w:r w:rsidR="008A1049" w:rsidRPr="008A1049">
        <w:rPr>
          <w:lang w:val="fr-CA"/>
        </w:rPr>
        <w:t xml:space="preserve">77(4) de la </w:t>
      </w:r>
      <w:r w:rsidR="008A1049" w:rsidRPr="008A1049">
        <w:rPr>
          <w:i/>
          <w:lang w:val="fr-CA"/>
        </w:rPr>
        <w:t>LLO</w:t>
      </w:r>
      <w:r w:rsidR="008A1049" w:rsidRPr="008A1049">
        <w:rPr>
          <w:lang w:val="fr-CA"/>
        </w:rPr>
        <w:t xml:space="preserve"> devrait </w:t>
      </w:r>
      <w:r w:rsidR="00E7518E">
        <w:rPr>
          <w:lang w:val="fr-CA"/>
        </w:rPr>
        <w:t xml:space="preserve">donc </w:t>
      </w:r>
      <w:r w:rsidR="008A1049" w:rsidRPr="008A1049">
        <w:rPr>
          <w:lang w:val="fr-CA"/>
        </w:rPr>
        <w:t>recevoir une interprét</w:t>
      </w:r>
      <w:r w:rsidR="008A1049">
        <w:rPr>
          <w:lang w:val="fr-CA"/>
        </w:rPr>
        <w:t xml:space="preserve">ation généreuse afin que se réalise son objet. </w:t>
      </w:r>
      <w:r w:rsidR="008A1049" w:rsidRPr="009463FD">
        <w:rPr>
          <w:lang w:val="fr-CA"/>
        </w:rPr>
        <w:t>Cependant, ces facteurs ne modifient en rien la bonne méthode d’interprétation</w:t>
      </w:r>
      <w:r w:rsidR="00E34779">
        <w:rPr>
          <w:lang w:val="fr-CA"/>
        </w:rPr>
        <w:t xml:space="preserve"> des lois</w:t>
      </w:r>
      <w:r w:rsidR="00510FE9">
        <w:rPr>
          <w:lang w:val="fr-CA"/>
        </w:rPr>
        <w:t>, selon laquelle</w:t>
      </w:r>
      <w:r w:rsidR="009463FD" w:rsidRPr="009463FD">
        <w:rPr>
          <w:lang w:val="fr-CA"/>
        </w:rPr>
        <w:t xml:space="preserve"> il faut lire les termes </w:t>
      </w:r>
      <w:r w:rsidR="00510FE9">
        <w:rPr>
          <w:lang w:val="fr-CA"/>
        </w:rPr>
        <w:t>d’une</w:t>
      </w:r>
      <w:r w:rsidR="009463FD" w:rsidRPr="009463FD">
        <w:rPr>
          <w:lang w:val="fr-CA"/>
        </w:rPr>
        <w:t xml:space="preserve"> loi dans leur contexte global</w:t>
      </w:r>
      <w:r w:rsidR="00510FE9">
        <w:rPr>
          <w:lang w:val="fr-CA"/>
        </w:rPr>
        <w:t>,</w:t>
      </w:r>
      <w:r w:rsidR="009463FD" w:rsidRPr="009463FD">
        <w:rPr>
          <w:lang w:val="fr-CA"/>
        </w:rPr>
        <w:t xml:space="preserve"> en suivant le sens ordinaire et grammatical qui s’harmon</w:t>
      </w:r>
      <w:r w:rsidR="009463FD">
        <w:rPr>
          <w:lang w:val="fr-CA"/>
        </w:rPr>
        <w:t>ise avec l’économie de la loi, son objet et l’intention du légi</w:t>
      </w:r>
      <w:r w:rsidRPr="009463FD">
        <w:rPr>
          <w:lang w:val="fr-CA"/>
        </w:rPr>
        <w:t>s</w:t>
      </w:r>
      <w:r w:rsidR="009463FD">
        <w:rPr>
          <w:lang w:val="fr-CA"/>
        </w:rPr>
        <w:t xml:space="preserve">lateur. </w:t>
      </w:r>
      <w:r w:rsidR="00A143B0">
        <w:rPr>
          <w:lang w:val="fr-CA"/>
        </w:rPr>
        <w:t>Il ressort de l</w:t>
      </w:r>
      <w:r w:rsidR="008300E4" w:rsidRPr="00ED3719">
        <w:rPr>
          <w:lang w:val="fr-CA"/>
        </w:rPr>
        <w:t xml:space="preserve">a </w:t>
      </w:r>
      <w:r w:rsidR="008300E4" w:rsidRPr="00ED3719">
        <w:rPr>
          <w:i/>
          <w:lang w:val="fr-CA"/>
        </w:rPr>
        <w:t>LLO</w:t>
      </w:r>
      <w:r w:rsidR="008300E4" w:rsidRPr="00ED3719">
        <w:rPr>
          <w:lang w:val="fr-CA"/>
        </w:rPr>
        <w:t>, lue dans son</w:t>
      </w:r>
      <w:r w:rsidR="00ED3719" w:rsidRPr="00ED3719">
        <w:rPr>
          <w:lang w:val="fr-CA"/>
        </w:rPr>
        <w:t xml:space="preserve"> contexte global, que le législateur ne voulait pas empêcher que le p</w:t>
      </w:r>
      <w:r w:rsidR="00ED3719">
        <w:rPr>
          <w:lang w:val="fr-CA"/>
        </w:rPr>
        <w:t>ar.</w:t>
      </w:r>
      <w:r w:rsidR="006412AC">
        <w:rPr>
          <w:lang w:val="fr-CA"/>
        </w:rPr>
        <w:t xml:space="preserve"> </w:t>
      </w:r>
      <w:r w:rsidRPr="00ED3719">
        <w:rPr>
          <w:lang w:val="fr-CA"/>
        </w:rPr>
        <w:t>77(4)</w:t>
      </w:r>
      <w:r w:rsidR="00ED3719">
        <w:rPr>
          <w:lang w:val="fr-CA"/>
        </w:rPr>
        <w:t xml:space="preserve"> soit interprété harmonieusement </w:t>
      </w:r>
      <w:r w:rsidR="00ED3719">
        <w:rPr>
          <w:lang w:val="fr-CA"/>
        </w:rPr>
        <w:lastRenderedPageBreak/>
        <w:t xml:space="preserve">avec les obligations internationales du Canada mises en œuvre par une autre loi fédérale. </w:t>
      </w:r>
      <w:r w:rsidR="00ED3719" w:rsidRPr="00ED3719">
        <w:rPr>
          <w:lang w:val="fr-CA"/>
        </w:rPr>
        <w:t xml:space="preserve">La </w:t>
      </w:r>
      <w:r w:rsidRPr="00ED3719">
        <w:rPr>
          <w:lang w:val="fr-CA"/>
        </w:rPr>
        <w:t>proposition</w:t>
      </w:r>
      <w:r w:rsidR="00405547">
        <w:rPr>
          <w:lang w:val="fr-CA"/>
        </w:rPr>
        <w:t xml:space="preserve"> que </w:t>
      </w:r>
      <w:r w:rsidR="00ED3719" w:rsidRPr="00ED3719">
        <w:rPr>
          <w:lang w:val="fr-CA"/>
        </w:rPr>
        <w:t>le législ</w:t>
      </w:r>
      <w:r w:rsidR="00E34779">
        <w:rPr>
          <w:lang w:val="fr-CA"/>
        </w:rPr>
        <w:t>ateur voulait, au moyen du par.</w:t>
      </w:r>
      <w:r w:rsidR="006412AC">
        <w:rPr>
          <w:lang w:val="fr-CA"/>
        </w:rPr>
        <w:t xml:space="preserve"> </w:t>
      </w:r>
      <w:r w:rsidRPr="00ED3719">
        <w:rPr>
          <w:lang w:val="fr-CA"/>
        </w:rPr>
        <w:t>77(4),</w:t>
      </w:r>
      <w:r w:rsidR="00ED3719" w:rsidRPr="00ED3719">
        <w:rPr>
          <w:lang w:val="fr-CA"/>
        </w:rPr>
        <w:t xml:space="preserve"> permettre aux tribunaux d</w:t>
      </w:r>
      <w:r w:rsidR="00E34779">
        <w:rPr>
          <w:lang w:val="fr-CA"/>
        </w:rPr>
        <w:t>’accorder des dommages</w:t>
      </w:r>
      <w:r w:rsidR="006412AC">
        <w:rPr>
          <w:lang w:val="fr-CA"/>
        </w:rPr>
        <w:t>-</w:t>
      </w:r>
      <w:r w:rsidR="00405547">
        <w:rPr>
          <w:lang w:val="fr-CA"/>
        </w:rPr>
        <w:t>intérêts</w:t>
      </w:r>
      <w:r w:rsidR="00ED3719" w:rsidRPr="00ED3719">
        <w:rPr>
          <w:lang w:val="fr-CA"/>
        </w:rPr>
        <w:t xml:space="preserve"> même si l’octroi d’une telle réparation contrevient aux engagements internationaux du Canada inc</w:t>
      </w:r>
      <w:r w:rsidR="00ED3719">
        <w:rPr>
          <w:lang w:val="fr-CA"/>
        </w:rPr>
        <w:t>orporés dans une loi fédérale</w:t>
      </w:r>
      <w:r w:rsidR="00405547">
        <w:rPr>
          <w:lang w:val="fr-CA"/>
        </w:rPr>
        <w:t xml:space="preserve"> va à l’encontre du principe d’interprétation selon lequel le législateur est réputé ne pas vouloir légiférer en contravention </w:t>
      </w:r>
      <w:r w:rsidR="00510FE9">
        <w:rPr>
          <w:lang w:val="fr-CA"/>
        </w:rPr>
        <w:t>des</w:t>
      </w:r>
      <w:r w:rsidR="00405547">
        <w:rPr>
          <w:lang w:val="fr-CA"/>
        </w:rPr>
        <w:t xml:space="preserve"> obligations </w:t>
      </w:r>
      <w:r w:rsidR="007774E6">
        <w:rPr>
          <w:lang w:val="fr-CA"/>
        </w:rPr>
        <w:t>du Canada</w:t>
      </w:r>
      <w:r w:rsidR="00405547">
        <w:rPr>
          <w:lang w:val="fr-CA"/>
        </w:rPr>
        <w:t xml:space="preserve"> </w:t>
      </w:r>
      <w:r w:rsidR="007774E6">
        <w:rPr>
          <w:lang w:val="fr-CA"/>
        </w:rPr>
        <w:t xml:space="preserve">ressortissant au droit international. </w:t>
      </w:r>
      <w:r w:rsidR="00E34779">
        <w:rPr>
          <w:lang w:val="fr-CA"/>
        </w:rPr>
        <w:t>Le paragraphe</w:t>
      </w:r>
      <w:r w:rsidR="006412AC">
        <w:rPr>
          <w:lang w:val="fr-CA"/>
        </w:rPr>
        <w:t xml:space="preserve"> </w:t>
      </w:r>
      <w:r w:rsidRPr="0064727D">
        <w:rPr>
          <w:lang w:val="fr-CA"/>
        </w:rPr>
        <w:t xml:space="preserve">77(4) </w:t>
      </w:r>
      <w:r w:rsidR="00722C26">
        <w:rPr>
          <w:lang w:val="fr-CA"/>
        </w:rPr>
        <w:t>devrait plutôt être vu comme ayant été incorporé</w:t>
      </w:r>
      <w:r w:rsidR="0064727D" w:rsidRPr="0064727D">
        <w:rPr>
          <w:lang w:val="fr-CA"/>
        </w:rPr>
        <w:t xml:space="preserve"> dans un cadre juridique déjà établi, composé de limites législatives, d’exigences </w:t>
      </w:r>
      <w:r w:rsidRPr="0064727D">
        <w:rPr>
          <w:lang w:val="fr-CA"/>
        </w:rPr>
        <w:t>proc</w:t>
      </w:r>
      <w:r w:rsidR="0064727D" w:rsidRPr="0064727D">
        <w:rPr>
          <w:lang w:val="fr-CA"/>
        </w:rPr>
        <w:t>é</w:t>
      </w:r>
      <w:r w:rsidRPr="0064727D">
        <w:rPr>
          <w:lang w:val="fr-CA"/>
        </w:rPr>
        <w:t>dural</w:t>
      </w:r>
      <w:r w:rsidR="0064727D">
        <w:rPr>
          <w:lang w:val="fr-CA"/>
        </w:rPr>
        <w:t xml:space="preserve">es et de principes juridiques généraux — </w:t>
      </w:r>
      <w:r w:rsidR="00346A74">
        <w:rPr>
          <w:lang w:val="fr-CA"/>
        </w:rPr>
        <w:t>y compris les engagements internationaux du Canada</w:t>
      </w:r>
      <w:r w:rsidR="001B4785">
        <w:rPr>
          <w:lang w:val="fr-CA"/>
        </w:rPr>
        <w:t xml:space="preserve"> incorporés dans un texte législatif canadien — qui aident le tribunal à </w:t>
      </w:r>
      <w:r w:rsidR="007D02C3">
        <w:rPr>
          <w:lang w:val="fr-CA"/>
        </w:rPr>
        <w:t xml:space="preserve">décider quelle réparation est </w:t>
      </w:r>
      <w:r w:rsidR="006412AC">
        <w:rPr>
          <w:lang w:val="fr-CA"/>
        </w:rPr>
        <w:t>« </w:t>
      </w:r>
      <w:r w:rsidR="001B4785">
        <w:rPr>
          <w:lang w:val="fr-CA"/>
        </w:rPr>
        <w:t>convenable et juste</w:t>
      </w:r>
      <w:r w:rsidR="006412AC">
        <w:rPr>
          <w:lang w:val="fr-CA"/>
        </w:rPr>
        <w:t> »</w:t>
      </w:r>
      <w:r w:rsidR="001B4785">
        <w:rPr>
          <w:lang w:val="fr-CA"/>
        </w:rPr>
        <w:t xml:space="preserve">. </w:t>
      </w:r>
    </w:p>
    <w:p w:rsidR="007B1A55" w:rsidRPr="00977510" w:rsidRDefault="007B1A55" w:rsidP="00A12DCE">
      <w:pPr>
        <w:pStyle w:val="SCCNormalDoubleSpacing"/>
        <w:widowControl w:val="0"/>
        <w:spacing w:before="480" w:after="480"/>
        <w:rPr>
          <w:lang w:val="fr-CA"/>
        </w:rPr>
      </w:pPr>
      <w:r w:rsidRPr="00567627">
        <w:rPr>
          <w:lang w:val="fr-CA"/>
        </w:rPr>
        <w:tab/>
      </w:r>
      <w:r w:rsidR="001B4785" w:rsidRPr="001B4785">
        <w:rPr>
          <w:lang w:val="fr-CA"/>
        </w:rPr>
        <w:t>La Cour d’appel fédérale a eu raison d’annuler l’ordonnance structurelle. Les ordonnances structurelles doivent faire l’objet d’une attention particulière en raison de deux problèmes potentiels connexes</w:t>
      </w:r>
      <w:r w:rsidR="006412AC">
        <w:rPr>
          <w:lang w:val="fr-CA"/>
        </w:rPr>
        <w:t> :</w:t>
      </w:r>
      <w:r w:rsidR="001B4785" w:rsidRPr="001B4785">
        <w:rPr>
          <w:lang w:val="fr-CA"/>
        </w:rPr>
        <w:t xml:space="preserve"> </w:t>
      </w:r>
      <w:r w:rsidR="00FC042C">
        <w:rPr>
          <w:lang w:val="fr-CA"/>
        </w:rPr>
        <w:t>le</w:t>
      </w:r>
      <w:r w:rsidR="001B4785" w:rsidRPr="001B4785">
        <w:rPr>
          <w:lang w:val="fr-CA"/>
        </w:rPr>
        <w:t xml:space="preserve"> premier </w:t>
      </w:r>
      <w:r w:rsidR="00FC042C">
        <w:rPr>
          <w:lang w:val="fr-CA"/>
        </w:rPr>
        <w:t>étant</w:t>
      </w:r>
      <w:r w:rsidR="001B4785">
        <w:rPr>
          <w:lang w:val="fr-CA"/>
        </w:rPr>
        <w:t xml:space="preserve"> un manque de </w:t>
      </w:r>
      <w:r w:rsidR="00FC042C">
        <w:rPr>
          <w:lang w:val="fr-CA"/>
        </w:rPr>
        <w:t xml:space="preserve">clarté, lequel, </w:t>
      </w:r>
      <w:r w:rsidR="001B4785">
        <w:rPr>
          <w:lang w:val="fr-CA"/>
        </w:rPr>
        <w:t xml:space="preserve">à son tour, peut </w:t>
      </w:r>
      <w:r w:rsidR="00FC042C">
        <w:rPr>
          <w:lang w:val="fr-CA"/>
        </w:rPr>
        <w:t xml:space="preserve">en </w:t>
      </w:r>
      <w:r w:rsidR="001B4785">
        <w:rPr>
          <w:lang w:val="fr-CA"/>
        </w:rPr>
        <w:t>occasionner un deuxième, soit la nécessité d’une supervision judiciaire continue</w:t>
      </w:r>
      <w:r w:rsidRPr="001B4785">
        <w:rPr>
          <w:lang w:val="fr-CA"/>
        </w:rPr>
        <w:t xml:space="preserve">. </w:t>
      </w:r>
      <w:r w:rsidR="001B4785" w:rsidRPr="002E24A8">
        <w:rPr>
          <w:lang w:val="fr-CA"/>
        </w:rPr>
        <w:t xml:space="preserve">L’ordonnance </w:t>
      </w:r>
      <w:r w:rsidR="002E24A8">
        <w:rPr>
          <w:lang w:val="fr-CA"/>
        </w:rPr>
        <w:t xml:space="preserve">doit être suffisamment claire pour donner aux parties tenues de la respecter des indications </w:t>
      </w:r>
      <w:r w:rsidR="00FC042C">
        <w:rPr>
          <w:lang w:val="fr-CA"/>
        </w:rPr>
        <w:t>convenables</w:t>
      </w:r>
      <w:r w:rsidR="002E24A8">
        <w:rPr>
          <w:lang w:val="fr-CA"/>
        </w:rPr>
        <w:t xml:space="preserve"> sur ce qu’il leur faut accomplir pour s’y conformer, et pour éviter une ronde potentiellement interminable de nouvelles demandes visant à déterminer si elles s’y sont conformées.</w:t>
      </w:r>
      <w:r w:rsidR="002E24A8" w:rsidRPr="002E24A8">
        <w:rPr>
          <w:lang w:val="fr-CA"/>
        </w:rPr>
        <w:t xml:space="preserve"> </w:t>
      </w:r>
      <w:r w:rsidR="002E24A8" w:rsidRPr="009F3584">
        <w:rPr>
          <w:lang w:val="fr-CA"/>
        </w:rPr>
        <w:t>La supervision judiciaire continue sera parfois de mise</w:t>
      </w:r>
      <w:r w:rsidR="00FC042C">
        <w:rPr>
          <w:lang w:val="fr-CA"/>
        </w:rPr>
        <w:t>,</w:t>
      </w:r>
      <w:r w:rsidR="009F3584" w:rsidRPr="009F3584">
        <w:rPr>
          <w:lang w:val="fr-CA"/>
        </w:rPr>
        <w:t xml:space="preserve"> mais, </w:t>
      </w:r>
      <w:r w:rsidR="002E24A8" w:rsidRPr="009F3584">
        <w:rPr>
          <w:lang w:val="fr-CA"/>
        </w:rPr>
        <w:t xml:space="preserve">en l’absence de circonstances impérieuses, </w:t>
      </w:r>
      <w:r w:rsidR="009F3584" w:rsidRPr="009F3584">
        <w:rPr>
          <w:lang w:val="fr-CA"/>
        </w:rPr>
        <w:t>les tribunaux devraient e</w:t>
      </w:r>
      <w:r w:rsidR="009F3584">
        <w:rPr>
          <w:lang w:val="fr-CA"/>
        </w:rPr>
        <w:t>n général s’abstenir de prononcer des ordonnances qui susciteront presque inévitablement de perpétuel</w:t>
      </w:r>
      <w:r w:rsidR="00FC042C">
        <w:rPr>
          <w:lang w:val="fr-CA"/>
        </w:rPr>
        <w:t>le</w:t>
      </w:r>
      <w:r w:rsidR="009F3584">
        <w:rPr>
          <w:lang w:val="fr-CA"/>
        </w:rPr>
        <w:t>s</w:t>
      </w:r>
      <w:r w:rsidR="00FC042C">
        <w:rPr>
          <w:lang w:val="fr-CA"/>
        </w:rPr>
        <w:t xml:space="preserve"> procédures</w:t>
      </w:r>
      <w:r w:rsidR="009F3584">
        <w:rPr>
          <w:lang w:val="fr-CA"/>
        </w:rPr>
        <w:t xml:space="preserve"> </w:t>
      </w:r>
      <w:r w:rsidR="009F3584">
        <w:rPr>
          <w:lang w:val="fr-CA"/>
        </w:rPr>
        <w:lastRenderedPageBreak/>
        <w:t>sur</w:t>
      </w:r>
      <w:r w:rsidR="00116A24">
        <w:rPr>
          <w:lang w:val="fr-CA"/>
        </w:rPr>
        <w:t xml:space="preserve"> la question de savoir si elles sont respectées</w:t>
      </w:r>
      <w:r w:rsidR="009F3584">
        <w:rPr>
          <w:lang w:val="fr-CA"/>
        </w:rPr>
        <w:t xml:space="preserve">. </w:t>
      </w:r>
      <w:r w:rsidR="009F3584" w:rsidRPr="00977510">
        <w:rPr>
          <w:lang w:val="fr-CA"/>
        </w:rPr>
        <w:t xml:space="preserve">En l’espèce, l’ordonnance est trop imprécise, </w:t>
      </w:r>
      <w:r w:rsidR="00FC042C">
        <w:rPr>
          <w:lang w:val="fr-CA"/>
        </w:rPr>
        <w:t xml:space="preserve">elle </w:t>
      </w:r>
      <w:r w:rsidR="009F3584" w:rsidRPr="00977510">
        <w:rPr>
          <w:lang w:val="fr-CA"/>
        </w:rPr>
        <w:t xml:space="preserve">risque de donner lieu à </w:t>
      </w:r>
      <w:r w:rsidR="00FC042C">
        <w:rPr>
          <w:lang w:val="fr-CA"/>
        </w:rPr>
        <w:t>d’incessantes procédures</w:t>
      </w:r>
      <w:r w:rsidR="009F3584" w:rsidRPr="00977510">
        <w:rPr>
          <w:lang w:val="fr-CA"/>
        </w:rPr>
        <w:t xml:space="preserve"> </w:t>
      </w:r>
      <w:r w:rsidR="007F2121" w:rsidRPr="00977510">
        <w:rPr>
          <w:lang w:val="fr-CA"/>
        </w:rPr>
        <w:t xml:space="preserve">et </w:t>
      </w:r>
      <w:r w:rsidR="00FC042C">
        <w:rPr>
          <w:lang w:val="fr-CA"/>
        </w:rPr>
        <w:t>mesures de</w:t>
      </w:r>
      <w:r w:rsidR="007F2121" w:rsidRPr="00977510">
        <w:rPr>
          <w:lang w:val="fr-CA"/>
        </w:rPr>
        <w:t xml:space="preserve"> supervision </w:t>
      </w:r>
      <w:r w:rsidR="00116A24" w:rsidRPr="00977510">
        <w:rPr>
          <w:lang w:val="fr-CA"/>
        </w:rPr>
        <w:t xml:space="preserve">judiciaire </w:t>
      </w:r>
      <w:r w:rsidR="00FC042C">
        <w:rPr>
          <w:lang w:val="fr-CA"/>
        </w:rPr>
        <w:t>visant</w:t>
      </w:r>
      <w:r w:rsidR="00116A24" w:rsidRPr="00977510">
        <w:rPr>
          <w:lang w:val="fr-CA"/>
        </w:rPr>
        <w:t xml:space="preserve"> à </w:t>
      </w:r>
      <w:r w:rsidR="00FC042C">
        <w:rPr>
          <w:lang w:val="fr-CA"/>
        </w:rPr>
        <w:t xml:space="preserve">déterminer </w:t>
      </w:r>
      <w:r w:rsidR="00116A24" w:rsidRPr="00977510">
        <w:rPr>
          <w:lang w:val="fr-CA"/>
        </w:rPr>
        <w:t>si elle</w:t>
      </w:r>
      <w:r w:rsidR="00977510" w:rsidRPr="00977510">
        <w:rPr>
          <w:lang w:val="fr-CA"/>
        </w:rPr>
        <w:t xml:space="preserve"> e</w:t>
      </w:r>
      <w:r w:rsidR="00FC042C">
        <w:rPr>
          <w:lang w:val="fr-CA"/>
        </w:rPr>
        <w:t xml:space="preserve">st respectée, et, enfin, </w:t>
      </w:r>
      <w:r w:rsidR="00977510">
        <w:rPr>
          <w:lang w:val="fr-CA"/>
        </w:rPr>
        <w:t xml:space="preserve">elle est inappropriée, surtout </w:t>
      </w:r>
      <w:r w:rsidR="00190E6E">
        <w:rPr>
          <w:lang w:val="fr-CA"/>
        </w:rPr>
        <w:t xml:space="preserve">au vu </w:t>
      </w:r>
      <w:r w:rsidR="00977510">
        <w:rPr>
          <w:lang w:val="fr-CA"/>
        </w:rPr>
        <w:t xml:space="preserve">des pouvoirs conférés par la loi au commissaire et de son </w:t>
      </w:r>
      <w:r w:rsidRPr="00977510">
        <w:rPr>
          <w:lang w:val="fr-CA"/>
        </w:rPr>
        <w:t>expertise</w:t>
      </w:r>
      <w:r w:rsidR="00977510">
        <w:rPr>
          <w:lang w:val="fr-CA"/>
        </w:rPr>
        <w:t xml:space="preserve"> </w:t>
      </w:r>
      <w:r w:rsidR="00B23660">
        <w:rPr>
          <w:lang w:val="fr-CA"/>
        </w:rPr>
        <w:t>en matière de surveillance</w:t>
      </w:r>
      <w:r w:rsidR="00977510">
        <w:rPr>
          <w:lang w:val="fr-CA"/>
        </w:rPr>
        <w:t xml:space="preserve"> du respect de la </w:t>
      </w:r>
      <w:r w:rsidR="00977510" w:rsidRPr="00977510">
        <w:rPr>
          <w:i/>
          <w:lang w:val="fr-CA"/>
        </w:rPr>
        <w:t>LLO</w:t>
      </w:r>
      <w:r w:rsidRPr="00977510">
        <w:rPr>
          <w:lang w:val="fr-CA"/>
        </w:rPr>
        <w:t xml:space="preserve">. </w:t>
      </w:r>
    </w:p>
    <w:p w:rsidR="007B1A55" w:rsidRPr="006572AE" w:rsidRDefault="007B1A55" w:rsidP="00A12DCE">
      <w:pPr>
        <w:pStyle w:val="SCCNormalDoubleSpacing"/>
        <w:widowControl w:val="0"/>
        <w:spacing w:before="480" w:after="480"/>
        <w:rPr>
          <w:lang w:val="fr-CA"/>
        </w:rPr>
      </w:pPr>
      <w:r w:rsidRPr="00977510">
        <w:rPr>
          <w:lang w:val="fr-CA"/>
        </w:rPr>
        <w:tab/>
      </w:r>
      <w:r w:rsidR="00A661DA" w:rsidRPr="006572AE">
        <w:rPr>
          <w:i/>
          <w:lang w:val="fr-CA"/>
        </w:rPr>
        <w:t xml:space="preserve">Les </w:t>
      </w:r>
      <w:r w:rsidR="00A661DA" w:rsidRPr="006572AE">
        <w:rPr>
          <w:lang w:val="fr-CA"/>
        </w:rPr>
        <w:t xml:space="preserve">juges </w:t>
      </w:r>
      <w:r w:rsidRPr="00A374D1">
        <w:rPr>
          <w:lang w:val="fr-CA"/>
        </w:rPr>
        <w:t>Abella</w:t>
      </w:r>
      <w:r w:rsidRPr="006572AE">
        <w:rPr>
          <w:lang w:val="fr-CA"/>
        </w:rPr>
        <w:t xml:space="preserve"> </w:t>
      </w:r>
      <w:r w:rsidR="00A661DA" w:rsidRPr="006572AE">
        <w:rPr>
          <w:lang w:val="fr-CA"/>
        </w:rPr>
        <w:t>et</w:t>
      </w:r>
      <w:r w:rsidRPr="006572AE">
        <w:rPr>
          <w:lang w:val="fr-CA"/>
        </w:rPr>
        <w:t xml:space="preserve"> Wagner</w:t>
      </w:r>
      <w:r w:rsidR="007D02C3">
        <w:rPr>
          <w:lang w:val="fr-CA"/>
        </w:rPr>
        <w:t xml:space="preserve"> (dissidents)</w:t>
      </w:r>
      <w:r w:rsidR="006412AC">
        <w:rPr>
          <w:lang w:val="fr-CA"/>
        </w:rPr>
        <w:t> :</w:t>
      </w:r>
      <w:r w:rsidRPr="006572AE">
        <w:rPr>
          <w:lang w:val="fr-CA"/>
        </w:rPr>
        <w:t xml:space="preserve"> </w:t>
      </w:r>
      <w:r w:rsidR="00977510" w:rsidRPr="006572AE">
        <w:rPr>
          <w:lang w:val="fr-CA"/>
        </w:rPr>
        <w:t xml:space="preserve">La </w:t>
      </w:r>
      <w:r w:rsidRPr="006572AE">
        <w:rPr>
          <w:i/>
          <w:lang w:val="fr-CA"/>
        </w:rPr>
        <w:t>Convention</w:t>
      </w:r>
      <w:r w:rsidR="00977510" w:rsidRPr="006572AE">
        <w:rPr>
          <w:i/>
          <w:lang w:val="fr-CA"/>
        </w:rPr>
        <w:t xml:space="preserve"> de Montréal</w:t>
      </w:r>
      <w:r w:rsidRPr="006572AE">
        <w:rPr>
          <w:lang w:val="fr-CA"/>
        </w:rPr>
        <w:t xml:space="preserve"> </w:t>
      </w:r>
      <w:r w:rsidR="006572AE" w:rsidRPr="006572AE">
        <w:rPr>
          <w:lang w:val="fr-CA"/>
        </w:rPr>
        <w:t xml:space="preserve">ne fait pas </w:t>
      </w:r>
      <w:r w:rsidR="00E34779">
        <w:rPr>
          <w:lang w:val="fr-CA"/>
        </w:rPr>
        <w:t>obstacle à l’octroi de dommages</w:t>
      </w:r>
      <w:r w:rsidR="006412AC">
        <w:rPr>
          <w:lang w:val="fr-CA"/>
        </w:rPr>
        <w:t>-</w:t>
      </w:r>
      <w:r w:rsidR="006572AE">
        <w:rPr>
          <w:lang w:val="fr-CA"/>
        </w:rPr>
        <w:t xml:space="preserve">intérêts pour violation des droits linguistiques pendant le transport aérien international. </w:t>
      </w:r>
      <w:r w:rsidRPr="006572AE">
        <w:rPr>
          <w:lang w:val="fr-CA"/>
        </w:rPr>
        <w:t xml:space="preserve"> </w:t>
      </w:r>
    </w:p>
    <w:p w:rsidR="006572AE" w:rsidRPr="00A120DF" w:rsidRDefault="007B1A55" w:rsidP="00A12DCE">
      <w:pPr>
        <w:pStyle w:val="SCCNormalDoubleSpacing"/>
        <w:widowControl w:val="0"/>
        <w:spacing w:before="480" w:after="480"/>
        <w:rPr>
          <w:lang w:val="fr-CA"/>
        </w:rPr>
      </w:pPr>
      <w:r w:rsidRPr="006572AE">
        <w:rPr>
          <w:lang w:val="fr-CA"/>
        </w:rPr>
        <w:tab/>
      </w:r>
      <w:r w:rsidR="00E34779">
        <w:rPr>
          <w:lang w:val="fr-CA"/>
        </w:rPr>
        <w:t>Les T réclament des dommages</w:t>
      </w:r>
      <w:r w:rsidR="006412AC">
        <w:rPr>
          <w:lang w:val="fr-CA"/>
        </w:rPr>
        <w:t>-</w:t>
      </w:r>
      <w:r w:rsidR="006572AE" w:rsidRPr="006572AE">
        <w:rPr>
          <w:lang w:val="fr-CA"/>
        </w:rPr>
        <w:t xml:space="preserve">intérêts pour les violations </w:t>
      </w:r>
      <w:r w:rsidR="006572AE">
        <w:rPr>
          <w:lang w:val="fr-CA"/>
        </w:rPr>
        <w:t xml:space="preserve">d’une loi qui concrétise des droits protégés par la Constitution. </w:t>
      </w:r>
      <w:r w:rsidR="006572AE" w:rsidRPr="006572AE">
        <w:rPr>
          <w:lang w:val="fr-CA"/>
        </w:rPr>
        <w:t>L</w:t>
      </w:r>
      <w:r w:rsidR="00695A9A">
        <w:rPr>
          <w:lang w:val="fr-CA"/>
        </w:rPr>
        <w:t xml:space="preserve">a </w:t>
      </w:r>
      <w:r w:rsidR="006572AE" w:rsidRPr="006572AE">
        <w:rPr>
          <w:i/>
          <w:lang w:val="fr-CA"/>
        </w:rPr>
        <w:t xml:space="preserve">Convention de Montréal </w:t>
      </w:r>
      <w:r w:rsidR="006572AE" w:rsidRPr="006572AE">
        <w:rPr>
          <w:lang w:val="fr-CA"/>
        </w:rPr>
        <w:t>doit être interprété</w:t>
      </w:r>
      <w:r w:rsidR="00695A9A">
        <w:rPr>
          <w:lang w:val="fr-CA"/>
        </w:rPr>
        <w:t>e</w:t>
      </w:r>
      <w:r w:rsidR="006572AE" w:rsidRPr="006572AE">
        <w:rPr>
          <w:lang w:val="fr-CA"/>
        </w:rPr>
        <w:t xml:space="preserve"> dans le respect d</w:t>
      </w:r>
      <w:r w:rsidR="006572AE">
        <w:rPr>
          <w:lang w:val="fr-CA"/>
        </w:rPr>
        <w:t>es protections accordées aux droits fondamentaux, y compris les droi</w:t>
      </w:r>
      <w:r w:rsidR="006572AE" w:rsidRPr="006572AE">
        <w:rPr>
          <w:lang w:val="fr-CA"/>
        </w:rPr>
        <w:t>t</w:t>
      </w:r>
      <w:r w:rsidR="006572AE">
        <w:rPr>
          <w:lang w:val="fr-CA"/>
        </w:rPr>
        <w:t xml:space="preserve">s linguistiques, dans la législation nationale. </w:t>
      </w:r>
      <w:r w:rsidR="00140B11" w:rsidRPr="00140B11">
        <w:rPr>
          <w:lang w:val="fr-CA"/>
        </w:rPr>
        <w:t>On ne trouve dans les procès-verbaux</w:t>
      </w:r>
      <w:r w:rsidR="00140B11">
        <w:rPr>
          <w:lang w:val="fr-CA"/>
        </w:rPr>
        <w:t xml:space="preserve"> des débats parlementaires ou dans l’historique législatif de la </w:t>
      </w:r>
      <w:r w:rsidR="006572AE" w:rsidRPr="00140B11">
        <w:rPr>
          <w:i/>
          <w:lang w:val="fr-CA"/>
        </w:rPr>
        <w:t>Convention</w:t>
      </w:r>
      <w:r w:rsidR="006572AE" w:rsidRPr="00140B11">
        <w:rPr>
          <w:lang w:val="fr-CA"/>
        </w:rPr>
        <w:t xml:space="preserve"> </w:t>
      </w:r>
      <w:r w:rsidR="00140B11">
        <w:rPr>
          <w:lang w:val="fr-CA"/>
        </w:rPr>
        <w:t xml:space="preserve">aucun élément de preuve qui laisse entendre que le Canada, en tant qu’État partie, entendait mettre fin à la protection des droits linguistiques au pays en ratifiant ou en mettant en œuvre la </w:t>
      </w:r>
      <w:r w:rsidR="00140B11">
        <w:rPr>
          <w:i/>
          <w:lang w:val="fr-CA"/>
        </w:rPr>
        <w:t xml:space="preserve">Convention de </w:t>
      </w:r>
      <w:r w:rsidR="006572AE" w:rsidRPr="00140B11">
        <w:rPr>
          <w:i/>
          <w:lang w:val="fr-CA"/>
        </w:rPr>
        <w:t>Montr</w:t>
      </w:r>
      <w:r w:rsidR="00140B11">
        <w:rPr>
          <w:i/>
          <w:lang w:val="fr-CA"/>
        </w:rPr>
        <w:t>é</w:t>
      </w:r>
      <w:r w:rsidR="006572AE" w:rsidRPr="00140B11">
        <w:rPr>
          <w:i/>
          <w:lang w:val="fr-CA"/>
        </w:rPr>
        <w:t>al</w:t>
      </w:r>
      <w:r w:rsidR="006572AE" w:rsidRPr="00140B11">
        <w:rPr>
          <w:lang w:val="fr-CA"/>
        </w:rPr>
        <w:t xml:space="preserve">. </w:t>
      </w:r>
      <w:r w:rsidR="00190E6E" w:rsidRPr="00A120DF">
        <w:rPr>
          <w:lang w:val="fr-CA"/>
        </w:rPr>
        <w:t xml:space="preserve">Compte tenu de l’importance </w:t>
      </w:r>
      <w:r w:rsidR="00695A9A" w:rsidRPr="00A120DF">
        <w:rPr>
          <w:lang w:val="fr-CA"/>
        </w:rPr>
        <w:t xml:space="preserve">des droits protégés par la </w:t>
      </w:r>
      <w:r w:rsidR="00695A9A" w:rsidRPr="00A120DF">
        <w:rPr>
          <w:i/>
          <w:lang w:val="fr-CA"/>
        </w:rPr>
        <w:t>Loi sur les langues officielles</w:t>
      </w:r>
      <w:r w:rsidR="00A120DF" w:rsidRPr="00A120DF">
        <w:rPr>
          <w:i/>
          <w:lang w:val="fr-CA"/>
        </w:rPr>
        <w:t xml:space="preserve"> </w:t>
      </w:r>
      <w:r w:rsidR="00A120DF" w:rsidRPr="00A120DF">
        <w:rPr>
          <w:lang w:val="fr-CA"/>
        </w:rPr>
        <w:t>et de leurs antécéden</w:t>
      </w:r>
      <w:r w:rsidR="00A120DF">
        <w:rPr>
          <w:lang w:val="fr-CA"/>
        </w:rPr>
        <w:t xml:space="preserve">ts constitutionnels et historiques, il convient de donner à la </w:t>
      </w:r>
      <w:r w:rsidR="006572AE" w:rsidRPr="00A120DF">
        <w:rPr>
          <w:i/>
          <w:lang w:val="fr-CA"/>
        </w:rPr>
        <w:t>Convention</w:t>
      </w:r>
      <w:r w:rsidR="00A120DF">
        <w:rPr>
          <w:i/>
          <w:lang w:val="fr-CA"/>
        </w:rPr>
        <w:t xml:space="preserve"> de Montréal</w:t>
      </w:r>
      <w:r w:rsidR="006572AE" w:rsidRPr="00A120DF">
        <w:rPr>
          <w:lang w:val="fr-CA"/>
        </w:rPr>
        <w:t xml:space="preserve"> </w:t>
      </w:r>
      <w:r w:rsidR="00A120DF">
        <w:rPr>
          <w:lang w:val="fr-CA"/>
        </w:rPr>
        <w:t>une interprétation qui respecte l’engagement explicite du Canada à l’égard de ces droits fondamentaux, plutôt qu’une interprétation qui témoignerait de l’intention d’y porter atteinte</w:t>
      </w:r>
      <w:r w:rsidR="006572AE" w:rsidRPr="00A120DF">
        <w:rPr>
          <w:lang w:val="fr-CA"/>
        </w:rPr>
        <w:t>.</w:t>
      </w:r>
      <w:r w:rsidR="004F3633">
        <w:rPr>
          <w:lang w:val="fr-CA"/>
        </w:rPr>
        <w:t xml:space="preserve"> </w:t>
      </w:r>
      <w:r w:rsidR="004F3633" w:rsidRPr="009061A9">
        <w:rPr>
          <w:lang w:val="fr-CA"/>
        </w:rPr>
        <w:t>Notre Cour a souvent affirmé que le droit</w:t>
      </w:r>
      <w:r w:rsidR="004F3633">
        <w:rPr>
          <w:lang w:val="fr-CA"/>
        </w:rPr>
        <w:t xml:space="preserve"> national </w:t>
      </w:r>
      <w:r w:rsidR="004F3633" w:rsidRPr="009061A9">
        <w:rPr>
          <w:lang w:val="fr-CA"/>
        </w:rPr>
        <w:t>d</w:t>
      </w:r>
      <w:r w:rsidR="004F3633">
        <w:rPr>
          <w:lang w:val="fr-CA"/>
        </w:rPr>
        <w:t>eva</w:t>
      </w:r>
      <w:r w:rsidR="004F3633" w:rsidRPr="009061A9">
        <w:rPr>
          <w:lang w:val="fr-CA"/>
        </w:rPr>
        <w:t>it être interprété généreusement, en a</w:t>
      </w:r>
      <w:r w:rsidR="004F3633">
        <w:rPr>
          <w:lang w:val="fr-CA"/>
        </w:rPr>
        <w:t>cco</w:t>
      </w:r>
      <w:r w:rsidR="004F3633" w:rsidRPr="009061A9">
        <w:rPr>
          <w:lang w:val="fr-CA"/>
        </w:rPr>
        <w:t>r</w:t>
      </w:r>
      <w:r w:rsidR="004F3633">
        <w:rPr>
          <w:lang w:val="fr-CA"/>
        </w:rPr>
        <w:t>d</w:t>
      </w:r>
      <w:r w:rsidR="004F3633" w:rsidRPr="009061A9">
        <w:rPr>
          <w:lang w:val="fr-CA"/>
        </w:rPr>
        <w:t xml:space="preserve"> avec le droit international et ses </w:t>
      </w:r>
      <w:r w:rsidR="004F3633" w:rsidRPr="009061A9">
        <w:rPr>
          <w:lang w:val="fr-CA"/>
        </w:rPr>
        <w:lastRenderedPageBreak/>
        <w:t>valeurs en matière de droits de la personne.</w:t>
      </w:r>
      <w:r w:rsidR="004F3633">
        <w:rPr>
          <w:lang w:val="fr-CA"/>
        </w:rPr>
        <w:t xml:space="preserve"> Elle </w:t>
      </w:r>
      <w:r w:rsidR="004F3633" w:rsidRPr="009061A9">
        <w:rPr>
          <w:lang w:val="fr-CA"/>
        </w:rPr>
        <w:t>n’a jamais dit que le droit international devait être interprété d</w:t>
      </w:r>
      <w:r w:rsidR="004F3633">
        <w:rPr>
          <w:lang w:val="fr-CA"/>
        </w:rPr>
        <w:t xml:space="preserve">e </w:t>
      </w:r>
      <w:r w:rsidR="004F3633" w:rsidRPr="009061A9">
        <w:rPr>
          <w:lang w:val="fr-CA"/>
        </w:rPr>
        <w:t>façon</w:t>
      </w:r>
      <w:r w:rsidR="004F3633">
        <w:rPr>
          <w:lang w:val="fr-CA"/>
        </w:rPr>
        <w:t xml:space="preserve"> à affaiblir </w:t>
      </w:r>
      <w:r w:rsidR="004F3633" w:rsidRPr="009061A9">
        <w:rPr>
          <w:lang w:val="fr-CA"/>
        </w:rPr>
        <w:t xml:space="preserve">les droits de la personne protégés par le droit </w:t>
      </w:r>
      <w:r w:rsidR="004F3633">
        <w:rPr>
          <w:lang w:val="fr-CA"/>
        </w:rPr>
        <w:t>national</w:t>
      </w:r>
      <w:r w:rsidR="00B40BF0">
        <w:rPr>
          <w:lang w:val="fr-CA"/>
        </w:rPr>
        <w:t>.</w:t>
      </w:r>
    </w:p>
    <w:p w:rsidR="007B1A55" w:rsidRPr="003C70B5" w:rsidRDefault="006572AE" w:rsidP="00A12DCE">
      <w:pPr>
        <w:pStyle w:val="SCCNormalDoubleSpacing"/>
        <w:widowControl w:val="0"/>
        <w:spacing w:before="480" w:after="480"/>
        <w:rPr>
          <w:lang w:val="fr-CA"/>
        </w:rPr>
      </w:pPr>
      <w:r w:rsidRPr="00A120DF">
        <w:rPr>
          <w:lang w:val="fr-CA"/>
        </w:rPr>
        <w:tab/>
      </w:r>
      <w:r w:rsidR="004E0271" w:rsidRPr="004E0271">
        <w:rPr>
          <w:lang w:val="fr-CA"/>
        </w:rPr>
        <w:t>L’interprétation d’un traité est un exercice de discernement. Une réponse claire et sans équivoque se dégage rarement avec certitude du sens litté</w:t>
      </w:r>
      <w:r w:rsidR="004E0271">
        <w:rPr>
          <w:lang w:val="fr-CA"/>
        </w:rPr>
        <w:t xml:space="preserve">ral des mots. </w:t>
      </w:r>
      <w:r w:rsidR="007B1A55" w:rsidRPr="00A25398">
        <w:rPr>
          <w:lang w:val="fr-CA"/>
        </w:rPr>
        <w:t xml:space="preserve"> </w:t>
      </w:r>
      <w:r w:rsidR="009E1A77" w:rsidRPr="009E1A77">
        <w:rPr>
          <w:lang w:val="fr-CA"/>
        </w:rPr>
        <w:t xml:space="preserve">Il faut donc </w:t>
      </w:r>
      <w:r w:rsidR="00E320BE">
        <w:rPr>
          <w:lang w:val="fr-CA"/>
        </w:rPr>
        <w:t xml:space="preserve">saisir </w:t>
      </w:r>
      <w:r w:rsidR="009E1A77" w:rsidRPr="009E1A77">
        <w:rPr>
          <w:lang w:val="fr-CA"/>
        </w:rPr>
        <w:t>l’intention des États parties en examinant de bonne foi non seulement les mots en cause, mais aussi le contexte, l’historique</w:t>
      </w:r>
      <w:r w:rsidR="009E1A77">
        <w:rPr>
          <w:lang w:val="fr-CA"/>
        </w:rPr>
        <w:t xml:space="preserve">, l’objet et le but du traité dans son ensemble. </w:t>
      </w:r>
      <w:r w:rsidR="009E1A77" w:rsidRPr="009E1A77">
        <w:rPr>
          <w:lang w:val="fr-CA"/>
        </w:rPr>
        <w:t xml:space="preserve">En l’espèce, cet exercice mène à la </w:t>
      </w:r>
      <w:r w:rsidR="007B1A55" w:rsidRPr="009E1A77">
        <w:rPr>
          <w:lang w:val="fr-CA"/>
        </w:rPr>
        <w:t>conclusion</w:t>
      </w:r>
      <w:r w:rsidR="009E1A77" w:rsidRPr="009E1A77">
        <w:rPr>
          <w:lang w:val="fr-CA"/>
        </w:rPr>
        <w:t xml:space="preserve"> que l’article</w:t>
      </w:r>
      <w:r w:rsidR="006412AC">
        <w:rPr>
          <w:lang w:val="fr-CA"/>
        </w:rPr>
        <w:t xml:space="preserve"> </w:t>
      </w:r>
      <w:r w:rsidR="007B1A55" w:rsidRPr="009E1A77">
        <w:rPr>
          <w:lang w:val="fr-CA"/>
        </w:rPr>
        <w:t xml:space="preserve">29 </w:t>
      </w:r>
      <w:r w:rsidR="009E1A77" w:rsidRPr="009E1A77">
        <w:rPr>
          <w:lang w:val="fr-CA"/>
        </w:rPr>
        <w:t>de la</w:t>
      </w:r>
      <w:r w:rsidR="009E1A77">
        <w:rPr>
          <w:lang w:val="fr-CA"/>
        </w:rPr>
        <w:t xml:space="preserve"> </w:t>
      </w:r>
      <w:r w:rsidR="007B1A55" w:rsidRPr="009E1A77">
        <w:rPr>
          <w:i/>
          <w:lang w:val="fr-CA"/>
        </w:rPr>
        <w:t>Convention</w:t>
      </w:r>
      <w:r w:rsidR="009E1A77">
        <w:rPr>
          <w:i/>
          <w:lang w:val="fr-CA"/>
        </w:rPr>
        <w:t xml:space="preserve"> de Montréal </w:t>
      </w:r>
      <w:r w:rsidR="009E1A77">
        <w:rPr>
          <w:lang w:val="fr-CA"/>
        </w:rPr>
        <w:t xml:space="preserve">ne régit pas à titre exclusif tous les dommages dont les transporteurs peuvent être tenus responsables pendant le transport aérien international. </w:t>
      </w:r>
      <w:r w:rsidR="00774281">
        <w:rPr>
          <w:lang w:val="fr-CA"/>
        </w:rPr>
        <w:t>Les premiers mots de l’article</w:t>
      </w:r>
      <w:r w:rsidR="006412AC">
        <w:rPr>
          <w:lang w:val="fr-CA"/>
        </w:rPr>
        <w:t xml:space="preserve"> </w:t>
      </w:r>
      <w:r w:rsidR="007B1A55" w:rsidRPr="00CF191B">
        <w:rPr>
          <w:lang w:val="fr-CA"/>
        </w:rPr>
        <w:t xml:space="preserve">29 </w:t>
      </w:r>
      <w:r w:rsidR="00CF191B" w:rsidRPr="00CF191B">
        <w:rPr>
          <w:lang w:val="fr-CA"/>
        </w:rPr>
        <w:t>limitent son champ d’application en déclarant que tout</w:t>
      </w:r>
      <w:r w:rsidR="00DA2A39">
        <w:rPr>
          <w:lang w:val="fr-CA"/>
        </w:rPr>
        <w:t xml:space="preserve">e action en dommages-intérêts </w:t>
      </w:r>
      <w:r w:rsidR="006412AC">
        <w:rPr>
          <w:lang w:val="fr-CA"/>
        </w:rPr>
        <w:t>« </w:t>
      </w:r>
      <w:r w:rsidR="00CF191B" w:rsidRPr="00CF191B">
        <w:rPr>
          <w:lang w:val="fr-CA"/>
        </w:rPr>
        <w:t>[</w:t>
      </w:r>
      <w:r w:rsidR="00CF191B">
        <w:rPr>
          <w:lang w:val="fr-CA"/>
        </w:rPr>
        <w:t>d]ans le transport de passagers</w:t>
      </w:r>
      <w:r w:rsidR="00DA2A39">
        <w:rPr>
          <w:lang w:val="fr-CA"/>
        </w:rPr>
        <w:t>, de bagages et de marchandises</w:t>
      </w:r>
      <w:r w:rsidR="006412AC">
        <w:rPr>
          <w:lang w:val="fr-CA"/>
        </w:rPr>
        <w:t> »</w:t>
      </w:r>
      <w:r w:rsidR="00CF191B">
        <w:rPr>
          <w:lang w:val="fr-CA"/>
        </w:rPr>
        <w:t xml:space="preserve"> </w:t>
      </w:r>
      <w:r w:rsidR="00034EE9">
        <w:rPr>
          <w:lang w:val="fr-CA"/>
        </w:rPr>
        <w:t xml:space="preserve">doit être exercée dans les conditions prévues par la </w:t>
      </w:r>
      <w:r w:rsidR="007B1A55" w:rsidRPr="00CF191B">
        <w:rPr>
          <w:i/>
          <w:lang w:val="fr-CA"/>
        </w:rPr>
        <w:t>Convention</w:t>
      </w:r>
      <w:r w:rsidR="00034EE9">
        <w:rPr>
          <w:i/>
          <w:lang w:val="fr-CA"/>
        </w:rPr>
        <w:t xml:space="preserve"> de Montréal</w:t>
      </w:r>
      <w:r w:rsidR="007B1A55" w:rsidRPr="00CF191B">
        <w:rPr>
          <w:lang w:val="fr-CA"/>
        </w:rPr>
        <w:t xml:space="preserve">. </w:t>
      </w:r>
      <w:r w:rsidR="00034EE9" w:rsidRPr="003C70B5">
        <w:rPr>
          <w:lang w:val="fr-CA"/>
        </w:rPr>
        <w:t xml:space="preserve">Les mots qui suivent immédiatement </w:t>
      </w:r>
      <w:r w:rsidR="00DA2A39">
        <w:rPr>
          <w:lang w:val="fr-CA"/>
        </w:rPr>
        <w:t xml:space="preserve">— </w:t>
      </w:r>
      <w:r w:rsidR="006412AC">
        <w:rPr>
          <w:lang w:val="fr-CA"/>
        </w:rPr>
        <w:t>« </w:t>
      </w:r>
      <w:r w:rsidR="003C70B5" w:rsidRPr="003C70B5">
        <w:rPr>
          <w:lang w:val="fr-CA"/>
        </w:rPr>
        <w:t>à quelque titre que ce soit, en vertu de la présente convention</w:t>
      </w:r>
      <w:r w:rsidR="003C70B5">
        <w:rPr>
          <w:lang w:val="fr-CA"/>
        </w:rPr>
        <w:t xml:space="preserve">, </w:t>
      </w:r>
      <w:r w:rsidR="003C70B5" w:rsidRPr="003C70B5">
        <w:rPr>
          <w:lang w:val="fr-CA"/>
        </w:rPr>
        <w:t>en r</w:t>
      </w:r>
      <w:r w:rsidR="003C70B5">
        <w:rPr>
          <w:lang w:val="fr-CA"/>
        </w:rPr>
        <w:t>aison d’un contrat ou d’un acte ill</w:t>
      </w:r>
      <w:r w:rsidR="00DA2A39">
        <w:rPr>
          <w:lang w:val="fr-CA"/>
        </w:rPr>
        <w:t>icite ou pour toute autre cause</w:t>
      </w:r>
      <w:r w:rsidR="006412AC">
        <w:rPr>
          <w:lang w:val="fr-CA"/>
        </w:rPr>
        <w:t> »</w:t>
      </w:r>
      <w:r w:rsidR="003C70B5">
        <w:rPr>
          <w:lang w:val="fr-CA"/>
        </w:rPr>
        <w:t xml:space="preserve"> </w:t>
      </w:r>
      <w:r w:rsidR="003C70B5" w:rsidRPr="003C70B5">
        <w:rPr>
          <w:lang w:val="fr-CA"/>
        </w:rPr>
        <w:t>—</w:t>
      </w:r>
      <w:r w:rsidR="003C70B5">
        <w:rPr>
          <w:lang w:val="fr-CA"/>
        </w:rPr>
        <w:t xml:space="preserve"> constituent une disposition dont le sens dépend des mots introductifs qui la précèdent. </w:t>
      </w:r>
      <w:r w:rsidR="00DA2A39">
        <w:rPr>
          <w:lang w:val="fr-CA"/>
        </w:rPr>
        <w:t xml:space="preserve">Ainsi, le mot </w:t>
      </w:r>
      <w:r w:rsidR="006412AC">
        <w:rPr>
          <w:lang w:val="fr-CA"/>
        </w:rPr>
        <w:t>« </w:t>
      </w:r>
      <w:r w:rsidR="003C70B5" w:rsidRPr="003C70B5">
        <w:rPr>
          <w:lang w:val="fr-CA"/>
        </w:rPr>
        <w:t>action</w:t>
      </w:r>
      <w:r w:rsidR="006412AC">
        <w:rPr>
          <w:lang w:val="fr-CA"/>
        </w:rPr>
        <w:t> »</w:t>
      </w:r>
      <w:r w:rsidR="003C70B5" w:rsidRPr="003C70B5">
        <w:rPr>
          <w:lang w:val="fr-CA"/>
        </w:rPr>
        <w:t xml:space="preserve"> renvoie uniquement à un</w:t>
      </w:r>
      <w:r w:rsidR="00DA2A39">
        <w:rPr>
          <w:lang w:val="fr-CA"/>
        </w:rPr>
        <w:t xml:space="preserve">e action en dommages-intérêts </w:t>
      </w:r>
      <w:r w:rsidR="006412AC">
        <w:rPr>
          <w:lang w:val="fr-CA"/>
        </w:rPr>
        <w:t>« </w:t>
      </w:r>
      <w:r w:rsidR="003C70B5" w:rsidRPr="00CF191B">
        <w:rPr>
          <w:lang w:val="fr-CA"/>
        </w:rPr>
        <w:t>[</w:t>
      </w:r>
      <w:r w:rsidR="003C70B5">
        <w:rPr>
          <w:lang w:val="fr-CA"/>
        </w:rPr>
        <w:t>d]ans le transport de passagers</w:t>
      </w:r>
      <w:r w:rsidR="00DA2A39">
        <w:rPr>
          <w:lang w:val="fr-CA"/>
        </w:rPr>
        <w:t>, de bagages et de marchandises</w:t>
      </w:r>
      <w:r w:rsidR="006412AC">
        <w:rPr>
          <w:lang w:val="fr-CA"/>
        </w:rPr>
        <w:t> »</w:t>
      </w:r>
      <w:r w:rsidR="007B1A55" w:rsidRPr="003C70B5">
        <w:rPr>
          <w:lang w:val="fr-CA"/>
        </w:rPr>
        <w:t xml:space="preserve">. </w:t>
      </w:r>
      <w:r w:rsidR="003C70B5" w:rsidRPr="003C70B5">
        <w:rPr>
          <w:lang w:val="fr-CA"/>
        </w:rPr>
        <w:t>Par conséquent, seule l’</w:t>
      </w:r>
      <w:r w:rsidR="00DA2A39">
        <w:rPr>
          <w:lang w:val="fr-CA"/>
        </w:rPr>
        <w:t xml:space="preserve">action pour un préjudice subi </w:t>
      </w:r>
      <w:r w:rsidR="006412AC">
        <w:rPr>
          <w:lang w:val="fr-CA"/>
        </w:rPr>
        <w:t>« </w:t>
      </w:r>
      <w:r w:rsidR="003C70B5" w:rsidRPr="003C70B5">
        <w:rPr>
          <w:lang w:val="fr-CA"/>
        </w:rPr>
        <w:t>[d]ans le transport de passagers, de b</w:t>
      </w:r>
      <w:r w:rsidR="00DA2A39">
        <w:rPr>
          <w:lang w:val="fr-CA"/>
        </w:rPr>
        <w:t>agages et de marchandises</w:t>
      </w:r>
      <w:r w:rsidR="006412AC">
        <w:rPr>
          <w:lang w:val="fr-CA"/>
        </w:rPr>
        <w:t> »</w:t>
      </w:r>
      <w:r w:rsidR="003C70B5" w:rsidRPr="003C70B5">
        <w:rPr>
          <w:lang w:val="fr-CA"/>
        </w:rPr>
        <w:t xml:space="preserve"> doit ê</w:t>
      </w:r>
      <w:r w:rsidR="00DA2A39">
        <w:rPr>
          <w:lang w:val="fr-CA"/>
        </w:rPr>
        <w:t xml:space="preserve">tre exercée </w:t>
      </w:r>
      <w:r w:rsidR="006412AC">
        <w:rPr>
          <w:lang w:val="fr-CA"/>
        </w:rPr>
        <w:t>« </w:t>
      </w:r>
      <w:r w:rsidR="003C70B5">
        <w:rPr>
          <w:lang w:val="fr-CA"/>
        </w:rPr>
        <w:t xml:space="preserve">dans les </w:t>
      </w:r>
      <w:r w:rsidR="007B1A55" w:rsidRPr="003C70B5">
        <w:rPr>
          <w:lang w:val="fr-CA"/>
        </w:rPr>
        <w:t xml:space="preserve">conditions </w:t>
      </w:r>
      <w:r w:rsidR="003C70B5">
        <w:rPr>
          <w:lang w:val="fr-CA"/>
        </w:rPr>
        <w:t>et limites de responsabilité prévues</w:t>
      </w:r>
      <w:r w:rsidR="006412AC">
        <w:rPr>
          <w:lang w:val="fr-CA"/>
        </w:rPr>
        <w:t> »</w:t>
      </w:r>
      <w:r w:rsidR="003C70B5">
        <w:rPr>
          <w:lang w:val="fr-CA"/>
        </w:rPr>
        <w:t xml:space="preserve"> par la </w:t>
      </w:r>
      <w:r w:rsidR="007B1A55" w:rsidRPr="003C70B5">
        <w:rPr>
          <w:i/>
          <w:lang w:val="fr-CA"/>
        </w:rPr>
        <w:t>Convention</w:t>
      </w:r>
      <w:r w:rsidR="003C70B5">
        <w:rPr>
          <w:i/>
          <w:lang w:val="fr-CA"/>
        </w:rPr>
        <w:t xml:space="preserve"> de Montréal</w:t>
      </w:r>
      <w:r w:rsidR="007B1A55" w:rsidRPr="003C70B5">
        <w:rPr>
          <w:lang w:val="fr-CA"/>
        </w:rPr>
        <w:t xml:space="preserve">.  </w:t>
      </w:r>
    </w:p>
    <w:p w:rsidR="007B1A55" w:rsidRPr="00AF0BB3" w:rsidRDefault="007B1A55" w:rsidP="00A12DCE">
      <w:pPr>
        <w:pStyle w:val="SCCNormalDoubleSpacing"/>
        <w:widowControl w:val="0"/>
        <w:spacing w:before="480" w:after="480"/>
        <w:rPr>
          <w:lang w:val="fr-CA"/>
        </w:rPr>
      </w:pPr>
      <w:r w:rsidRPr="003C70B5">
        <w:rPr>
          <w:lang w:val="fr-CA"/>
        </w:rPr>
        <w:tab/>
      </w:r>
      <w:r w:rsidR="00BA4F4B" w:rsidRPr="00763AA9">
        <w:rPr>
          <w:lang w:val="fr-CA"/>
        </w:rPr>
        <w:t xml:space="preserve">D’autres dispositions de la </w:t>
      </w:r>
      <w:r w:rsidRPr="00763AA9">
        <w:rPr>
          <w:i/>
          <w:lang w:val="fr-CA"/>
        </w:rPr>
        <w:t>Convention</w:t>
      </w:r>
      <w:r w:rsidR="00BA4F4B" w:rsidRPr="00763AA9">
        <w:rPr>
          <w:i/>
          <w:lang w:val="fr-CA"/>
        </w:rPr>
        <w:t xml:space="preserve"> de Montréal</w:t>
      </w:r>
      <w:r w:rsidRPr="00763AA9">
        <w:rPr>
          <w:lang w:val="fr-CA"/>
        </w:rPr>
        <w:t xml:space="preserve">, </w:t>
      </w:r>
      <w:r w:rsidR="001342AC" w:rsidRPr="00763AA9">
        <w:rPr>
          <w:lang w:val="fr-CA"/>
        </w:rPr>
        <w:t xml:space="preserve">et plus </w:t>
      </w:r>
      <w:r w:rsidR="001342AC" w:rsidRPr="00763AA9">
        <w:rPr>
          <w:lang w:val="fr-CA"/>
        </w:rPr>
        <w:lastRenderedPageBreak/>
        <w:t xml:space="preserve">particulièrement </w:t>
      </w:r>
      <w:r w:rsidR="00774281">
        <w:rPr>
          <w:lang w:val="fr-CA"/>
        </w:rPr>
        <w:t>du chapitre</w:t>
      </w:r>
      <w:r w:rsidR="006412AC">
        <w:rPr>
          <w:lang w:val="fr-CA"/>
        </w:rPr>
        <w:t xml:space="preserve"> </w:t>
      </w:r>
      <w:r w:rsidR="001342AC" w:rsidRPr="00763AA9">
        <w:rPr>
          <w:lang w:val="fr-CA"/>
        </w:rPr>
        <w:t>III o</w:t>
      </w:r>
      <w:r w:rsidR="00763AA9" w:rsidRPr="00763AA9">
        <w:rPr>
          <w:lang w:val="fr-CA"/>
        </w:rPr>
        <w:t>ù f</w:t>
      </w:r>
      <w:r w:rsidR="00774281">
        <w:rPr>
          <w:lang w:val="fr-CA"/>
        </w:rPr>
        <w:t>igure l’article</w:t>
      </w:r>
      <w:r w:rsidR="006412AC">
        <w:rPr>
          <w:lang w:val="fr-CA"/>
        </w:rPr>
        <w:t xml:space="preserve"> </w:t>
      </w:r>
      <w:r w:rsidR="00763AA9">
        <w:rPr>
          <w:lang w:val="fr-CA"/>
        </w:rPr>
        <w:t>29</w:t>
      </w:r>
      <w:r w:rsidR="00774281">
        <w:rPr>
          <w:lang w:val="fr-CA"/>
        </w:rPr>
        <w:t>,</w:t>
      </w:r>
      <w:r w:rsidR="00763AA9">
        <w:rPr>
          <w:lang w:val="fr-CA"/>
        </w:rPr>
        <w:t xml:space="preserve"> </w:t>
      </w:r>
      <w:r w:rsidR="00774281">
        <w:rPr>
          <w:lang w:val="fr-CA"/>
        </w:rPr>
        <w:t xml:space="preserve">aident à déterminer en quoi consiste </w:t>
      </w:r>
      <w:r w:rsidR="00763AA9">
        <w:rPr>
          <w:lang w:val="fr-CA"/>
        </w:rPr>
        <w:t>une a</w:t>
      </w:r>
      <w:r w:rsidR="00774281">
        <w:rPr>
          <w:lang w:val="fr-CA"/>
        </w:rPr>
        <w:t>ction en dommages</w:t>
      </w:r>
      <w:r w:rsidR="006412AC">
        <w:rPr>
          <w:lang w:val="fr-CA"/>
        </w:rPr>
        <w:t>-</w:t>
      </w:r>
      <w:r w:rsidR="00763AA9">
        <w:rPr>
          <w:lang w:val="fr-CA"/>
        </w:rPr>
        <w:t xml:space="preserve">intérêts </w:t>
      </w:r>
      <w:r w:rsidR="006412AC">
        <w:rPr>
          <w:lang w:val="fr-CA"/>
        </w:rPr>
        <w:t>« </w:t>
      </w:r>
      <w:r w:rsidR="00763AA9" w:rsidRPr="00CF191B">
        <w:rPr>
          <w:lang w:val="fr-CA"/>
        </w:rPr>
        <w:t>[</w:t>
      </w:r>
      <w:r w:rsidR="00763AA9">
        <w:rPr>
          <w:lang w:val="fr-CA"/>
        </w:rPr>
        <w:t>d]ans le transport de passagers</w:t>
      </w:r>
      <w:r w:rsidR="00DA2A39">
        <w:rPr>
          <w:lang w:val="fr-CA"/>
        </w:rPr>
        <w:t>, de bagages et de marchandises</w:t>
      </w:r>
      <w:r w:rsidR="006412AC">
        <w:rPr>
          <w:lang w:val="fr-CA"/>
        </w:rPr>
        <w:t> »</w:t>
      </w:r>
      <w:r w:rsidRPr="00763AA9">
        <w:rPr>
          <w:lang w:val="fr-CA"/>
        </w:rPr>
        <w:t xml:space="preserve">. </w:t>
      </w:r>
      <w:r w:rsidR="00E34779">
        <w:rPr>
          <w:lang w:val="fr-CA"/>
        </w:rPr>
        <w:t>Le chapitre</w:t>
      </w:r>
      <w:r w:rsidR="006412AC">
        <w:rPr>
          <w:lang w:val="fr-CA"/>
        </w:rPr>
        <w:t xml:space="preserve"> </w:t>
      </w:r>
      <w:r w:rsidRPr="00763AA9">
        <w:rPr>
          <w:lang w:val="fr-CA"/>
        </w:rPr>
        <w:t>III</w:t>
      </w:r>
      <w:r w:rsidR="00763AA9" w:rsidRPr="00763AA9">
        <w:rPr>
          <w:lang w:val="fr-CA"/>
        </w:rPr>
        <w:t xml:space="preserve"> énonce la responsabilité limitée des</w:t>
      </w:r>
      <w:r w:rsidR="00763AA9">
        <w:rPr>
          <w:lang w:val="fr-CA"/>
        </w:rPr>
        <w:t xml:space="preserve"> transporteurs dans le transport des passagers, des bagages et des marchandises. </w:t>
      </w:r>
      <w:r w:rsidR="00004B04">
        <w:rPr>
          <w:lang w:val="fr-CA"/>
        </w:rPr>
        <w:t xml:space="preserve">Les </w:t>
      </w:r>
      <w:r w:rsidR="00E34779">
        <w:rPr>
          <w:lang w:val="fr-CA"/>
        </w:rPr>
        <w:t>articles</w:t>
      </w:r>
      <w:r w:rsidR="006412AC">
        <w:rPr>
          <w:lang w:val="fr-CA"/>
        </w:rPr>
        <w:t xml:space="preserve"> </w:t>
      </w:r>
      <w:r w:rsidRPr="00763AA9">
        <w:rPr>
          <w:lang w:val="fr-CA"/>
        </w:rPr>
        <w:t xml:space="preserve">17, 18 </w:t>
      </w:r>
      <w:r w:rsidR="00763AA9" w:rsidRPr="00763AA9">
        <w:rPr>
          <w:lang w:val="fr-CA"/>
        </w:rPr>
        <w:t xml:space="preserve">et </w:t>
      </w:r>
      <w:r w:rsidRPr="00763AA9">
        <w:rPr>
          <w:lang w:val="fr-CA"/>
        </w:rPr>
        <w:t>19</w:t>
      </w:r>
      <w:r w:rsidR="00763AA9" w:rsidRPr="00763AA9">
        <w:rPr>
          <w:lang w:val="fr-CA"/>
        </w:rPr>
        <w:t xml:space="preserve"> </w:t>
      </w:r>
      <w:r w:rsidR="00004B04">
        <w:rPr>
          <w:lang w:val="fr-CA"/>
        </w:rPr>
        <w:t xml:space="preserve">portent sur </w:t>
      </w:r>
      <w:r w:rsidR="00763AA9" w:rsidRPr="00763AA9">
        <w:rPr>
          <w:lang w:val="fr-CA"/>
        </w:rPr>
        <w:t xml:space="preserve">la mort ou une lésion corporelle subie par </w:t>
      </w:r>
      <w:r w:rsidR="00763AA9">
        <w:rPr>
          <w:lang w:val="fr-CA"/>
        </w:rPr>
        <w:t xml:space="preserve">un passager, la destruction, la perte ou l’avarie de bagages, </w:t>
      </w:r>
      <w:r w:rsidR="00004B04">
        <w:rPr>
          <w:lang w:val="fr-CA"/>
        </w:rPr>
        <w:t xml:space="preserve">la destruction, la perte ou l’avarie de la marchandise, et le retard dans le transport de personnes, de bagages ou de marchandises. </w:t>
      </w:r>
      <w:r w:rsidR="00004B04" w:rsidRPr="00AF0BB3">
        <w:rPr>
          <w:lang w:val="fr-CA"/>
        </w:rPr>
        <w:t>Conj</w:t>
      </w:r>
      <w:r w:rsidR="00E34779">
        <w:rPr>
          <w:lang w:val="fr-CA"/>
        </w:rPr>
        <w:t>uguées à l’article</w:t>
      </w:r>
      <w:r w:rsidR="006412AC">
        <w:rPr>
          <w:lang w:val="fr-CA"/>
        </w:rPr>
        <w:t xml:space="preserve"> </w:t>
      </w:r>
      <w:r w:rsidRPr="00AF0BB3">
        <w:rPr>
          <w:lang w:val="fr-CA"/>
        </w:rPr>
        <w:t>29,</w:t>
      </w:r>
      <w:r w:rsidR="00004B04" w:rsidRPr="00AF0BB3">
        <w:rPr>
          <w:lang w:val="fr-CA"/>
        </w:rPr>
        <w:t xml:space="preserve"> ces dispositions conf</w:t>
      </w:r>
      <w:r w:rsidR="00AF0BB3" w:rsidRPr="00AF0BB3">
        <w:rPr>
          <w:lang w:val="fr-CA"/>
        </w:rPr>
        <w:t>i</w:t>
      </w:r>
      <w:r w:rsidR="00004B04" w:rsidRPr="00AF0BB3">
        <w:rPr>
          <w:lang w:val="fr-CA"/>
        </w:rPr>
        <w:t xml:space="preserve">rment </w:t>
      </w:r>
      <w:r w:rsidR="00AF0BB3" w:rsidRPr="00AF0BB3">
        <w:rPr>
          <w:lang w:val="fr-CA"/>
        </w:rPr>
        <w:t>que la</w:t>
      </w:r>
      <w:r w:rsidR="00AF0BB3">
        <w:rPr>
          <w:lang w:val="fr-CA"/>
        </w:rPr>
        <w:t xml:space="preserve"> </w:t>
      </w:r>
      <w:r w:rsidRPr="00AF0BB3">
        <w:rPr>
          <w:i/>
          <w:lang w:val="fr-CA"/>
        </w:rPr>
        <w:t>Convention</w:t>
      </w:r>
      <w:r w:rsidR="00AF0BB3">
        <w:rPr>
          <w:i/>
          <w:lang w:val="fr-CA"/>
        </w:rPr>
        <w:t xml:space="preserve"> de Montréal </w:t>
      </w:r>
      <w:r w:rsidR="00AF0BB3">
        <w:rPr>
          <w:lang w:val="fr-CA"/>
        </w:rPr>
        <w:t>régit</w:t>
      </w:r>
      <w:r w:rsidR="00CD7741">
        <w:rPr>
          <w:lang w:val="fr-CA"/>
        </w:rPr>
        <w:t xml:space="preserve"> à titre exclusif uniquement les actions en dommages-intérêts exercées à l’égard de ces objets</w:t>
      </w:r>
      <w:r w:rsidRPr="00AF0BB3">
        <w:rPr>
          <w:lang w:val="fr-CA"/>
        </w:rPr>
        <w:t>.</w:t>
      </w:r>
    </w:p>
    <w:p w:rsidR="007B1A55" w:rsidRPr="008A5DC3" w:rsidRDefault="007B1A55" w:rsidP="00A12DCE">
      <w:pPr>
        <w:pStyle w:val="ParaNoNdepar-AltN"/>
        <w:widowControl w:val="0"/>
        <w:numPr>
          <w:ilvl w:val="0"/>
          <w:numId w:val="0"/>
        </w:numPr>
        <w:rPr>
          <w:rFonts w:cs="Times New Roman"/>
          <w:lang w:val="fr-CA"/>
        </w:rPr>
      </w:pPr>
      <w:r w:rsidRPr="00AF0BB3">
        <w:rPr>
          <w:rFonts w:cs="Times New Roman"/>
          <w:lang w:val="fr-CA"/>
        </w:rPr>
        <w:tab/>
      </w:r>
      <w:r w:rsidR="00CD7741" w:rsidRPr="00B35A6E">
        <w:rPr>
          <w:rFonts w:cs="Times New Roman"/>
          <w:lang w:val="fr-CA"/>
        </w:rPr>
        <w:t xml:space="preserve">La </w:t>
      </w:r>
      <w:r w:rsidRPr="00B35A6E">
        <w:rPr>
          <w:rFonts w:cs="Times New Roman"/>
          <w:i/>
          <w:lang w:val="fr-CA"/>
        </w:rPr>
        <w:t>Convention</w:t>
      </w:r>
      <w:r w:rsidR="00CD7741" w:rsidRPr="00B35A6E">
        <w:rPr>
          <w:rFonts w:cs="Times New Roman"/>
          <w:i/>
          <w:lang w:val="fr-CA"/>
        </w:rPr>
        <w:t xml:space="preserve"> de Varsovie </w:t>
      </w:r>
      <w:r w:rsidR="00CD7741" w:rsidRPr="00B35A6E">
        <w:rPr>
          <w:rFonts w:cs="Times New Roman"/>
          <w:lang w:val="fr-CA"/>
        </w:rPr>
        <w:t>qui l’a pr</w:t>
      </w:r>
      <w:r w:rsidR="00B35A6E" w:rsidRPr="00B35A6E">
        <w:rPr>
          <w:rFonts w:cs="Times New Roman"/>
          <w:lang w:val="fr-CA"/>
        </w:rPr>
        <w:t>é</w:t>
      </w:r>
      <w:r w:rsidR="00CD7741" w:rsidRPr="00B35A6E">
        <w:rPr>
          <w:rFonts w:cs="Times New Roman"/>
          <w:lang w:val="fr-CA"/>
        </w:rPr>
        <w:t>c</w:t>
      </w:r>
      <w:r w:rsidR="00B35A6E">
        <w:rPr>
          <w:rFonts w:cs="Times New Roman"/>
          <w:lang w:val="fr-CA"/>
        </w:rPr>
        <w:t>é</w:t>
      </w:r>
      <w:r w:rsidR="00CD7741" w:rsidRPr="00B35A6E">
        <w:rPr>
          <w:rFonts w:cs="Times New Roman"/>
          <w:lang w:val="fr-CA"/>
        </w:rPr>
        <w:t>d</w:t>
      </w:r>
      <w:r w:rsidR="00B35A6E">
        <w:rPr>
          <w:rFonts w:cs="Times New Roman"/>
          <w:lang w:val="fr-CA"/>
        </w:rPr>
        <w:t>ée</w:t>
      </w:r>
      <w:r w:rsidR="00CD7741" w:rsidRPr="00B35A6E">
        <w:rPr>
          <w:rFonts w:cs="Times New Roman"/>
          <w:lang w:val="fr-CA"/>
        </w:rPr>
        <w:t xml:space="preserve"> a vu le jour en </w:t>
      </w:r>
      <w:r w:rsidRPr="00B35A6E">
        <w:rPr>
          <w:rFonts w:cs="Times New Roman"/>
          <w:lang w:val="fr-CA"/>
        </w:rPr>
        <w:t>1929</w:t>
      </w:r>
      <w:r w:rsidR="00B35A6E">
        <w:rPr>
          <w:rFonts w:cs="Times New Roman"/>
          <w:lang w:val="fr-CA"/>
        </w:rPr>
        <w:t xml:space="preserve"> pour aider l’industrie naissante du transport aérien à prendre son envol. </w:t>
      </w:r>
      <w:r w:rsidR="00B35A6E" w:rsidRPr="00B35A6E">
        <w:rPr>
          <w:rFonts w:cs="Times New Roman"/>
          <w:lang w:val="fr-CA"/>
        </w:rPr>
        <w:t>À l’époque, la technologie de l’aviation en éta</w:t>
      </w:r>
      <w:r w:rsidR="00B35A6E">
        <w:rPr>
          <w:rFonts w:cs="Times New Roman"/>
          <w:lang w:val="fr-CA"/>
        </w:rPr>
        <w:t xml:space="preserve">it à ses débuts. </w:t>
      </w:r>
      <w:r w:rsidR="00B1297D" w:rsidRPr="00B1297D">
        <w:rPr>
          <w:rFonts w:cs="Times New Roman"/>
          <w:lang w:val="fr-CA"/>
        </w:rPr>
        <w:t>Les a</w:t>
      </w:r>
      <w:r w:rsidRPr="00B1297D">
        <w:rPr>
          <w:rFonts w:cs="Times New Roman"/>
          <w:lang w:val="fr-CA"/>
        </w:rPr>
        <w:t>ccidents</w:t>
      </w:r>
      <w:r w:rsidR="00B1297D" w:rsidRPr="00B1297D">
        <w:rPr>
          <w:rFonts w:cs="Times New Roman"/>
          <w:lang w:val="fr-CA"/>
        </w:rPr>
        <w:t xml:space="preserve"> étaient monnaie courante, et de nombreu</w:t>
      </w:r>
      <w:r w:rsidR="00B1297D">
        <w:rPr>
          <w:rFonts w:cs="Times New Roman"/>
          <w:lang w:val="fr-CA"/>
        </w:rPr>
        <w:t xml:space="preserve">x </w:t>
      </w:r>
      <w:r w:rsidR="00880A99">
        <w:rPr>
          <w:rFonts w:cs="Times New Roman"/>
          <w:lang w:val="fr-CA"/>
        </w:rPr>
        <w:t xml:space="preserve">pilotes et passagers y ont été blessés ou y ont trouvé la mort. </w:t>
      </w:r>
      <w:r w:rsidR="00880A99" w:rsidRPr="00880A99">
        <w:rPr>
          <w:rFonts w:cs="Times New Roman"/>
          <w:lang w:val="fr-CA"/>
        </w:rPr>
        <w:t xml:space="preserve">La fréquence relative des accidents exposait les transporteurs </w:t>
      </w:r>
      <w:r w:rsidR="00880A99">
        <w:rPr>
          <w:rFonts w:cs="Times New Roman"/>
          <w:lang w:val="fr-CA"/>
        </w:rPr>
        <w:t>à des pertes imprévisibles et co</w:t>
      </w:r>
      <w:r w:rsidR="008A5DC3">
        <w:rPr>
          <w:rFonts w:cs="Times New Roman"/>
          <w:lang w:val="fr-CA"/>
        </w:rPr>
        <w:t>û</w:t>
      </w:r>
      <w:r w:rsidR="00880A99">
        <w:rPr>
          <w:rFonts w:cs="Times New Roman"/>
          <w:lang w:val="fr-CA"/>
        </w:rPr>
        <w:t xml:space="preserve">teuses, si bien qu’il était difficile </w:t>
      </w:r>
      <w:r w:rsidR="008A5DC3">
        <w:rPr>
          <w:rFonts w:cs="Times New Roman"/>
          <w:lang w:val="fr-CA"/>
        </w:rPr>
        <w:t>d’obtenir des capitaux d’investissement ou une couverture d’assurance. Les transporteurs aériens ont réagi en oblig</w:t>
      </w:r>
      <w:r w:rsidRPr="008A5DC3">
        <w:rPr>
          <w:rFonts w:cs="Times New Roman"/>
          <w:lang w:val="fr-CA"/>
        </w:rPr>
        <w:t>e</w:t>
      </w:r>
      <w:r w:rsidR="008A5DC3">
        <w:rPr>
          <w:rFonts w:cs="Times New Roman"/>
          <w:lang w:val="fr-CA"/>
        </w:rPr>
        <w:t xml:space="preserve">ant les passagers à signer des renonciations déchargeant les transporteurs de toute responsabilité en cas de préjudice. </w:t>
      </w:r>
      <w:r w:rsidR="008A5DC3" w:rsidRPr="008A5DC3">
        <w:rPr>
          <w:rFonts w:cs="Times New Roman"/>
          <w:lang w:val="fr-CA"/>
        </w:rPr>
        <w:t>Lorsqu’un accident se produisait, les passagers en question ne po</w:t>
      </w:r>
      <w:r w:rsidR="008A5DC3">
        <w:rPr>
          <w:rFonts w:cs="Times New Roman"/>
          <w:lang w:val="fr-CA"/>
        </w:rPr>
        <w:t xml:space="preserve">uvaient obtenir réparation pour les blessures ou les pertes qu’ils subissaient. </w:t>
      </w:r>
      <w:r w:rsidR="008A5DC3" w:rsidRPr="008A5DC3">
        <w:rPr>
          <w:rFonts w:cs="Times New Roman"/>
          <w:lang w:val="fr-CA"/>
        </w:rPr>
        <w:t xml:space="preserve">À mesure </w:t>
      </w:r>
      <w:r w:rsidR="008A5DC3" w:rsidRPr="009061A9">
        <w:rPr>
          <w:rFonts w:cs="Times New Roman"/>
          <w:lang w:val="fr-CA"/>
        </w:rPr>
        <w:t>que s’améliorait la sécurité d</w:t>
      </w:r>
      <w:r w:rsidR="008A5DC3">
        <w:rPr>
          <w:rFonts w:cs="Times New Roman"/>
          <w:lang w:val="fr-CA"/>
        </w:rPr>
        <w:t>ans</w:t>
      </w:r>
      <w:r w:rsidR="008A5DC3" w:rsidRPr="009061A9">
        <w:rPr>
          <w:rFonts w:cs="Times New Roman"/>
          <w:lang w:val="fr-CA"/>
        </w:rPr>
        <w:t xml:space="preserve"> l’aviation civile, les gouvernements </w:t>
      </w:r>
      <w:r w:rsidR="008A5DC3">
        <w:rPr>
          <w:rFonts w:cs="Times New Roman"/>
          <w:lang w:val="fr-CA"/>
        </w:rPr>
        <w:t xml:space="preserve">ont délaissé la protection de la viabilité financière des transporteurs aériens pour se pencher sur l’instauration </w:t>
      </w:r>
      <w:r w:rsidR="008A5DC3" w:rsidRPr="009061A9">
        <w:rPr>
          <w:rFonts w:cs="Times New Roman"/>
          <w:lang w:val="fr-CA"/>
        </w:rPr>
        <w:t xml:space="preserve">d’un régime juridique </w:t>
      </w:r>
      <w:r w:rsidR="008A5DC3">
        <w:rPr>
          <w:rFonts w:cs="Times New Roman"/>
          <w:lang w:val="fr-CA"/>
        </w:rPr>
        <w:t>plus favorable aux</w:t>
      </w:r>
      <w:r w:rsidR="008A5DC3" w:rsidRPr="009061A9">
        <w:rPr>
          <w:rFonts w:cs="Times New Roman"/>
          <w:lang w:val="fr-CA"/>
        </w:rPr>
        <w:t xml:space="preserve"> </w:t>
      </w:r>
      <w:r w:rsidR="008A5DC3" w:rsidRPr="009061A9">
        <w:rPr>
          <w:rFonts w:cs="Times New Roman"/>
          <w:lang w:val="fr-CA"/>
        </w:rPr>
        <w:lastRenderedPageBreak/>
        <w:t xml:space="preserve">passagers. L’accent était désormais mis sur l’augmentation des limites exceptionnellement faibles de la responsabilité des transporteurs aériens établies dans la </w:t>
      </w:r>
      <w:r w:rsidR="008A5DC3" w:rsidRPr="009061A9">
        <w:rPr>
          <w:rFonts w:cs="Times New Roman"/>
          <w:i/>
          <w:lang w:val="fr-CA"/>
        </w:rPr>
        <w:t>Convention de Varsovie</w:t>
      </w:r>
      <w:r w:rsidR="008A5DC3">
        <w:rPr>
          <w:rFonts w:cs="Times New Roman"/>
          <w:i/>
          <w:lang w:val="fr-CA"/>
        </w:rPr>
        <w:t xml:space="preserve"> </w:t>
      </w:r>
      <w:r w:rsidR="008A5DC3">
        <w:rPr>
          <w:rFonts w:cs="Times New Roman"/>
          <w:lang w:val="fr-CA"/>
        </w:rPr>
        <w:t>et l</w:t>
      </w:r>
      <w:r w:rsidR="008A5DC3" w:rsidRPr="009061A9">
        <w:rPr>
          <w:rFonts w:cs="Times New Roman"/>
          <w:lang w:val="fr-CA"/>
        </w:rPr>
        <w:t>es États ont subséquemment adhéré à diverses initiatives internationales visant à accroître la responsabilité des transporteurs</w:t>
      </w:r>
      <w:r w:rsidR="008A5DC3">
        <w:rPr>
          <w:rFonts w:cs="Times New Roman"/>
          <w:lang w:val="fr-CA"/>
        </w:rPr>
        <w:t>.</w:t>
      </w:r>
      <w:r w:rsidR="008A5DC3" w:rsidRPr="008A5DC3">
        <w:rPr>
          <w:rFonts w:cs="Times New Roman"/>
          <w:lang w:val="fr-CA"/>
        </w:rPr>
        <w:t xml:space="preserve"> </w:t>
      </w:r>
    </w:p>
    <w:p w:rsidR="007B1A55" w:rsidRPr="00567627" w:rsidRDefault="007B1A55" w:rsidP="00A12DCE">
      <w:pPr>
        <w:pStyle w:val="ParaNoNdepar-AltN"/>
        <w:widowControl w:val="0"/>
        <w:numPr>
          <w:ilvl w:val="0"/>
          <w:numId w:val="0"/>
        </w:numPr>
        <w:rPr>
          <w:rFonts w:cs="Times New Roman"/>
          <w:lang w:val="fr-CA"/>
        </w:rPr>
      </w:pPr>
      <w:r w:rsidRPr="008A5DC3">
        <w:rPr>
          <w:rFonts w:cs="Times New Roman"/>
          <w:lang w:val="fr-CA"/>
        </w:rPr>
        <w:tab/>
      </w:r>
      <w:r w:rsidR="008A5DC3" w:rsidRPr="009061A9">
        <w:rPr>
          <w:rFonts w:cs="Times New Roman"/>
          <w:lang w:val="fr-CA"/>
        </w:rPr>
        <w:t>Même s</w:t>
      </w:r>
      <w:r w:rsidR="008A5DC3">
        <w:rPr>
          <w:rFonts w:cs="Times New Roman"/>
          <w:lang w:val="fr-CA"/>
        </w:rPr>
        <w:t xml:space="preserve">i l’on reconnaissait </w:t>
      </w:r>
      <w:r w:rsidR="008A5DC3" w:rsidRPr="009061A9">
        <w:rPr>
          <w:rFonts w:cs="Times New Roman"/>
          <w:lang w:val="fr-CA"/>
        </w:rPr>
        <w:t xml:space="preserve">de plus en plus que </w:t>
      </w:r>
      <w:r w:rsidR="008A5DC3">
        <w:rPr>
          <w:rFonts w:cs="Times New Roman"/>
          <w:lang w:val="fr-CA"/>
        </w:rPr>
        <w:t>les indemnités versées aux</w:t>
      </w:r>
      <w:r w:rsidR="008A5DC3" w:rsidRPr="009061A9">
        <w:rPr>
          <w:rFonts w:cs="Times New Roman"/>
          <w:lang w:val="fr-CA"/>
        </w:rPr>
        <w:t xml:space="preserve"> passagers étai</w:t>
      </w:r>
      <w:r w:rsidR="008A5DC3">
        <w:rPr>
          <w:rFonts w:cs="Times New Roman"/>
          <w:lang w:val="fr-CA"/>
        </w:rPr>
        <w:t>en</w:t>
      </w:r>
      <w:r w:rsidR="008A5DC3" w:rsidRPr="009061A9">
        <w:rPr>
          <w:rFonts w:cs="Times New Roman"/>
          <w:lang w:val="fr-CA"/>
        </w:rPr>
        <w:t xml:space="preserve">t </w:t>
      </w:r>
      <w:r w:rsidR="008A5DC3">
        <w:rPr>
          <w:rFonts w:cs="Times New Roman"/>
          <w:lang w:val="fr-CA"/>
        </w:rPr>
        <w:t>trop faibles</w:t>
      </w:r>
      <w:r w:rsidR="008A5DC3" w:rsidRPr="009061A9">
        <w:rPr>
          <w:rFonts w:cs="Times New Roman"/>
          <w:lang w:val="fr-CA"/>
        </w:rPr>
        <w:t>, la conclusion d’un instrument international unique accroissant les plafonds de responsabilité de</w:t>
      </w:r>
      <w:r w:rsidR="008A5DC3">
        <w:rPr>
          <w:rFonts w:cs="Times New Roman"/>
          <w:lang w:val="fr-CA"/>
        </w:rPr>
        <w:t>s</w:t>
      </w:r>
      <w:r w:rsidR="008A5DC3" w:rsidRPr="009061A9">
        <w:rPr>
          <w:rFonts w:cs="Times New Roman"/>
          <w:lang w:val="fr-CA"/>
        </w:rPr>
        <w:t xml:space="preserve"> transporteurs </w:t>
      </w:r>
      <w:r w:rsidR="008A5DC3">
        <w:rPr>
          <w:rFonts w:cs="Times New Roman"/>
          <w:lang w:val="fr-CA"/>
        </w:rPr>
        <w:t>se révélait</w:t>
      </w:r>
      <w:r w:rsidR="008A5DC3" w:rsidRPr="009061A9">
        <w:rPr>
          <w:rFonts w:cs="Times New Roman"/>
          <w:lang w:val="fr-CA"/>
        </w:rPr>
        <w:t xml:space="preserve"> hors d</w:t>
      </w:r>
      <w:r w:rsidR="00EE391E">
        <w:rPr>
          <w:rFonts w:cs="Times New Roman"/>
          <w:lang w:val="fr-CA"/>
        </w:rPr>
        <w:t>’atteinte</w:t>
      </w:r>
      <w:r w:rsidR="008A5DC3" w:rsidRPr="009061A9">
        <w:rPr>
          <w:rFonts w:cs="Times New Roman"/>
          <w:lang w:val="fr-CA"/>
        </w:rPr>
        <w:t xml:space="preserve">. Craignant que cette réponse hétéroclite </w:t>
      </w:r>
      <w:r w:rsidR="008A5DC3">
        <w:rPr>
          <w:rFonts w:cs="Times New Roman"/>
          <w:lang w:val="fr-CA"/>
        </w:rPr>
        <w:t xml:space="preserve">entraîne </w:t>
      </w:r>
      <w:r w:rsidR="008A5DC3" w:rsidRPr="009061A9">
        <w:rPr>
          <w:rFonts w:cs="Times New Roman"/>
          <w:lang w:val="fr-CA"/>
        </w:rPr>
        <w:t>la disparition d’un système unifié de droit aérien international, l’industrie a agi. L’</w:t>
      </w:r>
      <w:r w:rsidR="008A5DC3" w:rsidRPr="009061A9">
        <w:rPr>
          <w:rFonts w:cs="Times New Roman"/>
          <w:i/>
          <w:lang w:val="fr-CA"/>
        </w:rPr>
        <w:t>Accord de Montréal</w:t>
      </w:r>
      <w:r w:rsidR="008A5DC3" w:rsidRPr="009061A9">
        <w:rPr>
          <w:rFonts w:cs="Times New Roman"/>
          <w:lang w:val="fr-CA"/>
        </w:rPr>
        <w:t xml:space="preserve"> de 1966, un accord privé entre transporteurs aériens, a augmenté la responsabilité des transporteurs prévue dans la </w:t>
      </w:r>
      <w:r w:rsidR="008A5DC3" w:rsidRPr="009061A9">
        <w:rPr>
          <w:rFonts w:cs="Times New Roman"/>
          <w:i/>
          <w:lang w:val="fr-CA"/>
        </w:rPr>
        <w:t xml:space="preserve">Convention de Varsovie </w:t>
      </w:r>
      <w:r w:rsidR="008A5DC3" w:rsidRPr="009061A9">
        <w:rPr>
          <w:rFonts w:cs="Times New Roman"/>
          <w:lang w:val="fr-CA"/>
        </w:rPr>
        <w:t xml:space="preserve">au titre des </w:t>
      </w:r>
      <w:r w:rsidR="008A5DC3">
        <w:rPr>
          <w:rFonts w:cs="Times New Roman"/>
          <w:lang w:val="fr-CA"/>
        </w:rPr>
        <w:t>lésion</w:t>
      </w:r>
      <w:r w:rsidR="008A5DC3" w:rsidRPr="009061A9">
        <w:rPr>
          <w:rFonts w:cs="Times New Roman"/>
          <w:lang w:val="fr-CA"/>
        </w:rPr>
        <w:t>s corporelles</w:t>
      </w:r>
      <w:r w:rsidR="008A5DC3">
        <w:rPr>
          <w:rFonts w:cs="Times New Roman"/>
          <w:lang w:val="fr-CA"/>
        </w:rPr>
        <w:t>.</w:t>
      </w:r>
      <w:r w:rsidR="008A5DC3" w:rsidRPr="009061A9">
        <w:rPr>
          <w:rFonts w:cs="Times New Roman"/>
          <w:lang w:val="fr-CA"/>
        </w:rPr>
        <w:t xml:space="preserve"> </w:t>
      </w:r>
      <w:r w:rsidRPr="00567627">
        <w:rPr>
          <w:rFonts w:cs="Times New Roman"/>
          <w:lang w:val="fr-CA"/>
        </w:rPr>
        <w:t xml:space="preserve"> </w:t>
      </w:r>
    </w:p>
    <w:p w:rsidR="007B1A55" w:rsidRPr="00EF442D" w:rsidRDefault="007B1A55" w:rsidP="00A12DCE">
      <w:pPr>
        <w:pStyle w:val="ParaNoNdepar-AltN"/>
        <w:widowControl w:val="0"/>
        <w:numPr>
          <w:ilvl w:val="0"/>
          <w:numId w:val="0"/>
        </w:numPr>
        <w:rPr>
          <w:rFonts w:cs="Times New Roman"/>
          <w:lang w:val="fr-CA"/>
        </w:rPr>
      </w:pPr>
      <w:r w:rsidRPr="00567627">
        <w:rPr>
          <w:rFonts w:cs="Times New Roman"/>
          <w:lang w:val="fr-CA"/>
        </w:rPr>
        <w:tab/>
      </w:r>
      <w:r w:rsidR="00567627" w:rsidRPr="009061A9">
        <w:rPr>
          <w:rFonts w:cs="Times New Roman"/>
          <w:lang w:val="fr-CA"/>
        </w:rPr>
        <w:t xml:space="preserve">Ayant été </w:t>
      </w:r>
      <w:r w:rsidR="006412AC">
        <w:rPr>
          <w:rFonts w:cs="Times New Roman"/>
          <w:lang w:val="fr-CA"/>
        </w:rPr>
        <w:t>« </w:t>
      </w:r>
      <w:r w:rsidR="00567627" w:rsidRPr="009061A9">
        <w:rPr>
          <w:rFonts w:cs="Times New Roman"/>
          <w:lang w:val="fr-CA"/>
        </w:rPr>
        <w:t>pris de court</w:t>
      </w:r>
      <w:r w:rsidR="006412AC">
        <w:rPr>
          <w:rFonts w:cs="Times New Roman"/>
          <w:lang w:val="fr-CA"/>
        </w:rPr>
        <w:t> »</w:t>
      </w:r>
      <w:r w:rsidR="00567627" w:rsidRPr="009061A9">
        <w:rPr>
          <w:rFonts w:cs="Times New Roman"/>
          <w:lang w:val="fr-CA"/>
        </w:rPr>
        <w:t xml:space="preserve"> par les initiatives de l’industrie</w:t>
      </w:r>
      <w:r w:rsidR="00567627">
        <w:rPr>
          <w:rFonts w:cs="Times New Roman"/>
          <w:lang w:val="fr-CA"/>
        </w:rPr>
        <w:t xml:space="preserve"> en vue de </w:t>
      </w:r>
      <w:r w:rsidR="00567627" w:rsidRPr="009061A9">
        <w:rPr>
          <w:rFonts w:cs="Times New Roman"/>
          <w:lang w:val="fr-CA"/>
        </w:rPr>
        <w:t>s’attaquer aux plafonds</w:t>
      </w:r>
      <w:r w:rsidR="00567627">
        <w:rPr>
          <w:rFonts w:cs="Times New Roman"/>
          <w:lang w:val="fr-CA"/>
        </w:rPr>
        <w:t xml:space="preserve"> peu élevés</w:t>
      </w:r>
      <w:r w:rsidR="00567627" w:rsidRPr="009061A9">
        <w:rPr>
          <w:rFonts w:cs="Times New Roman"/>
          <w:lang w:val="fr-CA"/>
        </w:rPr>
        <w:t xml:space="preserve"> de responsabilité des transporteurs, les États ont entrepris de mettre à jour la </w:t>
      </w:r>
      <w:r w:rsidR="00567627" w:rsidRPr="009061A9">
        <w:rPr>
          <w:rFonts w:cs="Times New Roman"/>
          <w:i/>
          <w:lang w:val="fr-CA"/>
        </w:rPr>
        <w:t>Convention de Varsovie</w:t>
      </w:r>
      <w:r w:rsidRPr="00567627">
        <w:rPr>
          <w:rFonts w:cs="Times New Roman"/>
          <w:lang w:val="fr-CA"/>
        </w:rPr>
        <w:t xml:space="preserve">. </w:t>
      </w:r>
      <w:r w:rsidR="00567627" w:rsidRPr="00567627">
        <w:rPr>
          <w:rFonts w:cs="Times New Roman"/>
          <w:lang w:val="fr-CA"/>
        </w:rPr>
        <w:t xml:space="preserve">La </w:t>
      </w:r>
      <w:r w:rsidRPr="00567627">
        <w:rPr>
          <w:rFonts w:cs="Times New Roman"/>
          <w:i/>
          <w:lang w:val="fr-CA"/>
        </w:rPr>
        <w:t>Convention</w:t>
      </w:r>
      <w:r w:rsidR="00567627" w:rsidRPr="00567627">
        <w:rPr>
          <w:rFonts w:cs="Times New Roman"/>
          <w:i/>
          <w:lang w:val="fr-CA"/>
        </w:rPr>
        <w:t xml:space="preserve"> de Montréal</w:t>
      </w:r>
      <w:r w:rsidRPr="00567627">
        <w:rPr>
          <w:rFonts w:cs="Times New Roman"/>
          <w:i/>
          <w:lang w:val="fr-CA"/>
        </w:rPr>
        <w:t xml:space="preserve"> </w:t>
      </w:r>
      <w:r w:rsidR="00567627" w:rsidRPr="00567627">
        <w:rPr>
          <w:rFonts w:cs="Times New Roman"/>
          <w:lang w:val="fr-CA"/>
        </w:rPr>
        <w:t xml:space="preserve">a vu le jour en </w:t>
      </w:r>
      <w:r w:rsidRPr="00567627">
        <w:rPr>
          <w:rFonts w:cs="Times New Roman"/>
          <w:lang w:val="fr-CA"/>
        </w:rPr>
        <w:t>1999,</w:t>
      </w:r>
      <w:r w:rsidR="00567627" w:rsidRPr="00567627">
        <w:rPr>
          <w:rFonts w:cs="Times New Roman"/>
          <w:lang w:val="fr-CA"/>
        </w:rPr>
        <w:t xml:space="preserve"> </w:t>
      </w:r>
      <w:r w:rsidR="00567627">
        <w:rPr>
          <w:rFonts w:cs="Times New Roman"/>
          <w:lang w:val="fr-CA"/>
        </w:rPr>
        <w:t xml:space="preserve">adoptant le régime de responsabilité à deux volets en cas de lésion ou de décès d’un passager. </w:t>
      </w:r>
      <w:r w:rsidR="00567627" w:rsidRPr="00567627">
        <w:rPr>
          <w:rFonts w:cs="Times New Roman"/>
          <w:lang w:val="fr-CA"/>
        </w:rPr>
        <w:t xml:space="preserve">La </w:t>
      </w:r>
      <w:r w:rsidRPr="00567627">
        <w:rPr>
          <w:rFonts w:cs="Times New Roman"/>
          <w:i/>
          <w:lang w:val="fr-CA"/>
        </w:rPr>
        <w:t>Convention</w:t>
      </w:r>
      <w:r w:rsidRPr="00567627">
        <w:rPr>
          <w:rFonts w:cs="Times New Roman"/>
          <w:lang w:val="fr-CA"/>
        </w:rPr>
        <w:t xml:space="preserve"> </w:t>
      </w:r>
      <w:r w:rsidR="00567627" w:rsidRPr="00567627">
        <w:rPr>
          <w:rFonts w:cs="Times New Roman"/>
          <w:i/>
          <w:lang w:val="fr-CA"/>
        </w:rPr>
        <w:t xml:space="preserve">de Montréal </w:t>
      </w:r>
      <w:r w:rsidR="00567627" w:rsidRPr="00567627">
        <w:rPr>
          <w:rFonts w:cs="Times New Roman"/>
          <w:lang w:val="fr-CA"/>
        </w:rPr>
        <w:t xml:space="preserve">se voulait </w:t>
      </w:r>
      <w:r w:rsidR="00DC0C75">
        <w:rPr>
          <w:rFonts w:cs="Times New Roman"/>
          <w:lang w:val="fr-CA"/>
        </w:rPr>
        <w:t>ains</w:t>
      </w:r>
      <w:r w:rsidR="00567627" w:rsidRPr="00567627">
        <w:rPr>
          <w:rFonts w:cs="Times New Roman"/>
          <w:lang w:val="fr-CA"/>
        </w:rPr>
        <w:t>i une solution de rechange au régime à l</w:t>
      </w:r>
      <w:r w:rsidR="00567627">
        <w:rPr>
          <w:rFonts w:cs="Times New Roman"/>
          <w:lang w:val="fr-CA"/>
        </w:rPr>
        <w:t xml:space="preserve">a pièce qui visait à augmenter les limites de responsabilité </w:t>
      </w:r>
      <w:r w:rsidR="00EF442D">
        <w:rPr>
          <w:rFonts w:cs="Times New Roman"/>
          <w:lang w:val="fr-CA"/>
        </w:rPr>
        <w:t xml:space="preserve">établies par la </w:t>
      </w:r>
      <w:r w:rsidRPr="00567627">
        <w:rPr>
          <w:rFonts w:cs="Times New Roman"/>
          <w:i/>
          <w:lang w:val="fr-CA"/>
        </w:rPr>
        <w:t>Convention</w:t>
      </w:r>
      <w:r w:rsidR="00EF442D">
        <w:rPr>
          <w:rFonts w:cs="Times New Roman"/>
          <w:i/>
          <w:lang w:val="fr-CA"/>
        </w:rPr>
        <w:t xml:space="preserve"> de Varsovie</w:t>
      </w:r>
      <w:r w:rsidRPr="00567627">
        <w:rPr>
          <w:rFonts w:cs="Times New Roman"/>
          <w:lang w:val="fr-CA"/>
        </w:rPr>
        <w:t xml:space="preserve"> </w:t>
      </w:r>
      <w:r w:rsidR="00EF442D">
        <w:rPr>
          <w:rFonts w:cs="Times New Roman"/>
          <w:lang w:val="fr-CA"/>
        </w:rPr>
        <w:t>de</w:t>
      </w:r>
      <w:r w:rsidRPr="00567627">
        <w:rPr>
          <w:rFonts w:cs="Times New Roman"/>
          <w:lang w:val="fr-CA"/>
        </w:rPr>
        <w:t xml:space="preserve"> 1929. </w:t>
      </w:r>
      <w:r w:rsidR="00EF442D" w:rsidRPr="00EF442D">
        <w:rPr>
          <w:rFonts w:cs="Times New Roman"/>
          <w:lang w:val="fr-CA"/>
        </w:rPr>
        <w:t xml:space="preserve">Les rédacteurs de la </w:t>
      </w:r>
      <w:r w:rsidRPr="00EF442D">
        <w:rPr>
          <w:rFonts w:cs="Times New Roman"/>
          <w:i/>
          <w:lang w:val="fr-CA"/>
        </w:rPr>
        <w:t>Convention</w:t>
      </w:r>
      <w:r w:rsidR="00EF442D" w:rsidRPr="00EF442D">
        <w:rPr>
          <w:rFonts w:cs="Times New Roman"/>
          <w:i/>
          <w:lang w:val="fr-CA"/>
        </w:rPr>
        <w:t xml:space="preserve"> de Montréal</w:t>
      </w:r>
      <w:r w:rsidRPr="00EF442D">
        <w:rPr>
          <w:rFonts w:cs="Times New Roman"/>
          <w:lang w:val="fr-CA"/>
        </w:rPr>
        <w:t xml:space="preserve"> </w:t>
      </w:r>
      <w:r w:rsidR="00EF442D" w:rsidRPr="00EF442D">
        <w:rPr>
          <w:rFonts w:cs="Times New Roman"/>
          <w:lang w:val="fr-CA"/>
        </w:rPr>
        <w:t xml:space="preserve">ont maintenu un régime de responsabilité uniforme, semblable à celui de la </w:t>
      </w:r>
      <w:r w:rsidRPr="00EF442D">
        <w:rPr>
          <w:rFonts w:cs="Times New Roman"/>
          <w:i/>
          <w:lang w:val="fr-CA"/>
        </w:rPr>
        <w:t>Convention</w:t>
      </w:r>
      <w:r w:rsidR="00EF442D" w:rsidRPr="00EF442D">
        <w:rPr>
          <w:rFonts w:cs="Times New Roman"/>
          <w:lang w:val="fr-CA"/>
        </w:rPr>
        <w:t xml:space="preserve"> </w:t>
      </w:r>
      <w:r w:rsidR="00EF442D" w:rsidRPr="00EF442D">
        <w:rPr>
          <w:rFonts w:cs="Times New Roman"/>
          <w:i/>
          <w:lang w:val="fr-CA"/>
        </w:rPr>
        <w:t>de Varsovie</w:t>
      </w:r>
      <w:r w:rsidR="00EF442D" w:rsidRPr="00EF442D">
        <w:rPr>
          <w:rFonts w:cs="Times New Roman"/>
          <w:lang w:val="fr-CA"/>
        </w:rPr>
        <w:t>,</w:t>
      </w:r>
      <w:r w:rsidRPr="00EF442D">
        <w:rPr>
          <w:rFonts w:cs="Times New Roman"/>
          <w:lang w:val="fr-CA"/>
        </w:rPr>
        <w:t xml:space="preserve"> </w:t>
      </w:r>
      <w:r w:rsidR="00EF442D" w:rsidRPr="00EF442D">
        <w:rPr>
          <w:rFonts w:cs="Times New Roman"/>
          <w:lang w:val="fr-CA"/>
        </w:rPr>
        <w:t xml:space="preserve">mais alors que la </w:t>
      </w:r>
      <w:r w:rsidRPr="00EF442D">
        <w:rPr>
          <w:rFonts w:cs="Times New Roman"/>
          <w:i/>
          <w:lang w:val="fr-CA"/>
        </w:rPr>
        <w:t>Convention</w:t>
      </w:r>
      <w:r w:rsidR="00EF442D" w:rsidRPr="00EF442D">
        <w:rPr>
          <w:rFonts w:cs="Times New Roman"/>
          <w:i/>
          <w:lang w:val="fr-CA"/>
        </w:rPr>
        <w:t xml:space="preserve"> </w:t>
      </w:r>
      <w:r w:rsidR="00EF442D">
        <w:rPr>
          <w:rFonts w:cs="Times New Roman"/>
          <w:i/>
          <w:lang w:val="fr-CA"/>
        </w:rPr>
        <w:t>de Varsovie</w:t>
      </w:r>
      <w:r w:rsidRPr="00EF442D">
        <w:rPr>
          <w:rFonts w:cs="Times New Roman"/>
          <w:i/>
          <w:lang w:val="fr-CA"/>
        </w:rPr>
        <w:t xml:space="preserve"> </w:t>
      </w:r>
      <w:r w:rsidR="00026D54">
        <w:rPr>
          <w:rFonts w:cs="Times New Roman"/>
          <w:lang w:val="fr-CA"/>
        </w:rPr>
        <w:t xml:space="preserve">avait pour principal objectif de limiter la responsabilité des transporteurs afin de favoriser la croissance de l’industrie naissante de l’aviation civile, les États parties à la </w:t>
      </w:r>
      <w:r w:rsidR="00026D54">
        <w:rPr>
          <w:rFonts w:cs="Times New Roman"/>
          <w:i/>
          <w:lang w:val="fr-CA"/>
        </w:rPr>
        <w:lastRenderedPageBreak/>
        <w:t>Convention de M</w:t>
      </w:r>
      <w:r w:rsidRPr="00EF442D">
        <w:rPr>
          <w:rFonts w:cs="Times New Roman"/>
          <w:i/>
          <w:lang w:val="fr-CA"/>
        </w:rPr>
        <w:t>ontr</w:t>
      </w:r>
      <w:r w:rsidR="00026D54">
        <w:rPr>
          <w:rFonts w:cs="Times New Roman"/>
          <w:i/>
          <w:lang w:val="fr-CA"/>
        </w:rPr>
        <w:t>é</w:t>
      </w:r>
      <w:r w:rsidRPr="00EF442D">
        <w:rPr>
          <w:rFonts w:cs="Times New Roman"/>
          <w:i/>
          <w:lang w:val="fr-CA"/>
        </w:rPr>
        <w:t xml:space="preserve">al </w:t>
      </w:r>
      <w:r w:rsidR="00026D54">
        <w:rPr>
          <w:rFonts w:cs="Times New Roman"/>
          <w:lang w:val="fr-CA"/>
        </w:rPr>
        <w:t>se souciaient davantage de l’importance d’assurer la protection des intérêts des consommateurs da</w:t>
      </w:r>
      <w:r w:rsidRPr="00EF442D">
        <w:rPr>
          <w:rFonts w:cs="Times New Roman"/>
          <w:lang w:val="fr-CA"/>
        </w:rPr>
        <w:t>n</w:t>
      </w:r>
      <w:r w:rsidR="00026D54">
        <w:rPr>
          <w:rFonts w:cs="Times New Roman"/>
          <w:lang w:val="fr-CA"/>
        </w:rPr>
        <w:t>s</w:t>
      </w:r>
      <w:r w:rsidR="00E021D2">
        <w:rPr>
          <w:rFonts w:cs="Times New Roman"/>
          <w:lang w:val="fr-CA"/>
        </w:rPr>
        <w:t xml:space="preserve"> le transport aérien</w:t>
      </w:r>
      <w:r w:rsidRPr="00EF442D">
        <w:rPr>
          <w:rFonts w:cs="Times New Roman"/>
          <w:lang w:val="fr-CA"/>
        </w:rPr>
        <w:t xml:space="preserve"> international </w:t>
      </w:r>
      <w:r w:rsidR="00E021D2">
        <w:rPr>
          <w:rFonts w:cs="Times New Roman"/>
          <w:lang w:val="fr-CA"/>
        </w:rPr>
        <w:t xml:space="preserve">et de la nécessité </w:t>
      </w:r>
      <w:r w:rsidR="00DC0C75">
        <w:rPr>
          <w:rFonts w:cs="Times New Roman"/>
          <w:lang w:val="fr-CA"/>
        </w:rPr>
        <w:t>d’</w:t>
      </w:r>
      <w:r w:rsidR="00E021D2" w:rsidRPr="009061A9">
        <w:rPr>
          <w:rFonts w:cs="Times New Roman"/>
          <w:lang w:val="fr-CA"/>
        </w:rPr>
        <w:t>une indemnisation équitable fondée sur le principe de réparation</w:t>
      </w:r>
      <w:r w:rsidRPr="00EF442D">
        <w:rPr>
          <w:rFonts w:cs="Times New Roman"/>
          <w:lang w:val="fr-CA"/>
        </w:rPr>
        <w:t xml:space="preserve">. </w:t>
      </w:r>
    </w:p>
    <w:p w:rsidR="007B1A55" w:rsidRPr="002107F0" w:rsidRDefault="007B1A55" w:rsidP="00A12DCE">
      <w:pPr>
        <w:pStyle w:val="ParaNoNdepar-AltN"/>
        <w:widowControl w:val="0"/>
        <w:numPr>
          <w:ilvl w:val="0"/>
          <w:numId w:val="0"/>
        </w:numPr>
        <w:rPr>
          <w:rFonts w:cs="Times New Roman"/>
          <w:lang w:val="fr-CA"/>
        </w:rPr>
      </w:pPr>
      <w:r w:rsidRPr="00EF442D">
        <w:rPr>
          <w:rFonts w:cs="Times New Roman"/>
          <w:lang w:val="fr-CA"/>
        </w:rPr>
        <w:tab/>
      </w:r>
      <w:r w:rsidR="00E021D2" w:rsidRPr="00E021D2">
        <w:rPr>
          <w:rFonts w:cs="Times New Roman"/>
          <w:lang w:val="fr-CA"/>
        </w:rPr>
        <w:t xml:space="preserve">Il est donc à la fois paradoxal et anormal d’un point de vue historique de </w:t>
      </w:r>
      <w:r w:rsidR="00E021D2">
        <w:rPr>
          <w:rFonts w:cs="Times New Roman"/>
          <w:lang w:val="fr-CA"/>
        </w:rPr>
        <w:t>donner à l’art</w:t>
      </w:r>
      <w:r w:rsidR="00DC0C75">
        <w:rPr>
          <w:rFonts w:cs="Times New Roman"/>
          <w:lang w:val="fr-CA"/>
        </w:rPr>
        <w:t>icle</w:t>
      </w:r>
      <w:r w:rsidR="006412AC">
        <w:rPr>
          <w:rFonts w:cs="Times New Roman"/>
          <w:lang w:val="fr-CA"/>
        </w:rPr>
        <w:t xml:space="preserve"> </w:t>
      </w:r>
      <w:r w:rsidR="00E021D2" w:rsidRPr="009061A9">
        <w:rPr>
          <w:rFonts w:cs="Times New Roman"/>
          <w:lang w:val="fr-CA"/>
        </w:rPr>
        <w:t xml:space="preserve">29 de la </w:t>
      </w:r>
      <w:r w:rsidR="00E021D2" w:rsidRPr="009061A9">
        <w:rPr>
          <w:rFonts w:cs="Times New Roman"/>
          <w:i/>
          <w:lang w:val="fr-CA"/>
        </w:rPr>
        <w:t>Convention de Montréal</w:t>
      </w:r>
      <w:r w:rsidR="00E021D2">
        <w:rPr>
          <w:rFonts w:cs="Times New Roman"/>
          <w:i/>
          <w:lang w:val="fr-CA"/>
        </w:rPr>
        <w:t xml:space="preserve"> </w:t>
      </w:r>
      <w:r w:rsidR="00E021D2">
        <w:rPr>
          <w:rFonts w:cs="Times New Roman"/>
          <w:lang w:val="fr-CA"/>
        </w:rPr>
        <w:t xml:space="preserve">une interprétation qui </w:t>
      </w:r>
      <w:r w:rsidR="00E021D2" w:rsidRPr="009061A9">
        <w:rPr>
          <w:rFonts w:cs="Times New Roman"/>
          <w:lang w:val="fr-CA"/>
        </w:rPr>
        <w:t>a pour effet de réduire la protection accordée aux consommateurs et d’accroître celle accordée aux transporteurs</w:t>
      </w:r>
      <w:r w:rsidR="00E021D2">
        <w:rPr>
          <w:rFonts w:cs="Times New Roman"/>
          <w:lang w:val="fr-CA"/>
        </w:rPr>
        <w:t xml:space="preserve">. </w:t>
      </w:r>
      <w:r w:rsidR="002107F0">
        <w:rPr>
          <w:rFonts w:cs="Times New Roman"/>
          <w:lang w:val="fr-CA"/>
        </w:rPr>
        <w:t xml:space="preserve">Personne n’a prétendu à quelque moment que ce soit </w:t>
      </w:r>
      <w:r w:rsidR="002107F0" w:rsidRPr="009061A9">
        <w:rPr>
          <w:rFonts w:cs="Times New Roman"/>
          <w:lang w:val="fr-CA"/>
        </w:rPr>
        <w:t xml:space="preserve">que la nouvelle </w:t>
      </w:r>
      <w:r w:rsidR="002107F0" w:rsidRPr="009061A9">
        <w:rPr>
          <w:rFonts w:cs="Times New Roman"/>
          <w:i/>
          <w:lang w:val="fr-CA"/>
        </w:rPr>
        <w:t>Convention</w:t>
      </w:r>
      <w:r w:rsidR="002107F0" w:rsidRPr="009061A9">
        <w:rPr>
          <w:rFonts w:cs="Times New Roman"/>
          <w:lang w:val="fr-CA"/>
        </w:rPr>
        <w:t xml:space="preserve"> visait à </w:t>
      </w:r>
      <w:r w:rsidR="002107F0" w:rsidRPr="009061A9">
        <w:rPr>
          <w:rFonts w:cs="Times New Roman"/>
          <w:i/>
          <w:lang w:val="fr-CA"/>
        </w:rPr>
        <w:t>réduire</w:t>
      </w:r>
      <w:r w:rsidR="002107F0" w:rsidRPr="009061A9">
        <w:rPr>
          <w:rFonts w:cs="Times New Roman"/>
          <w:lang w:val="fr-CA"/>
        </w:rPr>
        <w:t xml:space="preserve"> la faculté des passagers de poursuivre les transporteurs.</w:t>
      </w:r>
      <w:r w:rsidR="002107F0">
        <w:rPr>
          <w:rFonts w:cs="Times New Roman"/>
          <w:lang w:val="fr-CA"/>
        </w:rPr>
        <w:t xml:space="preserve"> </w:t>
      </w:r>
    </w:p>
    <w:p w:rsidR="007B1A55" w:rsidRPr="001C7451" w:rsidRDefault="007B1A55" w:rsidP="00A12DCE">
      <w:pPr>
        <w:pStyle w:val="ParaNoNdepar-AltN"/>
        <w:widowControl w:val="0"/>
        <w:numPr>
          <w:ilvl w:val="0"/>
          <w:numId w:val="0"/>
        </w:numPr>
        <w:rPr>
          <w:rFonts w:cs="Times New Roman"/>
          <w:lang w:val="fr-CA"/>
        </w:rPr>
      </w:pPr>
      <w:r w:rsidRPr="002107F0">
        <w:rPr>
          <w:rFonts w:cs="Times New Roman"/>
          <w:lang w:val="fr-CA"/>
        </w:rPr>
        <w:tab/>
      </w:r>
      <w:r w:rsidR="002107F0">
        <w:rPr>
          <w:rFonts w:cs="Times New Roman"/>
          <w:lang w:val="fr-CA"/>
        </w:rPr>
        <w:t>Qui plus est, l</w:t>
      </w:r>
      <w:r w:rsidR="002107F0" w:rsidRPr="009061A9">
        <w:rPr>
          <w:rFonts w:cs="Times New Roman"/>
          <w:lang w:val="fr-CA"/>
        </w:rPr>
        <w:t>’absence</w:t>
      </w:r>
      <w:r w:rsidR="002107F0">
        <w:rPr>
          <w:rFonts w:cs="Times New Roman"/>
          <w:lang w:val="fr-CA"/>
        </w:rPr>
        <w:t xml:space="preserve">, </w:t>
      </w:r>
      <w:r w:rsidR="00E34779">
        <w:rPr>
          <w:rFonts w:cs="Times New Roman"/>
          <w:lang w:val="fr-CA"/>
        </w:rPr>
        <w:t>dans les procès</w:t>
      </w:r>
      <w:r w:rsidR="006412AC">
        <w:rPr>
          <w:rFonts w:cs="Times New Roman"/>
          <w:lang w:val="fr-CA"/>
        </w:rPr>
        <w:t>-</w:t>
      </w:r>
      <w:r w:rsidR="002107F0" w:rsidRPr="009061A9">
        <w:rPr>
          <w:rFonts w:cs="Times New Roman"/>
          <w:lang w:val="fr-CA"/>
        </w:rPr>
        <w:t>verbaux des travaux parlementaires</w:t>
      </w:r>
      <w:r w:rsidR="002107F0">
        <w:rPr>
          <w:rFonts w:cs="Times New Roman"/>
          <w:lang w:val="fr-CA"/>
        </w:rPr>
        <w:t>,</w:t>
      </w:r>
      <w:r w:rsidR="002107F0" w:rsidRPr="009061A9">
        <w:rPr>
          <w:rFonts w:cs="Times New Roman"/>
          <w:lang w:val="fr-CA"/>
        </w:rPr>
        <w:t xml:space="preserve"> de toute mention </w:t>
      </w:r>
      <w:r w:rsidR="002107F0">
        <w:rPr>
          <w:rFonts w:cs="Times New Roman"/>
          <w:lang w:val="fr-CA"/>
        </w:rPr>
        <w:t>des</w:t>
      </w:r>
      <w:r w:rsidR="002107F0" w:rsidRPr="009061A9">
        <w:rPr>
          <w:rFonts w:cs="Times New Roman"/>
          <w:lang w:val="fr-CA"/>
        </w:rPr>
        <w:t xml:space="preserve"> changements de formulation </w:t>
      </w:r>
      <w:r w:rsidR="002107F0">
        <w:rPr>
          <w:rFonts w:cs="Times New Roman"/>
          <w:lang w:val="fr-CA"/>
        </w:rPr>
        <w:t xml:space="preserve">entre la </w:t>
      </w:r>
      <w:r w:rsidR="002107F0" w:rsidRPr="008C01FA">
        <w:rPr>
          <w:rFonts w:cs="Times New Roman"/>
          <w:i/>
          <w:lang w:val="fr-CA"/>
        </w:rPr>
        <w:t>Convention de Varsovie</w:t>
      </w:r>
      <w:r w:rsidR="002107F0" w:rsidRPr="009061A9">
        <w:rPr>
          <w:rFonts w:cs="Times New Roman"/>
          <w:lang w:val="fr-CA"/>
        </w:rPr>
        <w:t xml:space="preserve"> </w:t>
      </w:r>
      <w:r w:rsidR="002107F0">
        <w:rPr>
          <w:rFonts w:cs="Times New Roman"/>
          <w:lang w:val="fr-CA"/>
        </w:rPr>
        <w:t xml:space="preserve">et la </w:t>
      </w:r>
      <w:r w:rsidR="002107F0" w:rsidRPr="008C01FA">
        <w:rPr>
          <w:rFonts w:cs="Times New Roman"/>
          <w:i/>
          <w:lang w:val="fr-CA"/>
        </w:rPr>
        <w:t>Convention de Montréal</w:t>
      </w:r>
      <w:r w:rsidR="002107F0">
        <w:rPr>
          <w:rFonts w:cs="Times New Roman"/>
          <w:lang w:val="fr-CA"/>
        </w:rPr>
        <w:t xml:space="preserve"> est </w:t>
      </w:r>
      <w:r w:rsidR="002107F0" w:rsidRPr="009061A9">
        <w:rPr>
          <w:rFonts w:cs="Times New Roman"/>
          <w:lang w:val="fr-CA"/>
        </w:rPr>
        <w:t>révélatr</w:t>
      </w:r>
      <w:r w:rsidR="002107F0">
        <w:rPr>
          <w:rFonts w:cs="Times New Roman"/>
          <w:lang w:val="fr-CA"/>
        </w:rPr>
        <w:t xml:space="preserve">ice. </w:t>
      </w:r>
      <w:r w:rsidR="00207935" w:rsidRPr="00207935">
        <w:rPr>
          <w:rFonts w:cs="Times New Roman"/>
          <w:lang w:val="fr-CA"/>
        </w:rPr>
        <w:t>Les changements radicaux du droit tendent à susciter de</w:t>
      </w:r>
      <w:r w:rsidR="00207935">
        <w:rPr>
          <w:rFonts w:cs="Times New Roman"/>
          <w:lang w:val="fr-CA"/>
        </w:rPr>
        <w:t xml:space="preserve">s réactions radicales. Or, ce changement, si changement il y a, n’en a suscité aucune. </w:t>
      </w:r>
      <w:r w:rsidR="00207935" w:rsidRPr="00207935">
        <w:rPr>
          <w:rFonts w:cs="Times New Roman"/>
          <w:lang w:val="fr-CA"/>
        </w:rPr>
        <w:t xml:space="preserve">Par conséquent, l’explication la plus </w:t>
      </w:r>
      <w:r w:rsidR="00DC0C75">
        <w:rPr>
          <w:rFonts w:cs="Times New Roman"/>
          <w:lang w:val="fr-CA"/>
        </w:rPr>
        <w:t>plausibl</w:t>
      </w:r>
      <w:r w:rsidR="00207935" w:rsidRPr="00207935">
        <w:rPr>
          <w:rFonts w:cs="Times New Roman"/>
          <w:lang w:val="fr-CA"/>
        </w:rPr>
        <w:t>e du silence est qu’il n’y a eu</w:t>
      </w:r>
      <w:r w:rsidR="00207935">
        <w:rPr>
          <w:rFonts w:cs="Times New Roman"/>
          <w:lang w:val="fr-CA"/>
        </w:rPr>
        <w:t xml:space="preserve"> aucun changement du droit. </w:t>
      </w:r>
      <w:r w:rsidR="00207935" w:rsidRPr="00C6637A">
        <w:rPr>
          <w:rFonts w:cs="Times New Roman"/>
          <w:lang w:val="fr-CA"/>
        </w:rPr>
        <w:t xml:space="preserve">En fait, </w:t>
      </w:r>
      <w:r w:rsidR="00C6637A" w:rsidRPr="009061A9">
        <w:rPr>
          <w:rFonts w:cs="Times New Roman"/>
          <w:lang w:val="fr-CA"/>
        </w:rPr>
        <w:t xml:space="preserve">il est difficile d’imaginer qu’une intrusion aussi </w:t>
      </w:r>
      <w:r w:rsidR="009B1987">
        <w:rPr>
          <w:rFonts w:cs="Times New Roman"/>
          <w:lang w:val="fr-CA"/>
        </w:rPr>
        <w:t>d</w:t>
      </w:r>
      <w:r w:rsidR="00C6637A" w:rsidRPr="009061A9">
        <w:rPr>
          <w:rFonts w:cs="Times New Roman"/>
          <w:lang w:val="fr-CA"/>
        </w:rPr>
        <w:t>ra</w:t>
      </w:r>
      <w:r w:rsidR="009B1987">
        <w:rPr>
          <w:rFonts w:cs="Times New Roman"/>
          <w:lang w:val="fr-CA"/>
        </w:rPr>
        <w:t>conienne</w:t>
      </w:r>
      <w:r w:rsidR="00C6637A" w:rsidRPr="009061A9">
        <w:rPr>
          <w:rFonts w:cs="Times New Roman"/>
          <w:lang w:val="fr-CA"/>
        </w:rPr>
        <w:t xml:space="preserve"> dans le droit </w:t>
      </w:r>
      <w:r w:rsidR="00C6637A">
        <w:rPr>
          <w:rFonts w:cs="Times New Roman"/>
          <w:lang w:val="fr-CA"/>
        </w:rPr>
        <w:t>nat</w:t>
      </w:r>
      <w:r w:rsidR="00C6637A" w:rsidRPr="009061A9">
        <w:rPr>
          <w:rFonts w:cs="Times New Roman"/>
          <w:lang w:val="fr-CA"/>
        </w:rPr>
        <w:t>i</w:t>
      </w:r>
      <w:r w:rsidR="00C6637A">
        <w:rPr>
          <w:rFonts w:cs="Times New Roman"/>
          <w:lang w:val="fr-CA"/>
        </w:rPr>
        <w:t>o</w:t>
      </w:r>
      <w:r w:rsidR="00C6637A" w:rsidRPr="009061A9">
        <w:rPr>
          <w:rFonts w:cs="Times New Roman"/>
          <w:lang w:val="fr-CA"/>
        </w:rPr>
        <w:t>n</w:t>
      </w:r>
      <w:r w:rsidR="00C6637A">
        <w:rPr>
          <w:rFonts w:cs="Times New Roman"/>
          <w:lang w:val="fr-CA"/>
        </w:rPr>
        <w:t>al</w:t>
      </w:r>
      <w:r w:rsidR="00C6637A" w:rsidRPr="009061A9">
        <w:rPr>
          <w:rFonts w:cs="Times New Roman"/>
          <w:lang w:val="fr-CA"/>
        </w:rPr>
        <w:t xml:space="preserve"> puisse se faire sans texte explicite ou </w:t>
      </w:r>
      <w:r w:rsidR="00C6637A">
        <w:rPr>
          <w:rFonts w:cs="Times New Roman"/>
          <w:lang w:val="fr-CA"/>
        </w:rPr>
        <w:t xml:space="preserve">communication du </w:t>
      </w:r>
      <w:r w:rsidR="00C6637A" w:rsidRPr="009061A9">
        <w:rPr>
          <w:rFonts w:cs="Times New Roman"/>
          <w:lang w:val="fr-CA"/>
        </w:rPr>
        <w:t xml:space="preserve">Parlement. Le silence à l’égard de telles conséquences </w:t>
      </w:r>
      <w:r w:rsidR="001C7451">
        <w:rPr>
          <w:rFonts w:cs="Times New Roman"/>
          <w:lang w:val="fr-CA"/>
        </w:rPr>
        <w:t xml:space="preserve">tend à indiquer </w:t>
      </w:r>
      <w:r w:rsidR="00E34779">
        <w:rPr>
          <w:rFonts w:cs="Times New Roman"/>
          <w:lang w:val="fr-CA"/>
        </w:rPr>
        <w:t>que celles</w:t>
      </w:r>
      <w:r w:rsidR="006412AC">
        <w:rPr>
          <w:rFonts w:cs="Times New Roman"/>
          <w:lang w:val="fr-CA"/>
        </w:rPr>
        <w:t>-</w:t>
      </w:r>
      <w:r w:rsidR="00C6637A" w:rsidRPr="009061A9">
        <w:rPr>
          <w:rFonts w:cs="Times New Roman"/>
          <w:lang w:val="fr-CA"/>
        </w:rPr>
        <w:t xml:space="preserve">ci n’étaient ni envisagées ni </w:t>
      </w:r>
      <w:r w:rsidR="00C6637A">
        <w:rPr>
          <w:rFonts w:cs="Times New Roman"/>
          <w:lang w:val="fr-CA"/>
        </w:rPr>
        <w:t xml:space="preserve">souhaitées. </w:t>
      </w:r>
    </w:p>
    <w:p w:rsidR="007B1A55" w:rsidRPr="004F3633" w:rsidRDefault="007B1A55" w:rsidP="00A12DCE">
      <w:pPr>
        <w:pStyle w:val="ParaNoNdepar-AltN"/>
        <w:widowControl w:val="0"/>
        <w:numPr>
          <w:ilvl w:val="0"/>
          <w:numId w:val="0"/>
        </w:numPr>
        <w:rPr>
          <w:rFonts w:cs="Times New Roman"/>
          <w:lang w:val="fr-CA"/>
        </w:rPr>
      </w:pPr>
      <w:r w:rsidRPr="001C7451">
        <w:rPr>
          <w:rFonts w:cs="Times New Roman"/>
          <w:lang w:val="fr-CA"/>
        </w:rPr>
        <w:tab/>
      </w:r>
      <w:r w:rsidR="004C031B" w:rsidRPr="004C031B">
        <w:rPr>
          <w:rFonts w:cs="Times New Roman"/>
          <w:lang w:val="fr-CA"/>
        </w:rPr>
        <w:t>C</w:t>
      </w:r>
      <w:r w:rsidR="00E34779">
        <w:rPr>
          <w:rFonts w:cs="Times New Roman"/>
          <w:lang w:val="fr-CA"/>
        </w:rPr>
        <w:t>ompte tenu du sens de l’article</w:t>
      </w:r>
      <w:r w:rsidR="006412AC">
        <w:rPr>
          <w:rFonts w:cs="Times New Roman"/>
          <w:lang w:val="fr-CA"/>
        </w:rPr>
        <w:t xml:space="preserve"> </w:t>
      </w:r>
      <w:r w:rsidR="004C031B" w:rsidRPr="009061A9">
        <w:rPr>
          <w:rFonts w:cs="Times New Roman"/>
          <w:lang w:val="fr-CA"/>
        </w:rPr>
        <w:t>29, considéré dans son contexte et à la lumière de l’objet et du but</w:t>
      </w:r>
      <w:r w:rsidR="006412AC">
        <w:rPr>
          <w:rFonts w:cs="Times New Roman"/>
          <w:lang w:val="fr-CA"/>
        </w:rPr>
        <w:t xml:space="preserve"> </w:t>
      </w:r>
      <w:r w:rsidR="004C031B" w:rsidRPr="009061A9">
        <w:rPr>
          <w:rFonts w:cs="Times New Roman"/>
          <w:lang w:val="fr-CA"/>
        </w:rPr>
        <w:t>de la</w:t>
      </w:r>
      <w:r w:rsidR="004C031B" w:rsidRPr="009061A9">
        <w:rPr>
          <w:rFonts w:cs="Times New Roman"/>
          <w:i/>
          <w:lang w:val="fr-CA"/>
        </w:rPr>
        <w:t xml:space="preserve"> Convention de Montréal</w:t>
      </w:r>
      <w:r w:rsidR="004C031B" w:rsidRPr="009061A9">
        <w:rPr>
          <w:rFonts w:cs="Times New Roman"/>
          <w:lang w:val="fr-CA"/>
        </w:rPr>
        <w:t xml:space="preserve">, cette disposition </w:t>
      </w:r>
      <w:r w:rsidR="004C031B">
        <w:rPr>
          <w:rFonts w:cs="Times New Roman"/>
          <w:lang w:val="fr-CA"/>
        </w:rPr>
        <w:t>ne s’applique de manière exclusive qu’à certains recours</w:t>
      </w:r>
      <w:r w:rsidR="004C031B" w:rsidRPr="009061A9">
        <w:rPr>
          <w:rFonts w:cs="Times New Roman"/>
          <w:lang w:val="fr-CA"/>
        </w:rPr>
        <w:t xml:space="preserve"> et doit être interprétée comme </w:t>
      </w:r>
      <w:r w:rsidR="004C031B">
        <w:rPr>
          <w:rFonts w:cs="Times New Roman"/>
          <w:lang w:val="fr-CA"/>
        </w:rPr>
        <w:lastRenderedPageBreak/>
        <w:t xml:space="preserve">prescrivant </w:t>
      </w:r>
      <w:r w:rsidR="004C031B" w:rsidRPr="009061A9">
        <w:rPr>
          <w:rFonts w:cs="Times New Roman"/>
          <w:lang w:val="fr-CA"/>
        </w:rPr>
        <w:t xml:space="preserve">que la </w:t>
      </w:r>
      <w:r w:rsidR="004C031B" w:rsidRPr="009061A9">
        <w:rPr>
          <w:rFonts w:cs="Times New Roman"/>
          <w:i/>
          <w:lang w:val="fr-CA"/>
        </w:rPr>
        <w:t>Convention de Montréal</w:t>
      </w:r>
      <w:r w:rsidR="004C031B" w:rsidRPr="009061A9">
        <w:rPr>
          <w:rFonts w:cs="Times New Roman"/>
          <w:lang w:val="fr-CA"/>
        </w:rPr>
        <w:t xml:space="preserve"> ne régit que les actions intentées pour un </w:t>
      </w:r>
      <w:r w:rsidR="004C031B">
        <w:rPr>
          <w:rFonts w:cs="Times New Roman"/>
          <w:lang w:val="fr-CA"/>
        </w:rPr>
        <w:t>dommage</w:t>
      </w:r>
      <w:r w:rsidR="004C031B" w:rsidRPr="009061A9">
        <w:rPr>
          <w:rFonts w:cs="Times New Roman"/>
          <w:lang w:val="fr-CA"/>
        </w:rPr>
        <w:t xml:space="preserve"> subi </w:t>
      </w:r>
      <w:r w:rsidR="006412AC">
        <w:rPr>
          <w:rFonts w:cs="Times New Roman"/>
          <w:lang w:val="fr-CA"/>
        </w:rPr>
        <w:t>« </w:t>
      </w:r>
      <w:r w:rsidR="004C031B" w:rsidRPr="001E366F">
        <w:rPr>
          <w:rFonts w:cs="Times New Roman"/>
          <w:lang w:val="fr-CA"/>
        </w:rPr>
        <w:t>[</w:t>
      </w:r>
      <w:r w:rsidR="004C031B" w:rsidRPr="009061A9">
        <w:rPr>
          <w:rFonts w:cs="Times New Roman"/>
          <w:lang w:val="fr-CA"/>
        </w:rPr>
        <w:t>d</w:t>
      </w:r>
      <w:r w:rsidR="004C031B">
        <w:rPr>
          <w:rFonts w:cs="Times New Roman"/>
          <w:lang w:val="fr-CA"/>
        </w:rPr>
        <w:t>]</w:t>
      </w:r>
      <w:r w:rsidR="004C031B" w:rsidRPr="009061A9">
        <w:rPr>
          <w:rFonts w:cs="Times New Roman"/>
          <w:lang w:val="fr-CA"/>
        </w:rPr>
        <w:t>ans le transport de passagers, de bagages et de marchandises</w:t>
      </w:r>
      <w:r w:rsidR="006412AC">
        <w:rPr>
          <w:rFonts w:cs="Times New Roman"/>
          <w:lang w:val="fr-CA"/>
        </w:rPr>
        <w:t> »</w:t>
      </w:r>
      <w:r w:rsidR="004C031B" w:rsidRPr="009061A9">
        <w:rPr>
          <w:rFonts w:cs="Times New Roman"/>
          <w:lang w:val="fr-CA"/>
        </w:rPr>
        <w:t xml:space="preserve">, à savoir les </w:t>
      </w:r>
      <w:r w:rsidR="00E34779">
        <w:rPr>
          <w:rFonts w:cs="Times New Roman"/>
          <w:lang w:val="fr-CA"/>
        </w:rPr>
        <w:t>actions visées par les articles</w:t>
      </w:r>
      <w:r w:rsidR="006412AC">
        <w:rPr>
          <w:rFonts w:cs="Times New Roman"/>
          <w:lang w:val="fr-CA"/>
        </w:rPr>
        <w:t xml:space="preserve"> </w:t>
      </w:r>
      <w:r w:rsidR="004C031B" w:rsidRPr="009061A9">
        <w:rPr>
          <w:rFonts w:cs="Times New Roman"/>
          <w:lang w:val="fr-CA"/>
        </w:rPr>
        <w:t>17, 18 et 19</w:t>
      </w:r>
      <w:r w:rsidR="004C031B">
        <w:rPr>
          <w:rFonts w:cs="Times New Roman"/>
          <w:lang w:val="fr-CA"/>
        </w:rPr>
        <w:t xml:space="preserve">. </w:t>
      </w:r>
      <w:r w:rsidR="004C031B" w:rsidRPr="004C031B">
        <w:rPr>
          <w:rFonts w:cs="Times New Roman"/>
          <w:lang w:val="fr-CA"/>
        </w:rPr>
        <w:t xml:space="preserve"> </w:t>
      </w:r>
    </w:p>
    <w:p w:rsidR="007B1A55" w:rsidRPr="00226D4E" w:rsidRDefault="007B1A55" w:rsidP="00A12DCE">
      <w:pPr>
        <w:pStyle w:val="ParaNoNdepar-AltN"/>
        <w:widowControl w:val="0"/>
        <w:numPr>
          <w:ilvl w:val="0"/>
          <w:numId w:val="0"/>
        </w:numPr>
        <w:rPr>
          <w:rFonts w:cs="Times New Roman"/>
          <w:lang w:val="fr-CA"/>
        </w:rPr>
      </w:pPr>
      <w:r w:rsidRPr="004F3633">
        <w:rPr>
          <w:rFonts w:cs="Times New Roman"/>
          <w:lang w:val="fr-CA"/>
        </w:rPr>
        <w:tab/>
      </w:r>
      <w:r w:rsidR="00D801D9">
        <w:rPr>
          <w:rFonts w:cs="Times New Roman"/>
          <w:lang w:val="fr-CA"/>
        </w:rPr>
        <w:t>L’action en dommages</w:t>
      </w:r>
      <w:r w:rsidR="006412AC">
        <w:rPr>
          <w:rFonts w:cs="Times New Roman"/>
          <w:lang w:val="fr-CA"/>
        </w:rPr>
        <w:t>-</w:t>
      </w:r>
      <w:r w:rsidR="00FE4A36" w:rsidRPr="00DB799A">
        <w:rPr>
          <w:rFonts w:cs="Times New Roman"/>
          <w:lang w:val="fr-CA"/>
        </w:rPr>
        <w:t xml:space="preserve">intérêts intentée par les T </w:t>
      </w:r>
      <w:r w:rsidR="00DB799A" w:rsidRPr="00DB799A">
        <w:rPr>
          <w:rFonts w:cs="Times New Roman"/>
          <w:lang w:val="fr-CA"/>
        </w:rPr>
        <w:t>ne fait pas partie de celles visées par les articles</w:t>
      </w:r>
      <w:r w:rsidR="006412AC">
        <w:rPr>
          <w:rFonts w:cs="Times New Roman"/>
          <w:lang w:val="fr-CA"/>
        </w:rPr>
        <w:t xml:space="preserve"> </w:t>
      </w:r>
      <w:r w:rsidRPr="00DB799A">
        <w:rPr>
          <w:rFonts w:cs="Times New Roman"/>
          <w:lang w:val="fr-CA"/>
        </w:rPr>
        <w:t xml:space="preserve">17, 18 </w:t>
      </w:r>
      <w:r w:rsidR="00DB799A" w:rsidRPr="00DB799A">
        <w:rPr>
          <w:rFonts w:cs="Times New Roman"/>
          <w:lang w:val="fr-CA"/>
        </w:rPr>
        <w:t>et</w:t>
      </w:r>
      <w:r w:rsidRPr="00DB799A">
        <w:rPr>
          <w:rFonts w:cs="Times New Roman"/>
          <w:lang w:val="fr-CA"/>
        </w:rPr>
        <w:t xml:space="preserve"> 19 </w:t>
      </w:r>
      <w:r w:rsidR="00DB799A" w:rsidRPr="00DB799A">
        <w:rPr>
          <w:rFonts w:cs="Times New Roman"/>
          <w:lang w:val="fr-CA"/>
        </w:rPr>
        <w:t xml:space="preserve">de la </w:t>
      </w:r>
      <w:r w:rsidRPr="00DB799A">
        <w:rPr>
          <w:rFonts w:cs="Times New Roman"/>
          <w:i/>
          <w:lang w:val="fr-CA"/>
        </w:rPr>
        <w:t>Convention</w:t>
      </w:r>
      <w:r w:rsidR="00DB799A" w:rsidRPr="00DB799A">
        <w:rPr>
          <w:rFonts w:cs="Times New Roman"/>
          <w:i/>
          <w:lang w:val="fr-CA"/>
        </w:rPr>
        <w:t xml:space="preserve"> de Mon</w:t>
      </w:r>
      <w:r w:rsidR="00DB799A">
        <w:rPr>
          <w:rFonts w:cs="Times New Roman"/>
          <w:i/>
          <w:lang w:val="fr-CA"/>
        </w:rPr>
        <w:t>tréal</w:t>
      </w:r>
      <w:r w:rsidRPr="00DB799A">
        <w:rPr>
          <w:rFonts w:cs="Times New Roman"/>
          <w:lang w:val="fr-CA"/>
        </w:rPr>
        <w:t xml:space="preserve">. </w:t>
      </w:r>
      <w:r w:rsidR="00DB799A" w:rsidRPr="00DB799A">
        <w:rPr>
          <w:rFonts w:cs="Times New Roman"/>
          <w:lang w:val="fr-CA"/>
        </w:rPr>
        <w:t>Il ress</w:t>
      </w:r>
      <w:r w:rsidR="00D801D9">
        <w:rPr>
          <w:rFonts w:cs="Times New Roman"/>
          <w:lang w:val="fr-CA"/>
        </w:rPr>
        <w:t>ort clairement du texte du par</w:t>
      </w:r>
      <w:r w:rsidR="00DC0C75">
        <w:rPr>
          <w:rFonts w:cs="Times New Roman"/>
          <w:lang w:val="fr-CA"/>
        </w:rPr>
        <w:t>agraphe</w:t>
      </w:r>
      <w:r w:rsidR="006412AC">
        <w:rPr>
          <w:rFonts w:cs="Times New Roman"/>
          <w:lang w:val="fr-CA"/>
        </w:rPr>
        <w:t xml:space="preserve"> </w:t>
      </w:r>
      <w:r w:rsidRPr="00DB799A">
        <w:rPr>
          <w:rFonts w:cs="Times New Roman"/>
          <w:lang w:val="fr-CA"/>
        </w:rPr>
        <w:t xml:space="preserve">17(1) </w:t>
      </w:r>
      <w:r w:rsidR="00DB799A" w:rsidRPr="009061A9">
        <w:rPr>
          <w:rFonts w:cs="Times New Roman"/>
          <w:lang w:val="fr-CA"/>
        </w:rPr>
        <w:t>que la disposition ne s’applique pas à tous les</w:t>
      </w:r>
      <w:r w:rsidR="00DB799A">
        <w:rPr>
          <w:rFonts w:cs="Times New Roman"/>
          <w:lang w:val="fr-CA"/>
        </w:rPr>
        <w:t xml:space="preserve"> faits </w:t>
      </w:r>
      <w:r w:rsidR="00DB799A" w:rsidRPr="009061A9">
        <w:rPr>
          <w:rFonts w:cs="Times New Roman"/>
          <w:lang w:val="fr-CA"/>
        </w:rPr>
        <w:t>qui se produisent à bord d’un aéronef ou pendant les opérations d’embarquement ou de débarquement</w:t>
      </w:r>
      <w:r w:rsidR="00DB799A">
        <w:rPr>
          <w:rFonts w:cs="Times New Roman"/>
          <w:lang w:val="fr-CA"/>
        </w:rPr>
        <w:t xml:space="preserve">. </w:t>
      </w:r>
      <w:r w:rsidR="00E95E37" w:rsidRPr="004A6645">
        <w:rPr>
          <w:rFonts w:cs="Times New Roman"/>
          <w:lang w:val="fr-CA"/>
        </w:rPr>
        <w:t>Le par</w:t>
      </w:r>
      <w:r w:rsidR="00DC0C75">
        <w:rPr>
          <w:rFonts w:cs="Times New Roman"/>
          <w:lang w:val="fr-CA"/>
        </w:rPr>
        <w:t>agraphe</w:t>
      </w:r>
      <w:r w:rsidR="006412AC">
        <w:rPr>
          <w:rFonts w:cs="Times New Roman"/>
          <w:lang w:val="fr-CA"/>
        </w:rPr>
        <w:t xml:space="preserve"> </w:t>
      </w:r>
      <w:r w:rsidR="00E95E37" w:rsidRPr="004A6645">
        <w:rPr>
          <w:rFonts w:cs="Times New Roman"/>
          <w:lang w:val="fr-CA"/>
        </w:rPr>
        <w:t>17(1) établit plutôt les conditions suivantes</w:t>
      </w:r>
      <w:r w:rsidR="006412AC">
        <w:rPr>
          <w:rFonts w:cs="Times New Roman"/>
          <w:lang w:val="fr-CA"/>
        </w:rPr>
        <w:t> :</w:t>
      </w:r>
      <w:r w:rsidR="00E95E37" w:rsidRPr="004A6645">
        <w:rPr>
          <w:rFonts w:cs="Times New Roman"/>
          <w:lang w:val="fr-CA"/>
        </w:rPr>
        <w:t xml:space="preserve"> (1) il doit y avoir eu un accident (2) qui a causé (3) la mort ou une lésion corporelle (4) alors que </w:t>
      </w:r>
      <w:r w:rsidR="0053396D">
        <w:rPr>
          <w:rFonts w:cs="Times New Roman"/>
          <w:lang w:val="fr-CA"/>
        </w:rPr>
        <w:t>le passager était à bord de l’</w:t>
      </w:r>
      <w:r w:rsidR="00E95E37" w:rsidRPr="004A6645">
        <w:rPr>
          <w:rFonts w:cs="Times New Roman"/>
          <w:lang w:val="fr-CA"/>
        </w:rPr>
        <w:t>aéronef</w:t>
      </w:r>
      <w:r w:rsidR="00E95E37">
        <w:rPr>
          <w:rFonts w:cs="Times New Roman"/>
          <w:lang w:val="fr-CA"/>
        </w:rPr>
        <w:t>,</w:t>
      </w:r>
      <w:r w:rsidR="00E95E37" w:rsidRPr="004A6645">
        <w:rPr>
          <w:rFonts w:cs="Times New Roman"/>
          <w:lang w:val="fr-CA"/>
        </w:rPr>
        <w:t xml:space="preserve"> ou</w:t>
      </w:r>
      <w:r w:rsidR="00E95E37">
        <w:rPr>
          <w:rFonts w:cs="Times New Roman"/>
          <w:lang w:val="fr-CA"/>
        </w:rPr>
        <w:t xml:space="preserve"> en train d’embarquer à bord de celui</w:t>
      </w:r>
      <w:r w:rsidR="006412AC">
        <w:rPr>
          <w:rFonts w:cs="Times New Roman"/>
          <w:lang w:val="fr-CA"/>
        </w:rPr>
        <w:t>-</w:t>
      </w:r>
      <w:r w:rsidR="00DC0C75">
        <w:rPr>
          <w:rFonts w:cs="Times New Roman"/>
          <w:lang w:val="fr-CA"/>
        </w:rPr>
        <w:t>ci</w:t>
      </w:r>
      <w:r w:rsidR="00E95E37">
        <w:rPr>
          <w:rFonts w:cs="Times New Roman"/>
          <w:lang w:val="fr-CA"/>
        </w:rPr>
        <w:t xml:space="preserve"> ou d’en débarquer. </w:t>
      </w:r>
      <w:r w:rsidR="00E95E37" w:rsidRPr="00E95E37">
        <w:rPr>
          <w:rFonts w:cs="Times New Roman"/>
          <w:lang w:val="fr-CA"/>
        </w:rPr>
        <w:t>En l’espèce, personne n’a signalé d’accident. Ce fait est d</w:t>
      </w:r>
      <w:r w:rsidR="00E95E37">
        <w:rPr>
          <w:rFonts w:cs="Times New Roman"/>
          <w:lang w:val="fr-CA"/>
        </w:rPr>
        <w:t>é</w:t>
      </w:r>
      <w:r w:rsidR="00E95E37" w:rsidRPr="00E95E37">
        <w:rPr>
          <w:rFonts w:cs="Times New Roman"/>
          <w:lang w:val="fr-CA"/>
        </w:rPr>
        <w:t>terminant puisqu’il</w:t>
      </w:r>
      <w:r w:rsidR="00E95E37">
        <w:rPr>
          <w:rFonts w:cs="Times New Roman"/>
          <w:lang w:val="fr-CA"/>
        </w:rPr>
        <w:t xml:space="preserve"> est question, au par</w:t>
      </w:r>
      <w:r w:rsidR="00DC0C75">
        <w:rPr>
          <w:rFonts w:cs="Times New Roman"/>
          <w:lang w:val="fr-CA"/>
        </w:rPr>
        <w:t>agraphe</w:t>
      </w:r>
      <w:r w:rsidR="006412AC">
        <w:rPr>
          <w:rFonts w:cs="Times New Roman"/>
          <w:lang w:val="fr-CA"/>
        </w:rPr>
        <w:t xml:space="preserve"> </w:t>
      </w:r>
      <w:r w:rsidRPr="00E95E37">
        <w:rPr>
          <w:rFonts w:cs="Times New Roman"/>
          <w:lang w:val="fr-CA"/>
        </w:rPr>
        <w:t>17(1)</w:t>
      </w:r>
      <w:r w:rsidR="00DD1F0B">
        <w:rPr>
          <w:rFonts w:cs="Times New Roman"/>
          <w:lang w:val="fr-CA"/>
        </w:rPr>
        <w:t xml:space="preserve">, de </w:t>
      </w:r>
      <w:r w:rsidR="006412AC">
        <w:rPr>
          <w:rFonts w:cs="Times New Roman"/>
          <w:lang w:val="fr-CA"/>
        </w:rPr>
        <w:t>« </w:t>
      </w:r>
      <w:r w:rsidR="00DD1F0B">
        <w:rPr>
          <w:rFonts w:cs="Times New Roman"/>
          <w:lang w:val="fr-CA"/>
        </w:rPr>
        <w:t>mort ou de lésion corporelle</w:t>
      </w:r>
      <w:r w:rsidR="006412AC">
        <w:rPr>
          <w:rFonts w:cs="Times New Roman"/>
          <w:lang w:val="fr-CA"/>
        </w:rPr>
        <w:t> »</w:t>
      </w:r>
      <w:r w:rsidR="00DD1F0B">
        <w:rPr>
          <w:rFonts w:cs="Times New Roman"/>
          <w:lang w:val="fr-CA"/>
        </w:rPr>
        <w:t xml:space="preserve"> causée par un </w:t>
      </w:r>
      <w:r w:rsidRPr="00E95E37">
        <w:rPr>
          <w:rFonts w:cs="Times New Roman"/>
          <w:lang w:val="fr-CA"/>
        </w:rPr>
        <w:t xml:space="preserve">accident. </w:t>
      </w:r>
      <w:r w:rsidR="00DD6E04" w:rsidRPr="004F3633">
        <w:rPr>
          <w:rFonts w:cs="Times New Roman"/>
          <w:lang w:val="fr-CA"/>
        </w:rPr>
        <w:t xml:space="preserve">Les </w:t>
      </w:r>
      <w:r w:rsidRPr="004F3633">
        <w:rPr>
          <w:rFonts w:cs="Times New Roman"/>
          <w:lang w:val="fr-CA"/>
        </w:rPr>
        <w:t>T</w:t>
      </w:r>
      <w:r w:rsidR="00DD6E04" w:rsidRPr="004F3633">
        <w:rPr>
          <w:rFonts w:cs="Times New Roman"/>
          <w:lang w:val="fr-CA"/>
        </w:rPr>
        <w:t xml:space="preserve"> n’ont pas subi de lésion corporelle. </w:t>
      </w:r>
      <w:r w:rsidR="00DD6E04" w:rsidRPr="008C796A">
        <w:rPr>
          <w:rFonts w:cs="Times New Roman"/>
          <w:lang w:val="fr-CA"/>
        </w:rPr>
        <w:t>Le fait que la violation de</w:t>
      </w:r>
      <w:r w:rsidR="00D71AEA" w:rsidRPr="008C796A">
        <w:rPr>
          <w:rFonts w:cs="Times New Roman"/>
          <w:lang w:val="fr-CA"/>
        </w:rPr>
        <w:t xml:space="preserve"> leurs droits linguistiques </w:t>
      </w:r>
      <w:r w:rsidR="008C796A" w:rsidRPr="008C796A">
        <w:rPr>
          <w:rFonts w:cs="Times New Roman"/>
          <w:lang w:val="fr-CA"/>
        </w:rPr>
        <w:t xml:space="preserve">soit survenue à bord de l’aéronef est sans importance parce que ces circonstances ne sont pertinentes que s’il y a eu accident. </w:t>
      </w:r>
      <w:r w:rsidRPr="00226D4E">
        <w:rPr>
          <w:rFonts w:cs="Times New Roman"/>
          <w:lang w:val="fr-CA"/>
        </w:rPr>
        <w:t xml:space="preserve"> </w:t>
      </w:r>
    </w:p>
    <w:p w:rsidR="007B1A55" w:rsidRPr="00DB799A" w:rsidRDefault="007B1A55" w:rsidP="00A12DCE">
      <w:pPr>
        <w:pStyle w:val="SCCNormalDoubleSpacing"/>
        <w:widowControl w:val="0"/>
        <w:spacing w:before="480" w:after="480"/>
        <w:rPr>
          <w:lang w:val="fr-CA"/>
        </w:rPr>
      </w:pPr>
      <w:r w:rsidRPr="00226D4E">
        <w:rPr>
          <w:lang w:val="fr-CA"/>
        </w:rPr>
        <w:tab/>
      </w:r>
      <w:r w:rsidR="00DB799A" w:rsidRPr="00DB799A">
        <w:rPr>
          <w:lang w:val="fr-CA"/>
        </w:rPr>
        <w:t>No</w:t>
      </w:r>
      <w:r w:rsidR="00DB799A">
        <w:rPr>
          <w:lang w:val="fr-CA"/>
        </w:rPr>
        <w:t>us sommes d’avis d’accueillir l</w:t>
      </w:r>
      <w:r w:rsidR="00DB799A" w:rsidRPr="00DB799A">
        <w:rPr>
          <w:lang w:val="fr-CA"/>
        </w:rPr>
        <w:t>es pourvois relativement aux demandes de dommages-intérêts et</w:t>
      </w:r>
      <w:r w:rsidR="00DB799A">
        <w:rPr>
          <w:lang w:val="fr-CA"/>
        </w:rPr>
        <w:t xml:space="preserve"> de rétablir</w:t>
      </w:r>
      <w:r w:rsidR="00DB799A" w:rsidRPr="00DB799A">
        <w:rPr>
          <w:lang w:val="fr-CA"/>
        </w:rPr>
        <w:t xml:space="preserve"> les dommages-intérêts accordés par la juge saisie de la demande</w:t>
      </w:r>
      <w:r w:rsidR="00DB799A">
        <w:rPr>
          <w:lang w:val="fr-CA"/>
        </w:rPr>
        <w:t xml:space="preserve">. </w:t>
      </w:r>
    </w:p>
    <w:p w:rsidR="004D7D95" w:rsidRPr="004D7D95" w:rsidRDefault="004D7D95" w:rsidP="00A12DCE">
      <w:pPr>
        <w:pStyle w:val="SCCNormalDoubleSpacing"/>
        <w:widowControl w:val="0"/>
        <w:spacing w:before="480" w:after="480"/>
        <w:rPr>
          <w:b/>
          <w:lang w:val="fr-CA"/>
        </w:rPr>
      </w:pPr>
      <w:r w:rsidRPr="004D7D95">
        <w:rPr>
          <w:b/>
          <w:lang w:val="fr-CA"/>
        </w:rPr>
        <w:t>Jurisprudence</w:t>
      </w:r>
    </w:p>
    <w:p w:rsidR="00813448" w:rsidRDefault="00813448" w:rsidP="00A12DCE">
      <w:pPr>
        <w:pStyle w:val="SCCNormalDoubleSpacing"/>
        <w:widowControl w:val="0"/>
        <w:spacing w:before="480" w:after="480"/>
        <w:rPr>
          <w:lang w:val="fr-CA"/>
        </w:rPr>
      </w:pPr>
      <w:r>
        <w:rPr>
          <w:lang w:val="fr-CA"/>
        </w:rPr>
        <w:t>Citée par le juge Cromwell</w:t>
      </w:r>
    </w:p>
    <w:p w:rsidR="004D7D95" w:rsidRPr="009813F5" w:rsidRDefault="004D7D95" w:rsidP="00A12DCE">
      <w:pPr>
        <w:pStyle w:val="SCCNormalDoubleSpacing"/>
        <w:widowControl w:val="0"/>
        <w:spacing w:after="480"/>
      </w:pPr>
      <w:r w:rsidRPr="004D7D95">
        <w:rPr>
          <w:lang w:val="fr-CA"/>
        </w:rPr>
        <w:lastRenderedPageBreak/>
        <w:tab/>
      </w:r>
      <w:r w:rsidRPr="004D7D95">
        <w:rPr>
          <w:b/>
          <w:lang w:val="fr-CA"/>
        </w:rPr>
        <w:t>Arrêts mentionnés</w:t>
      </w:r>
      <w:r w:rsidR="006412AC">
        <w:rPr>
          <w:b/>
          <w:lang w:val="fr-CA"/>
        </w:rPr>
        <w:t> :</w:t>
      </w:r>
      <w:r w:rsidR="00600680">
        <w:rPr>
          <w:lang w:val="fr-CA"/>
        </w:rPr>
        <w:t xml:space="preserve">  </w:t>
      </w:r>
      <w:r w:rsidR="009040A9" w:rsidRPr="00874126">
        <w:rPr>
          <w:i/>
          <w:lang w:val="fr-CA"/>
        </w:rPr>
        <w:t>R. c. Mercure</w:t>
      </w:r>
      <w:r w:rsidR="009040A9" w:rsidRPr="00874126">
        <w:rPr>
          <w:lang w:val="fr-CA"/>
        </w:rPr>
        <w:t xml:space="preserve">, [1988] 1 R.C.S. 234; </w:t>
      </w:r>
      <w:r w:rsidR="009040A9" w:rsidRPr="00874126">
        <w:rPr>
          <w:i/>
          <w:lang w:val="fr-CA"/>
        </w:rPr>
        <w:t>Lavigne c. Canada (Commissariat aux langues officielles)</w:t>
      </w:r>
      <w:r w:rsidR="009040A9" w:rsidRPr="00874126">
        <w:rPr>
          <w:lang w:val="fr-CA"/>
        </w:rPr>
        <w:t xml:space="preserve">, 2002 CSC 53, [2002] 2 R.C.S. 773; </w:t>
      </w:r>
      <w:r w:rsidR="009040A9" w:rsidRPr="00874126">
        <w:rPr>
          <w:i/>
          <w:lang w:val="fr-CA"/>
        </w:rPr>
        <w:t>Canada (Procureur général) c. Viola</w:t>
      </w:r>
      <w:r w:rsidR="009040A9" w:rsidRPr="00874126">
        <w:rPr>
          <w:lang w:val="fr-CA"/>
        </w:rPr>
        <w:t xml:space="preserve">, [1991] 1 C.F. 373; </w:t>
      </w:r>
      <w:proofErr w:type="spellStart"/>
      <w:r w:rsidR="009040A9" w:rsidRPr="00874126">
        <w:rPr>
          <w:i/>
          <w:lang w:val="fr-CA"/>
        </w:rPr>
        <w:t>Stott</w:t>
      </w:r>
      <w:proofErr w:type="spellEnd"/>
      <w:r w:rsidR="009040A9" w:rsidRPr="00874126">
        <w:rPr>
          <w:i/>
          <w:lang w:val="fr-CA"/>
        </w:rPr>
        <w:t xml:space="preserve"> c. Thomas Cook Tour </w:t>
      </w:r>
      <w:proofErr w:type="spellStart"/>
      <w:r w:rsidR="009040A9" w:rsidRPr="00874126">
        <w:rPr>
          <w:i/>
          <w:lang w:val="fr-CA"/>
        </w:rPr>
        <w:t>Operators</w:t>
      </w:r>
      <w:proofErr w:type="spellEnd"/>
      <w:r w:rsidR="009040A9" w:rsidRPr="00874126">
        <w:rPr>
          <w:i/>
          <w:lang w:val="fr-CA"/>
        </w:rPr>
        <w:t xml:space="preserve"> Ltd.</w:t>
      </w:r>
      <w:r w:rsidR="009040A9" w:rsidRPr="00874126">
        <w:rPr>
          <w:lang w:val="fr-CA"/>
        </w:rPr>
        <w:t xml:space="preserve">, [2014] UKSC 15, [2014] 2 W.L.R. 521; </w:t>
      </w:r>
      <w:proofErr w:type="spellStart"/>
      <w:r w:rsidR="009040A9" w:rsidRPr="00874126">
        <w:rPr>
          <w:i/>
          <w:lang w:val="fr-CA"/>
        </w:rPr>
        <w:t>Pushpanathan</w:t>
      </w:r>
      <w:proofErr w:type="spellEnd"/>
      <w:r w:rsidR="009040A9" w:rsidRPr="00874126">
        <w:rPr>
          <w:i/>
          <w:lang w:val="fr-CA"/>
        </w:rPr>
        <w:t xml:space="preserve"> c. Canada (Ministre de la Citoyenneté et de l’Immigration)</w:t>
      </w:r>
      <w:r w:rsidR="009040A9" w:rsidRPr="00874126">
        <w:rPr>
          <w:lang w:val="fr-CA"/>
        </w:rPr>
        <w:t xml:space="preserve">, [1998] 1 R.C.S. 982; </w:t>
      </w:r>
      <w:r w:rsidR="009040A9" w:rsidRPr="00874126">
        <w:rPr>
          <w:i/>
          <w:lang w:val="fr-CA"/>
        </w:rPr>
        <w:t xml:space="preserve">El Al </w:t>
      </w:r>
      <w:proofErr w:type="spellStart"/>
      <w:r w:rsidR="009040A9" w:rsidRPr="00874126">
        <w:rPr>
          <w:i/>
          <w:lang w:val="fr-CA"/>
        </w:rPr>
        <w:t>Israel</w:t>
      </w:r>
      <w:proofErr w:type="spellEnd"/>
      <w:r w:rsidR="009040A9" w:rsidRPr="00874126">
        <w:rPr>
          <w:i/>
          <w:lang w:val="fr-CA"/>
        </w:rPr>
        <w:t xml:space="preserve"> Airlines, Ltd. c. </w:t>
      </w:r>
      <w:proofErr w:type="spellStart"/>
      <w:r w:rsidR="009040A9" w:rsidRPr="00874126">
        <w:rPr>
          <w:i/>
          <w:lang w:val="fr-CA"/>
        </w:rPr>
        <w:t>Tsui</w:t>
      </w:r>
      <w:proofErr w:type="spellEnd"/>
      <w:r w:rsidR="009040A9" w:rsidRPr="00874126">
        <w:rPr>
          <w:i/>
          <w:lang w:val="fr-CA"/>
        </w:rPr>
        <w:t xml:space="preserve"> Yuan </w:t>
      </w:r>
      <w:proofErr w:type="spellStart"/>
      <w:r w:rsidR="009040A9" w:rsidRPr="00874126">
        <w:rPr>
          <w:i/>
          <w:lang w:val="fr-CA"/>
        </w:rPr>
        <w:t>Tseng</w:t>
      </w:r>
      <w:proofErr w:type="spellEnd"/>
      <w:r w:rsidR="009040A9" w:rsidRPr="00874126">
        <w:rPr>
          <w:lang w:val="fr-CA"/>
        </w:rPr>
        <w:t xml:space="preserve">, 525 U.S. 155 (1999); </w:t>
      </w:r>
      <w:r w:rsidR="009040A9" w:rsidRPr="00874126">
        <w:rPr>
          <w:i/>
          <w:lang w:val="fr-CA"/>
        </w:rPr>
        <w:t xml:space="preserve">Morris c. KLM Royal </w:t>
      </w:r>
      <w:proofErr w:type="spellStart"/>
      <w:r w:rsidR="009040A9" w:rsidRPr="00874126">
        <w:rPr>
          <w:i/>
          <w:lang w:val="fr-CA"/>
        </w:rPr>
        <w:t>Dutch</w:t>
      </w:r>
      <w:proofErr w:type="spellEnd"/>
      <w:r w:rsidR="009040A9" w:rsidRPr="00874126">
        <w:rPr>
          <w:i/>
          <w:lang w:val="fr-CA"/>
        </w:rPr>
        <w:t xml:space="preserve"> Airlines</w:t>
      </w:r>
      <w:r w:rsidR="009040A9" w:rsidRPr="00874126">
        <w:rPr>
          <w:lang w:val="fr-CA"/>
        </w:rPr>
        <w:t xml:space="preserve">, [2002] UKHL 7, [2002] 2 A.C. 628; </w:t>
      </w:r>
      <w:proofErr w:type="spellStart"/>
      <w:r w:rsidR="009040A9" w:rsidRPr="00874126">
        <w:rPr>
          <w:i/>
          <w:lang w:val="fr-CA"/>
        </w:rPr>
        <w:t>Plourde</w:t>
      </w:r>
      <w:proofErr w:type="spellEnd"/>
      <w:r w:rsidR="009040A9" w:rsidRPr="00874126">
        <w:rPr>
          <w:i/>
          <w:lang w:val="fr-CA"/>
        </w:rPr>
        <w:t xml:space="preserve"> c. Service aérien FBO </w:t>
      </w:r>
      <w:proofErr w:type="spellStart"/>
      <w:r w:rsidR="009040A9" w:rsidRPr="00874126">
        <w:rPr>
          <w:i/>
          <w:lang w:val="fr-CA"/>
        </w:rPr>
        <w:t>inc</w:t>
      </w:r>
      <w:proofErr w:type="spellEnd"/>
      <w:r w:rsidR="009040A9" w:rsidRPr="00874126">
        <w:rPr>
          <w:i/>
          <w:lang w:val="fr-CA"/>
        </w:rPr>
        <w:t xml:space="preserve">. </w:t>
      </w:r>
      <w:r w:rsidR="009040A9" w:rsidRPr="00120F8F">
        <w:rPr>
          <w:i/>
        </w:rPr>
        <w:t>(</w:t>
      </w:r>
      <w:proofErr w:type="spellStart"/>
      <w:r w:rsidR="009040A9" w:rsidRPr="00120F8F">
        <w:rPr>
          <w:i/>
        </w:rPr>
        <w:t>Skyservice</w:t>
      </w:r>
      <w:proofErr w:type="spellEnd"/>
      <w:r w:rsidR="009040A9" w:rsidRPr="00120F8F">
        <w:rPr>
          <w:i/>
        </w:rPr>
        <w:t>)</w:t>
      </w:r>
      <w:r w:rsidR="009040A9" w:rsidRPr="00120F8F">
        <w:t>, 2007 QCCA 739 (</w:t>
      </w:r>
      <w:proofErr w:type="spellStart"/>
      <w:r w:rsidR="009040A9" w:rsidRPr="00120F8F">
        <w:t>CanLII</w:t>
      </w:r>
      <w:proofErr w:type="spellEnd"/>
      <w:r w:rsidR="009040A9" w:rsidRPr="00120F8F">
        <w:t xml:space="preserve">), </w:t>
      </w:r>
      <w:proofErr w:type="spellStart"/>
      <w:r w:rsidR="009040A9" w:rsidRPr="00120F8F">
        <w:t>autorisation</w:t>
      </w:r>
      <w:proofErr w:type="spellEnd"/>
      <w:r w:rsidR="009040A9" w:rsidRPr="00120F8F">
        <w:t xml:space="preserve"> </w:t>
      </w:r>
      <w:proofErr w:type="spellStart"/>
      <w:r w:rsidR="009040A9" w:rsidRPr="00120F8F">
        <w:t>d’appel</w:t>
      </w:r>
      <w:proofErr w:type="spellEnd"/>
      <w:r w:rsidR="009040A9" w:rsidRPr="00120F8F">
        <w:t xml:space="preserve"> </w:t>
      </w:r>
      <w:proofErr w:type="spellStart"/>
      <w:r w:rsidR="009040A9" w:rsidRPr="00120F8F">
        <w:t>refusée</w:t>
      </w:r>
      <w:proofErr w:type="spellEnd"/>
      <w:r w:rsidR="003A78D1" w:rsidRPr="00120F8F">
        <w:t>,</w:t>
      </w:r>
      <w:r w:rsidR="009040A9" w:rsidRPr="00120F8F">
        <w:t xml:space="preserve"> [2007] 3 R.C.S. xiii; </w:t>
      </w:r>
      <w:proofErr w:type="spellStart"/>
      <w:r w:rsidR="001928AD" w:rsidRPr="00120F8F">
        <w:rPr>
          <w:i/>
        </w:rPr>
        <w:t>Sakka</w:t>
      </w:r>
      <w:proofErr w:type="spellEnd"/>
      <w:r w:rsidR="001928AD" w:rsidRPr="00120F8F">
        <w:rPr>
          <w:i/>
        </w:rPr>
        <w:t xml:space="preserve"> (Litigation Guardian of) </w:t>
      </w:r>
      <w:r w:rsidR="007D02C3">
        <w:rPr>
          <w:i/>
        </w:rPr>
        <w:t>c</w:t>
      </w:r>
      <w:r w:rsidR="001928AD" w:rsidRPr="00120F8F">
        <w:rPr>
          <w:i/>
        </w:rPr>
        <w:t>. Air France</w:t>
      </w:r>
      <w:r w:rsidR="001928AD" w:rsidRPr="00120F8F">
        <w:t>, 2011 ONSC 1995, 18 C.P.C. (7th) 150</w:t>
      </w:r>
      <w:r w:rsidR="009040A9" w:rsidRPr="00120F8F">
        <w:t xml:space="preserve">; </w:t>
      </w:r>
      <w:proofErr w:type="spellStart"/>
      <w:r w:rsidR="009040A9" w:rsidRPr="00120F8F">
        <w:rPr>
          <w:i/>
        </w:rPr>
        <w:t>Sidhu</w:t>
      </w:r>
      <w:proofErr w:type="spellEnd"/>
      <w:r w:rsidR="009040A9" w:rsidRPr="00120F8F">
        <w:rPr>
          <w:i/>
        </w:rPr>
        <w:t xml:space="preserve"> </w:t>
      </w:r>
      <w:r w:rsidR="003A78D1" w:rsidRPr="00120F8F">
        <w:rPr>
          <w:i/>
        </w:rPr>
        <w:t>c</w:t>
      </w:r>
      <w:r w:rsidR="009040A9" w:rsidRPr="00120F8F">
        <w:rPr>
          <w:i/>
        </w:rPr>
        <w:t>. British Airways Plc.</w:t>
      </w:r>
      <w:r w:rsidR="009040A9" w:rsidRPr="00120F8F">
        <w:t xml:space="preserve">, [1997] A.C. 430; </w:t>
      </w:r>
      <w:r w:rsidR="009040A9" w:rsidRPr="00120F8F">
        <w:rPr>
          <w:i/>
        </w:rPr>
        <w:t>In re Deep Vein Thrombosis and Air Travel Group Litigation</w:t>
      </w:r>
      <w:r w:rsidR="009040A9" w:rsidRPr="00120F8F">
        <w:t xml:space="preserve">, [2005] UKHL 72, [2006] 1 A.C. 495; </w:t>
      </w:r>
      <w:r w:rsidR="004D091B" w:rsidRPr="00120F8F">
        <w:t>C</w:t>
      </w:r>
      <w:r w:rsidR="00B122C9" w:rsidRPr="00120F8F">
        <w:t>iv. 1</w:t>
      </w:r>
      <w:r w:rsidR="00B122C9" w:rsidRPr="00120F8F">
        <w:rPr>
          <w:vertAlign w:val="superscript"/>
        </w:rPr>
        <w:t>re</w:t>
      </w:r>
      <w:r w:rsidR="00B122C9" w:rsidRPr="00120F8F">
        <w:t xml:space="preserve">, 14 </w:t>
      </w:r>
      <w:proofErr w:type="spellStart"/>
      <w:r w:rsidR="00B122C9" w:rsidRPr="00120F8F">
        <w:t>juin</w:t>
      </w:r>
      <w:proofErr w:type="spellEnd"/>
      <w:r w:rsidR="00B122C9" w:rsidRPr="00120F8F">
        <w:t xml:space="preserve"> 2007, </w:t>
      </w:r>
      <w:r w:rsidR="00B122C9" w:rsidRPr="00120F8F">
        <w:rPr>
          <w:i/>
        </w:rPr>
        <w:t>Bull. civ.</w:t>
      </w:r>
      <w:r w:rsidR="00A374D1" w:rsidRPr="00A374D1">
        <w:t xml:space="preserve"> 6</w:t>
      </w:r>
      <w:r w:rsidR="00F27640" w:rsidRPr="00120F8F">
        <w:t>,</w:t>
      </w:r>
      <w:r w:rsidR="00B122C9" w:rsidRPr="00120F8F">
        <w:t xml:space="preserve"> n</w:t>
      </w:r>
      <w:r w:rsidR="00B122C9" w:rsidRPr="00120F8F">
        <w:rPr>
          <w:vertAlign w:val="superscript"/>
        </w:rPr>
        <w:t>o</w:t>
      </w:r>
      <w:r w:rsidR="006412AC">
        <w:t xml:space="preserve"> </w:t>
      </w:r>
      <w:r w:rsidR="00B122C9" w:rsidRPr="00120F8F">
        <w:t>230</w:t>
      </w:r>
      <w:r w:rsidR="009040A9" w:rsidRPr="00120F8F">
        <w:t xml:space="preserve">; </w:t>
      </w:r>
      <w:proofErr w:type="spellStart"/>
      <w:r w:rsidR="009040A9" w:rsidRPr="00120F8F">
        <w:rPr>
          <w:i/>
        </w:rPr>
        <w:t>Ong</w:t>
      </w:r>
      <w:proofErr w:type="spellEnd"/>
      <w:r w:rsidR="009040A9" w:rsidRPr="00120F8F">
        <w:rPr>
          <w:i/>
        </w:rPr>
        <w:t xml:space="preserve"> </w:t>
      </w:r>
      <w:r w:rsidR="003A78D1" w:rsidRPr="00120F8F">
        <w:rPr>
          <w:i/>
        </w:rPr>
        <w:t>c</w:t>
      </w:r>
      <w:r w:rsidR="009040A9" w:rsidRPr="00120F8F">
        <w:rPr>
          <w:i/>
        </w:rPr>
        <w:t xml:space="preserve">. Malaysian Airline System </w:t>
      </w:r>
      <w:proofErr w:type="spellStart"/>
      <w:r w:rsidR="009040A9" w:rsidRPr="00120F8F">
        <w:rPr>
          <w:i/>
        </w:rPr>
        <w:t>Bhd</w:t>
      </w:r>
      <w:proofErr w:type="spellEnd"/>
      <w:r w:rsidR="009040A9" w:rsidRPr="00120F8F">
        <w:t xml:space="preserve">, [2008] 3 H.K.L.R.D. 153; </w:t>
      </w:r>
      <w:r w:rsidR="009040A9" w:rsidRPr="00120F8F">
        <w:rPr>
          <w:i/>
        </w:rPr>
        <w:t xml:space="preserve">Hennessey </w:t>
      </w:r>
      <w:r w:rsidR="003A78D1" w:rsidRPr="00120F8F">
        <w:rPr>
          <w:i/>
        </w:rPr>
        <w:t>c</w:t>
      </w:r>
      <w:r w:rsidR="009040A9" w:rsidRPr="00120F8F">
        <w:rPr>
          <w:i/>
        </w:rPr>
        <w:t xml:space="preserve">. </w:t>
      </w:r>
      <w:proofErr w:type="spellStart"/>
      <w:r w:rsidR="009040A9" w:rsidRPr="00120F8F">
        <w:rPr>
          <w:i/>
        </w:rPr>
        <w:t>Aer</w:t>
      </w:r>
      <w:proofErr w:type="spellEnd"/>
      <w:r w:rsidR="009040A9" w:rsidRPr="00120F8F">
        <w:rPr>
          <w:i/>
        </w:rPr>
        <w:t xml:space="preserve"> </w:t>
      </w:r>
      <w:proofErr w:type="spellStart"/>
      <w:r w:rsidR="009040A9" w:rsidRPr="00120F8F">
        <w:rPr>
          <w:i/>
        </w:rPr>
        <w:t>Lingus</w:t>
      </w:r>
      <w:proofErr w:type="spellEnd"/>
      <w:r w:rsidR="009040A9" w:rsidRPr="00120F8F">
        <w:rPr>
          <w:i/>
        </w:rPr>
        <w:t xml:space="preserve"> Ltd.</w:t>
      </w:r>
      <w:r w:rsidR="009040A9" w:rsidRPr="00120F8F">
        <w:t xml:space="preserve">, [2012] IEHC 124 (BAILII); </w:t>
      </w:r>
      <w:r w:rsidR="009040A9" w:rsidRPr="00120F8F">
        <w:rPr>
          <w:i/>
        </w:rPr>
        <w:t>Emery Air Freight Cor</w:t>
      </w:r>
      <w:r w:rsidR="00874126" w:rsidRPr="00120F8F">
        <w:rPr>
          <w:i/>
        </w:rPr>
        <w:t xml:space="preserve">p. </w:t>
      </w:r>
      <w:r w:rsidR="003A78D1" w:rsidRPr="00120F8F">
        <w:rPr>
          <w:i/>
        </w:rPr>
        <w:t>c</w:t>
      </w:r>
      <w:r w:rsidR="009040A9" w:rsidRPr="00120F8F">
        <w:rPr>
          <w:i/>
        </w:rPr>
        <w:t xml:space="preserve">. </w:t>
      </w:r>
      <w:proofErr w:type="spellStart"/>
      <w:r w:rsidR="009040A9" w:rsidRPr="00120F8F">
        <w:rPr>
          <w:i/>
        </w:rPr>
        <w:t>Nerine</w:t>
      </w:r>
      <w:proofErr w:type="spellEnd"/>
      <w:r w:rsidR="009040A9" w:rsidRPr="00120F8F">
        <w:rPr>
          <w:i/>
        </w:rPr>
        <w:t xml:space="preserve"> Nurseries Ltd.</w:t>
      </w:r>
      <w:r w:rsidR="009040A9" w:rsidRPr="00120F8F">
        <w:t xml:space="preserve">, [1997] 3 N.Z.L.R. 723; </w:t>
      </w:r>
      <w:r w:rsidR="009040A9" w:rsidRPr="00120F8F">
        <w:rPr>
          <w:i/>
        </w:rPr>
        <w:t xml:space="preserve">Seagate Technology International </w:t>
      </w:r>
      <w:r w:rsidR="003A78D1" w:rsidRPr="00120F8F">
        <w:rPr>
          <w:i/>
        </w:rPr>
        <w:t>c</w:t>
      </w:r>
      <w:r w:rsidR="009040A9" w:rsidRPr="00120F8F">
        <w:rPr>
          <w:i/>
        </w:rPr>
        <w:t xml:space="preserve">. </w:t>
      </w:r>
      <w:proofErr w:type="spellStart"/>
      <w:r w:rsidR="009040A9" w:rsidRPr="00120F8F">
        <w:rPr>
          <w:i/>
        </w:rPr>
        <w:t>Changi</w:t>
      </w:r>
      <w:proofErr w:type="spellEnd"/>
      <w:r w:rsidR="009040A9" w:rsidRPr="00120F8F">
        <w:rPr>
          <w:i/>
        </w:rPr>
        <w:t xml:space="preserve"> International Airport Services Pte. Ltd.</w:t>
      </w:r>
      <w:r w:rsidR="009040A9" w:rsidRPr="00120F8F">
        <w:t xml:space="preserve">, [1997] SGCA 22, [1997] 2 S.L.R.(R.) 57; </w:t>
      </w:r>
      <w:proofErr w:type="spellStart"/>
      <w:r w:rsidR="009040A9" w:rsidRPr="00120F8F">
        <w:rPr>
          <w:i/>
        </w:rPr>
        <w:t>Potgieter</w:t>
      </w:r>
      <w:proofErr w:type="spellEnd"/>
      <w:r w:rsidR="009040A9" w:rsidRPr="00120F8F">
        <w:rPr>
          <w:i/>
        </w:rPr>
        <w:t xml:space="preserve"> </w:t>
      </w:r>
      <w:r w:rsidR="003A78D1" w:rsidRPr="00120F8F">
        <w:rPr>
          <w:i/>
        </w:rPr>
        <w:t>c</w:t>
      </w:r>
      <w:r w:rsidR="009040A9" w:rsidRPr="00120F8F">
        <w:rPr>
          <w:i/>
        </w:rPr>
        <w:t>. British Airways Plc</w:t>
      </w:r>
      <w:r w:rsidR="009040A9" w:rsidRPr="00120F8F">
        <w:t xml:space="preserve">, [2005] ZAWCHC 5 (SAFLII); </w:t>
      </w:r>
      <w:r w:rsidR="009040A9" w:rsidRPr="00120F8F">
        <w:rPr>
          <w:i/>
        </w:rPr>
        <w:t xml:space="preserve">Gal </w:t>
      </w:r>
      <w:r w:rsidR="003A78D1" w:rsidRPr="00120F8F">
        <w:rPr>
          <w:i/>
        </w:rPr>
        <w:t>c</w:t>
      </w:r>
      <w:r w:rsidR="009040A9" w:rsidRPr="00120F8F">
        <w:rPr>
          <w:i/>
        </w:rPr>
        <w:t>. Northern Mountain Helicopters Inc.</w:t>
      </w:r>
      <w:r w:rsidR="009040A9" w:rsidRPr="00120F8F">
        <w:t xml:space="preserve">, 1999 BCCA 486, 128 B.C.A.C. 290; </w:t>
      </w:r>
      <w:r w:rsidR="00B73BB1" w:rsidRPr="00120F8F">
        <w:t xml:space="preserve">Az. </w:t>
      </w:r>
      <w:r w:rsidR="00B73BB1" w:rsidRPr="004F3633">
        <w:t xml:space="preserve">X ZR 99/10 (2011) (en </w:t>
      </w:r>
      <w:proofErr w:type="spellStart"/>
      <w:r w:rsidR="00B73BB1" w:rsidRPr="004F3633">
        <w:t>ligne</w:t>
      </w:r>
      <w:proofErr w:type="spellEnd"/>
      <w:r w:rsidR="006412AC">
        <w:t> :</w:t>
      </w:r>
      <w:r w:rsidR="00B73BB1" w:rsidRPr="004F3633">
        <w:t xml:space="preserve"> http://openjur.de/u/163948.html); </w:t>
      </w:r>
      <w:proofErr w:type="spellStart"/>
      <w:r w:rsidR="003153B9" w:rsidRPr="004F3633">
        <w:rPr>
          <w:i/>
        </w:rPr>
        <w:t>McAuley</w:t>
      </w:r>
      <w:proofErr w:type="spellEnd"/>
      <w:r w:rsidR="003153B9" w:rsidRPr="004F3633">
        <w:rPr>
          <w:i/>
        </w:rPr>
        <w:t xml:space="preserve"> c. </w:t>
      </w:r>
      <w:proofErr w:type="spellStart"/>
      <w:r w:rsidR="003153B9" w:rsidRPr="004F3633">
        <w:rPr>
          <w:i/>
        </w:rPr>
        <w:t>Aer</w:t>
      </w:r>
      <w:proofErr w:type="spellEnd"/>
      <w:r w:rsidR="003153B9" w:rsidRPr="004F3633">
        <w:rPr>
          <w:i/>
        </w:rPr>
        <w:t xml:space="preserve"> </w:t>
      </w:r>
      <w:proofErr w:type="spellStart"/>
      <w:r w:rsidR="003153B9" w:rsidRPr="004F3633">
        <w:rPr>
          <w:i/>
        </w:rPr>
        <w:t>Lingus</w:t>
      </w:r>
      <w:proofErr w:type="spellEnd"/>
      <w:r w:rsidR="003153B9" w:rsidRPr="004F3633">
        <w:rPr>
          <w:i/>
        </w:rPr>
        <w:t xml:space="preserve"> Ltd.</w:t>
      </w:r>
      <w:r w:rsidR="003153B9" w:rsidRPr="004F3633">
        <w:t>, [2011] IEHC 89 (</w:t>
      </w:r>
      <w:r w:rsidR="00226D4E" w:rsidRPr="004F3633">
        <w:t xml:space="preserve">en </w:t>
      </w:r>
      <w:proofErr w:type="spellStart"/>
      <w:r w:rsidR="00226D4E" w:rsidRPr="004F3633">
        <w:t>ligne</w:t>
      </w:r>
      <w:proofErr w:type="spellEnd"/>
      <w:r w:rsidR="006412AC">
        <w:t> :</w:t>
      </w:r>
      <w:r w:rsidR="003153B9" w:rsidRPr="004F3633">
        <w:t xml:space="preserve"> http://www.courts.ie/Judgments.nsf/0/5DDF253DE6C0E09F8025787E0053C421); </w:t>
      </w:r>
      <w:r w:rsidR="009040A9" w:rsidRPr="004F3633">
        <w:rPr>
          <w:i/>
        </w:rPr>
        <w:t xml:space="preserve">O’Mara </w:t>
      </w:r>
      <w:r w:rsidR="003A78D1" w:rsidRPr="004F3633">
        <w:rPr>
          <w:i/>
        </w:rPr>
        <w:t>c</w:t>
      </w:r>
      <w:r w:rsidR="009040A9" w:rsidRPr="004F3633">
        <w:rPr>
          <w:i/>
        </w:rPr>
        <w:t>. Air Canada</w:t>
      </w:r>
      <w:r w:rsidR="009040A9" w:rsidRPr="004F3633">
        <w:t xml:space="preserve">, 2013 ONSC 2931, 115 O.R. (3d) 673; </w:t>
      </w:r>
      <w:r w:rsidR="009040A9" w:rsidRPr="004F3633">
        <w:rPr>
          <w:i/>
        </w:rPr>
        <w:t xml:space="preserve">Walton </w:t>
      </w:r>
      <w:r w:rsidR="003A78D1" w:rsidRPr="004F3633">
        <w:rPr>
          <w:i/>
        </w:rPr>
        <w:t>c</w:t>
      </w:r>
      <w:r w:rsidR="009040A9" w:rsidRPr="004F3633">
        <w:rPr>
          <w:i/>
        </w:rPr>
        <w:t>. MyTravel Canada Holdings Inc.</w:t>
      </w:r>
      <w:r w:rsidR="009040A9" w:rsidRPr="004F3633">
        <w:t xml:space="preserve">, 2006 SKQB 231, 280 Sask. R. 1; </w:t>
      </w:r>
      <w:r w:rsidR="009040A9" w:rsidRPr="004F3633">
        <w:rPr>
          <w:i/>
        </w:rPr>
        <w:t xml:space="preserve">King </w:t>
      </w:r>
      <w:r w:rsidR="003A78D1" w:rsidRPr="004F3633">
        <w:rPr>
          <w:i/>
        </w:rPr>
        <w:t>c</w:t>
      </w:r>
      <w:r w:rsidR="009040A9" w:rsidRPr="004F3633">
        <w:rPr>
          <w:i/>
        </w:rPr>
        <w:t>. American Airlines, Inc.</w:t>
      </w:r>
      <w:r w:rsidR="009040A9" w:rsidRPr="004F3633">
        <w:t xml:space="preserve">, 284 F.3d 352 (2002); </w:t>
      </w:r>
      <w:r w:rsidR="009040A9" w:rsidRPr="004F3633">
        <w:rPr>
          <w:i/>
        </w:rPr>
        <w:t xml:space="preserve">Gibbs </w:t>
      </w:r>
      <w:r w:rsidR="003A78D1" w:rsidRPr="004F3633">
        <w:rPr>
          <w:i/>
        </w:rPr>
        <w:t>c</w:t>
      </w:r>
      <w:r w:rsidR="009040A9" w:rsidRPr="004F3633">
        <w:rPr>
          <w:i/>
        </w:rPr>
        <w:t>. American Airlines, Inc.</w:t>
      </w:r>
      <w:r w:rsidR="009040A9" w:rsidRPr="004F3633">
        <w:t xml:space="preserve">, 191 F.Supp.2d 144 (2002); </w:t>
      </w:r>
      <w:proofErr w:type="spellStart"/>
      <w:r w:rsidR="009040A9" w:rsidRPr="004F3633">
        <w:rPr>
          <w:i/>
        </w:rPr>
        <w:t>Turturro</w:t>
      </w:r>
      <w:proofErr w:type="spellEnd"/>
      <w:r w:rsidR="009040A9" w:rsidRPr="004F3633">
        <w:rPr>
          <w:i/>
        </w:rPr>
        <w:t xml:space="preserve"> </w:t>
      </w:r>
      <w:r w:rsidR="003A78D1" w:rsidRPr="004F3633">
        <w:rPr>
          <w:i/>
        </w:rPr>
        <w:t>c</w:t>
      </w:r>
      <w:r w:rsidR="009040A9" w:rsidRPr="004F3633">
        <w:rPr>
          <w:i/>
        </w:rPr>
        <w:t>. Continental Airlines</w:t>
      </w:r>
      <w:r w:rsidR="009040A9" w:rsidRPr="004F3633">
        <w:t xml:space="preserve">, 128 F.Supp.2d 170 (2001); </w:t>
      </w:r>
      <w:r w:rsidR="009040A9" w:rsidRPr="004F3633">
        <w:rPr>
          <w:i/>
        </w:rPr>
        <w:t xml:space="preserve">Brandt </w:t>
      </w:r>
      <w:r w:rsidR="003A78D1" w:rsidRPr="004F3633">
        <w:rPr>
          <w:i/>
        </w:rPr>
        <w:t>c</w:t>
      </w:r>
      <w:r w:rsidR="009040A9" w:rsidRPr="004F3633">
        <w:rPr>
          <w:i/>
        </w:rPr>
        <w:t xml:space="preserve">. </w:t>
      </w:r>
      <w:r w:rsidR="009040A9" w:rsidRPr="004F3633">
        <w:rPr>
          <w:i/>
        </w:rPr>
        <w:lastRenderedPageBreak/>
        <w:t>American Airlines</w:t>
      </w:r>
      <w:r w:rsidR="009040A9" w:rsidRPr="004F3633">
        <w:t xml:space="preserve">, 2000 WL 288393; </w:t>
      </w:r>
      <w:r w:rsidR="009040A9" w:rsidRPr="004F3633">
        <w:rPr>
          <w:i/>
        </w:rPr>
        <w:t>Vancouver (</w:t>
      </w:r>
      <w:r w:rsidR="003A78D1" w:rsidRPr="004F3633">
        <w:rPr>
          <w:i/>
        </w:rPr>
        <w:t>Ville</w:t>
      </w:r>
      <w:r w:rsidR="009040A9" w:rsidRPr="004F3633">
        <w:rPr>
          <w:i/>
        </w:rPr>
        <w:t xml:space="preserve">) </w:t>
      </w:r>
      <w:r w:rsidR="003A78D1" w:rsidRPr="004F3633">
        <w:rPr>
          <w:i/>
        </w:rPr>
        <w:t>c</w:t>
      </w:r>
      <w:r w:rsidR="009040A9" w:rsidRPr="004F3633">
        <w:rPr>
          <w:i/>
        </w:rPr>
        <w:t>. Ward</w:t>
      </w:r>
      <w:r w:rsidR="009040A9" w:rsidRPr="004F3633">
        <w:t xml:space="preserve">, 2010 </w:t>
      </w:r>
      <w:r w:rsidR="003A78D1" w:rsidRPr="004F3633">
        <w:t>C</w:t>
      </w:r>
      <w:r w:rsidR="009040A9" w:rsidRPr="004F3633">
        <w:t xml:space="preserve">SC 27, [2010] 2 </w:t>
      </w:r>
      <w:r w:rsidR="003A78D1" w:rsidRPr="004F3633">
        <w:t>R.C.</w:t>
      </w:r>
      <w:r w:rsidR="009040A9" w:rsidRPr="004F3633">
        <w:t xml:space="preserve">S. 28; </w:t>
      </w:r>
      <w:r w:rsidR="008A729B" w:rsidRPr="004F3633">
        <w:rPr>
          <w:i/>
        </w:rPr>
        <w:t>International Air Transport Association c. Department for Transport</w:t>
      </w:r>
      <w:r w:rsidR="008A729B" w:rsidRPr="004F3633">
        <w:t>, C</w:t>
      </w:r>
      <w:r w:rsidR="006412AC">
        <w:t>-</w:t>
      </w:r>
      <w:r w:rsidR="008A729B" w:rsidRPr="004F3633">
        <w:t>344/04, [2006] E.C.R. I</w:t>
      </w:r>
      <w:r w:rsidR="006412AC">
        <w:t>-</w:t>
      </w:r>
      <w:r w:rsidR="008A729B" w:rsidRPr="004F3633">
        <w:t xml:space="preserve">403; </w:t>
      </w:r>
      <w:proofErr w:type="spellStart"/>
      <w:r w:rsidR="008A729B" w:rsidRPr="004F3633">
        <w:rPr>
          <w:i/>
        </w:rPr>
        <w:t>Wallentin</w:t>
      </w:r>
      <w:proofErr w:type="spellEnd"/>
      <w:r w:rsidR="006412AC">
        <w:rPr>
          <w:i/>
        </w:rPr>
        <w:t>-</w:t>
      </w:r>
      <w:r w:rsidR="008A729B" w:rsidRPr="004F3633">
        <w:rPr>
          <w:i/>
        </w:rPr>
        <w:t>Hermann c. Alitalia</w:t>
      </w:r>
      <w:r w:rsidR="008A729B" w:rsidRPr="004F3633">
        <w:t>, C</w:t>
      </w:r>
      <w:r w:rsidR="006412AC">
        <w:t>-</w:t>
      </w:r>
      <w:r w:rsidR="008A729B" w:rsidRPr="004F3633">
        <w:t>549/07, [2008] E.C.R. I</w:t>
      </w:r>
      <w:r w:rsidR="006412AC">
        <w:t>-</w:t>
      </w:r>
      <w:r w:rsidR="008A729B" w:rsidRPr="004F3633">
        <w:t xml:space="preserve">11061; </w:t>
      </w:r>
      <w:r w:rsidR="008A729B" w:rsidRPr="004F3633">
        <w:rPr>
          <w:i/>
        </w:rPr>
        <w:t xml:space="preserve">Sturgeon c. Condor </w:t>
      </w:r>
      <w:proofErr w:type="spellStart"/>
      <w:r w:rsidR="008A729B" w:rsidRPr="004F3633">
        <w:rPr>
          <w:i/>
        </w:rPr>
        <w:t>Flugdienst</w:t>
      </w:r>
      <w:proofErr w:type="spellEnd"/>
      <w:r w:rsidR="008A729B" w:rsidRPr="004F3633">
        <w:rPr>
          <w:i/>
        </w:rPr>
        <w:t xml:space="preserve"> GmbH</w:t>
      </w:r>
      <w:r w:rsidR="008A729B" w:rsidRPr="004F3633">
        <w:t>, C</w:t>
      </w:r>
      <w:r w:rsidR="006412AC">
        <w:t>-</w:t>
      </w:r>
      <w:r w:rsidR="008A729B" w:rsidRPr="004F3633">
        <w:t>402/07 et C</w:t>
      </w:r>
      <w:r w:rsidR="006412AC">
        <w:t>-</w:t>
      </w:r>
      <w:r w:rsidR="008A729B" w:rsidRPr="004F3633">
        <w:t>432/07, [2009] E.C.R. I</w:t>
      </w:r>
      <w:r w:rsidR="006412AC">
        <w:t>-</w:t>
      </w:r>
      <w:r w:rsidR="008A729B" w:rsidRPr="004F3633">
        <w:t xml:space="preserve">10923; </w:t>
      </w:r>
      <w:r w:rsidR="008A729B" w:rsidRPr="004F3633">
        <w:rPr>
          <w:i/>
        </w:rPr>
        <w:t>Nelson c. Deutsche Lufthansa AG</w:t>
      </w:r>
      <w:r w:rsidR="008A729B" w:rsidRPr="004F3633">
        <w:t>, C</w:t>
      </w:r>
      <w:r w:rsidR="006412AC">
        <w:t>-</w:t>
      </w:r>
      <w:r w:rsidR="008A729B" w:rsidRPr="004F3633">
        <w:t>581/10 et C</w:t>
      </w:r>
      <w:r w:rsidR="006412AC">
        <w:t>-</w:t>
      </w:r>
      <w:r w:rsidR="008A729B" w:rsidRPr="004F3633">
        <w:t xml:space="preserve">629/10, [2013] 1 C.M.L.R. </w:t>
      </w:r>
      <w:r w:rsidR="005A3B40" w:rsidRPr="004F3633">
        <w:t xml:space="preserve">42 (p. </w:t>
      </w:r>
      <w:r w:rsidR="008A729B" w:rsidRPr="004F3633">
        <w:t>1191</w:t>
      </w:r>
      <w:r w:rsidR="005A3B40" w:rsidRPr="004F3633">
        <w:t>)</w:t>
      </w:r>
      <w:r w:rsidR="008A729B" w:rsidRPr="004F3633">
        <w:t xml:space="preserve">; </w:t>
      </w:r>
      <w:r w:rsidR="009040A9" w:rsidRPr="004F3633">
        <w:rPr>
          <w:i/>
        </w:rPr>
        <w:t xml:space="preserve">R. </w:t>
      </w:r>
      <w:r w:rsidR="003A78D1" w:rsidRPr="004F3633">
        <w:rPr>
          <w:i/>
        </w:rPr>
        <w:t>c</w:t>
      </w:r>
      <w:r w:rsidR="009040A9" w:rsidRPr="004F3633">
        <w:rPr>
          <w:i/>
        </w:rPr>
        <w:t xml:space="preserve">. </w:t>
      </w:r>
      <w:proofErr w:type="spellStart"/>
      <w:r w:rsidR="009040A9" w:rsidRPr="004F3633">
        <w:rPr>
          <w:i/>
        </w:rPr>
        <w:t>Ulybel</w:t>
      </w:r>
      <w:proofErr w:type="spellEnd"/>
      <w:r w:rsidR="009040A9" w:rsidRPr="004F3633">
        <w:rPr>
          <w:i/>
        </w:rPr>
        <w:t xml:space="preserve"> Enterprises Ltd.</w:t>
      </w:r>
      <w:r w:rsidR="009040A9" w:rsidRPr="004F3633">
        <w:t xml:space="preserve">, 2001 </w:t>
      </w:r>
      <w:r w:rsidR="003A78D1" w:rsidRPr="004F3633">
        <w:t>C</w:t>
      </w:r>
      <w:r w:rsidR="009040A9" w:rsidRPr="004F3633">
        <w:t xml:space="preserve">SC 56, [2001] 2 </w:t>
      </w:r>
      <w:r w:rsidR="003A78D1" w:rsidRPr="004F3633">
        <w:t>R.C.</w:t>
      </w:r>
      <w:r w:rsidR="009040A9" w:rsidRPr="004F3633">
        <w:t xml:space="preserve">S. 867; </w:t>
      </w:r>
      <w:r w:rsidR="003A78D1" w:rsidRPr="004F3633">
        <w:rPr>
          <w:i/>
        </w:rPr>
        <w:t xml:space="preserve">Friends of the </w:t>
      </w:r>
      <w:proofErr w:type="spellStart"/>
      <w:r w:rsidR="003A78D1" w:rsidRPr="004F3633">
        <w:rPr>
          <w:i/>
        </w:rPr>
        <w:t>Oldman</w:t>
      </w:r>
      <w:proofErr w:type="spellEnd"/>
      <w:r w:rsidR="003A78D1" w:rsidRPr="004F3633">
        <w:rPr>
          <w:i/>
        </w:rPr>
        <w:t xml:space="preserve"> River Society c. Canada (</w:t>
      </w:r>
      <w:proofErr w:type="spellStart"/>
      <w:r w:rsidR="003A78D1" w:rsidRPr="004F3633">
        <w:rPr>
          <w:i/>
        </w:rPr>
        <w:t>Ministre</w:t>
      </w:r>
      <w:proofErr w:type="spellEnd"/>
      <w:r w:rsidR="003A78D1" w:rsidRPr="004F3633">
        <w:rPr>
          <w:i/>
        </w:rPr>
        <w:t xml:space="preserve"> des Transports)</w:t>
      </w:r>
      <w:r w:rsidR="009040A9" w:rsidRPr="004F3633">
        <w:t xml:space="preserve">, [1992] 1 </w:t>
      </w:r>
      <w:r w:rsidR="003A78D1" w:rsidRPr="004F3633">
        <w:t>R.C.</w:t>
      </w:r>
      <w:r w:rsidR="009040A9" w:rsidRPr="004F3633">
        <w:t xml:space="preserve">S. 3; </w:t>
      </w:r>
      <w:r w:rsidR="009040A9" w:rsidRPr="004F3633">
        <w:rPr>
          <w:i/>
        </w:rPr>
        <w:t xml:space="preserve">Daniels </w:t>
      </w:r>
      <w:r w:rsidR="003A78D1" w:rsidRPr="004F3633">
        <w:rPr>
          <w:i/>
        </w:rPr>
        <w:t>c</w:t>
      </w:r>
      <w:r w:rsidR="009040A9" w:rsidRPr="004F3633">
        <w:rPr>
          <w:i/>
        </w:rPr>
        <w:t>. White</w:t>
      </w:r>
      <w:r w:rsidR="009040A9" w:rsidRPr="004F3633">
        <w:t xml:space="preserve">, [1968] </w:t>
      </w:r>
      <w:r w:rsidR="003A78D1" w:rsidRPr="004F3633">
        <w:t>R.C.</w:t>
      </w:r>
      <w:r w:rsidR="009040A9" w:rsidRPr="004F3633">
        <w:t xml:space="preserve">S. 517; </w:t>
      </w:r>
      <w:r w:rsidR="009040A9" w:rsidRPr="004F3633">
        <w:rPr>
          <w:i/>
        </w:rPr>
        <w:t xml:space="preserve">Toronto </w:t>
      </w:r>
      <w:r w:rsidR="009040A9" w:rsidRPr="009813F5">
        <w:rPr>
          <w:i/>
        </w:rPr>
        <w:t xml:space="preserve">Railway Co. </w:t>
      </w:r>
      <w:r w:rsidR="003A78D1" w:rsidRPr="009813F5">
        <w:rPr>
          <w:i/>
        </w:rPr>
        <w:t>c</w:t>
      </w:r>
      <w:r w:rsidR="009040A9" w:rsidRPr="009813F5">
        <w:rPr>
          <w:i/>
        </w:rPr>
        <w:t>. Paget</w:t>
      </w:r>
      <w:r w:rsidR="009040A9" w:rsidRPr="009813F5">
        <w:t xml:space="preserve"> (1909), 42 </w:t>
      </w:r>
      <w:r w:rsidR="003A78D1" w:rsidRPr="009813F5">
        <w:t>R.C.</w:t>
      </w:r>
      <w:r w:rsidR="009040A9" w:rsidRPr="009813F5">
        <w:t xml:space="preserve">S. 488; </w:t>
      </w:r>
      <w:r w:rsidR="009040A9" w:rsidRPr="009813F5">
        <w:rPr>
          <w:i/>
        </w:rPr>
        <w:t xml:space="preserve">Canadian Westinghouse Co. </w:t>
      </w:r>
      <w:r w:rsidR="003A78D1" w:rsidRPr="009813F5">
        <w:rPr>
          <w:i/>
        </w:rPr>
        <w:t>c</w:t>
      </w:r>
      <w:r w:rsidR="009040A9" w:rsidRPr="009813F5">
        <w:rPr>
          <w:i/>
        </w:rPr>
        <w:t>. Grant</w:t>
      </w:r>
      <w:r w:rsidR="009040A9" w:rsidRPr="009813F5">
        <w:t xml:space="preserve">, [1927] </w:t>
      </w:r>
      <w:r w:rsidR="003A78D1" w:rsidRPr="009813F5">
        <w:t>R.C.</w:t>
      </w:r>
      <w:r w:rsidR="009040A9" w:rsidRPr="009813F5">
        <w:t xml:space="preserve">S. 625; </w:t>
      </w:r>
      <w:r w:rsidR="009040A9" w:rsidRPr="009813F5">
        <w:rPr>
          <w:i/>
        </w:rPr>
        <w:t xml:space="preserve">International Brotherhood of Electrical Workers </w:t>
      </w:r>
      <w:r w:rsidR="003A78D1" w:rsidRPr="009813F5">
        <w:rPr>
          <w:i/>
        </w:rPr>
        <w:t>c</w:t>
      </w:r>
      <w:r w:rsidR="009040A9" w:rsidRPr="009813F5">
        <w:rPr>
          <w:i/>
        </w:rPr>
        <w:t xml:space="preserve">. Town of </w:t>
      </w:r>
      <w:proofErr w:type="spellStart"/>
      <w:r w:rsidR="009040A9" w:rsidRPr="009813F5">
        <w:rPr>
          <w:i/>
        </w:rPr>
        <w:t>Summerside</w:t>
      </w:r>
      <w:proofErr w:type="spellEnd"/>
      <w:r w:rsidR="009040A9" w:rsidRPr="009813F5">
        <w:t xml:space="preserve">, [1960] </w:t>
      </w:r>
      <w:r w:rsidR="003A78D1" w:rsidRPr="009813F5">
        <w:t>R.C.</w:t>
      </w:r>
      <w:r w:rsidR="009040A9" w:rsidRPr="009813F5">
        <w:t xml:space="preserve">S. 591; </w:t>
      </w:r>
      <w:proofErr w:type="spellStart"/>
      <w:r w:rsidR="003A78D1" w:rsidRPr="009813F5">
        <w:rPr>
          <w:i/>
        </w:rPr>
        <w:t>Renvoi</w:t>
      </w:r>
      <w:proofErr w:type="spellEnd"/>
      <w:r w:rsidR="003A78D1" w:rsidRPr="009813F5">
        <w:rPr>
          <w:i/>
        </w:rPr>
        <w:t xml:space="preserve"> </w:t>
      </w:r>
      <w:proofErr w:type="spellStart"/>
      <w:r w:rsidR="003A78D1" w:rsidRPr="009813F5">
        <w:rPr>
          <w:i/>
        </w:rPr>
        <w:t>relatif</w:t>
      </w:r>
      <w:proofErr w:type="spellEnd"/>
      <w:r w:rsidR="003A78D1" w:rsidRPr="009813F5">
        <w:rPr>
          <w:i/>
        </w:rPr>
        <w:t xml:space="preserve"> à la </w:t>
      </w:r>
      <w:proofErr w:type="spellStart"/>
      <w:r w:rsidR="003A78D1" w:rsidRPr="009813F5">
        <w:rPr>
          <w:i/>
        </w:rPr>
        <w:t>Politique</w:t>
      </w:r>
      <w:proofErr w:type="spellEnd"/>
      <w:r w:rsidR="003A78D1" w:rsidRPr="009813F5">
        <w:rPr>
          <w:i/>
        </w:rPr>
        <w:t xml:space="preserve"> </w:t>
      </w:r>
      <w:proofErr w:type="spellStart"/>
      <w:r w:rsidR="003A78D1" w:rsidRPr="009813F5">
        <w:rPr>
          <w:i/>
        </w:rPr>
        <w:t>réglementaire</w:t>
      </w:r>
      <w:proofErr w:type="spellEnd"/>
      <w:r w:rsidR="003A78D1" w:rsidRPr="009813F5">
        <w:rPr>
          <w:i/>
        </w:rPr>
        <w:t xml:space="preserve"> de </w:t>
      </w:r>
      <w:proofErr w:type="spellStart"/>
      <w:r w:rsidR="003A78D1" w:rsidRPr="009813F5">
        <w:rPr>
          <w:i/>
        </w:rPr>
        <w:t>radiodiffusion</w:t>
      </w:r>
      <w:proofErr w:type="spellEnd"/>
      <w:r w:rsidR="003A78D1" w:rsidRPr="009813F5">
        <w:rPr>
          <w:i/>
        </w:rPr>
        <w:t xml:space="preserve"> CRTC 2010</w:t>
      </w:r>
      <w:r w:rsidR="006412AC" w:rsidRPr="009813F5">
        <w:rPr>
          <w:i/>
        </w:rPr>
        <w:t>-</w:t>
      </w:r>
      <w:r w:rsidR="003A78D1" w:rsidRPr="009813F5">
        <w:rPr>
          <w:i/>
        </w:rPr>
        <w:t xml:space="preserve">167 et </w:t>
      </w:r>
      <w:proofErr w:type="spellStart"/>
      <w:r w:rsidR="003A78D1" w:rsidRPr="009813F5">
        <w:rPr>
          <w:i/>
        </w:rPr>
        <w:t>l’ordonnance</w:t>
      </w:r>
      <w:proofErr w:type="spellEnd"/>
      <w:r w:rsidR="003A78D1" w:rsidRPr="009813F5">
        <w:rPr>
          <w:i/>
        </w:rPr>
        <w:t xml:space="preserve"> de </w:t>
      </w:r>
      <w:proofErr w:type="spellStart"/>
      <w:r w:rsidR="003A78D1" w:rsidRPr="009813F5">
        <w:rPr>
          <w:i/>
        </w:rPr>
        <w:t>radiodiffusion</w:t>
      </w:r>
      <w:proofErr w:type="spellEnd"/>
      <w:r w:rsidR="003A78D1" w:rsidRPr="009813F5">
        <w:rPr>
          <w:i/>
        </w:rPr>
        <w:t xml:space="preserve"> CRTC 2010</w:t>
      </w:r>
      <w:r w:rsidR="006412AC" w:rsidRPr="009813F5">
        <w:rPr>
          <w:i/>
        </w:rPr>
        <w:t>-</w:t>
      </w:r>
      <w:r w:rsidR="003A78D1" w:rsidRPr="009813F5">
        <w:rPr>
          <w:i/>
        </w:rPr>
        <w:t>168</w:t>
      </w:r>
      <w:r w:rsidR="009040A9" w:rsidRPr="009813F5">
        <w:t xml:space="preserve">, 2012 </w:t>
      </w:r>
      <w:r w:rsidR="003A78D1" w:rsidRPr="009813F5">
        <w:t>C</w:t>
      </w:r>
      <w:r w:rsidR="009040A9" w:rsidRPr="009813F5">
        <w:t xml:space="preserve">SC 68, [2012] 3 </w:t>
      </w:r>
      <w:r w:rsidR="003A78D1" w:rsidRPr="009813F5">
        <w:t>R.C.</w:t>
      </w:r>
      <w:r w:rsidR="009040A9" w:rsidRPr="009813F5">
        <w:t xml:space="preserve">S. 489; </w:t>
      </w:r>
      <w:proofErr w:type="spellStart"/>
      <w:r w:rsidR="009040A9" w:rsidRPr="009813F5">
        <w:rPr>
          <w:i/>
        </w:rPr>
        <w:t>Lévis</w:t>
      </w:r>
      <w:proofErr w:type="spellEnd"/>
      <w:r w:rsidR="009040A9" w:rsidRPr="009813F5">
        <w:rPr>
          <w:i/>
        </w:rPr>
        <w:t xml:space="preserve"> (</w:t>
      </w:r>
      <w:r w:rsidR="003A78D1" w:rsidRPr="009813F5">
        <w:rPr>
          <w:i/>
        </w:rPr>
        <w:t>Ville</w:t>
      </w:r>
      <w:r w:rsidR="009040A9" w:rsidRPr="009813F5">
        <w:rPr>
          <w:i/>
        </w:rPr>
        <w:t xml:space="preserve">) </w:t>
      </w:r>
      <w:r w:rsidR="003A78D1" w:rsidRPr="009813F5">
        <w:rPr>
          <w:i/>
        </w:rPr>
        <w:t>c</w:t>
      </w:r>
      <w:r w:rsidR="009040A9" w:rsidRPr="009813F5">
        <w:rPr>
          <w:i/>
        </w:rPr>
        <w:t xml:space="preserve">. </w:t>
      </w:r>
      <w:proofErr w:type="spellStart"/>
      <w:r w:rsidR="009040A9" w:rsidRPr="009813F5">
        <w:rPr>
          <w:i/>
        </w:rPr>
        <w:t>Fraternité</w:t>
      </w:r>
      <w:proofErr w:type="spellEnd"/>
      <w:r w:rsidR="009040A9" w:rsidRPr="009813F5">
        <w:rPr>
          <w:i/>
        </w:rPr>
        <w:t xml:space="preserve"> des </w:t>
      </w:r>
      <w:proofErr w:type="spellStart"/>
      <w:r w:rsidR="009040A9" w:rsidRPr="009813F5">
        <w:rPr>
          <w:i/>
        </w:rPr>
        <w:t>policiers</w:t>
      </w:r>
      <w:proofErr w:type="spellEnd"/>
      <w:r w:rsidR="009040A9" w:rsidRPr="009813F5">
        <w:rPr>
          <w:i/>
        </w:rPr>
        <w:t xml:space="preserve"> de </w:t>
      </w:r>
      <w:proofErr w:type="spellStart"/>
      <w:r w:rsidR="009040A9" w:rsidRPr="009813F5">
        <w:rPr>
          <w:i/>
        </w:rPr>
        <w:t>Lévis</w:t>
      </w:r>
      <w:proofErr w:type="spellEnd"/>
      <w:r w:rsidR="009040A9" w:rsidRPr="009813F5">
        <w:rPr>
          <w:i/>
        </w:rPr>
        <w:t xml:space="preserve"> Inc.</w:t>
      </w:r>
      <w:r w:rsidR="009040A9" w:rsidRPr="009813F5">
        <w:t xml:space="preserve">, 2007 </w:t>
      </w:r>
      <w:r w:rsidR="003A78D1" w:rsidRPr="009813F5">
        <w:t>C</w:t>
      </w:r>
      <w:r w:rsidR="009040A9" w:rsidRPr="009813F5">
        <w:t xml:space="preserve">SC 14, [2007] 1 </w:t>
      </w:r>
      <w:r w:rsidR="003A78D1" w:rsidRPr="009813F5">
        <w:t>R.C.</w:t>
      </w:r>
      <w:r w:rsidR="009040A9" w:rsidRPr="009813F5">
        <w:t xml:space="preserve">S. 591; </w:t>
      </w:r>
      <w:proofErr w:type="spellStart"/>
      <w:r w:rsidR="009040A9" w:rsidRPr="009813F5">
        <w:rPr>
          <w:i/>
        </w:rPr>
        <w:t>Massicotte</w:t>
      </w:r>
      <w:proofErr w:type="spellEnd"/>
      <w:r w:rsidR="009040A9" w:rsidRPr="009813F5">
        <w:rPr>
          <w:i/>
        </w:rPr>
        <w:t xml:space="preserve"> </w:t>
      </w:r>
      <w:r w:rsidR="003A78D1" w:rsidRPr="009813F5">
        <w:rPr>
          <w:i/>
        </w:rPr>
        <w:t>c</w:t>
      </w:r>
      <w:r w:rsidR="009040A9" w:rsidRPr="009813F5">
        <w:rPr>
          <w:i/>
        </w:rPr>
        <w:t xml:space="preserve">. </w:t>
      </w:r>
      <w:proofErr w:type="spellStart"/>
      <w:r w:rsidR="009040A9" w:rsidRPr="009813F5">
        <w:rPr>
          <w:i/>
        </w:rPr>
        <w:t>Boutin</w:t>
      </w:r>
      <w:proofErr w:type="spellEnd"/>
      <w:r w:rsidR="009040A9" w:rsidRPr="009813F5">
        <w:t xml:space="preserve">, [1969] </w:t>
      </w:r>
      <w:r w:rsidR="003A78D1" w:rsidRPr="009813F5">
        <w:t>R.C.</w:t>
      </w:r>
      <w:r w:rsidR="009040A9" w:rsidRPr="009813F5">
        <w:t xml:space="preserve">S. 818; </w:t>
      </w:r>
      <w:r w:rsidR="009040A9" w:rsidRPr="009813F5">
        <w:rPr>
          <w:i/>
        </w:rPr>
        <w:t xml:space="preserve">The King </w:t>
      </w:r>
      <w:r w:rsidR="003A78D1" w:rsidRPr="009813F5">
        <w:rPr>
          <w:i/>
        </w:rPr>
        <w:t>c</w:t>
      </w:r>
      <w:r w:rsidR="009040A9" w:rsidRPr="009813F5">
        <w:rPr>
          <w:i/>
        </w:rPr>
        <w:t>. Williams</w:t>
      </w:r>
      <w:r w:rsidR="009040A9" w:rsidRPr="009813F5">
        <w:t xml:space="preserve">, [1944] </w:t>
      </w:r>
      <w:r w:rsidR="003A78D1" w:rsidRPr="009813F5">
        <w:t>R.C.</w:t>
      </w:r>
      <w:r w:rsidR="009040A9" w:rsidRPr="009813F5">
        <w:t xml:space="preserve">S. 226; </w:t>
      </w:r>
      <w:proofErr w:type="spellStart"/>
      <w:r w:rsidR="009040A9" w:rsidRPr="009813F5">
        <w:rPr>
          <w:i/>
        </w:rPr>
        <w:t>Myran</w:t>
      </w:r>
      <w:proofErr w:type="spellEnd"/>
      <w:r w:rsidR="009040A9" w:rsidRPr="009813F5">
        <w:rPr>
          <w:i/>
        </w:rPr>
        <w:t xml:space="preserve"> </w:t>
      </w:r>
      <w:r w:rsidR="003A78D1" w:rsidRPr="009813F5">
        <w:rPr>
          <w:i/>
        </w:rPr>
        <w:t>c</w:t>
      </w:r>
      <w:r w:rsidR="009040A9" w:rsidRPr="009813F5">
        <w:rPr>
          <w:i/>
        </w:rPr>
        <w:t xml:space="preserve">. </w:t>
      </w:r>
      <w:r w:rsidR="003A78D1" w:rsidRPr="009813F5">
        <w:rPr>
          <w:i/>
        </w:rPr>
        <w:t xml:space="preserve">La </w:t>
      </w:r>
      <w:proofErr w:type="spellStart"/>
      <w:r w:rsidR="003A78D1" w:rsidRPr="009813F5">
        <w:rPr>
          <w:i/>
        </w:rPr>
        <w:t>Reine</w:t>
      </w:r>
      <w:proofErr w:type="spellEnd"/>
      <w:r w:rsidR="009040A9" w:rsidRPr="009813F5">
        <w:t xml:space="preserve">, [1976] 2 </w:t>
      </w:r>
      <w:r w:rsidR="003A78D1" w:rsidRPr="009813F5">
        <w:t>R.C.</w:t>
      </w:r>
      <w:r w:rsidR="009040A9" w:rsidRPr="009813F5">
        <w:t xml:space="preserve">S. 137; </w:t>
      </w:r>
      <w:proofErr w:type="spellStart"/>
      <w:r w:rsidR="009040A9" w:rsidRPr="009813F5">
        <w:rPr>
          <w:i/>
        </w:rPr>
        <w:t>Perron</w:t>
      </w:r>
      <w:r w:rsidR="006412AC" w:rsidRPr="009813F5">
        <w:rPr>
          <w:i/>
        </w:rPr>
        <w:t>-</w:t>
      </w:r>
      <w:r w:rsidR="009040A9" w:rsidRPr="009813F5">
        <w:rPr>
          <w:i/>
        </w:rPr>
        <w:t>Malenfant</w:t>
      </w:r>
      <w:proofErr w:type="spellEnd"/>
      <w:r w:rsidR="009040A9" w:rsidRPr="009813F5">
        <w:rPr>
          <w:i/>
        </w:rPr>
        <w:t xml:space="preserve"> </w:t>
      </w:r>
      <w:r w:rsidR="003A78D1" w:rsidRPr="009813F5">
        <w:rPr>
          <w:i/>
        </w:rPr>
        <w:t>c</w:t>
      </w:r>
      <w:r w:rsidR="009040A9" w:rsidRPr="009813F5">
        <w:rPr>
          <w:i/>
        </w:rPr>
        <w:t xml:space="preserve">. </w:t>
      </w:r>
      <w:proofErr w:type="spellStart"/>
      <w:r w:rsidR="009040A9" w:rsidRPr="009813F5">
        <w:rPr>
          <w:i/>
        </w:rPr>
        <w:t>Malenfant</w:t>
      </w:r>
      <w:proofErr w:type="spellEnd"/>
      <w:r w:rsidR="009040A9" w:rsidRPr="009813F5">
        <w:rPr>
          <w:i/>
        </w:rPr>
        <w:t xml:space="preserve"> (</w:t>
      </w:r>
      <w:r w:rsidR="003A78D1" w:rsidRPr="009813F5">
        <w:rPr>
          <w:i/>
        </w:rPr>
        <w:t>Syndic de</w:t>
      </w:r>
      <w:r w:rsidR="009040A9" w:rsidRPr="009813F5">
        <w:rPr>
          <w:i/>
        </w:rPr>
        <w:t>)</w:t>
      </w:r>
      <w:r w:rsidR="009040A9" w:rsidRPr="009813F5">
        <w:t xml:space="preserve">, [1999] 3 </w:t>
      </w:r>
      <w:r w:rsidR="003A78D1" w:rsidRPr="009813F5">
        <w:t>R.C.</w:t>
      </w:r>
      <w:r w:rsidR="009040A9" w:rsidRPr="009813F5">
        <w:t xml:space="preserve">S. 375; </w:t>
      </w:r>
      <w:r w:rsidR="009040A9" w:rsidRPr="009813F5">
        <w:rPr>
          <w:i/>
        </w:rPr>
        <w:t xml:space="preserve">R. </w:t>
      </w:r>
      <w:r w:rsidR="003A78D1" w:rsidRPr="009813F5">
        <w:rPr>
          <w:i/>
        </w:rPr>
        <w:t>c</w:t>
      </w:r>
      <w:r w:rsidR="009040A9" w:rsidRPr="009813F5">
        <w:rPr>
          <w:i/>
        </w:rPr>
        <w:t xml:space="preserve">. </w:t>
      </w:r>
      <w:proofErr w:type="spellStart"/>
      <w:r w:rsidR="009040A9" w:rsidRPr="009813F5">
        <w:rPr>
          <w:i/>
        </w:rPr>
        <w:t>Beaulac</w:t>
      </w:r>
      <w:proofErr w:type="spellEnd"/>
      <w:r w:rsidR="009040A9" w:rsidRPr="009813F5">
        <w:t xml:space="preserve">, [1999] 1 </w:t>
      </w:r>
      <w:r w:rsidR="003A78D1" w:rsidRPr="009813F5">
        <w:t>R.C.</w:t>
      </w:r>
      <w:r w:rsidR="009040A9" w:rsidRPr="009813F5">
        <w:t xml:space="preserve">S. 768; </w:t>
      </w:r>
      <w:proofErr w:type="spellStart"/>
      <w:r w:rsidR="009040A9" w:rsidRPr="009813F5">
        <w:rPr>
          <w:i/>
        </w:rPr>
        <w:t>Zingre</w:t>
      </w:r>
      <w:proofErr w:type="spellEnd"/>
      <w:r w:rsidR="009040A9" w:rsidRPr="009813F5">
        <w:rPr>
          <w:i/>
        </w:rPr>
        <w:t xml:space="preserve"> </w:t>
      </w:r>
      <w:r w:rsidR="003A78D1" w:rsidRPr="009813F5">
        <w:rPr>
          <w:i/>
        </w:rPr>
        <w:t>c</w:t>
      </w:r>
      <w:r w:rsidR="009040A9" w:rsidRPr="009813F5">
        <w:rPr>
          <w:i/>
        </w:rPr>
        <w:t xml:space="preserve">. </w:t>
      </w:r>
      <w:r w:rsidR="003A78D1" w:rsidRPr="009813F5">
        <w:rPr>
          <w:i/>
        </w:rPr>
        <w:t xml:space="preserve">La </w:t>
      </w:r>
      <w:proofErr w:type="spellStart"/>
      <w:r w:rsidR="003A78D1" w:rsidRPr="009813F5">
        <w:rPr>
          <w:i/>
        </w:rPr>
        <w:t>Reine</w:t>
      </w:r>
      <w:proofErr w:type="spellEnd"/>
      <w:r w:rsidR="009040A9" w:rsidRPr="009813F5">
        <w:t xml:space="preserve">, [1981] 2 </w:t>
      </w:r>
      <w:r w:rsidR="003A78D1" w:rsidRPr="009813F5">
        <w:t>R.C.</w:t>
      </w:r>
      <w:r w:rsidR="009040A9" w:rsidRPr="009813F5">
        <w:t xml:space="preserve">S. 392; </w:t>
      </w:r>
      <w:r w:rsidR="003A78D1" w:rsidRPr="009813F5">
        <w:rPr>
          <w:i/>
        </w:rPr>
        <w:t xml:space="preserve">Succession </w:t>
      </w:r>
      <w:proofErr w:type="spellStart"/>
      <w:r w:rsidR="003A78D1" w:rsidRPr="009813F5">
        <w:rPr>
          <w:i/>
        </w:rPr>
        <w:t>Ordon</w:t>
      </w:r>
      <w:proofErr w:type="spellEnd"/>
      <w:r w:rsidR="003A78D1" w:rsidRPr="009813F5">
        <w:rPr>
          <w:i/>
        </w:rPr>
        <w:t xml:space="preserve"> c. Grail</w:t>
      </w:r>
      <w:r w:rsidR="009040A9" w:rsidRPr="009813F5">
        <w:t xml:space="preserve">, [1998] 3 </w:t>
      </w:r>
      <w:r w:rsidR="003A78D1" w:rsidRPr="009813F5">
        <w:t>R.C.</w:t>
      </w:r>
      <w:r w:rsidR="009040A9" w:rsidRPr="009813F5">
        <w:t xml:space="preserve">S. 437; </w:t>
      </w:r>
      <w:proofErr w:type="spellStart"/>
      <w:r w:rsidR="003A78D1" w:rsidRPr="009813F5">
        <w:rPr>
          <w:i/>
        </w:rPr>
        <w:t>Doucet</w:t>
      </w:r>
      <w:proofErr w:type="spellEnd"/>
      <w:r w:rsidR="006412AC" w:rsidRPr="009813F5">
        <w:rPr>
          <w:i/>
        </w:rPr>
        <w:t>-</w:t>
      </w:r>
      <w:r w:rsidR="003A78D1" w:rsidRPr="009813F5">
        <w:rPr>
          <w:i/>
        </w:rPr>
        <w:t>Boudreau c. Nouvelle</w:t>
      </w:r>
      <w:r w:rsidR="006412AC" w:rsidRPr="009813F5">
        <w:rPr>
          <w:i/>
        </w:rPr>
        <w:t>-</w:t>
      </w:r>
      <w:proofErr w:type="spellStart"/>
      <w:r w:rsidR="003A78D1" w:rsidRPr="009813F5">
        <w:rPr>
          <w:i/>
        </w:rPr>
        <w:t>Écosse</w:t>
      </w:r>
      <w:proofErr w:type="spellEnd"/>
      <w:r w:rsidR="003A78D1" w:rsidRPr="009813F5">
        <w:rPr>
          <w:i/>
        </w:rPr>
        <w:t xml:space="preserve"> (</w:t>
      </w:r>
      <w:proofErr w:type="spellStart"/>
      <w:r w:rsidR="003A78D1" w:rsidRPr="009813F5">
        <w:rPr>
          <w:i/>
        </w:rPr>
        <w:t>Ministre</w:t>
      </w:r>
      <w:proofErr w:type="spellEnd"/>
      <w:r w:rsidR="003A78D1" w:rsidRPr="009813F5">
        <w:rPr>
          <w:i/>
        </w:rPr>
        <w:t xml:space="preserve"> de </w:t>
      </w:r>
      <w:proofErr w:type="spellStart"/>
      <w:r w:rsidR="003A78D1" w:rsidRPr="009813F5">
        <w:rPr>
          <w:i/>
        </w:rPr>
        <w:t>l’Éducation</w:t>
      </w:r>
      <w:proofErr w:type="spellEnd"/>
      <w:r w:rsidR="003A78D1" w:rsidRPr="009813F5">
        <w:rPr>
          <w:i/>
        </w:rPr>
        <w:t>)</w:t>
      </w:r>
      <w:r w:rsidR="009040A9" w:rsidRPr="009813F5">
        <w:t xml:space="preserve">, 2003 </w:t>
      </w:r>
      <w:r w:rsidR="003A78D1" w:rsidRPr="009813F5">
        <w:t>C</w:t>
      </w:r>
      <w:r w:rsidR="009040A9" w:rsidRPr="009813F5">
        <w:t xml:space="preserve">SC 62, [2003] 3 </w:t>
      </w:r>
      <w:r w:rsidR="003A78D1" w:rsidRPr="009813F5">
        <w:t>R.C.</w:t>
      </w:r>
      <w:r w:rsidR="009040A9" w:rsidRPr="009813F5">
        <w:t xml:space="preserve">S. 3; </w:t>
      </w:r>
      <w:r w:rsidR="009040A9" w:rsidRPr="009813F5">
        <w:rPr>
          <w:i/>
        </w:rPr>
        <w:t xml:space="preserve">Pro Swing Inc. </w:t>
      </w:r>
      <w:r w:rsidR="003A78D1" w:rsidRPr="009813F5">
        <w:rPr>
          <w:i/>
        </w:rPr>
        <w:t>c</w:t>
      </w:r>
      <w:r w:rsidR="009040A9" w:rsidRPr="009813F5">
        <w:rPr>
          <w:i/>
        </w:rPr>
        <w:t xml:space="preserve">. </w:t>
      </w:r>
      <w:proofErr w:type="spellStart"/>
      <w:r w:rsidR="009040A9" w:rsidRPr="009813F5">
        <w:rPr>
          <w:i/>
        </w:rPr>
        <w:t>Elta</w:t>
      </w:r>
      <w:proofErr w:type="spellEnd"/>
      <w:r w:rsidR="009040A9" w:rsidRPr="009813F5">
        <w:rPr>
          <w:i/>
        </w:rPr>
        <w:t xml:space="preserve"> Golf Inc.</w:t>
      </w:r>
      <w:r w:rsidR="009040A9" w:rsidRPr="009813F5">
        <w:t xml:space="preserve">, 2006 </w:t>
      </w:r>
      <w:r w:rsidR="003A78D1" w:rsidRPr="009813F5">
        <w:t>C</w:t>
      </w:r>
      <w:r w:rsidR="009040A9" w:rsidRPr="009813F5">
        <w:t xml:space="preserve">SC 52, [2006] 2 </w:t>
      </w:r>
      <w:r w:rsidR="003A78D1" w:rsidRPr="009813F5">
        <w:t>R.C.</w:t>
      </w:r>
      <w:r w:rsidR="009040A9" w:rsidRPr="009813F5">
        <w:t>S. 612.</w:t>
      </w:r>
    </w:p>
    <w:p w:rsidR="00813448" w:rsidRDefault="00813448" w:rsidP="00A12DCE">
      <w:pPr>
        <w:pStyle w:val="SCCNormalDoubleSpacing"/>
        <w:widowControl w:val="0"/>
        <w:spacing w:after="480"/>
        <w:rPr>
          <w:lang w:val="fr-CA"/>
        </w:rPr>
      </w:pPr>
      <w:r>
        <w:rPr>
          <w:lang w:val="fr-CA"/>
        </w:rPr>
        <w:t>Citée par la juge Abella (dissidente)</w:t>
      </w:r>
    </w:p>
    <w:p w:rsidR="00813448" w:rsidRPr="00120F8F" w:rsidRDefault="00813448" w:rsidP="00A12DCE">
      <w:pPr>
        <w:pStyle w:val="SCCNormalDoubleSpacing"/>
        <w:widowControl w:val="0"/>
        <w:spacing w:after="480"/>
        <w:rPr>
          <w:b/>
        </w:rPr>
      </w:pPr>
      <w:r>
        <w:rPr>
          <w:lang w:val="fr-CA"/>
        </w:rPr>
        <w:tab/>
      </w:r>
      <w:r w:rsidR="00DE6C1F" w:rsidRPr="000C48EB">
        <w:rPr>
          <w:i/>
        </w:rPr>
        <w:t xml:space="preserve">El Al Israel Airlines, Ltd. </w:t>
      </w:r>
      <w:r w:rsidR="006155C1">
        <w:rPr>
          <w:i/>
        </w:rPr>
        <w:t>c</w:t>
      </w:r>
      <w:r w:rsidR="00DE6C1F" w:rsidRPr="000C48EB">
        <w:rPr>
          <w:i/>
        </w:rPr>
        <w:t xml:space="preserve">. </w:t>
      </w:r>
      <w:proofErr w:type="spellStart"/>
      <w:r w:rsidR="00DE6C1F" w:rsidRPr="000C48EB">
        <w:rPr>
          <w:i/>
        </w:rPr>
        <w:t>Tsui</w:t>
      </w:r>
      <w:proofErr w:type="spellEnd"/>
      <w:r w:rsidR="00DE6C1F" w:rsidRPr="000C48EB">
        <w:rPr>
          <w:i/>
        </w:rPr>
        <w:t xml:space="preserve"> Yuan Tseng</w:t>
      </w:r>
      <w:r w:rsidR="00DE6C1F" w:rsidRPr="000B3F99">
        <w:t>, 525 U</w:t>
      </w:r>
      <w:r w:rsidR="00DE6C1F">
        <w:t>.</w:t>
      </w:r>
      <w:r w:rsidR="00DE6C1F" w:rsidRPr="000B3F99">
        <w:t>S</w:t>
      </w:r>
      <w:r w:rsidR="00DE6C1F">
        <w:t>.</w:t>
      </w:r>
      <w:r w:rsidR="00DE6C1F" w:rsidRPr="000B3F99">
        <w:t xml:space="preserve"> 155</w:t>
      </w:r>
      <w:r w:rsidR="00DE6C1F">
        <w:t xml:space="preserve"> </w:t>
      </w:r>
      <w:r w:rsidR="00DE6C1F" w:rsidRPr="000B3F99">
        <w:t>(1999)</w:t>
      </w:r>
      <w:r w:rsidR="00DE6C1F">
        <w:t xml:space="preserve">; </w:t>
      </w:r>
      <w:r w:rsidR="00DE6C1F" w:rsidRPr="00997F6A">
        <w:rPr>
          <w:i/>
        </w:rPr>
        <w:lastRenderedPageBreak/>
        <w:t xml:space="preserve">Ehrlich </w:t>
      </w:r>
      <w:r w:rsidR="006155C1" w:rsidRPr="00997F6A">
        <w:rPr>
          <w:i/>
        </w:rPr>
        <w:t>c</w:t>
      </w:r>
      <w:r w:rsidR="00DE6C1F" w:rsidRPr="00997F6A">
        <w:rPr>
          <w:i/>
        </w:rPr>
        <w:t>. American Airlines</w:t>
      </w:r>
      <w:r w:rsidR="00997F6A" w:rsidRPr="00997F6A">
        <w:rPr>
          <w:i/>
        </w:rPr>
        <w:t>, Inc.</w:t>
      </w:r>
      <w:r w:rsidR="00DE6C1F" w:rsidRPr="00997F6A">
        <w:t xml:space="preserve">, 360 F.3d 366 (2004); </w:t>
      </w:r>
      <w:proofErr w:type="spellStart"/>
      <w:r w:rsidR="006155C1" w:rsidRPr="00997F6A">
        <w:rPr>
          <w:i/>
        </w:rPr>
        <w:t>Dickason</w:t>
      </w:r>
      <w:proofErr w:type="spellEnd"/>
      <w:r w:rsidR="006155C1" w:rsidRPr="006155C1">
        <w:rPr>
          <w:i/>
        </w:rPr>
        <w:t xml:space="preserve"> c. </w:t>
      </w:r>
      <w:proofErr w:type="spellStart"/>
      <w:r w:rsidR="006155C1" w:rsidRPr="006155C1">
        <w:rPr>
          <w:i/>
        </w:rPr>
        <w:t>Université</w:t>
      </w:r>
      <w:proofErr w:type="spellEnd"/>
      <w:r w:rsidR="006155C1" w:rsidRPr="006155C1">
        <w:rPr>
          <w:i/>
        </w:rPr>
        <w:t xml:space="preserve"> de </w:t>
      </w:r>
      <w:proofErr w:type="spellStart"/>
      <w:r w:rsidR="006155C1" w:rsidRPr="006155C1">
        <w:rPr>
          <w:i/>
        </w:rPr>
        <w:t>l’Alberta</w:t>
      </w:r>
      <w:proofErr w:type="spellEnd"/>
      <w:r w:rsidR="00DE6C1F" w:rsidRPr="00513ED6">
        <w:t xml:space="preserve">, [1992] 2 </w:t>
      </w:r>
      <w:r w:rsidR="006155C1">
        <w:t>R.C.</w:t>
      </w:r>
      <w:r w:rsidR="00DE6C1F" w:rsidRPr="00513ED6">
        <w:t xml:space="preserve">S. 1103; </w:t>
      </w:r>
      <w:r w:rsidR="00DE6C1F" w:rsidRPr="000E2C34">
        <w:rPr>
          <w:i/>
        </w:rPr>
        <w:t xml:space="preserve">Winnipeg School Division No. 1 </w:t>
      </w:r>
      <w:r w:rsidR="006155C1">
        <w:rPr>
          <w:i/>
        </w:rPr>
        <w:t>c</w:t>
      </w:r>
      <w:r w:rsidR="00DE6C1F" w:rsidRPr="000E2C34">
        <w:rPr>
          <w:i/>
        </w:rPr>
        <w:t xml:space="preserve">. </w:t>
      </w:r>
      <w:proofErr w:type="spellStart"/>
      <w:r w:rsidR="00DE6C1F" w:rsidRPr="000E2C34">
        <w:rPr>
          <w:i/>
        </w:rPr>
        <w:t>Craton</w:t>
      </w:r>
      <w:proofErr w:type="spellEnd"/>
      <w:r w:rsidR="00DE6C1F" w:rsidRPr="00513ED6">
        <w:t xml:space="preserve">, [1985] 2 </w:t>
      </w:r>
      <w:r w:rsidR="006155C1">
        <w:t>R.C.</w:t>
      </w:r>
      <w:r w:rsidR="00DE6C1F" w:rsidRPr="00513ED6">
        <w:t>S. 150</w:t>
      </w:r>
      <w:r w:rsidR="00DE6C1F">
        <w:t>;</w:t>
      </w:r>
      <w:r w:rsidR="00DE6C1F" w:rsidRPr="00513ED6">
        <w:t xml:space="preserve"> </w:t>
      </w:r>
      <w:proofErr w:type="spellStart"/>
      <w:r w:rsidR="006155C1" w:rsidRPr="00120F8F">
        <w:rPr>
          <w:i/>
        </w:rPr>
        <w:t>Lavigne</w:t>
      </w:r>
      <w:proofErr w:type="spellEnd"/>
      <w:r w:rsidR="006155C1" w:rsidRPr="00120F8F">
        <w:rPr>
          <w:i/>
        </w:rPr>
        <w:t xml:space="preserve"> c. Canada (Commissariat aux </w:t>
      </w:r>
      <w:proofErr w:type="spellStart"/>
      <w:r w:rsidR="006155C1" w:rsidRPr="00120F8F">
        <w:rPr>
          <w:i/>
        </w:rPr>
        <w:t>langues</w:t>
      </w:r>
      <w:proofErr w:type="spellEnd"/>
      <w:r w:rsidR="006155C1" w:rsidRPr="00120F8F">
        <w:rPr>
          <w:i/>
        </w:rPr>
        <w:t xml:space="preserve"> </w:t>
      </w:r>
      <w:proofErr w:type="spellStart"/>
      <w:r w:rsidR="006155C1" w:rsidRPr="00120F8F">
        <w:rPr>
          <w:i/>
        </w:rPr>
        <w:t>officielles</w:t>
      </w:r>
      <w:proofErr w:type="spellEnd"/>
      <w:r w:rsidR="006155C1" w:rsidRPr="00120F8F">
        <w:rPr>
          <w:i/>
        </w:rPr>
        <w:t>)</w:t>
      </w:r>
      <w:r w:rsidR="006155C1" w:rsidRPr="00120F8F">
        <w:t xml:space="preserve">, 2002 CSC 53, [2002] 2 R.C.S. 773; </w:t>
      </w:r>
      <w:r w:rsidR="006155C1" w:rsidRPr="00120F8F">
        <w:rPr>
          <w:i/>
        </w:rPr>
        <w:t>Canada (</w:t>
      </w:r>
      <w:proofErr w:type="spellStart"/>
      <w:r w:rsidR="006155C1" w:rsidRPr="00120F8F">
        <w:rPr>
          <w:i/>
        </w:rPr>
        <w:t>Procureur</w:t>
      </w:r>
      <w:proofErr w:type="spellEnd"/>
      <w:r w:rsidR="006155C1" w:rsidRPr="00120F8F">
        <w:rPr>
          <w:i/>
        </w:rPr>
        <w:t xml:space="preserve"> </w:t>
      </w:r>
      <w:proofErr w:type="spellStart"/>
      <w:r w:rsidR="006155C1" w:rsidRPr="00120F8F">
        <w:rPr>
          <w:i/>
        </w:rPr>
        <w:t>général</w:t>
      </w:r>
      <w:proofErr w:type="spellEnd"/>
      <w:r w:rsidR="006155C1" w:rsidRPr="00120F8F">
        <w:rPr>
          <w:i/>
        </w:rPr>
        <w:t>) c. Viola</w:t>
      </w:r>
      <w:r w:rsidR="006155C1" w:rsidRPr="00120F8F">
        <w:t xml:space="preserve">, [1991] 1 C.F. 373; </w:t>
      </w:r>
      <w:r w:rsidR="00DE6C1F" w:rsidRPr="00997F6A">
        <w:rPr>
          <w:i/>
        </w:rPr>
        <w:t xml:space="preserve">Walker </w:t>
      </w:r>
      <w:r w:rsidR="006155C1" w:rsidRPr="00997F6A">
        <w:rPr>
          <w:i/>
        </w:rPr>
        <w:t>c</w:t>
      </w:r>
      <w:r w:rsidR="00DE6C1F" w:rsidRPr="00997F6A">
        <w:rPr>
          <w:i/>
        </w:rPr>
        <w:t>. Eastern Air Lines, Inc.</w:t>
      </w:r>
      <w:r w:rsidR="00DE6C1F" w:rsidRPr="00997F6A">
        <w:t xml:space="preserve">, 785 </w:t>
      </w:r>
      <w:proofErr w:type="spellStart"/>
      <w:r w:rsidR="00DE6C1F" w:rsidRPr="00997F6A">
        <w:t>F.Supp</w:t>
      </w:r>
      <w:proofErr w:type="spellEnd"/>
      <w:r w:rsidR="00DE6C1F" w:rsidRPr="00997F6A">
        <w:t xml:space="preserve">. </w:t>
      </w:r>
      <w:proofErr w:type="gramStart"/>
      <w:r w:rsidR="00DE6C1F" w:rsidRPr="00997F6A">
        <w:t xml:space="preserve">1168 (1992); </w:t>
      </w:r>
      <w:proofErr w:type="spellStart"/>
      <w:r w:rsidR="00DE6C1F" w:rsidRPr="00997F6A">
        <w:rPr>
          <w:i/>
        </w:rPr>
        <w:t>Beaudet</w:t>
      </w:r>
      <w:proofErr w:type="spellEnd"/>
      <w:r w:rsidR="00DE6C1F" w:rsidRPr="00997F6A">
        <w:rPr>
          <w:i/>
        </w:rPr>
        <w:t xml:space="preserve"> </w:t>
      </w:r>
      <w:r w:rsidR="006155C1" w:rsidRPr="00997F6A">
        <w:rPr>
          <w:i/>
        </w:rPr>
        <w:t>c</w:t>
      </w:r>
      <w:r w:rsidR="00DE6C1F" w:rsidRPr="00997F6A">
        <w:rPr>
          <w:i/>
        </w:rPr>
        <w:t>. British Airways, PLC</w:t>
      </w:r>
      <w:r w:rsidR="00DE6C1F" w:rsidRPr="00997F6A">
        <w:t xml:space="preserve">, 853 </w:t>
      </w:r>
      <w:proofErr w:type="spellStart"/>
      <w:r w:rsidR="00DE6C1F" w:rsidRPr="00997F6A">
        <w:t>F.Supp</w:t>
      </w:r>
      <w:proofErr w:type="spellEnd"/>
      <w:r w:rsidR="00DE6C1F" w:rsidRPr="00997F6A">
        <w:t>.</w:t>
      </w:r>
      <w:proofErr w:type="gramEnd"/>
      <w:r w:rsidR="00DE6C1F" w:rsidRPr="00997F6A">
        <w:t xml:space="preserve"> 1062 (1994);</w:t>
      </w:r>
      <w:r w:rsidR="00DE6C1F" w:rsidRPr="00EE5AEA">
        <w:t xml:space="preserve"> </w:t>
      </w:r>
      <w:proofErr w:type="spellStart"/>
      <w:r w:rsidR="00DE6C1F" w:rsidRPr="000C48EB">
        <w:rPr>
          <w:i/>
        </w:rPr>
        <w:t>Sidhu</w:t>
      </w:r>
      <w:proofErr w:type="spellEnd"/>
      <w:r w:rsidR="00DE6C1F" w:rsidRPr="000C48EB">
        <w:rPr>
          <w:i/>
        </w:rPr>
        <w:t xml:space="preserve"> </w:t>
      </w:r>
      <w:r w:rsidR="006155C1">
        <w:rPr>
          <w:i/>
        </w:rPr>
        <w:t>c</w:t>
      </w:r>
      <w:r w:rsidR="00DE6C1F" w:rsidRPr="000C48EB">
        <w:rPr>
          <w:i/>
        </w:rPr>
        <w:t xml:space="preserve">. British Airways </w:t>
      </w:r>
      <w:proofErr w:type="gramStart"/>
      <w:r w:rsidR="00DE6C1F" w:rsidRPr="000C48EB">
        <w:rPr>
          <w:i/>
        </w:rPr>
        <w:t>Plc.</w:t>
      </w:r>
      <w:r w:rsidR="00DE6C1F" w:rsidRPr="00A958B1">
        <w:t>,</w:t>
      </w:r>
      <w:proofErr w:type="gramEnd"/>
      <w:r w:rsidR="00DE6C1F" w:rsidRPr="00A958B1">
        <w:t xml:space="preserve"> [1997] A</w:t>
      </w:r>
      <w:r w:rsidR="00DE6C1F">
        <w:t>.</w:t>
      </w:r>
      <w:r w:rsidR="00DE6C1F" w:rsidRPr="00A958B1">
        <w:t>C</w:t>
      </w:r>
      <w:r w:rsidR="00DE6C1F">
        <w:t>.</w:t>
      </w:r>
      <w:r w:rsidR="00DE6C1F" w:rsidRPr="00A958B1">
        <w:t xml:space="preserve"> 430</w:t>
      </w:r>
      <w:r w:rsidR="00DE6C1F">
        <w:t xml:space="preserve">; </w:t>
      </w:r>
      <w:r w:rsidR="00DE6C1F" w:rsidRPr="00520D0D">
        <w:rPr>
          <w:i/>
        </w:rPr>
        <w:t xml:space="preserve">King </w:t>
      </w:r>
      <w:r w:rsidR="006155C1">
        <w:rPr>
          <w:i/>
        </w:rPr>
        <w:t>c</w:t>
      </w:r>
      <w:r w:rsidR="00DE6C1F" w:rsidRPr="00520D0D">
        <w:rPr>
          <w:i/>
        </w:rPr>
        <w:t>. American Airlines, Inc.</w:t>
      </w:r>
      <w:r w:rsidR="00DE6C1F" w:rsidRPr="009653C6">
        <w:t>, 284 F</w:t>
      </w:r>
      <w:r w:rsidR="00DE6C1F">
        <w:t>.</w:t>
      </w:r>
      <w:r w:rsidR="00DE6C1F" w:rsidRPr="009653C6">
        <w:t>3d 352</w:t>
      </w:r>
      <w:r w:rsidR="00DE6C1F">
        <w:t xml:space="preserve"> (2002); </w:t>
      </w:r>
      <w:r w:rsidR="00DE6C1F" w:rsidRPr="000C48EB">
        <w:rPr>
          <w:i/>
        </w:rPr>
        <w:t>In re Deep Vein Thrombosis and Air Travel Group Litigation</w:t>
      </w:r>
      <w:r w:rsidR="00DE6C1F" w:rsidRPr="00A958B1">
        <w:t>, [2005] UKHL 72</w:t>
      </w:r>
      <w:r w:rsidR="00DE6C1F">
        <w:t xml:space="preserve">, [2006] 1 A.C. 495; </w:t>
      </w:r>
      <w:r w:rsidR="00DE6C1F" w:rsidRPr="000C48EB">
        <w:rPr>
          <w:i/>
        </w:rPr>
        <w:t xml:space="preserve">Stott </w:t>
      </w:r>
      <w:r w:rsidR="006155C1">
        <w:rPr>
          <w:i/>
        </w:rPr>
        <w:t>c</w:t>
      </w:r>
      <w:r w:rsidR="00DE6C1F" w:rsidRPr="000C48EB">
        <w:rPr>
          <w:i/>
        </w:rPr>
        <w:t>. Thomas Cook Tour Operators Ltd.</w:t>
      </w:r>
      <w:r w:rsidR="00DE6C1F" w:rsidRPr="000B3F99">
        <w:t>, [2014] UKSC 15</w:t>
      </w:r>
      <w:r w:rsidR="00DE6C1F">
        <w:t xml:space="preserve">, [2014] 2 W.L.R. 521; </w:t>
      </w:r>
      <w:r w:rsidR="00DE6C1F" w:rsidRPr="00716B30">
        <w:rPr>
          <w:i/>
        </w:rPr>
        <w:t xml:space="preserve">Eastern Airlines, Inc. </w:t>
      </w:r>
      <w:r w:rsidR="006155C1">
        <w:rPr>
          <w:i/>
        </w:rPr>
        <w:t>c</w:t>
      </w:r>
      <w:r w:rsidR="00DE6C1F" w:rsidRPr="00716B30">
        <w:rPr>
          <w:i/>
        </w:rPr>
        <w:t>. Floyd</w:t>
      </w:r>
      <w:r w:rsidR="00DE6C1F" w:rsidRPr="00EE5AEA">
        <w:t>, 499 U.S. 530</w:t>
      </w:r>
      <w:r w:rsidR="00DE6C1F">
        <w:t xml:space="preserve"> </w:t>
      </w:r>
      <w:r w:rsidR="00DE6C1F" w:rsidRPr="00EE5AEA">
        <w:t>(1991)</w:t>
      </w:r>
      <w:r w:rsidR="00DE6C1F">
        <w:t>.</w:t>
      </w:r>
    </w:p>
    <w:p w:rsidR="004D7D95" w:rsidRPr="004D7D95" w:rsidRDefault="004D7D95" w:rsidP="00A12DCE">
      <w:pPr>
        <w:pStyle w:val="SCCNormalDoubleSpacing"/>
        <w:widowControl w:val="0"/>
        <w:spacing w:after="720" w:line="240" w:lineRule="auto"/>
        <w:rPr>
          <w:b/>
          <w:lang w:val="fr-CA"/>
        </w:rPr>
      </w:pPr>
      <w:r w:rsidRPr="004D7D95">
        <w:rPr>
          <w:b/>
          <w:lang w:val="fr-CA"/>
        </w:rPr>
        <w:t>Lois et règlements cités</w:t>
      </w:r>
    </w:p>
    <w:p w:rsidR="00175CA7" w:rsidRPr="00874126" w:rsidRDefault="00175CA7" w:rsidP="00A12DCE">
      <w:pPr>
        <w:pStyle w:val="SCCNormalDoubleSpacing"/>
        <w:widowControl w:val="0"/>
        <w:spacing w:line="240" w:lineRule="auto"/>
        <w:ind w:left="540" w:hanging="540"/>
        <w:rPr>
          <w:lang w:val="fr-CA"/>
        </w:rPr>
      </w:pPr>
      <w:r w:rsidRPr="00874126">
        <w:rPr>
          <w:i/>
          <w:lang w:val="fr-CA"/>
        </w:rPr>
        <w:t>Charte canadienne des droits et libertés</w:t>
      </w:r>
      <w:r w:rsidRPr="00874126">
        <w:rPr>
          <w:lang w:val="fr-CA"/>
        </w:rPr>
        <w:t xml:space="preserve">, </w:t>
      </w:r>
      <w:r w:rsidR="00874126">
        <w:rPr>
          <w:lang w:val="fr-CA"/>
        </w:rPr>
        <w:t>art.</w:t>
      </w:r>
      <w:r w:rsidR="006412AC">
        <w:rPr>
          <w:lang w:val="fr-CA"/>
        </w:rPr>
        <w:t xml:space="preserve"> </w:t>
      </w:r>
      <w:r w:rsidRPr="00874126">
        <w:rPr>
          <w:lang w:val="fr-CA"/>
        </w:rPr>
        <w:t>16, 24(1).</w:t>
      </w:r>
    </w:p>
    <w:p w:rsidR="00175CA7" w:rsidRPr="004D7D95" w:rsidRDefault="00175CA7" w:rsidP="00A12DCE">
      <w:pPr>
        <w:pStyle w:val="SCCNormalDoubleSpacing"/>
        <w:widowControl w:val="0"/>
        <w:spacing w:line="240" w:lineRule="auto"/>
        <w:ind w:left="540" w:hanging="540"/>
        <w:rPr>
          <w:lang w:val="fr-CA"/>
        </w:rPr>
      </w:pPr>
    </w:p>
    <w:p w:rsidR="004D7D95" w:rsidRDefault="00175CA7" w:rsidP="00A12DCE">
      <w:pPr>
        <w:pStyle w:val="SCCNormalDoubleSpacing"/>
        <w:widowControl w:val="0"/>
        <w:spacing w:line="240" w:lineRule="auto"/>
        <w:ind w:left="540" w:hanging="540"/>
        <w:rPr>
          <w:lang w:val="fr-CA"/>
        </w:rPr>
      </w:pPr>
      <w:r w:rsidRPr="00175CA7">
        <w:rPr>
          <w:i/>
          <w:lang w:val="fr-CA"/>
        </w:rPr>
        <w:t>Loi sur la participation publique au capital d’Air Canada</w:t>
      </w:r>
      <w:r>
        <w:rPr>
          <w:lang w:val="fr-CA"/>
        </w:rPr>
        <w:t xml:space="preserve">, L.R.C. 1985, </w:t>
      </w:r>
      <w:r w:rsidR="00874126">
        <w:rPr>
          <w:lang w:val="fr-CA"/>
        </w:rPr>
        <w:t>ch.</w:t>
      </w:r>
      <w:r w:rsidR="006412AC">
        <w:rPr>
          <w:lang w:val="fr-CA"/>
        </w:rPr>
        <w:t xml:space="preserve"> </w:t>
      </w:r>
      <w:r>
        <w:rPr>
          <w:lang w:val="fr-CA"/>
        </w:rPr>
        <w:t>35 (4</w:t>
      </w:r>
      <w:r w:rsidRPr="00175CA7">
        <w:rPr>
          <w:vertAlign w:val="superscript"/>
          <w:lang w:val="fr-CA"/>
        </w:rPr>
        <w:t>e</w:t>
      </w:r>
      <w:r>
        <w:rPr>
          <w:lang w:val="fr-CA"/>
        </w:rPr>
        <w:t xml:space="preserve"> suppl.), </w:t>
      </w:r>
      <w:r w:rsidR="00874126">
        <w:rPr>
          <w:lang w:val="fr-CA"/>
        </w:rPr>
        <w:t>art.</w:t>
      </w:r>
      <w:r w:rsidR="006412AC">
        <w:rPr>
          <w:lang w:val="fr-CA"/>
        </w:rPr>
        <w:t xml:space="preserve"> </w:t>
      </w:r>
      <w:r>
        <w:rPr>
          <w:lang w:val="fr-CA"/>
        </w:rPr>
        <w:t>10.</w:t>
      </w:r>
    </w:p>
    <w:p w:rsidR="00175CA7" w:rsidRDefault="00175CA7" w:rsidP="00A12DCE">
      <w:pPr>
        <w:pStyle w:val="SCCNormalDoubleSpacing"/>
        <w:widowControl w:val="0"/>
        <w:spacing w:line="240" w:lineRule="auto"/>
        <w:ind w:left="540" w:hanging="540"/>
        <w:rPr>
          <w:lang w:val="fr-CA"/>
        </w:rPr>
      </w:pPr>
    </w:p>
    <w:p w:rsidR="00175CA7" w:rsidRDefault="00175CA7" w:rsidP="00A12DCE">
      <w:pPr>
        <w:pStyle w:val="SCCNormalDoubleSpacing"/>
        <w:widowControl w:val="0"/>
        <w:spacing w:line="240" w:lineRule="auto"/>
        <w:ind w:left="540" w:hanging="540"/>
      </w:pPr>
      <w:r w:rsidRPr="00874126">
        <w:rPr>
          <w:i/>
          <w:lang w:val="fr-CA"/>
        </w:rPr>
        <w:t>Loi sur le transport aérien</w:t>
      </w:r>
      <w:r w:rsidRPr="00874126">
        <w:rPr>
          <w:lang w:val="fr-CA"/>
        </w:rPr>
        <w:t xml:space="preserve">, L.R.C. 1985, </w:t>
      </w:r>
      <w:r w:rsidR="00874126">
        <w:rPr>
          <w:lang w:val="fr-CA"/>
        </w:rPr>
        <w:t>ch.</w:t>
      </w:r>
      <w:r w:rsidR="006412AC">
        <w:rPr>
          <w:lang w:val="fr-CA"/>
        </w:rPr>
        <w:t xml:space="preserve"> </w:t>
      </w:r>
      <w:proofErr w:type="gramStart"/>
      <w:r w:rsidRPr="000B3F99">
        <w:t>C</w:t>
      </w:r>
      <w:r w:rsidR="006412AC">
        <w:t>-</w:t>
      </w:r>
      <w:r w:rsidRPr="000B3F99">
        <w:t>26</w:t>
      </w:r>
      <w:r>
        <w:t xml:space="preserve">, </w:t>
      </w:r>
      <w:r w:rsidR="00874126">
        <w:t>art.</w:t>
      </w:r>
      <w:proofErr w:type="gramEnd"/>
      <w:r w:rsidR="006412AC">
        <w:t xml:space="preserve"> </w:t>
      </w:r>
      <w:r>
        <w:t>2,</w:t>
      </w:r>
      <w:r w:rsidRPr="000B3F99">
        <w:t xml:space="preserve"> </w:t>
      </w:r>
      <w:proofErr w:type="gramStart"/>
      <w:r>
        <w:t>ann</w:t>
      </w:r>
      <w:proofErr w:type="gramEnd"/>
      <w:r>
        <w:t xml:space="preserve">. </w:t>
      </w:r>
      <w:proofErr w:type="gramStart"/>
      <w:r>
        <w:t xml:space="preserve">I, </w:t>
      </w:r>
      <w:r w:rsidR="009C13D6" w:rsidRPr="00813448">
        <w:t>III</w:t>
      </w:r>
      <w:r w:rsidR="009C13D6">
        <w:t xml:space="preserve">, </w:t>
      </w:r>
      <w:r>
        <w:t xml:space="preserve">IV, </w:t>
      </w:r>
      <w:r w:rsidR="00340685">
        <w:t xml:space="preserve">V, </w:t>
      </w:r>
      <w:r>
        <w:t>VI.</w:t>
      </w:r>
      <w:proofErr w:type="gramEnd"/>
    </w:p>
    <w:p w:rsidR="00175CA7" w:rsidRPr="00874126" w:rsidRDefault="00175CA7" w:rsidP="00A12DCE">
      <w:pPr>
        <w:pStyle w:val="SCCNormalDoubleSpacing"/>
        <w:widowControl w:val="0"/>
        <w:spacing w:line="240" w:lineRule="auto"/>
        <w:ind w:left="540" w:hanging="540"/>
        <w:rPr>
          <w:lang w:val="en-US"/>
        </w:rPr>
      </w:pPr>
    </w:p>
    <w:p w:rsidR="00175CA7" w:rsidRPr="00874126" w:rsidRDefault="00175CA7" w:rsidP="00A12DCE">
      <w:pPr>
        <w:pStyle w:val="SCCNormalDoubleSpacing"/>
        <w:widowControl w:val="0"/>
        <w:spacing w:after="720" w:line="240" w:lineRule="auto"/>
        <w:ind w:left="547" w:hanging="547"/>
        <w:rPr>
          <w:lang w:val="fr-CA"/>
        </w:rPr>
      </w:pPr>
      <w:r w:rsidRPr="00874126">
        <w:rPr>
          <w:i/>
          <w:lang w:val="fr-CA"/>
        </w:rPr>
        <w:t>Loi sur les langues officielles</w:t>
      </w:r>
      <w:r w:rsidRPr="00874126">
        <w:rPr>
          <w:lang w:val="fr-CA"/>
        </w:rPr>
        <w:t xml:space="preserve">, </w:t>
      </w:r>
      <w:r>
        <w:rPr>
          <w:lang w:val="fr-CA"/>
        </w:rPr>
        <w:t xml:space="preserve">L.R.C. 1985, </w:t>
      </w:r>
      <w:r w:rsidR="00874126">
        <w:rPr>
          <w:lang w:val="fr-CA"/>
        </w:rPr>
        <w:t>ch.</w:t>
      </w:r>
      <w:r w:rsidR="006412AC">
        <w:rPr>
          <w:lang w:val="fr-CA"/>
        </w:rPr>
        <w:t xml:space="preserve"> </w:t>
      </w:r>
      <w:r>
        <w:rPr>
          <w:lang w:val="fr-CA"/>
        </w:rPr>
        <w:t>31 (4</w:t>
      </w:r>
      <w:r w:rsidRPr="00175CA7">
        <w:rPr>
          <w:vertAlign w:val="superscript"/>
          <w:lang w:val="fr-CA"/>
        </w:rPr>
        <w:t>e</w:t>
      </w:r>
      <w:r>
        <w:rPr>
          <w:lang w:val="fr-CA"/>
        </w:rPr>
        <w:t xml:space="preserve"> suppl.), </w:t>
      </w:r>
      <w:r w:rsidR="00874126">
        <w:rPr>
          <w:lang w:val="fr-CA"/>
        </w:rPr>
        <w:t>art.</w:t>
      </w:r>
      <w:r w:rsidR="006412AC">
        <w:rPr>
          <w:lang w:val="fr-CA"/>
        </w:rPr>
        <w:t xml:space="preserve"> </w:t>
      </w:r>
      <w:r w:rsidRPr="00874126">
        <w:rPr>
          <w:lang w:val="fr-CA"/>
        </w:rPr>
        <w:t xml:space="preserve">2, 22, 49 </w:t>
      </w:r>
      <w:r w:rsidR="00112133" w:rsidRPr="00874126">
        <w:rPr>
          <w:lang w:val="fr-CA"/>
        </w:rPr>
        <w:t>à</w:t>
      </w:r>
      <w:r w:rsidRPr="00874126">
        <w:rPr>
          <w:lang w:val="fr-CA"/>
        </w:rPr>
        <w:t xml:space="preserve"> 75, </w:t>
      </w:r>
      <w:r w:rsidR="00DA2A39">
        <w:rPr>
          <w:lang w:val="fr-CA"/>
        </w:rPr>
        <w:t xml:space="preserve">76, </w:t>
      </w:r>
      <w:r w:rsidRPr="00874126">
        <w:rPr>
          <w:lang w:val="fr-CA"/>
        </w:rPr>
        <w:t>77, 78.</w:t>
      </w:r>
    </w:p>
    <w:p w:rsidR="006E06CD" w:rsidRPr="006E06CD" w:rsidRDefault="006E06CD" w:rsidP="00A12DCE">
      <w:pPr>
        <w:pStyle w:val="SCCNormalDoubleSpacing"/>
        <w:widowControl w:val="0"/>
        <w:spacing w:after="720" w:line="240" w:lineRule="auto"/>
        <w:rPr>
          <w:b/>
          <w:lang w:val="fr-CA"/>
        </w:rPr>
      </w:pPr>
      <w:r w:rsidRPr="006E06CD">
        <w:rPr>
          <w:b/>
          <w:lang w:val="fr-CA"/>
        </w:rPr>
        <w:t>Traités e</w:t>
      </w:r>
      <w:proofErr w:type="gramStart"/>
      <w:r w:rsidRPr="006E06CD">
        <w:rPr>
          <w:b/>
          <w:lang w:val="fr-CA"/>
        </w:rPr>
        <w:t>t</w:t>
      </w:r>
      <w:proofErr w:type="gramEnd"/>
      <w:r w:rsidRPr="006E06CD">
        <w:rPr>
          <w:b/>
          <w:lang w:val="fr-CA"/>
        </w:rPr>
        <w:t xml:space="preserve"> autres instruments internationaux</w:t>
      </w:r>
    </w:p>
    <w:p w:rsidR="00CA31D1" w:rsidRPr="00120F8F" w:rsidRDefault="00CA31D1" w:rsidP="00A12DCE">
      <w:pPr>
        <w:pStyle w:val="SCCNormalDoubleSpacing"/>
        <w:widowControl w:val="0"/>
        <w:spacing w:after="240" w:line="240" w:lineRule="auto"/>
        <w:ind w:left="547" w:hanging="547"/>
        <w:rPr>
          <w:lang w:val="fr-CA"/>
        </w:rPr>
      </w:pPr>
      <w:r w:rsidRPr="00120F8F">
        <w:rPr>
          <w:i/>
          <w:lang w:val="fr-CA"/>
        </w:rPr>
        <w:t>Convention</w:t>
      </w:r>
      <w:r w:rsidR="002D060C" w:rsidRPr="00120F8F">
        <w:rPr>
          <w:i/>
          <w:lang w:val="fr-CA"/>
        </w:rPr>
        <w:t>,</w:t>
      </w:r>
      <w:r w:rsidRPr="00120F8F">
        <w:rPr>
          <w:i/>
          <w:lang w:val="fr-CA"/>
        </w:rPr>
        <w:t xml:space="preserve"> complémentaire à la Convention de Varsovie, pour </w:t>
      </w:r>
      <w:r w:rsidRPr="00874126">
        <w:rPr>
          <w:i/>
          <w:lang w:val="fr-CA"/>
        </w:rPr>
        <w:t>l’unification de certaines règles relatives au transport aérien international</w:t>
      </w:r>
      <w:r>
        <w:rPr>
          <w:i/>
          <w:lang w:val="fr-CA"/>
        </w:rPr>
        <w:t xml:space="preserve"> effectué par une personne autre que le transporteur contractuel</w:t>
      </w:r>
      <w:r w:rsidRPr="00120F8F">
        <w:rPr>
          <w:lang w:val="fr-CA"/>
        </w:rPr>
        <w:t xml:space="preserve">, </w:t>
      </w:r>
      <w:r w:rsidR="002D060C" w:rsidRPr="00120F8F">
        <w:rPr>
          <w:lang w:val="fr-CA"/>
        </w:rPr>
        <w:t xml:space="preserve">500 </w:t>
      </w:r>
      <w:r w:rsidRPr="00120F8F">
        <w:rPr>
          <w:lang w:val="fr-CA"/>
        </w:rPr>
        <w:t>R.T.</w:t>
      </w:r>
      <w:r w:rsidR="002D060C" w:rsidRPr="00120F8F">
        <w:rPr>
          <w:lang w:val="fr-CA"/>
        </w:rPr>
        <w:t>N.U. 31</w:t>
      </w:r>
      <w:r w:rsidR="00A374D1">
        <w:rPr>
          <w:lang w:val="fr-CA"/>
        </w:rPr>
        <w:t xml:space="preserve"> [</w:t>
      </w:r>
      <w:r w:rsidR="00A374D1" w:rsidRPr="00A374D1">
        <w:rPr>
          <w:i/>
          <w:lang w:val="fr-CA"/>
        </w:rPr>
        <w:t>Convention de Guadalajara</w:t>
      </w:r>
      <w:r w:rsidR="00A374D1">
        <w:rPr>
          <w:lang w:val="fr-CA"/>
        </w:rPr>
        <w:t>]</w:t>
      </w:r>
      <w:r w:rsidRPr="00120F8F">
        <w:rPr>
          <w:lang w:val="fr-CA"/>
        </w:rPr>
        <w:t>.</w:t>
      </w:r>
    </w:p>
    <w:p w:rsidR="006E06CD" w:rsidRDefault="006E06CD" w:rsidP="00A12DCE">
      <w:pPr>
        <w:pStyle w:val="SCCNormalDoubleSpacing"/>
        <w:widowControl w:val="0"/>
        <w:spacing w:after="240" w:line="240" w:lineRule="auto"/>
        <w:ind w:left="547" w:hanging="547"/>
        <w:rPr>
          <w:lang w:val="fr-CA"/>
        </w:rPr>
      </w:pPr>
      <w:r w:rsidRPr="00BA5186">
        <w:rPr>
          <w:i/>
          <w:szCs w:val="24"/>
          <w:lang w:val="fr-CA"/>
        </w:rPr>
        <w:t>Convention de Vienne sur le droit des traités</w:t>
      </w:r>
      <w:r w:rsidRPr="00BA5186">
        <w:rPr>
          <w:szCs w:val="24"/>
          <w:lang w:val="fr-CA"/>
        </w:rPr>
        <w:t xml:space="preserve">, R.T. Can. 1980 </w:t>
      </w:r>
      <w:proofErr w:type="gramStart"/>
      <w:r w:rsidRPr="00BA5186">
        <w:rPr>
          <w:szCs w:val="24"/>
          <w:lang w:val="fr-CA"/>
        </w:rPr>
        <w:t>n</w:t>
      </w:r>
      <w:r w:rsidRPr="00BA5186">
        <w:rPr>
          <w:szCs w:val="24"/>
          <w:vertAlign w:val="superscript"/>
          <w:lang w:val="fr-CA"/>
        </w:rPr>
        <w:t>o</w:t>
      </w:r>
      <w:proofErr w:type="gramEnd"/>
      <w:r w:rsidR="006412AC">
        <w:rPr>
          <w:szCs w:val="24"/>
          <w:lang w:val="fr-CA"/>
        </w:rPr>
        <w:t xml:space="preserve"> </w:t>
      </w:r>
      <w:r w:rsidRPr="00BA5186">
        <w:rPr>
          <w:szCs w:val="24"/>
          <w:lang w:val="fr-CA"/>
        </w:rPr>
        <w:t>37</w:t>
      </w:r>
      <w:r>
        <w:rPr>
          <w:szCs w:val="24"/>
          <w:lang w:val="fr-CA"/>
        </w:rPr>
        <w:t xml:space="preserve">, </w:t>
      </w:r>
      <w:r w:rsidR="00874126">
        <w:rPr>
          <w:szCs w:val="24"/>
          <w:lang w:val="fr-CA"/>
        </w:rPr>
        <w:t>art.</w:t>
      </w:r>
      <w:r w:rsidR="006412AC">
        <w:rPr>
          <w:szCs w:val="24"/>
          <w:lang w:val="fr-CA"/>
        </w:rPr>
        <w:t xml:space="preserve"> </w:t>
      </w:r>
      <w:r>
        <w:rPr>
          <w:szCs w:val="24"/>
          <w:lang w:val="fr-CA"/>
        </w:rPr>
        <w:t>31.</w:t>
      </w:r>
    </w:p>
    <w:p w:rsidR="00877598" w:rsidRPr="00874126" w:rsidRDefault="00877598" w:rsidP="00A12DCE">
      <w:pPr>
        <w:pStyle w:val="SCCNormalDoubleSpacing"/>
        <w:widowControl w:val="0"/>
        <w:spacing w:after="240" w:line="240" w:lineRule="auto"/>
        <w:ind w:left="547" w:hanging="547"/>
        <w:rPr>
          <w:lang w:val="fr-CA"/>
        </w:rPr>
      </w:pPr>
      <w:r w:rsidRPr="00874126">
        <w:rPr>
          <w:i/>
          <w:lang w:val="fr-CA"/>
        </w:rPr>
        <w:lastRenderedPageBreak/>
        <w:t>Convention pour l’unification de certaines règles relatives au transport aérien international</w:t>
      </w:r>
      <w:r w:rsidR="00650FF1" w:rsidRPr="00874126">
        <w:rPr>
          <w:lang w:val="fr-CA"/>
        </w:rPr>
        <w:t>, 137 R.T.S.N. 11</w:t>
      </w:r>
      <w:r w:rsidR="00A374D1">
        <w:rPr>
          <w:lang w:val="fr-CA"/>
        </w:rPr>
        <w:t xml:space="preserve"> [</w:t>
      </w:r>
      <w:r w:rsidR="00A374D1" w:rsidRPr="00A374D1">
        <w:rPr>
          <w:i/>
          <w:lang w:val="fr-CA"/>
        </w:rPr>
        <w:t>Convention de Varsovie</w:t>
      </w:r>
      <w:r w:rsidR="00A374D1">
        <w:rPr>
          <w:lang w:val="fr-CA"/>
        </w:rPr>
        <w:t>]</w:t>
      </w:r>
      <w:r w:rsidRPr="00874126">
        <w:rPr>
          <w:lang w:val="fr-CA"/>
        </w:rPr>
        <w:t xml:space="preserve">, </w:t>
      </w:r>
      <w:r w:rsidR="00874126">
        <w:rPr>
          <w:lang w:val="fr-CA"/>
        </w:rPr>
        <w:t>art.</w:t>
      </w:r>
      <w:r w:rsidR="006412AC">
        <w:rPr>
          <w:lang w:val="fr-CA"/>
        </w:rPr>
        <w:t xml:space="preserve"> </w:t>
      </w:r>
      <w:r w:rsidR="00112133" w:rsidRPr="00874126">
        <w:rPr>
          <w:lang w:val="fr-CA"/>
        </w:rPr>
        <w:t>17, 18, 19, 20, 22, 23, 24, 25.</w:t>
      </w:r>
    </w:p>
    <w:p w:rsidR="0057128D" w:rsidRPr="00874126" w:rsidRDefault="0057128D" w:rsidP="00A12DCE">
      <w:pPr>
        <w:pStyle w:val="SCCNormalDoubleSpacing"/>
        <w:widowControl w:val="0"/>
        <w:spacing w:after="240" w:line="240" w:lineRule="auto"/>
        <w:ind w:left="547" w:hanging="547"/>
        <w:rPr>
          <w:lang w:val="fr-CA"/>
        </w:rPr>
      </w:pPr>
      <w:r w:rsidRPr="00874126">
        <w:rPr>
          <w:i/>
          <w:lang w:val="fr-CA"/>
        </w:rPr>
        <w:t>Convention pour l’unification de certaines règles relatives au transport aérien international</w:t>
      </w:r>
      <w:r w:rsidRPr="00874126">
        <w:rPr>
          <w:lang w:val="fr-CA"/>
        </w:rPr>
        <w:t xml:space="preserve">, 2242 R.T.N.U. </w:t>
      </w:r>
      <w:r w:rsidR="00A374D1">
        <w:rPr>
          <w:lang w:val="fr-CA"/>
        </w:rPr>
        <w:t>30</w:t>
      </w:r>
      <w:r w:rsidRPr="00DA694C">
        <w:rPr>
          <w:lang w:val="fr-CA"/>
        </w:rPr>
        <w:t>9</w:t>
      </w:r>
      <w:r w:rsidR="00A374D1">
        <w:rPr>
          <w:lang w:val="fr-CA"/>
        </w:rPr>
        <w:t xml:space="preserve"> [</w:t>
      </w:r>
      <w:r w:rsidR="00A374D1" w:rsidRPr="00A374D1">
        <w:rPr>
          <w:i/>
          <w:lang w:val="fr-CA"/>
        </w:rPr>
        <w:t>Convention de Montréal</w:t>
      </w:r>
      <w:r w:rsidR="00A374D1">
        <w:rPr>
          <w:lang w:val="fr-CA"/>
        </w:rPr>
        <w:t>]</w:t>
      </w:r>
      <w:r w:rsidR="00877598" w:rsidRPr="00874126">
        <w:rPr>
          <w:lang w:val="fr-CA"/>
        </w:rPr>
        <w:t xml:space="preserve">, </w:t>
      </w:r>
      <w:r w:rsidR="00DE6C1F">
        <w:rPr>
          <w:lang w:val="fr-CA"/>
        </w:rPr>
        <w:t xml:space="preserve">préambule, </w:t>
      </w:r>
      <w:r w:rsidR="00874126">
        <w:rPr>
          <w:lang w:val="fr-CA"/>
        </w:rPr>
        <w:t>art.</w:t>
      </w:r>
      <w:r w:rsidR="006412AC">
        <w:rPr>
          <w:lang w:val="fr-CA"/>
        </w:rPr>
        <w:t xml:space="preserve"> </w:t>
      </w:r>
      <w:r w:rsidR="00DA2A39">
        <w:rPr>
          <w:lang w:val="fr-CA"/>
        </w:rPr>
        <w:t>3(4)</w:t>
      </w:r>
      <w:r w:rsidR="00112133" w:rsidRPr="00874126">
        <w:rPr>
          <w:lang w:val="fr-CA"/>
        </w:rPr>
        <w:t>, 17, 18, 19, 21, 22, 26, 29, 49</w:t>
      </w:r>
      <w:r w:rsidR="00877598" w:rsidRPr="00874126">
        <w:rPr>
          <w:lang w:val="fr-CA"/>
        </w:rPr>
        <w:t>.</w:t>
      </w:r>
    </w:p>
    <w:p w:rsidR="0057128D" w:rsidRDefault="0057128D" w:rsidP="00A12DCE">
      <w:pPr>
        <w:pStyle w:val="SCCNormalDoubleSpacing"/>
        <w:widowControl w:val="0"/>
        <w:spacing w:after="120" w:line="240" w:lineRule="auto"/>
        <w:ind w:left="547" w:hanging="547"/>
        <w:rPr>
          <w:lang w:val="fr-CA"/>
        </w:rPr>
      </w:pPr>
      <w:r w:rsidRPr="00874126">
        <w:rPr>
          <w:i/>
          <w:lang w:val="fr-CA"/>
        </w:rPr>
        <w:t>Protocole de Montr</w:t>
      </w:r>
      <w:r w:rsidR="00877598" w:rsidRPr="00874126">
        <w:rPr>
          <w:i/>
          <w:lang w:val="fr-CA"/>
        </w:rPr>
        <w:t>é</w:t>
      </w:r>
      <w:r w:rsidRPr="00874126">
        <w:rPr>
          <w:i/>
          <w:lang w:val="fr-CA"/>
        </w:rPr>
        <w:t xml:space="preserve">al </w:t>
      </w:r>
      <w:r w:rsidR="00877598" w:rsidRPr="00874126">
        <w:rPr>
          <w:i/>
          <w:lang w:val="fr-CA"/>
        </w:rPr>
        <w:t>N</w:t>
      </w:r>
      <w:r w:rsidRPr="00B07446">
        <w:rPr>
          <w:i/>
          <w:vertAlign w:val="superscript"/>
          <w:lang w:val="fr-CA"/>
        </w:rPr>
        <w:t>o</w:t>
      </w:r>
      <w:r w:rsidRPr="00874126">
        <w:rPr>
          <w:i/>
          <w:lang w:val="fr-CA"/>
        </w:rPr>
        <w:t xml:space="preserve"> 4 portant modification de la Convention pour l’unification de certaines règles relatives au transport aérien international</w:t>
      </w:r>
      <w:r w:rsidR="00874126">
        <w:rPr>
          <w:i/>
          <w:lang w:val="fr-CA"/>
        </w:rPr>
        <w:t xml:space="preserve"> signée à Varsovie le 12</w:t>
      </w:r>
      <w:r w:rsidR="006412AC">
        <w:rPr>
          <w:i/>
          <w:lang w:val="fr-CA"/>
        </w:rPr>
        <w:t xml:space="preserve"> </w:t>
      </w:r>
      <w:r w:rsidR="006732A0" w:rsidRPr="00874126">
        <w:rPr>
          <w:i/>
          <w:lang w:val="fr-CA"/>
        </w:rPr>
        <w:t>octobre 1929 amendée par le</w:t>
      </w:r>
      <w:r w:rsidR="00874126">
        <w:rPr>
          <w:i/>
          <w:lang w:val="fr-CA"/>
        </w:rPr>
        <w:t xml:space="preserve"> Protocole fait à La Haye le 28</w:t>
      </w:r>
      <w:r w:rsidR="006412AC">
        <w:rPr>
          <w:i/>
          <w:lang w:val="fr-CA"/>
        </w:rPr>
        <w:t xml:space="preserve"> </w:t>
      </w:r>
      <w:r w:rsidR="006732A0" w:rsidRPr="00874126">
        <w:rPr>
          <w:i/>
          <w:lang w:val="fr-CA"/>
        </w:rPr>
        <w:t>septembre 1955</w:t>
      </w:r>
      <w:r w:rsidRPr="00874126">
        <w:rPr>
          <w:lang w:val="fr-CA"/>
        </w:rPr>
        <w:t xml:space="preserve">, 2145 R.T.N.U. </w:t>
      </w:r>
      <w:r w:rsidR="00A374D1">
        <w:rPr>
          <w:lang w:val="fr-CA"/>
        </w:rPr>
        <w:t>31</w:t>
      </w:r>
      <w:r w:rsidRPr="00874126">
        <w:rPr>
          <w:lang w:val="fr-CA"/>
        </w:rPr>
        <w:t>.</w:t>
      </w:r>
    </w:p>
    <w:p w:rsidR="00CA31D1" w:rsidRPr="00120F8F" w:rsidRDefault="00CA31D1" w:rsidP="00A12DCE">
      <w:pPr>
        <w:pStyle w:val="SCCNormalDoubleSpacing"/>
        <w:widowControl w:val="0"/>
        <w:spacing w:after="240" w:line="240" w:lineRule="auto"/>
        <w:ind w:left="547" w:hanging="547"/>
        <w:rPr>
          <w:lang w:val="fr-CA"/>
        </w:rPr>
      </w:pPr>
      <w:r w:rsidRPr="00120F8F">
        <w:rPr>
          <w:i/>
          <w:lang w:val="fr-CA"/>
        </w:rPr>
        <w:t>Protocole portant modification de la Convention pour l’unification de certaines règles relatives au transport aérien international</w:t>
      </w:r>
      <w:r w:rsidRPr="00120F8F">
        <w:rPr>
          <w:lang w:val="fr-CA"/>
        </w:rPr>
        <w:t>, 478 R.T.N.U. 371</w:t>
      </w:r>
      <w:r w:rsidR="00A374D1">
        <w:rPr>
          <w:lang w:val="fr-CA"/>
        </w:rPr>
        <w:t xml:space="preserve"> [</w:t>
      </w:r>
      <w:r w:rsidR="00A374D1" w:rsidRPr="00A374D1">
        <w:rPr>
          <w:i/>
          <w:lang w:val="fr-CA"/>
        </w:rPr>
        <w:t>Protocole de La Haye</w:t>
      </w:r>
      <w:r w:rsidR="00A374D1">
        <w:rPr>
          <w:lang w:val="fr-CA"/>
        </w:rPr>
        <w:t>]</w:t>
      </w:r>
      <w:r w:rsidR="002D060C" w:rsidRPr="00120F8F">
        <w:rPr>
          <w:lang w:val="fr-CA"/>
        </w:rPr>
        <w:t>.</w:t>
      </w:r>
    </w:p>
    <w:p w:rsidR="00CA31D1" w:rsidRPr="00120F8F" w:rsidRDefault="00CA31D1" w:rsidP="00A12DCE">
      <w:pPr>
        <w:pStyle w:val="SCCNormalDoubleSpacing"/>
        <w:widowControl w:val="0"/>
        <w:spacing w:after="720" w:line="240" w:lineRule="auto"/>
        <w:ind w:left="547" w:hanging="547"/>
        <w:rPr>
          <w:lang w:val="fr-CA"/>
        </w:rPr>
      </w:pPr>
      <w:r w:rsidRPr="00120F8F">
        <w:rPr>
          <w:i/>
          <w:lang w:val="fr-CA"/>
        </w:rPr>
        <w:t>Protocole portant modification de la Convention pour l’unification de certaines règles relatives au transport aérien international signée à Varsovie le 12 octobre 1929 amendée par le Protocole fait à La Haye le 28 septembre 1955</w:t>
      </w:r>
      <w:r w:rsidRPr="00120F8F">
        <w:rPr>
          <w:lang w:val="fr-CA"/>
        </w:rPr>
        <w:t>, signé à Guatemala le 8 mars 1971</w:t>
      </w:r>
      <w:r w:rsidR="00DA2A39">
        <w:rPr>
          <w:lang w:val="fr-CA"/>
        </w:rPr>
        <w:t xml:space="preserve"> (non en vigueur)</w:t>
      </w:r>
      <w:r w:rsidRPr="00120F8F">
        <w:rPr>
          <w:lang w:val="fr-CA"/>
        </w:rPr>
        <w:t>.</w:t>
      </w:r>
    </w:p>
    <w:p w:rsidR="004D7D95" w:rsidRPr="004D7D95" w:rsidRDefault="004D7D95" w:rsidP="00A12DCE">
      <w:pPr>
        <w:pStyle w:val="SCCNormalDoubleSpacing"/>
        <w:widowControl w:val="0"/>
        <w:spacing w:after="720" w:line="240" w:lineRule="auto"/>
        <w:rPr>
          <w:b/>
          <w:lang w:val="fr-CA"/>
        </w:rPr>
      </w:pPr>
      <w:r w:rsidRPr="004D7D95">
        <w:rPr>
          <w:b/>
          <w:lang w:val="fr-CA"/>
        </w:rPr>
        <w:t>Doctrine et autres documents cités</w:t>
      </w:r>
    </w:p>
    <w:p w:rsidR="00DA694C" w:rsidRPr="00AA3B5F" w:rsidRDefault="00DA694C" w:rsidP="00A12DCE">
      <w:pPr>
        <w:pStyle w:val="SCCNormalDoubleSpacing"/>
        <w:widowControl w:val="0"/>
        <w:spacing w:line="240" w:lineRule="auto"/>
        <w:ind w:left="547" w:hanging="547"/>
        <w:rPr>
          <w:lang w:val="fr-CA"/>
        </w:rPr>
      </w:pPr>
      <w:r w:rsidRPr="00AA3B5F">
        <w:rPr>
          <w:lang w:val="fr-CA"/>
        </w:rPr>
        <w:t xml:space="preserve">Canada.  </w:t>
      </w:r>
      <w:r w:rsidRPr="00120F8F">
        <w:rPr>
          <w:lang w:val="fr-CA"/>
        </w:rPr>
        <w:t>Chambre des communes</w:t>
      </w:r>
      <w:r w:rsidRPr="00AA3B5F">
        <w:rPr>
          <w:lang w:val="fr-CA"/>
        </w:rPr>
        <w:t>.  Comité permanent des Transports et des opérations gouvernementales.  Réunion n</w:t>
      </w:r>
      <w:r w:rsidRPr="00AA3B5F">
        <w:rPr>
          <w:vertAlign w:val="superscript"/>
          <w:lang w:val="fr-CA"/>
        </w:rPr>
        <w:t>o</w:t>
      </w:r>
      <w:r w:rsidRPr="00AA3B5F">
        <w:rPr>
          <w:lang w:val="fr-CA"/>
        </w:rPr>
        <w:t xml:space="preserve"> 40 — Témoignages, 29</w:t>
      </w:r>
      <w:r w:rsidR="006412AC">
        <w:rPr>
          <w:lang w:val="fr-CA"/>
        </w:rPr>
        <w:t xml:space="preserve"> </w:t>
      </w:r>
      <w:r w:rsidRPr="00AA3B5F">
        <w:rPr>
          <w:lang w:val="fr-CA"/>
        </w:rPr>
        <w:t>novembre 2001 (en ligne</w:t>
      </w:r>
      <w:r w:rsidR="006412AC">
        <w:rPr>
          <w:lang w:val="fr-CA"/>
        </w:rPr>
        <w:t> :</w:t>
      </w:r>
      <w:r w:rsidRPr="00AA3B5F">
        <w:rPr>
          <w:lang w:val="fr-CA"/>
        </w:rPr>
        <w:t xml:space="preserve"> http://www.parl.gc.ca/HousePublications/Publication.aspx?Doc</w:t>
      </w:r>
    </w:p>
    <w:p w:rsidR="00DA694C" w:rsidRPr="00AA3B5F" w:rsidRDefault="00DA694C" w:rsidP="00A12DCE">
      <w:pPr>
        <w:pStyle w:val="SCCNormalDoubleSpacing"/>
        <w:widowControl w:val="0"/>
        <w:spacing w:after="240" w:line="240" w:lineRule="auto"/>
        <w:ind w:left="547" w:hanging="7"/>
        <w:rPr>
          <w:lang w:val="fr-CA"/>
        </w:rPr>
      </w:pPr>
      <w:r w:rsidRPr="00AA3B5F">
        <w:rPr>
          <w:lang w:val="fr-CA"/>
        </w:rPr>
        <w:t>Id=1041230&amp;Mode=1&amp;</w:t>
      </w:r>
      <w:proofErr w:type="spellStart"/>
      <w:r w:rsidRPr="00AA3B5F">
        <w:rPr>
          <w:lang w:val="fr-CA"/>
        </w:rPr>
        <w:t>Parl</w:t>
      </w:r>
      <w:proofErr w:type="spellEnd"/>
      <w:r w:rsidRPr="00AA3B5F">
        <w:rPr>
          <w:lang w:val="fr-CA"/>
        </w:rPr>
        <w:t>=37&amp;Ses=1&amp;</w:t>
      </w:r>
      <w:proofErr w:type="spellStart"/>
      <w:r w:rsidRPr="00AA3B5F">
        <w:rPr>
          <w:lang w:val="fr-CA"/>
        </w:rPr>
        <w:t>Language</w:t>
      </w:r>
      <w:proofErr w:type="spellEnd"/>
      <w:r w:rsidRPr="00AA3B5F">
        <w:rPr>
          <w:lang w:val="fr-CA"/>
        </w:rPr>
        <w:t>=F).</w:t>
      </w:r>
    </w:p>
    <w:p w:rsidR="00807C6A" w:rsidRPr="00874126" w:rsidRDefault="00807C6A" w:rsidP="00A12DCE">
      <w:pPr>
        <w:pStyle w:val="SCCNormalDoubleSpacing"/>
        <w:widowControl w:val="0"/>
        <w:spacing w:after="240" w:line="240" w:lineRule="auto"/>
        <w:ind w:left="547" w:hanging="547"/>
        <w:rPr>
          <w:lang w:val="fr-CA"/>
        </w:rPr>
      </w:pPr>
      <w:r w:rsidRPr="00874126">
        <w:rPr>
          <w:lang w:val="fr-CA"/>
        </w:rPr>
        <w:t xml:space="preserve">Canada.  </w:t>
      </w:r>
      <w:r w:rsidR="001C53AB" w:rsidRPr="00874126">
        <w:rPr>
          <w:lang w:val="fr-CA"/>
        </w:rPr>
        <w:t>Chambre des communes</w:t>
      </w:r>
      <w:r w:rsidRPr="00874126">
        <w:rPr>
          <w:lang w:val="fr-CA"/>
        </w:rPr>
        <w:t xml:space="preserve">.  </w:t>
      </w:r>
      <w:r w:rsidRPr="00874126">
        <w:rPr>
          <w:i/>
          <w:lang w:val="fr-CA"/>
        </w:rPr>
        <w:t>D</w:t>
      </w:r>
      <w:r w:rsidR="001C53AB" w:rsidRPr="00874126">
        <w:rPr>
          <w:i/>
          <w:lang w:val="fr-CA"/>
        </w:rPr>
        <w:t>é</w:t>
      </w:r>
      <w:r w:rsidRPr="00874126">
        <w:rPr>
          <w:i/>
          <w:lang w:val="fr-CA"/>
        </w:rPr>
        <w:t>bats</w:t>
      </w:r>
      <w:r w:rsidR="001C53AB" w:rsidRPr="00874126">
        <w:rPr>
          <w:i/>
          <w:lang w:val="fr-CA"/>
        </w:rPr>
        <w:t xml:space="preserve"> de la Chambre des communes</w:t>
      </w:r>
      <w:r w:rsidRPr="00874126">
        <w:rPr>
          <w:lang w:val="fr-CA"/>
        </w:rPr>
        <w:t xml:space="preserve">, </w:t>
      </w:r>
      <w:r w:rsidR="00874126">
        <w:rPr>
          <w:lang w:val="fr-CA"/>
        </w:rPr>
        <w:t>vol.</w:t>
      </w:r>
      <w:r w:rsidR="006412AC">
        <w:rPr>
          <w:lang w:val="fr-CA"/>
        </w:rPr>
        <w:t xml:space="preserve"> </w:t>
      </w:r>
      <w:r w:rsidRPr="00874126">
        <w:rPr>
          <w:lang w:val="fr-CA"/>
        </w:rPr>
        <w:t>X, 2</w:t>
      </w:r>
      <w:r w:rsidR="001C53AB" w:rsidRPr="00874126">
        <w:rPr>
          <w:vertAlign w:val="superscript"/>
          <w:lang w:val="fr-CA"/>
        </w:rPr>
        <w:t>e</w:t>
      </w:r>
      <w:r w:rsidR="006412AC">
        <w:rPr>
          <w:lang w:val="fr-CA"/>
        </w:rPr>
        <w:t xml:space="preserve"> </w:t>
      </w:r>
      <w:proofErr w:type="spellStart"/>
      <w:proofErr w:type="gramStart"/>
      <w:r w:rsidR="001C53AB" w:rsidRPr="00874126">
        <w:rPr>
          <w:lang w:val="fr-CA"/>
        </w:rPr>
        <w:t>s</w:t>
      </w:r>
      <w:r w:rsidRPr="00874126">
        <w:rPr>
          <w:lang w:val="fr-CA"/>
        </w:rPr>
        <w:t>ess</w:t>
      </w:r>
      <w:proofErr w:type="spellEnd"/>
      <w:r w:rsidRPr="00874126">
        <w:rPr>
          <w:lang w:val="fr-CA"/>
        </w:rPr>
        <w:t>.,</w:t>
      </w:r>
      <w:proofErr w:type="gramEnd"/>
      <w:r w:rsidRPr="00874126">
        <w:rPr>
          <w:lang w:val="fr-CA"/>
        </w:rPr>
        <w:t xml:space="preserve"> 33</w:t>
      </w:r>
      <w:r w:rsidR="001C53AB" w:rsidRPr="00874126">
        <w:rPr>
          <w:vertAlign w:val="superscript"/>
          <w:lang w:val="fr-CA"/>
        </w:rPr>
        <w:t>e</w:t>
      </w:r>
      <w:r w:rsidR="006412AC">
        <w:rPr>
          <w:lang w:val="fr-CA"/>
        </w:rPr>
        <w:t xml:space="preserve"> </w:t>
      </w:r>
      <w:proofErr w:type="spellStart"/>
      <w:r w:rsidR="001C53AB" w:rsidRPr="00874126">
        <w:rPr>
          <w:lang w:val="fr-CA"/>
        </w:rPr>
        <w:t>lég</w:t>
      </w:r>
      <w:proofErr w:type="spellEnd"/>
      <w:r w:rsidRPr="00874126">
        <w:rPr>
          <w:lang w:val="fr-CA"/>
        </w:rPr>
        <w:t xml:space="preserve">., </w:t>
      </w:r>
      <w:r w:rsidR="001C53AB" w:rsidRPr="00874126">
        <w:rPr>
          <w:lang w:val="fr-CA"/>
        </w:rPr>
        <w:t>8</w:t>
      </w:r>
      <w:r w:rsidR="006412AC">
        <w:rPr>
          <w:lang w:val="fr-CA"/>
        </w:rPr>
        <w:t xml:space="preserve"> </w:t>
      </w:r>
      <w:r w:rsidR="004D3317">
        <w:rPr>
          <w:lang w:val="fr-CA"/>
        </w:rPr>
        <w:t>fé</w:t>
      </w:r>
      <w:r w:rsidR="001C53AB" w:rsidRPr="00874126">
        <w:rPr>
          <w:lang w:val="fr-CA"/>
        </w:rPr>
        <w:t>vrier</w:t>
      </w:r>
      <w:r w:rsidRPr="00874126">
        <w:rPr>
          <w:lang w:val="fr-CA"/>
        </w:rPr>
        <w:t xml:space="preserve"> 1988, </w:t>
      </w:r>
      <w:r w:rsidR="00874126">
        <w:rPr>
          <w:lang w:val="fr-CA"/>
        </w:rPr>
        <w:t>p.</w:t>
      </w:r>
      <w:r w:rsidR="006412AC">
        <w:rPr>
          <w:lang w:val="fr-CA"/>
        </w:rPr>
        <w:t xml:space="preserve"> </w:t>
      </w:r>
      <w:r w:rsidRPr="00874126">
        <w:rPr>
          <w:lang w:val="fr-CA"/>
        </w:rPr>
        <w:t xml:space="preserve">12706, 12712, 12715 </w:t>
      </w:r>
      <w:r w:rsidR="001C53AB" w:rsidRPr="00874126">
        <w:rPr>
          <w:lang w:val="fr-CA"/>
        </w:rPr>
        <w:t>et</w:t>
      </w:r>
      <w:r w:rsidRPr="00874126">
        <w:rPr>
          <w:lang w:val="fr-CA"/>
        </w:rPr>
        <w:t xml:space="preserve"> 12737.</w:t>
      </w:r>
    </w:p>
    <w:p w:rsidR="00807C6A" w:rsidRPr="00874126" w:rsidRDefault="001C53AB" w:rsidP="00A12DCE">
      <w:pPr>
        <w:pStyle w:val="SCCNormalDoubleSpacing"/>
        <w:widowControl w:val="0"/>
        <w:spacing w:after="240" w:line="240" w:lineRule="auto"/>
        <w:ind w:left="547" w:hanging="547"/>
        <w:rPr>
          <w:lang w:val="fr-CA"/>
        </w:rPr>
      </w:pPr>
      <w:r w:rsidRPr="00874126">
        <w:rPr>
          <w:lang w:val="fr-CA"/>
        </w:rPr>
        <w:t xml:space="preserve">Canada.  Chambre des communes.  </w:t>
      </w:r>
      <w:r w:rsidRPr="00874126">
        <w:rPr>
          <w:i/>
          <w:lang w:val="fr-CA"/>
        </w:rPr>
        <w:t>Débats de la Chambre des communes</w:t>
      </w:r>
      <w:r w:rsidR="00807C6A" w:rsidRPr="00874126">
        <w:rPr>
          <w:lang w:val="fr-CA"/>
        </w:rPr>
        <w:t xml:space="preserve">, </w:t>
      </w:r>
      <w:r w:rsidR="00874126">
        <w:rPr>
          <w:lang w:val="fr-CA"/>
        </w:rPr>
        <w:t>vol.</w:t>
      </w:r>
      <w:r w:rsidR="006412AC">
        <w:rPr>
          <w:lang w:val="fr-CA"/>
        </w:rPr>
        <w:t xml:space="preserve"> </w:t>
      </w:r>
      <w:r w:rsidR="00807C6A" w:rsidRPr="00874126">
        <w:rPr>
          <w:lang w:val="fr-CA"/>
        </w:rPr>
        <w:t xml:space="preserve">XIV, </w:t>
      </w:r>
      <w:r w:rsidRPr="00874126">
        <w:rPr>
          <w:lang w:val="fr-CA"/>
        </w:rPr>
        <w:t>2</w:t>
      </w:r>
      <w:r w:rsidRPr="00874126">
        <w:rPr>
          <w:vertAlign w:val="superscript"/>
          <w:lang w:val="fr-CA"/>
        </w:rPr>
        <w:t>e</w:t>
      </w:r>
      <w:r w:rsidR="006412AC">
        <w:rPr>
          <w:lang w:val="fr-CA"/>
        </w:rPr>
        <w:t xml:space="preserve"> </w:t>
      </w:r>
      <w:proofErr w:type="spellStart"/>
      <w:proofErr w:type="gramStart"/>
      <w:r w:rsidRPr="00874126">
        <w:rPr>
          <w:lang w:val="fr-CA"/>
        </w:rPr>
        <w:t>sess</w:t>
      </w:r>
      <w:proofErr w:type="spellEnd"/>
      <w:r w:rsidRPr="00874126">
        <w:rPr>
          <w:lang w:val="fr-CA"/>
        </w:rPr>
        <w:t>.,</w:t>
      </w:r>
      <w:proofErr w:type="gramEnd"/>
      <w:r w:rsidRPr="00874126">
        <w:rPr>
          <w:lang w:val="fr-CA"/>
        </w:rPr>
        <w:t xml:space="preserve"> 33</w:t>
      </w:r>
      <w:r w:rsidRPr="00874126">
        <w:rPr>
          <w:vertAlign w:val="superscript"/>
          <w:lang w:val="fr-CA"/>
        </w:rPr>
        <w:t>e</w:t>
      </w:r>
      <w:r w:rsidR="006412AC">
        <w:rPr>
          <w:lang w:val="fr-CA"/>
        </w:rPr>
        <w:t xml:space="preserve"> </w:t>
      </w:r>
      <w:proofErr w:type="spellStart"/>
      <w:r w:rsidRPr="00874126">
        <w:rPr>
          <w:lang w:val="fr-CA"/>
        </w:rPr>
        <w:t>lég</w:t>
      </w:r>
      <w:proofErr w:type="spellEnd"/>
      <w:r w:rsidRPr="00874126">
        <w:rPr>
          <w:lang w:val="fr-CA"/>
        </w:rPr>
        <w:t>., 7</w:t>
      </w:r>
      <w:r w:rsidR="006412AC">
        <w:rPr>
          <w:lang w:val="fr-CA"/>
        </w:rPr>
        <w:t xml:space="preserve"> </w:t>
      </w:r>
      <w:r w:rsidRPr="00874126">
        <w:rPr>
          <w:lang w:val="fr-CA"/>
        </w:rPr>
        <w:t>juillet</w:t>
      </w:r>
      <w:r w:rsidR="00807C6A" w:rsidRPr="00874126">
        <w:rPr>
          <w:lang w:val="fr-CA"/>
        </w:rPr>
        <w:t xml:space="preserve"> 1988, </w:t>
      </w:r>
      <w:r w:rsidR="00874126">
        <w:rPr>
          <w:lang w:val="fr-CA"/>
        </w:rPr>
        <w:t>p.</w:t>
      </w:r>
      <w:r w:rsidR="006412AC">
        <w:rPr>
          <w:lang w:val="fr-CA"/>
        </w:rPr>
        <w:t xml:space="preserve"> </w:t>
      </w:r>
      <w:r w:rsidR="00807C6A" w:rsidRPr="00874126">
        <w:rPr>
          <w:lang w:val="fr-CA"/>
        </w:rPr>
        <w:t>17224.</w:t>
      </w:r>
    </w:p>
    <w:p w:rsidR="00D50EF5" w:rsidRPr="00120F8F" w:rsidRDefault="00D50EF5" w:rsidP="00A12DCE">
      <w:pPr>
        <w:pStyle w:val="SCCNormalDoubleSpacing"/>
        <w:widowControl w:val="0"/>
        <w:spacing w:after="240" w:line="240" w:lineRule="auto"/>
        <w:ind w:left="547" w:hanging="547"/>
        <w:rPr>
          <w:lang w:val="fr-CA"/>
        </w:rPr>
      </w:pPr>
      <w:r w:rsidRPr="00120F8F">
        <w:rPr>
          <w:lang w:val="fr-CA"/>
        </w:rPr>
        <w:t xml:space="preserve">Canada.  </w:t>
      </w:r>
      <w:r w:rsidRPr="00874126">
        <w:rPr>
          <w:lang w:val="fr-CA"/>
        </w:rPr>
        <w:t>Chambre des communes</w:t>
      </w:r>
      <w:r w:rsidRPr="00120F8F">
        <w:rPr>
          <w:lang w:val="fr-CA"/>
        </w:rPr>
        <w:t xml:space="preserve">.  </w:t>
      </w:r>
      <w:r w:rsidRPr="00874126">
        <w:rPr>
          <w:i/>
          <w:lang w:val="fr-CA"/>
        </w:rPr>
        <w:t>Débats de la Chambre des communes</w:t>
      </w:r>
      <w:r w:rsidRPr="00120F8F">
        <w:rPr>
          <w:lang w:val="fr-CA"/>
        </w:rPr>
        <w:t>, vol.</w:t>
      </w:r>
      <w:r w:rsidR="006412AC">
        <w:rPr>
          <w:lang w:val="fr-CA"/>
        </w:rPr>
        <w:t xml:space="preserve"> </w:t>
      </w:r>
      <w:r w:rsidRPr="00120F8F">
        <w:rPr>
          <w:lang w:val="fr-CA"/>
        </w:rPr>
        <w:t>137, 1</w:t>
      </w:r>
      <w:r w:rsidRPr="00120F8F">
        <w:rPr>
          <w:vertAlign w:val="superscript"/>
          <w:lang w:val="fr-CA"/>
        </w:rPr>
        <w:t>re</w:t>
      </w:r>
      <w:r w:rsidR="006412AC">
        <w:rPr>
          <w:lang w:val="fr-CA"/>
        </w:rPr>
        <w:t xml:space="preserve"> </w:t>
      </w:r>
      <w:proofErr w:type="spellStart"/>
      <w:proofErr w:type="gramStart"/>
      <w:r w:rsidRPr="00120F8F">
        <w:rPr>
          <w:lang w:val="fr-CA"/>
        </w:rPr>
        <w:t>sess</w:t>
      </w:r>
      <w:proofErr w:type="spellEnd"/>
      <w:r w:rsidRPr="00120F8F">
        <w:rPr>
          <w:lang w:val="fr-CA"/>
        </w:rPr>
        <w:t>.,</w:t>
      </w:r>
      <w:proofErr w:type="gramEnd"/>
      <w:r w:rsidRPr="00120F8F">
        <w:rPr>
          <w:lang w:val="fr-CA"/>
        </w:rPr>
        <w:t xml:space="preserve"> 37</w:t>
      </w:r>
      <w:r w:rsidRPr="00120F8F">
        <w:rPr>
          <w:vertAlign w:val="superscript"/>
          <w:lang w:val="fr-CA"/>
        </w:rPr>
        <w:t>e</w:t>
      </w:r>
      <w:r w:rsidR="006412AC">
        <w:rPr>
          <w:lang w:val="fr-CA"/>
        </w:rPr>
        <w:t xml:space="preserve"> </w:t>
      </w:r>
      <w:proofErr w:type="spellStart"/>
      <w:r w:rsidRPr="00120F8F">
        <w:rPr>
          <w:lang w:val="fr-CA"/>
        </w:rPr>
        <w:t>lég</w:t>
      </w:r>
      <w:proofErr w:type="spellEnd"/>
      <w:r w:rsidRPr="00120F8F">
        <w:rPr>
          <w:lang w:val="fr-CA"/>
        </w:rPr>
        <w:t>., 20</w:t>
      </w:r>
      <w:r w:rsidR="006412AC">
        <w:rPr>
          <w:lang w:val="fr-CA"/>
        </w:rPr>
        <w:t xml:space="preserve"> </w:t>
      </w:r>
      <w:r w:rsidRPr="00120F8F">
        <w:rPr>
          <w:lang w:val="fr-CA"/>
        </w:rPr>
        <w:t>novembre 2001, p.</w:t>
      </w:r>
      <w:r w:rsidR="006412AC">
        <w:rPr>
          <w:lang w:val="fr-CA"/>
        </w:rPr>
        <w:t xml:space="preserve"> </w:t>
      </w:r>
      <w:r w:rsidRPr="00120F8F">
        <w:rPr>
          <w:lang w:val="fr-CA"/>
        </w:rPr>
        <w:t>7346.</w:t>
      </w:r>
    </w:p>
    <w:p w:rsidR="007014AF" w:rsidRPr="00874126" w:rsidRDefault="007014AF" w:rsidP="00A12DCE">
      <w:pPr>
        <w:pStyle w:val="SCCNormalDoubleSpacing"/>
        <w:widowControl w:val="0"/>
        <w:spacing w:after="240" w:line="240" w:lineRule="auto"/>
        <w:ind w:left="547" w:hanging="547"/>
        <w:rPr>
          <w:lang w:val="fr-CA"/>
        </w:rPr>
      </w:pPr>
      <w:r w:rsidRPr="00AA3B5F">
        <w:rPr>
          <w:lang w:val="fr-CA"/>
        </w:rPr>
        <w:t xml:space="preserve">Canada.  Commissariat aux langues officielles.  </w:t>
      </w:r>
      <w:r w:rsidRPr="00AA3B5F">
        <w:rPr>
          <w:i/>
          <w:lang w:val="fr-CA"/>
        </w:rPr>
        <w:t>Vérification de la prestation des</w:t>
      </w:r>
      <w:r w:rsidRPr="00874126">
        <w:rPr>
          <w:i/>
          <w:lang w:val="fr-CA"/>
        </w:rPr>
        <w:t xml:space="preserve"> services en français et en anglais aux passagers d’Air Canada</w:t>
      </w:r>
      <w:r w:rsidR="006412AC">
        <w:rPr>
          <w:i/>
          <w:lang w:val="fr-CA"/>
        </w:rPr>
        <w:t> :</w:t>
      </w:r>
      <w:r w:rsidRPr="00874126">
        <w:rPr>
          <w:i/>
          <w:lang w:val="fr-CA"/>
        </w:rPr>
        <w:t xml:space="preserve"> Rapport fin</w:t>
      </w:r>
      <w:r w:rsidR="00874126">
        <w:rPr>
          <w:i/>
          <w:lang w:val="fr-CA"/>
        </w:rPr>
        <w:t xml:space="preserve">al. </w:t>
      </w:r>
      <w:r w:rsidRPr="00874126">
        <w:rPr>
          <w:lang w:val="fr-CA"/>
        </w:rPr>
        <w:t xml:space="preserve"> Ottawa</w:t>
      </w:r>
      <w:r w:rsidR="006412AC">
        <w:rPr>
          <w:lang w:val="fr-CA"/>
        </w:rPr>
        <w:t> :</w:t>
      </w:r>
      <w:r w:rsidRPr="00874126">
        <w:rPr>
          <w:lang w:val="fr-CA"/>
        </w:rPr>
        <w:t xml:space="preserve"> Ministre des Travaux publics et des Services gouvernementaux Canada, 2011.</w:t>
      </w:r>
    </w:p>
    <w:p w:rsidR="00DA694C" w:rsidRDefault="00DA694C" w:rsidP="00A12DCE">
      <w:pPr>
        <w:pStyle w:val="SCCNormalDoubleSpacing"/>
        <w:widowControl w:val="0"/>
        <w:spacing w:line="240" w:lineRule="auto"/>
        <w:ind w:left="547" w:hanging="547"/>
        <w:rPr>
          <w:lang w:val="fr-CA"/>
        </w:rPr>
      </w:pPr>
      <w:r w:rsidRPr="00AA3B5F">
        <w:rPr>
          <w:lang w:val="fr-CA"/>
        </w:rPr>
        <w:t xml:space="preserve">Canada.  Sénat.  Comité sénatorial permanent des Transports et des communications.  </w:t>
      </w:r>
      <w:r w:rsidRPr="00AA3B5F">
        <w:rPr>
          <w:i/>
          <w:lang w:val="fr-CA"/>
        </w:rPr>
        <w:t xml:space="preserve">Délibérations du Comité sénatorial permanent des Transports et des </w:t>
      </w:r>
      <w:r w:rsidRPr="00AA3B5F">
        <w:rPr>
          <w:i/>
          <w:lang w:val="fr-CA"/>
        </w:rPr>
        <w:lastRenderedPageBreak/>
        <w:t>communications</w:t>
      </w:r>
      <w:r w:rsidR="00A374D1">
        <w:rPr>
          <w:lang w:val="fr-CA"/>
        </w:rPr>
        <w:t>, f</w:t>
      </w:r>
      <w:r w:rsidRPr="00AA3B5F">
        <w:rPr>
          <w:lang w:val="fr-CA"/>
        </w:rPr>
        <w:t xml:space="preserve">ascicule </w:t>
      </w:r>
      <w:r w:rsidR="00A374D1">
        <w:rPr>
          <w:lang w:val="fr-CA"/>
        </w:rPr>
        <w:t>n</w:t>
      </w:r>
      <w:r w:rsidR="00A374D1" w:rsidRPr="00A374D1">
        <w:rPr>
          <w:vertAlign w:val="superscript"/>
          <w:lang w:val="fr-CA"/>
        </w:rPr>
        <w:t>o</w:t>
      </w:r>
      <w:r w:rsidR="00A374D1">
        <w:rPr>
          <w:lang w:val="fr-CA"/>
        </w:rPr>
        <w:t xml:space="preserve"> </w:t>
      </w:r>
      <w:r w:rsidRPr="00AA3B5F">
        <w:rPr>
          <w:lang w:val="fr-CA"/>
        </w:rPr>
        <w:t>15 — Témoignages, 31</w:t>
      </w:r>
      <w:r w:rsidR="006412AC">
        <w:rPr>
          <w:lang w:val="fr-CA"/>
        </w:rPr>
        <w:t xml:space="preserve"> </w:t>
      </w:r>
      <w:r w:rsidRPr="00AA3B5F">
        <w:rPr>
          <w:lang w:val="fr-CA"/>
        </w:rPr>
        <w:t>octobre 2001 (en ligne</w:t>
      </w:r>
      <w:r w:rsidR="006412AC">
        <w:rPr>
          <w:lang w:val="fr-CA"/>
        </w:rPr>
        <w:t> :</w:t>
      </w:r>
      <w:r w:rsidRPr="00AA3B5F">
        <w:rPr>
          <w:lang w:val="fr-CA"/>
        </w:rPr>
        <w:t xml:space="preserve"> http://www.parl.gc.ca/Content/SEN/Committee/371/tran/15ev-f.htm?Language</w:t>
      </w:r>
    </w:p>
    <w:p w:rsidR="00DA694C" w:rsidRDefault="00A374D1" w:rsidP="00A12DCE">
      <w:pPr>
        <w:pStyle w:val="SCCNormalDoubleSpacing"/>
        <w:widowControl w:val="0"/>
        <w:spacing w:after="240" w:line="240" w:lineRule="auto"/>
        <w:ind w:left="547" w:hanging="7"/>
        <w:rPr>
          <w:lang w:val="fr-CA"/>
        </w:rPr>
      </w:pPr>
      <w:r>
        <w:rPr>
          <w:lang w:val="fr-CA"/>
        </w:rPr>
        <w:t>=F</w:t>
      </w:r>
      <w:r w:rsidR="00DA694C" w:rsidRPr="00AA3B5F">
        <w:rPr>
          <w:lang w:val="fr-CA"/>
        </w:rPr>
        <w:t>&amp;</w:t>
      </w:r>
      <w:proofErr w:type="spellStart"/>
      <w:r w:rsidR="00DA694C" w:rsidRPr="00AA3B5F">
        <w:rPr>
          <w:lang w:val="fr-CA"/>
        </w:rPr>
        <w:t>Parl</w:t>
      </w:r>
      <w:proofErr w:type="spellEnd"/>
      <w:r w:rsidR="00DA694C" w:rsidRPr="00AA3B5F">
        <w:rPr>
          <w:lang w:val="fr-CA"/>
        </w:rPr>
        <w:t>=37&amp;Ses=1&amp;</w:t>
      </w:r>
      <w:proofErr w:type="spellStart"/>
      <w:r w:rsidR="00DA694C" w:rsidRPr="00AA3B5F">
        <w:rPr>
          <w:lang w:val="fr-CA"/>
        </w:rPr>
        <w:t>comm_id</w:t>
      </w:r>
      <w:proofErr w:type="spellEnd"/>
      <w:r w:rsidR="00DA694C" w:rsidRPr="00AA3B5F">
        <w:rPr>
          <w:lang w:val="fr-CA"/>
        </w:rPr>
        <w:t>=19).</w:t>
      </w:r>
    </w:p>
    <w:p w:rsidR="00807C6A" w:rsidRPr="00874126" w:rsidRDefault="00807C6A" w:rsidP="00A12DCE">
      <w:pPr>
        <w:pStyle w:val="SCCNormalDoubleSpacing"/>
        <w:widowControl w:val="0"/>
        <w:spacing w:after="240" w:line="240" w:lineRule="auto"/>
        <w:ind w:left="547" w:hanging="547"/>
        <w:rPr>
          <w:lang w:val="fr-CA"/>
        </w:rPr>
      </w:pPr>
      <w:r w:rsidRPr="00874126">
        <w:rPr>
          <w:lang w:val="fr-CA"/>
        </w:rPr>
        <w:t>Canada.  S</w:t>
      </w:r>
      <w:r w:rsidR="001C53AB" w:rsidRPr="00874126">
        <w:rPr>
          <w:lang w:val="fr-CA"/>
        </w:rPr>
        <w:t>é</w:t>
      </w:r>
      <w:r w:rsidRPr="00874126">
        <w:rPr>
          <w:lang w:val="fr-CA"/>
        </w:rPr>
        <w:t xml:space="preserve">nat.  </w:t>
      </w:r>
      <w:r w:rsidRPr="00874126">
        <w:rPr>
          <w:i/>
          <w:lang w:val="fr-CA"/>
        </w:rPr>
        <w:t>D</w:t>
      </w:r>
      <w:r w:rsidR="001C53AB" w:rsidRPr="00874126">
        <w:rPr>
          <w:i/>
          <w:lang w:val="fr-CA"/>
        </w:rPr>
        <w:t>é</w:t>
      </w:r>
      <w:r w:rsidRPr="00874126">
        <w:rPr>
          <w:i/>
          <w:lang w:val="fr-CA"/>
        </w:rPr>
        <w:t xml:space="preserve">bats </w:t>
      </w:r>
      <w:r w:rsidR="001C53AB" w:rsidRPr="00874126">
        <w:rPr>
          <w:i/>
          <w:lang w:val="fr-CA"/>
        </w:rPr>
        <w:t>du</w:t>
      </w:r>
      <w:r w:rsidRPr="00874126">
        <w:rPr>
          <w:i/>
          <w:lang w:val="fr-CA"/>
        </w:rPr>
        <w:t xml:space="preserve"> S</w:t>
      </w:r>
      <w:r w:rsidR="001C53AB" w:rsidRPr="00874126">
        <w:rPr>
          <w:i/>
          <w:lang w:val="fr-CA"/>
        </w:rPr>
        <w:t>é</w:t>
      </w:r>
      <w:r w:rsidRPr="00874126">
        <w:rPr>
          <w:i/>
          <w:lang w:val="fr-CA"/>
        </w:rPr>
        <w:t>nat</w:t>
      </w:r>
      <w:r w:rsidRPr="00874126">
        <w:rPr>
          <w:lang w:val="fr-CA"/>
        </w:rPr>
        <w:t xml:space="preserve">, </w:t>
      </w:r>
      <w:r w:rsidR="00874126">
        <w:rPr>
          <w:lang w:val="fr-CA"/>
        </w:rPr>
        <w:t>vol.</w:t>
      </w:r>
      <w:r w:rsidR="006412AC">
        <w:rPr>
          <w:lang w:val="fr-CA"/>
        </w:rPr>
        <w:t xml:space="preserve"> </w:t>
      </w:r>
      <w:r w:rsidRPr="00874126">
        <w:rPr>
          <w:lang w:val="fr-CA"/>
        </w:rPr>
        <w:t xml:space="preserve">IV, </w:t>
      </w:r>
      <w:r w:rsidR="001C53AB" w:rsidRPr="00874126">
        <w:rPr>
          <w:lang w:val="fr-CA"/>
        </w:rPr>
        <w:t>2</w:t>
      </w:r>
      <w:r w:rsidR="001C53AB" w:rsidRPr="00874126">
        <w:rPr>
          <w:vertAlign w:val="superscript"/>
          <w:lang w:val="fr-CA"/>
        </w:rPr>
        <w:t>e</w:t>
      </w:r>
      <w:r w:rsidR="006412AC">
        <w:rPr>
          <w:lang w:val="fr-CA"/>
        </w:rPr>
        <w:t xml:space="preserve"> </w:t>
      </w:r>
      <w:proofErr w:type="spellStart"/>
      <w:proofErr w:type="gramStart"/>
      <w:r w:rsidR="001C53AB" w:rsidRPr="00874126">
        <w:rPr>
          <w:lang w:val="fr-CA"/>
        </w:rPr>
        <w:t>sess</w:t>
      </w:r>
      <w:proofErr w:type="spellEnd"/>
      <w:r w:rsidR="001C53AB" w:rsidRPr="00874126">
        <w:rPr>
          <w:lang w:val="fr-CA"/>
        </w:rPr>
        <w:t>.,</w:t>
      </w:r>
      <w:proofErr w:type="gramEnd"/>
      <w:r w:rsidR="001C53AB" w:rsidRPr="00874126">
        <w:rPr>
          <w:lang w:val="fr-CA"/>
        </w:rPr>
        <w:t xml:space="preserve"> 33</w:t>
      </w:r>
      <w:r w:rsidR="001C53AB" w:rsidRPr="00874126">
        <w:rPr>
          <w:vertAlign w:val="superscript"/>
          <w:lang w:val="fr-CA"/>
        </w:rPr>
        <w:t>e</w:t>
      </w:r>
      <w:r w:rsidR="006412AC">
        <w:rPr>
          <w:lang w:val="fr-CA"/>
        </w:rPr>
        <w:t xml:space="preserve"> </w:t>
      </w:r>
      <w:proofErr w:type="spellStart"/>
      <w:r w:rsidR="001C53AB" w:rsidRPr="00874126">
        <w:rPr>
          <w:lang w:val="fr-CA"/>
        </w:rPr>
        <w:t>lég</w:t>
      </w:r>
      <w:proofErr w:type="spellEnd"/>
      <w:r w:rsidR="001C53AB" w:rsidRPr="00874126">
        <w:rPr>
          <w:lang w:val="fr-CA"/>
        </w:rPr>
        <w:t xml:space="preserve">., </w:t>
      </w:r>
      <w:r w:rsidR="00874126">
        <w:rPr>
          <w:lang w:val="fr-CA"/>
        </w:rPr>
        <w:t>27</w:t>
      </w:r>
      <w:r w:rsidR="006412AC">
        <w:rPr>
          <w:lang w:val="fr-CA"/>
        </w:rPr>
        <w:t xml:space="preserve"> </w:t>
      </w:r>
      <w:r w:rsidR="001C53AB" w:rsidRPr="00874126">
        <w:rPr>
          <w:lang w:val="fr-CA"/>
        </w:rPr>
        <w:t>juillet</w:t>
      </w:r>
      <w:r w:rsidRPr="00874126">
        <w:rPr>
          <w:lang w:val="fr-CA"/>
        </w:rPr>
        <w:t xml:space="preserve"> 1988, </w:t>
      </w:r>
      <w:r w:rsidR="00874126">
        <w:rPr>
          <w:lang w:val="fr-CA"/>
        </w:rPr>
        <w:t>p.</w:t>
      </w:r>
      <w:r w:rsidR="006412AC">
        <w:rPr>
          <w:lang w:val="fr-CA"/>
        </w:rPr>
        <w:t xml:space="preserve"> </w:t>
      </w:r>
      <w:r w:rsidRPr="00874126">
        <w:rPr>
          <w:lang w:val="fr-CA"/>
        </w:rPr>
        <w:t>4135</w:t>
      </w:r>
      <w:r w:rsidR="006412AC">
        <w:rPr>
          <w:lang w:val="fr-CA"/>
        </w:rPr>
        <w:t>-</w:t>
      </w:r>
      <w:r w:rsidR="001C53AB" w:rsidRPr="00874126">
        <w:rPr>
          <w:lang w:val="fr-CA"/>
        </w:rPr>
        <w:t>41</w:t>
      </w:r>
      <w:r w:rsidRPr="00874126">
        <w:rPr>
          <w:lang w:val="fr-CA"/>
        </w:rPr>
        <w:t>36.</w:t>
      </w:r>
    </w:p>
    <w:p w:rsidR="00D50EF5" w:rsidRPr="00120F8F" w:rsidRDefault="00D50EF5" w:rsidP="00A12DCE">
      <w:pPr>
        <w:pStyle w:val="SCCNormalDoubleSpacing"/>
        <w:widowControl w:val="0"/>
        <w:spacing w:after="240" w:line="240" w:lineRule="auto"/>
        <w:ind w:left="547" w:hanging="547"/>
        <w:rPr>
          <w:lang w:val="fr-CA"/>
        </w:rPr>
      </w:pPr>
      <w:r w:rsidRPr="00120F8F">
        <w:rPr>
          <w:lang w:val="fr-CA"/>
        </w:rPr>
        <w:t xml:space="preserve">Canada.  </w:t>
      </w:r>
      <w:r w:rsidRPr="00AA3B5F">
        <w:rPr>
          <w:lang w:val="fr-CA"/>
        </w:rPr>
        <w:t>Sénat</w:t>
      </w:r>
      <w:r w:rsidRPr="00120F8F">
        <w:rPr>
          <w:lang w:val="fr-CA"/>
        </w:rPr>
        <w:t xml:space="preserve">.  </w:t>
      </w:r>
      <w:r w:rsidRPr="00AA3B5F">
        <w:rPr>
          <w:i/>
          <w:lang w:val="fr-CA"/>
        </w:rPr>
        <w:t>Débats du Sénat</w:t>
      </w:r>
      <w:r w:rsidRPr="00120F8F">
        <w:rPr>
          <w:lang w:val="fr-CA"/>
        </w:rPr>
        <w:t>, vol.</w:t>
      </w:r>
      <w:r w:rsidR="006412AC">
        <w:rPr>
          <w:lang w:val="fr-CA"/>
        </w:rPr>
        <w:t xml:space="preserve"> </w:t>
      </w:r>
      <w:r w:rsidRPr="00120F8F">
        <w:rPr>
          <w:lang w:val="fr-CA"/>
        </w:rPr>
        <w:t>139, 1</w:t>
      </w:r>
      <w:r w:rsidRPr="00120F8F">
        <w:rPr>
          <w:vertAlign w:val="superscript"/>
          <w:lang w:val="fr-CA"/>
        </w:rPr>
        <w:t>re</w:t>
      </w:r>
      <w:r w:rsidR="006412AC">
        <w:rPr>
          <w:lang w:val="fr-CA"/>
        </w:rPr>
        <w:t xml:space="preserve"> </w:t>
      </w:r>
      <w:proofErr w:type="spellStart"/>
      <w:proofErr w:type="gramStart"/>
      <w:r w:rsidRPr="00120F8F">
        <w:rPr>
          <w:lang w:val="fr-CA"/>
        </w:rPr>
        <w:t>sess</w:t>
      </w:r>
      <w:proofErr w:type="spellEnd"/>
      <w:r w:rsidRPr="00120F8F">
        <w:rPr>
          <w:lang w:val="fr-CA"/>
        </w:rPr>
        <w:t>.,</w:t>
      </w:r>
      <w:proofErr w:type="gramEnd"/>
      <w:r w:rsidRPr="00120F8F">
        <w:rPr>
          <w:lang w:val="fr-CA"/>
        </w:rPr>
        <w:t xml:space="preserve"> 37</w:t>
      </w:r>
      <w:r w:rsidRPr="00120F8F">
        <w:rPr>
          <w:vertAlign w:val="superscript"/>
          <w:lang w:val="fr-CA"/>
        </w:rPr>
        <w:t>e</w:t>
      </w:r>
      <w:r w:rsidR="006412AC">
        <w:rPr>
          <w:lang w:val="fr-CA"/>
        </w:rPr>
        <w:t xml:space="preserve"> </w:t>
      </w:r>
      <w:proofErr w:type="spellStart"/>
      <w:r w:rsidRPr="00120F8F">
        <w:rPr>
          <w:lang w:val="fr-CA"/>
        </w:rPr>
        <w:t>lég</w:t>
      </w:r>
      <w:proofErr w:type="spellEnd"/>
      <w:r w:rsidRPr="00120F8F">
        <w:rPr>
          <w:lang w:val="fr-CA"/>
        </w:rPr>
        <w:t>., 2</w:t>
      </w:r>
      <w:r w:rsidR="006412AC">
        <w:rPr>
          <w:lang w:val="fr-CA"/>
        </w:rPr>
        <w:t xml:space="preserve"> </w:t>
      </w:r>
      <w:r w:rsidRPr="00120F8F">
        <w:rPr>
          <w:lang w:val="fr-CA"/>
        </w:rPr>
        <w:t>octobre 2001, p.</w:t>
      </w:r>
      <w:r w:rsidR="006412AC">
        <w:rPr>
          <w:lang w:val="fr-CA"/>
        </w:rPr>
        <w:t xml:space="preserve"> </w:t>
      </w:r>
      <w:r w:rsidRPr="00120F8F">
        <w:rPr>
          <w:lang w:val="fr-CA"/>
        </w:rPr>
        <w:t>1346.</w:t>
      </w:r>
    </w:p>
    <w:p w:rsidR="00807C6A" w:rsidRPr="00882921" w:rsidRDefault="00807C6A" w:rsidP="00A12DCE">
      <w:pPr>
        <w:pStyle w:val="SCCNormalDoubleSpacing"/>
        <w:widowControl w:val="0"/>
        <w:spacing w:after="240" w:line="240" w:lineRule="auto"/>
        <w:ind w:left="547" w:hanging="547"/>
      </w:pPr>
      <w:proofErr w:type="spellStart"/>
      <w:r w:rsidRPr="00874126">
        <w:rPr>
          <w:lang w:val="fr-CA"/>
        </w:rPr>
        <w:t>Chassot</w:t>
      </w:r>
      <w:proofErr w:type="spellEnd"/>
      <w:r w:rsidRPr="00874126">
        <w:rPr>
          <w:lang w:val="fr-CA"/>
        </w:rPr>
        <w:t xml:space="preserve">, Laurent.  </w:t>
      </w:r>
      <w:r w:rsidRPr="00874126">
        <w:rPr>
          <w:i/>
          <w:lang w:val="fr-CA"/>
        </w:rPr>
        <w:t>Les sources de la responsabilité du transporteur aérien international</w:t>
      </w:r>
      <w:r w:rsidR="006412AC">
        <w:rPr>
          <w:i/>
          <w:lang w:val="fr-CA"/>
        </w:rPr>
        <w:t> :</w:t>
      </w:r>
      <w:r w:rsidRPr="00874126">
        <w:rPr>
          <w:i/>
          <w:lang w:val="fr-CA"/>
        </w:rPr>
        <w:t xml:space="preserve"> entre conflit et complémentarité</w:t>
      </w:r>
      <w:r w:rsidRPr="00874126">
        <w:rPr>
          <w:lang w:val="fr-CA"/>
        </w:rPr>
        <w:t xml:space="preserve">.  </w:t>
      </w:r>
      <w:proofErr w:type="gramStart"/>
      <w:r w:rsidR="00221C00" w:rsidRPr="00221C00">
        <w:t>Genève</w:t>
      </w:r>
      <w:r w:rsidR="006412AC">
        <w:t> :</w:t>
      </w:r>
      <w:proofErr w:type="gramEnd"/>
      <w:r w:rsidRPr="00221C00">
        <w:t xml:space="preserve"> </w:t>
      </w:r>
      <w:proofErr w:type="spellStart"/>
      <w:r w:rsidRPr="00221C00">
        <w:t>Schult</w:t>
      </w:r>
      <w:r w:rsidR="00221C00" w:rsidRPr="00221C00">
        <w:t>h</w:t>
      </w:r>
      <w:r w:rsidRPr="00221C00">
        <w:t>ess</w:t>
      </w:r>
      <w:proofErr w:type="spellEnd"/>
      <w:r w:rsidRPr="00221C00">
        <w:t xml:space="preserve"> </w:t>
      </w:r>
      <w:proofErr w:type="spellStart"/>
      <w:r w:rsidRPr="00221C00">
        <w:t>Éditions</w:t>
      </w:r>
      <w:proofErr w:type="spellEnd"/>
      <w:r w:rsidRPr="00221C00">
        <w:t xml:space="preserve"> </w:t>
      </w:r>
      <w:proofErr w:type="spellStart"/>
      <w:r w:rsidRPr="00882921">
        <w:t>Romandes</w:t>
      </w:r>
      <w:proofErr w:type="spellEnd"/>
      <w:r w:rsidRPr="00882921">
        <w:t>, 2012.</w:t>
      </w:r>
    </w:p>
    <w:p w:rsidR="00D50EF5" w:rsidRDefault="00D50EF5" w:rsidP="00A12DCE">
      <w:pPr>
        <w:pStyle w:val="SCCNormalDoubleSpacing"/>
        <w:widowControl w:val="0"/>
        <w:spacing w:after="240" w:line="240" w:lineRule="auto"/>
        <w:ind w:left="547" w:hanging="547"/>
      </w:pPr>
      <w:r w:rsidRPr="00882921">
        <w:t>Clare, John E.</w:t>
      </w:r>
      <w:r w:rsidR="006412AC">
        <w:t xml:space="preserve"> </w:t>
      </w:r>
      <w:r w:rsidRPr="00882921">
        <w:t xml:space="preserve">J.  </w:t>
      </w:r>
      <w:proofErr w:type="gramStart"/>
      <w:r w:rsidR="006412AC">
        <w:t>« </w:t>
      </w:r>
      <w:r w:rsidRPr="00882921">
        <w:t>Evaluation of Proposals to Increase the “Warsaw Convention” Limit of Passenger Liability</w:t>
      </w:r>
      <w:r w:rsidR="006412AC">
        <w:t> »</w:t>
      </w:r>
      <w:r w:rsidRPr="00882921">
        <w:t xml:space="preserve"> (1949), 16 </w:t>
      </w:r>
      <w:r w:rsidRPr="00882921">
        <w:rPr>
          <w:i/>
        </w:rPr>
        <w:t>J. Air L. &amp; Com.</w:t>
      </w:r>
      <w:r w:rsidRPr="00882921">
        <w:t xml:space="preserve"> 5</w:t>
      </w:r>
      <w:r w:rsidR="00882921" w:rsidRPr="00882921">
        <w:t>3</w:t>
      </w:r>
      <w:r w:rsidRPr="00882921">
        <w:t>.</w:t>
      </w:r>
      <w:proofErr w:type="gramEnd"/>
    </w:p>
    <w:p w:rsidR="00807C6A" w:rsidRPr="00874126" w:rsidRDefault="00807C6A" w:rsidP="00A12DCE">
      <w:pPr>
        <w:pStyle w:val="SCCNormalDoubleSpacing"/>
        <w:widowControl w:val="0"/>
        <w:spacing w:after="240" w:line="240" w:lineRule="auto"/>
        <w:ind w:left="547" w:hanging="547"/>
        <w:rPr>
          <w:lang w:val="fr-CA"/>
        </w:rPr>
      </w:pPr>
      <w:r w:rsidRPr="00221C00">
        <w:t>Clarke, Malco</w:t>
      </w:r>
      <w:r w:rsidR="00221C00" w:rsidRPr="00221C00">
        <w:t>l</w:t>
      </w:r>
      <w:r w:rsidRPr="00221C00">
        <w:t xml:space="preserve">m.  </w:t>
      </w:r>
      <w:r w:rsidRPr="00221C00">
        <w:rPr>
          <w:i/>
        </w:rPr>
        <w:t>Contracts of Carriage by Air</w:t>
      </w:r>
      <w:r w:rsidRPr="00221C00">
        <w:t xml:space="preserve">, 2nd </w:t>
      </w:r>
      <w:proofErr w:type="gramStart"/>
      <w:r w:rsidRPr="00221C00">
        <w:t>ed</w:t>
      </w:r>
      <w:proofErr w:type="gramEnd"/>
      <w:r w:rsidRPr="00221C00">
        <w:t xml:space="preserve">.  </w:t>
      </w:r>
      <w:r w:rsidRPr="00874126">
        <w:rPr>
          <w:lang w:val="fr-CA"/>
        </w:rPr>
        <w:t>London</w:t>
      </w:r>
      <w:r w:rsidR="006412AC">
        <w:rPr>
          <w:lang w:val="fr-CA"/>
        </w:rPr>
        <w:t> :</w:t>
      </w:r>
      <w:r w:rsidRPr="00874126">
        <w:rPr>
          <w:lang w:val="fr-CA"/>
        </w:rPr>
        <w:t xml:space="preserve"> Lloyd’s List, 2010.</w:t>
      </w:r>
    </w:p>
    <w:p w:rsidR="000F0F57" w:rsidRPr="00874126" w:rsidRDefault="000F0F57" w:rsidP="00A12DCE">
      <w:pPr>
        <w:pStyle w:val="SCCNormalDoubleSpacing"/>
        <w:widowControl w:val="0"/>
        <w:spacing w:after="240" w:line="240" w:lineRule="auto"/>
        <w:ind w:left="547" w:hanging="547"/>
        <w:rPr>
          <w:lang w:val="fr-CA"/>
        </w:rPr>
      </w:pPr>
      <w:r w:rsidRPr="00874126">
        <w:rPr>
          <w:lang w:val="fr-CA"/>
        </w:rPr>
        <w:t>Côté, Pierre</w:t>
      </w:r>
      <w:r w:rsidR="006412AC">
        <w:rPr>
          <w:lang w:val="fr-CA"/>
        </w:rPr>
        <w:t>-</w:t>
      </w:r>
      <w:r w:rsidRPr="00874126">
        <w:rPr>
          <w:lang w:val="fr-CA"/>
        </w:rPr>
        <w:t xml:space="preserve">André.  </w:t>
      </w:r>
      <w:r w:rsidRPr="00874126">
        <w:rPr>
          <w:i/>
          <w:lang w:val="fr-CA"/>
        </w:rPr>
        <w:t>Interprétation des lois</w:t>
      </w:r>
      <w:r w:rsidRPr="00874126">
        <w:rPr>
          <w:lang w:val="fr-CA"/>
        </w:rPr>
        <w:t>, 3</w:t>
      </w:r>
      <w:r w:rsidRPr="00874126">
        <w:rPr>
          <w:vertAlign w:val="superscript"/>
          <w:lang w:val="fr-CA"/>
        </w:rPr>
        <w:t>e</w:t>
      </w:r>
      <w:r w:rsidR="006412AC">
        <w:rPr>
          <w:lang w:val="fr-CA"/>
        </w:rPr>
        <w:t xml:space="preserve"> </w:t>
      </w:r>
      <w:r w:rsidRPr="00874126">
        <w:rPr>
          <w:lang w:val="fr-CA"/>
        </w:rPr>
        <w:t>éd.  Montréal</w:t>
      </w:r>
      <w:r w:rsidR="006412AC">
        <w:rPr>
          <w:lang w:val="fr-CA"/>
        </w:rPr>
        <w:t> :</w:t>
      </w:r>
      <w:r w:rsidRPr="00874126">
        <w:rPr>
          <w:lang w:val="fr-CA"/>
        </w:rPr>
        <w:t xml:space="preserve"> Thémis, 1999.</w:t>
      </w:r>
    </w:p>
    <w:p w:rsidR="00807C6A" w:rsidRPr="00874126" w:rsidRDefault="00807C6A" w:rsidP="00A12DCE">
      <w:pPr>
        <w:pStyle w:val="SCCNormalDoubleSpacing"/>
        <w:widowControl w:val="0"/>
        <w:spacing w:after="240" w:line="240" w:lineRule="auto"/>
        <w:ind w:left="547" w:hanging="547"/>
        <w:rPr>
          <w:lang w:val="fr-CA"/>
        </w:rPr>
      </w:pPr>
      <w:r w:rsidRPr="00874126">
        <w:rPr>
          <w:lang w:val="fr-CA"/>
        </w:rPr>
        <w:t>Côté, Pierre</w:t>
      </w:r>
      <w:r w:rsidR="006412AC">
        <w:rPr>
          <w:lang w:val="fr-CA"/>
        </w:rPr>
        <w:t>-</w:t>
      </w:r>
      <w:r w:rsidRPr="00874126">
        <w:rPr>
          <w:lang w:val="fr-CA"/>
        </w:rPr>
        <w:t xml:space="preserve">André, </w:t>
      </w:r>
      <w:r w:rsidR="001C53AB" w:rsidRPr="00874126">
        <w:rPr>
          <w:lang w:val="fr-CA"/>
        </w:rPr>
        <w:t>avec la</w:t>
      </w:r>
      <w:r w:rsidRPr="00874126">
        <w:rPr>
          <w:lang w:val="fr-CA"/>
        </w:rPr>
        <w:t xml:space="preserve"> collaboration </w:t>
      </w:r>
      <w:r w:rsidR="001C53AB" w:rsidRPr="00874126">
        <w:rPr>
          <w:lang w:val="fr-CA"/>
        </w:rPr>
        <w:t>de</w:t>
      </w:r>
      <w:r w:rsidRPr="00874126">
        <w:rPr>
          <w:lang w:val="fr-CA"/>
        </w:rPr>
        <w:t xml:space="preserve"> Stéphane </w:t>
      </w:r>
      <w:proofErr w:type="spellStart"/>
      <w:r w:rsidRPr="00874126">
        <w:rPr>
          <w:lang w:val="fr-CA"/>
        </w:rPr>
        <w:t>Beaulac</w:t>
      </w:r>
      <w:proofErr w:type="spellEnd"/>
      <w:r w:rsidRPr="00874126">
        <w:rPr>
          <w:lang w:val="fr-CA"/>
        </w:rPr>
        <w:t xml:space="preserve"> </w:t>
      </w:r>
      <w:r w:rsidR="001C53AB" w:rsidRPr="00874126">
        <w:rPr>
          <w:lang w:val="fr-CA"/>
        </w:rPr>
        <w:t>et</w:t>
      </w:r>
      <w:r w:rsidRPr="00874126">
        <w:rPr>
          <w:lang w:val="fr-CA"/>
        </w:rPr>
        <w:t xml:space="preserve"> Mathieu </w:t>
      </w:r>
      <w:proofErr w:type="spellStart"/>
      <w:r w:rsidRPr="00874126">
        <w:rPr>
          <w:lang w:val="fr-CA"/>
        </w:rPr>
        <w:t>Devinat</w:t>
      </w:r>
      <w:proofErr w:type="spellEnd"/>
      <w:r w:rsidRPr="00874126">
        <w:rPr>
          <w:lang w:val="fr-CA"/>
        </w:rPr>
        <w:t xml:space="preserve">.  </w:t>
      </w:r>
      <w:r w:rsidRPr="00874126">
        <w:rPr>
          <w:i/>
          <w:lang w:val="fr-CA"/>
        </w:rPr>
        <w:t>Interpr</w:t>
      </w:r>
      <w:r w:rsidR="001C53AB" w:rsidRPr="00874126">
        <w:rPr>
          <w:i/>
          <w:lang w:val="fr-CA"/>
        </w:rPr>
        <w:t>é</w:t>
      </w:r>
      <w:r w:rsidRPr="00874126">
        <w:rPr>
          <w:i/>
          <w:lang w:val="fr-CA"/>
        </w:rPr>
        <w:t>tation</w:t>
      </w:r>
      <w:r w:rsidR="001C53AB" w:rsidRPr="00874126">
        <w:rPr>
          <w:i/>
          <w:lang w:val="fr-CA"/>
        </w:rPr>
        <w:t xml:space="preserve"> des lois</w:t>
      </w:r>
      <w:r w:rsidRPr="00874126">
        <w:rPr>
          <w:lang w:val="fr-CA"/>
        </w:rPr>
        <w:t>, 4</w:t>
      </w:r>
      <w:r w:rsidR="001C53AB" w:rsidRPr="00874126">
        <w:rPr>
          <w:vertAlign w:val="superscript"/>
          <w:lang w:val="fr-CA"/>
        </w:rPr>
        <w:t>e</w:t>
      </w:r>
      <w:r w:rsidRPr="00874126">
        <w:rPr>
          <w:lang w:val="fr-CA"/>
        </w:rPr>
        <w:t xml:space="preserve"> </w:t>
      </w:r>
      <w:r w:rsidR="001C53AB" w:rsidRPr="00874126">
        <w:rPr>
          <w:lang w:val="fr-CA"/>
        </w:rPr>
        <w:t>é</w:t>
      </w:r>
      <w:r w:rsidRPr="00874126">
        <w:rPr>
          <w:lang w:val="fr-CA"/>
        </w:rPr>
        <w:t xml:space="preserve">d.  </w:t>
      </w:r>
      <w:r w:rsidR="001C53AB" w:rsidRPr="00874126">
        <w:rPr>
          <w:lang w:val="fr-CA"/>
        </w:rPr>
        <w:t>Montréal</w:t>
      </w:r>
      <w:r w:rsidR="006412AC">
        <w:rPr>
          <w:lang w:val="fr-CA"/>
        </w:rPr>
        <w:t> :</w:t>
      </w:r>
      <w:r w:rsidRPr="00874126">
        <w:rPr>
          <w:lang w:val="fr-CA"/>
        </w:rPr>
        <w:t xml:space="preserve"> </w:t>
      </w:r>
      <w:r w:rsidR="001C53AB" w:rsidRPr="00874126">
        <w:rPr>
          <w:lang w:val="fr-CA"/>
        </w:rPr>
        <w:t>Thémis</w:t>
      </w:r>
      <w:r w:rsidRPr="00874126">
        <w:rPr>
          <w:lang w:val="fr-CA"/>
        </w:rPr>
        <w:t>, 20</w:t>
      </w:r>
      <w:r w:rsidR="001C53AB" w:rsidRPr="00874126">
        <w:rPr>
          <w:lang w:val="fr-CA"/>
        </w:rPr>
        <w:t>09</w:t>
      </w:r>
      <w:r w:rsidRPr="00874126">
        <w:rPr>
          <w:lang w:val="fr-CA"/>
        </w:rPr>
        <w:t>.</w:t>
      </w:r>
    </w:p>
    <w:p w:rsidR="00807C6A" w:rsidRDefault="00807C6A" w:rsidP="00A12DCE">
      <w:pPr>
        <w:pStyle w:val="SCCNormalDoubleSpacing"/>
        <w:widowControl w:val="0"/>
        <w:spacing w:after="240" w:line="240" w:lineRule="auto"/>
        <w:ind w:left="547" w:hanging="547"/>
      </w:pPr>
      <w:r w:rsidRPr="0085114D">
        <w:t xml:space="preserve">Dempsey, Paul Stephen.  </w:t>
      </w:r>
      <w:r w:rsidRPr="007C5BAD">
        <w:rPr>
          <w:i/>
        </w:rPr>
        <w:t>Aviation Liability Law</w:t>
      </w:r>
      <w:r w:rsidRPr="007C5BAD">
        <w:t xml:space="preserve">, 2nd </w:t>
      </w:r>
      <w:proofErr w:type="gramStart"/>
      <w:r w:rsidRPr="007C5BAD">
        <w:t>ed</w:t>
      </w:r>
      <w:proofErr w:type="gramEnd"/>
      <w:r w:rsidRPr="007C5BAD">
        <w:t>.  Markham, Ont</w:t>
      </w:r>
      <w:proofErr w:type="gramStart"/>
      <w:r w:rsidRPr="007C5BAD">
        <w:t>.</w:t>
      </w:r>
      <w:r w:rsidR="006412AC">
        <w:t> :</w:t>
      </w:r>
      <w:proofErr w:type="gramEnd"/>
      <w:r w:rsidRPr="007C5BAD">
        <w:t xml:space="preserve"> LexisNexis, 2013.</w:t>
      </w:r>
    </w:p>
    <w:p w:rsidR="00C24DA3" w:rsidRPr="003E1F4C" w:rsidRDefault="00C24DA3" w:rsidP="00A12DCE">
      <w:pPr>
        <w:pStyle w:val="SCCNormalDoubleSpacing"/>
        <w:widowControl w:val="0"/>
        <w:spacing w:after="240" w:line="240" w:lineRule="auto"/>
        <w:ind w:left="547" w:hanging="547"/>
      </w:pPr>
      <w:proofErr w:type="gramStart"/>
      <w:r w:rsidRPr="006F4D37">
        <w:t xml:space="preserve">Dempsey, Paul Stephen, and Michael </w:t>
      </w:r>
      <w:proofErr w:type="spellStart"/>
      <w:r w:rsidRPr="006F4D37">
        <w:t>Milde</w:t>
      </w:r>
      <w:proofErr w:type="spellEnd"/>
      <w:r w:rsidRPr="006F4D37">
        <w:t>.</w:t>
      </w:r>
      <w:proofErr w:type="gramEnd"/>
      <w:r w:rsidRPr="006F4D37">
        <w:t xml:space="preserve">  </w:t>
      </w:r>
      <w:r w:rsidRPr="006F4D37">
        <w:rPr>
          <w:i/>
        </w:rPr>
        <w:t xml:space="preserve">International Air Carrier </w:t>
      </w:r>
      <w:proofErr w:type="gramStart"/>
      <w:r w:rsidRPr="006F4D37">
        <w:rPr>
          <w:i/>
        </w:rPr>
        <w:t>Liability</w:t>
      </w:r>
      <w:r w:rsidR="006412AC">
        <w:rPr>
          <w:i/>
        </w:rPr>
        <w:t> :</w:t>
      </w:r>
      <w:proofErr w:type="gramEnd"/>
      <w:r w:rsidRPr="006F4D37">
        <w:rPr>
          <w:i/>
        </w:rPr>
        <w:t xml:space="preserve"> The Montreal Convention of 1999</w:t>
      </w:r>
      <w:r w:rsidRPr="006F4D37">
        <w:t xml:space="preserve">.  </w:t>
      </w:r>
      <w:proofErr w:type="gramStart"/>
      <w:r w:rsidRPr="006F4D37">
        <w:t>Montréal</w:t>
      </w:r>
      <w:r w:rsidR="006412AC">
        <w:t> :</w:t>
      </w:r>
      <w:proofErr w:type="gramEnd"/>
      <w:r w:rsidRPr="006F4D37">
        <w:t xml:space="preserve"> McGill University Institute of Air &amp; </w:t>
      </w:r>
      <w:r w:rsidRPr="003E1F4C">
        <w:t>Space Law, 2005.</w:t>
      </w:r>
    </w:p>
    <w:p w:rsidR="00807C6A" w:rsidRPr="003E1F4C" w:rsidRDefault="00807C6A" w:rsidP="00A12DCE">
      <w:pPr>
        <w:pStyle w:val="SCCNormalDoubleSpacing"/>
        <w:widowControl w:val="0"/>
        <w:spacing w:after="240" w:line="240" w:lineRule="auto"/>
        <w:ind w:left="547" w:hanging="547"/>
      </w:pPr>
      <w:proofErr w:type="spellStart"/>
      <w:r w:rsidRPr="003E1F4C">
        <w:t>Driedger</w:t>
      </w:r>
      <w:proofErr w:type="spellEnd"/>
      <w:r w:rsidRPr="003E1F4C">
        <w:t>, Elmer</w:t>
      </w:r>
      <w:r w:rsidR="006412AC">
        <w:t xml:space="preserve"> </w:t>
      </w:r>
      <w:r w:rsidRPr="003E1F4C">
        <w:t xml:space="preserve">A.  </w:t>
      </w:r>
      <w:r w:rsidRPr="003E1F4C">
        <w:rPr>
          <w:i/>
        </w:rPr>
        <w:t>Construction of Statutes</w:t>
      </w:r>
      <w:r w:rsidRPr="003E1F4C">
        <w:t xml:space="preserve">, 2nd </w:t>
      </w:r>
      <w:proofErr w:type="gramStart"/>
      <w:r w:rsidRPr="003E1F4C">
        <w:t>ed</w:t>
      </w:r>
      <w:proofErr w:type="gramEnd"/>
      <w:r w:rsidRPr="003E1F4C">
        <w:t xml:space="preserve">.  </w:t>
      </w:r>
      <w:proofErr w:type="gramStart"/>
      <w:r w:rsidRPr="003E1F4C">
        <w:t>Toronto</w:t>
      </w:r>
      <w:r w:rsidR="006412AC">
        <w:t> :</w:t>
      </w:r>
      <w:proofErr w:type="gramEnd"/>
      <w:r w:rsidRPr="003E1F4C">
        <w:t xml:space="preserve"> </w:t>
      </w:r>
      <w:proofErr w:type="spellStart"/>
      <w:r w:rsidRPr="003E1F4C">
        <w:t>Butterworths</w:t>
      </w:r>
      <w:proofErr w:type="spellEnd"/>
      <w:r w:rsidRPr="003E1F4C">
        <w:t>, 1983.</w:t>
      </w:r>
    </w:p>
    <w:p w:rsidR="00807C6A" w:rsidRDefault="00807C6A" w:rsidP="00A12DCE">
      <w:pPr>
        <w:pStyle w:val="SCCNormalDoubleSpacing"/>
        <w:widowControl w:val="0"/>
        <w:spacing w:after="240" w:line="240" w:lineRule="auto"/>
        <w:ind w:left="547" w:hanging="547"/>
      </w:pPr>
      <w:r w:rsidRPr="003E1F4C">
        <w:t xml:space="preserve">Field, Andrew.  </w:t>
      </w:r>
      <w:r w:rsidR="006412AC">
        <w:t>« </w:t>
      </w:r>
      <w:r w:rsidR="000B466F">
        <w:t>International Air Carriage, T</w:t>
      </w:r>
      <w:r w:rsidRPr="003E1F4C">
        <w:t>he Montreal Convention and the</w:t>
      </w:r>
      <w:r w:rsidR="000B466F">
        <w:t xml:space="preserve"> Injuries for Which There </w:t>
      </w:r>
      <w:proofErr w:type="gramStart"/>
      <w:r w:rsidR="000B466F">
        <w:t>is</w:t>
      </w:r>
      <w:proofErr w:type="gramEnd"/>
      <w:r w:rsidR="000B466F">
        <w:t xml:space="preserve"> N</w:t>
      </w:r>
      <w:r w:rsidRPr="000B3F99">
        <w:t>o Compensation</w:t>
      </w:r>
      <w:r w:rsidR="006412AC">
        <w:t> »</w:t>
      </w:r>
      <w:r w:rsidRPr="000B3F99">
        <w:t xml:space="preserve"> (2006), 12 </w:t>
      </w:r>
      <w:proofErr w:type="spellStart"/>
      <w:r w:rsidRPr="00F96858">
        <w:rPr>
          <w:i/>
        </w:rPr>
        <w:t>Canta</w:t>
      </w:r>
      <w:proofErr w:type="spellEnd"/>
      <w:r w:rsidRPr="00F96858">
        <w:rPr>
          <w:i/>
        </w:rPr>
        <w:t xml:space="preserve">. </w:t>
      </w:r>
      <w:proofErr w:type="gramStart"/>
      <w:r w:rsidRPr="00F96858">
        <w:rPr>
          <w:i/>
        </w:rPr>
        <w:t>L.R.</w:t>
      </w:r>
      <w:r w:rsidRPr="000B3F99">
        <w:t xml:space="preserve"> 237</w:t>
      </w:r>
      <w:r>
        <w:t>.</w:t>
      </w:r>
      <w:proofErr w:type="gramEnd"/>
    </w:p>
    <w:p w:rsidR="00517FA6" w:rsidRPr="00120F8F" w:rsidRDefault="00517FA6" w:rsidP="00A12DCE">
      <w:pPr>
        <w:pStyle w:val="SCCNormalDoubleSpacing"/>
        <w:widowControl w:val="0"/>
        <w:spacing w:after="240" w:line="240" w:lineRule="auto"/>
        <w:ind w:left="547" w:hanging="547"/>
      </w:pPr>
      <w:r w:rsidRPr="00517FA6">
        <w:t xml:space="preserve">Fountain Court Chambers.  </w:t>
      </w:r>
      <w:proofErr w:type="gramStart"/>
      <w:r w:rsidRPr="00517FA6">
        <w:rPr>
          <w:i/>
        </w:rPr>
        <w:t>Carriage by Air</w:t>
      </w:r>
      <w:r w:rsidRPr="00517FA6">
        <w:t>.</w:t>
      </w:r>
      <w:proofErr w:type="gramEnd"/>
      <w:r w:rsidRPr="00517FA6">
        <w:t xml:space="preserve">  </w:t>
      </w:r>
      <w:proofErr w:type="gramStart"/>
      <w:r w:rsidRPr="00120F8F">
        <w:t>London</w:t>
      </w:r>
      <w:r w:rsidR="006412AC">
        <w:t> :</w:t>
      </w:r>
      <w:proofErr w:type="gramEnd"/>
      <w:r w:rsidRPr="00120F8F">
        <w:t xml:space="preserve"> </w:t>
      </w:r>
      <w:proofErr w:type="spellStart"/>
      <w:r w:rsidRPr="00120F8F">
        <w:t>Butterworths</w:t>
      </w:r>
      <w:proofErr w:type="spellEnd"/>
      <w:r w:rsidRPr="00120F8F">
        <w:t>, 2001.</w:t>
      </w:r>
    </w:p>
    <w:p w:rsidR="000522BC" w:rsidRDefault="000522BC" w:rsidP="00A12DCE">
      <w:pPr>
        <w:pStyle w:val="SCCNormalDoubleSpacing"/>
        <w:widowControl w:val="0"/>
        <w:spacing w:after="240" w:line="240" w:lineRule="auto"/>
        <w:ind w:left="547" w:hanging="547"/>
      </w:pPr>
      <w:r w:rsidRPr="00874126">
        <w:rPr>
          <w:lang w:val="fr-CA"/>
        </w:rPr>
        <w:t xml:space="preserve">Organisation de l’aviation civile internationale.  </w:t>
      </w:r>
      <w:proofErr w:type="gramStart"/>
      <w:r w:rsidRPr="00687166">
        <w:rPr>
          <w:i/>
        </w:rPr>
        <w:t>International Conference on Air Law</w:t>
      </w:r>
      <w:r>
        <w:t xml:space="preserve">, </w:t>
      </w:r>
      <w:r w:rsidR="00874126">
        <w:t>vol.</w:t>
      </w:r>
      <w:proofErr w:type="gramEnd"/>
      <w:r w:rsidR="006412AC">
        <w:t xml:space="preserve"> </w:t>
      </w:r>
      <w:proofErr w:type="gramStart"/>
      <w:r w:rsidRPr="00E30B02">
        <w:t>I</w:t>
      </w:r>
      <w:r>
        <w:t>,</w:t>
      </w:r>
      <w:r w:rsidRPr="00E30B02">
        <w:t xml:space="preserve"> </w:t>
      </w:r>
      <w:r w:rsidRPr="00687166">
        <w:rPr>
          <w:i/>
        </w:rPr>
        <w:t>Minutes</w:t>
      </w:r>
      <w:r>
        <w:t>, Doc. 9775</w:t>
      </w:r>
      <w:r w:rsidR="006412AC">
        <w:t>-</w:t>
      </w:r>
      <w:r>
        <w:t>DC/2.</w:t>
      </w:r>
      <w:proofErr w:type="gramEnd"/>
      <w:r>
        <w:t xml:space="preserve">  </w:t>
      </w:r>
      <w:proofErr w:type="gramStart"/>
      <w:r>
        <w:t>Montréal</w:t>
      </w:r>
      <w:r w:rsidR="006412AC">
        <w:t> :</w:t>
      </w:r>
      <w:proofErr w:type="gramEnd"/>
      <w:r>
        <w:t xml:space="preserve"> ICAO, 2001.</w:t>
      </w:r>
    </w:p>
    <w:p w:rsidR="00807C6A" w:rsidRDefault="00756359" w:rsidP="00A12DCE">
      <w:pPr>
        <w:pStyle w:val="SCCNormalDoubleSpacing"/>
        <w:widowControl w:val="0"/>
        <w:spacing w:after="240" w:line="240" w:lineRule="auto"/>
        <w:ind w:left="547" w:hanging="547"/>
      </w:pPr>
      <w:proofErr w:type="spellStart"/>
      <w:r w:rsidRPr="00756359">
        <w:t>Radošević</w:t>
      </w:r>
      <w:proofErr w:type="spellEnd"/>
      <w:r w:rsidR="00807C6A" w:rsidRPr="00756359">
        <w:t xml:space="preserve">, Sonja.  </w:t>
      </w:r>
      <w:proofErr w:type="gramStart"/>
      <w:r w:rsidR="006412AC">
        <w:t>« </w:t>
      </w:r>
      <w:r w:rsidRPr="00756359">
        <w:t xml:space="preserve">CJEU’s Decision in </w:t>
      </w:r>
      <w:r w:rsidRPr="00756359">
        <w:rPr>
          <w:i/>
        </w:rPr>
        <w:t>Nelson and Others</w:t>
      </w:r>
      <w:r w:rsidRPr="00756359">
        <w:t xml:space="preserve"> in Light of the Exclusivity of the Montreal Convention</w:t>
      </w:r>
      <w:r w:rsidR="006412AC">
        <w:t> »</w:t>
      </w:r>
      <w:r w:rsidR="00807C6A" w:rsidRPr="00756359">
        <w:t xml:space="preserve"> (2013), 38 </w:t>
      </w:r>
      <w:r w:rsidR="00807C6A" w:rsidRPr="00756359">
        <w:rPr>
          <w:i/>
        </w:rPr>
        <w:t>Air &amp; Space L.</w:t>
      </w:r>
      <w:r w:rsidR="00807C6A" w:rsidRPr="00756359">
        <w:t xml:space="preserve"> 95.</w:t>
      </w:r>
      <w:proofErr w:type="gramEnd"/>
    </w:p>
    <w:p w:rsidR="00807C6A" w:rsidRDefault="00807C6A" w:rsidP="00A12DCE">
      <w:pPr>
        <w:pStyle w:val="SCCNormalDoubleSpacing"/>
        <w:widowControl w:val="0"/>
        <w:spacing w:after="240" w:line="240" w:lineRule="auto"/>
        <w:ind w:left="547" w:hanging="547"/>
      </w:pPr>
      <w:proofErr w:type="spellStart"/>
      <w:r w:rsidRPr="00C07E71">
        <w:rPr>
          <w:i/>
        </w:rPr>
        <w:t>Shawcross</w:t>
      </w:r>
      <w:proofErr w:type="spellEnd"/>
      <w:r w:rsidRPr="00C07E71">
        <w:rPr>
          <w:i/>
        </w:rPr>
        <w:t xml:space="preserve"> and </w:t>
      </w:r>
      <w:proofErr w:type="gramStart"/>
      <w:r w:rsidRPr="00C07E71">
        <w:rPr>
          <w:i/>
        </w:rPr>
        <w:t>Beaumont</w:t>
      </w:r>
      <w:r w:rsidR="006412AC">
        <w:rPr>
          <w:i/>
        </w:rPr>
        <w:t> :</w:t>
      </w:r>
      <w:proofErr w:type="gramEnd"/>
      <w:r w:rsidRPr="00C07E71">
        <w:rPr>
          <w:i/>
        </w:rPr>
        <w:t xml:space="preserve"> Air Law</w:t>
      </w:r>
      <w:r w:rsidRPr="000B3F99">
        <w:t xml:space="preserve">, </w:t>
      </w:r>
      <w:r>
        <w:t>by J.</w:t>
      </w:r>
      <w:r w:rsidR="006412AC">
        <w:t xml:space="preserve"> </w:t>
      </w:r>
      <w:r w:rsidRPr="000B3F99">
        <w:t xml:space="preserve">David </w:t>
      </w:r>
      <w:proofErr w:type="spellStart"/>
      <w:r w:rsidRPr="000B3F99">
        <w:t>McClean</w:t>
      </w:r>
      <w:proofErr w:type="spellEnd"/>
      <w:r>
        <w:t xml:space="preserve"> et al.</w:t>
      </w:r>
      <w:r w:rsidRPr="000B3F99">
        <w:t>, ed</w:t>
      </w:r>
      <w:r>
        <w:t>s</w:t>
      </w:r>
      <w:r w:rsidRPr="000B3F99">
        <w:t>.</w:t>
      </w:r>
      <w:r>
        <w:t xml:space="preserve"> </w:t>
      </w:r>
      <w:r w:rsidRPr="000B3F99">
        <w:t xml:space="preserve"> </w:t>
      </w:r>
      <w:proofErr w:type="gramStart"/>
      <w:r>
        <w:t>London</w:t>
      </w:r>
      <w:r w:rsidR="006412AC">
        <w:t> :</w:t>
      </w:r>
      <w:proofErr w:type="gramEnd"/>
      <w:r w:rsidRPr="000B3F99">
        <w:t xml:space="preserve"> LexisNexis,</w:t>
      </w:r>
      <w:r>
        <w:t xml:space="preserve"> 1997</w:t>
      </w:r>
      <w:r w:rsidRPr="00C07E71">
        <w:t xml:space="preserve"> </w:t>
      </w:r>
      <w:r>
        <w:t>(</w:t>
      </w:r>
      <w:r w:rsidRPr="000B3F99">
        <w:t>loose</w:t>
      </w:r>
      <w:r w:rsidR="006412AC">
        <w:t>-</w:t>
      </w:r>
      <w:r w:rsidRPr="000B3F99">
        <w:t xml:space="preserve">leaf </w:t>
      </w:r>
      <w:r>
        <w:t>updated March 2008, issue 111</w:t>
      </w:r>
      <w:r w:rsidRPr="000B3F99">
        <w:t>)</w:t>
      </w:r>
      <w:r>
        <w:t>.</w:t>
      </w:r>
    </w:p>
    <w:p w:rsidR="00807C6A" w:rsidRDefault="00807C6A" w:rsidP="00A12DCE">
      <w:pPr>
        <w:pStyle w:val="SCCNormalDoubleSpacing"/>
        <w:widowControl w:val="0"/>
        <w:spacing w:after="240" w:line="240" w:lineRule="auto"/>
        <w:ind w:left="547" w:hanging="547"/>
      </w:pPr>
      <w:r w:rsidRPr="009653C6">
        <w:t>Sullivan, Ruth.</w:t>
      </w:r>
      <w:r>
        <w:t xml:space="preserve"> </w:t>
      </w:r>
      <w:r w:rsidRPr="009653C6">
        <w:t xml:space="preserve"> </w:t>
      </w:r>
      <w:r w:rsidRPr="00D87C9D">
        <w:rPr>
          <w:i/>
        </w:rPr>
        <w:t>Sullivan on the Construction of Statutes</w:t>
      </w:r>
      <w:r>
        <w:t xml:space="preserve">, 5th </w:t>
      </w:r>
      <w:proofErr w:type="gramStart"/>
      <w:r>
        <w:t>ed</w:t>
      </w:r>
      <w:proofErr w:type="gramEnd"/>
      <w:r>
        <w:t xml:space="preserve">. </w:t>
      </w:r>
      <w:r w:rsidRPr="009653C6">
        <w:t xml:space="preserve"> Markham, Ont</w:t>
      </w:r>
      <w:proofErr w:type="gramStart"/>
      <w:r w:rsidRPr="009653C6">
        <w:t>.</w:t>
      </w:r>
      <w:r w:rsidR="006412AC">
        <w:t> :</w:t>
      </w:r>
      <w:proofErr w:type="gramEnd"/>
      <w:r w:rsidRPr="009653C6">
        <w:t xml:space="preserve"> LexisNexis, 2008</w:t>
      </w:r>
      <w:r>
        <w:t>.</w:t>
      </w:r>
    </w:p>
    <w:p w:rsidR="00807C6A" w:rsidRDefault="00691748" w:rsidP="00A12DCE">
      <w:pPr>
        <w:pStyle w:val="SCCNormalDoubleSpacing"/>
        <w:widowControl w:val="0"/>
        <w:spacing w:after="240" w:line="240" w:lineRule="auto"/>
        <w:ind w:left="547" w:hanging="547"/>
      </w:pPr>
      <w:r w:rsidRPr="00691748">
        <w:lastRenderedPageBreak/>
        <w:t>T</w:t>
      </w:r>
      <w:r w:rsidR="00807C6A" w:rsidRPr="00691748">
        <w:t>ompkins, George</w:t>
      </w:r>
      <w:r w:rsidR="006412AC">
        <w:t xml:space="preserve"> </w:t>
      </w:r>
      <w:r w:rsidR="00807C6A" w:rsidRPr="00691748">
        <w:t xml:space="preserve">N., </w:t>
      </w:r>
      <w:r w:rsidR="00D029D9">
        <w:t>Jr.</w:t>
      </w:r>
      <w:r w:rsidR="00807C6A" w:rsidRPr="00691748">
        <w:t xml:space="preserve">  </w:t>
      </w:r>
      <w:proofErr w:type="gramStart"/>
      <w:r w:rsidR="006412AC">
        <w:t>« </w:t>
      </w:r>
      <w:r w:rsidR="00807C6A" w:rsidRPr="00691748">
        <w:t>The Continuing Development of Montreal Convention 1999 Jurisprudence</w:t>
      </w:r>
      <w:r w:rsidR="006412AC">
        <w:t> »</w:t>
      </w:r>
      <w:r w:rsidR="00807C6A" w:rsidRPr="00691748">
        <w:t xml:space="preserve"> (2010), 35 </w:t>
      </w:r>
      <w:r w:rsidR="00807C6A" w:rsidRPr="00691748">
        <w:rPr>
          <w:i/>
        </w:rPr>
        <w:t>Air &amp; Space L.</w:t>
      </w:r>
      <w:r w:rsidR="00807C6A" w:rsidRPr="00691748">
        <w:t xml:space="preserve"> 433.</w:t>
      </w:r>
      <w:proofErr w:type="gramEnd"/>
    </w:p>
    <w:p w:rsidR="00807C6A" w:rsidRDefault="00807C6A" w:rsidP="00A12DCE">
      <w:pPr>
        <w:pStyle w:val="SCCNormalDoubleSpacing"/>
        <w:widowControl w:val="0"/>
        <w:spacing w:after="240" w:line="240" w:lineRule="auto"/>
        <w:ind w:left="547" w:hanging="547"/>
      </w:pPr>
      <w:proofErr w:type="gramStart"/>
      <w:r w:rsidRPr="004F3633">
        <w:t xml:space="preserve">Weber, Ludwig, </w:t>
      </w:r>
      <w:r w:rsidR="00D029D9" w:rsidRPr="004F3633">
        <w:t>and</w:t>
      </w:r>
      <w:r w:rsidRPr="004F3633">
        <w:t xml:space="preserve"> </w:t>
      </w:r>
      <w:proofErr w:type="spellStart"/>
      <w:r w:rsidRPr="004F3633">
        <w:t>Arie</w:t>
      </w:r>
      <w:proofErr w:type="spellEnd"/>
      <w:r w:rsidRPr="004F3633">
        <w:t xml:space="preserve"> </w:t>
      </w:r>
      <w:proofErr w:type="spellStart"/>
      <w:r w:rsidRPr="004F3633">
        <w:t>Jakob</w:t>
      </w:r>
      <w:proofErr w:type="spellEnd"/>
      <w:r w:rsidRPr="004F3633">
        <w:t>.</w:t>
      </w:r>
      <w:proofErr w:type="gramEnd"/>
      <w:r w:rsidRPr="004F3633">
        <w:t xml:space="preserve">  </w:t>
      </w:r>
      <w:r w:rsidR="006412AC">
        <w:t>« </w:t>
      </w:r>
      <w:r w:rsidRPr="000B3F99">
        <w:t xml:space="preserve">The Modernization of the Warsaw </w:t>
      </w:r>
      <w:proofErr w:type="gramStart"/>
      <w:r w:rsidRPr="000B3F99">
        <w:t>System</w:t>
      </w:r>
      <w:r w:rsidR="006412AC">
        <w:t> :</w:t>
      </w:r>
      <w:proofErr w:type="gramEnd"/>
      <w:r>
        <w:t xml:space="preserve"> </w:t>
      </w:r>
      <w:r w:rsidRPr="000B3F99">
        <w:t>The Montreal Convention of 1999</w:t>
      </w:r>
      <w:r w:rsidR="006412AC">
        <w:t> »</w:t>
      </w:r>
      <w:r w:rsidRPr="000B3F99">
        <w:t xml:space="preserve"> (1999), 24 </w:t>
      </w:r>
      <w:r w:rsidRPr="003A0499">
        <w:rPr>
          <w:i/>
        </w:rPr>
        <w:t>Ann. Air &amp; S</w:t>
      </w:r>
      <w:r w:rsidR="00874126">
        <w:rPr>
          <w:i/>
        </w:rPr>
        <w:t>p.</w:t>
      </w:r>
      <w:r w:rsidR="006412AC">
        <w:rPr>
          <w:i/>
        </w:rPr>
        <w:t xml:space="preserve"> </w:t>
      </w:r>
      <w:r w:rsidRPr="003A0499">
        <w:rPr>
          <w:i/>
        </w:rPr>
        <w:t>L.</w:t>
      </w:r>
      <w:r w:rsidRPr="000B3F99">
        <w:t xml:space="preserve"> 333</w:t>
      </w:r>
      <w:r>
        <w:t>.</w:t>
      </w:r>
    </w:p>
    <w:p w:rsidR="00807C6A" w:rsidRDefault="00807C6A" w:rsidP="00A12DCE">
      <w:pPr>
        <w:pStyle w:val="SCCNormalDoubleSpacing"/>
        <w:widowControl w:val="0"/>
        <w:spacing w:after="720" w:line="240" w:lineRule="auto"/>
        <w:ind w:left="547" w:hanging="547"/>
      </w:pPr>
      <w:proofErr w:type="spellStart"/>
      <w:r w:rsidRPr="009653C6">
        <w:t>Wegter</w:t>
      </w:r>
      <w:proofErr w:type="spellEnd"/>
      <w:r w:rsidRPr="009653C6">
        <w:t xml:space="preserve">, </w:t>
      </w:r>
      <w:proofErr w:type="spellStart"/>
      <w:r>
        <w:t>Jorn</w:t>
      </w:r>
      <w:proofErr w:type="spellEnd"/>
      <w:r w:rsidR="006412AC">
        <w:t xml:space="preserve"> </w:t>
      </w:r>
      <w:r w:rsidRPr="009653C6">
        <w:t xml:space="preserve">J. </w:t>
      </w:r>
      <w:r>
        <w:t xml:space="preserve"> </w:t>
      </w:r>
      <w:r w:rsidR="006412AC">
        <w:t>« </w:t>
      </w:r>
      <w:r w:rsidRPr="009653C6">
        <w:t>The ECJ Decision of 10 January 2006 on the Validity of Regulation 261/</w:t>
      </w:r>
      <w:proofErr w:type="gramStart"/>
      <w:r w:rsidRPr="009653C6">
        <w:t>2004</w:t>
      </w:r>
      <w:r w:rsidR="006412AC">
        <w:t> :</w:t>
      </w:r>
      <w:proofErr w:type="gramEnd"/>
      <w:r>
        <w:t xml:space="preserve"> </w:t>
      </w:r>
      <w:r w:rsidRPr="009653C6">
        <w:t>Ignoring the Exclusivity of the Montreal Convention</w:t>
      </w:r>
      <w:r w:rsidR="006412AC">
        <w:t> »</w:t>
      </w:r>
      <w:r>
        <w:t xml:space="preserve"> </w:t>
      </w:r>
      <w:r w:rsidRPr="009653C6">
        <w:t xml:space="preserve">(2006), 31 </w:t>
      </w:r>
      <w:r w:rsidRPr="003A0499">
        <w:rPr>
          <w:i/>
        </w:rPr>
        <w:t>Air &amp; Space L.</w:t>
      </w:r>
      <w:r w:rsidRPr="009653C6">
        <w:t xml:space="preserve"> 133</w:t>
      </w:r>
      <w:r>
        <w:t>.</w:t>
      </w:r>
    </w:p>
    <w:p w:rsidR="004D7D95" w:rsidRPr="004D7D95" w:rsidRDefault="00BB2B36" w:rsidP="00A12DCE">
      <w:pPr>
        <w:pStyle w:val="SCCNormalDoubleSpacing"/>
        <w:widowControl w:val="0"/>
        <w:spacing w:before="480" w:after="480"/>
        <w:rPr>
          <w:lang w:val="fr-CA"/>
        </w:rPr>
      </w:pPr>
      <w:r w:rsidRPr="00874126">
        <w:rPr>
          <w:lang w:val="en-US"/>
        </w:rPr>
        <w:tab/>
      </w:r>
      <w:r w:rsidR="004D7D95" w:rsidRPr="004D7D95">
        <w:rPr>
          <w:lang w:val="fr-CA"/>
        </w:rPr>
        <w:t>POURVOI</w:t>
      </w:r>
      <w:r w:rsidR="00F27FFD">
        <w:rPr>
          <w:lang w:val="fr-CA"/>
        </w:rPr>
        <w:t>S</w:t>
      </w:r>
      <w:r w:rsidR="004D7D95" w:rsidRPr="004D7D95">
        <w:rPr>
          <w:lang w:val="fr-CA"/>
        </w:rPr>
        <w:t xml:space="preserve"> contre un arrêt de la </w:t>
      </w:r>
      <w:r w:rsidR="004D7D95" w:rsidRPr="00874126">
        <w:rPr>
          <w:lang w:val="fr-CA"/>
        </w:rPr>
        <w:t>Cour d</w:t>
      </w:r>
      <w:r w:rsidR="009D2793" w:rsidRPr="00874126">
        <w:rPr>
          <w:lang w:val="fr-CA"/>
        </w:rPr>
        <w:t>’</w:t>
      </w:r>
      <w:r w:rsidR="004D7D95" w:rsidRPr="00874126">
        <w:rPr>
          <w:lang w:val="fr-CA"/>
        </w:rPr>
        <w:t>appel fédérale</w:t>
      </w:r>
      <w:r w:rsidRPr="00874126">
        <w:rPr>
          <w:lang w:val="fr-CA"/>
        </w:rPr>
        <w:t xml:space="preserve"> (les juges Pelletier, Gauthier et Trudel), 2012 CAF 246, [2013] 2 R.C.F. 155, 435 N.R. 131, 355 D.L.R. (4th) 62, [2012] A.C.F. n</w:t>
      </w:r>
      <w:r w:rsidRPr="00874126">
        <w:rPr>
          <w:vertAlign w:val="superscript"/>
          <w:lang w:val="fr-CA"/>
        </w:rPr>
        <w:t>o</w:t>
      </w:r>
      <w:r w:rsidR="006412AC">
        <w:rPr>
          <w:lang w:val="fr-CA"/>
        </w:rPr>
        <w:t xml:space="preserve"> </w:t>
      </w:r>
      <w:r w:rsidRPr="00874126">
        <w:rPr>
          <w:lang w:val="fr-CA"/>
        </w:rPr>
        <w:t xml:space="preserve">1201 (QL), 2012 </w:t>
      </w:r>
      <w:proofErr w:type="spellStart"/>
      <w:r w:rsidRPr="00874126">
        <w:rPr>
          <w:lang w:val="fr-CA"/>
        </w:rPr>
        <w:t>CarswellNat</w:t>
      </w:r>
      <w:proofErr w:type="spellEnd"/>
      <w:r w:rsidRPr="00874126">
        <w:rPr>
          <w:lang w:val="fr-CA"/>
        </w:rPr>
        <w:t xml:space="preserve"> 3579, qui a infirmé en partie une décision de la juge Bédard, 2011 CF 876, [2013] 2 R.C.F. 83, 394 F.T.R. 160, 239 C.R.R. (2d) 301, [2011] A.C.F. n</w:t>
      </w:r>
      <w:r w:rsidRPr="00874126">
        <w:rPr>
          <w:vertAlign w:val="superscript"/>
          <w:lang w:val="fr-CA"/>
        </w:rPr>
        <w:t>o</w:t>
      </w:r>
      <w:r w:rsidRPr="00874126">
        <w:rPr>
          <w:lang w:val="fr-CA"/>
        </w:rPr>
        <w:t xml:space="preserve"> 1030 (QL), 2011 </w:t>
      </w:r>
      <w:proofErr w:type="spellStart"/>
      <w:r w:rsidRPr="00874126">
        <w:rPr>
          <w:lang w:val="fr-CA"/>
        </w:rPr>
        <w:t>CarswellNat</w:t>
      </w:r>
      <w:proofErr w:type="spellEnd"/>
      <w:r w:rsidRPr="00874126">
        <w:rPr>
          <w:lang w:val="fr-CA"/>
        </w:rPr>
        <w:t xml:space="preserve"> 6096.  Pourvoi</w:t>
      </w:r>
      <w:r w:rsidR="00F27FFD" w:rsidRPr="00874126">
        <w:rPr>
          <w:lang w:val="fr-CA"/>
        </w:rPr>
        <w:t>s</w:t>
      </w:r>
      <w:r w:rsidRPr="00874126">
        <w:rPr>
          <w:lang w:val="fr-CA"/>
        </w:rPr>
        <w:t xml:space="preserve"> </w:t>
      </w:r>
      <w:r w:rsidR="00D6512C">
        <w:rPr>
          <w:lang w:val="fr-CA"/>
        </w:rPr>
        <w:t>rejetés</w:t>
      </w:r>
      <w:r w:rsidR="00813448">
        <w:rPr>
          <w:lang w:val="fr-CA"/>
        </w:rPr>
        <w:t>, l</w:t>
      </w:r>
      <w:r w:rsidR="007E7BA2">
        <w:rPr>
          <w:lang w:val="fr-CA"/>
        </w:rPr>
        <w:t>es</w:t>
      </w:r>
      <w:r w:rsidR="00813448">
        <w:rPr>
          <w:lang w:val="fr-CA"/>
        </w:rPr>
        <w:t xml:space="preserve"> juge</w:t>
      </w:r>
      <w:r w:rsidR="007E7BA2">
        <w:rPr>
          <w:lang w:val="fr-CA"/>
        </w:rPr>
        <w:t>s</w:t>
      </w:r>
      <w:r w:rsidR="00813448">
        <w:rPr>
          <w:lang w:val="fr-CA"/>
        </w:rPr>
        <w:t xml:space="preserve"> Abella </w:t>
      </w:r>
      <w:r w:rsidR="007E7BA2">
        <w:rPr>
          <w:lang w:val="fr-CA"/>
        </w:rPr>
        <w:t>et Wagner sont</w:t>
      </w:r>
      <w:r w:rsidR="00813448">
        <w:rPr>
          <w:lang w:val="fr-CA"/>
        </w:rPr>
        <w:t xml:space="preserve"> dissident</w:t>
      </w:r>
      <w:r w:rsidR="007E7BA2">
        <w:rPr>
          <w:lang w:val="fr-CA"/>
        </w:rPr>
        <w:t>s</w:t>
      </w:r>
      <w:r w:rsidRPr="00874126">
        <w:rPr>
          <w:lang w:val="fr-CA"/>
        </w:rPr>
        <w:t>.</w:t>
      </w:r>
    </w:p>
    <w:p w:rsidR="00AB3083" w:rsidRPr="00874126" w:rsidRDefault="001223F1" w:rsidP="00A12DCE">
      <w:pPr>
        <w:pStyle w:val="SCCNormalDoubleSpacing"/>
        <w:widowControl w:val="0"/>
        <w:spacing w:before="480" w:after="480"/>
        <w:rPr>
          <w:lang w:val="fr-CA"/>
        </w:rPr>
      </w:pPr>
      <w:r w:rsidRPr="00874126">
        <w:rPr>
          <w:rStyle w:val="SCCCounselNameChar"/>
          <w:lang w:val="fr-CA"/>
        </w:rPr>
        <w:tab/>
      </w:r>
      <w:proofErr w:type="spellStart"/>
      <w:r w:rsidR="009D2793" w:rsidRPr="00874126">
        <w:rPr>
          <w:rStyle w:val="SCCCounselNameChar"/>
          <w:lang w:val="fr-CA"/>
        </w:rPr>
        <w:t>Érik</w:t>
      </w:r>
      <w:proofErr w:type="spellEnd"/>
      <w:r w:rsidR="009D2793" w:rsidRPr="00874126">
        <w:rPr>
          <w:rStyle w:val="SCCCounselNameChar"/>
          <w:lang w:val="fr-CA"/>
        </w:rPr>
        <w:t xml:space="preserve"> Labelle </w:t>
      </w:r>
      <w:proofErr w:type="spellStart"/>
      <w:r w:rsidR="009D2793" w:rsidRPr="00874126">
        <w:rPr>
          <w:rStyle w:val="SCCCounselNameChar"/>
          <w:lang w:val="fr-CA"/>
        </w:rPr>
        <w:t>Eastaugh</w:t>
      </w:r>
      <w:proofErr w:type="spellEnd"/>
      <w:r w:rsidR="009D2793" w:rsidRPr="00874126">
        <w:rPr>
          <w:rStyle w:val="SCCCounselPartyRoleChar"/>
          <w:lang w:val="fr-CA"/>
        </w:rPr>
        <w:t xml:space="preserve">, </w:t>
      </w:r>
      <w:r w:rsidR="009D2793" w:rsidRPr="00874126">
        <w:rPr>
          <w:rStyle w:val="SCCCounselNameChar"/>
          <w:lang w:val="fr-CA"/>
        </w:rPr>
        <w:t>Ronald</w:t>
      </w:r>
      <w:r w:rsidR="006412AC">
        <w:rPr>
          <w:rStyle w:val="SCCCounselNameChar"/>
          <w:lang w:val="fr-CA"/>
        </w:rPr>
        <w:t xml:space="preserve"> </w:t>
      </w:r>
      <w:r w:rsidR="009D2793" w:rsidRPr="00874126">
        <w:rPr>
          <w:rStyle w:val="SCCCounselNameChar"/>
          <w:lang w:val="fr-CA"/>
        </w:rPr>
        <w:t>F. Caza</w:t>
      </w:r>
      <w:r w:rsidR="009D2793" w:rsidRPr="00874126">
        <w:rPr>
          <w:rStyle w:val="SCCCounselSeparatorChar"/>
          <w:lang w:val="fr-CA"/>
        </w:rPr>
        <w:t xml:space="preserve"> et </w:t>
      </w:r>
      <w:r w:rsidR="009D2793" w:rsidRPr="00874126">
        <w:rPr>
          <w:rStyle w:val="SCCCounselNameChar"/>
          <w:lang w:val="fr-CA"/>
        </w:rPr>
        <w:t xml:space="preserve">Alyssa </w:t>
      </w:r>
      <w:proofErr w:type="spellStart"/>
      <w:r w:rsidR="009D2793" w:rsidRPr="00874126">
        <w:rPr>
          <w:rStyle w:val="SCCCounselNameChar"/>
          <w:lang w:val="fr-CA"/>
        </w:rPr>
        <w:t>Tomkins</w:t>
      </w:r>
      <w:proofErr w:type="spellEnd"/>
      <w:r w:rsidRPr="00874126">
        <w:rPr>
          <w:rStyle w:val="SCCCounselPartyRoleChar"/>
          <w:lang w:val="fr-CA"/>
        </w:rPr>
        <w:t>, pour l</w:t>
      </w:r>
      <w:r w:rsidR="009D2793" w:rsidRPr="00874126">
        <w:rPr>
          <w:rStyle w:val="SCCCounselPartyRoleChar"/>
          <w:lang w:val="fr-CA"/>
        </w:rPr>
        <w:t xml:space="preserve">es </w:t>
      </w:r>
      <w:r w:rsidRPr="00874126">
        <w:rPr>
          <w:rStyle w:val="SCCCounselPartyRoleChar"/>
          <w:lang w:val="fr-CA"/>
        </w:rPr>
        <w:t>appelant</w:t>
      </w:r>
      <w:r w:rsidR="009D2793" w:rsidRPr="00874126">
        <w:rPr>
          <w:rStyle w:val="SCCCounselPartyRoleChar"/>
          <w:lang w:val="fr-CA"/>
        </w:rPr>
        <w:t>s Michel et Lynda Thibodeau</w:t>
      </w:r>
      <w:r w:rsidRPr="00874126">
        <w:rPr>
          <w:rStyle w:val="SCCCounselPartyRoleChar"/>
          <w:lang w:val="fr-CA"/>
        </w:rPr>
        <w:t>.</w:t>
      </w:r>
    </w:p>
    <w:p w:rsidR="00AB3083" w:rsidRPr="00874126" w:rsidRDefault="001223F1" w:rsidP="00A12DCE">
      <w:pPr>
        <w:pStyle w:val="SCCNormalDoubleSpacing"/>
        <w:widowControl w:val="0"/>
        <w:spacing w:before="480" w:after="480"/>
        <w:rPr>
          <w:lang w:val="fr-CA"/>
        </w:rPr>
      </w:pPr>
      <w:r w:rsidRPr="00874126">
        <w:rPr>
          <w:rStyle w:val="SCCCounselNameChar"/>
          <w:lang w:val="fr-CA"/>
        </w:rPr>
        <w:tab/>
      </w:r>
      <w:r w:rsidR="009D2793" w:rsidRPr="00874126">
        <w:rPr>
          <w:rStyle w:val="SCCCounselNameChar"/>
          <w:lang w:val="fr-CA"/>
        </w:rPr>
        <w:t>Pascale Giguère</w:t>
      </w:r>
      <w:r w:rsidR="009D2793" w:rsidRPr="00874126">
        <w:rPr>
          <w:rStyle w:val="SCCCounselSeparatorChar"/>
          <w:lang w:val="fr-CA"/>
        </w:rPr>
        <w:t xml:space="preserve">, </w:t>
      </w:r>
      <w:r w:rsidR="009D2793" w:rsidRPr="00874126">
        <w:rPr>
          <w:rStyle w:val="SCCCounselNameChar"/>
          <w:lang w:val="fr-CA"/>
        </w:rPr>
        <w:t xml:space="preserve">Kevin </w:t>
      </w:r>
      <w:proofErr w:type="spellStart"/>
      <w:r w:rsidR="009D2793" w:rsidRPr="00874126">
        <w:rPr>
          <w:rStyle w:val="SCCCounselNameChar"/>
          <w:lang w:val="fr-CA"/>
        </w:rPr>
        <w:t>Shaar</w:t>
      </w:r>
      <w:proofErr w:type="spellEnd"/>
      <w:r w:rsidR="009D2793" w:rsidRPr="00874126">
        <w:rPr>
          <w:rStyle w:val="SCCCounselPartyRoleChar"/>
          <w:lang w:val="fr-CA"/>
        </w:rPr>
        <w:t xml:space="preserve"> et </w:t>
      </w:r>
      <w:proofErr w:type="spellStart"/>
      <w:r w:rsidR="009D2793" w:rsidRPr="00874126">
        <w:rPr>
          <w:rStyle w:val="SCCCounselPartyRoleChar"/>
          <w:i/>
          <w:lang w:val="fr-CA"/>
        </w:rPr>
        <w:t>Mathew</w:t>
      </w:r>
      <w:proofErr w:type="spellEnd"/>
      <w:r w:rsidR="009D2793" w:rsidRPr="00874126">
        <w:rPr>
          <w:rStyle w:val="SCCCounselPartyRoleChar"/>
          <w:i/>
          <w:lang w:val="fr-CA"/>
        </w:rPr>
        <w:t xml:space="preserve"> </w:t>
      </w:r>
      <w:proofErr w:type="spellStart"/>
      <w:r w:rsidR="009D2793" w:rsidRPr="00874126">
        <w:rPr>
          <w:rStyle w:val="SCCCounselPartyRoleChar"/>
          <w:i/>
          <w:lang w:val="fr-CA"/>
        </w:rPr>
        <w:t>Croitoru</w:t>
      </w:r>
      <w:proofErr w:type="spellEnd"/>
      <w:r w:rsidRPr="00874126">
        <w:rPr>
          <w:rStyle w:val="SCCCounselPartyRoleChar"/>
          <w:lang w:val="fr-CA"/>
        </w:rPr>
        <w:t>, pour l</w:t>
      </w:r>
      <w:r w:rsidR="009D2793" w:rsidRPr="00874126">
        <w:rPr>
          <w:rStyle w:val="SCCCounselPartyRoleChar"/>
          <w:lang w:val="fr-CA"/>
        </w:rPr>
        <w:t xml:space="preserve">’appelant le </w:t>
      </w:r>
      <w:r w:rsidR="009813F5">
        <w:rPr>
          <w:lang w:val="fr-CA"/>
        </w:rPr>
        <w:t>c</w:t>
      </w:r>
      <w:r w:rsidR="009D2793" w:rsidRPr="00874126">
        <w:rPr>
          <w:lang w:val="fr-CA"/>
        </w:rPr>
        <w:t>ommissaire aux langues officielles du Canada</w:t>
      </w:r>
      <w:r w:rsidRPr="00874126">
        <w:rPr>
          <w:rStyle w:val="SCCCounselPartyRoleChar"/>
          <w:lang w:val="fr-CA"/>
        </w:rPr>
        <w:t>.</w:t>
      </w:r>
    </w:p>
    <w:p w:rsidR="00AB3083" w:rsidRPr="00874126" w:rsidRDefault="001223F1" w:rsidP="00A12DCE">
      <w:pPr>
        <w:pStyle w:val="SCCNormalDoubleSpacing"/>
        <w:widowControl w:val="0"/>
        <w:spacing w:before="480" w:after="480"/>
        <w:rPr>
          <w:lang w:val="fr-CA"/>
        </w:rPr>
      </w:pPr>
      <w:r w:rsidRPr="00874126">
        <w:rPr>
          <w:rStyle w:val="SCCCounselNameChar"/>
          <w:lang w:val="fr-CA"/>
        </w:rPr>
        <w:tab/>
        <w:t>Louise</w:t>
      </w:r>
      <w:r w:rsidR="006412AC">
        <w:rPr>
          <w:rStyle w:val="SCCCounselNameChar"/>
          <w:lang w:val="fr-CA"/>
        </w:rPr>
        <w:t>-</w:t>
      </w:r>
      <w:r w:rsidRPr="00874126">
        <w:rPr>
          <w:rStyle w:val="SCCCounselNameChar"/>
          <w:lang w:val="fr-CA"/>
        </w:rPr>
        <w:t xml:space="preserve">Hélène </w:t>
      </w:r>
      <w:proofErr w:type="spellStart"/>
      <w:r w:rsidRPr="00874126">
        <w:rPr>
          <w:rStyle w:val="SCCCounselNameChar"/>
          <w:lang w:val="fr-CA"/>
        </w:rPr>
        <w:t>Sénécal</w:t>
      </w:r>
      <w:proofErr w:type="spellEnd"/>
      <w:r w:rsidRPr="00874126">
        <w:rPr>
          <w:rStyle w:val="SCCCounselSeparatorChar"/>
          <w:lang w:val="fr-CA"/>
        </w:rPr>
        <w:t xml:space="preserve">, </w:t>
      </w:r>
      <w:r w:rsidRPr="00874126">
        <w:rPr>
          <w:rStyle w:val="SCCCounselNameChar"/>
          <w:lang w:val="fr-CA"/>
        </w:rPr>
        <w:t>Pierre Bienvenu</w:t>
      </w:r>
      <w:r w:rsidRPr="00874126">
        <w:rPr>
          <w:rStyle w:val="SCCCounselSeparatorChar"/>
          <w:lang w:val="fr-CA"/>
        </w:rPr>
        <w:t xml:space="preserve"> et </w:t>
      </w:r>
      <w:r w:rsidRPr="00874126">
        <w:rPr>
          <w:rStyle w:val="SCCCounselNameChar"/>
          <w:lang w:val="fr-CA"/>
        </w:rPr>
        <w:t>Andres Garin</w:t>
      </w:r>
      <w:r w:rsidRPr="00874126">
        <w:rPr>
          <w:rStyle w:val="SCCCounselPartyRoleChar"/>
          <w:lang w:val="fr-CA"/>
        </w:rPr>
        <w:t>, pour l</w:t>
      </w:r>
      <w:r w:rsidR="009D2793" w:rsidRPr="00874126">
        <w:rPr>
          <w:rStyle w:val="SCCCounselPartyRoleChar"/>
          <w:lang w:val="fr-CA"/>
        </w:rPr>
        <w:t>’</w:t>
      </w:r>
      <w:r w:rsidRPr="00874126">
        <w:rPr>
          <w:rStyle w:val="SCCCounselPartyRoleChar"/>
          <w:lang w:val="fr-CA"/>
        </w:rPr>
        <w:t>intimée.</w:t>
      </w:r>
    </w:p>
    <w:p w:rsidR="00B31508" w:rsidRDefault="00356AD1" w:rsidP="00A12DCE">
      <w:pPr>
        <w:pStyle w:val="SCCNormalDoubleSpacing"/>
        <w:widowControl w:val="0"/>
        <w:spacing w:before="480" w:after="480"/>
        <w:rPr>
          <w:lang w:val="fr-CA"/>
        </w:rPr>
      </w:pPr>
      <w:r>
        <w:rPr>
          <w:lang w:val="fr-CA"/>
        </w:rPr>
        <w:tab/>
        <w:t xml:space="preserve">Version française du jugement de la juge en chef </w:t>
      </w:r>
      <w:proofErr w:type="spellStart"/>
      <w:r>
        <w:rPr>
          <w:lang w:val="fr-CA"/>
        </w:rPr>
        <w:t>McLachlin</w:t>
      </w:r>
      <w:proofErr w:type="spellEnd"/>
      <w:r>
        <w:rPr>
          <w:lang w:val="fr-CA"/>
        </w:rPr>
        <w:t xml:space="preserve"> et des juges </w:t>
      </w:r>
      <w:proofErr w:type="spellStart"/>
      <w:r>
        <w:rPr>
          <w:lang w:val="fr-CA"/>
        </w:rPr>
        <w:t>LeBel</w:t>
      </w:r>
      <w:proofErr w:type="spellEnd"/>
      <w:r>
        <w:rPr>
          <w:lang w:val="fr-CA"/>
        </w:rPr>
        <w:t xml:space="preserve">, </w:t>
      </w:r>
      <w:proofErr w:type="spellStart"/>
      <w:r>
        <w:rPr>
          <w:lang w:val="fr-CA"/>
        </w:rPr>
        <w:t>Rothstein</w:t>
      </w:r>
      <w:proofErr w:type="spellEnd"/>
      <w:r>
        <w:rPr>
          <w:lang w:val="fr-CA"/>
        </w:rPr>
        <w:t xml:space="preserve">, Cromwell et </w:t>
      </w:r>
      <w:proofErr w:type="spellStart"/>
      <w:r>
        <w:rPr>
          <w:lang w:val="fr-CA"/>
        </w:rPr>
        <w:t>Karakatsanis</w:t>
      </w:r>
      <w:proofErr w:type="spellEnd"/>
      <w:r>
        <w:rPr>
          <w:lang w:val="fr-CA"/>
        </w:rPr>
        <w:t xml:space="preserve"> rendu par</w:t>
      </w:r>
    </w:p>
    <w:p w:rsidR="00367456" w:rsidRPr="001A1E08" w:rsidRDefault="00367456" w:rsidP="00A12DCE">
      <w:pPr>
        <w:pStyle w:val="JudgeJuge"/>
        <w:widowControl w:val="0"/>
        <w:spacing w:before="240"/>
        <w:rPr>
          <w:lang w:val="fr-CA"/>
        </w:rPr>
      </w:pPr>
      <w:r w:rsidRPr="001A1E08">
        <w:rPr>
          <w:lang w:val="fr-CA"/>
        </w:rPr>
        <w:tab/>
        <w:t xml:space="preserve">Le juge Cromwell — </w:t>
      </w:r>
    </w:p>
    <w:p w:rsidR="00367456" w:rsidRPr="001A1E08" w:rsidRDefault="00367456" w:rsidP="00A12DCE">
      <w:pPr>
        <w:pStyle w:val="Title1LevelTitre1Niveau-AltL"/>
        <w:widowControl w:val="0"/>
        <w:tabs>
          <w:tab w:val="num" w:pos="432"/>
        </w:tabs>
        <w:spacing w:before="0"/>
        <w:ind w:left="576" w:hanging="576"/>
        <w:rPr>
          <w:rFonts w:cs="Times New Roman"/>
          <w:lang w:val="fr-CA"/>
        </w:rPr>
      </w:pPr>
      <w:r w:rsidRPr="001A1E08">
        <w:rPr>
          <w:rFonts w:cs="Times New Roman"/>
          <w:lang w:val="fr-CA"/>
        </w:rPr>
        <w:lastRenderedPageBreak/>
        <w:t>Introduction</w:t>
      </w:r>
    </w:p>
    <w:p w:rsidR="00367456" w:rsidRPr="001A1E08" w:rsidRDefault="00367456" w:rsidP="00A12DCE">
      <w:pPr>
        <w:pStyle w:val="ParaNoNdepar-AltN"/>
        <w:widowControl w:val="0"/>
        <w:tabs>
          <w:tab w:val="num" w:pos="1242"/>
        </w:tabs>
        <w:rPr>
          <w:rFonts w:cs="Times New Roman"/>
          <w:lang w:val="fr-CA"/>
        </w:rPr>
      </w:pPr>
      <w:r w:rsidRPr="001A1E08">
        <w:rPr>
          <w:rFonts w:cs="Times New Roman"/>
          <w:lang w:val="fr-CA"/>
        </w:rPr>
        <w:t xml:space="preserve">Air Canada n’a pas fourni des services en français sur certains vols internationaux comme elle devait le faire aux termes de la </w:t>
      </w:r>
      <w:r w:rsidRPr="001A1E08">
        <w:rPr>
          <w:rFonts w:cs="Times New Roman"/>
          <w:i/>
          <w:lang w:val="fr-CA"/>
        </w:rPr>
        <w:t>Loi sur les langues officielles</w:t>
      </w:r>
      <w:r w:rsidRPr="001A1E08">
        <w:rPr>
          <w:rFonts w:cs="Times New Roman"/>
          <w:lang w:val="fr-CA"/>
        </w:rPr>
        <w:t>, L.R.C. 1985, ch.</w:t>
      </w:r>
      <w:r w:rsidR="006412AC">
        <w:rPr>
          <w:rFonts w:cs="Times New Roman"/>
          <w:lang w:val="fr-CA"/>
        </w:rPr>
        <w:t xml:space="preserve"> </w:t>
      </w:r>
      <w:r w:rsidRPr="001A1E08">
        <w:rPr>
          <w:rFonts w:cs="Times New Roman"/>
          <w:lang w:val="fr-CA"/>
        </w:rPr>
        <w:t>31 (4</w:t>
      </w:r>
      <w:r w:rsidRPr="001A1E08">
        <w:rPr>
          <w:rFonts w:cs="Times New Roman"/>
          <w:vertAlign w:val="superscript"/>
          <w:lang w:val="fr-CA"/>
        </w:rPr>
        <w:t>e</w:t>
      </w:r>
      <w:r w:rsidR="006412AC">
        <w:rPr>
          <w:rFonts w:cs="Times New Roman"/>
          <w:lang w:val="fr-CA"/>
        </w:rPr>
        <w:t xml:space="preserve"> </w:t>
      </w:r>
      <w:r w:rsidRPr="001A1E08">
        <w:rPr>
          <w:rFonts w:cs="Times New Roman"/>
          <w:lang w:val="fr-CA"/>
        </w:rPr>
        <w:t xml:space="preserve">suppl.) (la </w:t>
      </w:r>
      <w:r w:rsidR="006412AC">
        <w:rPr>
          <w:rFonts w:cs="Times New Roman"/>
          <w:lang w:val="fr-CA"/>
        </w:rPr>
        <w:t>« </w:t>
      </w:r>
      <w:r w:rsidRPr="001A1E08">
        <w:rPr>
          <w:rFonts w:cs="Times New Roman"/>
          <w:i/>
          <w:lang w:val="fr-CA"/>
        </w:rPr>
        <w:t>LLO</w:t>
      </w:r>
      <w:r w:rsidR="006412AC">
        <w:rPr>
          <w:rFonts w:cs="Times New Roman"/>
          <w:lang w:val="fr-CA"/>
        </w:rPr>
        <w:t> </w:t>
      </w:r>
      <w:r w:rsidR="006412AC" w:rsidRPr="006412AC">
        <w:rPr>
          <w:rFonts w:cs="Times New Roman"/>
          <w:lang w:val="fr-CA"/>
        </w:rPr>
        <w:t>»</w:t>
      </w:r>
      <w:r w:rsidRPr="001A1E08">
        <w:rPr>
          <w:rFonts w:cs="Times New Roman"/>
          <w:lang w:val="fr-CA"/>
        </w:rPr>
        <w:t>).  Deux passagers, les appelants Michel et Lynda Thibodeau, ont réclamé devant la Cour fédérale des dommages</w:t>
      </w:r>
      <w:r w:rsidR="006412AC">
        <w:rPr>
          <w:rFonts w:cs="Times New Roman"/>
          <w:lang w:val="fr-CA"/>
        </w:rPr>
        <w:t>-</w:t>
      </w:r>
      <w:r w:rsidRPr="001A1E08">
        <w:rPr>
          <w:rFonts w:cs="Times New Roman"/>
          <w:lang w:val="fr-CA"/>
        </w:rPr>
        <w:t xml:space="preserve">intérêts ainsi que des ordonnances dites </w:t>
      </w:r>
      <w:r w:rsidR="006412AC">
        <w:rPr>
          <w:rFonts w:cs="Times New Roman"/>
          <w:lang w:val="fr-CA"/>
        </w:rPr>
        <w:t>« </w:t>
      </w:r>
      <w:r w:rsidRPr="001A1E08">
        <w:rPr>
          <w:rFonts w:cs="Times New Roman"/>
          <w:lang w:val="fr-CA"/>
        </w:rPr>
        <w:t>structurelles</w:t>
      </w:r>
      <w:r w:rsidR="006412AC">
        <w:rPr>
          <w:rFonts w:cs="Times New Roman"/>
          <w:lang w:val="fr-CA"/>
        </w:rPr>
        <w:t> »</w:t>
      </w:r>
      <w:r w:rsidRPr="001A1E08">
        <w:rPr>
          <w:rFonts w:cs="Times New Roman"/>
          <w:lang w:val="fr-CA"/>
        </w:rPr>
        <w:t xml:space="preserve"> ou </w:t>
      </w:r>
      <w:r w:rsidR="006412AC">
        <w:rPr>
          <w:rFonts w:cs="Times New Roman"/>
          <w:lang w:val="fr-CA"/>
        </w:rPr>
        <w:t>« </w:t>
      </w:r>
      <w:r w:rsidRPr="001A1E08">
        <w:rPr>
          <w:rFonts w:cs="Times New Roman"/>
          <w:lang w:val="fr-CA"/>
        </w:rPr>
        <w:t>institutionnelles</w:t>
      </w:r>
      <w:r w:rsidR="006412AC">
        <w:rPr>
          <w:rFonts w:cs="Times New Roman"/>
          <w:lang w:val="fr-CA"/>
        </w:rPr>
        <w:t> »</w:t>
      </w:r>
      <w:r w:rsidRPr="001A1E08">
        <w:rPr>
          <w:rFonts w:cs="Times New Roman"/>
          <w:lang w:val="fr-CA"/>
        </w:rPr>
        <w:t xml:space="preserve"> obligeant Air</w:t>
      </w:r>
      <w:r w:rsidR="006412AC">
        <w:rPr>
          <w:rFonts w:cs="Times New Roman"/>
          <w:lang w:val="fr-CA"/>
        </w:rPr>
        <w:t xml:space="preserve"> </w:t>
      </w:r>
      <w:r w:rsidRPr="001A1E08">
        <w:rPr>
          <w:rFonts w:cs="Times New Roman"/>
          <w:lang w:val="fr-CA"/>
        </w:rPr>
        <w:t xml:space="preserve">Canada à prendre des mesures en vue d’assurer pour l’avenir le respect de la </w:t>
      </w:r>
      <w:r w:rsidRPr="001A1E08">
        <w:rPr>
          <w:rFonts w:cs="Times New Roman"/>
          <w:i/>
          <w:lang w:val="fr-CA"/>
        </w:rPr>
        <w:t>LLO</w:t>
      </w:r>
      <w:r w:rsidRPr="001A1E08">
        <w:rPr>
          <w:rFonts w:cs="Times New Roman"/>
          <w:lang w:val="fr-CA"/>
        </w:rPr>
        <w:t>.  Le transporteur aérien a contesté les demandes de dommages</w:t>
      </w:r>
      <w:r w:rsidR="006412AC">
        <w:rPr>
          <w:rFonts w:cs="Times New Roman"/>
          <w:lang w:val="fr-CA"/>
        </w:rPr>
        <w:t>-</w:t>
      </w:r>
      <w:r w:rsidRPr="001A1E08">
        <w:rPr>
          <w:rFonts w:cs="Times New Roman"/>
          <w:lang w:val="fr-CA"/>
        </w:rPr>
        <w:t xml:space="preserve">intérêts en invoquant la limite de responsabilité pour les dommages prescrite par la </w:t>
      </w:r>
      <w:r w:rsidRPr="001A1E08">
        <w:rPr>
          <w:rFonts w:cs="Times New Roman"/>
          <w:i/>
          <w:lang w:val="fr-CA"/>
        </w:rPr>
        <w:t>Convention pour l’unification de certaines règles relatives au transport aérien international</w:t>
      </w:r>
      <w:r w:rsidRPr="001A1E08">
        <w:rPr>
          <w:rFonts w:cs="Times New Roman"/>
          <w:lang w:val="fr-CA"/>
        </w:rPr>
        <w:t>, 2242 R.T.N.U. 3</w:t>
      </w:r>
      <w:r w:rsidR="001B5559">
        <w:rPr>
          <w:rFonts w:cs="Times New Roman"/>
          <w:lang w:val="fr-CA"/>
        </w:rPr>
        <w:t>09</w:t>
      </w:r>
      <w:r w:rsidRPr="001A1E08">
        <w:rPr>
          <w:rFonts w:cs="Times New Roman"/>
          <w:lang w:val="fr-CA"/>
        </w:rPr>
        <w:t xml:space="preserve"> (la </w:t>
      </w:r>
      <w:r w:rsidR="006412AC">
        <w:rPr>
          <w:rFonts w:cs="Times New Roman"/>
          <w:lang w:val="fr-CA"/>
        </w:rPr>
        <w:t>« </w:t>
      </w:r>
      <w:r w:rsidRPr="001A1E08">
        <w:rPr>
          <w:rFonts w:cs="Times New Roman"/>
          <w:i/>
          <w:lang w:val="fr-CA"/>
        </w:rPr>
        <w:t>Convention de Montréal</w:t>
      </w:r>
      <w:r w:rsidR="006412AC">
        <w:rPr>
          <w:rFonts w:cs="Times New Roman"/>
          <w:lang w:val="fr-CA"/>
        </w:rPr>
        <w:t> »</w:t>
      </w:r>
      <w:r w:rsidRPr="001A1E08">
        <w:rPr>
          <w:rFonts w:cs="Times New Roman"/>
          <w:lang w:val="fr-CA"/>
        </w:rPr>
        <w:t xml:space="preserve">), incorporée au droit fédéral canadien par l’effet de la </w:t>
      </w:r>
      <w:r w:rsidRPr="001A1E08">
        <w:rPr>
          <w:rFonts w:cs="Times New Roman"/>
          <w:i/>
          <w:lang w:val="fr-CA"/>
        </w:rPr>
        <w:t>Loi sur le transport aérien</w:t>
      </w:r>
      <w:r w:rsidRPr="001A1E08">
        <w:rPr>
          <w:rFonts w:cs="Times New Roman"/>
          <w:lang w:val="fr-CA"/>
        </w:rPr>
        <w:t>, L.R.C. 1985, ch.</w:t>
      </w:r>
      <w:r w:rsidR="006412AC">
        <w:rPr>
          <w:rFonts w:cs="Times New Roman"/>
          <w:lang w:val="fr-CA"/>
        </w:rPr>
        <w:t xml:space="preserve"> </w:t>
      </w:r>
      <w:r w:rsidRPr="001A1E08">
        <w:rPr>
          <w:rFonts w:cs="Times New Roman"/>
          <w:lang w:val="fr-CA"/>
        </w:rPr>
        <w:t>C</w:t>
      </w:r>
      <w:r w:rsidR="006412AC">
        <w:rPr>
          <w:rFonts w:cs="Times New Roman"/>
          <w:lang w:val="fr-CA"/>
        </w:rPr>
        <w:t>-</w:t>
      </w:r>
      <w:r w:rsidRPr="001A1E08">
        <w:rPr>
          <w:rFonts w:cs="Times New Roman"/>
          <w:lang w:val="fr-CA"/>
        </w:rPr>
        <w:t xml:space="preserve">26, une loi fédérale. </w:t>
      </w:r>
    </w:p>
    <w:p w:rsidR="00367456" w:rsidRPr="001A1E08" w:rsidRDefault="00367456" w:rsidP="00A12DCE">
      <w:pPr>
        <w:pStyle w:val="ParaNoNdepar-AltN"/>
        <w:widowControl w:val="0"/>
        <w:tabs>
          <w:tab w:val="num" w:pos="1242"/>
        </w:tabs>
        <w:rPr>
          <w:rFonts w:cs="Times New Roman"/>
          <w:lang w:val="fr-CA"/>
        </w:rPr>
      </w:pPr>
      <w:r w:rsidRPr="001A1E08">
        <w:rPr>
          <w:rFonts w:cs="Times New Roman"/>
          <w:lang w:val="fr-CA"/>
        </w:rPr>
        <w:t>La Cour fédérale a rejeté la défense d’Air Canada, adjugé des dommages</w:t>
      </w:r>
      <w:r w:rsidR="006412AC">
        <w:rPr>
          <w:rFonts w:cs="Times New Roman"/>
          <w:lang w:val="fr-CA"/>
        </w:rPr>
        <w:t>-</w:t>
      </w:r>
      <w:r w:rsidRPr="001A1E08">
        <w:rPr>
          <w:rFonts w:cs="Times New Roman"/>
          <w:lang w:val="fr-CA"/>
        </w:rPr>
        <w:t xml:space="preserve">intérêts et rendu une ordonnance structurelle (2011 CF 876, [2013] 2 R.C.F. 83).  La Cour d’appel fédérale a toutefois annulé en partie cette décision, concluant que la </w:t>
      </w:r>
      <w:r w:rsidRPr="001A1E08">
        <w:rPr>
          <w:rFonts w:cs="Times New Roman"/>
          <w:i/>
          <w:lang w:val="fr-CA"/>
        </w:rPr>
        <w:t>Convention de Montréal</w:t>
      </w:r>
      <w:r w:rsidRPr="001A1E08">
        <w:rPr>
          <w:rFonts w:cs="Times New Roman"/>
          <w:lang w:val="fr-CA"/>
        </w:rPr>
        <w:t xml:space="preserve"> empêchait le recours en dommages</w:t>
      </w:r>
      <w:r w:rsidR="006412AC">
        <w:rPr>
          <w:rFonts w:cs="Times New Roman"/>
          <w:lang w:val="fr-CA"/>
        </w:rPr>
        <w:t>-</w:t>
      </w:r>
      <w:r w:rsidRPr="001A1E08">
        <w:rPr>
          <w:rFonts w:cs="Times New Roman"/>
          <w:lang w:val="fr-CA"/>
        </w:rPr>
        <w:t>intérêts pour les faits survenus à bord des vols d’Air Canada et qu’une ordonnance structurelle ne constit</w:t>
      </w:r>
      <w:r>
        <w:rPr>
          <w:rFonts w:cs="Times New Roman"/>
          <w:lang w:val="fr-CA"/>
        </w:rPr>
        <w:t>uait pas une réparation convena</w:t>
      </w:r>
      <w:r w:rsidRPr="001A1E08">
        <w:rPr>
          <w:rFonts w:cs="Times New Roman"/>
          <w:lang w:val="fr-CA"/>
        </w:rPr>
        <w:t xml:space="preserve">ble (2012 CAF 246, [2013] 2 R.C.F. 155).  Le pourvoi devant notre Cour porte principalement sur la question de savoir si ces conclusions de la Cour d’appel fédérale sont erronées. </w:t>
      </w:r>
    </w:p>
    <w:p w:rsidR="00367456" w:rsidRPr="001A1E08" w:rsidRDefault="00367456" w:rsidP="00A12DCE">
      <w:pPr>
        <w:pStyle w:val="ParaNoNdepar-AltN"/>
        <w:widowControl w:val="0"/>
        <w:tabs>
          <w:tab w:val="num" w:pos="1242"/>
        </w:tabs>
        <w:rPr>
          <w:rFonts w:cs="Times New Roman"/>
          <w:lang w:val="fr-CA"/>
        </w:rPr>
      </w:pPr>
      <w:r w:rsidRPr="001A1E08">
        <w:rPr>
          <w:rFonts w:cs="Times New Roman"/>
          <w:lang w:val="fr-CA"/>
        </w:rPr>
        <w:lastRenderedPageBreak/>
        <w:t>La question des dommages</w:t>
      </w:r>
      <w:r w:rsidR="006412AC">
        <w:rPr>
          <w:rFonts w:cs="Times New Roman"/>
          <w:lang w:val="fr-CA"/>
        </w:rPr>
        <w:t>-</w:t>
      </w:r>
      <w:r w:rsidRPr="001A1E08">
        <w:rPr>
          <w:rFonts w:cs="Times New Roman"/>
          <w:lang w:val="fr-CA"/>
        </w:rPr>
        <w:t>intérêts se situe au croisement de l’engagement du Canada envers les langues officielles au pays et de son engagement international envers un régime exclusif et uniforme de responsabilité pour dommages des transporteurs aériens internationaux. Cette question met donc en jeu deux valeurs importantes.</w:t>
      </w:r>
    </w:p>
    <w:p w:rsidR="00367456" w:rsidRPr="001A1E08" w:rsidRDefault="00367456" w:rsidP="00A12DCE">
      <w:pPr>
        <w:pStyle w:val="ParaNoNdepar-AltN"/>
        <w:widowControl w:val="0"/>
        <w:tabs>
          <w:tab w:val="num" w:pos="1242"/>
        </w:tabs>
        <w:rPr>
          <w:rFonts w:cs="Times New Roman"/>
          <w:lang w:val="fr-CA"/>
        </w:rPr>
      </w:pPr>
      <w:r w:rsidRPr="001A1E08">
        <w:rPr>
          <w:rFonts w:cs="Times New Roman"/>
          <w:lang w:val="fr-CA"/>
        </w:rPr>
        <w:t xml:space="preserve">D’une part, le Canada a ratifié la </w:t>
      </w:r>
      <w:r w:rsidRPr="001A1E08">
        <w:rPr>
          <w:rFonts w:cs="Times New Roman"/>
          <w:i/>
          <w:lang w:val="fr-CA"/>
        </w:rPr>
        <w:t>Convention de Montréal</w:t>
      </w:r>
      <w:r w:rsidRPr="001A1E08">
        <w:rPr>
          <w:rFonts w:cs="Times New Roman"/>
          <w:lang w:val="fr-CA"/>
        </w:rPr>
        <w:t xml:space="preserve"> et l’a incorporée à son droit interne, de sorte qu’il est tenu, pour s’y conformer, d’établir et de donner effet aux limites de responsabilité des transporteurs aériens internationaux.  Air Canada soutient que le maintien du recours en dommages</w:t>
      </w:r>
      <w:r w:rsidR="006412AC">
        <w:rPr>
          <w:rFonts w:cs="Times New Roman"/>
          <w:lang w:val="fr-CA"/>
        </w:rPr>
        <w:t>-</w:t>
      </w:r>
      <w:r w:rsidRPr="001A1E08">
        <w:rPr>
          <w:rFonts w:cs="Times New Roman"/>
          <w:lang w:val="fr-CA"/>
        </w:rPr>
        <w:t>intérêts exercé contre elle serait incompatible avec cet important engagement international.</w:t>
      </w:r>
      <w:r w:rsidR="006412AC">
        <w:rPr>
          <w:rFonts w:cs="Times New Roman"/>
          <w:lang w:val="fr-CA"/>
        </w:rPr>
        <w:t xml:space="preserve"> </w:t>
      </w:r>
      <w:r w:rsidRPr="001A1E08">
        <w:rPr>
          <w:rFonts w:cs="Times New Roman"/>
          <w:lang w:val="fr-CA"/>
        </w:rPr>
        <w:t xml:space="preserve"> D’autre part, il y a l’engagement fondamental du Canada envers l’égalité des langues française et anglaise, un engagement reconnu notamment à l’art.</w:t>
      </w:r>
      <w:r w:rsidR="006412AC">
        <w:rPr>
          <w:rFonts w:cs="Times New Roman"/>
          <w:lang w:val="fr-CA"/>
        </w:rPr>
        <w:t xml:space="preserve"> </w:t>
      </w:r>
      <w:r w:rsidRPr="001A1E08">
        <w:rPr>
          <w:rFonts w:cs="Times New Roman"/>
          <w:lang w:val="fr-CA"/>
        </w:rPr>
        <w:t xml:space="preserve">16 de la </w:t>
      </w:r>
      <w:r w:rsidRPr="001A1E08">
        <w:rPr>
          <w:rFonts w:cs="Times New Roman"/>
          <w:i/>
          <w:lang w:val="fr-CA"/>
        </w:rPr>
        <w:t>Charte canadienne des droits et libertés</w:t>
      </w:r>
      <w:r w:rsidRPr="001A1E08">
        <w:rPr>
          <w:rFonts w:cs="Times New Roman"/>
          <w:lang w:val="fr-CA"/>
        </w:rPr>
        <w:t xml:space="preserve"> ainsi que dans la </w:t>
      </w:r>
      <w:r w:rsidRPr="001A1E08">
        <w:rPr>
          <w:rFonts w:cs="Times New Roman"/>
          <w:i/>
          <w:lang w:val="fr-CA"/>
        </w:rPr>
        <w:t>LLO</w:t>
      </w:r>
      <w:r w:rsidRPr="001A1E08">
        <w:rPr>
          <w:rFonts w:cs="Times New Roman"/>
          <w:lang w:val="fr-CA"/>
        </w:rPr>
        <w:t xml:space="preserve">.  Ces droits linguistiques sont </w:t>
      </w:r>
      <w:r w:rsidR="006412AC">
        <w:rPr>
          <w:rFonts w:cs="Times New Roman"/>
          <w:lang w:val="fr-CA"/>
        </w:rPr>
        <w:t>« </w:t>
      </w:r>
      <w:r w:rsidRPr="001A1E08">
        <w:rPr>
          <w:rFonts w:cs="Times New Roman"/>
          <w:lang w:val="fr-CA"/>
        </w:rPr>
        <w:t>essentiels à la viabilité de [cette] nation</w:t>
      </w:r>
      <w:r w:rsidR="006412AC">
        <w:rPr>
          <w:rFonts w:cs="Times New Roman"/>
          <w:lang w:val="fr-CA"/>
        </w:rPr>
        <w:t> » :</w:t>
      </w:r>
      <w:r w:rsidRPr="001A1E08">
        <w:rPr>
          <w:rFonts w:cs="Times New Roman"/>
          <w:lang w:val="fr-CA"/>
        </w:rPr>
        <w:t xml:space="preserve"> </w:t>
      </w:r>
      <w:r w:rsidRPr="001A1E08">
        <w:rPr>
          <w:rFonts w:cs="Times New Roman"/>
          <w:i/>
          <w:lang w:val="fr-CA"/>
        </w:rPr>
        <w:t>R. c. Mercure</w:t>
      </w:r>
      <w:r w:rsidRPr="001A1E08">
        <w:rPr>
          <w:rFonts w:cs="Times New Roman"/>
          <w:lang w:val="fr-CA"/>
        </w:rPr>
        <w:t>, [1988] 1 R.C.S. 234, p.</w:t>
      </w:r>
      <w:r w:rsidR="006412AC">
        <w:rPr>
          <w:rFonts w:cs="Times New Roman"/>
          <w:lang w:val="fr-CA"/>
        </w:rPr>
        <w:t xml:space="preserve"> </w:t>
      </w:r>
      <w:r w:rsidRPr="001A1E08">
        <w:rPr>
          <w:rFonts w:cs="Times New Roman"/>
          <w:lang w:val="fr-CA"/>
        </w:rPr>
        <w:t>269, le juge La Forest.  Les appelants affirment qu’il devrait être possible d’exercer un recours en dommages</w:t>
      </w:r>
      <w:r w:rsidR="006412AC">
        <w:rPr>
          <w:rFonts w:cs="Times New Roman"/>
          <w:lang w:val="fr-CA"/>
        </w:rPr>
        <w:t>-</w:t>
      </w:r>
      <w:r w:rsidRPr="001A1E08">
        <w:rPr>
          <w:rFonts w:cs="Times New Roman"/>
          <w:lang w:val="fr-CA"/>
        </w:rPr>
        <w:t xml:space="preserve">intérêts en cas de violation des droits linguistiques, afin que se réalisent les objets de la </w:t>
      </w:r>
      <w:r w:rsidRPr="001A1E08">
        <w:rPr>
          <w:rFonts w:cs="Times New Roman"/>
          <w:i/>
          <w:lang w:val="fr-CA"/>
        </w:rPr>
        <w:t>LLO</w:t>
      </w:r>
      <w:r w:rsidRPr="001A1E08">
        <w:rPr>
          <w:rFonts w:cs="Times New Roman"/>
          <w:lang w:val="fr-CA"/>
        </w:rPr>
        <w:t>.</w:t>
      </w:r>
      <w:r w:rsidRPr="001A1E08">
        <w:rPr>
          <w:rFonts w:cs="Times New Roman"/>
          <w:i/>
          <w:lang w:val="fr-CA"/>
        </w:rPr>
        <w:t xml:space="preserve"> </w:t>
      </w:r>
    </w:p>
    <w:p w:rsidR="00367456" w:rsidRPr="001A1E08" w:rsidRDefault="00367456" w:rsidP="00A12DCE">
      <w:pPr>
        <w:pStyle w:val="ParaNoNdepar-AltN"/>
        <w:widowControl w:val="0"/>
        <w:tabs>
          <w:tab w:val="num" w:pos="1242"/>
        </w:tabs>
        <w:rPr>
          <w:rFonts w:cs="Times New Roman"/>
          <w:lang w:val="fr-CA"/>
        </w:rPr>
      </w:pPr>
      <w:r w:rsidRPr="001A1E08">
        <w:rPr>
          <w:rFonts w:cs="Times New Roman"/>
          <w:lang w:val="fr-CA"/>
        </w:rPr>
        <w:t xml:space="preserve">Il nous faut en l’espèce résoudre cette opposition en donnant à la </w:t>
      </w:r>
      <w:r w:rsidRPr="001A1E08">
        <w:rPr>
          <w:rFonts w:cs="Times New Roman"/>
          <w:i/>
          <w:lang w:val="fr-CA"/>
        </w:rPr>
        <w:t xml:space="preserve">LLO </w:t>
      </w:r>
      <w:r w:rsidRPr="001A1E08">
        <w:rPr>
          <w:rFonts w:cs="Times New Roman"/>
          <w:lang w:val="fr-CA"/>
        </w:rPr>
        <w:t xml:space="preserve">et à la </w:t>
      </w:r>
      <w:r w:rsidRPr="001A1E08">
        <w:rPr>
          <w:rFonts w:cs="Times New Roman"/>
          <w:i/>
          <w:lang w:val="fr-CA"/>
        </w:rPr>
        <w:t>Convention de Montréal</w:t>
      </w:r>
      <w:r w:rsidRPr="001A1E08">
        <w:rPr>
          <w:rFonts w:cs="Times New Roman"/>
          <w:lang w:val="fr-CA"/>
        </w:rPr>
        <w:t xml:space="preserve"> une interprétation conforme à leur libellé et à leur objet.  À mon sens, suivant une interprétation correcte de ces textes, aucun conflit n’oppose les pouvoirs de réparation généraux conférés par la </w:t>
      </w:r>
      <w:r w:rsidRPr="001A1E08">
        <w:rPr>
          <w:rFonts w:cs="Times New Roman"/>
          <w:i/>
          <w:lang w:val="fr-CA"/>
        </w:rPr>
        <w:t>LLO</w:t>
      </w:r>
      <w:r w:rsidRPr="001A1E08">
        <w:rPr>
          <w:rFonts w:cs="Times New Roman"/>
          <w:lang w:val="fr-CA"/>
        </w:rPr>
        <w:t xml:space="preserve"> et l’exclusion du recours en dommages</w:t>
      </w:r>
      <w:r w:rsidR="006412AC">
        <w:rPr>
          <w:rFonts w:cs="Times New Roman"/>
          <w:lang w:val="fr-CA"/>
        </w:rPr>
        <w:t>-</w:t>
      </w:r>
      <w:r w:rsidRPr="001A1E08">
        <w:rPr>
          <w:rFonts w:cs="Times New Roman"/>
          <w:lang w:val="fr-CA"/>
        </w:rPr>
        <w:t xml:space="preserve">intérêts par la </w:t>
      </w:r>
      <w:r w:rsidRPr="001A1E08">
        <w:rPr>
          <w:rFonts w:cs="Times New Roman"/>
          <w:i/>
          <w:lang w:val="fr-CA"/>
        </w:rPr>
        <w:t>Convention de Montréal</w:t>
      </w:r>
      <w:r w:rsidRPr="001A1E08">
        <w:rPr>
          <w:rFonts w:cs="Times New Roman"/>
          <w:lang w:val="fr-CA"/>
        </w:rPr>
        <w:t xml:space="preserve">, et il n’est pas nécessaire de </w:t>
      </w:r>
      <w:r w:rsidRPr="001A1E08">
        <w:rPr>
          <w:rFonts w:cs="Times New Roman"/>
          <w:lang w:val="fr-CA"/>
        </w:rPr>
        <w:lastRenderedPageBreak/>
        <w:t xml:space="preserve">déterminer lequel de ces textes prévaudrait dans le cas contraire. </w:t>
      </w:r>
    </w:p>
    <w:p w:rsidR="00367456" w:rsidRPr="001A1E08" w:rsidRDefault="00367456" w:rsidP="00A12DCE">
      <w:pPr>
        <w:pStyle w:val="ParaNoNdepar-AltN"/>
        <w:widowControl w:val="0"/>
        <w:tabs>
          <w:tab w:val="num" w:pos="1242"/>
        </w:tabs>
        <w:ind w:left="90"/>
        <w:rPr>
          <w:rFonts w:cs="Times New Roman"/>
          <w:lang w:val="fr-CA"/>
        </w:rPr>
      </w:pPr>
      <w:r w:rsidRPr="001A1E08">
        <w:rPr>
          <w:rFonts w:cs="Times New Roman"/>
          <w:lang w:val="fr-CA"/>
        </w:rPr>
        <w:t xml:space="preserve">Le régime de responsabilité uniforme et exclusif pour les dommages établi par la </w:t>
      </w:r>
      <w:r w:rsidRPr="001A1E08">
        <w:rPr>
          <w:rFonts w:cs="Times New Roman"/>
          <w:i/>
          <w:lang w:val="fr-CA"/>
        </w:rPr>
        <w:t>Convention de Montréal</w:t>
      </w:r>
      <w:r w:rsidRPr="001A1E08">
        <w:rPr>
          <w:rFonts w:cs="Times New Roman"/>
          <w:lang w:val="fr-CA"/>
        </w:rPr>
        <w:t xml:space="preserve"> à l’égard des transporteurs aériens internationaux ne permet pas d’accorder des dommages</w:t>
      </w:r>
      <w:r w:rsidR="006412AC">
        <w:rPr>
          <w:rFonts w:cs="Times New Roman"/>
          <w:lang w:val="fr-CA"/>
        </w:rPr>
        <w:t>-</w:t>
      </w:r>
      <w:r w:rsidRPr="001A1E08">
        <w:rPr>
          <w:rFonts w:cs="Times New Roman"/>
          <w:lang w:val="fr-CA"/>
        </w:rPr>
        <w:t>intérêts en cas de violation de droits linguistiques lors d’un transport aérien international.</w:t>
      </w:r>
      <w:r w:rsidR="006412AC">
        <w:rPr>
          <w:rFonts w:cs="Times New Roman"/>
          <w:lang w:val="fr-CA"/>
        </w:rPr>
        <w:t xml:space="preserve"> </w:t>
      </w:r>
      <w:r w:rsidRPr="001A1E08">
        <w:rPr>
          <w:rFonts w:cs="Times New Roman"/>
          <w:lang w:val="fr-CA"/>
        </w:rPr>
        <w:t xml:space="preserve"> Tirer la conclusion contraire dénaturerait le libellé et l’objet de la </w:t>
      </w:r>
      <w:r w:rsidRPr="001A1E08">
        <w:rPr>
          <w:rFonts w:cs="Times New Roman"/>
          <w:i/>
          <w:lang w:val="fr-CA"/>
        </w:rPr>
        <w:t>Convention de Montréal</w:t>
      </w:r>
      <w:r w:rsidRPr="001A1E08">
        <w:rPr>
          <w:rFonts w:cs="Times New Roman"/>
          <w:lang w:val="fr-CA"/>
        </w:rPr>
        <w:t>, irait à l’encontre des obligations internationales que celle</w:t>
      </w:r>
      <w:r w:rsidR="006412AC">
        <w:rPr>
          <w:rFonts w:cs="Times New Roman"/>
          <w:lang w:val="fr-CA"/>
        </w:rPr>
        <w:t>-</w:t>
      </w:r>
      <w:r w:rsidRPr="001A1E08">
        <w:rPr>
          <w:rFonts w:cs="Times New Roman"/>
          <w:lang w:val="fr-CA"/>
        </w:rPr>
        <w:t xml:space="preserve">ci impose au Canada et exclurait le Canada du solide consensus international qui existe sur sa portée et ses effets.  Le pouvoir général que confère la </w:t>
      </w:r>
      <w:r w:rsidRPr="001A1E08">
        <w:rPr>
          <w:rFonts w:cs="Times New Roman"/>
          <w:i/>
          <w:lang w:val="fr-CA"/>
        </w:rPr>
        <w:t xml:space="preserve">LLO </w:t>
      </w:r>
      <w:r w:rsidRPr="001A1E08">
        <w:rPr>
          <w:rFonts w:cs="Times New Roman"/>
          <w:lang w:val="fr-CA"/>
        </w:rPr>
        <w:t xml:space="preserve">d’accorder une réparation convenable et juste ne peut — et ne doit pas — être interprété comme autorisant les tribunaux canadiens à déroger aux obligations internationales qui incombent au Canada en application de la </w:t>
      </w:r>
      <w:r w:rsidRPr="001A1E08">
        <w:rPr>
          <w:rFonts w:cs="Times New Roman"/>
          <w:i/>
          <w:lang w:val="fr-CA"/>
        </w:rPr>
        <w:t>Convention de Montréal.</w:t>
      </w:r>
    </w:p>
    <w:p w:rsidR="00367456" w:rsidRPr="001A1E08" w:rsidRDefault="00367456" w:rsidP="00A12DCE">
      <w:pPr>
        <w:pStyle w:val="ParaNoNdepar-AltN"/>
        <w:widowControl w:val="0"/>
        <w:tabs>
          <w:tab w:val="num" w:pos="1242"/>
        </w:tabs>
        <w:rPr>
          <w:rFonts w:cs="Times New Roman"/>
          <w:lang w:val="fr-CA"/>
        </w:rPr>
      </w:pPr>
      <w:r w:rsidRPr="001A1E08">
        <w:rPr>
          <w:rFonts w:cs="Times New Roman"/>
          <w:lang w:val="fr-CA"/>
        </w:rPr>
        <w:t xml:space="preserve">Je conclus également que la Cour d’appel fédérale a eu raison d’annuler l’ordonnance structurelle, qui était </w:t>
      </w:r>
      <w:proofErr w:type="spellStart"/>
      <w:r w:rsidRPr="001A1E08">
        <w:rPr>
          <w:rFonts w:cs="Times New Roman"/>
          <w:lang w:val="fr-CA"/>
        </w:rPr>
        <w:t>inacceptablement</w:t>
      </w:r>
      <w:proofErr w:type="spellEnd"/>
      <w:r w:rsidRPr="001A1E08">
        <w:rPr>
          <w:rFonts w:cs="Times New Roman"/>
          <w:lang w:val="fr-CA"/>
        </w:rPr>
        <w:t xml:space="preserve"> vague et floue. </w:t>
      </w:r>
    </w:p>
    <w:p w:rsidR="00367456" w:rsidRPr="001A1E08" w:rsidRDefault="00367456" w:rsidP="00A12DCE">
      <w:pPr>
        <w:pStyle w:val="ParaNoNdepar-AltN"/>
        <w:widowControl w:val="0"/>
        <w:tabs>
          <w:tab w:val="num" w:pos="1242"/>
        </w:tabs>
        <w:rPr>
          <w:rFonts w:cs="Times New Roman"/>
          <w:lang w:val="fr-CA"/>
        </w:rPr>
      </w:pPr>
      <w:r w:rsidRPr="001A1E08">
        <w:rPr>
          <w:rFonts w:cs="Times New Roman"/>
          <w:lang w:val="fr-CA"/>
        </w:rPr>
        <w:t>Je suis donc d’avis de rejeter les pourvois.</w:t>
      </w:r>
    </w:p>
    <w:p w:rsidR="00367456" w:rsidRPr="001A1E08" w:rsidRDefault="00367456" w:rsidP="00A12DCE">
      <w:pPr>
        <w:pStyle w:val="Title1LevelTitre1Niveau-AltL"/>
        <w:widowControl w:val="0"/>
        <w:rPr>
          <w:rFonts w:cs="Times New Roman"/>
          <w:lang w:val="fr-CA"/>
        </w:rPr>
      </w:pPr>
      <w:r w:rsidRPr="001A1E08">
        <w:rPr>
          <w:rFonts w:cs="Times New Roman"/>
          <w:lang w:val="fr-CA"/>
        </w:rPr>
        <w:t>Faits et historique judiciaire</w:t>
      </w:r>
    </w:p>
    <w:p w:rsidR="00367456" w:rsidRPr="001A1E08" w:rsidRDefault="00367456" w:rsidP="00A12DCE">
      <w:pPr>
        <w:pStyle w:val="Title2LevelTitre2Niveau"/>
        <w:widowControl w:val="0"/>
        <w:rPr>
          <w:rFonts w:cs="Times New Roman"/>
          <w:lang w:val="fr-CA"/>
        </w:rPr>
      </w:pPr>
      <w:r w:rsidRPr="001A1E08">
        <w:rPr>
          <w:rFonts w:cs="Times New Roman"/>
          <w:lang w:val="fr-CA"/>
        </w:rPr>
        <w:t>La Loi sur les langues officielles</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La </w:t>
      </w:r>
      <w:r w:rsidRPr="001A1E08">
        <w:rPr>
          <w:rFonts w:cs="Times New Roman"/>
          <w:i/>
          <w:lang w:val="fr-CA"/>
        </w:rPr>
        <w:t>LLO</w:t>
      </w:r>
      <w:r w:rsidRPr="001A1E08">
        <w:rPr>
          <w:rFonts w:cs="Times New Roman"/>
          <w:lang w:val="fr-CA"/>
        </w:rPr>
        <w:t xml:space="preserve"> est une loi fédérale dont l’objet est d’assurer le respect du français et de l’anglais à titre de langues officielles du Canada, leur égalité de statut et </w:t>
      </w:r>
      <w:r w:rsidRPr="001A1E08">
        <w:rPr>
          <w:rFonts w:cs="Times New Roman"/>
          <w:lang w:val="fr-CA"/>
        </w:rPr>
        <w:lastRenderedPageBreak/>
        <w:t>l’égalité de droits et privilèges quant à leur usage dans les institutions fédérales</w:t>
      </w:r>
      <w:r w:rsidR="006412AC">
        <w:rPr>
          <w:rFonts w:cs="Times New Roman"/>
          <w:lang w:val="fr-CA"/>
        </w:rPr>
        <w:t> :</w:t>
      </w:r>
      <w:r w:rsidRPr="001A1E08">
        <w:rPr>
          <w:rFonts w:cs="Times New Roman"/>
          <w:lang w:val="fr-CA"/>
        </w:rPr>
        <w:t xml:space="preserve"> al.</w:t>
      </w:r>
      <w:r w:rsidR="006412AC">
        <w:rPr>
          <w:rFonts w:cs="Times New Roman"/>
          <w:lang w:val="fr-CA"/>
        </w:rPr>
        <w:t xml:space="preserve"> </w:t>
      </w:r>
      <w:r w:rsidRPr="001A1E08">
        <w:rPr>
          <w:rFonts w:cs="Times New Roman"/>
          <w:lang w:val="fr-CA"/>
        </w:rPr>
        <w:t>2</w:t>
      </w:r>
      <w:r w:rsidRPr="001A1E08">
        <w:rPr>
          <w:rFonts w:cs="Times New Roman"/>
          <w:i/>
          <w:lang w:val="fr-CA"/>
        </w:rPr>
        <w:t>a</w:t>
      </w:r>
      <w:r w:rsidRPr="001A1E08">
        <w:rPr>
          <w:rFonts w:cs="Times New Roman"/>
          <w:lang w:val="fr-CA"/>
        </w:rPr>
        <w:t xml:space="preserve">).  La </w:t>
      </w:r>
      <w:r w:rsidRPr="001A1E08">
        <w:rPr>
          <w:rFonts w:cs="Times New Roman"/>
          <w:i/>
          <w:lang w:val="fr-CA"/>
        </w:rPr>
        <w:t>LLO</w:t>
      </w:r>
      <w:r w:rsidRPr="001A1E08">
        <w:rPr>
          <w:rFonts w:cs="Times New Roman"/>
          <w:lang w:val="fr-CA"/>
        </w:rPr>
        <w:t xml:space="preserve"> vise également à appuyer le développement des minorités francophones et anglophones et à préciser les pouvoirs et les obligations des institutions fédérales en matière de langues officielles</w:t>
      </w:r>
      <w:r w:rsidR="006412AC">
        <w:rPr>
          <w:rFonts w:cs="Times New Roman"/>
          <w:lang w:val="fr-CA"/>
        </w:rPr>
        <w:t> :</w:t>
      </w:r>
      <w:r w:rsidRPr="001A1E08">
        <w:rPr>
          <w:rFonts w:cs="Times New Roman"/>
          <w:lang w:val="fr-CA"/>
        </w:rPr>
        <w:t xml:space="preserve"> al.</w:t>
      </w:r>
      <w:r w:rsidR="006412AC">
        <w:rPr>
          <w:rFonts w:cs="Times New Roman"/>
          <w:lang w:val="fr-CA"/>
        </w:rPr>
        <w:t xml:space="preserve"> </w:t>
      </w:r>
      <w:r w:rsidRPr="001A1E08">
        <w:rPr>
          <w:rFonts w:cs="Times New Roman"/>
          <w:lang w:val="fr-CA"/>
        </w:rPr>
        <w:t>2</w:t>
      </w:r>
      <w:r w:rsidRPr="001A1E08">
        <w:rPr>
          <w:rFonts w:cs="Times New Roman"/>
          <w:i/>
          <w:lang w:val="fr-CA"/>
        </w:rPr>
        <w:t>b</w:t>
      </w:r>
      <w:r w:rsidRPr="001A1E08">
        <w:rPr>
          <w:rFonts w:cs="Times New Roman"/>
          <w:lang w:val="fr-CA"/>
        </w:rPr>
        <w:t xml:space="preserve">) et </w:t>
      </w:r>
      <w:r w:rsidRPr="001A1E08">
        <w:rPr>
          <w:rFonts w:cs="Times New Roman"/>
          <w:i/>
          <w:lang w:val="fr-CA"/>
        </w:rPr>
        <w:t>c</w:t>
      </w:r>
      <w:r w:rsidRPr="001A1E08">
        <w:rPr>
          <w:rFonts w:cs="Times New Roman"/>
          <w:lang w:val="fr-CA"/>
        </w:rPr>
        <w:t xml:space="preserve">).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Les parties</w:t>
      </w:r>
      <w:r w:rsidR="006412AC">
        <w:rPr>
          <w:rFonts w:cs="Times New Roman"/>
          <w:lang w:val="fr-CA"/>
        </w:rPr>
        <w:t xml:space="preserve"> </w:t>
      </w:r>
      <w:r w:rsidRPr="001A1E08">
        <w:rPr>
          <w:rFonts w:cs="Times New Roman"/>
          <w:lang w:val="fr-CA"/>
        </w:rPr>
        <w:t xml:space="preserve">I à VI de la </w:t>
      </w:r>
      <w:r w:rsidRPr="001A1E08">
        <w:rPr>
          <w:rFonts w:cs="Times New Roman"/>
          <w:i/>
          <w:lang w:val="fr-CA"/>
        </w:rPr>
        <w:t xml:space="preserve">LLO </w:t>
      </w:r>
      <w:r w:rsidRPr="001A1E08">
        <w:rPr>
          <w:rFonts w:cs="Times New Roman"/>
          <w:lang w:val="fr-CA"/>
        </w:rPr>
        <w:t>établissent plusieurs droits linguistiques dans de nombreux contextes</w:t>
      </w:r>
      <w:r w:rsidR="006412AC">
        <w:rPr>
          <w:rFonts w:cs="Times New Roman"/>
          <w:lang w:val="fr-CA"/>
        </w:rPr>
        <w:t> :</w:t>
      </w:r>
      <w:r w:rsidRPr="001A1E08">
        <w:rPr>
          <w:rFonts w:cs="Times New Roman"/>
          <w:lang w:val="fr-CA"/>
        </w:rPr>
        <w:t xml:space="preserve"> les débats et travaux parlementaires, les actes législatifs et autres, l’administration de la justice, les communications avec le public et la langue de travail.  Les parties</w:t>
      </w:r>
      <w:r w:rsidR="006412AC">
        <w:rPr>
          <w:rFonts w:cs="Times New Roman"/>
          <w:lang w:val="fr-CA"/>
        </w:rPr>
        <w:t xml:space="preserve"> </w:t>
      </w:r>
      <w:r w:rsidRPr="001A1E08">
        <w:rPr>
          <w:rFonts w:cs="Times New Roman"/>
          <w:lang w:val="fr-CA"/>
        </w:rPr>
        <w:t xml:space="preserve">VII et VIII de la </w:t>
      </w:r>
      <w:r w:rsidRPr="001A1E08">
        <w:rPr>
          <w:rFonts w:cs="Times New Roman"/>
          <w:i/>
          <w:lang w:val="fr-CA"/>
        </w:rPr>
        <w:t>LLO</w:t>
      </w:r>
      <w:r w:rsidRPr="001A1E08">
        <w:rPr>
          <w:rFonts w:cs="Times New Roman"/>
          <w:lang w:val="fr-CA"/>
        </w:rPr>
        <w:t xml:space="preserve"> énoncent les obligations et responsabilités pour ce qui est de favoriser l’épanouissement des minorités francophones et anglophones et de promouvoir la pleine reconnaissance et l’usage du français et de l’anglais dans la société canadienne.  La partie</w:t>
      </w:r>
      <w:r w:rsidR="006412AC">
        <w:rPr>
          <w:rFonts w:cs="Times New Roman"/>
          <w:lang w:val="fr-CA"/>
        </w:rPr>
        <w:t xml:space="preserve"> </w:t>
      </w:r>
      <w:r w:rsidRPr="001A1E08">
        <w:rPr>
          <w:rFonts w:cs="Times New Roman"/>
          <w:lang w:val="fr-CA"/>
        </w:rPr>
        <w:t xml:space="preserve">IX établit le Commissariat aux langues officielles et énumère les obligations et pouvoirs du commissaire.  Ce dernier est tenu, entre autres, de procéder à des enquêtes et de présenter des rapports et recommandations.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La partie</w:t>
      </w:r>
      <w:r w:rsidR="006412AC">
        <w:rPr>
          <w:rFonts w:cs="Times New Roman"/>
          <w:lang w:val="fr-CA"/>
        </w:rPr>
        <w:t xml:space="preserve"> </w:t>
      </w:r>
      <w:r w:rsidRPr="001A1E08">
        <w:rPr>
          <w:rFonts w:cs="Times New Roman"/>
          <w:lang w:val="fr-CA"/>
        </w:rPr>
        <w:t xml:space="preserve">X prévoit des recours judiciaires et dispose notamment que quiconque a saisi le commissaire d’une plainte mettant en jeu certaines parties de la </w:t>
      </w:r>
      <w:r w:rsidRPr="001A1E08">
        <w:rPr>
          <w:rFonts w:cs="Times New Roman"/>
          <w:i/>
          <w:lang w:val="fr-CA"/>
        </w:rPr>
        <w:t>LLO</w:t>
      </w:r>
      <w:r w:rsidRPr="001A1E08">
        <w:rPr>
          <w:rFonts w:cs="Times New Roman"/>
          <w:lang w:val="fr-CA"/>
        </w:rPr>
        <w:t xml:space="preserve"> peut former un recours devant la Cour fédérale</w:t>
      </w:r>
      <w:r w:rsidR="006412AC">
        <w:rPr>
          <w:rFonts w:cs="Times New Roman"/>
          <w:lang w:val="fr-CA"/>
        </w:rPr>
        <w:t> :</w:t>
      </w:r>
      <w:r w:rsidRPr="001A1E08">
        <w:rPr>
          <w:rFonts w:cs="Times New Roman"/>
          <w:lang w:val="fr-CA"/>
        </w:rPr>
        <w:t xml:space="preserve"> par.</w:t>
      </w:r>
      <w:r w:rsidR="006412AC">
        <w:rPr>
          <w:rFonts w:cs="Times New Roman"/>
          <w:lang w:val="fr-CA"/>
        </w:rPr>
        <w:t xml:space="preserve"> </w:t>
      </w:r>
      <w:r w:rsidRPr="001A1E08">
        <w:rPr>
          <w:rFonts w:cs="Times New Roman"/>
          <w:lang w:val="fr-CA"/>
        </w:rPr>
        <w:t xml:space="preserve">77(1).  Le tribunal est habilité, s’il estime qu’une institution fédérale ne s’est pas conformée à la </w:t>
      </w:r>
      <w:r w:rsidRPr="001A1E08">
        <w:rPr>
          <w:rFonts w:cs="Times New Roman"/>
          <w:i/>
          <w:lang w:val="fr-CA"/>
        </w:rPr>
        <w:t>LLO</w:t>
      </w:r>
      <w:r w:rsidRPr="001A1E08">
        <w:rPr>
          <w:rFonts w:cs="Times New Roman"/>
          <w:lang w:val="fr-CA"/>
        </w:rPr>
        <w:t xml:space="preserve">, à accorder </w:t>
      </w:r>
      <w:r w:rsidR="006412AC">
        <w:rPr>
          <w:rFonts w:cs="Times New Roman"/>
          <w:lang w:val="fr-CA"/>
        </w:rPr>
        <w:t>« </w:t>
      </w:r>
      <w:r w:rsidRPr="001A1E08">
        <w:rPr>
          <w:rFonts w:cs="Times New Roman"/>
          <w:lang w:val="fr-CA"/>
        </w:rPr>
        <w:t>la réparation qu’il estime convenable et juste eu égard aux circonstances</w:t>
      </w:r>
      <w:r w:rsidR="006412AC">
        <w:rPr>
          <w:rFonts w:cs="Times New Roman"/>
          <w:lang w:val="fr-CA"/>
        </w:rPr>
        <w:t> » :</w:t>
      </w:r>
      <w:r w:rsidRPr="001A1E08">
        <w:rPr>
          <w:rFonts w:cs="Times New Roman"/>
          <w:lang w:val="fr-CA"/>
        </w:rPr>
        <w:t xml:space="preserve"> par.</w:t>
      </w:r>
      <w:r w:rsidR="006412AC">
        <w:rPr>
          <w:rFonts w:cs="Times New Roman"/>
          <w:lang w:val="fr-CA"/>
        </w:rPr>
        <w:t xml:space="preserve"> </w:t>
      </w:r>
      <w:r w:rsidRPr="001A1E08">
        <w:rPr>
          <w:rFonts w:cs="Times New Roman"/>
          <w:lang w:val="fr-CA"/>
        </w:rPr>
        <w:t>77(4).</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Comme la Cour l’a constaté à plusieurs reprises, la </w:t>
      </w:r>
      <w:r w:rsidRPr="001A1E08">
        <w:rPr>
          <w:rFonts w:cs="Times New Roman"/>
          <w:i/>
          <w:lang w:val="fr-CA"/>
        </w:rPr>
        <w:t>LLO</w:t>
      </w:r>
      <w:r w:rsidRPr="001A1E08">
        <w:rPr>
          <w:rFonts w:cs="Times New Roman"/>
          <w:lang w:val="fr-CA"/>
        </w:rPr>
        <w:t xml:space="preserve"> a un statut </w:t>
      </w:r>
      <w:r w:rsidRPr="001A1E08">
        <w:rPr>
          <w:rFonts w:cs="Times New Roman"/>
          <w:lang w:val="fr-CA"/>
        </w:rPr>
        <w:lastRenderedPageBreak/>
        <w:t>spécial</w:t>
      </w:r>
      <w:r w:rsidR="006412AC">
        <w:rPr>
          <w:rFonts w:cs="Times New Roman"/>
          <w:lang w:val="fr-CA"/>
        </w:rPr>
        <w:t> :</w:t>
      </w:r>
      <w:r w:rsidRPr="001A1E08">
        <w:rPr>
          <w:rFonts w:cs="Times New Roman"/>
          <w:lang w:val="fr-CA"/>
        </w:rPr>
        <w:t xml:space="preserve"> </w:t>
      </w:r>
      <w:r w:rsidR="006412AC">
        <w:rPr>
          <w:rFonts w:cs="Times New Roman"/>
          <w:lang w:val="fr-CA"/>
        </w:rPr>
        <w:t>« </w:t>
      </w:r>
      <w:r w:rsidR="00850800">
        <w:rPr>
          <w:rFonts w:cs="Times New Roman"/>
          <w:lang w:val="fr-CA"/>
        </w:rPr>
        <w:t xml:space="preserve">. . . </w:t>
      </w:r>
      <w:r w:rsidRPr="001A1E08">
        <w:rPr>
          <w:rFonts w:cs="Times New Roman"/>
          <w:lang w:val="fr-CA"/>
        </w:rPr>
        <w:t>elle fait partie de cette catégorie privilégiée de lois dites quasi constitutionnelles qui expriment “certains objectifs fondamentaux de notre société” et qui doivent être interprétées “de manière à promouvoir les considérations de politique générale qui (les) sous</w:t>
      </w:r>
      <w:r w:rsidR="006412AC">
        <w:rPr>
          <w:rFonts w:cs="Times New Roman"/>
          <w:lang w:val="fr-CA"/>
        </w:rPr>
        <w:t>-</w:t>
      </w:r>
      <w:r w:rsidRPr="001A1E08">
        <w:rPr>
          <w:rFonts w:cs="Times New Roman"/>
          <w:lang w:val="fr-CA"/>
        </w:rPr>
        <w:t>tendent”</w:t>
      </w:r>
      <w:r w:rsidR="006412AC">
        <w:rPr>
          <w:rFonts w:cs="Times New Roman"/>
          <w:lang w:val="fr-CA"/>
        </w:rPr>
        <w:t> » </w:t>
      </w:r>
      <w:r w:rsidR="009813F5">
        <w:rPr>
          <w:rFonts w:cs="Times New Roman"/>
          <w:lang w:val="fr-CA"/>
        </w:rPr>
        <w:t>(</w:t>
      </w:r>
      <w:r w:rsidRPr="001A1E08">
        <w:rPr>
          <w:rFonts w:cs="Times New Roman"/>
          <w:i/>
          <w:lang w:val="fr-CA"/>
        </w:rPr>
        <w:t>Lavigne c. Canada (Commissariat aux langues officielles)</w:t>
      </w:r>
      <w:r w:rsidRPr="001A1E08">
        <w:rPr>
          <w:rFonts w:cs="Times New Roman"/>
          <w:lang w:val="fr-CA"/>
        </w:rPr>
        <w:t>, 2002 CSC 53, [2002] 2 R.C.S. 773, par.</w:t>
      </w:r>
      <w:r w:rsidR="006412AC">
        <w:rPr>
          <w:rFonts w:cs="Times New Roman"/>
          <w:lang w:val="fr-CA"/>
        </w:rPr>
        <w:t xml:space="preserve"> </w:t>
      </w:r>
      <w:r w:rsidRPr="001A1E08">
        <w:rPr>
          <w:rFonts w:cs="Times New Roman"/>
          <w:lang w:val="fr-CA"/>
        </w:rPr>
        <w:t xml:space="preserve">23, citant </w:t>
      </w:r>
      <w:r w:rsidRPr="001A1E08">
        <w:rPr>
          <w:rFonts w:cs="Times New Roman"/>
          <w:i/>
          <w:lang w:val="fr-CA"/>
        </w:rPr>
        <w:t>Canada (Procureur général) c. Viola</w:t>
      </w:r>
      <w:r w:rsidRPr="001A1E08">
        <w:rPr>
          <w:rFonts w:cs="Times New Roman"/>
          <w:lang w:val="fr-CA"/>
        </w:rPr>
        <w:t>, [1991] 1 C.F. 373 (C.A.), p.</w:t>
      </w:r>
      <w:r w:rsidR="006412AC">
        <w:rPr>
          <w:rFonts w:cs="Times New Roman"/>
          <w:lang w:val="fr-CA"/>
        </w:rPr>
        <w:t xml:space="preserve"> </w:t>
      </w:r>
      <w:r w:rsidRPr="001A1E08">
        <w:rPr>
          <w:rFonts w:cs="Times New Roman"/>
          <w:lang w:val="fr-CA"/>
        </w:rPr>
        <w:t>386</w:t>
      </w:r>
      <w:r w:rsidR="009813F5">
        <w:rPr>
          <w:rFonts w:cs="Times New Roman"/>
          <w:lang w:val="fr-CA"/>
        </w:rPr>
        <w:t>)</w:t>
      </w:r>
      <w:r w:rsidRPr="001A1E08">
        <w:rPr>
          <w:rFonts w:cs="Times New Roman"/>
          <w:lang w:val="fr-CA"/>
        </w:rPr>
        <w:t>.</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Air Canada et sa filiale Jazz sont assujetties à la </w:t>
      </w:r>
      <w:r w:rsidRPr="001A1E08">
        <w:rPr>
          <w:rFonts w:cs="Times New Roman"/>
          <w:i/>
          <w:lang w:val="fr-CA"/>
        </w:rPr>
        <w:t>LLO</w:t>
      </w:r>
      <w:r w:rsidR="006412AC">
        <w:rPr>
          <w:rFonts w:cs="Times New Roman"/>
          <w:lang w:val="fr-CA"/>
        </w:rPr>
        <w:t> :</w:t>
      </w:r>
      <w:r w:rsidRPr="001A1E08">
        <w:rPr>
          <w:rFonts w:cs="Times New Roman"/>
          <w:lang w:val="fr-CA"/>
        </w:rPr>
        <w:t xml:space="preserve"> voir </w:t>
      </w:r>
      <w:r w:rsidRPr="001A1E08">
        <w:rPr>
          <w:rFonts w:cs="Times New Roman"/>
          <w:i/>
          <w:lang w:val="fr-CA"/>
        </w:rPr>
        <w:t>Loi sur la participation publique au capital d’Air Canada</w:t>
      </w:r>
      <w:r w:rsidRPr="001A1E08">
        <w:rPr>
          <w:rFonts w:cs="Times New Roman"/>
          <w:lang w:val="fr-CA"/>
        </w:rPr>
        <w:t>, L.R.C. 1985, ch.</w:t>
      </w:r>
      <w:r w:rsidR="006412AC">
        <w:rPr>
          <w:rFonts w:cs="Times New Roman"/>
          <w:lang w:val="fr-CA"/>
        </w:rPr>
        <w:t xml:space="preserve"> </w:t>
      </w:r>
      <w:r w:rsidRPr="001A1E08">
        <w:rPr>
          <w:rFonts w:cs="Times New Roman"/>
          <w:lang w:val="fr-CA"/>
        </w:rPr>
        <w:t>35 (4</w:t>
      </w:r>
      <w:r w:rsidRPr="001A1E08">
        <w:rPr>
          <w:rFonts w:cs="Times New Roman"/>
          <w:vertAlign w:val="superscript"/>
          <w:lang w:val="fr-CA"/>
        </w:rPr>
        <w:t>e</w:t>
      </w:r>
      <w:r w:rsidR="006412AC">
        <w:rPr>
          <w:rFonts w:cs="Times New Roman"/>
          <w:lang w:val="fr-CA"/>
        </w:rPr>
        <w:t xml:space="preserve"> </w:t>
      </w:r>
      <w:r w:rsidRPr="001A1E08">
        <w:rPr>
          <w:rFonts w:cs="Times New Roman"/>
          <w:lang w:val="fr-CA"/>
        </w:rPr>
        <w:t>suppl.), art.</w:t>
      </w:r>
      <w:r w:rsidR="006412AC">
        <w:rPr>
          <w:rFonts w:cs="Times New Roman"/>
          <w:lang w:val="fr-CA"/>
        </w:rPr>
        <w:t xml:space="preserve"> </w:t>
      </w:r>
      <w:r w:rsidRPr="001A1E08">
        <w:rPr>
          <w:rFonts w:cs="Times New Roman"/>
          <w:lang w:val="fr-CA"/>
        </w:rPr>
        <w:t xml:space="preserve">10. (Par souci de commodité, ces deux sociétés seront collectivement appelées </w:t>
      </w:r>
      <w:r w:rsidR="006412AC">
        <w:rPr>
          <w:rFonts w:cs="Times New Roman"/>
          <w:lang w:val="fr-CA"/>
        </w:rPr>
        <w:t>« </w:t>
      </w:r>
      <w:r w:rsidRPr="001A1E08">
        <w:rPr>
          <w:rFonts w:cs="Times New Roman"/>
          <w:lang w:val="fr-CA"/>
        </w:rPr>
        <w:t>Air Canada</w:t>
      </w:r>
      <w:r w:rsidR="006412AC">
        <w:rPr>
          <w:rFonts w:cs="Times New Roman"/>
          <w:lang w:val="fr-CA"/>
        </w:rPr>
        <w:t> »</w:t>
      </w:r>
      <w:r w:rsidRPr="001A1E08">
        <w:rPr>
          <w:rFonts w:cs="Times New Roman"/>
          <w:lang w:val="fr-CA"/>
        </w:rPr>
        <w:t xml:space="preserve"> dans les présents motifs.)  La </w:t>
      </w:r>
      <w:r w:rsidRPr="001A1E08">
        <w:rPr>
          <w:rFonts w:cs="Times New Roman"/>
          <w:i/>
          <w:lang w:val="fr-CA"/>
        </w:rPr>
        <w:t>LLO</w:t>
      </w:r>
      <w:r w:rsidRPr="001A1E08">
        <w:rPr>
          <w:rFonts w:cs="Times New Roman"/>
          <w:lang w:val="fr-CA"/>
        </w:rPr>
        <w:t xml:space="preserve"> impose à Air Canada l’obligation de fournir des services en français ou en anglais là où l’emploi d’une de ces langues fait l’objet d’une </w:t>
      </w:r>
      <w:r w:rsidR="006412AC">
        <w:rPr>
          <w:rFonts w:cs="Times New Roman"/>
          <w:lang w:val="fr-CA"/>
        </w:rPr>
        <w:t>« </w:t>
      </w:r>
      <w:r w:rsidRPr="001A1E08">
        <w:rPr>
          <w:rFonts w:cs="Times New Roman"/>
          <w:lang w:val="fr-CA"/>
        </w:rPr>
        <w:t>demande importante</w:t>
      </w:r>
      <w:r w:rsidR="006412AC">
        <w:rPr>
          <w:rFonts w:cs="Times New Roman"/>
          <w:lang w:val="fr-CA"/>
        </w:rPr>
        <w:t> » :</w:t>
      </w:r>
      <w:r w:rsidRPr="001A1E08">
        <w:rPr>
          <w:rFonts w:cs="Times New Roman"/>
          <w:lang w:val="fr-CA"/>
        </w:rPr>
        <w:t xml:space="preserve"> voir art.</w:t>
      </w:r>
      <w:r w:rsidR="006412AC">
        <w:rPr>
          <w:rFonts w:cs="Times New Roman"/>
          <w:lang w:val="fr-CA"/>
        </w:rPr>
        <w:t xml:space="preserve"> </w:t>
      </w:r>
      <w:r w:rsidRPr="001A1E08">
        <w:rPr>
          <w:rFonts w:cs="Times New Roman"/>
          <w:lang w:val="fr-CA"/>
        </w:rPr>
        <w:t>22.</w:t>
      </w:r>
    </w:p>
    <w:p w:rsidR="00367456" w:rsidRPr="001A1E08" w:rsidRDefault="00367456" w:rsidP="00A12DCE">
      <w:pPr>
        <w:pStyle w:val="Title2LevelTitre2Niveau"/>
        <w:widowControl w:val="0"/>
        <w:rPr>
          <w:rFonts w:cs="Times New Roman"/>
          <w:lang w:val="fr-CA"/>
        </w:rPr>
      </w:pPr>
      <w:r w:rsidRPr="001A1E08">
        <w:rPr>
          <w:rFonts w:cs="Times New Roman"/>
          <w:lang w:val="fr-CA"/>
        </w:rPr>
        <w:t>La Convention de Montréal</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La </w:t>
      </w:r>
      <w:r w:rsidRPr="001A1E08">
        <w:rPr>
          <w:rFonts w:cs="Times New Roman"/>
          <w:i/>
          <w:lang w:val="fr-CA"/>
        </w:rPr>
        <w:t>Convention de Montréal</w:t>
      </w:r>
      <w:r w:rsidRPr="003435CA">
        <w:rPr>
          <w:rFonts w:cs="Times New Roman"/>
          <w:lang w:val="fr-CA"/>
        </w:rPr>
        <w:t>,</w:t>
      </w:r>
      <w:r w:rsidRPr="001A1E08">
        <w:rPr>
          <w:rFonts w:cs="Times New Roman"/>
          <w:i/>
          <w:lang w:val="fr-CA"/>
        </w:rPr>
        <w:t xml:space="preserve"> </w:t>
      </w:r>
      <w:r w:rsidRPr="001A1E08">
        <w:rPr>
          <w:rFonts w:cs="Times New Roman"/>
          <w:lang w:val="fr-CA"/>
        </w:rPr>
        <w:t xml:space="preserve">qui est incorporée au droit fédéral canadien par l’effet de la </w:t>
      </w:r>
      <w:r w:rsidRPr="001A1E08">
        <w:rPr>
          <w:rFonts w:cs="Times New Roman"/>
          <w:i/>
          <w:lang w:val="fr-CA"/>
        </w:rPr>
        <w:t>Loi sur le transport aérien</w:t>
      </w:r>
      <w:r w:rsidRPr="001A1E08">
        <w:rPr>
          <w:rFonts w:cs="Times New Roman"/>
          <w:lang w:val="fr-CA"/>
        </w:rPr>
        <w:t>, limite les types de recours en dommages</w:t>
      </w:r>
      <w:r w:rsidR="006412AC">
        <w:rPr>
          <w:rFonts w:cs="Times New Roman"/>
          <w:lang w:val="fr-CA"/>
        </w:rPr>
        <w:t>-</w:t>
      </w:r>
      <w:r w:rsidRPr="001A1E08">
        <w:rPr>
          <w:rFonts w:cs="Times New Roman"/>
          <w:lang w:val="fr-CA"/>
        </w:rPr>
        <w:t>intérêts qui peuvent être intentés contre les transporteurs aériens internationaux et les montants qui peuvent être réclamés.  Elle autorise les recours pour cause de mort ou de lésion corporelle, de destruction, d’avarie ou de perte de bagages ou de marchandises, ou encore de retard</w:t>
      </w:r>
      <w:r w:rsidR="006412AC">
        <w:rPr>
          <w:rFonts w:cs="Times New Roman"/>
          <w:lang w:val="fr-CA"/>
        </w:rPr>
        <w:t> :</w:t>
      </w:r>
      <w:r w:rsidR="008C4C0E">
        <w:rPr>
          <w:rFonts w:cs="Times New Roman"/>
          <w:lang w:val="fr-CA"/>
        </w:rPr>
        <w:t xml:space="preserve"> articles</w:t>
      </w:r>
      <w:r w:rsidR="006412AC">
        <w:rPr>
          <w:rFonts w:cs="Times New Roman"/>
          <w:lang w:val="fr-CA"/>
        </w:rPr>
        <w:t xml:space="preserve"> </w:t>
      </w:r>
      <w:r w:rsidRPr="001A1E08">
        <w:rPr>
          <w:rFonts w:cs="Times New Roman"/>
          <w:lang w:val="fr-CA"/>
        </w:rPr>
        <w:t>17</w:t>
      </w:r>
      <w:r>
        <w:rPr>
          <w:rFonts w:cs="Times New Roman"/>
          <w:lang w:val="fr-CA"/>
        </w:rPr>
        <w:t xml:space="preserve"> à </w:t>
      </w:r>
      <w:r w:rsidRPr="001A1E08">
        <w:rPr>
          <w:rFonts w:cs="Times New Roman"/>
          <w:lang w:val="fr-CA"/>
        </w:rPr>
        <w:t xml:space="preserve">19.  La </w:t>
      </w:r>
      <w:r w:rsidRPr="001A1E08">
        <w:rPr>
          <w:rFonts w:cs="Times New Roman"/>
          <w:i/>
          <w:lang w:val="fr-CA"/>
        </w:rPr>
        <w:t>Convention de Montréal</w:t>
      </w:r>
      <w:r w:rsidRPr="001A1E08">
        <w:rPr>
          <w:rFonts w:cs="Times New Roman"/>
          <w:lang w:val="fr-CA"/>
        </w:rPr>
        <w:t xml:space="preserve"> interdit toute autre action en dommages</w:t>
      </w:r>
      <w:r w:rsidR="006412AC">
        <w:rPr>
          <w:rFonts w:cs="Times New Roman"/>
          <w:lang w:val="fr-CA"/>
        </w:rPr>
        <w:t>-</w:t>
      </w:r>
      <w:r w:rsidRPr="001A1E08">
        <w:rPr>
          <w:rFonts w:cs="Times New Roman"/>
          <w:lang w:val="fr-CA"/>
        </w:rPr>
        <w:t>intérêts, à quelque titre que ce soit, pour les dommages survenus dans le transport de voyageurs, de bagages et de marchandises</w:t>
      </w:r>
      <w:r w:rsidR="006412AC">
        <w:rPr>
          <w:rFonts w:cs="Times New Roman"/>
          <w:lang w:val="fr-CA"/>
        </w:rPr>
        <w:t> :</w:t>
      </w:r>
      <w:r w:rsidR="008C4C0E">
        <w:rPr>
          <w:rFonts w:cs="Times New Roman"/>
          <w:lang w:val="fr-CA"/>
        </w:rPr>
        <w:t xml:space="preserve"> </w:t>
      </w:r>
      <w:r w:rsidR="008C4C0E">
        <w:rPr>
          <w:rFonts w:cs="Times New Roman"/>
          <w:lang w:val="fr-CA"/>
        </w:rPr>
        <w:lastRenderedPageBreak/>
        <w:t>article</w:t>
      </w:r>
      <w:r w:rsidR="006412AC">
        <w:rPr>
          <w:rFonts w:cs="Times New Roman"/>
          <w:lang w:val="fr-CA"/>
        </w:rPr>
        <w:t xml:space="preserve"> </w:t>
      </w:r>
      <w:r w:rsidRPr="001A1E08">
        <w:rPr>
          <w:rFonts w:cs="Times New Roman"/>
          <w:lang w:val="fr-CA"/>
        </w:rPr>
        <w:t>29.  Les demandes de dommages</w:t>
      </w:r>
      <w:r w:rsidR="006412AC">
        <w:rPr>
          <w:rFonts w:cs="Times New Roman"/>
          <w:lang w:val="fr-CA"/>
        </w:rPr>
        <w:t>-</w:t>
      </w:r>
      <w:r w:rsidRPr="001A1E08">
        <w:rPr>
          <w:rFonts w:cs="Times New Roman"/>
          <w:lang w:val="fr-CA"/>
        </w:rPr>
        <w:t xml:space="preserve">intérêts présentées par les Thibodeau en vertu de la </w:t>
      </w:r>
      <w:r w:rsidRPr="001A1E08">
        <w:rPr>
          <w:rFonts w:cs="Times New Roman"/>
          <w:i/>
          <w:lang w:val="fr-CA"/>
        </w:rPr>
        <w:t>LLO</w:t>
      </w:r>
      <w:r w:rsidRPr="001A1E08">
        <w:rPr>
          <w:rFonts w:cs="Times New Roman"/>
          <w:lang w:val="fr-CA"/>
        </w:rPr>
        <w:t xml:space="preserve"> ne font manifestement pas partie des recours autorisés pour cause de mort ou de lésion corporelle, de destruction, d’avarie ou de perte de bagages ou de marchandises, ou en cas de retard.  Les Thibodeau prétendent toutefois que la </w:t>
      </w:r>
      <w:r w:rsidRPr="001A1E08">
        <w:rPr>
          <w:rFonts w:cs="Times New Roman"/>
          <w:i/>
          <w:lang w:val="fr-CA"/>
        </w:rPr>
        <w:t>Convention de Montréal</w:t>
      </w:r>
      <w:r w:rsidRPr="001A1E08">
        <w:rPr>
          <w:rFonts w:cs="Times New Roman"/>
          <w:lang w:val="fr-CA"/>
        </w:rPr>
        <w:t xml:space="preserve"> ne fait pas obstacle à leurs demandes.</w:t>
      </w:r>
    </w:p>
    <w:p w:rsidR="00367456" w:rsidRPr="001A1E08" w:rsidRDefault="00367456" w:rsidP="00A12DCE">
      <w:pPr>
        <w:pStyle w:val="Title2LevelTitre2Niveau"/>
        <w:widowControl w:val="0"/>
        <w:rPr>
          <w:rFonts w:cs="Times New Roman"/>
          <w:lang w:val="fr-CA"/>
        </w:rPr>
      </w:pPr>
      <w:r w:rsidRPr="001A1E08">
        <w:rPr>
          <w:rFonts w:cs="Times New Roman"/>
          <w:lang w:val="fr-CA"/>
        </w:rPr>
        <w:t>Les plaintes</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Monsieur et Madame Thibodeau n’ont pas reçu de services en français lors de trois vols internationaux d’Air Canada et dans un aéroport, incidents survenus sur une période d’environ quatre mois en 2009.  Sur certains vols, aucun agent de bord n’était en mesure d’assurer des services en français et, dans certains cas, les annonces destinées aux passagers à bord </w:t>
      </w:r>
      <w:r>
        <w:rPr>
          <w:rFonts w:cs="Times New Roman"/>
          <w:lang w:val="fr-CA"/>
        </w:rPr>
        <w:t xml:space="preserve">des avions </w:t>
      </w:r>
      <w:r w:rsidRPr="001A1E08">
        <w:rPr>
          <w:rFonts w:cs="Times New Roman"/>
          <w:lang w:val="fr-CA"/>
        </w:rPr>
        <w:t xml:space="preserve">et </w:t>
      </w:r>
      <w:r>
        <w:rPr>
          <w:rFonts w:cs="Times New Roman"/>
          <w:lang w:val="fr-CA"/>
        </w:rPr>
        <w:t xml:space="preserve">dans le </w:t>
      </w:r>
      <w:r w:rsidRPr="001A1E08">
        <w:rPr>
          <w:rFonts w:cs="Times New Roman"/>
          <w:lang w:val="fr-CA"/>
        </w:rPr>
        <w:t xml:space="preserve">terminal </w:t>
      </w:r>
      <w:proofErr w:type="gramStart"/>
      <w:r w:rsidRPr="001A1E08">
        <w:rPr>
          <w:rFonts w:cs="Times New Roman"/>
          <w:lang w:val="fr-CA"/>
        </w:rPr>
        <w:t>ont</w:t>
      </w:r>
      <w:proofErr w:type="gramEnd"/>
      <w:r w:rsidRPr="001A1E08">
        <w:rPr>
          <w:rFonts w:cs="Times New Roman"/>
          <w:lang w:val="fr-CA"/>
        </w:rPr>
        <w:t xml:space="preserve"> été faites exclusivement en anglais.</w:t>
      </w:r>
    </w:p>
    <w:p w:rsidR="00367456" w:rsidRPr="001A1E08" w:rsidRDefault="00367456" w:rsidP="00A12DCE">
      <w:pPr>
        <w:pStyle w:val="ParaNoNdepar-AltN"/>
        <w:widowControl w:val="0"/>
        <w:rPr>
          <w:rFonts w:cs="Times New Roman"/>
          <w:lang w:val="fr-CA"/>
        </w:rPr>
      </w:pPr>
      <w:r w:rsidRPr="001A1E08">
        <w:rPr>
          <w:rFonts w:cs="Times New Roman"/>
          <w:lang w:val="fr-CA"/>
        </w:rPr>
        <w:t>Le 23</w:t>
      </w:r>
      <w:r w:rsidR="006412AC">
        <w:rPr>
          <w:rFonts w:cs="Times New Roman"/>
          <w:lang w:val="fr-CA"/>
        </w:rPr>
        <w:t xml:space="preserve"> </w:t>
      </w:r>
      <w:r w:rsidRPr="001A1E08">
        <w:rPr>
          <w:rFonts w:cs="Times New Roman"/>
          <w:lang w:val="fr-CA"/>
        </w:rPr>
        <w:t>janvier</w:t>
      </w:r>
      <w:r w:rsidR="006412AC">
        <w:rPr>
          <w:rFonts w:cs="Times New Roman"/>
          <w:lang w:val="fr-CA"/>
        </w:rPr>
        <w:t xml:space="preserve"> </w:t>
      </w:r>
      <w:r w:rsidRPr="001A1E08">
        <w:rPr>
          <w:rFonts w:cs="Times New Roman"/>
          <w:lang w:val="fr-CA"/>
        </w:rPr>
        <w:t>2009, lors d’un vol de Toronto à Atlanta, en Géorgie, M.</w:t>
      </w:r>
      <w:r w:rsidR="006412AC">
        <w:rPr>
          <w:rFonts w:cs="Times New Roman"/>
          <w:lang w:val="fr-CA"/>
        </w:rPr>
        <w:t xml:space="preserve"> </w:t>
      </w:r>
      <w:r w:rsidRPr="001A1E08">
        <w:rPr>
          <w:rFonts w:cs="Times New Roman"/>
          <w:lang w:val="fr-CA"/>
        </w:rPr>
        <w:t>et M</w:t>
      </w:r>
      <w:r w:rsidRPr="001A1E08">
        <w:rPr>
          <w:rFonts w:cs="Times New Roman"/>
          <w:vertAlign w:val="superscript"/>
          <w:lang w:val="fr-CA"/>
        </w:rPr>
        <w:t>me</w:t>
      </w:r>
      <w:r w:rsidRPr="001A1E08">
        <w:rPr>
          <w:rFonts w:cs="Times New Roman"/>
          <w:lang w:val="fr-CA"/>
        </w:rPr>
        <w:t xml:space="preserve"> Thibodeau n’ont pas reçu de services en français parce qu’il n’y avait aucun agent de bord bilingue dans l’avion.  Quelques jours plus tard, alors qu’ils revenaient d’Atlanta, aucune annonce n’a été faite en français par le pilote, ni traduite dans cette langue.  Le 12</w:t>
      </w:r>
      <w:r w:rsidR="006412AC">
        <w:rPr>
          <w:rFonts w:cs="Times New Roman"/>
          <w:lang w:val="fr-CA"/>
        </w:rPr>
        <w:t xml:space="preserve"> </w:t>
      </w:r>
      <w:r w:rsidRPr="001A1E08">
        <w:rPr>
          <w:rFonts w:cs="Times New Roman"/>
          <w:lang w:val="fr-CA"/>
        </w:rPr>
        <w:t>mai 2009, les Thibodeau n’ont de nouveau pas reçu de services en français, cette fois sur un vol en provenance de Charlotte, en Caroline du Nord, à destination de Toronto.  À leur arrivée à Toronto, une annonce concernant la réception des bagages a été faite exclusivement en anglais.</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lastRenderedPageBreak/>
        <w:t>Il est maintenant acquis aux débats qu’Air Canada a, à ces occasions, manqué aux obligations que lui impose l’art.</w:t>
      </w:r>
      <w:r w:rsidR="006412AC">
        <w:rPr>
          <w:rFonts w:cs="Times New Roman"/>
          <w:lang w:val="fr-CA"/>
        </w:rPr>
        <w:t xml:space="preserve"> </w:t>
      </w:r>
      <w:r w:rsidRPr="001A1E08">
        <w:rPr>
          <w:rFonts w:cs="Times New Roman"/>
          <w:lang w:val="fr-CA"/>
        </w:rPr>
        <w:t xml:space="preserve">22 de la </w:t>
      </w:r>
      <w:r w:rsidRPr="001A1E08">
        <w:rPr>
          <w:rFonts w:cs="Times New Roman"/>
          <w:i/>
          <w:lang w:val="fr-CA"/>
        </w:rPr>
        <w:t>LLO</w:t>
      </w:r>
      <w:r w:rsidRPr="001A1E08">
        <w:rPr>
          <w:rFonts w:cs="Times New Roman"/>
          <w:lang w:val="fr-CA"/>
        </w:rPr>
        <w:t xml:space="preserve">.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Monsieur et Madame Thibodeau ont déposé huit plaintes auprès du</w:t>
      </w:r>
      <w:r>
        <w:rPr>
          <w:rFonts w:cs="Times New Roman"/>
          <w:lang w:val="fr-CA"/>
        </w:rPr>
        <w:t xml:space="preserve"> </w:t>
      </w:r>
      <w:r w:rsidRPr="001A1E08">
        <w:rPr>
          <w:rFonts w:cs="Times New Roman"/>
          <w:lang w:val="fr-CA"/>
        </w:rPr>
        <w:t>Commissariat aux langues officielles</w:t>
      </w:r>
      <w:r w:rsidR="006412AC">
        <w:rPr>
          <w:rFonts w:cs="Times New Roman"/>
          <w:lang w:val="fr-CA"/>
        </w:rPr>
        <w:t> :</w:t>
      </w:r>
      <w:r w:rsidRPr="001A1E08">
        <w:rPr>
          <w:rFonts w:cs="Times New Roman"/>
          <w:lang w:val="fr-CA"/>
        </w:rPr>
        <w:t xml:space="preserve"> quatre en lien avec les manquements décrits ci</w:t>
      </w:r>
      <w:r w:rsidR="006412AC">
        <w:rPr>
          <w:rFonts w:cs="Times New Roman"/>
          <w:lang w:val="fr-CA"/>
        </w:rPr>
        <w:t>-</w:t>
      </w:r>
      <w:r w:rsidRPr="001A1E08">
        <w:rPr>
          <w:rFonts w:cs="Times New Roman"/>
          <w:lang w:val="fr-CA"/>
        </w:rPr>
        <w:t>dessus et quatre concernant d’autres incidents survenus lors de ces deux vols.  Ces dernières ont cependant été rejetées par le commissaire (et, plus tard, par la juge saisie de la demande), et seules les quatre plaintes retenues par le commissaire ont été subséquemment accueillies par la juge saisie de la demande</w:t>
      </w:r>
      <w:r w:rsidR="006412AC">
        <w:rPr>
          <w:rFonts w:cs="Times New Roman"/>
          <w:lang w:val="fr-CA"/>
        </w:rPr>
        <w:t> :</w:t>
      </w:r>
      <w:r w:rsidRPr="001A1E08">
        <w:rPr>
          <w:rFonts w:cs="Times New Roman"/>
          <w:lang w:val="fr-CA"/>
        </w:rPr>
        <w:t xml:space="preserve"> motifs de la juge saisie de la demande, par.</w:t>
      </w:r>
      <w:r w:rsidR="006412AC">
        <w:rPr>
          <w:rFonts w:cs="Times New Roman"/>
          <w:lang w:val="fr-CA"/>
        </w:rPr>
        <w:t xml:space="preserve"> </w:t>
      </w:r>
      <w:r w:rsidRPr="001A1E08">
        <w:rPr>
          <w:rFonts w:cs="Times New Roman"/>
          <w:lang w:val="fr-CA"/>
        </w:rPr>
        <w:t xml:space="preserve">30.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Par suite de l’enquête du commissaire sur les plaintes des Thibodeau, Air</w:t>
      </w:r>
      <w:r w:rsidR="006412AC">
        <w:rPr>
          <w:rFonts w:cs="Times New Roman"/>
          <w:lang w:val="fr-CA"/>
        </w:rPr>
        <w:t xml:space="preserve"> </w:t>
      </w:r>
      <w:r w:rsidRPr="001A1E08">
        <w:rPr>
          <w:rFonts w:cs="Times New Roman"/>
          <w:lang w:val="fr-CA"/>
        </w:rPr>
        <w:t xml:space="preserve">Canada a mis en place certaines mesures destinées à améliorer sa capacité d’assurer des services bilingues.  Ces mesures ont incité le commissaire à fermer ses dossiers relatifs aux quatre plaintes qu’il avait jugées fondées.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Le commissaire a également entrepris une vérification des services bilingues offerts par Air Canada à ses passagers et a produit son rapport en septembre</w:t>
      </w:r>
      <w:r w:rsidR="006412AC">
        <w:rPr>
          <w:rFonts w:cs="Times New Roman"/>
          <w:lang w:val="fr-CA"/>
        </w:rPr>
        <w:t xml:space="preserve"> </w:t>
      </w:r>
      <w:r w:rsidRPr="001A1E08">
        <w:rPr>
          <w:rFonts w:cs="Times New Roman"/>
          <w:lang w:val="fr-CA"/>
        </w:rPr>
        <w:t>2011, après que la Cour fédérale eut rendu sa décision dans la présente affaire (</w:t>
      </w:r>
      <w:r w:rsidRPr="001A1E08">
        <w:rPr>
          <w:rFonts w:cs="Times New Roman"/>
          <w:i/>
          <w:lang w:val="fr-CA"/>
        </w:rPr>
        <w:t>Vérification de la prestation des services en français et en anglais aux passagers d’Air Canada</w:t>
      </w:r>
      <w:r w:rsidR="006412AC">
        <w:rPr>
          <w:rFonts w:cs="Times New Roman"/>
          <w:i/>
          <w:lang w:val="fr-CA"/>
        </w:rPr>
        <w:t> :</w:t>
      </w:r>
      <w:r w:rsidR="00BF3E58">
        <w:rPr>
          <w:rFonts w:cs="Times New Roman"/>
          <w:i/>
          <w:lang w:val="fr-CA"/>
        </w:rPr>
        <w:t xml:space="preserve"> R</w:t>
      </w:r>
      <w:r w:rsidRPr="001A1E08">
        <w:rPr>
          <w:rFonts w:cs="Times New Roman"/>
          <w:i/>
          <w:lang w:val="fr-CA"/>
        </w:rPr>
        <w:t>apport final</w:t>
      </w:r>
      <w:r w:rsidRPr="001A1E08">
        <w:rPr>
          <w:rFonts w:cs="Times New Roman"/>
          <w:lang w:val="fr-CA"/>
        </w:rPr>
        <w:t xml:space="preserve"> (2011)).  Le commissaire a fait </w:t>
      </w:r>
      <w:r w:rsidR="00BF3E58">
        <w:rPr>
          <w:rFonts w:cs="Times New Roman"/>
          <w:lang w:val="fr-CA"/>
        </w:rPr>
        <w:t>12</w:t>
      </w:r>
      <w:r w:rsidRPr="001A1E08">
        <w:rPr>
          <w:rFonts w:cs="Times New Roman"/>
          <w:lang w:val="fr-CA"/>
        </w:rPr>
        <w:t xml:space="preserve"> recommandations à Air Canada, et cette dernière a proposé en retour certaines mesures et des échéances pour leur mise en œuvre.  Le commissaire s’est dit satisfait des solutions proposées à l’égard de 11 des recommandations, et en partie satisfait de la réponse à la dernière </w:t>
      </w:r>
      <w:r w:rsidRPr="001A1E08">
        <w:rPr>
          <w:rFonts w:cs="Times New Roman"/>
          <w:lang w:val="fr-CA"/>
        </w:rPr>
        <w:lastRenderedPageBreak/>
        <w:t>recommandation, laquelle, je dois dire, n’a aucune importance pour l’issue du présent pourvoi. (Je signale que le commissaire s’est opposé à l’utilisation de ce rapport par la Cour d’appel fédérale.  Je parle de cette vérification uniquement pour brosser un portrait complet des faits de l’espèce et non pour traiter des questions précises sur lesquelles je me prononcerai dans les présents motifs.)</w:t>
      </w:r>
    </w:p>
    <w:p w:rsidR="00367456" w:rsidRPr="001A1E08" w:rsidRDefault="00367456" w:rsidP="00A12DCE">
      <w:pPr>
        <w:pStyle w:val="Title2LevelTitre2Niveau"/>
        <w:widowControl w:val="0"/>
        <w:rPr>
          <w:rFonts w:cs="Times New Roman"/>
          <w:lang w:val="fr-CA"/>
        </w:rPr>
      </w:pPr>
      <w:r w:rsidRPr="001A1E08">
        <w:rPr>
          <w:rFonts w:cs="Times New Roman"/>
          <w:lang w:val="fr-CA"/>
        </w:rPr>
        <w:t>Procédures devant les Cours fédérales</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Comme je l’ai déjà mentionné, l’art.</w:t>
      </w:r>
      <w:r w:rsidR="006412AC">
        <w:rPr>
          <w:rFonts w:cs="Times New Roman"/>
          <w:lang w:val="fr-CA"/>
        </w:rPr>
        <w:t xml:space="preserve"> </w:t>
      </w:r>
      <w:r w:rsidRPr="001A1E08">
        <w:rPr>
          <w:rFonts w:cs="Times New Roman"/>
          <w:lang w:val="fr-CA"/>
        </w:rPr>
        <w:t xml:space="preserve">77 de la </w:t>
      </w:r>
      <w:r w:rsidRPr="001A1E08">
        <w:rPr>
          <w:rFonts w:cs="Times New Roman"/>
          <w:i/>
          <w:lang w:val="fr-CA"/>
        </w:rPr>
        <w:t>LLO</w:t>
      </w:r>
      <w:r w:rsidRPr="001A1E08">
        <w:rPr>
          <w:rFonts w:cs="Times New Roman"/>
          <w:lang w:val="fr-CA"/>
        </w:rPr>
        <w:t xml:space="preserve"> dispose que quiconque a saisi le commissaire d’une plainte sur le fondement de différentes dispositions, notamment en ce qui concerne une omission de fournir des services au public dans les deux langues officielles, peut former un recours devant la Cour fédérale.  Si la cour estime que l’institution fédérale ne s’est pas conformée à la </w:t>
      </w:r>
      <w:r w:rsidRPr="001A1E08">
        <w:rPr>
          <w:rFonts w:cs="Times New Roman"/>
          <w:i/>
          <w:lang w:val="fr-CA"/>
        </w:rPr>
        <w:t>LLO</w:t>
      </w:r>
      <w:r w:rsidRPr="001A1E08">
        <w:rPr>
          <w:rFonts w:cs="Times New Roman"/>
          <w:lang w:val="fr-CA"/>
        </w:rPr>
        <w:t xml:space="preserve">, elle peut accorder la réparation qu’elle estime convenable et juste eu égard aux circonstances.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Les Thibodeau se sont adressés à la Cour fédérale en vue d’obtenir réparation par suite des atteintes par Air Canada à leur droit d’être servis en français.  Ils ont demandé à la cour de rendre </w:t>
      </w:r>
      <w:r w:rsidR="006412AC">
        <w:rPr>
          <w:rFonts w:cs="Times New Roman"/>
          <w:lang w:val="fr-CA"/>
        </w:rPr>
        <w:t>« </w:t>
      </w:r>
      <w:r w:rsidRPr="001A1E08">
        <w:rPr>
          <w:rFonts w:cs="Times New Roman"/>
          <w:lang w:val="fr-CA"/>
        </w:rPr>
        <w:t>des ordonnances institutionnelles contre Air</w:t>
      </w:r>
      <w:r w:rsidR="006412AC">
        <w:rPr>
          <w:rFonts w:cs="Times New Roman"/>
          <w:lang w:val="fr-CA"/>
        </w:rPr>
        <w:t xml:space="preserve"> </w:t>
      </w:r>
      <w:r w:rsidRPr="001A1E08">
        <w:rPr>
          <w:rFonts w:cs="Times New Roman"/>
          <w:lang w:val="fr-CA"/>
        </w:rPr>
        <w:t>Canada et de lui ordonner de payer des dommages punitifs et exemplaires</w:t>
      </w:r>
      <w:r w:rsidR="006412AC">
        <w:rPr>
          <w:rFonts w:cs="Times New Roman"/>
          <w:lang w:val="fr-CA"/>
        </w:rPr>
        <w:t> »</w:t>
      </w:r>
      <w:r w:rsidRPr="001A1E08">
        <w:rPr>
          <w:rFonts w:cs="Times New Roman"/>
          <w:lang w:val="fr-CA"/>
        </w:rPr>
        <w:t>, ainsi que des dommages</w:t>
      </w:r>
      <w:r w:rsidR="006412AC">
        <w:rPr>
          <w:rFonts w:cs="Times New Roman"/>
          <w:lang w:val="fr-CA"/>
        </w:rPr>
        <w:t>-</w:t>
      </w:r>
      <w:r w:rsidRPr="001A1E08">
        <w:rPr>
          <w:rFonts w:cs="Times New Roman"/>
          <w:lang w:val="fr-CA"/>
        </w:rPr>
        <w:t>intérêts pour la violation de leurs droits linguistiques</w:t>
      </w:r>
      <w:r w:rsidR="006412AC">
        <w:rPr>
          <w:rFonts w:cs="Times New Roman"/>
          <w:lang w:val="fr-CA"/>
        </w:rPr>
        <w:t> :</w:t>
      </w:r>
      <w:r w:rsidRPr="001A1E08">
        <w:rPr>
          <w:rFonts w:cs="Times New Roman"/>
          <w:lang w:val="fr-CA"/>
        </w:rPr>
        <w:t xml:space="preserve"> motifs de la juge saisie de la demande, par.</w:t>
      </w:r>
      <w:r w:rsidR="006412AC">
        <w:rPr>
          <w:rFonts w:cs="Times New Roman"/>
          <w:lang w:val="fr-CA"/>
        </w:rPr>
        <w:t xml:space="preserve"> </w:t>
      </w:r>
      <w:r w:rsidRPr="001A1E08">
        <w:rPr>
          <w:rFonts w:cs="Times New Roman"/>
          <w:lang w:val="fr-CA"/>
        </w:rPr>
        <w:t xml:space="preserve">43.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Air Canada a soutenu que la </w:t>
      </w:r>
      <w:r w:rsidRPr="001A1E08">
        <w:rPr>
          <w:rFonts w:cs="Times New Roman"/>
          <w:i/>
          <w:lang w:val="fr-CA"/>
        </w:rPr>
        <w:t>Convention de Montréal</w:t>
      </w:r>
      <w:r w:rsidRPr="001A1E08">
        <w:rPr>
          <w:rFonts w:cs="Times New Roman"/>
          <w:lang w:val="fr-CA"/>
        </w:rPr>
        <w:t xml:space="preserve"> n’autorise pas l’attribution de dommages</w:t>
      </w:r>
      <w:r w:rsidR="006412AC">
        <w:rPr>
          <w:rFonts w:cs="Times New Roman"/>
          <w:lang w:val="fr-CA"/>
        </w:rPr>
        <w:t>-</w:t>
      </w:r>
      <w:r w:rsidRPr="001A1E08">
        <w:rPr>
          <w:rFonts w:cs="Times New Roman"/>
          <w:lang w:val="fr-CA"/>
        </w:rPr>
        <w:t xml:space="preserve">intérêts pour contravention à la </w:t>
      </w:r>
      <w:r w:rsidRPr="001A1E08">
        <w:rPr>
          <w:rFonts w:cs="Times New Roman"/>
          <w:i/>
          <w:lang w:val="fr-CA"/>
        </w:rPr>
        <w:t>LLO</w:t>
      </w:r>
      <w:r w:rsidRPr="001A1E08">
        <w:rPr>
          <w:rFonts w:cs="Times New Roman"/>
          <w:lang w:val="fr-CA"/>
        </w:rPr>
        <w:t xml:space="preserve"> et que les demandes </w:t>
      </w:r>
      <w:r w:rsidRPr="001A1E08">
        <w:rPr>
          <w:rFonts w:cs="Times New Roman"/>
          <w:lang w:val="fr-CA"/>
        </w:rPr>
        <w:lastRenderedPageBreak/>
        <w:t>de dommages</w:t>
      </w:r>
      <w:r w:rsidR="006412AC">
        <w:rPr>
          <w:rFonts w:cs="Times New Roman"/>
          <w:lang w:val="fr-CA"/>
        </w:rPr>
        <w:t>-</w:t>
      </w:r>
      <w:r w:rsidRPr="001A1E08">
        <w:rPr>
          <w:rFonts w:cs="Times New Roman"/>
          <w:lang w:val="fr-CA"/>
        </w:rPr>
        <w:t xml:space="preserve">intérêts des Thibodeau étaient donc irrecevables parce qu’elles découlaient d’un préjudice subi lors de vols internationaux régis par cette convention.  </w:t>
      </w:r>
    </w:p>
    <w:p w:rsidR="00367456" w:rsidRPr="001A1E08" w:rsidRDefault="00367456" w:rsidP="00A12DCE">
      <w:pPr>
        <w:pStyle w:val="Title3LevelTitre3Niveau"/>
        <w:widowControl w:val="0"/>
        <w:rPr>
          <w:rFonts w:cs="Times New Roman"/>
          <w:lang w:val="fr-CA"/>
        </w:rPr>
      </w:pPr>
      <w:r w:rsidRPr="001A1E08">
        <w:rPr>
          <w:rFonts w:cs="Times New Roman"/>
          <w:lang w:val="fr-CA"/>
        </w:rPr>
        <w:t>Cour fédérale, la juge Bédard</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La Cour fédérale a jugé que les Thibodeau avaient droit à des dommages</w:t>
      </w:r>
      <w:r w:rsidR="006412AC">
        <w:rPr>
          <w:rFonts w:cs="Times New Roman"/>
          <w:lang w:val="fr-CA"/>
        </w:rPr>
        <w:t>-</w:t>
      </w:r>
      <w:r w:rsidRPr="001A1E08">
        <w:rPr>
          <w:rFonts w:cs="Times New Roman"/>
          <w:lang w:val="fr-CA"/>
        </w:rPr>
        <w:t xml:space="preserve">intérêts et à une ordonnance structurelle.  La juge a conclu à l’existence d’un conflit entre la limite imposée </w:t>
      </w:r>
      <w:r>
        <w:rPr>
          <w:rFonts w:cs="Times New Roman"/>
          <w:lang w:val="fr-CA"/>
        </w:rPr>
        <w:t>en matière de</w:t>
      </w:r>
      <w:r w:rsidRPr="001A1E08">
        <w:rPr>
          <w:rFonts w:cs="Times New Roman"/>
          <w:lang w:val="fr-CA"/>
        </w:rPr>
        <w:t xml:space="preserve"> dommages</w:t>
      </w:r>
      <w:r w:rsidR="006412AC">
        <w:rPr>
          <w:rFonts w:cs="Times New Roman"/>
          <w:lang w:val="fr-CA"/>
        </w:rPr>
        <w:t>-</w:t>
      </w:r>
      <w:r w:rsidRPr="001A1E08">
        <w:rPr>
          <w:rFonts w:cs="Times New Roman"/>
          <w:lang w:val="fr-CA"/>
        </w:rPr>
        <w:t xml:space="preserve">intérêts par la </w:t>
      </w:r>
      <w:r w:rsidRPr="001A1E08">
        <w:rPr>
          <w:rFonts w:cs="Times New Roman"/>
          <w:i/>
          <w:lang w:val="fr-CA"/>
        </w:rPr>
        <w:t>Convention de Montréal</w:t>
      </w:r>
      <w:r w:rsidRPr="001A1E08">
        <w:rPr>
          <w:rFonts w:cs="Times New Roman"/>
          <w:lang w:val="fr-CA"/>
        </w:rPr>
        <w:t xml:space="preserve"> et le pouvoir conféré d’accorder des dommages</w:t>
      </w:r>
      <w:r w:rsidR="006412AC">
        <w:rPr>
          <w:rFonts w:cs="Times New Roman"/>
          <w:lang w:val="fr-CA"/>
        </w:rPr>
        <w:t>-</w:t>
      </w:r>
      <w:r w:rsidRPr="001A1E08">
        <w:rPr>
          <w:rFonts w:cs="Times New Roman"/>
          <w:lang w:val="fr-CA"/>
        </w:rPr>
        <w:t xml:space="preserve">intérêts par la </w:t>
      </w:r>
      <w:r w:rsidRPr="001A1E08">
        <w:rPr>
          <w:rFonts w:cs="Times New Roman"/>
          <w:i/>
          <w:lang w:val="fr-CA"/>
        </w:rPr>
        <w:t>LLO</w:t>
      </w:r>
      <w:r w:rsidRPr="001A1E08">
        <w:rPr>
          <w:rFonts w:cs="Times New Roman"/>
          <w:lang w:val="fr-CA"/>
        </w:rPr>
        <w:t xml:space="preserve">.  Pour reprendre ses propos, </w:t>
      </w:r>
      <w:r w:rsidR="006412AC">
        <w:rPr>
          <w:rFonts w:cs="Times New Roman"/>
          <w:lang w:val="fr-CA"/>
        </w:rPr>
        <w:t>« </w:t>
      </w:r>
      <w:r w:rsidRPr="001A1E08">
        <w:rPr>
          <w:rFonts w:cs="Times New Roman"/>
          <w:lang w:val="fr-CA"/>
        </w:rPr>
        <w:t>interpréter la Convention de</w:t>
      </w:r>
      <w:r w:rsidRPr="001A1E08">
        <w:rPr>
          <w:rFonts w:cs="Times New Roman"/>
          <w:i/>
          <w:lang w:val="fr-CA"/>
        </w:rPr>
        <w:t xml:space="preserve"> </w:t>
      </w:r>
      <w:r w:rsidRPr="001A1E08">
        <w:rPr>
          <w:rFonts w:cs="Times New Roman"/>
          <w:lang w:val="fr-CA"/>
        </w:rPr>
        <w:t>Montréal comme permettant une indemnisation fondée sur une cause d’action qui n’est pas prévue par la Convention irait à l’encontre de la jurisprudence canadienne et internationale</w:t>
      </w:r>
      <w:r w:rsidR="006412AC">
        <w:rPr>
          <w:rFonts w:cs="Times New Roman"/>
          <w:lang w:val="fr-CA"/>
        </w:rPr>
        <w:t> » :</w:t>
      </w:r>
      <w:r w:rsidRPr="001A1E08">
        <w:rPr>
          <w:rFonts w:cs="Times New Roman"/>
          <w:lang w:val="fr-CA"/>
        </w:rPr>
        <w:t xml:space="preserve"> par.</w:t>
      </w:r>
      <w:r w:rsidR="006412AC">
        <w:rPr>
          <w:rFonts w:cs="Times New Roman"/>
          <w:lang w:val="fr-CA"/>
        </w:rPr>
        <w:t xml:space="preserve"> </w:t>
      </w:r>
      <w:r w:rsidRPr="001A1E08">
        <w:rPr>
          <w:rFonts w:cs="Times New Roman"/>
          <w:lang w:val="fr-CA"/>
        </w:rPr>
        <w:t>77.  Elle a cependant statué qu’en présence d’un tel conflit, le pouvoir d’accorder des dommages</w:t>
      </w:r>
      <w:r w:rsidR="006412AC">
        <w:rPr>
          <w:rFonts w:cs="Times New Roman"/>
          <w:lang w:val="fr-CA"/>
        </w:rPr>
        <w:t>-</w:t>
      </w:r>
      <w:r w:rsidRPr="001A1E08">
        <w:rPr>
          <w:rFonts w:cs="Times New Roman"/>
          <w:lang w:val="fr-CA"/>
        </w:rPr>
        <w:t xml:space="preserve">intérêts en vertu de la </w:t>
      </w:r>
      <w:r w:rsidRPr="001A1E08">
        <w:rPr>
          <w:rFonts w:cs="Times New Roman"/>
          <w:i/>
          <w:lang w:val="fr-CA"/>
        </w:rPr>
        <w:t>LLO</w:t>
      </w:r>
      <w:r w:rsidRPr="001A1E08">
        <w:rPr>
          <w:rFonts w:cs="Times New Roman"/>
          <w:lang w:val="fr-CA"/>
        </w:rPr>
        <w:t xml:space="preserve"> l’emportait sur la </w:t>
      </w:r>
      <w:r w:rsidRPr="001A1E08">
        <w:rPr>
          <w:rFonts w:cs="Times New Roman"/>
          <w:i/>
          <w:lang w:val="fr-CA"/>
        </w:rPr>
        <w:t>Convention de Montréal</w:t>
      </w:r>
      <w:r w:rsidR="006412AC" w:rsidRPr="00D2370A">
        <w:rPr>
          <w:rFonts w:cs="Times New Roman"/>
          <w:lang w:val="fr-CA"/>
        </w:rPr>
        <w:t> :</w:t>
      </w:r>
      <w:r w:rsidRPr="001A1E08">
        <w:rPr>
          <w:rFonts w:cs="Times New Roman"/>
          <w:lang w:val="fr-CA"/>
        </w:rPr>
        <w:t xml:space="preserve"> par.</w:t>
      </w:r>
      <w:r w:rsidR="006412AC">
        <w:rPr>
          <w:rFonts w:cs="Times New Roman"/>
          <w:lang w:val="fr-CA"/>
        </w:rPr>
        <w:t xml:space="preserve"> </w:t>
      </w:r>
      <w:r w:rsidRPr="001A1E08">
        <w:rPr>
          <w:rFonts w:cs="Times New Roman"/>
          <w:lang w:val="fr-CA"/>
        </w:rPr>
        <w:t>81</w:t>
      </w:r>
      <w:r w:rsidR="006412AC">
        <w:rPr>
          <w:rFonts w:cs="Times New Roman"/>
          <w:lang w:val="fr-CA"/>
        </w:rPr>
        <w:t>-</w:t>
      </w:r>
      <w:r w:rsidRPr="001A1E08">
        <w:rPr>
          <w:rFonts w:cs="Times New Roman"/>
          <w:lang w:val="fr-CA"/>
        </w:rPr>
        <w:t>83.  Elle a par conséquent ordonné à Air Canada de verser à chacun des Thibodeau des dommages</w:t>
      </w:r>
      <w:r w:rsidR="006412AC">
        <w:rPr>
          <w:rFonts w:cs="Times New Roman"/>
          <w:lang w:val="fr-CA"/>
        </w:rPr>
        <w:t>-</w:t>
      </w:r>
      <w:r w:rsidRPr="001A1E08">
        <w:rPr>
          <w:rFonts w:cs="Times New Roman"/>
          <w:lang w:val="fr-CA"/>
        </w:rPr>
        <w:t>intérêts de 6</w:t>
      </w:r>
      <w:r w:rsidR="006412AC">
        <w:rPr>
          <w:rFonts w:cs="Times New Roman"/>
          <w:lang w:val="fr-CA"/>
        </w:rPr>
        <w:t xml:space="preserve"> </w:t>
      </w:r>
      <w:r w:rsidRPr="001A1E08">
        <w:rPr>
          <w:rFonts w:cs="Times New Roman"/>
          <w:lang w:val="fr-CA"/>
        </w:rPr>
        <w:t>000</w:t>
      </w:r>
      <w:r w:rsidR="006412AC">
        <w:rPr>
          <w:rFonts w:cs="Times New Roman"/>
          <w:lang w:val="fr-CA"/>
        </w:rPr>
        <w:t xml:space="preserve"> </w:t>
      </w:r>
      <w:r w:rsidRPr="001A1E08">
        <w:rPr>
          <w:rFonts w:cs="Times New Roman"/>
          <w:lang w:val="fr-CA"/>
        </w:rPr>
        <w:t>$ (1</w:t>
      </w:r>
      <w:r w:rsidR="006412AC">
        <w:rPr>
          <w:rFonts w:cs="Times New Roman"/>
          <w:lang w:val="fr-CA"/>
        </w:rPr>
        <w:t xml:space="preserve"> </w:t>
      </w:r>
      <w:r w:rsidRPr="001A1E08">
        <w:rPr>
          <w:rFonts w:cs="Times New Roman"/>
          <w:lang w:val="fr-CA"/>
        </w:rPr>
        <w:t>500</w:t>
      </w:r>
      <w:r w:rsidR="006412AC">
        <w:rPr>
          <w:rFonts w:cs="Times New Roman"/>
          <w:lang w:val="fr-CA"/>
        </w:rPr>
        <w:t xml:space="preserve"> </w:t>
      </w:r>
      <w:r w:rsidRPr="001A1E08">
        <w:rPr>
          <w:rFonts w:cs="Times New Roman"/>
          <w:lang w:val="fr-CA"/>
        </w:rPr>
        <w:t>$ par incident) pour indemniser le préjudice subi (préjudice moral, troubles et inconvénients et perte de jouissance de leurs vacances), pour reconnaître l’importance des droits en cause et pour décourager de futurs manquements</w:t>
      </w:r>
      <w:r w:rsidR="006412AC">
        <w:rPr>
          <w:rFonts w:cs="Times New Roman"/>
          <w:lang w:val="fr-CA"/>
        </w:rPr>
        <w:t> :</w:t>
      </w:r>
      <w:r w:rsidRPr="001A1E08">
        <w:rPr>
          <w:rFonts w:cs="Times New Roman"/>
          <w:lang w:val="fr-CA"/>
        </w:rPr>
        <w:t xml:space="preserve"> par.</w:t>
      </w:r>
      <w:r w:rsidR="006412AC">
        <w:rPr>
          <w:rFonts w:cs="Times New Roman"/>
          <w:lang w:val="fr-CA"/>
        </w:rPr>
        <w:t xml:space="preserve"> </w:t>
      </w:r>
      <w:r w:rsidRPr="001A1E08">
        <w:rPr>
          <w:rFonts w:cs="Times New Roman"/>
          <w:lang w:val="fr-CA"/>
        </w:rPr>
        <w:t>88</w:t>
      </w:r>
      <w:r w:rsidR="006412AC">
        <w:rPr>
          <w:rFonts w:cs="Times New Roman"/>
          <w:lang w:val="fr-CA"/>
        </w:rPr>
        <w:t>-</w:t>
      </w:r>
      <w:r w:rsidRPr="001A1E08">
        <w:rPr>
          <w:rFonts w:cs="Times New Roman"/>
          <w:lang w:val="fr-CA"/>
        </w:rPr>
        <w:t>90.</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La juge Bédard a ensuite analysé la preuve à l’appui de la demande d’ordonnance structurelle faite par M.</w:t>
      </w:r>
      <w:r w:rsidR="006412AC">
        <w:rPr>
          <w:rFonts w:cs="Times New Roman"/>
          <w:lang w:val="fr-CA"/>
        </w:rPr>
        <w:t xml:space="preserve"> </w:t>
      </w:r>
      <w:r w:rsidRPr="001A1E08">
        <w:rPr>
          <w:rFonts w:cs="Times New Roman"/>
          <w:lang w:val="fr-CA"/>
        </w:rPr>
        <w:t>et M</w:t>
      </w:r>
      <w:r w:rsidRPr="001A1E08">
        <w:rPr>
          <w:rFonts w:cs="Times New Roman"/>
          <w:vertAlign w:val="superscript"/>
          <w:lang w:val="fr-CA"/>
        </w:rPr>
        <w:t>me</w:t>
      </w:r>
      <w:r w:rsidR="006412AC">
        <w:rPr>
          <w:rFonts w:cs="Times New Roman"/>
          <w:lang w:val="fr-CA"/>
        </w:rPr>
        <w:t xml:space="preserve"> </w:t>
      </w:r>
      <w:r w:rsidRPr="001A1E08">
        <w:rPr>
          <w:rFonts w:cs="Times New Roman"/>
          <w:lang w:val="fr-CA"/>
        </w:rPr>
        <w:t xml:space="preserve">Thibodeau et a conclu à l’existence d’un </w:t>
      </w:r>
      <w:r w:rsidR="006412AC">
        <w:rPr>
          <w:rFonts w:cs="Times New Roman"/>
          <w:lang w:val="fr-CA"/>
        </w:rPr>
        <w:t>« </w:t>
      </w:r>
      <w:r w:rsidRPr="001A1E08">
        <w:rPr>
          <w:rFonts w:cs="Times New Roman"/>
          <w:lang w:val="fr-CA"/>
        </w:rPr>
        <w:t>problème de nature systémique au sein d’Air Canada</w:t>
      </w:r>
      <w:r w:rsidR="006412AC">
        <w:rPr>
          <w:rFonts w:cs="Times New Roman"/>
          <w:lang w:val="fr-CA"/>
        </w:rPr>
        <w:t> »</w:t>
      </w:r>
      <w:r w:rsidRPr="001A1E08">
        <w:rPr>
          <w:rFonts w:cs="Times New Roman"/>
          <w:lang w:val="fr-CA"/>
        </w:rPr>
        <w:t xml:space="preserve">, en ce sens que les manquements de celle-ci à ses obligations linguistiques n’étaient pas </w:t>
      </w:r>
      <w:r w:rsidR="006412AC">
        <w:rPr>
          <w:rFonts w:cs="Times New Roman"/>
          <w:lang w:val="fr-CA"/>
        </w:rPr>
        <w:t>« </w:t>
      </w:r>
      <w:r w:rsidRPr="001A1E08">
        <w:rPr>
          <w:rFonts w:cs="Times New Roman"/>
          <w:lang w:val="fr-CA"/>
        </w:rPr>
        <w:t xml:space="preserve">des problèmes </w:t>
      </w:r>
      <w:r w:rsidRPr="001A1E08">
        <w:rPr>
          <w:rFonts w:cs="Times New Roman"/>
          <w:lang w:val="fr-CA"/>
        </w:rPr>
        <w:lastRenderedPageBreak/>
        <w:t>[</w:t>
      </w:r>
      <w:r w:rsidR="00A12DCE">
        <w:rPr>
          <w:rFonts w:cs="Times New Roman"/>
          <w:lang w:val="fr-CA"/>
        </w:rPr>
        <w:t>. . .</w:t>
      </w:r>
      <w:r w:rsidRPr="001A1E08">
        <w:rPr>
          <w:rFonts w:cs="Times New Roman"/>
          <w:lang w:val="fr-CA"/>
        </w:rPr>
        <w:t>] isolés et hors [de son] contrôle</w:t>
      </w:r>
      <w:r w:rsidR="006412AC">
        <w:rPr>
          <w:rFonts w:cs="Times New Roman"/>
          <w:lang w:val="fr-CA"/>
        </w:rPr>
        <w:t> » :</w:t>
      </w:r>
      <w:r w:rsidRPr="001A1E08">
        <w:rPr>
          <w:rFonts w:cs="Times New Roman"/>
          <w:lang w:val="fr-CA"/>
        </w:rPr>
        <w:t xml:space="preserve"> par.</w:t>
      </w:r>
      <w:r w:rsidR="006412AC">
        <w:rPr>
          <w:rFonts w:cs="Times New Roman"/>
          <w:lang w:val="fr-CA"/>
        </w:rPr>
        <w:t xml:space="preserve"> </w:t>
      </w:r>
      <w:r w:rsidRPr="001A1E08">
        <w:rPr>
          <w:rFonts w:cs="Times New Roman"/>
          <w:lang w:val="fr-CA"/>
        </w:rPr>
        <w:t xml:space="preserve">153.  Elle a donc ordonné au transporteur aérien d’instaurer dans les six mois suivant le jugement un système de surveillance visant à </w:t>
      </w:r>
      <w:r w:rsidR="006412AC">
        <w:rPr>
          <w:rFonts w:cs="Times New Roman"/>
          <w:lang w:val="fr-CA"/>
        </w:rPr>
        <w:t>« </w:t>
      </w:r>
      <w:r w:rsidRPr="001A1E08">
        <w:rPr>
          <w:rFonts w:cs="Times New Roman"/>
          <w:lang w:val="fr-CA"/>
        </w:rPr>
        <w:t>rapidement identifier, documenter et quantifier d’éventuelles violations à ses obligations linguistiques</w:t>
      </w:r>
      <w:r w:rsidR="006412AC">
        <w:rPr>
          <w:rFonts w:cs="Times New Roman"/>
          <w:lang w:val="fr-CA"/>
        </w:rPr>
        <w:t> » :</w:t>
      </w:r>
      <w:r w:rsidRPr="001A1E08">
        <w:rPr>
          <w:rFonts w:cs="Times New Roman"/>
          <w:lang w:val="fr-CA"/>
        </w:rPr>
        <w:t xml:space="preserve"> motifs de la juge saisie de la demande, p.</w:t>
      </w:r>
      <w:r w:rsidR="006412AC">
        <w:rPr>
          <w:rFonts w:cs="Times New Roman"/>
          <w:lang w:val="fr-CA"/>
        </w:rPr>
        <w:t xml:space="preserve"> </w:t>
      </w:r>
      <w:r w:rsidRPr="001A1E08">
        <w:rPr>
          <w:rFonts w:cs="Times New Roman"/>
          <w:lang w:val="fr-CA"/>
        </w:rPr>
        <w:t>153.</w:t>
      </w:r>
    </w:p>
    <w:p w:rsidR="00367456" w:rsidRPr="001A1E08" w:rsidRDefault="00367456" w:rsidP="00A12DCE">
      <w:pPr>
        <w:pStyle w:val="Title3LevelTitre3Niveau"/>
        <w:widowControl w:val="0"/>
        <w:rPr>
          <w:rFonts w:cs="Times New Roman"/>
          <w:lang w:val="fr-CA"/>
        </w:rPr>
      </w:pPr>
      <w:r w:rsidRPr="001A1E08">
        <w:rPr>
          <w:rFonts w:cs="Times New Roman"/>
          <w:lang w:val="fr-CA"/>
        </w:rPr>
        <w:t>Cour d’appel fédérale, la juge Trudel, avec l’accord des juges Pelletier et Gauthier</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Air Canada a interjeté appel de ces conclusions et, le 25 septembre 2012, la Cour d’appel fédérale a accueilli l’appel et annulé les dommages</w:t>
      </w:r>
      <w:r w:rsidR="006412AC">
        <w:rPr>
          <w:rFonts w:cs="Times New Roman"/>
          <w:lang w:val="fr-CA"/>
        </w:rPr>
        <w:t>-</w:t>
      </w:r>
      <w:r w:rsidRPr="001A1E08">
        <w:rPr>
          <w:rFonts w:cs="Times New Roman"/>
          <w:lang w:val="fr-CA"/>
        </w:rPr>
        <w:t>intérêts octroyés pour les trois plaintes visant les faits survenus à bord des vols d’Air Canada (la demande de dommages</w:t>
      </w:r>
      <w:r w:rsidR="006412AC">
        <w:rPr>
          <w:rFonts w:cs="Times New Roman"/>
          <w:lang w:val="fr-CA"/>
        </w:rPr>
        <w:t>-</w:t>
      </w:r>
      <w:r w:rsidRPr="001A1E08">
        <w:rPr>
          <w:rFonts w:cs="Times New Roman"/>
          <w:lang w:val="fr-CA"/>
        </w:rPr>
        <w:t>intérêts relative à l’annonce concernant la réception des bagages à l’aéroport de Toronto n’a pas fait l’objet d’un appel</w:t>
      </w:r>
      <w:r w:rsidR="006412AC">
        <w:rPr>
          <w:rFonts w:cs="Times New Roman"/>
          <w:lang w:val="fr-CA"/>
        </w:rPr>
        <w:t> :</w:t>
      </w:r>
      <w:r w:rsidRPr="001A1E08">
        <w:rPr>
          <w:rFonts w:cs="Times New Roman"/>
          <w:lang w:val="fr-CA"/>
        </w:rPr>
        <w:t xml:space="preserve"> mémoire d’Air</w:t>
      </w:r>
      <w:r w:rsidR="006412AC">
        <w:rPr>
          <w:rFonts w:cs="Times New Roman"/>
          <w:lang w:val="fr-CA"/>
        </w:rPr>
        <w:t xml:space="preserve"> </w:t>
      </w:r>
      <w:r w:rsidRPr="001A1E08">
        <w:rPr>
          <w:rFonts w:cs="Times New Roman"/>
          <w:lang w:val="fr-CA"/>
        </w:rPr>
        <w:t>Canada, par.</w:t>
      </w:r>
      <w:r w:rsidR="006412AC">
        <w:rPr>
          <w:rFonts w:cs="Times New Roman"/>
          <w:lang w:val="fr-CA"/>
        </w:rPr>
        <w:t xml:space="preserve"> </w:t>
      </w:r>
      <w:r w:rsidRPr="001A1E08">
        <w:rPr>
          <w:rFonts w:cs="Times New Roman"/>
          <w:lang w:val="fr-CA"/>
        </w:rPr>
        <w:t xml:space="preserve">29) et </w:t>
      </w:r>
      <w:r w:rsidR="0078399D">
        <w:rPr>
          <w:rFonts w:cs="Times New Roman"/>
          <w:lang w:val="fr-CA"/>
        </w:rPr>
        <w:t>l’ordonnance structurelle.  La c</w:t>
      </w:r>
      <w:r w:rsidRPr="001A1E08">
        <w:rPr>
          <w:rFonts w:cs="Times New Roman"/>
          <w:lang w:val="fr-CA"/>
        </w:rPr>
        <w:t xml:space="preserve">our d’appel a convenu avec la juge de première instance que la </w:t>
      </w:r>
      <w:r w:rsidRPr="001A1E08">
        <w:rPr>
          <w:rFonts w:cs="Times New Roman"/>
          <w:i/>
          <w:lang w:val="fr-CA"/>
        </w:rPr>
        <w:t>Convention de Montréal</w:t>
      </w:r>
      <w:r w:rsidRPr="001A1E08">
        <w:rPr>
          <w:rFonts w:cs="Times New Roman"/>
          <w:lang w:val="fr-CA"/>
        </w:rPr>
        <w:t xml:space="preserve"> fait obstacle à la demande de dommage</w:t>
      </w:r>
      <w:r w:rsidR="005014C9">
        <w:rPr>
          <w:rFonts w:cs="Times New Roman"/>
          <w:lang w:val="fr-CA"/>
        </w:rPr>
        <w:t>s</w:t>
      </w:r>
      <w:r w:rsidR="006412AC">
        <w:rPr>
          <w:rFonts w:cs="Times New Roman"/>
          <w:lang w:val="fr-CA"/>
        </w:rPr>
        <w:t>-</w:t>
      </w:r>
      <w:r w:rsidRPr="001A1E08">
        <w:rPr>
          <w:rFonts w:cs="Times New Roman"/>
          <w:lang w:val="fr-CA"/>
        </w:rPr>
        <w:t xml:space="preserve">intérêts des Thibodeau, sauf si le pouvoir général de réparation conféré par la </w:t>
      </w:r>
      <w:r w:rsidRPr="001A1E08">
        <w:rPr>
          <w:rFonts w:cs="Times New Roman"/>
          <w:i/>
          <w:lang w:val="fr-CA"/>
        </w:rPr>
        <w:t>LLO</w:t>
      </w:r>
      <w:r w:rsidRPr="001A1E08">
        <w:rPr>
          <w:rFonts w:cs="Times New Roman"/>
          <w:lang w:val="fr-CA"/>
        </w:rPr>
        <w:t xml:space="preserve"> prime cette interdiction</w:t>
      </w:r>
      <w:r w:rsidR="006412AC">
        <w:rPr>
          <w:rFonts w:cs="Times New Roman"/>
          <w:lang w:val="fr-CA"/>
        </w:rPr>
        <w:t> :</w:t>
      </w:r>
      <w:r w:rsidRPr="001A1E08">
        <w:rPr>
          <w:rFonts w:cs="Times New Roman"/>
          <w:lang w:val="fr-CA"/>
        </w:rPr>
        <w:t xml:space="preserve"> par.</w:t>
      </w:r>
      <w:r w:rsidR="006412AC">
        <w:rPr>
          <w:rFonts w:cs="Times New Roman"/>
          <w:lang w:val="fr-CA"/>
        </w:rPr>
        <w:t xml:space="preserve"> </w:t>
      </w:r>
      <w:r w:rsidRPr="001A1E08">
        <w:rPr>
          <w:rFonts w:cs="Times New Roman"/>
          <w:lang w:val="fr-CA"/>
        </w:rPr>
        <w:t>20</w:t>
      </w:r>
      <w:r w:rsidR="006412AC">
        <w:rPr>
          <w:rFonts w:cs="Times New Roman"/>
          <w:lang w:val="fr-CA"/>
        </w:rPr>
        <w:t>-</w:t>
      </w:r>
      <w:r w:rsidR="0078399D">
        <w:rPr>
          <w:rFonts w:cs="Times New Roman"/>
          <w:lang w:val="fr-CA"/>
        </w:rPr>
        <w:t>22.  La c</w:t>
      </w:r>
      <w:r w:rsidRPr="001A1E08">
        <w:rPr>
          <w:rFonts w:cs="Times New Roman"/>
          <w:lang w:val="fr-CA"/>
        </w:rPr>
        <w:t>our d’appel a cependant conclu qu’il n’y avait pas de conflit entre les deux régimes</w:t>
      </w:r>
      <w:r w:rsidR="006412AC">
        <w:rPr>
          <w:rFonts w:cs="Times New Roman"/>
          <w:lang w:val="fr-CA"/>
        </w:rPr>
        <w:t> :</w:t>
      </w:r>
      <w:r w:rsidRPr="001A1E08">
        <w:rPr>
          <w:rFonts w:cs="Times New Roman"/>
          <w:lang w:val="fr-CA"/>
        </w:rPr>
        <w:t xml:space="preserve"> pour décider si une réparation est </w:t>
      </w:r>
      <w:r w:rsidR="006412AC">
        <w:rPr>
          <w:rFonts w:cs="Times New Roman"/>
          <w:lang w:val="fr-CA"/>
        </w:rPr>
        <w:t>« </w:t>
      </w:r>
      <w:r w:rsidRPr="001A1E08">
        <w:rPr>
          <w:rFonts w:cs="Times New Roman"/>
          <w:lang w:val="fr-CA"/>
        </w:rPr>
        <w:t>convenable et juste</w:t>
      </w:r>
      <w:r w:rsidR="006412AC">
        <w:rPr>
          <w:rFonts w:cs="Times New Roman"/>
          <w:lang w:val="fr-CA"/>
        </w:rPr>
        <w:t> »</w:t>
      </w:r>
      <w:r w:rsidRPr="001A1E08">
        <w:rPr>
          <w:rFonts w:cs="Times New Roman"/>
          <w:lang w:val="fr-CA"/>
        </w:rPr>
        <w:t xml:space="preserve"> au sens de la </w:t>
      </w:r>
      <w:r w:rsidRPr="001A1E08">
        <w:rPr>
          <w:rFonts w:cs="Times New Roman"/>
          <w:i/>
          <w:lang w:val="fr-CA"/>
        </w:rPr>
        <w:t>LLO</w:t>
      </w:r>
      <w:r w:rsidRPr="001A1E08">
        <w:rPr>
          <w:rFonts w:cs="Times New Roman"/>
          <w:lang w:val="fr-CA"/>
        </w:rPr>
        <w:t>, le tribunal doit tenir compte du fait qu’il ne peut pas accorder de dommages</w:t>
      </w:r>
      <w:r w:rsidR="006412AC">
        <w:rPr>
          <w:rFonts w:cs="Times New Roman"/>
          <w:lang w:val="fr-CA"/>
        </w:rPr>
        <w:t>-</w:t>
      </w:r>
      <w:r w:rsidRPr="001A1E08">
        <w:rPr>
          <w:rFonts w:cs="Times New Roman"/>
          <w:lang w:val="fr-CA"/>
        </w:rPr>
        <w:t xml:space="preserve">intérêts dans les cas où la </w:t>
      </w:r>
      <w:r w:rsidRPr="001A1E08">
        <w:rPr>
          <w:rFonts w:cs="Times New Roman"/>
          <w:i/>
          <w:lang w:val="fr-CA"/>
        </w:rPr>
        <w:t>Convention de Montréal</w:t>
      </w:r>
      <w:r w:rsidRPr="001A1E08">
        <w:rPr>
          <w:rFonts w:cs="Times New Roman"/>
          <w:lang w:val="fr-CA"/>
        </w:rPr>
        <w:t xml:space="preserve"> s’applique</w:t>
      </w:r>
      <w:r w:rsidR="006412AC">
        <w:rPr>
          <w:rFonts w:cs="Times New Roman"/>
          <w:lang w:val="fr-CA"/>
        </w:rPr>
        <w:t> :</w:t>
      </w:r>
      <w:r w:rsidRPr="001A1E08">
        <w:rPr>
          <w:rFonts w:cs="Times New Roman"/>
          <w:lang w:val="fr-CA"/>
        </w:rPr>
        <w:t xml:space="preserve"> par.</w:t>
      </w:r>
      <w:r w:rsidR="006412AC">
        <w:rPr>
          <w:rFonts w:cs="Times New Roman"/>
          <w:lang w:val="fr-CA"/>
        </w:rPr>
        <w:t xml:space="preserve"> </w:t>
      </w:r>
      <w:r w:rsidRPr="001A1E08">
        <w:rPr>
          <w:rFonts w:cs="Times New Roman"/>
          <w:lang w:val="fr-CA"/>
        </w:rPr>
        <w:t xml:space="preserve">43.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Quant à l’ordonnance structurelle, la Cour d’appel fédérale a conclu qu’elle n’était pas convenable dans les circonstances de l’espèce parce que la preuve était insuffisante et que l’ordonnance était trop imprécise pour être exécutée comme il </w:t>
      </w:r>
      <w:r w:rsidRPr="001A1E08">
        <w:rPr>
          <w:rFonts w:cs="Times New Roman"/>
          <w:lang w:val="fr-CA"/>
        </w:rPr>
        <w:lastRenderedPageBreak/>
        <w:t>se doit</w:t>
      </w:r>
      <w:r w:rsidR="006412AC">
        <w:rPr>
          <w:rFonts w:cs="Times New Roman"/>
          <w:lang w:val="fr-CA"/>
        </w:rPr>
        <w:t> :</w:t>
      </w:r>
      <w:r w:rsidRPr="001A1E08">
        <w:rPr>
          <w:rFonts w:cs="Times New Roman"/>
          <w:lang w:val="fr-CA"/>
        </w:rPr>
        <w:t xml:space="preserve"> par.</w:t>
      </w:r>
      <w:r w:rsidR="006412AC">
        <w:rPr>
          <w:rFonts w:cs="Times New Roman"/>
          <w:lang w:val="fr-CA"/>
        </w:rPr>
        <w:t xml:space="preserve"> </w:t>
      </w:r>
      <w:r w:rsidRPr="001A1E08">
        <w:rPr>
          <w:rFonts w:cs="Times New Roman"/>
          <w:lang w:val="fr-CA"/>
        </w:rPr>
        <w:t>74</w:t>
      </w:r>
      <w:r w:rsidR="006412AC">
        <w:rPr>
          <w:rFonts w:cs="Times New Roman"/>
          <w:lang w:val="fr-CA"/>
        </w:rPr>
        <w:t>-</w:t>
      </w:r>
      <w:r w:rsidRPr="001A1E08">
        <w:rPr>
          <w:rFonts w:cs="Times New Roman"/>
          <w:lang w:val="fr-CA"/>
        </w:rPr>
        <w:t>76.</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Notre Cour a accordé à M.</w:t>
      </w:r>
      <w:r w:rsidR="006412AC">
        <w:rPr>
          <w:rFonts w:cs="Times New Roman"/>
          <w:lang w:val="fr-CA"/>
        </w:rPr>
        <w:t xml:space="preserve"> </w:t>
      </w:r>
      <w:r w:rsidRPr="001A1E08">
        <w:rPr>
          <w:rFonts w:cs="Times New Roman"/>
          <w:lang w:val="fr-CA"/>
        </w:rPr>
        <w:t>et à M</w:t>
      </w:r>
      <w:r w:rsidRPr="001A1E08">
        <w:rPr>
          <w:rFonts w:cs="Times New Roman"/>
          <w:vertAlign w:val="superscript"/>
          <w:lang w:val="fr-CA"/>
        </w:rPr>
        <w:t>me</w:t>
      </w:r>
      <w:r w:rsidR="006412AC">
        <w:rPr>
          <w:rFonts w:cs="Times New Roman"/>
          <w:lang w:val="fr-CA"/>
        </w:rPr>
        <w:t xml:space="preserve"> </w:t>
      </w:r>
      <w:r w:rsidRPr="001A1E08">
        <w:rPr>
          <w:rFonts w:cs="Times New Roman"/>
          <w:lang w:val="fr-CA"/>
        </w:rPr>
        <w:t>Thibodeau l’autorisation d’interjeter appel et, dans le même jugement, elle a accordé le statut d’appelant au commissaire aux langues officielles du Canada.  Ces parties sont désignées collectivement ci</w:t>
      </w:r>
      <w:r w:rsidR="006412AC">
        <w:rPr>
          <w:rFonts w:cs="Times New Roman"/>
          <w:lang w:val="fr-CA"/>
        </w:rPr>
        <w:t>-</w:t>
      </w:r>
      <w:r w:rsidRPr="001A1E08">
        <w:rPr>
          <w:rFonts w:cs="Times New Roman"/>
          <w:lang w:val="fr-CA"/>
        </w:rPr>
        <w:t xml:space="preserve">après les appelants. </w:t>
      </w:r>
    </w:p>
    <w:p w:rsidR="00367456" w:rsidRPr="001A1E08" w:rsidRDefault="00367456" w:rsidP="00A12DCE">
      <w:pPr>
        <w:pStyle w:val="Title1LevelTitre1Niveau-AltL"/>
        <w:widowControl w:val="0"/>
        <w:rPr>
          <w:rFonts w:cs="Times New Roman"/>
          <w:lang w:val="fr-CA"/>
        </w:rPr>
      </w:pPr>
      <w:r w:rsidRPr="001A1E08">
        <w:rPr>
          <w:rFonts w:cs="Times New Roman"/>
          <w:lang w:val="fr-CA"/>
        </w:rPr>
        <w:t>Analyse</w:t>
      </w:r>
    </w:p>
    <w:p w:rsidR="00367456" w:rsidRPr="001A1E08" w:rsidRDefault="00367456" w:rsidP="005014C9">
      <w:pPr>
        <w:pStyle w:val="Title2LevelTitre2Niveau"/>
        <w:widowControl w:val="0"/>
        <w:jc w:val="both"/>
        <w:rPr>
          <w:rFonts w:cs="Times New Roman"/>
          <w:lang w:val="fr-CA"/>
        </w:rPr>
      </w:pPr>
      <w:r w:rsidRPr="001A1E08">
        <w:rPr>
          <w:rFonts w:cs="Times New Roman"/>
          <w:lang w:val="fr-CA"/>
        </w:rPr>
        <w:t>La Convention de Montréal exclut</w:t>
      </w:r>
      <w:r w:rsidR="006412AC">
        <w:rPr>
          <w:rFonts w:cs="Times New Roman"/>
          <w:lang w:val="fr-CA"/>
        </w:rPr>
        <w:t>-</w:t>
      </w:r>
      <w:r w:rsidRPr="001A1E08">
        <w:rPr>
          <w:rFonts w:cs="Times New Roman"/>
          <w:lang w:val="fr-CA"/>
        </w:rPr>
        <w:t>elle le recours en dommages</w:t>
      </w:r>
      <w:r w:rsidR="006412AC">
        <w:rPr>
          <w:rFonts w:cs="Times New Roman"/>
          <w:lang w:val="fr-CA"/>
        </w:rPr>
        <w:t>-</w:t>
      </w:r>
      <w:r w:rsidRPr="001A1E08">
        <w:rPr>
          <w:rFonts w:cs="Times New Roman"/>
          <w:lang w:val="fr-CA"/>
        </w:rPr>
        <w:t>intérêts prévu par la Loi sur les langues officielles?</w:t>
      </w:r>
    </w:p>
    <w:p w:rsidR="00367456" w:rsidRPr="001A1E08" w:rsidRDefault="00367456" w:rsidP="00A12DCE">
      <w:pPr>
        <w:pStyle w:val="Title3LevelTitre3Niveau"/>
        <w:widowControl w:val="0"/>
        <w:ind w:left="862" w:hanging="431"/>
        <w:rPr>
          <w:rFonts w:cs="Times New Roman"/>
          <w:lang w:val="fr-CA"/>
        </w:rPr>
      </w:pPr>
      <w:r w:rsidRPr="001A1E08">
        <w:rPr>
          <w:rFonts w:cs="Times New Roman"/>
          <w:lang w:val="fr-CA"/>
        </w:rPr>
        <w:t>Arguments des appelants</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Les appelants avancent trois arguments principaux au soutien de leur thèse selon laquelle la </w:t>
      </w:r>
      <w:r w:rsidRPr="001A1E08">
        <w:rPr>
          <w:rFonts w:cs="Times New Roman"/>
          <w:i/>
          <w:lang w:val="fr-CA"/>
        </w:rPr>
        <w:t>Convention de Montréal</w:t>
      </w:r>
      <w:r w:rsidRPr="001A1E08">
        <w:rPr>
          <w:rFonts w:cs="Times New Roman"/>
          <w:lang w:val="fr-CA"/>
        </w:rPr>
        <w:t xml:space="preserve"> n’a pas pour objet d’exclure l’exercice d’un recours en dommages</w:t>
      </w:r>
      <w:r w:rsidR="006412AC">
        <w:rPr>
          <w:rFonts w:cs="Times New Roman"/>
          <w:lang w:val="fr-CA"/>
        </w:rPr>
        <w:t>-</w:t>
      </w:r>
      <w:r w:rsidRPr="001A1E08">
        <w:rPr>
          <w:rFonts w:cs="Times New Roman"/>
          <w:lang w:val="fr-CA"/>
        </w:rPr>
        <w:t xml:space="preserve">intérêts fondé sur la </w:t>
      </w:r>
      <w:r w:rsidRPr="001A1E08">
        <w:rPr>
          <w:rFonts w:cs="Times New Roman"/>
          <w:i/>
          <w:lang w:val="fr-CA"/>
        </w:rPr>
        <w:t>LLO</w:t>
      </w:r>
      <w:r w:rsidR="006412AC">
        <w:rPr>
          <w:rFonts w:cs="Times New Roman"/>
          <w:lang w:val="fr-CA"/>
        </w:rPr>
        <w:t> :</w:t>
      </w:r>
    </w:p>
    <w:p w:rsidR="00367456" w:rsidRPr="001A1E08" w:rsidRDefault="00367456" w:rsidP="005014C9">
      <w:pPr>
        <w:pStyle w:val="Citation-AltC"/>
        <w:widowControl w:val="0"/>
        <w:spacing w:after="480" w:line="480" w:lineRule="auto"/>
        <w:ind w:left="720" w:hanging="720"/>
        <w:contextualSpacing w:val="0"/>
        <w:rPr>
          <w:lang w:val="fr-CA"/>
        </w:rPr>
      </w:pPr>
      <w:r w:rsidRPr="001A1E08">
        <w:rPr>
          <w:lang w:val="fr-CA"/>
        </w:rPr>
        <w:t>1.</w:t>
      </w:r>
      <w:r w:rsidRPr="001A1E08">
        <w:rPr>
          <w:lang w:val="fr-CA"/>
        </w:rPr>
        <w:tab/>
        <w:t xml:space="preserve">La </w:t>
      </w:r>
      <w:r w:rsidRPr="001A1E08">
        <w:rPr>
          <w:i/>
          <w:lang w:val="fr-CA"/>
        </w:rPr>
        <w:t>Convention de Montréal</w:t>
      </w:r>
      <w:r w:rsidRPr="001A1E08">
        <w:rPr>
          <w:lang w:val="fr-CA"/>
        </w:rPr>
        <w:t xml:space="preserve"> ne s’applique qu’aux recours de droit privé, non aux recours légaux en matière de droits fondamentaux, tels que les droits linguistiques.</w:t>
      </w:r>
    </w:p>
    <w:p w:rsidR="00367456" w:rsidRPr="001A1E08" w:rsidRDefault="00367456" w:rsidP="005014C9">
      <w:pPr>
        <w:pStyle w:val="Citation-AltC"/>
        <w:widowControl w:val="0"/>
        <w:spacing w:after="480" w:line="480" w:lineRule="auto"/>
        <w:ind w:left="720" w:hanging="720"/>
        <w:contextualSpacing w:val="0"/>
        <w:rPr>
          <w:lang w:val="fr-CA"/>
        </w:rPr>
      </w:pPr>
      <w:r w:rsidRPr="001A1E08">
        <w:rPr>
          <w:lang w:val="fr-CA"/>
        </w:rPr>
        <w:t>2.</w:t>
      </w:r>
      <w:r w:rsidRPr="001A1E08">
        <w:rPr>
          <w:lang w:val="fr-CA"/>
        </w:rPr>
        <w:tab/>
      </w:r>
      <w:r>
        <w:rPr>
          <w:lang w:val="fr-CA"/>
        </w:rPr>
        <w:t>L</w:t>
      </w:r>
      <w:r w:rsidRPr="001A1E08">
        <w:rPr>
          <w:lang w:val="fr-CA"/>
        </w:rPr>
        <w:t xml:space="preserve">a </w:t>
      </w:r>
      <w:r w:rsidRPr="005014C9">
        <w:rPr>
          <w:i/>
          <w:lang w:val="fr-CA"/>
        </w:rPr>
        <w:t xml:space="preserve">Convention </w:t>
      </w:r>
      <w:r w:rsidRPr="001A1E08">
        <w:rPr>
          <w:i/>
          <w:lang w:val="fr-CA"/>
        </w:rPr>
        <w:t>de Montréal</w:t>
      </w:r>
      <w:r w:rsidRPr="001A1E08">
        <w:rPr>
          <w:lang w:val="fr-CA"/>
        </w:rPr>
        <w:t xml:space="preserve"> </w:t>
      </w:r>
      <w:r>
        <w:rPr>
          <w:lang w:val="fr-CA"/>
        </w:rPr>
        <w:t>exclut uniquement les dommages</w:t>
      </w:r>
      <w:r w:rsidR="006412AC">
        <w:rPr>
          <w:lang w:val="fr-CA"/>
        </w:rPr>
        <w:t>-</w:t>
      </w:r>
      <w:r>
        <w:rPr>
          <w:lang w:val="fr-CA"/>
        </w:rPr>
        <w:t xml:space="preserve">intérêts pour les préjudices </w:t>
      </w:r>
      <w:r w:rsidR="006412AC">
        <w:rPr>
          <w:lang w:val="fr-CA"/>
        </w:rPr>
        <w:t>« </w:t>
      </w:r>
      <w:r>
        <w:rPr>
          <w:lang w:val="fr-CA"/>
        </w:rPr>
        <w:t>individuels</w:t>
      </w:r>
      <w:r w:rsidR="006412AC">
        <w:rPr>
          <w:lang w:val="fr-CA"/>
        </w:rPr>
        <w:t> »</w:t>
      </w:r>
      <w:r>
        <w:rPr>
          <w:lang w:val="fr-CA"/>
        </w:rPr>
        <w:t xml:space="preserve"> et non pour les préjudices appelant des réparations </w:t>
      </w:r>
      <w:r w:rsidR="006412AC">
        <w:rPr>
          <w:lang w:val="fr-CA"/>
        </w:rPr>
        <w:t>« </w:t>
      </w:r>
      <w:r w:rsidRPr="001A1E08">
        <w:rPr>
          <w:lang w:val="fr-CA"/>
        </w:rPr>
        <w:t>standardisées</w:t>
      </w:r>
      <w:r w:rsidR="006412AC">
        <w:rPr>
          <w:lang w:val="fr-CA"/>
        </w:rPr>
        <w:t> »</w:t>
      </w:r>
      <w:r w:rsidRPr="001A1E08">
        <w:rPr>
          <w:lang w:val="fr-CA"/>
        </w:rPr>
        <w:t>.</w:t>
      </w:r>
    </w:p>
    <w:p w:rsidR="00367456" w:rsidRPr="001A1E08" w:rsidRDefault="00367456" w:rsidP="005014C9">
      <w:pPr>
        <w:pStyle w:val="Citation-AltC"/>
        <w:widowControl w:val="0"/>
        <w:spacing w:after="480" w:line="480" w:lineRule="auto"/>
        <w:ind w:left="720" w:hanging="720"/>
        <w:contextualSpacing w:val="0"/>
        <w:rPr>
          <w:lang w:val="fr-CA"/>
        </w:rPr>
      </w:pPr>
      <w:r w:rsidRPr="001A1E08">
        <w:rPr>
          <w:lang w:val="fr-CA"/>
        </w:rPr>
        <w:lastRenderedPageBreak/>
        <w:t>3.</w:t>
      </w:r>
      <w:r w:rsidRPr="001A1E08">
        <w:rPr>
          <w:lang w:val="fr-CA"/>
        </w:rPr>
        <w:tab/>
        <w:t xml:space="preserve">Les demandes des appelants ne relèvent pas du champ d’application temporel de la limite imposée aux recours par la </w:t>
      </w:r>
      <w:r w:rsidRPr="001A1E08">
        <w:rPr>
          <w:i/>
          <w:lang w:val="fr-CA"/>
        </w:rPr>
        <w:t>Convention de Montréal</w:t>
      </w:r>
      <w:r w:rsidRPr="001A1E08">
        <w:rPr>
          <w:lang w:val="fr-CA"/>
        </w:rPr>
        <w:t>.</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La Cour fédérale et la Cour d’appel fédérale ont toutes deux estimé que la </w:t>
      </w:r>
      <w:r w:rsidRPr="001A1E08">
        <w:rPr>
          <w:rFonts w:cs="Times New Roman"/>
          <w:i/>
          <w:lang w:val="fr-CA"/>
        </w:rPr>
        <w:t>Convention de Montréal</w:t>
      </w:r>
      <w:r w:rsidRPr="001A1E08">
        <w:rPr>
          <w:rFonts w:cs="Times New Roman"/>
          <w:lang w:val="fr-CA"/>
        </w:rPr>
        <w:t xml:space="preserve"> exclut l’exercice d’un recours en dommages</w:t>
      </w:r>
      <w:r w:rsidR="006412AC">
        <w:rPr>
          <w:rFonts w:cs="Times New Roman"/>
          <w:lang w:val="fr-CA"/>
        </w:rPr>
        <w:t>-</w:t>
      </w:r>
      <w:r w:rsidRPr="001A1E08">
        <w:rPr>
          <w:rFonts w:cs="Times New Roman"/>
          <w:lang w:val="fr-CA"/>
        </w:rPr>
        <w:t xml:space="preserve">intérêts fondé sur la </w:t>
      </w:r>
      <w:r w:rsidRPr="001A1E08">
        <w:rPr>
          <w:rFonts w:cs="Times New Roman"/>
          <w:i/>
          <w:lang w:val="fr-CA"/>
        </w:rPr>
        <w:t>LLO</w:t>
      </w:r>
      <w:r w:rsidRPr="001A1E08">
        <w:rPr>
          <w:rFonts w:cs="Times New Roman"/>
          <w:lang w:val="fr-CA"/>
        </w:rPr>
        <w:t xml:space="preserve">, et je suis d’accord avec elles.  À mon avis, les arguments contraires des appelants reposent sur une perception erronée de l’objet et de la structure de la </w:t>
      </w:r>
      <w:r w:rsidRPr="001A1E08">
        <w:rPr>
          <w:rFonts w:cs="Times New Roman"/>
          <w:i/>
          <w:lang w:val="fr-CA"/>
        </w:rPr>
        <w:t>Convention de Montréal</w:t>
      </w:r>
      <w:r w:rsidRPr="001A1E08">
        <w:rPr>
          <w:rFonts w:cs="Times New Roman"/>
          <w:lang w:val="fr-CA"/>
        </w:rPr>
        <w:t xml:space="preserve"> et sur une interprétation incorrecte de son texte.  Avant d’examiner plus en détail chacun des principaux arguments présentés par les appelants, j’exposerai brièvement certaines considérations importantes quant à l’interprétation de la </w:t>
      </w:r>
      <w:r w:rsidRPr="001A1E08">
        <w:rPr>
          <w:rFonts w:cs="Times New Roman"/>
          <w:i/>
          <w:lang w:val="fr-CA"/>
        </w:rPr>
        <w:t>Convention de Montréal</w:t>
      </w:r>
      <w:r w:rsidRPr="001A1E08">
        <w:rPr>
          <w:rFonts w:cs="Times New Roman"/>
          <w:lang w:val="fr-CA"/>
        </w:rPr>
        <w:t>.</w:t>
      </w:r>
    </w:p>
    <w:p w:rsidR="00367456" w:rsidRPr="001A1E08" w:rsidRDefault="00367456" w:rsidP="00A12DCE">
      <w:pPr>
        <w:pStyle w:val="Title3LevelTitre3Niveau"/>
        <w:widowControl w:val="0"/>
        <w:rPr>
          <w:rFonts w:cs="Times New Roman"/>
          <w:i/>
          <w:lang w:val="fr-CA"/>
        </w:rPr>
      </w:pPr>
      <w:r w:rsidRPr="001A1E08">
        <w:rPr>
          <w:rFonts w:cs="Times New Roman"/>
          <w:lang w:val="fr-CA"/>
        </w:rPr>
        <w:t xml:space="preserve">Interprétation de la </w:t>
      </w:r>
      <w:r w:rsidRPr="001A1E08">
        <w:rPr>
          <w:rFonts w:cs="Times New Roman"/>
          <w:i/>
          <w:lang w:val="fr-CA"/>
        </w:rPr>
        <w:t>Convention de Montréal</w:t>
      </w:r>
    </w:p>
    <w:p w:rsidR="00367456" w:rsidRPr="001A1E08" w:rsidRDefault="00367456" w:rsidP="00F726F4">
      <w:pPr>
        <w:pStyle w:val="Title4LevelTitre4Niveau"/>
        <w:widowControl w:val="0"/>
        <w:ind w:left="892" w:hanging="446"/>
        <w:rPr>
          <w:lang w:val="fr-CA"/>
        </w:rPr>
      </w:pPr>
      <w:r w:rsidRPr="001A1E08">
        <w:rPr>
          <w:lang w:val="fr-CA"/>
        </w:rPr>
        <w:t xml:space="preserve">Aperçu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La </w:t>
      </w:r>
      <w:r w:rsidRPr="001A1E08">
        <w:rPr>
          <w:rFonts w:cs="Times New Roman"/>
          <w:i/>
          <w:lang w:val="fr-CA"/>
        </w:rPr>
        <w:t>Convention de Montréal</w:t>
      </w:r>
      <w:r w:rsidRPr="001A1E08">
        <w:rPr>
          <w:rFonts w:cs="Times New Roman"/>
          <w:lang w:val="fr-CA"/>
        </w:rPr>
        <w:t xml:space="preserve">, qui a été adoptée en 1999 à Montréal, s’applique à tout transport international par aéronef de personnes, de bagages ou de marchandises.  Succédant à la </w:t>
      </w:r>
      <w:r w:rsidRPr="001A1E08">
        <w:rPr>
          <w:rFonts w:cs="Times New Roman"/>
          <w:i/>
          <w:lang w:val="fr-CA"/>
        </w:rPr>
        <w:t>Convention pour</w:t>
      </w:r>
      <w:r w:rsidRPr="001A1E08">
        <w:rPr>
          <w:rFonts w:cs="Times New Roman"/>
          <w:lang w:val="fr-CA"/>
        </w:rPr>
        <w:t xml:space="preserve"> </w:t>
      </w:r>
      <w:r w:rsidRPr="001A1E08">
        <w:rPr>
          <w:rFonts w:cs="Times New Roman"/>
          <w:i/>
          <w:lang w:val="fr-CA"/>
        </w:rPr>
        <w:t>l’unification de certaines règles relatives au transport aérien international</w:t>
      </w:r>
      <w:r w:rsidRPr="001A1E08">
        <w:rPr>
          <w:rFonts w:cs="Times New Roman"/>
          <w:lang w:val="fr-CA"/>
        </w:rPr>
        <w:t xml:space="preserve">, 137 R.T.S.N. 11 (la </w:t>
      </w:r>
      <w:r w:rsidR="006412AC">
        <w:rPr>
          <w:rFonts w:cs="Times New Roman"/>
          <w:lang w:val="fr-CA"/>
        </w:rPr>
        <w:t>« </w:t>
      </w:r>
      <w:r w:rsidRPr="001A1E08">
        <w:rPr>
          <w:rFonts w:cs="Times New Roman"/>
          <w:i/>
          <w:lang w:val="fr-CA"/>
        </w:rPr>
        <w:t>Convention de Varsovie</w:t>
      </w:r>
      <w:r w:rsidR="006412AC">
        <w:rPr>
          <w:rFonts w:cs="Times New Roman"/>
          <w:lang w:val="fr-CA"/>
        </w:rPr>
        <w:t> »</w:t>
      </w:r>
      <w:r w:rsidRPr="001A1E08">
        <w:rPr>
          <w:rFonts w:cs="Times New Roman"/>
          <w:lang w:val="fr-CA"/>
        </w:rPr>
        <w:t xml:space="preserve">), elle a pour objet </w:t>
      </w:r>
      <w:r w:rsidR="006412AC">
        <w:rPr>
          <w:rFonts w:cs="Times New Roman"/>
          <w:lang w:val="fr-CA"/>
        </w:rPr>
        <w:t>« </w:t>
      </w:r>
      <w:r w:rsidRPr="001A1E08">
        <w:rPr>
          <w:rFonts w:cs="Times New Roman"/>
          <w:lang w:val="fr-CA"/>
        </w:rPr>
        <w:t>de moderniser et de refondre la Convention de Varsovie et les instruments connexes</w:t>
      </w:r>
      <w:r w:rsidR="006412AC">
        <w:rPr>
          <w:rFonts w:cs="Times New Roman"/>
          <w:lang w:val="fr-CA"/>
        </w:rPr>
        <w:t> » :</w:t>
      </w:r>
      <w:r w:rsidRPr="001A1E08">
        <w:rPr>
          <w:rFonts w:cs="Times New Roman"/>
          <w:lang w:val="fr-CA"/>
        </w:rPr>
        <w:t xml:space="preserve"> préambule de la </w:t>
      </w:r>
      <w:r w:rsidRPr="001A1E08">
        <w:rPr>
          <w:rFonts w:cs="Times New Roman"/>
          <w:i/>
          <w:lang w:val="fr-CA"/>
        </w:rPr>
        <w:t>Convention</w:t>
      </w:r>
      <w:r w:rsidRPr="001A1E08">
        <w:rPr>
          <w:rFonts w:cs="Times New Roman"/>
          <w:lang w:val="fr-CA"/>
        </w:rPr>
        <w:t xml:space="preserve"> </w:t>
      </w:r>
      <w:r w:rsidRPr="001A1E08">
        <w:rPr>
          <w:rFonts w:cs="Times New Roman"/>
          <w:i/>
          <w:lang w:val="fr-CA"/>
        </w:rPr>
        <w:t xml:space="preserve">de Montréal. </w:t>
      </w:r>
      <w:r w:rsidRPr="001A1E08">
        <w:rPr>
          <w:rFonts w:cs="Times New Roman"/>
          <w:lang w:val="fr-CA"/>
        </w:rPr>
        <w:t xml:space="preserve"> Pour comprendre les objets de la </w:t>
      </w:r>
      <w:r w:rsidRPr="001A1E08">
        <w:rPr>
          <w:rFonts w:cs="Times New Roman"/>
          <w:i/>
          <w:lang w:val="fr-CA"/>
        </w:rPr>
        <w:t>Convention de</w:t>
      </w:r>
      <w:r w:rsidRPr="001A1E08">
        <w:rPr>
          <w:rFonts w:cs="Times New Roman"/>
          <w:lang w:val="fr-CA"/>
        </w:rPr>
        <w:t xml:space="preserve"> </w:t>
      </w:r>
      <w:r w:rsidRPr="001A1E08">
        <w:rPr>
          <w:rFonts w:cs="Times New Roman"/>
          <w:i/>
          <w:lang w:val="fr-CA"/>
        </w:rPr>
        <w:t>Montréal</w:t>
      </w:r>
      <w:r w:rsidRPr="001A1E08">
        <w:rPr>
          <w:rFonts w:cs="Times New Roman"/>
          <w:lang w:val="fr-CA"/>
        </w:rPr>
        <w:t xml:space="preserve">, il nous faut parler de l’instrument qui l’a précédée, la </w:t>
      </w:r>
      <w:r w:rsidRPr="001A1E08">
        <w:rPr>
          <w:rFonts w:cs="Times New Roman"/>
          <w:i/>
          <w:lang w:val="fr-CA"/>
        </w:rPr>
        <w:t>Convention de Varsovie</w:t>
      </w:r>
      <w:r w:rsidRPr="001A1E08">
        <w:rPr>
          <w:rFonts w:cs="Times New Roman"/>
          <w:lang w:val="fr-CA"/>
        </w:rPr>
        <w:t xml:space="preserve">, signée dans cette ville le 12 </w:t>
      </w:r>
      <w:r w:rsidRPr="001A1E08">
        <w:rPr>
          <w:rFonts w:cs="Times New Roman"/>
          <w:lang w:val="fr-CA"/>
        </w:rPr>
        <w:lastRenderedPageBreak/>
        <w:t>octobre 1929, reproduite à l’</w:t>
      </w:r>
      <w:proofErr w:type="spellStart"/>
      <w:r w:rsidRPr="001A1E08">
        <w:rPr>
          <w:rFonts w:cs="Times New Roman"/>
          <w:lang w:val="fr-CA"/>
        </w:rPr>
        <w:t>ann</w:t>
      </w:r>
      <w:proofErr w:type="spellEnd"/>
      <w:r w:rsidRPr="001A1E08">
        <w:rPr>
          <w:rFonts w:cs="Times New Roman"/>
          <w:lang w:val="fr-CA"/>
        </w:rPr>
        <w:t xml:space="preserve">. I de la </w:t>
      </w:r>
      <w:r w:rsidRPr="001A1E08">
        <w:rPr>
          <w:rFonts w:cs="Times New Roman"/>
          <w:i/>
          <w:lang w:val="fr-CA"/>
        </w:rPr>
        <w:t>Loi sur le transport aérien</w:t>
      </w:r>
      <w:r w:rsidRPr="001A1E08">
        <w:rPr>
          <w:rFonts w:cs="Times New Roman"/>
          <w:lang w:val="fr-CA"/>
        </w:rPr>
        <w:t xml:space="preserve"> (modifiée à La Haye en 1955, reproduite à l’</w:t>
      </w:r>
      <w:proofErr w:type="spellStart"/>
      <w:r w:rsidRPr="001A1E08">
        <w:rPr>
          <w:rFonts w:cs="Times New Roman"/>
          <w:lang w:val="fr-CA"/>
        </w:rPr>
        <w:t>ann</w:t>
      </w:r>
      <w:proofErr w:type="spellEnd"/>
      <w:r w:rsidRPr="001A1E08">
        <w:rPr>
          <w:rFonts w:cs="Times New Roman"/>
          <w:lang w:val="fr-CA"/>
        </w:rPr>
        <w:t xml:space="preserve">. III).  Comme les objets des deux conventions sont les mêmes, les décisions et commentaires portant sur la </w:t>
      </w:r>
      <w:r w:rsidRPr="001A1E08">
        <w:rPr>
          <w:rFonts w:cs="Times New Roman"/>
          <w:i/>
          <w:lang w:val="fr-CA"/>
        </w:rPr>
        <w:t>Convention de Varsovie</w:t>
      </w:r>
      <w:r w:rsidRPr="001A1E08">
        <w:rPr>
          <w:rFonts w:cs="Times New Roman"/>
          <w:lang w:val="fr-CA"/>
        </w:rPr>
        <w:t xml:space="preserve"> aident à comprendre ces objets</w:t>
      </w:r>
      <w:r w:rsidR="006412AC">
        <w:rPr>
          <w:rFonts w:cs="Times New Roman"/>
          <w:lang w:val="fr-CA"/>
        </w:rPr>
        <w:t> :</w:t>
      </w:r>
      <w:r w:rsidRPr="001A1E08">
        <w:rPr>
          <w:rFonts w:cs="Times New Roman"/>
          <w:lang w:val="fr-CA"/>
        </w:rPr>
        <w:t xml:space="preserve"> </w:t>
      </w:r>
      <w:proofErr w:type="spellStart"/>
      <w:r w:rsidRPr="001A1E08">
        <w:rPr>
          <w:rFonts w:cs="Times New Roman"/>
          <w:i/>
          <w:lang w:val="fr-CA"/>
        </w:rPr>
        <w:t>Stott</w:t>
      </w:r>
      <w:proofErr w:type="spellEnd"/>
      <w:r w:rsidRPr="001A1E08">
        <w:rPr>
          <w:rFonts w:cs="Times New Roman"/>
          <w:i/>
          <w:lang w:val="fr-CA"/>
        </w:rPr>
        <w:t xml:space="preserve"> c. Thomas Cook Tour </w:t>
      </w:r>
      <w:proofErr w:type="spellStart"/>
      <w:r w:rsidRPr="001A1E08">
        <w:rPr>
          <w:rFonts w:cs="Times New Roman"/>
          <w:i/>
          <w:lang w:val="fr-CA"/>
        </w:rPr>
        <w:t>Operators</w:t>
      </w:r>
      <w:proofErr w:type="spellEnd"/>
      <w:r w:rsidRPr="001A1E08">
        <w:rPr>
          <w:rFonts w:cs="Times New Roman"/>
          <w:i/>
          <w:lang w:val="fr-CA"/>
        </w:rPr>
        <w:t xml:space="preserve"> Ltd.</w:t>
      </w:r>
      <w:r w:rsidRPr="001A1E08">
        <w:rPr>
          <w:rFonts w:cs="Times New Roman"/>
          <w:lang w:val="fr-CA"/>
        </w:rPr>
        <w:t>, [2014] UKSC 15, [2014] 2 W.L.R. 521, par.</w:t>
      </w:r>
      <w:r w:rsidR="006412AC">
        <w:rPr>
          <w:rFonts w:cs="Times New Roman"/>
          <w:lang w:val="fr-CA"/>
        </w:rPr>
        <w:t xml:space="preserve"> </w:t>
      </w:r>
      <w:r w:rsidRPr="001A1E08">
        <w:rPr>
          <w:rFonts w:cs="Times New Roman"/>
          <w:lang w:val="fr-CA"/>
        </w:rPr>
        <w:t>24</w:t>
      </w:r>
      <w:r w:rsidR="006412AC">
        <w:rPr>
          <w:rFonts w:cs="Times New Roman"/>
          <w:lang w:val="fr-CA"/>
        </w:rPr>
        <w:t>-</w:t>
      </w:r>
      <w:r w:rsidRPr="001A1E08">
        <w:rPr>
          <w:rFonts w:cs="Times New Roman"/>
          <w:lang w:val="fr-CA"/>
        </w:rPr>
        <w:t>25; P.</w:t>
      </w:r>
      <w:r w:rsidR="006412AC">
        <w:rPr>
          <w:rFonts w:cs="Times New Roman"/>
          <w:lang w:val="fr-CA"/>
        </w:rPr>
        <w:t xml:space="preserve"> </w:t>
      </w:r>
      <w:r w:rsidRPr="001A1E08">
        <w:rPr>
          <w:rFonts w:cs="Times New Roman"/>
          <w:lang w:val="fr-CA"/>
        </w:rPr>
        <w:t>S.</w:t>
      </w:r>
      <w:r w:rsidR="006412AC">
        <w:rPr>
          <w:rFonts w:cs="Times New Roman"/>
          <w:lang w:val="fr-CA"/>
        </w:rPr>
        <w:t xml:space="preserve"> </w:t>
      </w:r>
      <w:r w:rsidRPr="001A1E08">
        <w:rPr>
          <w:rFonts w:cs="Times New Roman"/>
          <w:lang w:val="fr-CA"/>
        </w:rPr>
        <w:t xml:space="preserve">Dempsey, </w:t>
      </w:r>
      <w:r w:rsidRPr="001A1E08">
        <w:rPr>
          <w:rFonts w:cs="Times New Roman"/>
          <w:i/>
          <w:lang w:val="fr-CA"/>
        </w:rPr>
        <w:t xml:space="preserve">Aviation </w:t>
      </w:r>
      <w:proofErr w:type="spellStart"/>
      <w:r w:rsidRPr="001A1E08">
        <w:rPr>
          <w:rFonts w:cs="Times New Roman"/>
          <w:i/>
          <w:lang w:val="fr-CA"/>
        </w:rPr>
        <w:t>Liability</w:t>
      </w:r>
      <w:proofErr w:type="spellEnd"/>
      <w:r w:rsidRPr="001A1E08">
        <w:rPr>
          <w:rFonts w:cs="Times New Roman"/>
          <w:i/>
          <w:lang w:val="fr-CA"/>
        </w:rPr>
        <w:t xml:space="preserve"> Law</w:t>
      </w:r>
      <w:r w:rsidRPr="001A1E08">
        <w:rPr>
          <w:rFonts w:cs="Times New Roman"/>
          <w:lang w:val="fr-CA"/>
        </w:rPr>
        <w:t xml:space="preserve"> (2</w:t>
      </w:r>
      <w:r w:rsidRPr="001A1E08">
        <w:rPr>
          <w:rFonts w:cs="Times New Roman"/>
          <w:vertAlign w:val="superscript"/>
          <w:lang w:val="fr-CA"/>
        </w:rPr>
        <w:t>e</w:t>
      </w:r>
      <w:r w:rsidRPr="001A1E08">
        <w:rPr>
          <w:rFonts w:cs="Times New Roman"/>
          <w:lang w:val="fr-CA"/>
        </w:rPr>
        <w:t xml:space="preserve"> éd. 2013), p.</w:t>
      </w:r>
      <w:r w:rsidR="006412AC">
        <w:rPr>
          <w:rFonts w:cs="Times New Roman"/>
          <w:lang w:val="fr-CA"/>
        </w:rPr>
        <w:t xml:space="preserve"> </w:t>
      </w:r>
      <w:r w:rsidR="000F2761">
        <w:rPr>
          <w:rFonts w:cs="Times New Roman"/>
          <w:lang w:val="fr-CA"/>
        </w:rPr>
        <w:t>304;</w:t>
      </w:r>
      <w:r w:rsidRPr="001A1E08">
        <w:rPr>
          <w:rFonts w:cs="Times New Roman"/>
          <w:lang w:val="fr-CA"/>
        </w:rPr>
        <w:t xml:space="preserve"> P.</w:t>
      </w:r>
      <w:r w:rsidR="006412AC">
        <w:rPr>
          <w:rFonts w:cs="Times New Roman"/>
          <w:lang w:val="fr-CA"/>
        </w:rPr>
        <w:t xml:space="preserve"> </w:t>
      </w:r>
      <w:r w:rsidRPr="001A1E08">
        <w:rPr>
          <w:rFonts w:cs="Times New Roman"/>
          <w:lang w:val="fr-CA"/>
        </w:rPr>
        <w:t>S.</w:t>
      </w:r>
      <w:r w:rsidR="006412AC">
        <w:rPr>
          <w:rFonts w:cs="Times New Roman"/>
          <w:lang w:val="fr-CA"/>
        </w:rPr>
        <w:t xml:space="preserve"> </w:t>
      </w:r>
      <w:r w:rsidRPr="001A1E08">
        <w:rPr>
          <w:rFonts w:cs="Times New Roman"/>
          <w:lang w:val="fr-CA"/>
        </w:rPr>
        <w:t>Dempsey et M.</w:t>
      </w:r>
      <w:r w:rsidR="006412AC">
        <w:rPr>
          <w:rFonts w:cs="Times New Roman"/>
          <w:lang w:val="fr-CA"/>
        </w:rPr>
        <w:t xml:space="preserve"> </w:t>
      </w:r>
      <w:proofErr w:type="spellStart"/>
      <w:r w:rsidRPr="001A1E08">
        <w:rPr>
          <w:rFonts w:cs="Times New Roman"/>
          <w:lang w:val="fr-CA"/>
        </w:rPr>
        <w:t>Milde</w:t>
      </w:r>
      <w:proofErr w:type="spellEnd"/>
      <w:r w:rsidRPr="001A1E08">
        <w:rPr>
          <w:rFonts w:cs="Times New Roman"/>
          <w:lang w:val="fr-CA"/>
        </w:rPr>
        <w:t xml:space="preserve">, </w:t>
      </w:r>
      <w:r w:rsidRPr="001A1E08">
        <w:rPr>
          <w:rFonts w:cs="Times New Roman"/>
          <w:i/>
          <w:lang w:val="fr-CA"/>
        </w:rPr>
        <w:t xml:space="preserve">International Air Carrier </w:t>
      </w:r>
      <w:proofErr w:type="spellStart"/>
      <w:r w:rsidRPr="001A1E08">
        <w:rPr>
          <w:rFonts w:cs="Times New Roman"/>
          <w:i/>
          <w:lang w:val="fr-CA"/>
        </w:rPr>
        <w:t>Liability</w:t>
      </w:r>
      <w:proofErr w:type="spellEnd"/>
      <w:r w:rsidR="005014C9">
        <w:rPr>
          <w:rFonts w:cs="Times New Roman"/>
          <w:i/>
          <w:lang w:val="fr-CA"/>
        </w:rPr>
        <w:t xml:space="preserve"> : T</w:t>
      </w:r>
      <w:r w:rsidRPr="001A1E08">
        <w:rPr>
          <w:rFonts w:cs="Times New Roman"/>
          <w:i/>
          <w:lang w:val="fr-CA"/>
        </w:rPr>
        <w:t xml:space="preserve">he </w:t>
      </w:r>
      <w:proofErr w:type="spellStart"/>
      <w:r w:rsidRPr="001A1E08">
        <w:rPr>
          <w:rFonts w:cs="Times New Roman"/>
          <w:i/>
          <w:lang w:val="fr-CA"/>
        </w:rPr>
        <w:t>Montreal</w:t>
      </w:r>
      <w:proofErr w:type="spellEnd"/>
      <w:r w:rsidRPr="001A1E08">
        <w:rPr>
          <w:rFonts w:cs="Times New Roman"/>
          <w:i/>
          <w:lang w:val="fr-CA"/>
        </w:rPr>
        <w:t xml:space="preserve"> Convention of 1999</w:t>
      </w:r>
      <w:r w:rsidRPr="001A1E08">
        <w:rPr>
          <w:rFonts w:cs="Times New Roman"/>
          <w:lang w:val="fr-CA"/>
        </w:rPr>
        <w:t xml:space="preserve"> (2005), p.</w:t>
      </w:r>
      <w:r w:rsidR="006412AC">
        <w:rPr>
          <w:rFonts w:cs="Times New Roman"/>
          <w:lang w:val="fr-CA"/>
        </w:rPr>
        <w:t xml:space="preserve"> </w:t>
      </w:r>
      <w:r w:rsidRPr="001A1E08">
        <w:rPr>
          <w:rFonts w:cs="Times New Roman"/>
          <w:lang w:val="fr-CA"/>
        </w:rPr>
        <w:t xml:space="preserve">7.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Les nombreuses tentatives faites en vue de réviser la </w:t>
      </w:r>
      <w:r w:rsidRPr="001A1E08">
        <w:rPr>
          <w:rFonts w:cs="Times New Roman"/>
          <w:i/>
          <w:lang w:val="fr-CA"/>
        </w:rPr>
        <w:t>Convention de</w:t>
      </w:r>
      <w:r w:rsidRPr="001A1E08">
        <w:rPr>
          <w:rFonts w:cs="Times New Roman"/>
          <w:lang w:val="fr-CA"/>
        </w:rPr>
        <w:t xml:space="preserve"> </w:t>
      </w:r>
      <w:r w:rsidRPr="001A1E08">
        <w:rPr>
          <w:rFonts w:cs="Times New Roman"/>
          <w:i/>
          <w:lang w:val="fr-CA"/>
        </w:rPr>
        <w:t>Varsovie</w:t>
      </w:r>
      <w:r w:rsidRPr="001A1E08">
        <w:rPr>
          <w:rFonts w:cs="Times New Roman"/>
          <w:lang w:val="fr-CA"/>
        </w:rPr>
        <w:t xml:space="preserve"> ont finalement abouti à la </w:t>
      </w:r>
      <w:r w:rsidRPr="001A1E08">
        <w:rPr>
          <w:rFonts w:cs="Times New Roman"/>
          <w:i/>
          <w:lang w:val="fr-CA"/>
        </w:rPr>
        <w:t>Convention de Montréal</w:t>
      </w:r>
      <w:r w:rsidRPr="001A1E08">
        <w:rPr>
          <w:rFonts w:cs="Times New Roman"/>
          <w:lang w:val="fr-CA"/>
        </w:rPr>
        <w:t>, qui nous intéresse directement en l’espèce</w:t>
      </w:r>
      <w:r w:rsidR="006412AC">
        <w:rPr>
          <w:rFonts w:cs="Times New Roman"/>
          <w:lang w:val="fr-CA"/>
        </w:rPr>
        <w:t> :</w:t>
      </w:r>
      <w:r w:rsidRPr="001A1E08">
        <w:rPr>
          <w:rFonts w:cs="Times New Roman"/>
          <w:lang w:val="fr-CA"/>
        </w:rPr>
        <w:t xml:space="preserve"> voir</w:t>
      </w:r>
      <w:r w:rsidR="0078399D">
        <w:rPr>
          <w:rFonts w:cs="Times New Roman"/>
          <w:lang w:val="fr-CA"/>
        </w:rPr>
        <w:t>,</w:t>
      </w:r>
      <w:r w:rsidRPr="001A1E08">
        <w:rPr>
          <w:rFonts w:cs="Times New Roman"/>
          <w:lang w:val="fr-CA"/>
        </w:rPr>
        <w:t xml:space="preserve"> p.</w:t>
      </w:r>
      <w:r w:rsidR="006412AC">
        <w:rPr>
          <w:rFonts w:cs="Times New Roman"/>
          <w:lang w:val="fr-CA"/>
        </w:rPr>
        <w:t xml:space="preserve"> </w:t>
      </w:r>
      <w:r w:rsidRPr="001A1E08">
        <w:rPr>
          <w:rFonts w:cs="Times New Roman"/>
          <w:lang w:val="fr-CA"/>
        </w:rPr>
        <w:t>ex.</w:t>
      </w:r>
      <w:r w:rsidR="0078399D">
        <w:rPr>
          <w:rFonts w:cs="Times New Roman"/>
          <w:lang w:val="fr-CA"/>
        </w:rPr>
        <w:t>,</w:t>
      </w:r>
      <w:r w:rsidRPr="001A1E08">
        <w:rPr>
          <w:rFonts w:cs="Times New Roman"/>
          <w:lang w:val="fr-CA"/>
        </w:rPr>
        <w:t xml:space="preserve"> le </w:t>
      </w:r>
      <w:r w:rsidRPr="001A1E08">
        <w:rPr>
          <w:rFonts w:cs="Times New Roman"/>
          <w:i/>
          <w:lang w:val="fr-CA"/>
        </w:rPr>
        <w:t>Protocole de Montréal N</w:t>
      </w:r>
      <w:r w:rsidRPr="001A1E08">
        <w:rPr>
          <w:rFonts w:cs="Times New Roman"/>
          <w:i/>
          <w:vertAlign w:val="superscript"/>
          <w:lang w:val="fr-CA"/>
        </w:rPr>
        <w:t>o</w:t>
      </w:r>
      <w:r w:rsidR="006412AC">
        <w:rPr>
          <w:rFonts w:cs="Times New Roman"/>
          <w:i/>
          <w:lang w:val="fr-CA"/>
        </w:rPr>
        <w:t xml:space="preserve"> </w:t>
      </w:r>
      <w:r w:rsidRPr="001A1E08">
        <w:rPr>
          <w:rFonts w:cs="Times New Roman"/>
          <w:i/>
          <w:lang w:val="fr-CA"/>
        </w:rPr>
        <w:t>4 portant modification de la Convention pour l’unification de certaines règles relatives au transport aérien international signée à Varsovie le 12</w:t>
      </w:r>
      <w:r w:rsidR="006412AC">
        <w:rPr>
          <w:rFonts w:cs="Times New Roman"/>
          <w:i/>
          <w:lang w:val="fr-CA"/>
        </w:rPr>
        <w:t xml:space="preserve"> </w:t>
      </w:r>
      <w:r w:rsidRPr="001A1E08">
        <w:rPr>
          <w:rFonts w:cs="Times New Roman"/>
          <w:i/>
          <w:lang w:val="fr-CA"/>
        </w:rPr>
        <w:t>octobre</w:t>
      </w:r>
      <w:r w:rsidR="0032002D">
        <w:rPr>
          <w:rFonts w:cs="Times New Roman"/>
          <w:i/>
          <w:lang w:val="fr-CA"/>
        </w:rPr>
        <w:t xml:space="preserve"> </w:t>
      </w:r>
      <w:r w:rsidRPr="001A1E08">
        <w:rPr>
          <w:rFonts w:cs="Times New Roman"/>
          <w:i/>
          <w:lang w:val="fr-CA"/>
        </w:rPr>
        <w:t>1929</w:t>
      </w:r>
      <w:r w:rsidR="00115EFF">
        <w:rPr>
          <w:rFonts w:cs="Times New Roman"/>
          <w:i/>
          <w:lang w:val="fr-CA"/>
        </w:rPr>
        <w:t xml:space="preserve"> amendée par le P</w:t>
      </w:r>
      <w:r w:rsidRPr="001A1E08">
        <w:rPr>
          <w:rFonts w:cs="Times New Roman"/>
          <w:i/>
          <w:lang w:val="fr-CA"/>
        </w:rPr>
        <w:t>rotocole fait à La Haye le 28</w:t>
      </w:r>
      <w:r w:rsidR="006412AC">
        <w:rPr>
          <w:rFonts w:cs="Times New Roman"/>
          <w:i/>
          <w:lang w:val="fr-CA"/>
        </w:rPr>
        <w:t xml:space="preserve"> </w:t>
      </w:r>
      <w:r w:rsidRPr="001A1E08">
        <w:rPr>
          <w:rFonts w:cs="Times New Roman"/>
          <w:i/>
          <w:lang w:val="fr-CA"/>
        </w:rPr>
        <w:t>septembre 1955</w:t>
      </w:r>
      <w:r w:rsidR="0032002D">
        <w:rPr>
          <w:rFonts w:cs="Times New Roman"/>
          <w:lang w:val="fr-CA"/>
        </w:rPr>
        <w:t>, 2145 R.T.N.U. 31</w:t>
      </w:r>
      <w:r w:rsidRPr="001A1E08">
        <w:rPr>
          <w:rFonts w:cs="Times New Roman"/>
          <w:lang w:val="fr-CA"/>
        </w:rPr>
        <w:t>, figurant à l’</w:t>
      </w:r>
      <w:proofErr w:type="spellStart"/>
      <w:r w:rsidRPr="001A1E08">
        <w:rPr>
          <w:rFonts w:cs="Times New Roman"/>
          <w:lang w:val="fr-CA"/>
        </w:rPr>
        <w:t>ann</w:t>
      </w:r>
      <w:proofErr w:type="spellEnd"/>
      <w:r w:rsidRPr="001A1E08">
        <w:rPr>
          <w:rFonts w:cs="Times New Roman"/>
          <w:lang w:val="fr-CA"/>
        </w:rPr>
        <w:t>.</w:t>
      </w:r>
      <w:r w:rsidR="006412AC">
        <w:rPr>
          <w:rFonts w:cs="Times New Roman"/>
          <w:lang w:val="fr-CA"/>
        </w:rPr>
        <w:t xml:space="preserve"> </w:t>
      </w:r>
      <w:r w:rsidRPr="001A1E08">
        <w:rPr>
          <w:rFonts w:cs="Times New Roman"/>
          <w:lang w:val="fr-CA"/>
        </w:rPr>
        <w:t xml:space="preserve">IV de la </w:t>
      </w:r>
      <w:r w:rsidRPr="001A1E08">
        <w:rPr>
          <w:rFonts w:cs="Times New Roman"/>
          <w:i/>
          <w:lang w:val="fr-CA"/>
        </w:rPr>
        <w:t>Loi sur le transport aérien</w:t>
      </w:r>
      <w:r w:rsidRPr="001A1E08">
        <w:rPr>
          <w:rFonts w:cs="Times New Roman"/>
          <w:lang w:val="fr-CA"/>
        </w:rPr>
        <w:t xml:space="preserve">.  Pour un exposé détaillé de ces modifications ayant mené à la </w:t>
      </w:r>
      <w:r w:rsidRPr="001A1E08">
        <w:rPr>
          <w:rFonts w:cs="Times New Roman"/>
          <w:i/>
          <w:lang w:val="fr-CA"/>
        </w:rPr>
        <w:t>Convention de Montréal</w:t>
      </w:r>
      <w:r w:rsidRPr="001A1E08">
        <w:rPr>
          <w:rFonts w:cs="Times New Roman"/>
          <w:lang w:val="fr-CA"/>
        </w:rPr>
        <w:t>, voir J. D.</w:t>
      </w:r>
      <w:r w:rsidR="006412AC">
        <w:rPr>
          <w:rFonts w:cs="Times New Roman"/>
          <w:lang w:val="fr-CA"/>
        </w:rPr>
        <w:t xml:space="preserve"> </w:t>
      </w:r>
      <w:proofErr w:type="spellStart"/>
      <w:r w:rsidR="0078399D">
        <w:rPr>
          <w:rFonts w:cs="Times New Roman"/>
          <w:lang w:val="fr-CA"/>
        </w:rPr>
        <w:t>Mcl</w:t>
      </w:r>
      <w:r w:rsidRPr="001A1E08">
        <w:rPr>
          <w:rFonts w:cs="Times New Roman"/>
          <w:lang w:val="fr-CA"/>
        </w:rPr>
        <w:t>ean</w:t>
      </w:r>
      <w:proofErr w:type="spellEnd"/>
      <w:r w:rsidRPr="001A1E08">
        <w:rPr>
          <w:rFonts w:cs="Times New Roman"/>
          <w:lang w:val="fr-CA"/>
        </w:rPr>
        <w:t xml:space="preserve"> et autres, </w:t>
      </w:r>
      <w:proofErr w:type="spellStart"/>
      <w:proofErr w:type="gramStart"/>
      <w:r w:rsidR="0032002D">
        <w:rPr>
          <w:rFonts w:cs="Times New Roman"/>
          <w:lang w:val="fr-CA"/>
        </w:rPr>
        <w:t>dir</w:t>
      </w:r>
      <w:proofErr w:type="spellEnd"/>
      <w:r w:rsidRPr="001A1E08">
        <w:rPr>
          <w:rFonts w:cs="Times New Roman"/>
          <w:lang w:val="fr-CA"/>
        </w:rPr>
        <w:t>.,</w:t>
      </w:r>
      <w:proofErr w:type="gramEnd"/>
      <w:r w:rsidRPr="001A1E08">
        <w:rPr>
          <w:rFonts w:cs="Times New Roman"/>
          <w:lang w:val="fr-CA"/>
        </w:rPr>
        <w:t xml:space="preserve"> </w:t>
      </w:r>
      <w:proofErr w:type="spellStart"/>
      <w:r w:rsidRPr="001A1E08">
        <w:rPr>
          <w:rFonts w:cs="Times New Roman"/>
          <w:i/>
          <w:lang w:val="fr-CA"/>
        </w:rPr>
        <w:t>Shawcross</w:t>
      </w:r>
      <w:proofErr w:type="spellEnd"/>
      <w:r w:rsidRPr="001A1E08">
        <w:rPr>
          <w:rFonts w:cs="Times New Roman"/>
          <w:i/>
          <w:lang w:val="fr-CA"/>
        </w:rPr>
        <w:t xml:space="preserve"> and Beaumont</w:t>
      </w:r>
      <w:r w:rsidR="0032002D">
        <w:rPr>
          <w:rFonts w:cs="Times New Roman"/>
          <w:i/>
          <w:lang w:val="fr-CA"/>
        </w:rPr>
        <w:t xml:space="preserve"> </w:t>
      </w:r>
      <w:r w:rsidRPr="001A1E08">
        <w:rPr>
          <w:rFonts w:cs="Times New Roman"/>
          <w:i/>
          <w:lang w:val="fr-CA"/>
        </w:rPr>
        <w:t>: Air Law</w:t>
      </w:r>
      <w:r w:rsidRPr="001A1E08">
        <w:rPr>
          <w:rFonts w:cs="Times New Roman"/>
          <w:lang w:val="fr-CA"/>
        </w:rPr>
        <w:t xml:space="preserve"> (feuilles mobiles), p.</w:t>
      </w:r>
      <w:r w:rsidR="006412AC">
        <w:rPr>
          <w:rFonts w:cs="Times New Roman"/>
          <w:lang w:val="fr-CA"/>
        </w:rPr>
        <w:t xml:space="preserve"> </w:t>
      </w:r>
      <w:r w:rsidRPr="001A1E08">
        <w:rPr>
          <w:rFonts w:cs="Times New Roman"/>
          <w:lang w:val="fr-CA"/>
        </w:rPr>
        <w:t>VII</w:t>
      </w:r>
      <w:r w:rsidR="006412AC">
        <w:rPr>
          <w:rFonts w:cs="Times New Roman"/>
          <w:lang w:val="fr-CA"/>
        </w:rPr>
        <w:t>-</w:t>
      </w:r>
      <w:r w:rsidRPr="001A1E08">
        <w:rPr>
          <w:rFonts w:cs="Times New Roman"/>
          <w:lang w:val="fr-CA"/>
        </w:rPr>
        <w:t>103 à VII</w:t>
      </w:r>
      <w:r w:rsidR="006412AC">
        <w:rPr>
          <w:rFonts w:cs="Times New Roman"/>
          <w:lang w:val="fr-CA"/>
        </w:rPr>
        <w:t>-</w:t>
      </w:r>
      <w:r w:rsidRPr="001A1E08">
        <w:rPr>
          <w:rFonts w:cs="Times New Roman"/>
          <w:lang w:val="fr-CA"/>
        </w:rPr>
        <w:t xml:space="preserve">165.  La </w:t>
      </w:r>
      <w:r w:rsidRPr="001A1E08">
        <w:rPr>
          <w:rFonts w:cs="Times New Roman"/>
          <w:i/>
          <w:lang w:val="fr-CA"/>
        </w:rPr>
        <w:t>Convention de Montréal</w:t>
      </w:r>
      <w:r w:rsidRPr="001A1E08">
        <w:rPr>
          <w:rFonts w:cs="Times New Roman"/>
          <w:lang w:val="fr-CA"/>
        </w:rPr>
        <w:t xml:space="preserve"> est le fruit du travail des délégués d’environ 120 États qui se sont réunis à Montréal en 1999</w:t>
      </w:r>
      <w:r w:rsidR="006412AC">
        <w:rPr>
          <w:rFonts w:cs="Times New Roman"/>
          <w:lang w:val="fr-CA"/>
        </w:rPr>
        <w:t> :</w:t>
      </w:r>
      <w:r w:rsidRPr="001A1E08">
        <w:rPr>
          <w:rFonts w:cs="Times New Roman"/>
          <w:lang w:val="fr-CA"/>
        </w:rPr>
        <w:t xml:space="preserve"> L.</w:t>
      </w:r>
      <w:r w:rsidR="006412AC">
        <w:rPr>
          <w:rFonts w:cs="Times New Roman"/>
          <w:lang w:val="fr-CA"/>
        </w:rPr>
        <w:t xml:space="preserve"> </w:t>
      </w:r>
      <w:r w:rsidRPr="001A1E08">
        <w:rPr>
          <w:rFonts w:cs="Times New Roman"/>
          <w:lang w:val="fr-CA"/>
        </w:rPr>
        <w:t>Weber et A.</w:t>
      </w:r>
      <w:r w:rsidR="006412AC">
        <w:rPr>
          <w:rFonts w:cs="Times New Roman"/>
          <w:lang w:val="fr-CA"/>
        </w:rPr>
        <w:t xml:space="preserve"> </w:t>
      </w:r>
      <w:r w:rsidRPr="001A1E08">
        <w:rPr>
          <w:rFonts w:cs="Times New Roman"/>
          <w:lang w:val="fr-CA"/>
        </w:rPr>
        <w:t xml:space="preserve">Jakob, </w:t>
      </w:r>
      <w:r w:rsidR="006412AC">
        <w:rPr>
          <w:rFonts w:cs="Times New Roman"/>
          <w:lang w:val="fr-CA"/>
        </w:rPr>
        <w:t>« </w:t>
      </w:r>
      <w:r w:rsidRPr="001A1E08">
        <w:rPr>
          <w:rFonts w:cs="Times New Roman"/>
          <w:lang w:val="fr-CA"/>
        </w:rPr>
        <w:t xml:space="preserve">The </w:t>
      </w:r>
      <w:proofErr w:type="spellStart"/>
      <w:r w:rsidRPr="001A1E08">
        <w:rPr>
          <w:rFonts w:cs="Times New Roman"/>
          <w:lang w:val="fr-CA"/>
        </w:rPr>
        <w:t>Modernization</w:t>
      </w:r>
      <w:proofErr w:type="spellEnd"/>
      <w:r w:rsidRPr="001A1E08">
        <w:rPr>
          <w:rFonts w:cs="Times New Roman"/>
          <w:lang w:val="fr-CA"/>
        </w:rPr>
        <w:t xml:space="preserve"> of the </w:t>
      </w:r>
      <w:proofErr w:type="spellStart"/>
      <w:r w:rsidRPr="001A1E08">
        <w:rPr>
          <w:rFonts w:cs="Times New Roman"/>
          <w:lang w:val="fr-CA"/>
        </w:rPr>
        <w:t>Warsaw</w:t>
      </w:r>
      <w:proofErr w:type="spellEnd"/>
      <w:r w:rsidRPr="001A1E08">
        <w:rPr>
          <w:rFonts w:cs="Times New Roman"/>
          <w:lang w:val="fr-CA"/>
        </w:rPr>
        <w:t xml:space="preserve"> System</w:t>
      </w:r>
      <w:r w:rsidR="0032002D">
        <w:rPr>
          <w:rFonts w:cs="Times New Roman"/>
          <w:lang w:val="fr-CA"/>
        </w:rPr>
        <w:t xml:space="preserve"> </w:t>
      </w:r>
      <w:r w:rsidR="00C82EE3">
        <w:rPr>
          <w:rFonts w:cs="Times New Roman"/>
          <w:lang w:val="fr-CA"/>
        </w:rPr>
        <w:t xml:space="preserve">: </w:t>
      </w:r>
      <w:r w:rsidRPr="001A1E08">
        <w:rPr>
          <w:rFonts w:cs="Times New Roman"/>
          <w:lang w:val="fr-CA"/>
        </w:rPr>
        <w:t xml:space="preserve">The </w:t>
      </w:r>
      <w:proofErr w:type="spellStart"/>
      <w:r w:rsidRPr="001A1E08">
        <w:rPr>
          <w:rFonts w:cs="Times New Roman"/>
          <w:lang w:val="fr-CA"/>
        </w:rPr>
        <w:t>Montreal</w:t>
      </w:r>
      <w:proofErr w:type="spellEnd"/>
      <w:r w:rsidRPr="001A1E08">
        <w:rPr>
          <w:rFonts w:cs="Times New Roman"/>
          <w:lang w:val="fr-CA"/>
        </w:rPr>
        <w:t xml:space="preserve"> Convention of 1999</w:t>
      </w:r>
      <w:r w:rsidR="006412AC">
        <w:rPr>
          <w:rFonts w:cs="Times New Roman"/>
          <w:lang w:val="fr-CA"/>
        </w:rPr>
        <w:t> »</w:t>
      </w:r>
      <w:r w:rsidRPr="001A1E08">
        <w:rPr>
          <w:rFonts w:cs="Times New Roman"/>
          <w:lang w:val="fr-CA"/>
        </w:rPr>
        <w:t xml:space="preserve"> (1999), 24 </w:t>
      </w:r>
      <w:r w:rsidRPr="001A1E08">
        <w:rPr>
          <w:rFonts w:cs="Times New Roman"/>
          <w:i/>
          <w:lang w:val="fr-CA"/>
        </w:rPr>
        <w:t>Ann. Air &amp; Sp.</w:t>
      </w:r>
      <w:r w:rsidR="006412AC">
        <w:rPr>
          <w:rFonts w:cs="Times New Roman"/>
          <w:i/>
          <w:lang w:val="fr-CA"/>
        </w:rPr>
        <w:t xml:space="preserve"> </w:t>
      </w:r>
      <w:r w:rsidRPr="001A1E08">
        <w:rPr>
          <w:rFonts w:cs="Times New Roman"/>
          <w:i/>
          <w:lang w:val="fr-CA"/>
        </w:rPr>
        <w:t xml:space="preserve">L. </w:t>
      </w:r>
      <w:r w:rsidRPr="001A1E08">
        <w:rPr>
          <w:rFonts w:cs="Times New Roman"/>
          <w:lang w:val="fr-CA"/>
        </w:rPr>
        <w:t>333, p.</w:t>
      </w:r>
      <w:r w:rsidR="006412AC">
        <w:rPr>
          <w:rFonts w:cs="Times New Roman"/>
          <w:lang w:val="fr-CA"/>
        </w:rPr>
        <w:t xml:space="preserve"> </w:t>
      </w:r>
      <w:r w:rsidRPr="001A1E08">
        <w:rPr>
          <w:rFonts w:cs="Times New Roman"/>
          <w:lang w:val="fr-CA"/>
        </w:rPr>
        <w:t>334</w:t>
      </w:r>
      <w:r w:rsidR="006412AC">
        <w:rPr>
          <w:rFonts w:cs="Times New Roman"/>
          <w:lang w:val="fr-CA"/>
        </w:rPr>
        <w:t>-</w:t>
      </w:r>
      <w:r>
        <w:rPr>
          <w:rFonts w:cs="Times New Roman"/>
          <w:lang w:val="fr-CA"/>
        </w:rPr>
        <w:t>3</w:t>
      </w:r>
      <w:r w:rsidRPr="001A1E08">
        <w:rPr>
          <w:rFonts w:cs="Times New Roman"/>
          <w:lang w:val="fr-CA"/>
        </w:rPr>
        <w:t>35; Dempsey, p.</w:t>
      </w:r>
      <w:r w:rsidR="006412AC">
        <w:rPr>
          <w:rFonts w:cs="Times New Roman"/>
          <w:lang w:val="fr-CA"/>
        </w:rPr>
        <w:t xml:space="preserve"> </w:t>
      </w:r>
      <w:r w:rsidRPr="001A1E08">
        <w:rPr>
          <w:rFonts w:cs="Times New Roman"/>
          <w:lang w:val="fr-CA"/>
        </w:rPr>
        <w:t>3</w:t>
      </w:r>
      <w:r w:rsidR="0032002D">
        <w:rPr>
          <w:rFonts w:cs="Times New Roman"/>
          <w:lang w:val="fr-CA"/>
        </w:rPr>
        <w:t>36;</w:t>
      </w:r>
      <w:r w:rsidRPr="001A1E08">
        <w:rPr>
          <w:rFonts w:cs="Times New Roman"/>
          <w:lang w:val="fr-CA"/>
        </w:rPr>
        <w:t xml:space="preserve"> Dempsey et </w:t>
      </w:r>
      <w:proofErr w:type="spellStart"/>
      <w:r w:rsidRPr="001A1E08">
        <w:rPr>
          <w:rFonts w:cs="Times New Roman"/>
          <w:lang w:val="fr-CA"/>
        </w:rPr>
        <w:t>Milde</w:t>
      </w:r>
      <w:proofErr w:type="spellEnd"/>
      <w:r w:rsidRPr="001A1E08">
        <w:rPr>
          <w:rFonts w:cs="Times New Roman"/>
          <w:lang w:val="fr-CA"/>
        </w:rPr>
        <w:t>, p.</w:t>
      </w:r>
      <w:r w:rsidR="006412AC">
        <w:rPr>
          <w:rFonts w:cs="Times New Roman"/>
          <w:lang w:val="fr-CA"/>
        </w:rPr>
        <w:t xml:space="preserve"> </w:t>
      </w:r>
      <w:r w:rsidRPr="001A1E08">
        <w:rPr>
          <w:rFonts w:cs="Times New Roman"/>
          <w:lang w:val="fr-CA"/>
        </w:rPr>
        <w:t>36</w:t>
      </w:r>
      <w:r w:rsidR="006412AC">
        <w:rPr>
          <w:rFonts w:cs="Times New Roman"/>
          <w:lang w:val="fr-CA"/>
        </w:rPr>
        <w:t>-</w:t>
      </w:r>
      <w:r w:rsidRPr="001A1E08">
        <w:rPr>
          <w:rFonts w:cs="Times New Roman"/>
          <w:lang w:val="fr-CA"/>
        </w:rPr>
        <w:t xml:space="preserve">41.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La </w:t>
      </w:r>
      <w:r w:rsidRPr="001A1E08">
        <w:rPr>
          <w:rFonts w:cs="Times New Roman"/>
          <w:i/>
          <w:lang w:val="fr-CA"/>
        </w:rPr>
        <w:t>Convention de Montréal</w:t>
      </w:r>
      <w:r w:rsidRPr="001A1E08">
        <w:rPr>
          <w:rFonts w:cs="Times New Roman"/>
          <w:lang w:val="fr-CA"/>
        </w:rPr>
        <w:t xml:space="preserve"> a été ratifiée par le Canada en 2002 et est entrée en vigueur en 2003.  Elle est incorporée au droit fédéral canadien par l’effet de </w:t>
      </w:r>
      <w:r w:rsidRPr="001A1E08">
        <w:rPr>
          <w:rFonts w:cs="Times New Roman"/>
          <w:lang w:val="fr-CA"/>
        </w:rPr>
        <w:lastRenderedPageBreak/>
        <w:t>l’art.</w:t>
      </w:r>
      <w:r w:rsidR="006412AC">
        <w:rPr>
          <w:rFonts w:cs="Times New Roman"/>
          <w:lang w:val="fr-CA"/>
        </w:rPr>
        <w:t xml:space="preserve"> </w:t>
      </w:r>
      <w:r w:rsidRPr="001A1E08">
        <w:rPr>
          <w:rFonts w:cs="Times New Roman"/>
          <w:lang w:val="fr-CA"/>
        </w:rPr>
        <w:t xml:space="preserve">2 de la </w:t>
      </w:r>
      <w:r w:rsidRPr="001A1E08">
        <w:rPr>
          <w:rFonts w:cs="Times New Roman"/>
          <w:i/>
          <w:lang w:val="fr-CA"/>
        </w:rPr>
        <w:t>Loi sur le transport aérien</w:t>
      </w:r>
      <w:r w:rsidRPr="001A1E08">
        <w:rPr>
          <w:rFonts w:cs="Times New Roman"/>
          <w:lang w:val="fr-CA"/>
        </w:rPr>
        <w:t>, et son texte figure à l’</w:t>
      </w:r>
      <w:proofErr w:type="spellStart"/>
      <w:r w:rsidRPr="001A1E08">
        <w:rPr>
          <w:rFonts w:cs="Times New Roman"/>
          <w:lang w:val="fr-CA"/>
        </w:rPr>
        <w:t>ann</w:t>
      </w:r>
      <w:proofErr w:type="spellEnd"/>
      <w:r w:rsidRPr="001A1E08">
        <w:rPr>
          <w:rFonts w:cs="Times New Roman"/>
          <w:lang w:val="fr-CA"/>
        </w:rPr>
        <w:t>.</w:t>
      </w:r>
      <w:r w:rsidR="006412AC">
        <w:rPr>
          <w:rFonts w:cs="Times New Roman"/>
          <w:lang w:val="fr-CA"/>
        </w:rPr>
        <w:t xml:space="preserve"> </w:t>
      </w:r>
      <w:r w:rsidRPr="001A1E08">
        <w:rPr>
          <w:rFonts w:cs="Times New Roman"/>
          <w:lang w:val="fr-CA"/>
        </w:rPr>
        <w:t xml:space="preserve">VI de cette loi.  La </w:t>
      </w:r>
      <w:r w:rsidRPr="001A1E08">
        <w:rPr>
          <w:rFonts w:cs="Times New Roman"/>
          <w:i/>
          <w:lang w:val="fr-CA"/>
        </w:rPr>
        <w:t>Convention de Montréal</w:t>
      </w:r>
      <w:r w:rsidRPr="001A1E08">
        <w:rPr>
          <w:rFonts w:cs="Times New Roman"/>
          <w:lang w:val="fr-CA"/>
        </w:rPr>
        <w:t xml:space="preserve"> reprend essentiellement la structure et le libellé des différentes versions de la </w:t>
      </w:r>
      <w:r w:rsidRPr="001A1E08">
        <w:rPr>
          <w:rFonts w:cs="Times New Roman"/>
          <w:i/>
          <w:lang w:val="fr-CA"/>
        </w:rPr>
        <w:t>Convention de Varsovie</w:t>
      </w:r>
      <w:r w:rsidRPr="001A1E08">
        <w:rPr>
          <w:rFonts w:cs="Times New Roman"/>
          <w:lang w:val="fr-CA"/>
        </w:rPr>
        <w:t>, et maintient le même compromis entre la limitation de la responsabilité des transporteurs aériens et la facilitation des recours des consommateurs</w:t>
      </w:r>
      <w:r w:rsidR="006412AC">
        <w:rPr>
          <w:rFonts w:cs="Times New Roman"/>
          <w:lang w:val="fr-CA"/>
        </w:rPr>
        <w:t> :</w:t>
      </w:r>
      <w:r w:rsidRPr="001A1E08">
        <w:rPr>
          <w:rFonts w:cs="Times New Roman"/>
          <w:lang w:val="fr-CA"/>
        </w:rPr>
        <w:t xml:space="preserve"> Dempsey, p.</w:t>
      </w:r>
      <w:r w:rsidR="006412AC">
        <w:rPr>
          <w:rFonts w:cs="Times New Roman"/>
          <w:lang w:val="fr-CA"/>
        </w:rPr>
        <w:t xml:space="preserve"> </w:t>
      </w:r>
      <w:r w:rsidRPr="001A1E08">
        <w:rPr>
          <w:rFonts w:cs="Times New Roman"/>
          <w:lang w:val="fr-CA"/>
        </w:rPr>
        <w:t>310 et 338</w:t>
      </w:r>
      <w:r w:rsidR="006412AC">
        <w:rPr>
          <w:rFonts w:cs="Times New Roman"/>
          <w:lang w:val="fr-CA"/>
        </w:rPr>
        <w:t>-</w:t>
      </w:r>
      <w:r w:rsidR="0078399D">
        <w:rPr>
          <w:rFonts w:cs="Times New Roman"/>
          <w:lang w:val="fr-CA"/>
        </w:rPr>
        <w:t xml:space="preserve">340; </w:t>
      </w:r>
      <w:proofErr w:type="spellStart"/>
      <w:r w:rsidRPr="001A1E08">
        <w:rPr>
          <w:rFonts w:cs="Times New Roman"/>
          <w:i/>
          <w:lang w:val="fr-CA"/>
        </w:rPr>
        <w:t>Shawcross</w:t>
      </w:r>
      <w:proofErr w:type="spellEnd"/>
      <w:r w:rsidRPr="001A1E08">
        <w:rPr>
          <w:rFonts w:cs="Times New Roman"/>
          <w:i/>
          <w:lang w:val="fr-CA"/>
        </w:rPr>
        <w:t xml:space="preserve"> and Beaumont</w:t>
      </w:r>
      <w:r w:rsidRPr="001A1E08">
        <w:rPr>
          <w:rFonts w:cs="Times New Roman"/>
          <w:lang w:val="fr-CA"/>
        </w:rPr>
        <w:t>, p.</w:t>
      </w:r>
      <w:r w:rsidR="006412AC">
        <w:rPr>
          <w:rFonts w:cs="Times New Roman"/>
          <w:lang w:val="fr-CA"/>
        </w:rPr>
        <w:t xml:space="preserve"> </w:t>
      </w:r>
      <w:r w:rsidRPr="001A1E08">
        <w:rPr>
          <w:rFonts w:cs="Times New Roman"/>
          <w:lang w:val="fr-CA"/>
        </w:rPr>
        <w:t>VII</w:t>
      </w:r>
      <w:r w:rsidR="006412AC">
        <w:rPr>
          <w:rFonts w:cs="Times New Roman"/>
          <w:lang w:val="fr-CA"/>
        </w:rPr>
        <w:t>-</w:t>
      </w:r>
      <w:r w:rsidRPr="001A1E08">
        <w:rPr>
          <w:rFonts w:cs="Times New Roman"/>
          <w:lang w:val="fr-CA"/>
        </w:rPr>
        <w:t xml:space="preserve">251.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La question soulevée par le présent</w:t>
      </w:r>
      <w:r w:rsidR="0032002D">
        <w:rPr>
          <w:rFonts w:cs="Times New Roman"/>
          <w:lang w:val="fr-CA"/>
        </w:rPr>
        <w:t xml:space="preserve"> pourvoi est de savoir si l’article</w:t>
      </w:r>
      <w:r w:rsidR="006412AC">
        <w:rPr>
          <w:rFonts w:cs="Times New Roman"/>
          <w:lang w:val="fr-CA"/>
        </w:rPr>
        <w:t xml:space="preserve"> </w:t>
      </w:r>
      <w:r w:rsidRPr="001A1E08">
        <w:rPr>
          <w:rFonts w:cs="Times New Roman"/>
          <w:lang w:val="fr-CA"/>
        </w:rPr>
        <w:t xml:space="preserve">29 de la </w:t>
      </w:r>
      <w:r w:rsidRPr="001A1E08">
        <w:rPr>
          <w:rFonts w:cs="Times New Roman"/>
          <w:i/>
          <w:lang w:val="fr-CA"/>
        </w:rPr>
        <w:t>Convention de Montréal</w:t>
      </w:r>
      <w:r w:rsidRPr="001A1E08">
        <w:rPr>
          <w:rFonts w:cs="Times New Roman"/>
          <w:lang w:val="fr-CA"/>
        </w:rPr>
        <w:t>, lequel limite les recours en dommages</w:t>
      </w:r>
      <w:r w:rsidR="006412AC">
        <w:rPr>
          <w:rFonts w:cs="Times New Roman"/>
          <w:lang w:val="fr-CA"/>
        </w:rPr>
        <w:t>-</w:t>
      </w:r>
      <w:r w:rsidRPr="001A1E08">
        <w:rPr>
          <w:rFonts w:cs="Times New Roman"/>
          <w:lang w:val="fr-CA"/>
        </w:rPr>
        <w:t>intérêts qui peuvent être exercés en cas de préjudice survenu pendant un transport aérien international, exclut les demandes de dommages</w:t>
      </w:r>
      <w:r w:rsidR="006412AC">
        <w:rPr>
          <w:rFonts w:cs="Times New Roman"/>
          <w:lang w:val="fr-CA"/>
        </w:rPr>
        <w:t>-</w:t>
      </w:r>
      <w:r w:rsidRPr="001A1E08">
        <w:rPr>
          <w:rFonts w:cs="Times New Roman"/>
          <w:lang w:val="fr-CA"/>
        </w:rPr>
        <w:t xml:space="preserve">intérêts des Thibodeau.  Je passe donc à l’interprétation de cet article.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Je commence en citant le principe fondamental </w:t>
      </w:r>
      <w:r w:rsidR="00833970">
        <w:rPr>
          <w:rFonts w:cs="Times New Roman"/>
          <w:lang w:val="fr-CA"/>
        </w:rPr>
        <w:t>d’interprétation énoncé à l’article</w:t>
      </w:r>
      <w:r w:rsidR="006412AC">
        <w:rPr>
          <w:rFonts w:cs="Times New Roman"/>
          <w:lang w:val="fr-CA"/>
        </w:rPr>
        <w:t xml:space="preserve"> </w:t>
      </w:r>
      <w:r w:rsidRPr="001A1E08">
        <w:rPr>
          <w:rFonts w:cs="Times New Roman"/>
          <w:lang w:val="fr-CA"/>
        </w:rPr>
        <w:t xml:space="preserve">31 de la </w:t>
      </w:r>
      <w:r w:rsidRPr="001A1E08">
        <w:rPr>
          <w:rFonts w:cs="Times New Roman"/>
          <w:i/>
          <w:iCs/>
          <w:lang w:val="fr-CA"/>
        </w:rPr>
        <w:t>Convention de Vienne sur le droit des traités</w:t>
      </w:r>
      <w:r w:rsidRPr="001A1E08">
        <w:rPr>
          <w:rFonts w:cs="Times New Roman"/>
          <w:lang w:val="fr-CA"/>
        </w:rPr>
        <w:t>, R.T. Can. 1980</w:t>
      </w:r>
      <w:r w:rsidR="006412AC">
        <w:rPr>
          <w:rFonts w:cs="Times New Roman"/>
          <w:lang w:val="fr-CA"/>
        </w:rPr>
        <w:t xml:space="preserve"> </w:t>
      </w:r>
      <w:r w:rsidRPr="001A1E08">
        <w:rPr>
          <w:rFonts w:cs="Times New Roman"/>
          <w:lang w:val="fr-CA"/>
        </w:rPr>
        <w:t>n</w:t>
      </w:r>
      <w:r w:rsidRPr="001A1E08">
        <w:rPr>
          <w:rFonts w:cs="Times New Roman"/>
          <w:vertAlign w:val="superscript"/>
          <w:lang w:val="fr-CA"/>
        </w:rPr>
        <w:t>o</w:t>
      </w:r>
      <w:r w:rsidRPr="001A1E08">
        <w:rPr>
          <w:rFonts w:cs="Times New Roman"/>
          <w:lang w:val="fr-CA"/>
        </w:rPr>
        <w:t xml:space="preserve"> 37</w:t>
      </w:r>
      <w:r w:rsidR="006412AC">
        <w:rPr>
          <w:rFonts w:cs="Times New Roman"/>
          <w:lang w:val="fr-CA"/>
        </w:rPr>
        <w:t> </w:t>
      </w:r>
      <w:proofErr w:type="gramStart"/>
      <w:r w:rsidR="006412AC">
        <w:rPr>
          <w:rFonts w:cs="Times New Roman"/>
          <w:lang w:val="fr-CA"/>
        </w:rPr>
        <w:t>:</w:t>
      </w:r>
      <w:r w:rsidRPr="001A1E08">
        <w:rPr>
          <w:rFonts w:cs="Times New Roman"/>
          <w:lang w:val="fr-CA"/>
        </w:rPr>
        <w:t xml:space="preserve">  </w:t>
      </w:r>
      <w:r w:rsidR="006412AC">
        <w:rPr>
          <w:rFonts w:cs="Times New Roman"/>
          <w:lang w:val="fr-CA"/>
        </w:rPr>
        <w:t>«</w:t>
      </w:r>
      <w:proofErr w:type="gramEnd"/>
      <w:r w:rsidR="006412AC">
        <w:rPr>
          <w:rFonts w:cs="Times New Roman"/>
          <w:lang w:val="fr-CA"/>
        </w:rPr>
        <w:t> </w:t>
      </w:r>
      <w:r w:rsidRPr="001A1E08">
        <w:rPr>
          <w:rFonts w:cs="Times New Roman"/>
          <w:lang w:val="fr-CA"/>
        </w:rPr>
        <w:t>Un traité doit être interprété de bonne foi suivant le sens ordinaire à attribuer aux termes du traité dans leur contexte et à la lumière de son objet et de son but.</w:t>
      </w:r>
      <w:r w:rsidR="006412AC">
        <w:rPr>
          <w:rFonts w:cs="Times New Roman"/>
          <w:lang w:val="fr-CA"/>
        </w:rPr>
        <w:t> »</w:t>
      </w:r>
      <w:r w:rsidRPr="001A1E08">
        <w:rPr>
          <w:rFonts w:cs="Times New Roman"/>
          <w:lang w:val="fr-CA"/>
        </w:rPr>
        <w:t xml:space="preserve">  Par conséquent, j’exami</w:t>
      </w:r>
      <w:r w:rsidR="00833970">
        <w:rPr>
          <w:rFonts w:cs="Times New Roman"/>
          <w:lang w:val="fr-CA"/>
        </w:rPr>
        <w:t>nerai d’abord le texte de l’article</w:t>
      </w:r>
      <w:r w:rsidR="006412AC">
        <w:rPr>
          <w:rFonts w:cs="Times New Roman"/>
          <w:lang w:val="fr-CA"/>
        </w:rPr>
        <w:t xml:space="preserve"> </w:t>
      </w:r>
      <w:r w:rsidRPr="001A1E08">
        <w:rPr>
          <w:rFonts w:cs="Times New Roman"/>
          <w:lang w:val="fr-CA"/>
        </w:rPr>
        <w:t xml:space="preserve">29 de la </w:t>
      </w:r>
      <w:r w:rsidRPr="001A1E08">
        <w:rPr>
          <w:rFonts w:cs="Times New Roman"/>
          <w:i/>
          <w:lang w:val="fr-CA"/>
        </w:rPr>
        <w:t>Convention de Montréal</w:t>
      </w:r>
      <w:r w:rsidRPr="001A1E08">
        <w:rPr>
          <w:rFonts w:cs="Times New Roman"/>
          <w:lang w:val="fr-CA"/>
        </w:rPr>
        <w:t xml:space="preserve"> et analyserai ensuite la place que cette disposition occupe au sein de la </w:t>
      </w:r>
      <w:r w:rsidRPr="001A1E08">
        <w:rPr>
          <w:rFonts w:cs="Times New Roman"/>
          <w:i/>
          <w:lang w:val="fr-CA"/>
        </w:rPr>
        <w:t>Convention</w:t>
      </w:r>
      <w:r w:rsidRPr="001A1E08">
        <w:rPr>
          <w:rFonts w:cs="Times New Roman"/>
          <w:lang w:val="fr-CA"/>
        </w:rPr>
        <w:t>,</w:t>
      </w:r>
      <w:r w:rsidRPr="001A1E08">
        <w:rPr>
          <w:rFonts w:cs="Times New Roman"/>
          <w:i/>
          <w:lang w:val="fr-CA"/>
        </w:rPr>
        <w:t xml:space="preserve"> </w:t>
      </w:r>
      <w:r w:rsidRPr="001A1E08">
        <w:rPr>
          <w:rFonts w:cs="Times New Roman"/>
          <w:lang w:val="fr-CA"/>
        </w:rPr>
        <w:t>compte tenu du but et de l’objet de celle</w:t>
      </w:r>
      <w:r w:rsidR="006412AC">
        <w:rPr>
          <w:rFonts w:cs="Times New Roman"/>
          <w:lang w:val="fr-CA"/>
        </w:rPr>
        <w:t>-</w:t>
      </w:r>
      <w:r w:rsidRPr="001A1E08">
        <w:rPr>
          <w:rFonts w:cs="Times New Roman"/>
          <w:lang w:val="fr-CA"/>
        </w:rPr>
        <w:t>ci</w:t>
      </w:r>
      <w:r w:rsidR="006412AC">
        <w:rPr>
          <w:rFonts w:cs="Times New Roman"/>
          <w:lang w:val="fr-CA"/>
        </w:rPr>
        <w:t> :</w:t>
      </w:r>
      <w:r w:rsidRPr="001A1E08">
        <w:rPr>
          <w:rFonts w:cs="Times New Roman"/>
          <w:lang w:val="fr-CA"/>
        </w:rPr>
        <w:t xml:space="preserve"> </w:t>
      </w:r>
      <w:proofErr w:type="spellStart"/>
      <w:r w:rsidRPr="001A1E08">
        <w:rPr>
          <w:rFonts w:cs="Times New Roman"/>
          <w:i/>
          <w:lang w:val="fr-CA"/>
        </w:rPr>
        <w:t>Pushpanathan</w:t>
      </w:r>
      <w:proofErr w:type="spellEnd"/>
      <w:r w:rsidRPr="001A1E08">
        <w:rPr>
          <w:rFonts w:cs="Times New Roman"/>
          <w:i/>
          <w:lang w:val="fr-CA"/>
        </w:rPr>
        <w:t xml:space="preserve"> c. Canada (Ministre de la Citoyenneté et de l’Immigration)</w:t>
      </w:r>
      <w:r w:rsidRPr="001A1E08">
        <w:rPr>
          <w:rFonts w:cs="Times New Roman"/>
          <w:lang w:val="fr-CA"/>
        </w:rPr>
        <w:t>, [1998] 1 R.C.S. 982, par.</w:t>
      </w:r>
      <w:r w:rsidR="006412AC">
        <w:rPr>
          <w:rFonts w:cs="Times New Roman"/>
          <w:lang w:val="fr-CA"/>
        </w:rPr>
        <w:t xml:space="preserve"> </w:t>
      </w:r>
      <w:r w:rsidRPr="001A1E08">
        <w:rPr>
          <w:rFonts w:cs="Times New Roman"/>
          <w:lang w:val="fr-CA"/>
        </w:rPr>
        <w:t xml:space="preserve">56. </w:t>
      </w:r>
    </w:p>
    <w:p w:rsidR="00367456" w:rsidRPr="001A1E08" w:rsidRDefault="00367456" w:rsidP="00A12DCE">
      <w:pPr>
        <w:pStyle w:val="Title4LevelTitre4Niveau"/>
        <w:widowControl w:val="0"/>
        <w:ind w:left="892" w:hanging="446"/>
        <w:rPr>
          <w:rFonts w:cs="Times New Roman"/>
          <w:lang w:val="fr-CA"/>
        </w:rPr>
      </w:pPr>
      <w:r w:rsidRPr="001A1E08">
        <w:rPr>
          <w:rFonts w:cs="Times New Roman"/>
          <w:lang w:val="fr-CA"/>
        </w:rPr>
        <w:t>Texte</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lastRenderedPageBreak/>
        <w:t xml:space="preserve">La disposition qui touche au cœur de l’objectif de la </w:t>
      </w:r>
      <w:r w:rsidRPr="001A1E08">
        <w:rPr>
          <w:rFonts w:cs="Times New Roman"/>
          <w:i/>
          <w:lang w:val="fr-CA"/>
        </w:rPr>
        <w:t>Convention de Montréal</w:t>
      </w:r>
      <w:r w:rsidRPr="001A1E08">
        <w:rPr>
          <w:rFonts w:cs="Times New Roman"/>
          <w:lang w:val="fr-CA"/>
        </w:rPr>
        <w:t xml:space="preserve"> — établir un ensemble de règles de responsabilité uniformes et e</w:t>
      </w:r>
      <w:r w:rsidR="00833970">
        <w:rPr>
          <w:rFonts w:cs="Times New Roman"/>
          <w:lang w:val="fr-CA"/>
        </w:rPr>
        <w:t>xclusives — est l’article</w:t>
      </w:r>
      <w:r w:rsidR="006412AC">
        <w:rPr>
          <w:rFonts w:cs="Times New Roman"/>
          <w:lang w:val="fr-CA"/>
        </w:rPr>
        <w:t xml:space="preserve"> </w:t>
      </w:r>
      <w:r w:rsidR="00833970">
        <w:rPr>
          <w:rFonts w:cs="Times New Roman"/>
          <w:lang w:val="fr-CA"/>
        </w:rPr>
        <w:t>29, qui a succédé à l’article</w:t>
      </w:r>
      <w:r w:rsidR="006412AC">
        <w:rPr>
          <w:rFonts w:cs="Times New Roman"/>
          <w:lang w:val="fr-CA"/>
        </w:rPr>
        <w:t xml:space="preserve"> </w:t>
      </w:r>
      <w:r w:rsidRPr="001A1E08">
        <w:rPr>
          <w:rFonts w:cs="Times New Roman"/>
          <w:lang w:val="fr-CA"/>
        </w:rPr>
        <w:t xml:space="preserve">24 de la </w:t>
      </w:r>
      <w:r w:rsidRPr="001A1E08">
        <w:rPr>
          <w:rFonts w:cs="Times New Roman"/>
          <w:i/>
          <w:lang w:val="fr-CA"/>
        </w:rPr>
        <w:t>Convention de Varsovie</w:t>
      </w:r>
      <w:r w:rsidRPr="001A1E08">
        <w:rPr>
          <w:rFonts w:cs="Times New Roman"/>
          <w:lang w:val="fr-CA"/>
        </w:rPr>
        <w:t>.  Voici le texte de l’article</w:t>
      </w:r>
      <w:r w:rsidR="006412AC">
        <w:rPr>
          <w:rFonts w:cs="Times New Roman"/>
          <w:lang w:val="fr-CA"/>
        </w:rPr>
        <w:t xml:space="preserve"> </w:t>
      </w:r>
      <w:r w:rsidRPr="001A1E08">
        <w:rPr>
          <w:rFonts w:cs="Times New Roman"/>
          <w:lang w:val="fr-CA"/>
        </w:rPr>
        <w:t>29</w:t>
      </w:r>
      <w:r w:rsidR="006412AC">
        <w:rPr>
          <w:rFonts w:cs="Times New Roman"/>
          <w:lang w:val="fr-CA"/>
        </w:rPr>
        <w:t> :</w:t>
      </w:r>
    </w:p>
    <w:p w:rsidR="00367456" w:rsidRPr="001A1E08" w:rsidRDefault="00367456" w:rsidP="00A12DCE">
      <w:pPr>
        <w:pStyle w:val="Citation-AltC"/>
        <w:widowControl w:val="0"/>
        <w:spacing w:after="240"/>
        <w:ind w:hanging="1166"/>
        <w:contextualSpacing w:val="0"/>
        <w:jc w:val="center"/>
        <w:rPr>
          <w:i/>
          <w:smallCaps/>
          <w:lang w:val="fr-CA"/>
        </w:rPr>
      </w:pPr>
      <w:r w:rsidRPr="001A1E08">
        <w:rPr>
          <w:i/>
          <w:smallCaps/>
          <w:lang w:val="fr-CA"/>
        </w:rPr>
        <w:tab/>
        <w:t>Article 29 — Principe des recours</w:t>
      </w:r>
    </w:p>
    <w:p w:rsidR="00367456" w:rsidRPr="001A1E08" w:rsidRDefault="00367456" w:rsidP="00A12DCE">
      <w:pPr>
        <w:pStyle w:val="Citation-AltC"/>
        <w:widowControl w:val="0"/>
        <w:ind w:hanging="1166"/>
        <w:rPr>
          <w:lang w:val="fr-CA"/>
        </w:rPr>
      </w:pPr>
      <w:r w:rsidRPr="001A1E08">
        <w:rPr>
          <w:lang w:val="fr-CA"/>
        </w:rPr>
        <w:tab/>
      </w:r>
      <w:r w:rsidR="00833970">
        <w:rPr>
          <w:lang w:val="fr-CA"/>
        </w:rPr>
        <w:tab/>
      </w:r>
      <w:r w:rsidRPr="001A1E08">
        <w:rPr>
          <w:lang w:val="fr-CA"/>
        </w:rPr>
        <w:t xml:space="preserve">Dans le transport de passagers, de bagages et de marchandises, </w:t>
      </w:r>
      <w:r w:rsidRPr="001A1E08">
        <w:rPr>
          <w:u w:val="single"/>
          <w:lang w:val="fr-CA"/>
        </w:rPr>
        <w:t>toute action en dommages</w:t>
      </w:r>
      <w:r w:rsidR="006412AC">
        <w:rPr>
          <w:u w:val="single"/>
          <w:lang w:val="fr-CA"/>
        </w:rPr>
        <w:t>-</w:t>
      </w:r>
      <w:r w:rsidRPr="001A1E08">
        <w:rPr>
          <w:u w:val="single"/>
          <w:lang w:val="fr-CA"/>
        </w:rPr>
        <w:t>intérêts, à quelque titre que ce soit</w:t>
      </w:r>
      <w:r w:rsidRPr="001A1E08">
        <w:rPr>
          <w:lang w:val="fr-CA"/>
        </w:rPr>
        <w:t xml:space="preserve">, en vertu de la présente convention, en raison d’un contrat ou d’un acte illicite </w:t>
      </w:r>
      <w:r w:rsidRPr="001A1E08">
        <w:rPr>
          <w:u w:val="single"/>
          <w:lang w:val="fr-CA"/>
        </w:rPr>
        <w:t>ou pour toute autre cause</w:t>
      </w:r>
      <w:r w:rsidRPr="001A1E08">
        <w:rPr>
          <w:lang w:val="fr-CA"/>
        </w:rPr>
        <w:t xml:space="preserve">, </w:t>
      </w:r>
      <w:r w:rsidRPr="001A1E08">
        <w:rPr>
          <w:u w:val="single"/>
          <w:lang w:val="fr-CA"/>
        </w:rPr>
        <w:t>ne peut être exercée que dans les conditions et limites de responsabilité prévues par la présente convention</w:t>
      </w:r>
      <w:r w:rsidRPr="001A1E08">
        <w:rPr>
          <w:lang w:val="fr-CA"/>
        </w:rPr>
        <w:t>, sans préjudice de la détermination des personnes qui ont le droit d’agir et de leurs droits respectifs. Dans toute action de ce genre, on ne pourra pas obtenir de dommages</w:t>
      </w:r>
      <w:r w:rsidR="006412AC">
        <w:rPr>
          <w:lang w:val="fr-CA"/>
        </w:rPr>
        <w:t>-</w:t>
      </w:r>
      <w:r w:rsidRPr="001A1E08">
        <w:rPr>
          <w:lang w:val="fr-CA"/>
        </w:rPr>
        <w:t>intérêts punitifs ou exemplaires ni de dommages à un titre autre que la réparation.</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Il ressort clairement de la </w:t>
      </w:r>
      <w:r w:rsidRPr="001A1E08">
        <w:rPr>
          <w:rFonts w:cs="Times New Roman"/>
          <w:i/>
          <w:lang w:val="fr-CA"/>
        </w:rPr>
        <w:t>Convention de Montréal</w:t>
      </w:r>
      <w:r w:rsidRPr="001A1E08">
        <w:rPr>
          <w:rFonts w:cs="Times New Roman"/>
          <w:lang w:val="fr-CA"/>
        </w:rPr>
        <w:t xml:space="preserve"> qu’elle offre le seul recours pouvant être intenté contre les transporteurs aériens pour différents types de dommages subis lors d’un transport aérien international.</w:t>
      </w:r>
      <w:r w:rsidR="006412AC">
        <w:rPr>
          <w:rFonts w:cs="Times New Roman"/>
          <w:lang w:val="fr-CA"/>
        </w:rPr>
        <w:t xml:space="preserve"> </w:t>
      </w:r>
      <w:r w:rsidRPr="001A1E08">
        <w:rPr>
          <w:rFonts w:cs="Times New Roman"/>
          <w:lang w:val="fr-CA"/>
        </w:rPr>
        <w:t xml:space="preserve"> La </w:t>
      </w:r>
      <w:r w:rsidRPr="001A1E08">
        <w:rPr>
          <w:rFonts w:cs="Times New Roman"/>
          <w:i/>
          <w:lang w:val="fr-CA"/>
        </w:rPr>
        <w:t>Convention</w:t>
      </w:r>
      <w:r w:rsidRPr="001A1E08">
        <w:rPr>
          <w:rFonts w:cs="Times New Roman"/>
          <w:lang w:val="fr-CA"/>
        </w:rPr>
        <w:t xml:space="preserve"> prévoit que </w:t>
      </w:r>
      <w:r w:rsidRPr="001A1E08">
        <w:rPr>
          <w:rFonts w:cs="Times New Roman"/>
          <w:i/>
          <w:lang w:val="fr-CA"/>
        </w:rPr>
        <w:t>toute</w:t>
      </w:r>
      <w:r w:rsidRPr="001A1E08">
        <w:rPr>
          <w:rFonts w:cs="Times New Roman"/>
          <w:lang w:val="fr-CA"/>
        </w:rPr>
        <w:t xml:space="preserve"> </w:t>
      </w:r>
      <w:r w:rsidR="006412AC">
        <w:rPr>
          <w:rFonts w:cs="Times New Roman"/>
          <w:lang w:val="fr-CA"/>
        </w:rPr>
        <w:t>« </w:t>
      </w:r>
      <w:r w:rsidRPr="001A1E08">
        <w:rPr>
          <w:rFonts w:cs="Times New Roman"/>
          <w:lang w:val="fr-CA"/>
        </w:rPr>
        <w:t>action en dommages</w:t>
      </w:r>
      <w:r w:rsidR="006412AC">
        <w:rPr>
          <w:rFonts w:cs="Times New Roman"/>
          <w:lang w:val="fr-CA"/>
        </w:rPr>
        <w:t>-</w:t>
      </w:r>
      <w:r w:rsidRPr="001A1E08">
        <w:rPr>
          <w:rFonts w:cs="Times New Roman"/>
          <w:lang w:val="fr-CA"/>
        </w:rPr>
        <w:t>intérêts</w:t>
      </w:r>
      <w:r w:rsidR="006412AC">
        <w:rPr>
          <w:rFonts w:cs="Times New Roman"/>
          <w:lang w:val="fr-CA"/>
        </w:rPr>
        <w:t> »</w:t>
      </w:r>
      <w:r w:rsidRPr="001A1E08">
        <w:rPr>
          <w:rFonts w:cs="Times New Roman"/>
          <w:lang w:val="fr-CA"/>
        </w:rPr>
        <w:t xml:space="preserve"> découlant du transport de passagers, de bagages et de marchandises est assujettie aux conditions et limites de responsabilité qui y sont prévues.  La disposition </w:t>
      </w:r>
      <w:r w:rsidR="00391214">
        <w:rPr>
          <w:rFonts w:cs="Times New Roman"/>
          <w:lang w:val="fr-CA"/>
        </w:rPr>
        <w:t>pourrait difficilement</w:t>
      </w:r>
      <w:r w:rsidRPr="001A1E08">
        <w:rPr>
          <w:rFonts w:cs="Times New Roman"/>
          <w:lang w:val="fr-CA"/>
        </w:rPr>
        <w:t xml:space="preserve"> être rédigée en des termes plus larges; elle s’applique à </w:t>
      </w:r>
      <w:r w:rsidR="006412AC">
        <w:rPr>
          <w:rFonts w:cs="Times New Roman"/>
          <w:lang w:val="fr-CA"/>
        </w:rPr>
        <w:t>« </w:t>
      </w:r>
      <w:r w:rsidRPr="001A1E08">
        <w:rPr>
          <w:rFonts w:cs="Times New Roman"/>
          <w:u w:val="single"/>
          <w:lang w:val="fr-CA"/>
        </w:rPr>
        <w:t>toute</w:t>
      </w:r>
      <w:r w:rsidRPr="001A1E08">
        <w:rPr>
          <w:rFonts w:cs="Times New Roman"/>
          <w:lang w:val="fr-CA"/>
        </w:rPr>
        <w:t xml:space="preserve"> action en dommages</w:t>
      </w:r>
      <w:r w:rsidR="006412AC">
        <w:rPr>
          <w:rFonts w:cs="Times New Roman"/>
          <w:lang w:val="fr-CA"/>
        </w:rPr>
        <w:t>-</w:t>
      </w:r>
      <w:r w:rsidRPr="001A1E08">
        <w:rPr>
          <w:rFonts w:cs="Times New Roman"/>
          <w:lang w:val="fr-CA"/>
        </w:rPr>
        <w:t xml:space="preserve">intérêts, </w:t>
      </w:r>
      <w:r w:rsidRPr="001A1E08">
        <w:rPr>
          <w:rFonts w:cs="Times New Roman"/>
          <w:u w:val="single"/>
          <w:lang w:val="fr-CA"/>
        </w:rPr>
        <w:t>à quelque titre que ce soit</w:t>
      </w:r>
      <w:r w:rsidR="006412AC">
        <w:rPr>
          <w:rFonts w:cs="Times New Roman"/>
          <w:lang w:val="fr-CA"/>
        </w:rPr>
        <w:t> »</w:t>
      </w:r>
      <w:r w:rsidRPr="001A1E08">
        <w:rPr>
          <w:rFonts w:cs="Times New Roman"/>
          <w:lang w:val="fr-CA"/>
        </w:rPr>
        <w:t>.  Cette large portée se retrouve aussi dans la version anglaise</w:t>
      </w:r>
      <w:r w:rsidR="006412AC">
        <w:rPr>
          <w:rFonts w:cs="Times New Roman"/>
          <w:lang w:val="fr-CA"/>
        </w:rPr>
        <w:t> :</w:t>
      </w:r>
      <w:r w:rsidRPr="001A1E08">
        <w:rPr>
          <w:rFonts w:cs="Times New Roman"/>
          <w:lang w:val="fr-CA"/>
        </w:rPr>
        <w:t xml:space="preserve"> </w:t>
      </w:r>
      <w:r w:rsidR="006412AC">
        <w:rPr>
          <w:rFonts w:cs="Times New Roman"/>
          <w:lang w:val="fr-CA"/>
        </w:rPr>
        <w:t>« </w:t>
      </w:r>
      <w:r w:rsidR="00833970">
        <w:rPr>
          <w:rFonts w:cs="Times New Roman"/>
          <w:lang w:val="fr-CA"/>
        </w:rPr>
        <w:t xml:space="preserve">. . . </w:t>
      </w:r>
      <w:proofErr w:type="spellStart"/>
      <w:r w:rsidRPr="001A1E08">
        <w:rPr>
          <w:rFonts w:cs="Times New Roman"/>
          <w:i/>
          <w:u w:val="single"/>
          <w:lang w:val="fr-CA"/>
        </w:rPr>
        <w:t>any</w:t>
      </w:r>
      <w:proofErr w:type="spellEnd"/>
      <w:r w:rsidRPr="001A1E08">
        <w:rPr>
          <w:rFonts w:cs="Times New Roman"/>
          <w:i/>
          <w:lang w:val="fr-CA"/>
        </w:rPr>
        <w:t xml:space="preserve"> action for damages, </w:t>
      </w:r>
      <w:proofErr w:type="spellStart"/>
      <w:r w:rsidRPr="001A1E08">
        <w:rPr>
          <w:rFonts w:cs="Times New Roman"/>
          <w:i/>
          <w:u w:val="single"/>
          <w:lang w:val="fr-CA"/>
        </w:rPr>
        <w:t>however</w:t>
      </w:r>
      <w:proofErr w:type="spellEnd"/>
      <w:r w:rsidRPr="001A1E08">
        <w:rPr>
          <w:rFonts w:cs="Times New Roman"/>
          <w:i/>
          <w:u w:val="single"/>
          <w:lang w:val="fr-CA"/>
        </w:rPr>
        <w:t xml:space="preserve"> </w:t>
      </w:r>
      <w:proofErr w:type="spellStart"/>
      <w:r w:rsidRPr="001A1E08">
        <w:rPr>
          <w:rFonts w:cs="Times New Roman"/>
          <w:i/>
          <w:u w:val="single"/>
          <w:lang w:val="fr-CA"/>
        </w:rPr>
        <w:t>founded</w:t>
      </w:r>
      <w:proofErr w:type="spellEnd"/>
      <w:r w:rsidR="006412AC">
        <w:rPr>
          <w:rFonts w:cs="Times New Roman"/>
          <w:lang w:val="fr-CA"/>
        </w:rPr>
        <w:t> </w:t>
      </w:r>
      <w:r w:rsidR="00833970">
        <w:rPr>
          <w:rFonts w:cs="Times New Roman"/>
          <w:lang w:val="fr-CA"/>
        </w:rPr>
        <w:t xml:space="preserve">. . . </w:t>
      </w:r>
      <w:r w:rsidR="006412AC">
        <w:rPr>
          <w:rFonts w:cs="Times New Roman"/>
          <w:lang w:val="fr-CA"/>
        </w:rPr>
        <w:t>»</w:t>
      </w:r>
      <w:r w:rsidRPr="001A1E08">
        <w:rPr>
          <w:rFonts w:cs="Times New Roman"/>
          <w:lang w:val="fr-CA"/>
        </w:rPr>
        <w:t xml:space="preserve">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Ce principe d’exclusivité est exprimé encore plus clairement dans la </w:t>
      </w:r>
      <w:r w:rsidRPr="001A1E08">
        <w:rPr>
          <w:rFonts w:cs="Times New Roman"/>
          <w:i/>
          <w:lang w:val="fr-CA"/>
        </w:rPr>
        <w:t>Convention de Montréal</w:t>
      </w:r>
      <w:r w:rsidRPr="001A1E08">
        <w:rPr>
          <w:rFonts w:cs="Times New Roman"/>
          <w:lang w:val="fr-CA"/>
        </w:rPr>
        <w:t xml:space="preserve"> qu’il ne l’était dans la </w:t>
      </w:r>
      <w:r w:rsidRPr="001A1E08">
        <w:rPr>
          <w:rFonts w:cs="Times New Roman"/>
          <w:i/>
          <w:lang w:val="fr-CA"/>
        </w:rPr>
        <w:t>Convention de Varsovie</w:t>
      </w:r>
      <w:r w:rsidRPr="001A1E08">
        <w:rPr>
          <w:rFonts w:cs="Times New Roman"/>
          <w:lang w:val="fr-CA"/>
        </w:rPr>
        <w:t>.  L’article</w:t>
      </w:r>
      <w:r w:rsidR="006412AC">
        <w:rPr>
          <w:rFonts w:cs="Times New Roman"/>
          <w:lang w:val="fr-CA"/>
        </w:rPr>
        <w:t xml:space="preserve"> </w:t>
      </w:r>
      <w:r w:rsidRPr="001A1E08">
        <w:rPr>
          <w:rFonts w:cs="Times New Roman"/>
          <w:lang w:val="fr-CA"/>
        </w:rPr>
        <w:t xml:space="preserve">24 </w:t>
      </w:r>
      <w:r w:rsidRPr="001A1E08">
        <w:rPr>
          <w:rFonts w:cs="Times New Roman"/>
          <w:lang w:val="fr-CA"/>
        </w:rPr>
        <w:lastRenderedPageBreak/>
        <w:t xml:space="preserve">de la </w:t>
      </w:r>
      <w:r w:rsidRPr="001A1E08">
        <w:rPr>
          <w:rFonts w:cs="Times New Roman"/>
          <w:i/>
          <w:lang w:val="fr-CA"/>
        </w:rPr>
        <w:t>Convention de Varsovie</w:t>
      </w:r>
      <w:r w:rsidRPr="001A1E08">
        <w:rPr>
          <w:rFonts w:cs="Times New Roman"/>
          <w:lang w:val="fr-CA"/>
        </w:rPr>
        <w:t xml:space="preserve"> — la disposition qui exclut les autres recours —commence par les termes </w:t>
      </w:r>
      <w:r w:rsidR="006412AC">
        <w:rPr>
          <w:rFonts w:cs="Times New Roman"/>
          <w:lang w:val="fr-CA"/>
        </w:rPr>
        <w:t>« </w:t>
      </w:r>
      <w:r w:rsidRPr="001A1E08">
        <w:rPr>
          <w:rFonts w:cs="Times New Roman"/>
          <w:lang w:val="fr-CA"/>
        </w:rPr>
        <w:t>[d]ans les cas prévus aux</w:t>
      </w:r>
      <w:r w:rsidR="006412AC">
        <w:rPr>
          <w:rFonts w:cs="Times New Roman"/>
          <w:lang w:val="fr-CA"/>
        </w:rPr>
        <w:t> »</w:t>
      </w:r>
      <w:r w:rsidR="00833970">
        <w:rPr>
          <w:rFonts w:cs="Times New Roman"/>
          <w:lang w:val="fr-CA"/>
        </w:rPr>
        <w:t xml:space="preserve"> articles</w:t>
      </w:r>
      <w:r w:rsidR="006412AC">
        <w:rPr>
          <w:rFonts w:cs="Times New Roman"/>
          <w:lang w:val="fr-CA"/>
        </w:rPr>
        <w:t xml:space="preserve"> </w:t>
      </w:r>
      <w:r w:rsidRPr="001A1E08">
        <w:rPr>
          <w:rFonts w:cs="Times New Roman"/>
          <w:lang w:val="fr-CA"/>
        </w:rPr>
        <w:t>17 à 19.  L’article</w:t>
      </w:r>
      <w:r w:rsidR="006412AC">
        <w:rPr>
          <w:rFonts w:cs="Times New Roman"/>
          <w:lang w:val="fr-CA"/>
        </w:rPr>
        <w:t xml:space="preserve"> </w:t>
      </w:r>
      <w:r w:rsidRPr="001A1E08">
        <w:rPr>
          <w:rFonts w:cs="Times New Roman"/>
          <w:lang w:val="fr-CA"/>
        </w:rPr>
        <w:t xml:space="preserve">29 de la </w:t>
      </w:r>
      <w:r w:rsidRPr="001A1E08">
        <w:rPr>
          <w:rFonts w:cs="Times New Roman"/>
          <w:i/>
          <w:lang w:val="fr-CA"/>
        </w:rPr>
        <w:t>Convention de Montréal</w:t>
      </w:r>
      <w:r w:rsidRPr="001A1E08">
        <w:rPr>
          <w:rFonts w:cs="Times New Roman"/>
          <w:lang w:val="fr-CA"/>
        </w:rPr>
        <w:t xml:space="preserve">, en revanche, commence par les termes </w:t>
      </w:r>
      <w:r w:rsidR="006412AC">
        <w:rPr>
          <w:rFonts w:cs="Times New Roman"/>
          <w:lang w:val="fr-CA"/>
        </w:rPr>
        <w:t>« </w:t>
      </w:r>
      <w:r w:rsidRPr="001A1E08">
        <w:rPr>
          <w:rFonts w:cs="Times New Roman"/>
          <w:lang w:val="fr-CA"/>
        </w:rPr>
        <w:t>[d]ans le transport de passagers, de bagages et de marchandises</w:t>
      </w:r>
      <w:r w:rsidR="006412AC">
        <w:rPr>
          <w:rFonts w:cs="Times New Roman"/>
          <w:lang w:val="fr-CA"/>
        </w:rPr>
        <w:t> »</w:t>
      </w:r>
      <w:r w:rsidRPr="001A1E08">
        <w:rPr>
          <w:rFonts w:cs="Times New Roman"/>
          <w:lang w:val="fr-CA"/>
        </w:rPr>
        <w:t xml:space="preserve">.  Le recours à un libellé aussi général fait ressortir encore plus nettement l’intention des États signataires d’exclure toute action </w:t>
      </w:r>
      <w:r w:rsidR="00833970">
        <w:rPr>
          <w:rFonts w:cs="Times New Roman"/>
          <w:lang w:val="fr-CA"/>
        </w:rPr>
        <w:t>non expressément prévue aux articles</w:t>
      </w:r>
      <w:r w:rsidR="006412AC">
        <w:rPr>
          <w:rFonts w:cs="Times New Roman"/>
          <w:lang w:val="fr-CA"/>
        </w:rPr>
        <w:t xml:space="preserve"> </w:t>
      </w:r>
      <w:r w:rsidRPr="001A1E08">
        <w:rPr>
          <w:rFonts w:cs="Times New Roman"/>
          <w:lang w:val="fr-CA"/>
        </w:rPr>
        <w:t>17 à 19.</w:t>
      </w:r>
      <w:r w:rsidR="006412AC">
        <w:rPr>
          <w:rFonts w:cs="Times New Roman"/>
          <w:lang w:val="fr-CA"/>
        </w:rPr>
        <w:t xml:space="preserve"> </w:t>
      </w:r>
      <w:r w:rsidRPr="001A1E08">
        <w:rPr>
          <w:rFonts w:cs="Times New Roman"/>
          <w:lang w:val="fr-CA"/>
        </w:rPr>
        <w:t xml:space="preserve"> Les commentaires formulés à ce sujet par le président de la Conférence internationale de droit aérien, tenue à Montréal en mai</w:t>
      </w:r>
      <w:r w:rsidR="006412AC">
        <w:rPr>
          <w:rFonts w:cs="Times New Roman"/>
          <w:lang w:val="fr-CA"/>
        </w:rPr>
        <w:t xml:space="preserve"> </w:t>
      </w:r>
      <w:r w:rsidRPr="001A1E08">
        <w:rPr>
          <w:rFonts w:cs="Times New Roman"/>
          <w:lang w:val="fr-CA"/>
        </w:rPr>
        <w:t>1999, sont éclairants</w:t>
      </w:r>
      <w:r w:rsidR="006412AC">
        <w:rPr>
          <w:rFonts w:cs="Times New Roman"/>
          <w:lang w:val="fr-CA"/>
        </w:rPr>
        <w:t> :</w:t>
      </w:r>
      <w:r w:rsidRPr="001A1E08">
        <w:rPr>
          <w:rFonts w:cs="Times New Roman"/>
          <w:lang w:val="fr-CA"/>
        </w:rPr>
        <w:t xml:space="preserve"> </w:t>
      </w:r>
    </w:p>
    <w:p w:rsidR="00367456" w:rsidRPr="001A1E08" w:rsidRDefault="00367456" w:rsidP="00A12DCE">
      <w:pPr>
        <w:pStyle w:val="Citation-AltC"/>
        <w:widowControl w:val="0"/>
        <w:spacing w:after="240"/>
        <w:ind w:hanging="1166"/>
        <w:contextualSpacing w:val="0"/>
        <w:rPr>
          <w:lang w:val="fr-CA"/>
        </w:rPr>
      </w:pPr>
      <w:r w:rsidRPr="001A1E08">
        <w:rPr>
          <w:lang w:val="fr-CA"/>
        </w:rPr>
        <w:tab/>
        <w:t>[</w:t>
      </w:r>
      <w:r w:rsidRPr="001A1E08">
        <w:rPr>
          <w:smallCaps/>
          <w:lang w:val="fr-CA"/>
        </w:rPr>
        <w:t>traduction</w:t>
      </w:r>
      <w:r w:rsidRPr="001A1E08">
        <w:rPr>
          <w:lang w:val="fr-CA"/>
        </w:rPr>
        <w:t>]  Les dispositions de l’article</w:t>
      </w:r>
      <w:r w:rsidR="006412AC">
        <w:rPr>
          <w:lang w:val="fr-CA"/>
        </w:rPr>
        <w:t xml:space="preserve"> </w:t>
      </w:r>
      <w:r w:rsidRPr="001A1E08">
        <w:rPr>
          <w:lang w:val="fr-CA"/>
        </w:rPr>
        <w:t>[29] (</w:t>
      </w:r>
      <w:r w:rsidRPr="001A1E08">
        <w:rPr>
          <w:i/>
          <w:lang w:val="fr-CA"/>
        </w:rPr>
        <w:t>Principe des recours</w:t>
      </w:r>
      <w:r w:rsidRPr="001A1E08">
        <w:rPr>
          <w:lang w:val="fr-CA"/>
        </w:rPr>
        <w:t>) sont claires</w:t>
      </w:r>
      <w:r w:rsidR="006412AC">
        <w:rPr>
          <w:lang w:val="fr-CA"/>
        </w:rPr>
        <w:t> :</w:t>
      </w:r>
      <w:r w:rsidRPr="001A1E08">
        <w:rPr>
          <w:lang w:val="fr-CA"/>
        </w:rPr>
        <w:t xml:space="preserve"> </w:t>
      </w:r>
      <w:r w:rsidRPr="001A1E08">
        <w:rPr>
          <w:u w:val="single"/>
          <w:lang w:val="fr-CA"/>
        </w:rPr>
        <w:t>toute action en dommages</w:t>
      </w:r>
      <w:r w:rsidR="006412AC">
        <w:rPr>
          <w:u w:val="single"/>
          <w:lang w:val="fr-CA"/>
        </w:rPr>
        <w:t>-</w:t>
      </w:r>
      <w:r w:rsidRPr="001A1E08">
        <w:rPr>
          <w:u w:val="single"/>
          <w:lang w:val="fr-CA"/>
        </w:rPr>
        <w:t>intérêts, à quelque titre que ce soit, en vertu de la nouvelle convention, en raison d’un contrat ou d’un acte illicite ou pour toute autre cause, ne pouvait être exercée que dans les conditions et limites de responsabilité prévues par la convention</w:t>
      </w:r>
      <w:r w:rsidRPr="003435CA">
        <w:rPr>
          <w:lang w:val="fr-CA"/>
        </w:rPr>
        <w:t xml:space="preserve">. </w:t>
      </w:r>
      <w:r w:rsidRPr="001A1E08">
        <w:rPr>
          <w:lang w:val="fr-CA"/>
        </w:rPr>
        <w:t xml:space="preserve"> Du reste, une certaine jurisprudence tend à indiquer que celle</w:t>
      </w:r>
      <w:r w:rsidR="006412AC">
        <w:rPr>
          <w:lang w:val="fr-CA"/>
        </w:rPr>
        <w:t>-</w:t>
      </w:r>
      <w:r w:rsidRPr="001A1E08">
        <w:rPr>
          <w:lang w:val="fr-CA"/>
        </w:rPr>
        <w:t>ci était exclusive.  Il n’était pas possible d’échapper aux dispositions de la convention relatives au fardeau de la preuve, etc., en procédant par voie d’action en responsabilité délictuelle ou en exerçant tout autre recours en dehors des limites prévues par la convention</w:t>
      </w:r>
      <w:r w:rsidR="00833970">
        <w:rPr>
          <w:lang w:val="fr-CA"/>
        </w:rPr>
        <w:t xml:space="preserve"> </w:t>
      </w:r>
      <w:r w:rsidRPr="001A1E08">
        <w:rPr>
          <w:lang w:val="fr-CA"/>
        </w:rPr>
        <w:t>.</w:t>
      </w:r>
      <w:r w:rsidR="00833970">
        <w:rPr>
          <w:lang w:val="fr-CA"/>
        </w:rPr>
        <w:t xml:space="preserve"> . . </w:t>
      </w:r>
      <w:r w:rsidRPr="001A1E08">
        <w:rPr>
          <w:lang w:val="fr-CA"/>
        </w:rPr>
        <w:t>[Je souligne.]</w:t>
      </w:r>
    </w:p>
    <w:p w:rsidR="00367456" w:rsidRPr="001A1E08" w:rsidRDefault="00367456" w:rsidP="00833970">
      <w:pPr>
        <w:pStyle w:val="Citation-AltC"/>
        <w:widowControl w:val="0"/>
        <w:ind w:left="0"/>
        <w:rPr>
          <w:lang w:val="fr-CA"/>
        </w:rPr>
      </w:pPr>
      <w:r w:rsidRPr="001A1E08">
        <w:rPr>
          <w:lang w:val="fr-CA"/>
        </w:rPr>
        <w:t xml:space="preserve">(Organisation de l’aviation civile internationale, </w:t>
      </w:r>
      <w:r w:rsidR="00833970" w:rsidRPr="00833970">
        <w:rPr>
          <w:i/>
          <w:lang w:val="fr-CA"/>
        </w:rPr>
        <w:t xml:space="preserve">International </w:t>
      </w:r>
      <w:proofErr w:type="spellStart"/>
      <w:r w:rsidR="00833970" w:rsidRPr="00833970">
        <w:rPr>
          <w:i/>
          <w:lang w:val="fr-CA"/>
        </w:rPr>
        <w:t>Conference</w:t>
      </w:r>
      <w:proofErr w:type="spellEnd"/>
      <w:r w:rsidR="00833970" w:rsidRPr="00833970">
        <w:rPr>
          <w:i/>
          <w:lang w:val="fr-CA"/>
        </w:rPr>
        <w:t xml:space="preserve"> on Air Law</w:t>
      </w:r>
      <w:r w:rsidRPr="001A1E08">
        <w:rPr>
          <w:lang w:val="fr-CA"/>
        </w:rPr>
        <w:t>, vol.</w:t>
      </w:r>
      <w:r w:rsidR="006412AC">
        <w:rPr>
          <w:lang w:val="fr-CA"/>
        </w:rPr>
        <w:t xml:space="preserve"> </w:t>
      </w:r>
      <w:r w:rsidRPr="001A1E08">
        <w:rPr>
          <w:lang w:val="fr-CA"/>
        </w:rPr>
        <w:t xml:space="preserve">I, </w:t>
      </w:r>
      <w:r w:rsidR="00833970" w:rsidRPr="00833970">
        <w:rPr>
          <w:i/>
          <w:lang w:val="fr-CA"/>
        </w:rPr>
        <w:t>Minutes</w:t>
      </w:r>
      <w:r w:rsidRPr="001A1E08">
        <w:rPr>
          <w:lang w:val="fr-CA"/>
        </w:rPr>
        <w:t>, Doc. 9775</w:t>
      </w:r>
      <w:r w:rsidR="006412AC">
        <w:rPr>
          <w:lang w:val="fr-CA"/>
        </w:rPr>
        <w:t>-</w:t>
      </w:r>
      <w:r w:rsidRPr="001A1E08">
        <w:rPr>
          <w:lang w:val="fr-CA"/>
        </w:rPr>
        <w:t>DC/2 (2001),</w:t>
      </w:r>
      <w:r>
        <w:rPr>
          <w:lang w:val="fr-CA"/>
        </w:rPr>
        <w:t xml:space="preserve"> </w:t>
      </w:r>
      <w:r w:rsidRPr="001A1E08">
        <w:rPr>
          <w:lang w:val="fr-CA"/>
        </w:rPr>
        <w:t>p.</w:t>
      </w:r>
      <w:r w:rsidR="006412AC">
        <w:rPr>
          <w:lang w:val="fr-CA"/>
        </w:rPr>
        <w:t xml:space="preserve"> </w:t>
      </w:r>
      <w:r w:rsidRPr="001A1E08">
        <w:rPr>
          <w:lang w:val="fr-CA"/>
        </w:rPr>
        <w:t xml:space="preserve">137)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La </w:t>
      </w:r>
      <w:r w:rsidRPr="001A1E08">
        <w:rPr>
          <w:rFonts w:cs="Times New Roman"/>
          <w:i/>
          <w:lang w:val="fr-CA"/>
        </w:rPr>
        <w:t>Convention de Montréal</w:t>
      </w:r>
      <w:r w:rsidRPr="001A1E08">
        <w:rPr>
          <w:rFonts w:cs="Times New Roman"/>
          <w:lang w:val="fr-CA"/>
        </w:rPr>
        <w:t xml:space="preserve"> énonce à son chapitre III les chefs de responsabilité des transporteurs à l’égard desquels les recours </w:t>
      </w:r>
      <w:r w:rsidRPr="001A1E08">
        <w:rPr>
          <w:rFonts w:cs="Times New Roman"/>
          <w:i/>
          <w:lang w:val="fr-CA"/>
        </w:rPr>
        <w:t>sont autorisés</w:t>
      </w:r>
      <w:r w:rsidRPr="001A1E08">
        <w:rPr>
          <w:rFonts w:cs="Times New Roman"/>
          <w:lang w:val="fr-CA"/>
        </w:rPr>
        <w:t xml:space="preserve"> et limite l’indemnisation afférente à chacun d’eux.  Elle précise également les diffé</w:t>
      </w:r>
      <w:r w:rsidR="00833970">
        <w:rPr>
          <w:rFonts w:cs="Times New Roman"/>
          <w:lang w:val="fr-CA"/>
        </w:rPr>
        <w:t>rents événements auxquels l’article</w:t>
      </w:r>
      <w:r w:rsidR="006412AC">
        <w:rPr>
          <w:rFonts w:cs="Times New Roman"/>
          <w:lang w:val="fr-CA"/>
        </w:rPr>
        <w:t xml:space="preserve"> </w:t>
      </w:r>
      <w:r w:rsidRPr="001A1E08">
        <w:rPr>
          <w:rFonts w:cs="Times New Roman"/>
          <w:lang w:val="fr-CA"/>
        </w:rPr>
        <w:t>29 est censé s’appliquer.  Les articles</w:t>
      </w:r>
      <w:r w:rsidR="006412AC">
        <w:rPr>
          <w:rFonts w:cs="Times New Roman"/>
          <w:lang w:val="fr-CA"/>
        </w:rPr>
        <w:t xml:space="preserve"> </w:t>
      </w:r>
      <w:r w:rsidRPr="001A1E08">
        <w:rPr>
          <w:rFonts w:cs="Times New Roman"/>
          <w:lang w:val="fr-CA"/>
        </w:rPr>
        <w:t>17 à 19 disposent que le transporteur est responsable du préjudice survenu</w:t>
      </w:r>
      <w:r w:rsidR="006412AC">
        <w:rPr>
          <w:rFonts w:cs="Times New Roman"/>
          <w:lang w:val="fr-CA"/>
        </w:rPr>
        <w:t> :</w:t>
      </w:r>
      <w:r w:rsidRPr="001A1E08">
        <w:rPr>
          <w:rFonts w:cs="Times New Roman"/>
          <w:lang w:val="fr-CA"/>
        </w:rPr>
        <w:t xml:space="preserve"> en cas de mort ou de lésion corporelle subie par un passager lors d’un accident qui s’est produit à bord de l’aéronef ou au cours de l’embar</w:t>
      </w:r>
      <w:r w:rsidR="00833970">
        <w:rPr>
          <w:rFonts w:cs="Times New Roman"/>
          <w:lang w:val="fr-CA"/>
        </w:rPr>
        <w:t>quement ou du débarquement (article</w:t>
      </w:r>
      <w:r w:rsidR="006412AC">
        <w:rPr>
          <w:rFonts w:cs="Times New Roman"/>
          <w:lang w:val="fr-CA"/>
        </w:rPr>
        <w:t xml:space="preserve"> </w:t>
      </w:r>
      <w:r w:rsidRPr="001A1E08">
        <w:rPr>
          <w:rFonts w:cs="Times New Roman"/>
          <w:lang w:val="fr-CA"/>
        </w:rPr>
        <w:t xml:space="preserve">17); en cas de </w:t>
      </w:r>
      <w:r w:rsidRPr="001A1E08">
        <w:rPr>
          <w:rFonts w:cs="Times New Roman"/>
          <w:lang w:val="fr-CA"/>
        </w:rPr>
        <w:lastRenderedPageBreak/>
        <w:t>destruction, de perte ou d’avarie de bagages dont le t</w:t>
      </w:r>
      <w:r w:rsidR="00833970">
        <w:rPr>
          <w:rFonts w:cs="Times New Roman"/>
          <w:lang w:val="fr-CA"/>
        </w:rPr>
        <w:t>ransporteur avait la garde (article</w:t>
      </w:r>
      <w:r w:rsidR="006412AC">
        <w:rPr>
          <w:rFonts w:cs="Times New Roman"/>
          <w:lang w:val="fr-CA"/>
        </w:rPr>
        <w:t xml:space="preserve"> </w:t>
      </w:r>
      <w:r w:rsidRPr="001A1E08">
        <w:rPr>
          <w:rFonts w:cs="Times New Roman"/>
          <w:lang w:val="fr-CA"/>
        </w:rPr>
        <w:t>17); en cas de destruction, de perte ou d’avarie de la marchandise survenue p</w:t>
      </w:r>
      <w:r w:rsidR="00833970">
        <w:rPr>
          <w:rFonts w:cs="Times New Roman"/>
          <w:lang w:val="fr-CA"/>
        </w:rPr>
        <w:t>endant le transport aérien (article</w:t>
      </w:r>
      <w:r w:rsidR="006412AC">
        <w:rPr>
          <w:rFonts w:cs="Times New Roman"/>
          <w:lang w:val="fr-CA"/>
        </w:rPr>
        <w:t xml:space="preserve"> </w:t>
      </w:r>
      <w:r w:rsidRPr="001A1E08">
        <w:rPr>
          <w:rFonts w:cs="Times New Roman"/>
          <w:lang w:val="fr-CA"/>
        </w:rPr>
        <w:t>18); et en cas de dom</w:t>
      </w:r>
      <w:r w:rsidR="00833970">
        <w:rPr>
          <w:rFonts w:cs="Times New Roman"/>
          <w:lang w:val="fr-CA"/>
        </w:rPr>
        <w:t>mage résultant d’un retard (article</w:t>
      </w:r>
      <w:r w:rsidR="006412AC">
        <w:rPr>
          <w:rFonts w:cs="Times New Roman"/>
          <w:lang w:val="fr-CA"/>
        </w:rPr>
        <w:t xml:space="preserve"> </w:t>
      </w:r>
      <w:r w:rsidRPr="001A1E08">
        <w:rPr>
          <w:rFonts w:cs="Times New Roman"/>
          <w:lang w:val="fr-CA"/>
        </w:rPr>
        <w:t xml:space="preserve">19).  Le texte intégral des dispositions pertinentes de la </w:t>
      </w:r>
      <w:r w:rsidRPr="001A1E08">
        <w:rPr>
          <w:rFonts w:cs="Times New Roman"/>
          <w:i/>
          <w:lang w:val="fr-CA"/>
        </w:rPr>
        <w:t>Convention de Montréal</w:t>
      </w:r>
      <w:r w:rsidRPr="001A1E08">
        <w:rPr>
          <w:rFonts w:cs="Times New Roman"/>
          <w:lang w:val="fr-CA"/>
        </w:rPr>
        <w:t xml:space="preserve"> est reproduit en annexe.</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Les limites pécuniaires de la responsabilité du transporteur (qui ne sont pas directement pertinentes pour le présen</w:t>
      </w:r>
      <w:r w:rsidR="00F726F4">
        <w:rPr>
          <w:rFonts w:cs="Times New Roman"/>
          <w:lang w:val="fr-CA"/>
        </w:rPr>
        <w:t>t pourvoi) sont prévues aux articles</w:t>
      </w:r>
      <w:r w:rsidR="006412AC">
        <w:rPr>
          <w:rFonts w:cs="Times New Roman"/>
          <w:lang w:val="fr-CA"/>
        </w:rPr>
        <w:t xml:space="preserve"> </w:t>
      </w:r>
      <w:r w:rsidRPr="001A1E08">
        <w:rPr>
          <w:rFonts w:cs="Times New Roman"/>
          <w:lang w:val="fr-CA"/>
        </w:rPr>
        <w:t>21 et 22.  Ces limites de responsabilité sont expressément et exclusivement liées aux recours visés aux art</w:t>
      </w:r>
      <w:r w:rsidR="00F726F4">
        <w:rPr>
          <w:rFonts w:cs="Times New Roman"/>
          <w:lang w:val="fr-CA"/>
        </w:rPr>
        <w:t>icles</w:t>
      </w:r>
      <w:r w:rsidR="006412AC">
        <w:rPr>
          <w:rFonts w:cs="Times New Roman"/>
          <w:lang w:val="fr-CA"/>
        </w:rPr>
        <w:t xml:space="preserve"> </w:t>
      </w:r>
      <w:r w:rsidR="00F726F4">
        <w:rPr>
          <w:rFonts w:cs="Times New Roman"/>
          <w:lang w:val="fr-CA"/>
        </w:rPr>
        <w:t>17 à 19 et, selon l’article</w:t>
      </w:r>
      <w:r w:rsidR="006412AC">
        <w:rPr>
          <w:rFonts w:cs="Times New Roman"/>
          <w:lang w:val="fr-CA"/>
        </w:rPr>
        <w:t xml:space="preserve"> </w:t>
      </w:r>
      <w:r w:rsidRPr="001A1E08">
        <w:rPr>
          <w:rFonts w:cs="Times New Roman"/>
          <w:lang w:val="fr-CA"/>
        </w:rPr>
        <w:t xml:space="preserve">26, toute clause contractuelle tendant à exonérer le transporteur de sa responsabilité ou à établir une limite inférieure à celle qui est fixée dans la </w:t>
      </w:r>
      <w:r w:rsidRPr="001A1E08">
        <w:rPr>
          <w:rFonts w:cs="Times New Roman"/>
          <w:i/>
          <w:lang w:val="fr-CA"/>
        </w:rPr>
        <w:t>Convention de Montréal</w:t>
      </w:r>
      <w:r w:rsidRPr="001A1E08">
        <w:rPr>
          <w:rFonts w:cs="Times New Roman"/>
          <w:lang w:val="fr-CA"/>
        </w:rPr>
        <w:t xml:space="preserve"> est nulle et de nul effet.  Le chapitre</w:t>
      </w:r>
      <w:r w:rsidR="006412AC">
        <w:rPr>
          <w:rFonts w:cs="Times New Roman"/>
          <w:lang w:val="fr-CA"/>
        </w:rPr>
        <w:t xml:space="preserve"> </w:t>
      </w:r>
      <w:r w:rsidRPr="001A1E08">
        <w:rPr>
          <w:rFonts w:cs="Times New Roman"/>
          <w:lang w:val="fr-CA"/>
        </w:rPr>
        <w:t xml:space="preserve">VI de la </w:t>
      </w:r>
      <w:r w:rsidRPr="001A1E08">
        <w:rPr>
          <w:rFonts w:cs="Times New Roman"/>
          <w:i/>
          <w:lang w:val="fr-CA"/>
        </w:rPr>
        <w:t>Convention de Montréal</w:t>
      </w:r>
      <w:r w:rsidRPr="001A1E08">
        <w:rPr>
          <w:rFonts w:cs="Times New Roman"/>
          <w:lang w:val="fr-CA"/>
        </w:rPr>
        <w:t xml:space="preserve"> fait ressortir son caractère exclusif, car il prévoit que toute clause du contrat de transport ou d’un contrat particulier qui dérogerait aux règles de la </w:t>
      </w:r>
      <w:r w:rsidRPr="001A1E08">
        <w:rPr>
          <w:rFonts w:cs="Times New Roman"/>
          <w:i/>
          <w:lang w:val="fr-CA"/>
        </w:rPr>
        <w:t>Convention de Montréal</w:t>
      </w:r>
      <w:r w:rsidRPr="001A1E08">
        <w:rPr>
          <w:rFonts w:cs="Times New Roman"/>
          <w:lang w:val="fr-CA"/>
        </w:rPr>
        <w:t xml:space="preserve"> est nulle et sans effet</w:t>
      </w:r>
      <w:r w:rsidR="006412AC">
        <w:rPr>
          <w:rFonts w:cs="Times New Roman"/>
          <w:lang w:val="fr-CA"/>
        </w:rPr>
        <w:t> :</w:t>
      </w:r>
      <w:r w:rsidR="00F726F4">
        <w:rPr>
          <w:rFonts w:cs="Times New Roman"/>
          <w:lang w:val="fr-CA"/>
        </w:rPr>
        <w:t xml:space="preserve"> article</w:t>
      </w:r>
      <w:r w:rsidR="006412AC">
        <w:rPr>
          <w:rFonts w:cs="Times New Roman"/>
          <w:lang w:val="fr-CA"/>
        </w:rPr>
        <w:t xml:space="preserve"> </w:t>
      </w:r>
      <w:r w:rsidRPr="001A1E08">
        <w:rPr>
          <w:rFonts w:cs="Times New Roman"/>
          <w:lang w:val="fr-CA"/>
        </w:rPr>
        <w:t>4</w:t>
      </w:r>
      <w:r w:rsidR="00F726F4">
        <w:rPr>
          <w:rFonts w:cs="Times New Roman"/>
          <w:lang w:val="fr-CA"/>
        </w:rPr>
        <w:t>9. Comme nous l’avons vu, l’article</w:t>
      </w:r>
      <w:r w:rsidR="006412AC">
        <w:rPr>
          <w:rFonts w:cs="Times New Roman"/>
          <w:lang w:val="fr-CA"/>
        </w:rPr>
        <w:t xml:space="preserve"> </w:t>
      </w:r>
      <w:r w:rsidRPr="001A1E08">
        <w:rPr>
          <w:rFonts w:cs="Times New Roman"/>
          <w:lang w:val="fr-CA"/>
        </w:rPr>
        <w:t xml:space="preserve">29 dispose que, pour ce qui est des recours relevant de la </w:t>
      </w:r>
      <w:r w:rsidRPr="001A1E08">
        <w:rPr>
          <w:rFonts w:cs="Times New Roman"/>
          <w:i/>
          <w:lang w:val="fr-CA"/>
        </w:rPr>
        <w:t>Convention de Montréal</w:t>
      </w:r>
      <w:r w:rsidRPr="001A1E08">
        <w:rPr>
          <w:rFonts w:cs="Times New Roman"/>
          <w:lang w:val="fr-CA"/>
        </w:rPr>
        <w:t xml:space="preserve">, </w:t>
      </w:r>
      <w:r w:rsidR="006412AC">
        <w:rPr>
          <w:rFonts w:cs="Times New Roman"/>
          <w:lang w:val="fr-CA"/>
        </w:rPr>
        <w:t>« </w:t>
      </w:r>
      <w:r w:rsidRPr="001A1E08">
        <w:rPr>
          <w:rFonts w:cs="Times New Roman"/>
          <w:lang w:val="fr-CA"/>
        </w:rPr>
        <w:t>toute action en dommages</w:t>
      </w:r>
      <w:r w:rsidR="006412AC">
        <w:rPr>
          <w:rFonts w:cs="Times New Roman"/>
          <w:lang w:val="fr-CA"/>
        </w:rPr>
        <w:t>-</w:t>
      </w:r>
      <w:r w:rsidRPr="001A1E08">
        <w:rPr>
          <w:rFonts w:cs="Times New Roman"/>
          <w:lang w:val="fr-CA"/>
        </w:rPr>
        <w:t>intérêts, à quelque titre que ce soit</w:t>
      </w:r>
      <w:r w:rsidR="006412AC">
        <w:rPr>
          <w:rFonts w:cs="Times New Roman"/>
          <w:lang w:val="fr-CA"/>
        </w:rPr>
        <w:t> »</w:t>
      </w:r>
      <w:r w:rsidRPr="001A1E08">
        <w:rPr>
          <w:rFonts w:cs="Times New Roman"/>
          <w:lang w:val="fr-CA"/>
        </w:rPr>
        <w:t xml:space="preserve">, ne peut être exercée </w:t>
      </w:r>
      <w:r w:rsidR="006412AC">
        <w:rPr>
          <w:rFonts w:cs="Times New Roman"/>
          <w:lang w:val="fr-CA"/>
        </w:rPr>
        <w:t>« </w:t>
      </w:r>
      <w:r w:rsidRPr="001A1E08">
        <w:rPr>
          <w:rFonts w:cs="Times New Roman"/>
          <w:lang w:val="fr-CA"/>
        </w:rPr>
        <w:t>que dans les conditions et limites de responsabilité prévues par la présente convention</w:t>
      </w:r>
      <w:r w:rsidR="006412AC">
        <w:rPr>
          <w:rFonts w:cs="Times New Roman"/>
          <w:lang w:val="fr-CA"/>
        </w:rPr>
        <w:t> »</w:t>
      </w:r>
      <w:r w:rsidRPr="001A1E08">
        <w:rPr>
          <w:rFonts w:cs="Times New Roman"/>
          <w:lang w:val="fr-CA"/>
        </w:rPr>
        <w:t xml:space="preserve">.  </w:t>
      </w:r>
    </w:p>
    <w:p w:rsidR="00367456" w:rsidRPr="001A1E08" w:rsidRDefault="00367456" w:rsidP="00F726F4">
      <w:pPr>
        <w:pStyle w:val="Title4LevelTitre4Niveau"/>
        <w:widowControl w:val="0"/>
        <w:ind w:left="892" w:hanging="446"/>
        <w:rPr>
          <w:rFonts w:cs="Times New Roman"/>
          <w:lang w:val="fr-CA"/>
        </w:rPr>
      </w:pPr>
      <w:r w:rsidRPr="001A1E08">
        <w:rPr>
          <w:rFonts w:cs="Times New Roman"/>
          <w:lang w:val="fr-CA"/>
        </w:rPr>
        <w:t>But et objet de la Convention de Montréal</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La </w:t>
      </w:r>
      <w:r w:rsidRPr="001A1E08">
        <w:rPr>
          <w:rFonts w:cs="Times New Roman"/>
          <w:i/>
          <w:lang w:val="fr-CA"/>
        </w:rPr>
        <w:t>Convention de Varsovie</w:t>
      </w:r>
      <w:r w:rsidRPr="001A1E08">
        <w:rPr>
          <w:rFonts w:cs="Times New Roman"/>
          <w:lang w:val="fr-CA"/>
        </w:rPr>
        <w:t xml:space="preserve"> (et par le fait même la </w:t>
      </w:r>
      <w:r w:rsidRPr="001A1E08">
        <w:rPr>
          <w:rFonts w:cs="Times New Roman"/>
          <w:i/>
          <w:lang w:val="fr-CA"/>
        </w:rPr>
        <w:t>Convention de Montréal</w:t>
      </w:r>
      <w:r w:rsidRPr="001A1E08">
        <w:rPr>
          <w:rFonts w:cs="Times New Roman"/>
          <w:lang w:val="fr-CA"/>
        </w:rPr>
        <w:t xml:space="preserve"> qui lui a succédé) avait trois principaux objectifs</w:t>
      </w:r>
      <w:r w:rsidR="006412AC">
        <w:rPr>
          <w:rFonts w:cs="Times New Roman"/>
          <w:lang w:val="fr-CA"/>
        </w:rPr>
        <w:t> :</w:t>
      </w:r>
      <w:r w:rsidRPr="001A1E08">
        <w:rPr>
          <w:rFonts w:cs="Times New Roman"/>
          <w:lang w:val="fr-CA"/>
        </w:rPr>
        <w:t xml:space="preserve"> instaurer des règles </w:t>
      </w:r>
      <w:r w:rsidRPr="001A1E08">
        <w:rPr>
          <w:rFonts w:cs="Times New Roman"/>
          <w:lang w:val="fr-CA"/>
        </w:rPr>
        <w:lastRenderedPageBreak/>
        <w:t xml:space="preserve">uniformes applicables aux réclamations découlant du transport aérien international; protéger le secteur du transport aérien international en limitant la responsabilité du transporteur; et assurer l’équilibre entre cet objectif de protection et l’intérêt des passagers et des autres qui cherchent à obtenir réparation.  Ces objectifs répondaient aux craintes que plusieurs régimes juridiques s’appliquent au transport aérien international, ce qui pourrait se traduire par une absence d’uniformité ou de prévisibilité quant à la responsabilité du transporteur ou aux droits des passagers et des autres utilisateurs du service.  Tant les passagers que les transporteurs risquaient de subir les conséquences de ce manque d’uniformité.  On croyait également que l’industrie naissante du transport aérien international avait besoin d’être protégée des litiges potentiellement ruineux entre plusieurs États et d’une responsabilité pratiquement illimitée.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Comme le résume brièvement un texte, la </w:t>
      </w:r>
      <w:r w:rsidRPr="001A1E08">
        <w:rPr>
          <w:rFonts w:cs="Times New Roman"/>
          <w:i/>
          <w:lang w:val="fr-CA"/>
        </w:rPr>
        <w:t>Convention de Varsovie</w:t>
      </w:r>
      <w:r w:rsidR="006412AC">
        <w:rPr>
          <w:rFonts w:cs="Times New Roman"/>
          <w:i/>
          <w:lang w:val="fr-CA"/>
        </w:rPr>
        <w:t xml:space="preserve"> </w:t>
      </w:r>
      <w:r w:rsidRPr="001A1E08">
        <w:rPr>
          <w:rFonts w:cs="Times New Roman"/>
          <w:lang w:val="fr-CA"/>
        </w:rPr>
        <w:t>visait [</w:t>
      </w:r>
      <w:r w:rsidRPr="001A1E08">
        <w:rPr>
          <w:rFonts w:cs="Times New Roman"/>
          <w:smallCaps/>
          <w:lang w:val="fr-CA"/>
        </w:rPr>
        <w:t>traduction]</w:t>
      </w:r>
      <w:r w:rsidRPr="001A1E08">
        <w:rPr>
          <w:rFonts w:cs="Times New Roman"/>
          <w:lang w:val="fr-CA"/>
        </w:rPr>
        <w:t xml:space="preserve"> </w:t>
      </w:r>
      <w:r w:rsidR="006412AC">
        <w:rPr>
          <w:rFonts w:cs="Times New Roman"/>
          <w:lang w:val="fr-CA"/>
        </w:rPr>
        <w:t>« </w:t>
      </w:r>
      <w:r w:rsidRPr="001A1E08">
        <w:rPr>
          <w:rFonts w:cs="Times New Roman"/>
          <w:lang w:val="fr-CA"/>
        </w:rPr>
        <w:t>à éliminer plusieurs des conflits pouvant survenir dans le transport aérien international, à instaurer un système de documentation reconnu internationalement, à assujettir les réclamations à un délai de prescription, à résoudre les questions de compétence et, ce qui est peut</w:t>
      </w:r>
      <w:r w:rsidR="006412AC">
        <w:rPr>
          <w:rFonts w:cs="Times New Roman"/>
          <w:lang w:val="fr-CA"/>
        </w:rPr>
        <w:t>-</w:t>
      </w:r>
      <w:r w:rsidRPr="001A1E08">
        <w:rPr>
          <w:rFonts w:cs="Times New Roman"/>
          <w:lang w:val="fr-CA"/>
        </w:rPr>
        <w:t>être le plus important, à imposer des limites très strictes à la responsabilité des transporteurs</w:t>
      </w:r>
      <w:r w:rsidR="006412AC">
        <w:rPr>
          <w:rFonts w:cs="Times New Roman"/>
          <w:lang w:val="fr-CA"/>
        </w:rPr>
        <w:t> »</w:t>
      </w:r>
      <w:r w:rsidR="00F726F4">
        <w:rPr>
          <w:rFonts w:cs="Times New Roman"/>
          <w:lang w:val="fr-CA"/>
        </w:rPr>
        <w:t> :</w:t>
      </w:r>
      <w:r w:rsidRPr="001A1E08">
        <w:rPr>
          <w:rFonts w:cs="Times New Roman"/>
          <w:lang w:val="fr-CA"/>
        </w:rPr>
        <w:t xml:space="preserve"> </w:t>
      </w:r>
      <w:proofErr w:type="spellStart"/>
      <w:r w:rsidRPr="001A1E08">
        <w:rPr>
          <w:rFonts w:cs="Times New Roman"/>
          <w:lang w:val="fr-CA"/>
        </w:rPr>
        <w:t>Fountain</w:t>
      </w:r>
      <w:proofErr w:type="spellEnd"/>
      <w:r w:rsidRPr="001A1E08">
        <w:rPr>
          <w:rFonts w:cs="Times New Roman"/>
          <w:lang w:val="fr-CA"/>
        </w:rPr>
        <w:t xml:space="preserve"> Court Chambers, </w:t>
      </w:r>
      <w:proofErr w:type="spellStart"/>
      <w:r w:rsidRPr="001A1E08">
        <w:rPr>
          <w:rFonts w:cs="Times New Roman"/>
          <w:i/>
          <w:lang w:val="fr-CA"/>
        </w:rPr>
        <w:t>Carriage</w:t>
      </w:r>
      <w:proofErr w:type="spellEnd"/>
      <w:r w:rsidRPr="001A1E08">
        <w:rPr>
          <w:rFonts w:cs="Times New Roman"/>
          <w:i/>
          <w:lang w:val="fr-CA"/>
        </w:rPr>
        <w:t xml:space="preserve"> by Air</w:t>
      </w:r>
      <w:r w:rsidRPr="001A1E08">
        <w:rPr>
          <w:rFonts w:cs="Times New Roman"/>
          <w:lang w:val="fr-CA"/>
        </w:rPr>
        <w:t xml:space="preserve"> (2001), p.</w:t>
      </w:r>
      <w:r w:rsidR="006412AC">
        <w:rPr>
          <w:rFonts w:cs="Times New Roman"/>
          <w:lang w:val="fr-CA"/>
        </w:rPr>
        <w:t xml:space="preserve"> </w:t>
      </w:r>
      <w:r w:rsidRPr="001A1E08">
        <w:rPr>
          <w:rFonts w:cs="Times New Roman"/>
          <w:lang w:val="fr-CA"/>
        </w:rPr>
        <w:t>3.  Du point de vue des passagers et des expéditeurs, ces limites étaient contrebalancées par une inversion du fardeau de la preuve en leur faveur, de sorte que, dès lors que les dommages étaient prouvés, la faute du transporteur était présumée</w:t>
      </w:r>
      <w:r w:rsidR="006412AC">
        <w:rPr>
          <w:rFonts w:cs="Times New Roman"/>
          <w:lang w:val="fr-CA"/>
        </w:rPr>
        <w:t> :</w:t>
      </w:r>
      <w:r w:rsidRPr="001A1E08">
        <w:rPr>
          <w:rFonts w:cs="Times New Roman"/>
          <w:lang w:val="fr-CA"/>
        </w:rPr>
        <w:t xml:space="preserve"> </w:t>
      </w:r>
      <w:r w:rsidRPr="001A1E08">
        <w:rPr>
          <w:rFonts w:cs="Times New Roman"/>
          <w:i/>
          <w:lang w:val="fr-CA"/>
        </w:rPr>
        <w:t>ibid</w:t>
      </w:r>
      <w:r w:rsidRPr="001A1E08">
        <w:rPr>
          <w:rFonts w:cs="Times New Roman"/>
          <w:lang w:val="fr-CA"/>
        </w:rPr>
        <w:t>.  Voir aussi Dempsey, p.</w:t>
      </w:r>
      <w:r w:rsidR="006412AC">
        <w:rPr>
          <w:rFonts w:cs="Times New Roman"/>
          <w:lang w:val="fr-CA"/>
        </w:rPr>
        <w:t xml:space="preserve"> </w:t>
      </w:r>
      <w:r w:rsidRPr="001A1E08">
        <w:rPr>
          <w:rFonts w:cs="Times New Roman"/>
          <w:lang w:val="fr-CA"/>
        </w:rPr>
        <w:t>309</w:t>
      </w:r>
      <w:r w:rsidR="006412AC">
        <w:rPr>
          <w:rFonts w:cs="Times New Roman"/>
          <w:lang w:val="fr-CA"/>
        </w:rPr>
        <w:t>-</w:t>
      </w:r>
      <w:r w:rsidR="00F726F4">
        <w:rPr>
          <w:rFonts w:cs="Times New Roman"/>
          <w:lang w:val="fr-CA"/>
        </w:rPr>
        <w:t>3</w:t>
      </w:r>
      <w:r w:rsidRPr="001A1E08">
        <w:rPr>
          <w:rFonts w:cs="Times New Roman"/>
          <w:lang w:val="fr-CA"/>
        </w:rPr>
        <w:t xml:space="preserve">10; </w:t>
      </w:r>
      <w:proofErr w:type="spellStart"/>
      <w:r w:rsidRPr="001A1E08">
        <w:rPr>
          <w:rFonts w:cs="Times New Roman"/>
          <w:i/>
          <w:lang w:val="fr-CA"/>
        </w:rPr>
        <w:t>Shawcross</w:t>
      </w:r>
      <w:proofErr w:type="spellEnd"/>
      <w:r w:rsidRPr="001A1E08">
        <w:rPr>
          <w:rFonts w:cs="Times New Roman"/>
          <w:i/>
          <w:lang w:val="fr-CA"/>
        </w:rPr>
        <w:t xml:space="preserve"> and Beaumont</w:t>
      </w:r>
      <w:r w:rsidRPr="001A1E08">
        <w:rPr>
          <w:rFonts w:cs="Times New Roman"/>
          <w:lang w:val="fr-CA"/>
        </w:rPr>
        <w:t>,</w:t>
      </w:r>
      <w:r w:rsidRPr="001A1E08">
        <w:rPr>
          <w:rFonts w:cs="Times New Roman"/>
          <w:i/>
          <w:lang w:val="fr-CA"/>
        </w:rPr>
        <w:t xml:space="preserve"> </w:t>
      </w:r>
      <w:r w:rsidRPr="001A1E08">
        <w:rPr>
          <w:rFonts w:cs="Times New Roman"/>
          <w:lang w:val="fr-CA"/>
        </w:rPr>
        <w:t>p.</w:t>
      </w:r>
      <w:r w:rsidR="006412AC">
        <w:rPr>
          <w:rFonts w:cs="Times New Roman"/>
          <w:lang w:val="fr-CA"/>
        </w:rPr>
        <w:t xml:space="preserve"> </w:t>
      </w:r>
      <w:r w:rsidRPr="001A1E08">
        <w:rPr>
          <w:rFonts w:cs="Times New Roman"/>
          <w:lang w:val="fr-CA"/>
        </w:rPr>
        <w:t>VII</w:t>
      </w:r>
      <w:r w:rsidR="006412AC">
        <w:rPr>
          <w:rFonts w:cs="Times New Roman"/>
          <w:lang w:val="fr-CA"/>
        </w:rPr>
        <w:t>-</w:t>
      </w:r>
      <w:r w:rsidRPr="001A1E08">
        <w:rPr>
          <w:rFonts w:cs="Times New Roman"/>
          <w:lang w:val="fr-CA"/>
        </w:rPr>
        <w:t>105 à VII</w:t>
      </w:r>
      <w:r w:rsidR="006412AC">
        <w:rPr>
          <w:rFonts w:cs="Times New Roman"/>
          <w:lang w:val="fr-CA"/>
        </w:rPr>
        <w:t>-</w:t>
      </w:r>
      <w:r w:rsidRPr="001A1E08">
        <w:rPr>
          <w:rFonts w:cs="Times New Roman"/>
          <w:lang w:val="fr-CA"/>
        </w:rPr>
        <w:t>105A; A.</w:t>
      </w:r>
      <w:r w:rsidR="006412AC">
        <w:rPr>
          <w:rFonts w:cs="Times New Roman"/>
          <w:lang w:val="fr-CA"/>
        </w:rPr>
        <w:t xml:space="preserve"> </w:t>
      </w:r>
      <w:r w:rsidRPr="001A1E08">
        <w:rPr>
          <w:rFonts w:cs="Times New Roman"/>
          <w:lang w:val="fr-CA"/>
        </w:rPr>
        <w:t xml:space="preserve">Field, </w:t>
      </w:r>
      <w:r w:rsidR="006412AC">
        <w:rPr>
          <w:rFonts w:cs="Times New Roman"/>
          <w:lang w:val="fr-CA"/>
        </w:rPr>
        <w:t>« </w:t>
      </w:r>
      <w:r w:rsidRPr="001A1E08">
        <w:rPr>
          <w:rFonts w:cs="Times New Roman"/>
          <w:lang w:val="fr-CA"/>
        </w:rPr>
        <w:t xml:space="preserve">International Air </w:t>
      </w:r>
      <w:proofErr w:type="spellStart"/>
      <w:r w:rsidRPr="001A1E08">
        <w:rPr>
          <w:rFonts w:cs="Times New Roman"/>
          <w:lang w:val="fr-CA"/>
        </w:rPr>
        <w:t>Carriage</w:t>
      </w:r>
      <w:proofErr w:type="spellEnd"/>
      <w:r w:rsidRPr="001A1E08">
        <w:rPr>
          <w:rFonts w:cs="Times New Roman"/>
          <w:lang w:val="fr-CA"/>
        </w:rPr>
        <w:t xml:space="preserve">, The </w:t>
      </w:r>
      <w:proofErr w:type="spellStart"/>
      <w:r w:rsidRPr="001A1E08">
        <w:rPr>
          <w:rFonts w:cs="Times New Roman"/>
          <w:lang w:val="fr-CA"/>
        </w:rPr>
        <w:lastRenderedPageBreak/>
        <w:t>Montreal</w:t>
      </w:r>
      <w:proofErr w:type="spellEnd"/>
      <w:r w:rsidRPr="001A1E08">
        <w:rPr>
          <w:rFonts w:cs="Times New Roman"/>
          <w:lang w:val="fr-CA"/>
        </w:rPr>
        <w:t xml:space="preserve"> Convention and t</w:t>
      </w:r>
      <w:r w:rsidR="00F726F4">
        <w:rPr>
          <w:rFonts w:cs="Times New Roman"/>
          <w:lang w:val="fr-CA"/>
        </w:rPr>
        <w:t xml:space="preserve">he Injuries for </w:t>
      </w:r>
      <w:proofErr w:type="spellStart"/>
      <w:r w:rsidR="00F726F4">
        <w:rPr>
          <w:rFonts w:cs="Times New Roman"/>
          <w:lang w:val="fr-CA"/>
        </w:rPr>
        <w:t>Which</w:t>
      </w:r>
      <w:proofErr w:type="spellEnd"/>
      <w:r w:rsidR="00F726F4">
        <w:rPr>
          <w:rFonts w:cs="Times New Roman"/>
          <w:lang w:val="fr-CA"/>
        </w:rPr>
        <w:t xml:space="preserve"> There </w:t>
      </w:r>
      <w:proofErr w:type="spellStart"/>
      <w:r w:rsidR="00F726F4">
        <w:rPr>
          <w:rFonts w:cs="Times New Roman"/>
          <w:lang w:val="fr-CA"/>
        </w:rPr>
        <w:t>is</w:t>
      </w:r>
      <w:proofErr w:type="spellEnd"/>
      <w:r w:rsidR="00F726F4">
        <w:rPr>
          <w:rFonts w:cs="Times New Roman"/>
          <w:lang w:val="fr-CA"/>
        </w:rPr>
        <w:t xml:space="preserve"> N</w:t>
      </w:r>
      <w:r w:rsidRPr="001A1E08">
        <w:rPr>
          <w:rFonts w:cs="Times New Roman"/>
          <w:lang w:val="fr-CA"/>
        </w:rPr>
        <w:t>o Compensation</w:t>
      </w:r>
      <w:r w:rsidR="006412AC">
        <w:rPr>
          <w:rFonts w:cs="Times New Roman"/>
          <w:lang w:val="fr-CA"/>
        </w:rPr>
        <w:t> »</w:t>
      </w:r>
      <w:r w:rsidRPr="001A1E08">
        <w:rPr>
          <w:rFonts w:cs="Times New Roman"/>
          <w:lang w:val="fr-CA"/>
        </w:rPr>
        <w:t xml:space="preserve"> (2006), 12</w:t>
      </w:r>
      <w:r w:rsidRPr="001A1E08">
        <w:rPr>
          <w:rFonts w:cs="Times New Roman"/>
          <w:i/>
          <w:lang w:val="fr-CA"/>
        </w:rPr>
        <w:t xml:space="preserve"> </w:t>
      </w:r>
      <w:proofErr w:type="spellStart"/>
      <w:r w:rsidRPr="001A1E08">
        <w:rPr>
          <w:rFonts w:cs="Times New Roman"/>
          <w:i/>
          <w:lang w:val="fr-CA"/>
        </w:rPr>
        <w:t>Canta</w:t>
      </w:r>
      <w:proofErr w:type="spellEnd"/>
      <w:r w:rsidRPr="001A1E08">
        <w:rPr>
          <w:rFonts w:cs="Times New Roman"/>
          <w:i/>
          <w:lang w:val="fr-CA"/>
        </w:rPr>
        <w:t>. L.R.</w:t>
      </w:r>
      <w:r w:rsidRPr="001A1E08">
        <w:rPr>
          <w:rFonts w:cs="Times New Roman"/>
          <w:lang w:val="fr-CA"/>
        </w:rPr>
        <w:t xml:space="preserve"> 237, p.</w:t>
      </w:r>
      <w:r w:rsidR="006412AC">
        <w:rPr>
          <w:rFonts w:cs="Times New Roman"/>
          <w:lang w:val="fr-CA"/>
        </w:rPr>
        <w:t xml:space="preserve"> </w:t>
      </w:r>
      <w:r w:rsidRPr="001A1E08">
        <w:rPr>
          <w:rFonts w:cs="Times New Roman"/>
          <w:lang w:val="fr-CA"/>
        </w:rPr>
        <w:t>239; L.</w:t>
      </w:r>
      <w:r w:rsidR="006412AC">
        <w:rPr>
          <w:rFonts w:cs="Times New Roman"/>
          <w:lang w:val="fr-CA"/>
        </w:rPr>
        <w:t xml:space="preserve"> </w:t>
      </w:r>
      <w:proofErr w:type="spellStart"/>
      <w:r w:rsidRPr="001A1E08">
        <w:rPr>
          <w:rFonts w:cs="Times New Roman"/>
          <w:lang w:val="fr-CA"/>
        </w:rPr>
        <w:t>Chassot</w:t>
      </w:r>
      <w:proofErr w:type="spellEnd"/>
      <w:r w:rsidRPr="001A1E08">
        <w:rPr>
          <w:rFonts w:cs="Times New Roman"/>
          <w:lang w:val="fr-CA"/>
        </w:rPr>
        <w:t xml:space="preserve">, </w:t>
      </w:r>
      <w:r w:rsidRPr="001A1E08">
        <w:rPr>
          <w:rFonts w:cs="Times New Roman"/>
          <w:i/>
          <w:lang w:val="fr-CA"/>
        </w:rPr>
        <w:t>Les sources de la responsabilité du transporteur aérien international</w:t>
      </w:r>
      <w:r w:rsidR="006412AC">
        <w:rPr>
          <w:rFonts w:cs="Times New Roman"/>
          <w:i/>
          <w:lang w:val="fr-CA"/>
        </w:rPr>
        <w:t> :</w:t>
      </w:r>
      <w:r w:rsidRPr="001A1E08">
        <w:rPr>
          <w:rFonts w:cs="Times New Roman"/>
          <w:i/>
          <w:lang w:val="fr-CA"/>
        </w:rPr>
        <w:t xml:space="preserve"> entre conflit et complémentarité </w:t>
      </w:r>
      <w:r w:rsidRPr="001A1E08">
        <w:rPr>
          <w:rFonts w:cs="Times New Roman"/>
          <w:lang w:val="fr-CA"/>
        </w:rPr>
        <w:t>(2012), p.</w:t>
      </w:r>
      <w:r w:rsidR="006412AC">
        <w:rPr>
          <w:rFonts w:cs="Times New Roman"/>
          <w:lang w:val="fr-CA"/>
        </w:rPr>
        <w:t xml:space="preserve"> </w:t>
      </w:r>
      <w:r w:rsidRPr="001A1E08">
        <w:rPr>
          <w:rFonts w:cs="Times New Roman"/>
          <w:lang w:val="fr-CA"/>
        </w:rPr>
        <w:t>45</w:t>
      </w:r>
      <w:r w:rsidR="006412AC">
        <w:rPr>
          <w:rFonts w:cs="Times New Roman"/>
          <w:lang w:val="fr-CA"/>
        </w:rPr>
        <w:t>-</w:t>
      </w:r>
      <w:r w:rsidRPr="001A1E08">
        <w:rPr>
          <w:rFonts w:cs="Times New Roman"/>
          <w:lang w:val="fr-CA"/>
        </w:rPr>
        <w:t>46.</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Il sera utile d’expliquer de façon un peu plus détaillée comment la </w:t>
      </w:r>
      <w:r w:rsidRPr="001A1E08">
        <w:rPr>
          <w:rFonts w:cs="Times New Roman"/>
          <w:i/>
          <w:lang w:val="fr-CA"/>
        </w:rPr>
        <w:t>Convention de Varsovie</w:t>
      </w:r>
      <w:r w:rsidRPr="001A1E08">
        <w:rPr>
          <w:rFonts w:cs="Times New Roman"/>
          <w:lang w:val="fr-CA"/>
        </w:rPr>
        <w:t xml:space="preserve"> réalisait chacun de ses trois principaux objectifs.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Pour favoriser l’atteinte de l’objectif d’uniformité, la </w:t>
      </w:r>
      <w:r w:rsidRPr="001A1E08">
        <w:rPr>
          <w:rFonts w:cs="Times New Roman"/>
          <w:i/>
          <w:lang w:val="fr-CA"/>
        </w:rPr>
        <w:t>Convention de</w:t>
      </w:r>
      <w:r w:rsidRPr="001A1E08">
        <w:rPr>
          <w:rFonts w:cs="Times New Roman"/>
          <w:lang w:val="fr-CA"/>
        </w:rPr>
        <w:t xml:space="preserve"> </w:t>
      </w:r>
      <w:r w:rsidRPr="001A1E08">
        <w:rPr>
          <w:rFonts w:cs="Times New Roman"/>
          <w:i/>
          <w:lang w:val="fr-CA"/>
        </w:rPr>
        <w:t xml:space="preserve">Varsovie </w:t>
      </w:r>
      <w:r w:rsidRPr="001A1E08">
        <w:rPr>
          <w:rFonts w:cs="Times New Roman"/>
          <w:lang w:val="fr-CA"/>
        </w:rPr>
        <w:t>établissait trois chefs de responsabilité du transporteur aérien</w:t>
      </w:r>
      <w:r w:rsidR="006412AC">
        <w:rPr>
          <w:rFonts w:cs="Times New Roman"/>
          <w:lang w:val="fr-CA"/>
        </w:rPr>
        <w:t> :</w:t>
      </w:r>
      <w:r w:rsidR="00F726F4">
        <w:rPr>
          <w:rFonts w:cs="Times New Roman"/>
          <w:lang w:val="fr-CA"/>
        </w:rPr>
        <w:t xml:space="preserve"> le préjudice personnel à l’article</w:t>
      </w:r>
      <w:r w:rsidR="006412AC">
        <w:rPr>
          <w:rFonts w:cs="Times New Roman"/>
          <w:lang w:val="fr-CA"/>
        </w:rPr>
        <w:t xml:space="preserve"> </w:t>
      </w:r>
      <w:r w:rsidRPr="001A1E08">
        <w:rPr>
          <w:rFonts w:cs="Times New Roman"/>
          <w:lang w:val="fr-CA"/>
        </w:rPr>
        <w:t>17; la perte, la destruction et l’avarie de bagage</w:t>
      </w:r>
      <w:r w:rsidR="00F726F4">
        <w:rPr>
          <w:rFonts w:cs="Times New Roman"/>
          <w:lang w:val="fr-CA"/>
        </w:rPr>
        <w:t>s ou de la marchandise, à l’article</w:t>
      </w:r>
      <w:r w:rsidR="006412AC">
        <w:rPr>
          <w:rFonts w:cs="Times New Roman"/>
          <w:lang w:val="fr-CA"/>
        </w:rPr>
        <w:t xml:space="preserve"> </w:t>
      </w:r>
      <w:r w:rsidRPr="001A1E08">
        <w:rPr>
          <w:rFonts w:cs="Times New Roman"/>
          <w:lang w:val="fr-CA"/>
        </w:rPr>
        <w:t>18; et le dommage</w:t>
      </w:r>
      <w:r w:rsidR="00F726F4">
        <w:rPr>
          <w:rFonts w:cs="Times New Roman"/>
          <w:lang w:val="fr-CA"/>
        </w:rPr>
        <w:t xml:space="preserve"> résultant d’un retard, à l’article</w:t>
      </w:r>
      <w:r w:rsidR="006412AC">
        <w:rPr>
          <w:rFonts w:cs="Times New Roman"/>
          <w:lang w:val="fr-CA"/>
        </w:rPr>
        <w:t xml:space="preserve"> </w:t>
      </w:r>
      <w:r w:rsidRPr="001A1E08">
        <w:rPr>
          <w:rFonts w:cs="Times New Roman"/>
          <w:lang w:val="fr-CA"/>
        </w:rPr>
        <w:t>19.  Elle énonçait également les conditions auxquelles le transporteur aérien était exoné</w:t>
      </w:r>
      <w:r w:rsidR="00B07446">
        <w:rPr>
          <w:rFonts w:cs="Times New Roman"/>
          <w:lang w:val="fr-CA"/>
        </w:rPr>
        <w:t>ré de toute responsabilité (article</w:t>
      </w:r>
      <w:r w:rsidR="006412AC">
        <w:rPr>
          <w:rFonts w:cs="Times New Roman"/>
          <w:lang w:val="fr-CA"/>
        </w:rPr>
        <w:t xml:space="preserve"> </w:t>
      </w:r>
      <w:r w:rsidRPr="001A1E08">
        <w:rPr>
          <w:rFonts w:cs="Times New Roman"/>
          <w:lang w:val="fr-CA"/>
        </w:rPr>
        <w:t>20), les limites pécuniaire</w:t>
      </w:r>
      <w:r w:rsidR="00F726F4">
        <w:rPr>
          <w:rFonts w:cs="Times New Roman"/>
          <w:lang w:val="fr-CA"/>
        </w:rPr>
        <w:t>s de la responsabilité (article</w:t>
      </w:r>
      <w:r w:rsidR="006412AC">
        <w:rPr>
          <w:rFonts w:cs="Times New Roman"/>
          <w:lang w:val="fr-CA"/>
        </w:rPr>
        <w:t xml:space="preserve"> </w:t>
      </w:r>
      <w:r w:rsidRPr="001A1E08">
        <w:rPr>
          <w:rFonts w:cs="Times New Roman"/>
          <w:lang w:val="fr-CA"/>
        </w:rPr>
        <w:t xml:space="preserve">22) et, afin de maintenir l’équilibre du régime, les circonstances dans lesquelles le transporteur </w:t>
      </w:r>
      <w:r w:rsidRPr="001A1E08">
        <w:rPr>
          <w:rFonts w:cs="Times New Roman"/>
          <w:i/>
          <w:lang w:val="fr-CA"/>
        </w:rPr>
        <w:t>ne</w:t>
      </w:r>
      <w:r w:rsidRPr="001A1E08">
        <w:rPr>
          <w:rFonts w:cs="Times New Roman"/>
          <w:lang w:val="fr-CA"/>
        </w:rPr>
        <w:t xml:space="preserve"> pouvait </w:t>
      </w:r>
      <w:r w:rsidRPr="001A1E08">
        <w:rPr>
          <w:rFonts w:cs="Times New Roman"/>
          <w:i/>
          <w:lang w:val="fr-CA"/>
        </w:rPr>
        <w:t>pas</w:t>
      </w:r>
      <w:r w:rsidR="00F726F4">
        <w:rPr>
          <w:rFonts w:cs="Times New Roman"/>
          <w:lang w:val="fr-CA"/>
        </w:rPr>
        <w:t xml:space="preserve"> limiter sa responsabilité (article</w:t>
      </w:r>
      <w:r w:rsidR="009F1863">
        <w:rPr>
          <w:rFonts w:cs="Times New Roman"/>
          <w:lang w:val="fr-CA"/>
        </w:rPr>
        <w:t>s</w:t>
      </w:r>
      <w:r w:rsidR="006412AC">
        <w:rPr>
          <w:rFonts w:cs="Times New Roman"/>
          <w:lang w:val="fr-CA"/>
        </w:rPr>
        <w:t xml:space="preserve"> </w:t>
      </w:r>
      <w:r w:rsidRPr="001A1E08">
        <w:rPr>
          <w:rFonts w:cs="Times New Roman"/>
          <w:lang w:val="fr-CA"/>
        </w:rPr>
        <w:t>23 et 25).  L’intention était de soustraire les transporteurs à l’application des régimes divergents de responsabilité établis par les lois des divers États</w:t>
      </w:r>
      <w:r w:rsidR="006412AC">
        <w:rPr>
          <w:rFonts w:cs="Times New Roman"/>
          <w:lang w:val="fr-CA"/>
        </w:rPr>
        <w:t> :</w:t>
      </w:r>
      <w:r w:rsidRPr="001A1E08">
        <w:rPr>
          <w:rFonts w:cs="Times New Roman"/>
          <w:lang w:val="fr-CA"/>
        </w:rPr>
        <w:t xml:space="preserve"> voir, p.</w:t>
      </w:r>
      <w:r w:rsidR="006412AC">
        <w:rPr>
          <w:rFonts w:cs="Times New Roman"/>
          <w:lang w:val="fr-CA"/>
        </w:rPr>
        <w:t xml:space="preserve"> </w:t>
      </w:r>
      <w:r w:rsidRPr="001A1E08">
        <w:rPr>
          <w:rFonts w:cs="Times New Roman"/>
          <w:lang w:val="fr-CA"/>
        </w:rPr>
        <w:t xml:space="preserve">ex., </w:t>
      </w:r>
      <w:r w:rsidRPr="001A1E08">
        <w:rPr>
          <w:rFonts w:cs="Times New Roman"/>
          <w:i/>
          <w:lang w:val="fr-CA"/>
        </w:rPr>
        <w:t xml:space="preserve">El </w:t>
      </w:r>
      <w:r w:rsidRPr="001A1E08">
        <w:rPr>
          <w:rFonts w:cs="Times New Roman"/>
          <w:i/>
          <w:lang w:val="fr-CA" w:eastAsia="en-CA"/>
        </w:rPr>
        <w:t xml:space="preserve">Al </w:t>
      </w:r>
      <w:proofErr w:type="spellStart"/>
      <w:r w:rsidRPr="001A1E08">
        <w:rPr>
          <w:rFonts w:cs="Times New Roman"/>
          <w:i/>
          <w:lang w:val="fr-CA" w:eastAsia="en-CA"/>
        </w:rPr>
        <w:t>Israel</w:t>
      </w:r>
      <w:proofErr w:type="spellEnd"/>
      <w:r w:rsidRPr="001A1E08">
        <w:rPr>
          <w:rFonts w:cs="Times New Roman"/>
          <w:i/>
          <w:lang w:val="fr-CA" w:eastAsia="en-CA"/>
        </w:rPr>
        <w:t xml:space="preserve"> Airlines, Ltd. c. </w:t>
      </w:r>
      <w:proofErr w:type="spellStart"/>
      <w:r w:rsidRPr="001A1E08">
        <w:rPr>
          <w:rFonts w:cs="Times New Roman"/>
          <w:i/>
          <w:lang w:val="fr-CA" w:eastAsia="en-CA"/>
        </w:rPr>
        <w:t>Tsui</w:t>
      </w:r>
      <w:proofErr w:type="spellEnd"/>
      <w:r w:rsidRPr="001A1E08">
        <w:rPr>
          <w:rFonts w:cs="Times New Roman"/>
          <w:i/>
          <w:lang w:val="fr-CA" w:eastAsia="en-CA"/>
        </w:rPr>
        <w:t xml:space="preserve"> Yuan </w:t>
      </w:r>
      <w:proofErr w:type="spellStart"/>
      <w:r w:rsidRPr="001A1E08">
        <w:rPr>
          <w:rFonts w:cs="Times New Roman"/>
          <w:i/>
          <w:lang w:val="fr-CA" w:eastAsia="en-CA"/>
        </w:rPr>
        <w:t>Tseng</w:t>
      </w:r>
      <w:proofErr w:type="spellEnd"/>
      <w:r w:rsidRPr="001A1E08">
        <w:rPr>
          <w:rFonts w:cs="Times New Roman"/>
          <w:lang w:val="fr-CA" w:eastAsia="en-CA"/>
        </w:rPr>
        <w:t>, 525</w:t>
      </w:r>
      <w:r w:rsidR="006412AC">
        <w:rPr>
          <w:rFonts w:cs="Times New Roman"/>
          <w:lang w:val="fr-CA" w:eastAsia="en-CA"/>
        </w:rPr>
        <w:t xml:space="preserve"> </w:t>
      </w:r>
      <w:r w:rsidRPr="001A1E08">
        <w:rPr>
          <w:rFonts w:cs="Times New Roman"/>
          <w:lang w:val="fr-CA" w:eastAsia="en-CA"/>
        </w:rPr>
        <w:t>U.S. 155 (1999), p.</w:t>
      </w:r>
      <w:r w:rsidR="006412AC">
        <w:rPr>
          <w:rFonts w:cs="Times New Roman"/>
          <w:lang w:val="fr-CA" w:eastAsia="en-CA"/>
        </w:rPr>
        <w:t xml:space="preserve"> </w:t>
      </w:r>
      <w:r w:rsidRPr="001A1E08">
        <w:rPr>
          <w:rFonts w:cs="Times New Roman"/>
          <w:lang w:val="fr-CA" w:eastAsia="en-CA"/>
        </w:rPr>
        <w:t>169</w:t>
      </w:r>
      <w:r w:rsidR="006412AC">
        <w:rPr>
          <w:rFonts w:cs="Times New Roman"/>
          <w:lang w:val="fr-CA" w:eastAsia="en-CA"/>
        </w:rPr>
        <w:t>-</w:t>
      </w:r>
      <w:r w:rsidRPr="001A1E08">
        <w:rPr>
          <w:rFonts w:cs="Times New Roman"/>
          <w:lang w:val="fr-CA" w:eastAsia="en-CA"/>
        </w:rPr>
        <w:t>171, la juge</w:t>
      </w:r>
      <w:r w:rsidRPr="001A1E08">
        <w:rPr>
          <w:rFonts w:cs="Times New Roman"/>
          <w:lang w:val="fr-CA"/>
        </w:rPr>
        <w:t xml:space="preserve"> </w:t>
      </w:r>
      <w:proofErr w:type="spellStart"/>
      <w:r w:rsidRPr="001A1E08">
        <w:rPr>
          <w:rFonts w:cs="Times New Roman"/>
          <w:lang w:val="fr-CA"/>
        </w:rPr>
        <w:t>Ginsburg</w:t>
      </w:r>
      <w:proofErr w:type="spellEnd"/>
      <w:r w:rsidRPr="001A1E08">
        <w:rPr>
          <w:rFonts w:cs="Times New Roman"/>
          <w:lang w:val="fr-CA"/>
        </w:rPr>
        <w:t>.</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Quant au deuxième objectif — limiter la responsabilité — la </w:t>
      </w:r>
      <w:r w:rsidRPr="001A1E08">
        <w:rPr>
          <w:rFonts w:cs="Times New Roman"/>
          <w:i/>
          <w:lang w:val="fr-CA"/>
        </w:rPr>
        <w:t>Convention de Varsovie</w:t>
      </w:r>
      <w:r w:rsidRPr="001A1E08">
        <w:rPr>
          <w:rFonts w:cs="Times New Roman"/>
          <w:lang w:val="fr-CA"/>
        </w:rPr>
        <w:t xml:space="preserve"> restreignait à la fois la nature des dommages admissibles et le montant</w:t>
      </w:r>
      <w:r w:rsidR="00F726F4">
        <w:rPr>
          <w:rFonts w:cs="Times New Roman"/>
          <w:lang w:val="fr-CA"/>
        </w:rPr>
        <w:t xml:space="preserve"> des indemnités.  Selon les articles</w:t>
      </w:r>
      <w:r w:rsidR="006412AC">
        <w:rPr>
          <w:rFonts w:cs="Times New Roman"/>
          <w:lang w:val="fr-CA"/>
        </w:rPr>
        <w:t xml:space="preserve"> </w:t>
      </w:r>
      <w:r w:rsidRPr="001A1E08">
        <w:rPr>
          <w:rFonts w:cs="Times New Roman"/>
          <w:lang w:val="fr-CA"/>
        </w:rPr>
        <w:t xml:space="preserve">22 et 24, le montant des dommages-intérêts que les passagers pouvaient obtenir et les réclamations qu’ils pouvaient présenter étaient limités.  Le régime établi par la </w:t>
      </w:r>
      <w:r w:rsidRPr="001A1E08">
        <w:rPr>
          <w:rFonts w:cs="Times New Roman"/>
          <w:i/>
          <w:lang w:val="fr-CA"/>
        </w:rPr>
        <w:t>Convention de Varsovie</w:t>
      </w:r>
      <w:r w:rsidRPr="001A1E08">
        <w:rPr>
          <w:rFonts w:cs="Times New Roman"/>
          <w:lang w:val="fr-CA"/>
        </w:rPr>
        <w:t xml:space="preserve"> repose sur un principe </w:t>
      </w:r>
      <w:r w:rsidRPr="001A1E08">
        <w:rPr>
          <w:rFonts w:cs="Times New Roman"/>
          <w:lang w:val="fr-CA"/>
        </w:rPr>
        <w:lastRenderedPageBreak/>
        <w:t>d’ex</w:t>
      </w:r>
      <w:r w:rsidR="00C82EE3">
        <w:rPr>
          <w:rFonts w:cs="Times New Roman"/>
          <w:lang w:val="fr-CA"/>
        </w:rPr>
        <w:t>clusivité, qui ressort de l’article</w:t>
      </w:r>
      <w:r w:rsidR="006412AC">
        <w:rPr>
          <w:rFonts w:cs="Times New Roman"/>
          <w:lang w:val="fr-CA"/>
        </w:rPr>
        <w:t xml:space="preserve"> </w:t>
      </w:r>
      <w:r w:rsidRPr="001A1E08">
        <w:rPr>
          <w:rFonts w:cs="Times New Roman"/>
          <w:lang w:val="fr-CA"/>
        </w:rPr>
        <w:t>24</w:t>
      </w:r>
      <w:r w:rsidR="006412AC">
        <w:rPr>
          <w:rFonts w:cs="Times New Roman"/>
          <w:lang w:val="fr-CA"/>
        </w:rPr>
        <w:t> :</w:t>
      </w:r>
      <w:r w:rsidRPr="001A1E08">
        <w:rPr>
          <w:rFonts w:cs="Times New Roman"/>
          <w:lang w:val="fr-CA"/>
        </w:rPr>
        <w:t xml:space="preserve"> </w:t>
      </w:r>
      <w:r w:rsidR="006412AC">
        <w:rPr>
          <w:rFonts w:cs="Times New Roman"/>
          <w:lang w:val="fr-CA"/>
        </w:rPr>
        <w:t>« </w:t>
      </w:r>
      <w:r w:rsidRPr="001A1E08">
        <w:rPr>
          <w:rFonts w:cs="Times New Roman"/>
          <w:lang w:val="fr-CA"/>
        </w:rPr>
        <w:t>[d]ans les cas prévus</w:t>
      </w:r>
      <w:r w:rsidR="006412AC">
        <w:rPr>
          <w:rFonts w:cs="Times New Roman"/>
          <w:lang w:val="fr-CA"/>
        </w:rPr>
        <w:t> »</w:t>
      </w:r>
      <w:r w:rsidR="00F726F4">
        <w:rPr>
          <w:rFonts w:cs="Times New Roman"/>
          <w:lang w:val="fr-CA"/>
        </w:rPr>
        <w:t xml:space="preserve"> aux articles</w:t>
      </w:r>
      <w:r w:rsidR="006412AC">
        <w:rPr>
          <w:rFonts w:cs="Times New Roman"/>
          <w:lang w:val="fr-CA"/>
        </w:rPr>
        <w:t xml:space="preserve"> </w:t>
      </w:r>
      <w:r w:rsidRPr="001A1E08">
        <w:rPr>
          <w:rFonts w:cs="Times New Roman"/>
          <w:lang w:val="fr-CA"/>
        </w:rPr>
        <w:t xml:space="preserve">17 à 19, </w:t>
      </w:r>
      <w:r w:rsidR="006412AC">
        <w:rPr>
          <w:rFonts w:cs="Times New Roman"/>
          <w:lang w:val="fr-CA"/>
        </w:rPr>
        <w:t>« </w:t>
      </w:r>
      <w:r w:rsidRPr="001A1E08">
        <w:rPr>
          <w:rFonts w:cs="Times New Roman"/>
          <w:lang w:val="fr-CA"/>
        </w:rPr>
        <w:t>toute action en responsabilité, à quelque titre que ce soit, ne peut être exercée que dans les conditions et limites prévues par la présente Convention</w:t>
      </w:r>
      <w:r w:rsidR="006412AC">
        <w:rPr>
          <w:rFonts w:cs="Times New Roman"/>
          <w:lang w:val="fr-CA"/>
        </w:rPr>
        <w:t> »</w:t>
      </w:r>
      <w:r w:rsidRPr="001A1E08">
        <w:rPr>
          <w:rFonts w:cs="Times New Roman"/>
          <w:lang w:val="fr-CA"/>
        </w:rPr>
        <w:t>.  Il es</w:t>
      </w:r>
      <w:r w:rsidR="00F726F4">
        <w:rPr>
          <w:rFonts w:cs="Times New Roman"/>
          <w:lang w:val="fr-CA"/>
        </w:rPr>
        <w:t>t utile de reproduire ici l’article</w:t>
      </w:r>
      <w:r w:rsidR="006412AC">
        <w:rPr>
          <w:rFonts w:cs="Times New Roman"/>
          <w:lang w:val="fr-CA"/>
        </w:rPr>
        <w:t xml:space="preserve"> </w:t>
      </w:r>
      <w:r w:rsidRPr="001A1E08">
        <w:rPr>
          <w:rFonts w:cs="Times New Roman"/>
          <w:lang w:val="fr-CA"/>
        </w:rPr>
        <w:t>24 dans son intégralité, puisqu’il est au cœur de plusieurs décisions que j’examinerai plus tard</w:t>
      </w:r>
      <w:r w:rsidR="006412AC">
        <w:rPr>
          <w:rFonts w:cs="Times New Roman"/>
          <w:lang w:val="fr-CA"/>
        </w:rPr>
        <w:t> :</w:t>
      </w:r>
    </w:p>
    <w:p w:rsidR="00367456" w:rsidRPr="001A1E08" w:rsidRDefault="00367456" w:rsidP="00A12DCE">
      <w:pPr>
        <w:pStyle w:val="Citation-AltC"/>
        <w:widowControl w:val="0"/>
        <w:spacing w:after="240"/>
        <w:ind w:hanging="1166"/>
        <w:contextualSpacing w:val="0"/>
        <w:jc w:val="center"/>
        <w:rPr>
          <w:i/>
          <w:lang w:val="fr-CA"/>
        </w:rPr>
      </w:pPr>
      <w:r w:rsidRPr="001A1E08">
        <w:rPr>
          <w:b/>
          <w:i/>
          <w:smallCaps/>
          <w:lang w:val="fr-CA"/>
        </w:rPr>
        <w:tab/>
      </w:r>
      <w:r w:rsidRPr="00AE3C6B">
        <w:rPr>
          <w:i/>
          <w:smallCaps/>
          <w:lang w:val="fr-CA"/>
        </w:rPr>
        <w:t>A</w:t>
      </w:r>
      <w:r w:rsidRPr="001A1E08">
        <w:rPr>
          <w:i/>
          <w:smallCaps/>
          <w:lang w:val="fr-CA"/>
        </w:rPr>
        <w:t>rticle</w:t>
      </w:r>
      <w:r w:rsidR="006412AC">
        <w:rPr>
          <w:i/>
          <w:lang w:val="fr-CA"/>
        </w:rPr>
        <w:t xml:space="preserve"> </w:t>
      </w:r>
      <w:r w:rsidRPr="001A1E08">
        <w:rPr>
          <w:i/>
          <w:smallCaps/>
          <w:lang w:val="fr-CA"/>
        </w:rPr>
        <w:t>24</w:t>
      </w:r>
    </w:p>
    <w:p w:rsidR="00367456" w:rsidRPr="001A1E08" w:rsidRDefault="00367456" w:rsidP="00A12DCE">
      <w:pPr>
        <w:pStyle w:val="Citation-AltC"/>
        <w:widowControl w:val="0"/>
        <w:tabs>
          <w:tab w:val="left" w:pos="1680"/>
        </w:tabs>
        <w:spacing w:after="240"/>
        <w:ind w:hanging="1166"/>
        <w:contextualSpacing w:val="0"/>
        <w:rPr>
          <w:lang w:val="fr-CA"/>
        </w:rPr>
      </w:pPr>
      <w:r w:rsidRPr="001A1E08">
        <w:rPr>
          <w:lang w:val="fr-CA"/>
        </w:rPr>
        <w:tab/>
      </w:r>
      <w:r w:rsidR="00F726F4">
        <w:rPr>
          <w:lang w:val="fr-CA"/>
        </w:rPr>
        <w:tab/>
      </w:r>
      <w:r w:rsidRPr="001A1E08">
        <w:rPr>
          <w:lang w:val="fr-CA"/>
        </w:rPr>
        <w:t>(1)</w:t>
      </w:r>
      <w:r w:rsidRPr="001A1E08">
        <w:rPr>
          <w:lang w:val="fr-CA"/>
        </w:rPr>
        <w:tab/>
        <w:t>Dans les cas prévus aux articles</w:t>
      </w:r>
      <w:r w:rsidR="006412AC">
        <w:rPr>
          <w:lang w:val="fr-CA"/>
        </w:rPr>
        <w:t xml:space="preserve"> </w:t>
      </w:r>
      <w:r w:rsidRPr="001A1E08">
        <w:rPr>
          <w:lang w:val="fr-CA"/>
        </w:rPr>
        <w:t>18 et 19 toute action en responsabilité, à quelque titre que ce soit, ne peut être exercée que dans les conditions et limites prévues par la présente Convention.</w:t>
      </w:r>
    </w:p>
    <w:p w:rsidR="00367456" w:rsidRPr="001A1E08" w:rsidRDefault="00367456" w:rsidP="00A12DCE">
      <w:pPr>
        <w:pStyle w:val="Citation-AltC"/>
        <w:widowControl w:val="0"/>
        <w:tabs>
          <w:tab w:val="left" w:pos="1680"/>
        </w:tabs>
        <w:ind w:hanging="1166"/>
        <w:rPr>
          <w:lang w:val="fr-CA"/>
        </w:rPr>
      </w:pPr>
      <w:r w:rsidRPr="001A1E08">
        <w:rPr>
          <w:lang w:val="fr-CA"/>
        </w:rPr>
        <w:tab/>
      </w:r>
      <w:r w:rsidR="00F726F4">
        <w:rPr>
          <w:lang w:val="fr-CA"/>
        </w:rPr>
        <w:tab/>
      </w:r>
      <w:r w:rsidRPr="001A1E08">
        <w:rPr>
          <w:lang w:val="fr-CA"/>
        </w:rPr>
        <w:t>(2)</w:t>
      </w:r>
      <w:r w:rsidRPr="001A1E08">
        <w:rPr>
          <w:lang w:val="fr-CA"/>
        </w:rPr>
        <w:tab/>
        <w:t>Dans les cas prévus à l’article</w:t>
      </w:r>
      <w:r w:rsidR="006412AC">
        <w:rPr>
          <w:lang w:val="fr-CA"/>
        </w:rPr>
        <w:t xml:space="preserve"> </w:t>
      </w:r>
      <w:r w:rsidRPr="001A1E08">
        <w:rPr>
          <w:lang w:val="fr-CA"/>
        </w:rPr>
        <w:t xml:space="preserve">17, s’appliquent également les dispositions de l’alinéa précédent, sans préjudice de la détermination des personnes qui ont le droit d’agir et de leurs droits respectifs.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Le troisième objectif de la </w:t>
      </w:r>
      <w:r w:rsidRPr="001A1E08">
        <w:rPr>
          <w:rFonts w:cs="Times New Roman"/>
          <w:i/>
          <w:lang w:val="fr-CA"/>
        </w:rPr>
        <w:t>Convention de Varsovie</w:t>
      </w:r>
      <w:r w:rsidRPr="001A1E08">
        <w:rPr>
          <w:rFonts w:cs="Times New Roman"/>
          <w:lang w:val="fr-CA"/>
        </w:rPr>
        <w:t xml:space="preserve"> est d’assurer l’équilibre entre les intérêts des passagers qui demandent à être indemnisés du préjudice personnel qu’ils ont subi, et les intérêts des transporteurs aériens qui cherchent à limiter leur responsabilité éventuelle</w:t>
      </w:r>
      <w:r w:rsidR="006412AC">
        <w:rPr>
          <w:rFonts w:cs="Times New Roman"/>
          <w:lang w:val="fr-CA"/>
        </w:rPr>
        <w:t> :</w:t>
      </w:r>
      <w:r w:rsidRPr="001A1E08">
        <w:rPr>
          <w:rFonts w:cs="Times New Roman"/>
          <w:lang w:val="fr-CA"/>
        </w:rPr>
        <w:t xml:space="preserve"> </w:t>
      </w:r>
      <w:proofErr w:type="spellStart"/>
      <w:r w:rsidRPr="001A1E08">
        <w:rPr>
          <w:rFonts w:cs="Times New Roman"/>
          <w:i/>
          <w:lang w:val="fr-CA"/>
        </w:rPr>
        <w:t>Tseng</w:t>
      </w:r>
      <w:proofErr w:type="spellEnd"/>
      <w:r w:rsidRPr="001A1E08">
        <w:rPr>
          <w:rFonts w:cs="Times New Roman"/>
          <w:lang w:val="fr-CA"/>
        </w:rPr>
        <w:t>, p.</w:t>
      </w:r>
      <w:r w:rsidR="006412AC">
        <w:rPr>
          <w:rFonts w:cs="Times New Roman"/>
          <w:lang w:val="fr-CA"/>
        </w:rPr>
        <w:t xml:space="preserve"> </w:t>
      </w:r>
      <w:r w:rsidRPr="001A1E08">
        <w:rPr>
          <w:rFonts w:cs="Times New Roman"/>
          <w:lang w:val="fr-CA"/>
        </w:rPr>
        <w:t>170.  Si l’on s’inquiétait des conséquences que les poursuites en responsabilité pourraient avoir sur l’industrie à peine naissante du transport aérien international, on s’inquiétait tout autant de la possibilité que les compagnies aériennes profitent indûment de leur capacité à limiter contra</w:t>
      </w:r>
      <w:r w:rsidR="00F726F4">
        <w:rPr>
          <w:rFonts w:cs="Times New Roman"/>
          <w:lang w:val="fr-CA"/>
        </w:rPr>
        <w:t>ctuellement leur responsabilité :</w:t>
      </w:r>
      <w:r w:rsidRPr="001A1E08">
        <w:rPr>
          <w:rFonts w:cs="Times New Roman"/>
          <w:lang w:val="fr-CA"/>
        </w:rPr>
        <w:t xml:space="preserve"> </w:t>
      </w:r>
      <w:r w:rsidRPr="001A1E08">
        <w:rPr>
          <w:rFonts w:cs="Times New Roman"/>
          <w:i/>
          <w:lang w:val="fr-CA"/>
        </w:rPr>
        <w:t>ibid</w:t>
      </w:r>
      <w:r w:rsidRPr="001A1E08">
        <w:rPr>
          <w:rFonts w:cs="Times New Roman"/>
          <w:lang w:val="fr-CA"/>
        </w:rPr>
        <w:t xml:space="preserve">.  On voyait donc la </w:t>
      </w:r>
      <w:r w:rsidRPr="001A1E08">
        <w:rPr>
          <w:rFonts w:cs="Times New Roman"/>
          <w:i/>
          <w:lang w:val="fr-CA"/>
        </w:rPr>
        <w:t>Convention de Varsovie</w:t>
      </w:r>
      <w:r w:rsidRPr="001A1E08">
        <w:rPr>
          <w:rFonts w:cs="Times New Roman"/>
          <w:lang w:val="fr-CA"/>
        </w:rPr>
        <w:t xml:space="preserve"> comme [</w:t>
      </w:r>
      <w:r w:rsidRPr="001A1E08">
        <w:rPr>
          <w:rFonts w:cs="Times New Roman"/>
          <w:smallCaps/>
          <w:lang w:val="fr-CA"/>
        </w:rPr>
        <w:t>traduction</w:t>
      </w:r>
      <w:r w:rsidRPr="001A1E08">
        <w:rPr>
          <w:rFonts w:cs="Times New Roman"/>
          <w:lang w:val="fr-CA"/>
        </w:rPr>
        <w:t xml:space="preserve">] </w:t>
      </w:r>
      <w:r w:rsidR="006412AC">
        <w:rPr>
          <w:rFonts w:cs="Times New Roman"/>
          <w:lang w:val="fr-CA"/>
        </w:rPr>
        <w:t>« </w:t>
      </w:r>
      <w:r w:rsidRPr="001A1E08">
        <w:rPr>
          <w:rFonts w:cs="Times New Roman"/>
          <w:lang w:val="fr-CA"/>
        </w:rPr>
        <w:t>un compromis entre les intérêts des transporteurs aériens et ceux de leurs clients dans le monde entier</w:t>
      </w:r>
      <w:r w:rsidR="006412AC">
        <w:rPr>
          <w:rFonts w:cs="Times New Roman"/>
          <w:lang w:val="fr-CA"/>
        </w:rPr>
        <w:t> » :</w:t>
      </w:r>
      <w:r w:rsidRPr="001A1E08">
        <w:rPr>
          <w:rFonts w:cs="Times New Roman"/>
          <w:lang w:val="fr-CA"/>
        </w:rPr>
        <w:t xml:space="preserve"> </w:t>
      </w:r>
      <w:proofErr w:type="spellStart"/>
      <w:r w:rsidRPr="001A1E08">
        <w:rPr>
          <w:rFonts w:cs="Times New Roman"/>
          <w:i/>
          <w:lang w:val="fr-CA"/>
        </w:rPr>
        <w:t>Tseng</w:t>
      </w:r>
      <w:proofErr w:type="spellEnd"/>
      <w:r w:rsidRPr="001A1E08">
        <w:rPr>
          <w:rFonts w:cs="Times New Roman"/>
          <w:lang w:val="fr-CA"/>
        </w:rPr>
        <w:t>, p.</w:t>
      </w:r>
      <w:r w:rsidR="006412AC">
        <w:rPr>
          <w:rFonts w:cs="Times New Roman"/>
          <w:lang w:val="fr-CA"/>
        </w:rPr>
        <w:t xml:space="preserve"> </w:t>
      </w:r>
      <w:r w:rsidRPr="001A1E08">
        <w:rPr>
          <w:rFonts w:cs="Times New Roman"/>
          <w:lang w:val="fr-CA"/>
        </w:rPr>
        <w:t>170.  L’article</w:t>
      </w:r>
      <w:r w:rsidR="006412AC">
        <w:rPr>
          <w:rFonts w:cs="Times New Roman"/>
          <w:lang w:val="fr-CA"/>
        </w:rPr>
        <w:t xml:space="preserve"> </w:t>
      </w:r>
      <w:r w:rsidRPr="001A1E08">
        <w:rPr>
          <w:rFonts w:cs="Times New Roman"/>
          <w:lang w:val="fr-CA"/>
        </w:rPr>
        <w:t xml:space="preserve">17 de la </w:t>
      </w:r>
      <w:r w:rsidRPr="001A1E08">
        <w:rPr>
          <w:rFonts w:cs="Times New Roman"/>
          <w:i/>
          <w:lang w:val="fr-CA"/>
        </w:rPr>
        <w:t>Convention</w:t>
      </w:r>
      <w:r w:rsidRPr="001A1E08">
        <w:rPr>
          <w:rFonts w:cs="Times New Roman"/>
          <w:lang w:val="fr-CA"/>
        </w:rPr>
        <w:t xml:space="preserve"> </w:t>
      </w:r>
      <w:r w:rsidRPr="001A1E08">
        <w:rPr>
          <w:rFonts w:cs="Times New Roman"/>
          <w:i/>
          <w:lang w:val="fr-CA"/>
        </w:rPr>
        <w:t>de</w:t>
      </w:r>
      <w:r w:rsidRPr="00F726F4">
        <w:rPr>
          <w:rFonts w:cs="Times New Roman"/>
          <w:i/>
          <w:lang w:val="fr-CA"/>
        </w:rPr>
        <w:t xml:space="preserve"> Varsovie</w:t>
      </w:r>
      <w:r w:rsidRPr="001A1E08">
        <w:rPr>
          <w:rFonts w:cs="Times New Roman"/>
          <w:lang w:val="fr-CA"/>
        </w:rPr>
        <w:t xml:space="preserve"> prive les transporteurs de la prérogative d’exclure ou de limiter par contrat leur responsabilité pour préjudic</w:t>
      </w:r>
      <w:r w:rsidR="00F726F4">
        <w:rPr>
          <w:rFonts w:cs="Times New Roman"/>
          <w:lang w:val="fr-CA"/>
        </w:rPr>
        <w:t>e personnel, tandis que les articles</w:t>
      </w:r>
      <w:r w:rsidR="006412AC">
        <w:rPr>
          <w:rFonts w:cs="Times New Roman"/>
          <w:lang w:val="fr-CA"/>
        </w:rPr>
        <w:t xml:space="preserve"> </w:t>
      </w:r>
      <w:r w:rsidRPr="001A1E08">
        <w:rPr>
          <w:rFonts w:cs="Times New Roman"/>
          <w:lang w:val="fr-CA"/>
        </w:rPr>
        <w:lastRenderedPageBreak/>
        <w:t>22 et 24 limitent le montant des dommages</w:t>
      </w:r>
      <w:r w:rsidR="006412AC">
        <w:rPr>
          <w:rFonts w:cs="Times New Roman"/>
          <w:lang w:val="fr-CA"/>
        </w:rPr>
        <w:t>-</w:t>
      </w:r>
      <w:r w:rsidRPr="001A1E08">
        <w:rPr>
          <w:rFonts w:cs="Times New Roman"/>
          <w:lang w:val="fr-CA"/>
        </w:rPr>
        <w:t>intérêts que peuvent obtenir les passagers et restrei</w:t>
      </w:r>
      <w:r w:rsidR="009F1863">
        <w:rPr>
          <w:rFonts w:cs="Times New Roman"/>
          <w:lang w:val="fr-CA"/>
        </w:rPr>
        <w:t>gne</w:t>
      </w:r>
      <w:r w:rsidRPr="001A1E08">
        <w:rPr>
          <w:rFonts w:cs="Times New Roman"/>
          <w:lang w:val="fr-CA"/>
        </w:rPr>
        <w:t xml:space="preserve">nt les réclamations qu’ils peuvent présenter.  Comme je l’ai déjà mentionné, la </w:t>
      </w:r>
      <w:r w:rsidRPr="001A1E08">
        <w:rPr>
          <w:rFonts w:cs="Times New Roman"/>
          <w:i/>
          <w:lang w:val="fr-CA"/>
        </w:rPr>
        <w:t>Convention de Varsovie</w:t>
      </w:r>
      <w:r w:rsidRPr="001A1E08">
        <w:rPr>
          <w:rFonts w:cs="Times New Roman"/>
          <w:lang w:val="fr-CA"/>
        </w:rPr>
        <w:t xml:space="preserve"> faisait également profiter les passagers et les expéditeurs de l’inversion du fardeau de la preuve.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Comme nous l’avons vu, établir un ensemble de règles uniformes encadrant la responsabilité pour dommages des transporteurs aériens internationaux et limiter cette responsabilité sont deux des principaux objectifs de la </w:t>
      </w:r>
      <w:r w:rsidRPr="001A1E08">
        <w:rPr>
          <w:rFonts w:cs="Times New Roman"/>
          <w:i/>
          <w:lang w:val="fr-CA"/>
        </w:rPr>
        <w:t xml:space="preserve">Convention de Varsovie </w:t>
      </w:r>
      <w:r w:rsidRPr="001A1E08">
        <w:rPr>
          <w:rFonts w:cs="Times New Roman"/>
          <w:lang w:val="fr-CA"/>
        </w:rPr>
        <w:t xml:space="preserve">et, par le fait même, de la </w:t>
      </w:r>
      <w:r w:rsidRPr="001A1E08">
        <w:rPr>
          <w:rFonts w:cs="Times New Roman"/>
          <w:i/>
          <w:lang w:val="fr-CA"/>
        </w:rPr>
        <w:t>Convention de</w:t>
      </w:r>
      <w:r w:rsidRPr="001A1E08">
        <w:rPr>
          <w:rFonts w:cs="Times New Roman"/>
          <w:lang w:val="fr-CA"/>
        </w:rPr>
        <w:t xml:space="preserve"> </w:t>
      </w:r>
      <w:r w:rsidRPr="001A1E08">
        <w:rPr>
          <w:rFonts w:cs="Times New Roman"/>
          <w:i/>
          <w:lang w:val="fr-CA"/>
        </w:rPr>
        <w:t>Montréal</w:t>
      </w:r>
      <w:r w:rsidRPr="001A1E08">
        <w:rPr>
          <w:rFonts w:cs="Times New Roman"/>
          <w:lang w:val="fr-CA"/>
        </w:rPr>
        <w:t xml:space="preserve">, qui ne peut les réaliser que si elle constitue un ensemble exclusif de règles applicables aux matières auxquelles elle s’applique.  La </w:t>
      </w:r>
      <w:r w:rsidRPr="001A1E08">
        <w:rPr>
          <w:rFonts w:cs="Times New Roman"/>
          <w:i/>
          <w:lang w:val="fr-CA"/>
        </w:rPr>
        <w:t>Convention de Montréal</w:t>
      </w:r>
      <w:r w:rsidRPr="001A1E08">
        <w:rPr>
          <w:rFonts w:cs="Times New Roman"/>
          <w:lang w:val="fr-CA"/>
        </w:rPr>
        <w:t xml:space="preserve"> ne touche évidemment pas tous les aspects du transport aérien international</w:t>
      </w:r>
      <w:r w:rsidR="006412AC">
        <w:rPr>
          <w:rFonts w:cs="Times New Roman"/>
          <w:lang w:val="fr-CA"/>
        </w:rPr>
        <w:t> :</w:t>
      </w:r>
      <w:r w:rsidRPr="001A1E08">
        <w:rPr>
          <w:rFonts w:cs="Times New Roman"/>
          <w:lang w:val="fr-CA"/>
        </w:rPr>
        <w:t xml:space="preserve"> elle n’est pas exhaustive.  Mais dans les limites des matières qu’elle aborde, elle est exclusive en ce qu’elle interdit tout autre recours en responsabilité</w:t>
      </w:r>
      <w:r w:rsidR="006412AC">
        <w:rPr>
          <w:rFonts w:cs="Times New Roman"/>
          <w:lang w:val="fr-CA"/>
        </w:rPr>
        <w:t> :</w:t>
      </w:r>
      <w:r w:rsidRPr="001A1E08">
        <w:rPr>
          <w:rFonts w:cs="Times New Roman"/>
          <w:lang w:val="fr-CA"/>
        </w:rPr>
        <w:t xml:space="preserve"> M.</w:t>
      </w:r>
      <w:r w:rsidR="006412AC">
        <w:rPr>
          <w:rFonts w:cs="Times New Roman"/>
          <w:lang w:val="fr-CA"/>
        </w:rPr>
        <w:t xml:space="preserve"> </w:t>
      </w:r>
      <w:r w:rsidRPr="001A1E08">
        <w:rPr>
          <w:rFonts w:cs="Times New Roman"/>
          <w:lang w:val="fr-CA"/>
        </w:rPr>
        <w:t xml:space="preserve">Clarke, </w:t>
      </w:r>
      <w:proofErr w:type="spellStart"/>
      <w:r w:rsidRPr="001A1E08">
        <w:rPr>
          <w:rFonts w:cs="Times New Roman"/>
          <w:i/>
          <w:lang w:val="fr-CA"/>
        </w:rPr>
        <w:t>Contracts</w:t>
      </w:r>
      <w:proofErr w:type="spellEnd"/>
      <w:r w:rsidRPr="001A1E08">
        <w:rPr>
          <w:rFonts w:cs="Times New Roman"/>
          <w:i/>
          <w:lang w:val="fr-CA"/>
        </w:rPr>
        <w:t xml:space="preserve"> of </w:t>
      </w:r>
      <w:proofErr w:type="spellStart"/>
      <w:r w:rsidRPr="001A1E08">
        <w:rPr>
          <w:rFonts w:cs="Times New Roman"/>
          <w:i/>
          <w:lang w:val="fr-CA"/>
        </w:rPr>
        <w:t>Carriage</w:t>
      </w:r>
      <w:proofErr w:type="spellEnd"/>
      <w:r w:rsidRPr="001A1E08">
        <w:rPr>
          <w:rFonts w:cs="Times New Roman"/>
          <w:i/>
          <w:lang w:val="fr-CA"/>
        </w:rPr>
        <w:t xml:space="preserve"> by Air</w:t>
      </w:r>
      <w:r w:rsidRPr="001A1E08">
        <w:rPr>
          <w:rFonts w:cs="Times New Roman"/>
          <w:lang w:val="fr-CA"/>
        </w:rPr>
        <w:t xml:space="preserve"> (2</w:t>
      </w:r>
      <w:r w:rsidRPr="001A1E08">
        <w:rPr>
          <w:rFonts w:cs="Times New Roman"/>
          <w:vertAlign w:val="superscript"/>
          <w:lang w:val="fr-CA"/>
        </w:rPr>
        <w:t>e</w:t>
      </w:r>
      <w:r w:rsidRPr="001A1E08">
        <w:rPr>
          <w:rFonts w:cs="Times New Roman"/>
          <w:lang w:val="fr-CA"/>
        </w:rPr>
        <w:t xml:space="preserve"> éd. 2010), p.</w:t>
      </w:r>
      <w:r w:rsidR="006412AC">
        <w:rPr>
          <w:rFonts w:cs="Times New Roman"/>
          <w:lang w:val="fr-CA"/>
        </w:rPr>
        <w:t xml:space="preserve"> </w:t>
      </w:r>
      <w:r w:rsidRPr="001A1E08">
        <w:rPr>
          <w:rFonts w:cs="Times New Roman"/>
          <w:lang w:val="fr-CA"/>
        </w:rPr>
        <w:t>8 et 160</w:t>
      </w:r>
      <w:r w:rsidR="006412AC">
        <w:rPr>
          <w:rFonts w:cs="Times New Roman"/>
          <w:lang w:val="fr-CA"/>
        </w:rPr>
        <w:t>-</w:t>
      </w:r>
      <w:r w:rsidR="00F726F4">
        <w:rPr>
          <w:rFonts w:cs="Times New Roman"/>
          <w:lang w:val="fr-CA"/>
        </w:rPr>
        <w:t>162;</w:t>
      </w:r>
      <w:r w:rsidRPr="001A1E08">
        <w:rPr>
          <w:rFonts w:cs="Times New Roman"/>
          <w:lang w:val="fr-CA"/>
        </w:rPr>
        <w:t xml:space="preserve"> G.</w:t>
      </w:r>
      <w:r w:rsidR="006412AC">
        <w:rPr>
          <w:rFonts w:cs="Times New Roman"/>
          <w:lang w:val="fr-CA"/>
        </w:rPr>
        <w:t xml:space="preserve"> </w:t>
      </w:r>
      <w:r w:rsidRPr="001A1E08">
        <w:rPr>
          <w:rFonts w:cs="Times New Roman"/>
          <w:lang w:val="fr-CA"/>
        </w:rPr>
        <w:t>N.</w:t>
      </w:r>
      <w:r w:rsidR="006412AC">
        <w:rPr>
          <w:rFonts w:cs="Times New Roman"/>
          <w:lang w:val="fr-CA"/>
        </w:rPr>
        <w:t xml:space="preserve"> </w:t>
      </w:r>
      <w:proofErr w:type="spellStart"/>
      <w:r w:rsidRPr="001A1E08">
        <w:rPr>
          <w:rFonts w:cs="Times New Roman"/>
          <w:lang w:val="fr-CA"/>
        </w:rPr>
        <w:t>Tompkins</w:t>
      </w:r>
      <w:proofErr w:type="spellEnd"/>
      <w:r w:rsidRPr="001A1E08">
        <w:rPr>
          <w:rFonts w:cs="Times New Roman"/>
          <w:lang w:val="fr-CA"/>
        </w:rPr>
        <w:t xml:space="preserve">, fils, </w:t>
      </w:r>
      <w:r w:rsidR="006412AC">
        <w:rPr>
          <w:rFonts w:cs="Times New Roman"/>
          <w:lang w:val="fr-CA"/>
        </w:rPr>
        <w:t>« </w:t>
      </w:r>
      <w:r w:rsidRPr="001A1E08">
        <w:rPr>
          <w:rFonts w:cs="Times New Roman"/>
          <w:lang w:val="fr-CA"/>
        </w:rPr>
        <w:t xml:space="preserve">The </w:t>
      </w:r>
      <w:proofErr w:type="spellStart"/>
      <w:r w:rsidRPr="001A1E08">
        <w:rPr>
          <w:rFonts w:cs="Times New Roman"/>
          <w:lang w:val="fr-CA"/>
        </w:rPr>
        <w:t>Continuing</w:t>
      </w:r>
      <w:proofErr w:type="spellEnd"/>
      <w:r w:rsidRPr="001A1E08">
        <w:rPr>
          <w:rFonts w:cs="Times New Roman"/>
          <w:lang w:val="fr-CA"/>
        </w:rPr>
        <w:t xml:space="preserve"> </w:t>
      </w:r>
      <w:proofErr w:type="spellStart"/>
      <w:r w:rsidRPr="001A1E08">
        <w:rPr>
          <w:rFonts w:cs="Times New Roman"/>
          <w:lang w:val="fr-CA"/>
        </w:rPr>
        <w:t>Development</w:t>
      </w:r>
      <w:proofErr w:type="spellEnd"/>
      <w:r w:rsidRPr="001A1E08">
        <w:rPr>
          <w:rFonts w:cs="Times New Roman"/>
          <w:lang w:val="fr-CA"/>
        </w:rPr>
        <w:t xml:space="preserve"> of </w:t>
      </w:r>
      <w:proofErr w:type="spellStart"/>
      <w:r w:rsidRPr="001A1E08">
        <w:rPr>
          <w:rFonts w:cs="Times New Roman"/>
          <w:lang w:val="fr-CA"/>
        </w:rPr>
        <w:t>Montreal</w:t>
      </w:r>
      <w:proofErr w:type="spellEnd"/>
      <w:r w:rsidRPr="001A1E08">
        <w:rPr>
          <w:rFonts w:cs="Times New Roman"/>
          <w:lang w:val="fr-CA"/>
        </w:rPr>
        <w:t xml:space="preserve"> Convention 1999 Jurisprudence</w:t>
      </w:r>
      <w:r w:rsidR="006412AC">
        <w:rPr>
          <w:rFonts w:cs="Times New Roman"/>
          <w:lang w:val="fr-CA"/>
        </w:rPr>
        <w:t> »</w:t>
      </w:r>
      <w:r w:rsidRPr="001A1E08">
        <w:rPr>
          <w:rFonts w:cs="Times New Roman"/>
          <w:lang w:val="fr-CA"/>
        </w:rPr>
        <w:t xml:space="preserve"> (2010), 35 </w:t>
      </w:r>
      <w:r w:rsidRPr="001A1E08">
        <w:rPr>
          <w:rFonts w:cs="Times New Roman"/>
          <w:i/>
          <w:lang w:val="fr-CA"/>
        </w:rPr>
        <w:t xml:space="preserve">Air &amp; </w:t>
      </w:r>
      <w:proofErr w:type="spellStart"/>
      <w:r w:rsidRPr="001A1E08">
        <w:rPr>
          <w:rFonts w:cs="Times New Roman"/>
          <w:i/>
          <w:lang w:val="fr-CA"/>
        </w:rPr>
        <w:t>Space</w:t>
      </w:r>
      <w:proofErr w:type="spellEnd"/>
      <w:r w:rsidRPr="001A1E08">
        <w:rPr>
          <w:rFonts w:cs="Times New Roman"/>
          <w:i/>
          <w:lang w:val="fr-CA"/>
        </w:rPr>
        <w:t xml:space="preserve"> L.</w:t>
      </w:r>
      <w:r w:rsidRPr="001A1E08">
        <w:rPr>
          <w:rFonts w:cs="Times New Roman"/>
          <w:lang w:val="fr-CA"/>
        </w:rPr>
        <w:t xml:space="preserve"> 433, p.</w:t>
      </w:r>
      <w:r w:rsidR="006412AC">
        <w:rPr>
          <w:rFonts w:cs="Times New Roman"/>
          <w:lang w:val="fr-CA"/>
        </w:rPr>
        <w:t xml:space="preserve"> </w:t>
      </w:r>
      <w:r w:rsidRPr="001A1E08">
        <w:rPr>
          <w:rFonts w:cs="Times New Roman"/>
          <w:lang w:val="fr-CA"/>
        </w:rPr>
        <w:t>433</w:t>
      </w:r>
      <w:r w:rsidR="006412AC">
        <w:rPr>
          <w:rFonts w:cs="Times New Roman"/>
          <w:lang w:val="fr-CA"/>
        </w:rPr>
        <w:t>-</w:t>
      </w:r>
      <w:r w:rsidRPr="001A1E08">
        <w:rPr>
          <w:rFonts w:cs="Times New Roman"/>
          <w:lang w:val="fr-CA"/>
        </w:rPr>
        <w:t>436.</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La portée du principe d’exclusivité formulé dans la </w:t>
      </w:r>
      <w:r w:rsidRPr="001A1E08">
        <w:rPr>
          <w:rFonts w:cs="Times New Roman"/>
          <w:i/>
          <w:lang w:val="fr-CA"/>
        </w:rPr>
        <w:t>Convention de Montréal</w:t>
      </w:r>
      <w:r w:rsidRPr="001A1E08">
        <w:rPr>
          <w:rFonts w:cs="Times New Roman"/>
          <w:lang w:val="fr-CA"/>
        </w:rPr>
        <w:t xml:space="preserve"> est au cœur du présent pourvoi.  Bien que nous ne soyons pas appelés à trancher toutes les questions que peut soulever l’application de ce principe d’exclusivité, le texte et l’objet de la </w:t>
      </w:r>
      <w:r w:rsidRPr="001A1E08">
        <w:rPr>
          <w:rFonts w:cs="Times New Roman"/>
          <w:i/>
          <w:lang w:val="fr-CA"/>
        </w:rPr>
        <w:t>Convention de Montréal</w:t>
      </w:r>
      <w:r w:rsidRPr="001A1E08">
        <w:rPr>
          <w:rFonts w:cs="Times New Roman"/>
          <w:lang w:val="fr-CA"/>
        </w:rPr>
        <w:t xml:space="preserve">, ainsi qu’un fort courant jurisprudentiel, démontrent clairement que l’exclusivité du régime de responsabilité établi par la </w:t>
      </w:r>
      <w:r w:rsidRPr="001A1E08">
        <w:rPr>
          <w:rFonts w:cs="Times New Roman"/>
          <w:i/>
          <w:lang w:val="fr-CA"/>
        </w:rPr>
        <w:t>Convention de Montréal</w:t>
      </w:r>
      <w:r w:rsidRPr="001A1E08">
        <w:rPr>
          <w:rFonts w:cs="Times New Roman"/>
          <w:lang w:val="fr-CA"/>
        </w:rPr>
        <w:t xml:space="preserve"> permet à tout le moins d’exclure </w:t>
      </w:r>
      <w:r w:rsidRPr="001A1E08">
        <w:rPr>
          <w:rFonts w:cs="Times New Roman"/>
          <w:lang w:val="fr-CA"/>
        </w:rPr>
        <w:lastRenderedPageBreak/>
        <w:t xml:space="preserve">les actions découlant du préjudice subi par les passagers en cours de vol ou lors de l’embarquement et du débarquement, si ces actions ne sont pas par ailleurs visées par le régime des recours autorisés.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J’insiste sur ce point parce que, dans leurs observations, les appelants contestent effectivement, quoiqu’indirectement, ce principe d’exclusivité.  Ils ne cherchent pas à savoir si leurs demandes entrent dans la catégorie de celles autorisées par la </w:t>
      </w:r>
      <w:r w:rsidRPr="001A1E08">
        <w:rPr>
          <w:rFonts w:cs="Times New Roman"/>
          <w:i/>
          <w:lang w:val="fr-CA"/>
        </w:rPr>
        <w:t>Convention de Montréal</w:t>
      </w:r>
      <w:r w:rsidRPr="001A1E08">
        <w:rPr>
          <w:rFonts w:cs="Times New Roman"/>
          <w:lang w:val="fr-CA"/>
        </w:rPr>
        <w:t xml:space="preserve">; ils cherchent plutôt à échapper à l’exclusivité du régime établi par la </w:t>
      </w:r>
      <w:r w:rsidRPr="001A1E08">
        <w:rPr>
          <w:rFonts w:cs="Times New Roman"/>
          <w:i/>
          <w:lang w:val="fr-CA"/>
        </w:rPr>
        <w:t>Convention de Montréal</w:t>
      </w:r>
      <w:r w:rsidRPr="001A1E08">
        <w:rPr>
          <w:rFonts w:cs="Times New Roman"/>
          <w:lang w:val="fr-CA"/>
        </w:rPr>
        <w:t xml:space="preserve"> en soutenant que leurs demandes ne sont pas expressément exclues.  Les appelants n’ont jamais prétendu que les demandes présentées par les Thibodeau sur le fondement de la </w:t>
      </w:r>
      <w:r w:rsidRPr="001A1E08">
        <w:rPr>
          <w:rFonts w:cs="Times New Roman"/>
          <w:i/>
          <w:lang w:val="fr-CA"/>
        </w:rPr>
        <w:t>LLO</w:t>
      </w:r>
      <w:r w:rsidRPr="001A1E08">
        <w:rPr>
          <w:rFonts w:cs="Times New Roman"/>
          <w:lang w:val="fr-CA"/>
        </w:rPr>
        <w:t xml:space="preserve"> pouvaient ég</w:t>
      </w:r>
      <w:r w:rsidR="00F726F4">
        <w:rPr>
          <w:rFonts w:cs="Times New Roman"/>
          <w:lang w:val="fr-CA"/>
        </w:rPr>
        <w:t>alement l’être en vertu des articles</w:t>
      </w:r>
      <w:r w:rsidR="006412AC">
        <w:rPr>
          <w:rFonts w:cs="Times New Roman"/>
          <w:lang w:val="fr-CA"/>
        </w:rPr>
        <w:t xml:space="preserve"> </w:t>
      </w:r>
      <w:r w:rsidRPr="001A1E08">
        <w:rPr>
          <w:rFonts w:cs="Times New Roman"/>
          <w:lang w:val="fr-CA"/>
        </w:rPr>
        <w:t xml:space="preserve">17 à 19 de la </w:t>
      </w:r>
      <w:r w:rsidRPr="001A1E08">
        <w:rPr>
          <w:rFonts w:cs="Times New Roman"/>
          <w:i/>
          <w:lang w:val="fr-CA"/>
        </w:rPr>
        <w:t>Convention de Montréal.</w:t>
      </w:r>
      <w:r w:rsidR="006412AC">
        <w:rPr>
          <w:rFonts w:cs="Times New Roman"/>
          <w:i/>
          <w:lang w:val="fr-CA"/>
        </w:rPr>
        <w:t xml:space="preserve"> </w:t>
      </w:r>
      <w:r w:rsidRPr="001A1E08">
        <w:rPr>
          <w:rFonts w:cs="Times New Roman"/>
          <w:lang w:val="fr-CA"/>
        </w:rPr>
        <w:t xml:space="preserve"> Avec égards, cette lacune de leur argumentation est fatale.  Comme nous le verrons plus en détail ci</w:t>
      </w:r>
      <w:r w:rsidR="006412AC">
        <w:rPr>
          <w:rFonts w:cs="Times New Roman"/>
          <w:lang w:val="fr-CA"/>
        </w:rPr>
        <w:t>-</w:t>
      </w:r>
      <w:r w:rsidRPr="001A1E08">
        <w:rPr>
          <w:rFonts w:cs="Times New Roman"/>
          <w:lang w:val="fr-CA"/>
        </w:rPr>
        <w:t xml:space="preserve">après, les appelants tentent d’échapper à l’application de la </w:t>
      </w:r>
      <w:r w:rsidRPr="001A1E08">
        <w:rPr>
          <w:rFonts w:cs="Times New Roman"/>
          <w:i/>
          <w:lang w:val="fr-CA"/>
        </w:rPr>
        <w:t>Convention de Montréal</w:t>
      </w:r>
      <w:r w:rsidRPr="001A1E08">
        <w:rPr>
          <w:rFonts w:cs="Times New Roman"/>
          <w:lang w:val="fr-CA"/>
        </w:rPr>
        <w:t xml:space="preserve"> en prétendant que l’instance introduite par les Thibodeau en Cour fédérale n’est pas une </w:t>
      </w:r>
      <w:r w:rsidR="006412AC">
        <w:rPr>
          <w:rFonts w:cs="Times New Roman"/>
          <w:lang w:val="fr-CA"/>
        </w:rPr>
        <w:t>« </w:t>
      </w:r>
      <w:r w:rsidRPr="001A1E08">
        <w:rPr>
          <w:rFonts w:cs="Times New Roman"/>
          <w:lang w:val="fr-CA"/>
        </w:rPr>
        <w:t>action en dommages</w:t>
      </w:r>
      <w:r w:rsidR="006412AC">
        <w:rPr>
          <w:rFonts w:cs="Times New Roman"/>
          <w:lang w:val="fr-CA"/>
        </w:rPr>
        <w:t>-</w:t>
      </w:r>
      <w:r w:rsidRPr="001A1E08">
        <w:rPr>
          <w:rFonts w:cs="Times New Roman"/>
          <w:lang w:val="fr-CA"/>
        </w:rPr>
        <w:t>intérêts</w:t>
      </w:r>
      <w:r w:rsidR="006412AC">
        <w:rPr>
          <w:rFonts w:cs="Times New Roman"/>
          <w:lang w:val="fr-CA"/>
        </w:rPr>
        <w:t> »</w:t>
      </w:r>
      <w:r w:rsidRPr="001A1E08">
        <w:rPr>
          <w:rFonts w:cs="Times New Roman"/>
          <w:lang w:val="fr-CA"/>
        </w:rPr>
        <w:t xml:space="preserve"> relevant du champ d’application substantiel de cette convention, et que l’interdiction faite par celle-ci d’engager des recours ne s’applique donc pas à leur action.  Les appelants soutiennent également que leur action ne relève pas non plus du champ d’application temporel de la </w:t>
      </w:r>
      <w:r w:rsidRPr="001A1E08">
        <w:rPr>
          <w:rFonts w:cs="Times New Roman"/>
          <w:i/>
          <w:lang w:val="fr-CA"/>
        </w:rPr>
        <w:t>Convention de Montréal.</w:t>
      </w:r>
      <w:r w:rsidR="006412AC">
        <w:rPr>
          <w:rFonts w:cs="Times New Roman"/>
          <w:i/>
          <w:lang w:val="fr-CA"/>
        </w:rPr>
        <w:t xml:space="preserve"> </w:t>
      </w:r>
      <w:r w:rsidRPr="001A1E08">
        <w:rPr>
          <w:rFonts w:cs="Times New Roman"/>
          <w:lang w:val="fr-CA"/>
        </w:rPr>
        <w:t xml:space="preserve"> Ces prétentions ne sauraient être retenues parce qu’elles sont incompatibles avec le principe d’exclusivité qui sous</w:t>
      </w:r>
      <w:r w:rsidR="006412AC">
        <w:rPr>
          <w:rFonts w:cs="Times New Roman"/>
          <w:lang w:val="fr-CA"/>
        </w:rPr>
        <w:t>-</w:t>
      </w:r>
      <w:r w:rsidRPr="001A1E08">
        <w:rPr>
          <w:rFonts w:cs="Times New Roman"/>
          <w:lang w:val="fr-CA"/>
        </w:rPr>
        <w:t xml:space="preserve">tend la </w:t>
      </w:r>
      <w:r w:rsidRPr="001A1E08">
        <w:rPr>
          <w:rFonts w:cs="Times New Roman"/>
          <w:i/>
          <w:lang w:val="fr-CA"/>
        </w:rPr>
        <w:t>Convention de Montréal</w:t>
      </w:r>
      <w:r w:rsidRPr="001A1E08">
        <w:rPr>
          <w:rFonts w:cs="Times New Roman"/>
          <w:lang w:val="fr-CA"/>
        </w:rPr>
        <w:t xml:space="preserve"> et qu’elles ne s’accordent pas avec son texte clair. Un examen de la jurisprudence internationale étaye ce point de vue.</w:t>
      </w:r>
      <w:r w:rsidRPr="001A1E08">
        <w:rPr>
          <w:rFonts w:cs="Times New Roman"/>
          <w:b/>
          <w:lang w:val="fr-CA"/>
        </w:rPr>
        <w:t xml:space="preserve"> </w:t>
      </w:r>
    </w:p>
    <w:p w:rsidR="00367456" w:rsidRPr="001A1E08" w:rsidRDefault="00367456" w:rsidP="00F726F4">
      <w:pPr>
        <w:pStyle w:val="Title4LevelTitre4Niveau"/>
        <w:widowControl w:val="0"/>
        <w:ind w:left="892" w:hanging="446"/>
        <w:rPr>
          <w:rFonts w:cs="Times New Roman"/>
        </w:rPr>
      </w:pPr>
      <w:r w:rsidRPr="001A1E08">
        <w:rPr>
          <w:rFonts w:cs="Times New Roman"/>
        </w:rPr>
        <w:lastRenderedPageBreak/>
        <w:t xml:space="preserve">La jurisprudence </w:t>
      </w:r>
      <w:proofErr w:type="spellStart"/>
      <w:r w:rsidRPr="001A1E08">
        <w:rPr>
          <w:rFonts w:cs="Times New Roman"/>
        </w:rPr>
        <w:t>internationale</w:t>
      </w:r>
      <w:proofErr w:type="spellEnd"/>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Les plus hauts tribunaux des États parties à la </w:t>
      </w:r>
      <w:r w:rsidRPr="001A1E08">
        <w:rPr>
          <w:rFonts w:cs="Times New Roman"/>
          <w:i/>
          <w:lang w:val="fr-CA"/>
        </w:rPr>
        <w:t>Convention de Montréal</w:t>
      </w:r>
      <w:r w:rsidRPr="001A1E08">
        <w:rPr>
          <w:rFonts w:cs="Times New Roman"/>
          <w:lang w:val="fr-CA"/>
        </w:rPr>
        <w:t xml:space="preserve"> ont confirmé ce principe d’exclusivité</w:t>
      </w:r>
      <w:r w:rsidR="006412AC">
        <w:rPr>
          <w:rFonts w:cs="Times New Roman"/>
          <w:lang w:val="fr-CA"/>
        </w:rPr>
        <w:t> :</w:t>
      </w:r>
      <w:r w:rsidRPr="001A1E08">
        <w:rPr>
          <w:rFonts w:cs="Times New Roman"/>
          <w:lang w:val="fr-CA"/>
        </w:rPr>
        <w:t xml:space="preserve"> S.</w:t>
      </w:r>
      <w:r w:rsidR="006412AC">
        <w:rPr>
          <w:rFonts w:cs="Times New Roman"/>
          <w:lang w:val="fr-CA"/>
        </w:rPr>
        <w:t xml:space="preserve"> </w:t>
      </w:r>
      <w:proofErr w:type="spellStart"/>
      <w:r w:rsidRPr="001A1E08">
        <w:rPr>
          <w:rFonts w:cs="Times New Roman"/>
          <w:lang w:val="fr-CA"/>
        </w:rPr>
        <w:t>Radošević</w:t>
      </w:r>
      <w:proofErr w:type="spellEnd"/>
      <w:r w:rsidRPr="001A1E08">
        <w:rPr>
          <w:rFonts w:cs="Times New Roman"/>
          <w:lang w:val="fr-CA"/>
        </w:rPr>
        <w:t xml:space="preserve">, </w:t>
      </w:r>
      <w:r w:rsidR="006412AC">
        <w:rPr>
          <w:rFonts w:cs="Times New Roman"/>
          <w:lang w:val="fr-CA"/>
        </w:rPr>
        <w:t>« </w:t>
      </w:r>
      <w:proofErr w:type="spellStart"/>
      <w:r w:rsidRPr="001A1E08">
        <w:rPr>
          <w:rFonts w:cs="Times New Roman"/>
          <w:lang w:val="fr-CA"/>
        </w:rPr>
        <w:t>CJEU’s</w:t>
      </w:r>
      <w:proofErr w:type="spellEnd"/>
      <w:r w:rsidRPr="001A1E08">
        <w:rPr>
          <w:rFonts w:cs="Times New Roman"/>
          <w:lang w:val="fr-CA"/>
        </w:rPr>
        <w:t xml:space="preserve"> </w:t>
      </w:r>
      <w:proofErr w:type="spellStart"/>
      <w:r w:rsidRPr="001A1E08">
        <w:rPr>
          <w:rFonts w:cs="Times New Roman"/>
          <w:lang w:val="fr-CA"/>
        </w:rPr>
        <w:t>Decision</w:t>
      </w:r>
      <w:proofErr w:type="spellEnd"/>
      <w:r w:rsidRPr="001A1E08">
        <w:rPr>
          <w:rFonts w:cs="Times New Roman"/>
          <w:lang w:val="fr-CA"/>
        </w:rPr>
        <w:t xml:space="preserve"> in </w:t>
      </w:r>
      <w:r w:rsidRPr="001A1E08">
        <w:rPr>
          <w:rFonts w:cs="Times New Roman"/>
          <w:i/>
          <w:lang w:val="fr-CA"/>
        </w:rPr>
        <w:t>Nelson</w:t>
      </w:r>
      <w:r w:rsidRPr="001A1E08">
        <w:rPr>
          <w:rFonts w:cs="Times New Roman"/>
          <w:lang w:val="fr-CA"/>
        </w:rPr>
        <w:t xml:space="preserve"> </w:t>
      </w:r>
      <w:r w:rsidRPr="001A1E08">
        <w:rPr>
          <w:rFonts w:cs="Times New Roman"/>
          <w:i/>
          <w:lang w:val="fr-CA"/>
        </w:rPr>
        <w:t xml:space="preserve">and </w:t>
      </w:r>
      <w:proofErr w:type="spellStart"/>
      <w:r w:rsidRPr="001A1E08">
        <w:rPr>
          <w:rFonts w:cs="Times New Roman"/>
          <w:i/>
          <w:lang w:val="fr-CA"/>
        </w:rPr>
        <w:t>Others</w:t>
      </w:r>
      <w:proofErr w:type="spellEnd"/>
      <w:r w:rsidRPr="001A1E08">
        <w:rPr>
          <w:rFonts w:cs="Times New Roman"/>
          <w:lang w:val="fr-CA"/>
        </w:rPr>
        <w:t xml:space="preserve"> in Light of the </w:t>
      </w:r>
      <w:proofErr w:type="spellStart"/>
      <w:r w:rsidRPr="001A1E08">
        <w:rPr>
          <w:rFonts w:cs="Times New Roman"/>
          <w:lang w:val="fr-CA"/>
        </w:rPr>
        <w:t>Exclusivity</w:t>
      </w:r>
      <w:proofErr w:type="spellEnd"/>
      <w:r w:rsidRPr="001A1E08">
        <w:rPr>
          <w:rFonts w:cs="Times New Roman"/>
          <w:lang w:val="fr-CA"/>
        </w:rPr>
        <w:t xml:space="preserve"> of the </w:t>
      </w:r>
      <w:proofErr w:type="spellStart"/>
      <w:r w:rsidRPr="001A1E08">
        <w:rPr>
          <w:rFonts w:cs="Times New Roman"/>
          <w:lang w:val="fr-CA"/>
        </w:rPr>
        <w:t>Montreal</w:t>
      </w:r>
      <w:proofErr w:type="spellEnd"/>
      <w:r w:rsidRPr="001A1E08">
        <w:rPr>
          <w:rFonts w:cs="Times New Roman"/>
          <w:lang w:val="fr-CA"/>
        </w:rPr>
        <w:t xml:space="preserve"> Convention</w:t>
      </w:r>
      <w:r w:rsidR="006412AC">
        <w:rPr>
          <w:rFonts w:cs="Times New Roman"/>
          <w:lang w:val="fr-CA"/>
        </w:rPr>
        <w:t> »</w:t>
      </w:r>
      <w:r w:rsidRPr="001A1E08">
        <w:rPr>
          <w:rFonts w:cs="Times New Roman"/>
          <w:lang w:val="fr-CA"/>
        </w:rPr>
        <w:t xml:space="preserve"> (2013), 38 </w:t>
      </w:r>
      <w:r w:rsidRPr="001A1E08">
        <w:rPr>
          <w:rFonts w:cs="Times New Roman"/>
          <w:i/>
          <w:lang w:val="fr-CA"/>
        </w:rPr>
        <w:t>Air &amp;</w:t>
      </w:r>
      <w:r w:rsidRPr="001A1E08">
        <w:rPr>
          <w:rFonts w:cs="Times New Roman"/>
          <w:lang w:val="fr-CA"/>
        </w:rPr>
        <w:t xml:space="preserve"> </w:t>
      </w:r>
      <w:proofErr w:type="spellStart"/>
      <w:r w:rsidRPr="001A1E08">
        <w:rPr>
          <w:rFonts w:cs="Times New Roman"/>
          <w:i/>
          <w:lang w:val="fr-CA"/>
        </w:rPr>
        <w:t>Space</w:t>
      </w:r>
      <w:proofErr w:type="spellEnd"/>
      <w:r w:rsidRPr="001A1E08">
        <w:rPr>
          <w:rFonts w:cs="Times New Roman"/>
          <w:i/>
          <w:lang w:val="fr-CA"/>
        </w:rPr>
        <w:t xml:space="preserve"> L.</w:t>
      </w:r>
      <w:r w:rsidRPr="001A1E08">
        <w:rPr>
          <w:rFonts w:cs="Times New Roman"/>
          <w:lang w:val="fr-CA"/>
        </w:rPr>
        <w:t xml:space="preserve"> 95, p.</w:t>
      </w:r>
      <w:r w:rsidR="006412AC">
        <w:rPr>
          <w:rFonts w:cs="Times New Roman"/>
          <w:lang w:val="fr-CA"/>
        </w:rPr>
        <w:t xml:space="preserve"> </w:t>
      </w:r>
      <w:r w:rsidRPr="001A1E08">
        <w:rPr>
          <w:rFonts w:cs="Times New Roman"/>
          <w:lang w:val="fr-CA"/>
        </w:rPr>
        <w:t xml:space="preserve">99.  Compte tenu de l’objectif de la </w:t>
      </w:r>
      <w:r w:rsidRPr="001A1E08">
        <w:rPr>
          <w:rFonts w:cs="Times New Roman"/>
          <w:i/>
          <w:lang w:val="fr-CA"/>
        </w:rPr>
        <w:t>Convention de Montréal</w:t>
      </w:r>
      <w:r w:rsidRPr="001A1E08">
        <w:rPr>
          <w:rFonts w:cs="Times New Roman"/>
          <w:lang w:val="fr-CA"/>
        </w:rPr>
        <w:t xml:space="preserve"> d’assurer l’uniformité internationale des règles, nous devons porter une grande attention à la jurisprudence internationale, et nous montrer particulièrement réticents à nous écarter du fort consensus international qui s’est progressivement établi sur son interprétation</w:t>
      </w:r>
      <w:r w:rsidR="006412AC">
        <w:rPr>
          <w:rFonts w:cs="Times New Roman"/>
          <w:lang w:val="fr-CA"/>
        </w:rPr>
        <w:t> :</w:t>
      </w:r>
      <w:r w:rsidRPr="001A1E08">
        <w:rPr>
          <w:rFonts w:cs="Times New Roman"/>
          <w:lang w:val="fr-CA"/>
        </w:rPr>
        <w:t xml:space="preserve"> voir </w:t>
      </w:r>
      <w:proofErr w:type="spellStart"/>
      <w:r w:rsidRPr="001A1E08">
        <w:rPr>
          <w:rFonts w:cs="Times New Roman"/>
          <w:i/>
          <w:lang w:val="fr-CA"/>
        </w:rPr>
        <w:t>Tseng</w:t>
      </w:r>
      <w:proofErr w:type="spellEnd"/>
      <w:r w:rsidRPr="001A1E08">
        <w:rPr>
          <w:rFonts w:cs="Times New Roman"/>
          <w:lang w:val="fr-CA"/>
        </w:rPr>
        <w:t>,</w:t>
      </w:r>
      <w:r w:rsidRPr="001A1E08">
        <w:rPr>
          <w:rFonts w:cs="Times New Roman"/>
          <w:i/>
          <w:lang w:val="fr-CA"/>
        </w:rPr>
        <w:t xml:space="preserve"> </w:t>
      </w:r>
      <w:r w:rsidRPr="001A1E08">
        <w:rPr>
          <w:rFonts w:cs="Times New Roman"/>
          <w:lang w:val="fr-CA"/>
        </w:rPr>
        <w:t>p.</w:t>
      </w:r>
      <w:r w:rsidR="006412AC">
        <w:rPr>
          <w:rFonts w:cs="Times New Roman"/>
          <w:lang w:val="fr-CA"/>
        </w:rPr>
        <w:t xml:space="preserve"> </w:t>
      </w:r>
      <w:r w:rsidRPr="001A1E08">
        <w:rPr>
          <w:rFonts w:cs="Times New Roman"/>
          <w:lang w:val="fr-CA"/>
        </w:rPr>
        <w:t xml:space="preserve">175; </w:t>
      </w:r>
      <w:r w:rsidRPr="001A1E08">
        <w:rPr>
          <w:rFonts w:cs="Times New Roman"/>
          <w:i/>
          <w:lang w:val="fr-CA"/>
        </w:rPr>
        <w:t xml:space="preserve">Morris c. KLM Royal </w:t>
      </w:r>
      <w:proofErr w:type="spellStart"/>
      <w:r w:rsidRPr="001A1E08">
        <w:rPr>
          <w:rFonts w:cs="Times New Roman"/>
          <w:i/>
          <w:lang w:val="fr-CA"/>
        </w:rPr>
        <w:t>Dutch</w:t>
      </w:r>
      <w:proofErr w:type="spellEnd"/>
      <w:r w:rsidRPr="001A1E08">
        <w:rPr>
          <w:rFonts w:cs="Times New Roman"/>
          <w:i/>
          <w:lang w:val="fr-CA"/>
        </w:rPr>
        <w:t xml:space="preserve"> Airlines</w:t>
      </w:r>
      <w:r w:rsidRPr="001A1E08">
        <w:rPr>
          <w:rFonts w:cs="Times New Roman"/>
          <w:lang w:val="fr-CA"/>
        </w:rPr>
        <w:t>, [2002] UKHL 7, [2002] 2 A.C. 628, par.</w:t>
      </w:r>
      <w:r w:rsidR="006412AC">
        <w:rPr>
          <w:rFonts w:cs="Times New Roman"/>
          <w:lang w:val="fr-CA"/>
        </w:rPr>
        <w:t xml:space="preserve"> </w:t>
      </w:r>
      <w:r w:rsidRPr="001A1E08">
        <w:rPr>
          <w:rFonts w:cs="Times New Roman"/>
          <w:lang w:val="fr-CA"/>
        </w:rPr>
        <w:t xml:space="preserve">5 et 7; voir aussi </w:t>
      </w:r>
      <w:proofErr w:type="spellStart"/>
      <w:r w:rsidRPr="001A1E08">
        <w:rPr>
          <w:rFonts w:cs="Times New Roman"/>
          <w:i/>
          <w:lang w:val="fr-CA"/>
        </w:rPr>
        <w:t>Plourde</w:t>
      </w:r>
      <w:proofErr w:type="spellEnd"/>
      <w:r w:rsidRPr="001A1E08">
        <w:rPr>
          <w:rFonts w:cs="Times New Roman"/>
          <w:i/>
          <w:lang w:val="fr-CA"/>
        </w:rPr>
        <w:t xml:space="preserve"> c. Service aérien FBO </w:t>
      </w:r>
      <w:proofErr w:type="spellStart"/>
      <w:r w:rsidRPr="001A1E08">
        <w:rPr>
          <w:rFonts w:cs="Times New Roman"/>
          <w:i/>
          <w:lang w:val="fr-CA"/>
        </w:rPr>
        <w:t>inc</w:t>
      </w:r>
      <w:proofErr w:type="spellEnd"/>
      <w:r w:rsidRPr="001A1E08">
        <w:rPr>
          <w:rFonts w:cs="Times New Roman"/>
          <w:i/>
          <w:lang w:val="fr-CA"/>
        </w:rPr>
        <w:t>. (</w:t>
      </w:r>
      <w:proofErr w:type="spellStart"/>
      <w:r w:rsidRPr="001A1E08">
        <w:rPr>
          <w:rFonts w:cs="Times New Roman"/>
          <w:i/>
          <w:lang w:val="fr-CA"/>
        </w:rPr>
        <w:t>Skyservice</w:t>
      </w:r>
      <w:proofErr w:type="spellEnd"/>
      <w:r w:rsidRPr="001A1E08">
        <w:rPr>
          <w:rFonts w:cs="Times New Roman"/>
          <w:i/>
          <w:lang w:val="fr-CA"/>
        </w:rPr>
        <w:t>)</w:t>
      </w:r>
      <w:r w:rsidRPr="001A1E08">
        <w:rPr>
          <w:rFonts w:cs="Times New Roman"/>
          <w:lang w:val="fr-CA"/>
        </w:rPr>
        <w:t>, 2007 QCCA 739</w:t>
      </w:r>
      <w:r w:rsidR="00F726F4">
        <w:rPr>
          <w:rFonts w:cs="Times New Roman"/>
          <w:lang w:val="fr-CA"/>
        </w:rPr>
        <w:t xml:space="preserve"> (</w:t>
      </w:r>
      <w:proofErr w:type="spellStart"/>
      <w:r w:rsidR="00F726F4">
        <w:rPr>
          <w:rFonts w:cs="Times New Roman"/>
          <w:lang w:val="fr-CA"/>
        </w:rPr>
        <w:t>CanLII</w:t>
      </w:r>
      <w:proofErr w:type="spellEnd"/>
      <w:r w:rsidR="00F726F4">
        <w:rPr>
          <w:rFonts w:cs="Times New Roman"/>
          <w:lang w:val="fr-CA"/>
        </w:rPr>
        <w:t>)</w:t>
      </w:r>
      <w:r w:rsidRPr="001A1E08">
        <w:rPr>
          <w:rFonts w:cs="Times New Roman"/>
          <w:lang w:val="fr-CA"/>
        </w:rPr>
        <w:t xml:space="preserve">, </w:t>
      </w:r>
      <w:r w:rsidR="00F726F4" w:rsidRPr="001A1E08">
        <w:rPr>
          <w:rFonts w:cs="Times New Roman"/>
          <w:lang w:val="fr-CA"/>
        </w:rPr>
        <w:t>par.</w:t>
      </w:r>
      <w:r w:rsidR="00F726F4">
        <w:rPr>
          <w:rFonts w:cs="Times New Roman"/>
          <w:lang w:val="fr-CA"/>
        </w:rPr>
        <w:t xml:space="preserve"> </w:t>
      </w:r>
      <w:r w:rsidR="00F726F4" w:rsidRPr="001A1E08">
        <w:rPr>
          <w:rFonts w:cs="Times New Roman"/>
          <w:lang w:val="fr-CA"/>
        </w:rPr>
        <w:t>53</w:t>
      </w:r>
      <w:r w:rsidR="00F726F4">
        <w:rPr>
          <w:rFonts w:cs="Times New Roman"/>
          <w:lang w:val="fr-CA"/>
        </w:rPr>
        <w:t>-</w:t>
      </w:r>
      <w:r w:rsidR="00F726F4" w:rsidRPr="001A1E08">
        <w:rPr>
          <w:rFonts w:cs="Times New Roman"/>
          <w:lang w:val="fr-CA"/>
        </w:rPr>
        <w:t>55</w:t>
      </w:r>
      <w:r w:rsidR="00F726F4">
        <w:rPr>
          <w:rFonts w:cs="Times New Roman"/>
          <w:lang w:val="fr-CA"/>
        </w:rPr>
        <w:t xml:space="preserve">, </w:t>
      </w:r>
      <w:r w:rsidRPr="001A1E08">
        <w:rPr>
          <w:rFonts w:cs="Times New Roman"/>
          <w:lang w:val="fr-CA"/>
        </w:rPr>
        <w:t xml:space="preserve">autorisation d’appel refusée, [2007] 3 R.C.S. xiii; </w:t>
      </w:r>
      <w:proofErr w:type="spellStart"/>
      <w:r w:rsidRPr="001A1E08">
        <w:rPr>
          <w:rFonts w:cs="Times New Roman"/>
          <w:i/>
          <w:lang w:val="fr-CA"/>
        </w:rPr>
        <w:t>Sakka</w:t>
      </w:r>
      <w:proofErr w:type="spellEnd"/>
      <w:r w:rsidRPr="001A1E08">
        <w:rPr>
          <w:rFonts w:cs="Times New Roman"/>
          <w:i/>
          <w:lang w:val="fr-CA"/>
        </w:rPr>
        <w:t xml:space="preserve"> (</w:t>
      </w:r>
      <w:proofErr w:type="spellStart"/>
      <w:r w:rsidRPr="001A1E08">
        <w:rPr>
          <w:rFonts w:cs="Times New Roman"/>
          <w:i/>
          <w:lang w:val="fr-CA"/>
        </w:rPr>
        <w:t>Litigation</w:t>
      </w:r>
      <w:proofErr w:type="spellEnd"/>
      <w:r w:rsidRPr="001A1E08">
        <w:rPr>
          <w:rFonts w:cs="Times New Roman"/>
          <w:i/>
          <w:lang w:val="fr-CA"/>
        </w:rPr>
        <w:t xml:space="preserve"> Guardian of) c. Air France</w:t>
      </w:r>
      <w:r w:rsidRPr="001A1E08">
        <w:rPr>
          <w:rFonts w:cs="Times New Roman"/>
          <w:lang w:val="fr-CA"/>
        </w:rPr>
        <w:t>, 2011 ONSC 1995, 18</w:t>
      </w:r>
      <w:r w:rsidR="006412AC">
        <w:rPr>
          <w:rFonts w:cs="Times New Roman"/>
          <w:lang w:val="fr-CA"/>
        </w:rPr>
        <w:t xml:space="preserve"> </w:t>
      </w:r>
      <w:r w:rsidRPr="001A1E08">
        <w:rPr>
          <w:rFonts w:cs="Times New Roman"/>
          <w:lang w:val="fr-CA"/>
        </w:rPr>
        <w:t>C.P.C. (7th) 150, par.</w:t>
      </w:r>
      <w:r w:rsidR="006412AC">
        <w:rPr>
          <w:rFonts w:cs="Times New Roman"/>
          <w:lang w:val="fr-CA"/>
        </w:rPr>
        <w:t xml:space="preserve"> </w:t>
      </w:r>
      <w:r w:rsidRPr="001A1E08">
        <w:rPr>
          <w:rFonts w:cs="Times New Roman"/>
          <w:lang w:val="fr-CA"/>
        </w:rPr>
        <w:t xml:space="preserve">28; et </w:t>
      </w:r>
      <w:proofErr w:type="spellStart"/>
      <w:r w:rsidRPr="001A1E08">
        <w:rPr>
          <w:rFonts w:cs="Times New Roman"/>
          <w:lang w:val="fr-CA"/>
        </w:rPr>
        <w:t>Chassot</w:t>
      </w:r>
      <w:proofErr w:type="spellEnd"/>
      <w:r w:rsidRPr="001A1E08">
        <w:rPr>
          <w:rFonts w:cs="Times New Roman"/>
          <w:lang w:val="fr-CA"/>
        </w:rPr>
        <w:t>, p.</w:t>
      </w:r>
      <w:r w:rsidR="006412AC">
        <w:rPr>
          <w:rFonts w:cs="Times New Roman"/>
          <w:lang w:val="fr-CA"/>
        </w:rPr>
        <w:t xml:space="preserve"> </w:t>
      </w:r>
      <w:r w:rsidRPr="001A1E08">
        <w:rPr>
          <w:rFonts w:cs="Times New Roman"/>
          <w:lang w:val="fr-CA"/>
        </w:rPr>
        <w:t>34.</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Je commence mon examen par les décisions rendues en application de la </w:t>
      </w:r>
      <w:r w:rsidRPr="001A1E08">
        <w:rPr>
          <w:rFonts w:cs="Times New Roman"/>
          <w:i/>
          <w:lang w:val="fr-CA"/>
        </w:rPr>
        <w:t>Convention de Varsovie</w:t>
      </w:r>
      <w:r w:rsidRPr="001A1E08">
        <w:rPr>
          <w:rFonts w:cs="Times New Roman"/>
          <w:lang w:val="fr-CA"/>
        </w:rPr>
        <w:t xml:space="preserve"> dont, comme je l’ai déjà mentionné, l’objet, la structure et le texte sont semblables à ceux de la </w:t>
      </w:r>
      <w:r w:rsidRPr="001A1E08">
        <w:rPr>
          <w:rFonts w:cs="Times New Roman"/>
          <w:i/>
          <w:lang w:val="fr-CA"/>
        </w:rPr>
        <w:t>Convention de Montréal</w:t>
      </w:r>
      <w:r w:rsidRPr="001A1E08">
        <w:rPr>
          <w:rFonts w:cs="Times New Roman"/>
          <w:lang w:val="fr-CA"/>
        </w:rPr>
        <w:t>, qui lui a succédé et qui est en cause en l’espèce.  Dans ces décisions, les plus hauts tribunaux du Royaume</w:t>
      </w:r>
      <w:r w:rsidR="006412AC">
        <w:rPr>
          <w:rFonts w:cs="Times New Roman"/>
          <w:lang w:val="fr-CA"/>
        </w:rPr>
        <w:t>-</w:t>
      </w:r>
      <w:r w:rsidRPr="001A1E08">
        <w:rPr>
          <w:rFonts w:cs="Times New Roman"/>
          <w:lang w:val="fr-CA"/>
        </w:rPr>
        <w:t>Uni, des États</w:t>
      </w:r>
      <w:r w:rsidR="006412AC">
        <w:rPr>
          <w:rFonts w:cs="Times New Roman"/>
          <w:lang w:val="fr-CA"/>
        </w:rPr>
        <w:t>-</w:t>
      </w:r>
      <w:r w:rsidRPr="001A1E08">
        <w:rPr>
          <w:rFonts w:cs="Times New Roman"/>
          <w:lang w:val="fr-CA"/>
        </w:rPr>
        <w:t xml:space="preserve">Unis et de la France ont souscrit au principe de l’exclusivité.  Ce principe, confirmé par la jurisprudence sur la </w:t>
      </w:r>
      <w:r w:rsidRPr="001A1E08">
        <w:rPr>
          <w:rFonts w:cs="Times New Roman"/>
          <w:i/>
          <w:lang w:val="fr-CA"/>
        </w:rPr>
        <w:t>Convention de Varsovie</w:t>
      </w:r>
      <w:r w:rsidRPr="001A1E08">
        <w:rPr>
          <w:rFonts w:cs="Times New Roman"/>
          <w:lang w:val="fr-CA"/>
        </w:rPr>
        <w:t xml:space="preserve">, ressort de façon encore plus évidente du texte de la </w:t>
      </w:r>
      <w:r w:rsidRPr="001A1E08">
        <w:rPr>
          <w:rFonts w:cs="Times New Roman"/>
          <w:i/>
          <w:lang w:val="fr-CA"/>
        </w:rPr>
        <w:t>Convention de Montréal.</w:t>
      </w:r>
      <w:r w:rsidR="006412AC">
        <w:rPr>
          <w:rFonts w:cs="Times New Roman"/>
          <w:i/>
          <w:lang w:val="fr-CA"/>
        </w:rPr>
        <w:t xml:space="preserve">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Dans </w:t>
      </w:r>
      <w:proofErr w:type="spellStart"/>
      <w:r w:rsidRPr="001A1E08">
        <w:rPr>
          <w:rFonts w:cs="Times New Roman"/>
          <w:i/>
          <w:lang w:val="fr-CA"/>
        </w:rPr>
        <w:t>Sidhu</w:t>
      </w:r>
      <w:proofErr w:type="spellEnd"/>
      <w:r w:rsidRPr="001A1E08">
        <w:rPr>
          <w:rFonts w:cs="Times New Roman"/>
          <w:i/>
          <w:lang w:val="fr-CA"/>
        </w:rPr>
        <w:t xml:space="preserve"> c. British Airways Plc.</w:t>
      </w:r>
      <w:r w:rsidRPr="001A1E08">
        <w:rPr>
          <w:rFonts w:cs="Times New Roman"/>
          <w:lang w:val="fr-CA"/>
        </w:rPr>
        <w:t xml:space="preserve">, [1997] A.C. 430 (H.L.), les </w:t>
      </w:r>
      <w:r w:rsidRPr="001A1E08">
        <w:rPr>
          <w:rFonts w:cs="Times New Roman"/>
          <w:lang w:val="fr-CA"/>
        </w:rPr>
        <w:lastRenderedPageBreak/>
        <w:t>demandeurs avaient été pris en otage par les forces iraquiennes lors d’une escale au Koweït, au début de ce qu’on a appelé la guerre du Golfe.  Madame</w:t>
      </w:r>
      <w:r w:rsidR="006412AC">
        <w:rPr>
          <w:rFonts w:cs="Times New Roman"/>
          <w:lang w:val="fr-CA"/>
        </w:rPr>
        <w:t xml:space="preserve"> </w:t>
      </w:r>
      <w:proofErr w:type="spellStart"/>
      <w:r w:rsidRPr="001A1E08">
        <w:rPr>
          <w:rFonts w:cs="Times New Roman"/>
          <w:lang w:val="fr-CA"/>
        </w:rPr>
        <w:t>Sidhu</w:t>
      </w:r>
      <w:proofErr w:type="spellEnd"/>
      <w:r w:rsidRPr="001A1E08">
        <w:rPr>
          <w:rFonts w:cs="Times New Roman"/>
          <w:lang w:val="fr-CA"/>
        </w:rPr>
        <w:t xml:space="preserve"> a poursuivi British</w:t>
      </w:r>
      <w:r w:rsidR="006412AC">
        <w:rPr>
          <w:rFonts w:cs="Times New Roman"/>
          <w:lang w:val="fr-CA"/>
        </w:rPr>
        <w:t xml:space="preserve"> </w:t>
      </w:r>
      <w:r w:rsidRPr="001A1E08">
        <w:rPr>
          <w:rFonts w:cs="Times New Roman"/>
          <w:lang w:val="fr-CA"/>
        </w:rPr>
        <w:t xml:space="preserve">Airways pour préjudice personnel en vertu de la </w:t>
      </w:r>
      <w:proofErr w:type="spellStart"/>
      <w:r w:rsidRPr="001A1E08">
        <w:rPr>
          <w:rFonts w:cs="Times New Roman"/>
          <w:lang w:val="fr-CA"/>
        </w:rPr>
        <w:t>common</w:t>
      </w:r>
      <w:proofErr w:type="spellEnd"/>
      <w:r w:rsidRPr="001A1E08">
        <w:rPr>
          <w:rFonts w:cs="Times New Roman"/>
          <w:lang w:val="fr-CA"/>
        </w:rPr>
        <w:t xml:space="preserve"> </w:t>
      </w:r>
      <w:proofErr w:type="spellStart"/>
      <w:r w:rsidRPr="001A1E08">
        <w:rPr>
          <w:rFonts w:cs="Times New Roman"/>
          <w:lang w:val="fr-CA"/>
        </w:rPr>
        <w:t>law</w:t>
      </w:r>
      <w:proofErr w:type="spellEnd"/>
      <w:r w:rsidRPr="001A1E08">
        <w:rPr>
          <w:rFonts w:cs="Times New Roman"/>
          <w:lang w:val="fr-CA"/>
        </w:rPr>
        <w:t xml:space="preserve"> tandis que M</w:t>
      </w:r>
      <w:r w:rsidRPr="001A1E08">
        <w:rPr>
          <w:rFonts w:cs="Times New Roman"/>
          <w:vertAlign w:val="superscript"/>
          <w:lang w:val="fr-CA"/>
        </w:rPr>
        <w:t>me</w:t>
      </w:r>
      <w:r w:rsidR="006412AC">
        <w:rPr>
          <w:rFonts w:cs="Times New Roman"/>
          <w:lang w:val="fr-CA"/>
        </w:rPr>
        <w:t xml:space="preserve"> </w:t>
      </w:r>
      <w:proofErr w:type="spellStart"/>
      <w:r w:rsidRPr="001A1E08">
        <w:rPr>
          <w:rFonts w:cs="Times New Roman"/>
          <w:lang w:val="fr-CA"/>
        </w:rPr>
        <w:t>Abnett</w:t>
      </w:r>
      <w:proofErr w:type="spellEnd"/>
      <w:r w:rsidRPr="001A1E08">
        <w:rPr>
          <w:rFonts w:cs="Times New Roman"/>
          <w:lang w:val="fr-CA"/>
        </w:rPr>
        <w:t xml:space="preserve"> l’a poursuivie pour retard et violation de contrat, elle aussi en vertu de la </w:t>
      </w:r>
      <w:proofErr w:type="spellStart"/>
      <w:r w:rsidRPr="001A1E08">
        <w:rPr>
          <w:rFonts w:cs="Times New Roman"/>
          <w:lang w:val="fr-CA"/>
        </w:rPr>
        <w:t>common</w:t>
      </w:r>
      <w:proofErr w:type="spellEnd"/>
      <w:r w:rsidRPr="001A1E08">
        <w:rPr>
          <w:rFonts w:cs="Times New Roman"/>
          <w:lang w:val="fr-CA"/>
        </w:rPr>
        <w:t xml:space="preserve"> </w:t>
      </w:r>
      <w:proofErr w:type="spellStart"/>
      <w:r w:rsidRPr="001A1E08">
        <w:rPr>
          <w:rFonts w:cs="Times New Roman"/>
          <w:lang w:val="fr-CA"/>
        </w:rPr>
        <w:t>law</w:t>
      </w:r>
      <w:proofErr w:type="spellEnd"/>
      <w:r w:rsidRPr="001A1E08">
        <w:rPr>
          <w:rFonts w:cs="Times New Roman"/>
          <w:lang w:val="fr-CA"/>
        </w:rPr>
        <w:t>.  Bien que la Chambre des lords ne se soit pas prononcée sur la que</w:t>
      </w:r>
      <w:r w:rsidR="00542353">
        <w:rPr>
          <w:rFonts w:cs="Times New Roman"/>
          <w:lang w:val="fr-CA"/>
        </w:rPr>
        <w:t>stion, il était admis que l’article</w:t>
      </w:r>
      <w:r w:rsidR="006412AC">
        <w:rPr>
          <w:rFonts w:cs="Times New Roman"/>
          <w:lang w:val="fr-CA"/>
        </w:rPr>
        <w:t xml:space="preserve"> </w:t>
      </w:r>
      <w:r w:rsidRPr="001A1E08">
        <w:rPr>
          <w:rFonts w:cs="Times New Roman"/>
          <w:lang w:val="fr-CA"/>
        </w:rPr>
        <w:t xml:space="preserve">17 de la </w:t>
      </w:r>
      <w:r w:rsidRPr="001A1E08">
        <w:rPr>
          <w:rFonts w:cs="Times New Roman"/>
          <w:i/>
          <w:lang w:val="fr-CA"/>
        </w:rPr>
        <w:t>Convention de Varsovie</w:t>
      </w:r>
      <w:r w:rsidRPr="001A1E08">
        <w:rPr>
          <w:rFonts w:cs="Times New Roman"/>
          <w:lang w:val="fr-CA"/>
        </w:rPr>
        <w:t>, intégralement mise en œuvre au Royaume</w:t>
      </w:r>
      <w:r w:rsidR="006412AC">
        <w:rPr>
          <w:rFonts w:cs="Times New Roman"/>
          <w:lang w:val="fr-CA"/>
        </w:rPr>
        <w:t>-</w:t>
      </w:r>
      <w:r w:rsidRPr="001A1E08">
        <w:rPr>
          <w:rFonts w:cs="Times New Roman"/>
          <w:lang w:val="fr-CA"/>
        </w:rPr>
        <w:t xml:space="preserve">Uni par l’effet de la </w:t>
      </w:r>
      <w:proofErr w:type="spellStart"/>
      <w:r w:rsidRPr="001A1E08">
        <w:rPr>
          <w:rFonts w:cs="Times New Roman"/>
          <w:i/>
          <w:lang w:val="fr-CA"/>
        </w:rPr>
        <w:t>Carriage</w:t>
      </w:r>
      <w:proofErr w:type="spellEnd"/>
      <w:r w:rsidRPr="001A1E08">
        <w:rPr>
          <w:rFonts w:cs="Times New Roman"/>
          <w:i/>
          <w:lang w:val="fr-CA"/>
        </w:rPr>
        <w:t xml:space="preserve"> by Air </w:t>
      </w:r>
      <w:proofErr w:type="spellStart"/>
      <w:r w:rsidRPr="001A1E08">
        <w:rPr>
          <w:rFonts w:cs="Times New Roman"/>
          <w:i/>
          <w:lang w:val="fr-CA"/>
        </w:rPr>
        <w:t>Act</w:t>
      </w:r>
      <w:proofErr w:type="spellEnd"/>
      <w:r w:rsidRPr="001A1E08">
        <w:rPr>
          <w:rFonts w:cs="Times New Roman"/>
          <w:i/>
          <w:lang w:val="fr-CA"/>
        </w:rPr>
        <w:t>, 1961</w:t>
      </w:r>
      <w:r w:rsidR="00542353">
        <w:rPr>
          <w:rFonts w:cs="Times New Roman"/>
          <w:lang w:val="fr-CA"/>
        </w:rPr>
        <w:t xml:space="preserve">, 9 &amp; 10 </w:t>
      </w:r>
      <w:proofErr w:type="spellStart"/>
      <w:r w:rsidR="00542353">
        <w:rPr>
          <w:rFonts w:cs="Times New Roman"/>
          <w:lang w:val="fr-CA"/>
        </w:rPr>
        <w:t>Eliz</w:t>
      </w:r>
      <w:proofErr w:type="spellEnd"/>
      <w:r w:rsidR="00542353">
        <w:rPr>
          <w:rFonts w:cs="Times New Roman"/>
          <w:lang w:val="fr-CA"/>
        </w:rPr>
        <w:t>. 2,</w:t>
      </w:r>
      <w:r w:rsidRPr="001A1E08">
        <w:rPr>
          <w:rFonts w:cs="Times New Roman"/>
          <w:lang w:val="fr-CA"/>
        </w:rPr>
        <w:t xml:space="preserve"> ch.</w:t>
      </w:r>
      <w:r w:rsidR="006412AC">
        <w:rPr>
          <w:rFonts w:cs="Times New Roman"/>
          <w:lang w:val="fr-CA"/>
        </w:rPr>
        <w:t xml:space="preserve"> </w:t>
      </w:r>
      <w:r w:rsidRPr="001A1E08">
        <w:rPr>
          <w:rFonts w:cs="Times New Roman"/>
          <w:lang w:val="fr-CA"/>
        </w:rPr>
        <w:t xml:space="preserve">27, ne s’appliquait pas au recours exercé par les </w:t>
      </w:r>
      <w:proofErr w:type="spellStart"/>
      <w:r w:rsidRPr="001A1E08">
        <w:rPr>
          <w:rFonts w:cs="Times New Roman"/>
          <w:lang w:val="fr-CA"/>
        </w:rPr>
        <w:t>demanderesses</w:t>
      </w:r>
      <w:proofErr w:type="spellEnd"/>
      <w:r w:rsidRPr="001A1E08">
        <w:rPr>
          <w:rFonts w:cs="Times New Roman"/>
          <w:lang w:val="fr-CA"/>
        </w:rPr>
        <w:t>.  D’ailleurs, les pa</w:t>
      </w:r>
      <w:r w:rsidR="00542353">
        <w:rPr>
          <w:rFonts w:cs="Times New Roman"/>
          <w:lang w:val="fr-CA"/>
        </w:rPr>
        <w:t>rties reconnaissaient que l’article</w:t>
      </w:r>
      <w:r w:rsidR="006412AC">
        <w:rPr>
          <w:rFonts w:cs="Times New Roman"/>
          <w:lang w:val="fr-CA"/>
        </w:rPr>
        <w:t xml:space="preserve"> </w:t>
      </w:r>
      <w:r w:rsidRPr="001A1E08">
        <w:rPr>
          <w:rFonts w:cs="Times New Roman"/>
          <w:lang w:val="fr-CA"/>
        </w:rPr>
        <w:t xml:space="preserve">17 ne pouvait pas s’appliquer, puisqu’aucun </w:t>
      </w:r>
      <w:r w:rsidR="006412AC">
        <w:rPr>
          <w:rFonts w:cs="Times New Roman"/>
          <w:lang w:val="fr-CA"/>
        </w:rPr>
        <w:t>« </w:t>
      </w:r>
      <w:r w:rsidRPr="001A1E08">
        <w:rPr>
          <w:rFonts w:cs="Times New Roman"/>
          <w:lang w:val="fr-CA"/>
        </w:rPr>
        <w:t>accident</w:t>
      </w:r>
      <w:r w:rsidR="006412AC">
        <w:rPr>
          <w:rFonts w:cs="Times New Roman"/>
          <w:lang w:val="fr-CA"/>
        </w:rPr>
        <w:t> »</w:t>
      </w:r>
      <w:r w:rsidRPr="001A1E08">
        <w:rPr>
          <w:rFonts w:cs="Times New Roman"/>
          <w:lang w:val="fr-CA"/>
        </w:rPr>
        <w:t xml:space="preserve"> n’était survenu à bord de l’aéronef ou au cours du débarquement, et que le préjudice psychologique n’était pas visé par la notion de </w:t>
      </w:r>
      <w:r w:rsidR="006412AC">
        <w:rPr>
          <w:rFonts w:cs="Times New Roman"/>
          <w:lang w:val="fr-CA"/>
        </w:rPr>
        <w:t>« </w:t>
      </w:r>
      <w:r w:rsidRPr="001A1E08">
        <w:rPr>
          <w:rFonts w:cs="Times New Roman"/>
          <w:lang w:val="fr-CA"/>
        </w:rPr>
        <w:t>lésion corporelle</w:t>
      </w:r>
      <w:r w:rsidR="006412AC">
        <w:rPr>
          <w:rFonts w:cs="Times New Roman"/>
          <w:lang w:val="fr-CA"/>
        </w:rPr>
        <w:t> » :</w:t>
      </w:r>
      <w:r w:rsidRPr="001A1E08">
        <w:rPr>
          <w:rFonts w:cs="Times New Roman"/>
          <w:lang w:val="fr-CA"/>
        </w:rPr>
        <w:t xml:space="preserve"> p.</w:t>
      </w:r>
      <w:r w:rsidR="006412AC">
        <w:rPr>
          <w:rFonts w:cs="Times New Roman"/>
          <w:lang w:val="fr-CA"/>
        </w:rPr>
        <w:t xml:space="preserve"> </w:t>
      </w:r>
      <w:r w:rsidRPr="001A1E08">
        <w:rPr>
          <w:rFonts w:cs="Times New Roman"/>
          <w:lang w:val="fr-CA"/>
        </w:rPr>
        <w:t>440</w:t>
      </w:r>
      <w:r w:rsidR="006412AC">
        <w:rPr>
          <w:rFonts w:cs="Times New Roman"/>
          <w:lang w:val="fr-CA"/>
        </w:rPr>
        <w:t>-</w:t>
      </w:r>
      <w:r w:rsidRPr="001A1E08">
        <w:rPr>
          <w:rFonts w:cs="Times New Roman"/>
          <w:lang w:val="fr-CA"/>
        </w:rPr>
        <w:t>441.  Il s’agissait donc de déterminer [</w:t>
      </w:r>
      <w:r w:rsidRPr="001A1E08">
        <w:rPr>
          <w:rFonts w:cs="Times New Roman"/>
          <w:smallCaps/>
          <w:lang w:val="fr-CA"/>
        </w:rPr>
        <w:t>traduction</w:t>
      </w:r>
      <w:r w:rsidRPr="001A1E08">
        <w:rPr>
          <w:rFonts w:cs="Times New Roman"/>
          <w:lang w:val="fr-CA"/>
        </w:rPr>
        <w:t xml:space="preserve">] </w:t>
      </w:r>
      <w:r w:rsidR="006412AC">
        <w:rPr>
          <w:rFonts w:cs="Times New Roman"/>
          <w:lang w:val="fr-CA"/>
        </w:rPr>
        <w:t>« </w:t>
      </w:r>
      <w:r w:rsidRPr="001A1E08">
        <w:rPr>
          <w:rFonts w:cs="Times New Roman"/>
          <w:lang w:val="fr-CA"/>
        </w:rPr>
        <w:t>si le passager qui a subi un préjudice au cours d’un transport aérien international par la faute du transporteur, mais qui n’a aucun droit d’action contre le transporteur suivant l’article</w:t>
      </w:r>
      <w:r w:rsidR="006412AC">
        <w:rPr>
          <w:rFonts w:cs="Times New Roman"/>
          <w:lang w:val="fr-CA"/>
        </w:rPr>
        <w:t xml:space="preserve"> </w:t>
      </w:r>
      <w:r w:rsidRPr="001A1E08">
        <w:rPr>
          <w:rFonts w:cs="Times New Roman"/>
          <w:lang w:val="fr-CA"/>
        </w:rPr>
        <w:t>17 de la Convention [de Varsovie], est privé de tout recours</w:t>
      </w:r>
      <w:r w:rsidR="006412AC">
        <w:rPr>
          <w:rFonts w:cs="Times New Roman"/>
          <w:lang w:val="fr-CA"/>
        </w:rPr>
        <w:t> » :</w:t>
      </w:r>
      <w:r w:rsidRPr="001A1E08">
        <w:rPr>
          <w:rFonts w:cs="Times New Roman"/>
          <w:lang w:val="fr-CA"/>
        </w:rPr>
        <w:t xml:space="preserve"> p.</w:t>
      </w:r>
      <w:r w:rsidR="006412AC">
        <w:rPr>
          <w:rFonts w:cs="Times New Roman"/>
          <w:lang w:val="fr-CA"/>
        </w:rPr>
        <w:t xml:space="preserve"> </w:t>
      </w:r>
      <w:r w:rsidRPr="001A1E08">
        <w:rPr>
          <w:rFonts w:cs="Times New Roman"/>
          <w:lang w:val="fr-CA"/>
        </w:rPr>
        <w:t xml:space="preserve">441.  Pour trancher cette question, la Chambre des lords a analysé l’objet de la </w:t>
      </w:r>
      <w:r w:rsidRPr="001A1E08">
        <w:rPr>
          <w:rFonts w:cs="Times New Roman"/>
          <w:i/>
          <w:lang w:val="fr-CA"/>
        </w:rPr>
        <w:t>Convention de Varsovie</w:t>
      </w:r>
      <w:r w:rsidRPr="001A1E08">
        <w:rPr>
          <w:rFonts w:cs="Times New Roman"/>
          <w:lang w:val="fr-CA"/>
        </w:rPr>
        <w:t>, de même que son texte et son contexte, et a conclu ainsi aux p.</w:t>
      </w:r>
      <w:r w:rsidR="006412AC">
        <w:rPr>
          <w:rFonts w:cs="Times New Roman"/>
          <w:lang w:val="fr-CA"/>
        </w:rPr>
        <w:t xml:space="preserve"> </w:t>
      </w:r>
      <w:r w:rsidRPr="001A1E08">
        <w:rPr>
          <w:rFonts w:cs="Times New Roman"/>
          <w:lang w:val="fr-CA"/>
        </w:rPr>
        <w:t>453</w:t>
      </w:r>
      <w:r w:rsidR="00542353">
        <w:rPr>
          <w:rFonts w:cs="Times New Roman"/>
          <w:lang w:val="fr-CA"/>
        </w:rPr>
        <w:t>-</w:t>
      </w:r>
      <w:r w:rsidRPr="001A1E08">
        <w:rPr>
          <w:rFonts w:cs="Times New Roman"/>
          <w:lang w:val="fr-CA"/>
        </w:rPr>
        <w:t>454</w:t>
      </w:r>
      <w:r w:rsidR="006412AC">
        <w:rPr>
          <w:rFonts w:cs="Times New Roman"/>
          <w:lang w:val="fr-CA"/>
        </w:rPr>
        <w:t> :</w:t>
      </w:r>
    </w:p>
    <w:p w:rsidR="00367456" w:rsidRPr="00AE3C6B" w:rsidRDefault="00367456" w:rsidP="00A12DCE">
      <w:pPr>
        <w:pStyle w:val="Citation-AltC"/>
        <w:widowControl w:val="0"/>
        <w:spacing w:after="240"/>
        <w:ind w:hanging="1166"/>
        <w:contextualSpacing w:val="0"/>
        <w:rPr>
          <w:lang w:val="fr-CA"/>
        </w:rPr>
      </w:pPr>
      <w:r w:rsidRPr="001A1E08">
        <w:rPr>
          <w:lang w:val="fr-CA"/>
        </w:rPr>
        <w:tab/>
      </w:r>
      <w:r w:rsidR="00542353">
        <w:rPr>
          <w:lang w:val="fr-CA"/>
        </w:rPr>
        <w:tab/>
      </w:r>
      <w:r w:rsidRPr="001A1E08">
        <w:rPr>
          <w:lang w:val="fr-CA"/>
        </w:rPr>
        <w:t>[</w:t>
      </w:r>
      <w:r w:rsidRPr="001A1E08">
        <w:rPr>
          <w:smallCaps/>
          <w:lang w:val="fr-CA"/>
        </w:rPr>
        <w:t>traduction</w:t>
      </w:r>
      <w:r w:rsidRPr="001A1E08">
        <w:rPr>
          <w:lang w:val="fr-CA"/>
        </w:rPr>
        <w:t xml:space="preserve">]  Je crois que la réponse à la question soulevée dans la présente affaire réside dans les objectifs et la structure de la Convention. Les termes qui y sont employés et le domaine dont elle traite démontrent que </w:t>
      </w:r>
      <w:r w:rsidRPr="00AE3C6B">
        <w:rPr>
          <w:lang w:val="fr-CA"/>
        </w:rPr>
        <w:t xml:space="preserve">ce que l’on cherchait à établir était un code international uniforme, susceptible d’application par les tribunaux judiciaires des hautes parties contractantes sans égard à leurs propres règles de droit interne.  La Convention ne prétend pas régler toutes les questions liées aux contrats de transport international aérien.  Mais dans les limites de son champ d’application — dont fait partie la responsabilité du transporteur — le code est censé être uniforme et exclure tout recours aux règles de droit interne. </w:t>
      </w:r>
    </w:p>
    <w:p w:rsidR="00367456" w:rsidRPr="00AE3C6B" w:rsidRDefault="00367456" w:rsidP="00A12DCE">
      <w:pPr>
        <w:pStyle w:val="Citation-AltC"/>
        <w:widowControl w:val="0"/>
        <w:spacing w:after="240"/>
        <w:ind w:hanging="1166"/>
        <w:contextualSpacing w:val="0"/>
        <w:jc w:val="center"/>
        <w:rPr>
          <w:lang w:val="fr-CA"/>
        </w:rPr>
      </w:pPr>
      <w:r w:rsidRPr="00AE3C6B">
        <w:rPr>
          <w:lang w:val="fr-CA"/>
        </w:rPr>
        <w:lastRenderedPageBreak/>
        <w:tab/>
      </w:r>
      <w:r w:rsidR="00A12DCE">
        <w:rPr>
          <w:lang w:val="fr-CA"/>
        </w:rPr>
        <w:t>. . .</w:t>
      </w:r>
    </w:p>
    <w:p w:rsidR="00367456" w:rsidRPr="00AE3C6B" w:rsidRDefault="00367456" w:rsidP="00A12DCE">
      <w:pPr>
        <w:pStyle w:val="Citation-AltC"/>
        <w:widowControl w:val="0"/>
        <w:spacing w:after="240"/>
        <w:ind w:hanging="1166"/>
        <w:contextualSpacing w:val="0"/>
        <w:rPr>
          <w:lang w:val="fr-CA"/>
        </w:rPr>
      </w:pPr>
      <w:r w:rsidRPr="00AE3C6B">
        <w:rPr>
          <w:lang w:val="fr-CA"/>
        </w:rPr>
        <w:tab/>
      </w:r>
      <w:r w:rsidR="00542353">
        <w:rPr>
          <w:lang w:val="fr-CA"/>
        </w:rPr>
        <w:tab/>
        <w:t>. . .</w:t>
      </w:r>
      <w:r w:rsidR="001A0F1E">
        <w:rPr>
          <w:lang w:val="fr-CA"/>
        </w:rPr>
        <w:t xml:space="preserve"> </w:t>
      </w:r>
      <w:r w:rsidRPr="00AE3C6B">
        <w:rPr>
          <w:lang w:val="fr-CA"/>
        </w:rPr>
        <w:t>L</w:t>
      </w:r>
      <w:r w:rsidR="005F4BF3">
        <w:rPr>
          <w:lang w:val="fr-CA"/>
        </w:rPr>
        <w:t>a Convention</w:t>
      </w:r>
      <w:r w:rsidRPr="00AE3C6B">
        <w:rPr>
          <w:lang w:val="fr-CA"/>
        </w:rPr>
        <w:t xml:space="preserve"> ne vise pas à </w:t>
      </w:r>
      <w:r w:rsidR="005F4BF3">
        <w:rPr>
          <w:lang w:val="fr-CA"/>
        </w:rPr>
        <w:t>accorder</w:t>
      </w:r>
      <w:r w:rsidRPr="00AE3C6B">
        <w:rPr>
          <w:lang w:val="fr-CA"/>
        </w:rPr>
        <w:t xml:space="preserve"> le droit d’exercer des recours contre le transporteur afin de permettre l’indemn</w:t>
      </w:r>
      <w:r w:rsidR="005F4BF3">
        <w:rPr>
          <w:lang w:val="fr-CA"/>
        </w:rPr>
        <w:t xml:space="preserve">isation de toutes les pertes.  Elle </w:t>
      </w:r>
      <w:r w:rsidRPr="00AE3C6B">
        <w:rPr>
          <w:lang w:val="fr-CA"/>
        </w:rPr>
        <w:t xml:space="preserve">vise plutôt à définir les situations dans lesquelles une indemnisation peut être obtenue.  </w:t>
      </w:r>
      <w:r w:rsidR="005F4BF3">
        <w:rPr>
          <w:lang w:val="fr-CA"/>
        </w:rPr>
        <w:t xml:space="preserve">Pour ce faire, elle fixe </w:t>
      </w:r>
      <w:r w:rsidRPr="00AE3C6B">
        <w:rPr>
          <w:lang w:val="fr-CA"/>
        </w:rPr>
        <w:t>ainsi les limites de la responsabilité et les conditions auxquelles l</w:t>
      </w:r>
      <w:r w:rsidR="005F4BF3">
        <w:rPr>
          <w:lang w:val="fr-CA"/>
        </w:rPr>
        <w:t xml:space="preserve">es </w:t>
      </w:r>
      <w:r w:rsidRPr="00AE3C6B">
        <w:rPr>
          <w:lang w:val="fr-CA"/>
        </w:rPr>
        <w:t>action</w:t>
      </w:r>
      <w:r w:rsidR="005F4BF3">
        <w:rPr>
          <w:lang w:val="fr-CA"/>
        </w:rPr>
        <w:t>s</w:t>
      </w:r>
      <w:r w:rsidRPr="00AE3C6B">
        <w:rPr>
          <w:lang w:val="fr-CA"/>
        </w:rPr>
        <w:t xml:space="preserve"> </w:t>
      </w:r>
      <w:r w:rsidR="005F4BF3">
        <w:rPr>
          <w:lang w:val="fr-CA"/>
        </w:rPr>
        <w:t xml:space="preserve">tendent à établir cette </w:t>
      </w:r>
      <w:r w:rsidRPr="00AE3C6B">
        <w:rPr>
          <w:lang w:val="fr-CA"/>
        </w:rPr>
        <w:t>responsabilité, si celle</w:t>
      </w:r>
      <w:r w:rsidR="006412AC">
        <w:rPr>
          <w:lang w:val="fr-CA"/>
        </w:rPr>
        <w:t>-</w:t>
      </w:r>
      <w:r w:rsidRPr="00AE3C6B">
        <w:rPr>
          <w:lang w:val="fr-CA"/>
        </w:rPr>
        <w:t xml:space="preserve">ci est contestée, </w:t>
      </w:r>
      <w:r w:rsidR="005F4BF3">
        <w:rPr>
          <w:lang w:val="fr-CA"/>
        </w:rPr>
        <w:t xml:space="preserve">doivent </w:t>
      </w:r>
      <w:r w:rsidRPr="00AE3C6B">
        <w:rPr>
          <w:lang w:val="fr-CA"/>
        </w:rPr>
        <w:t>être intentée</w:t>
      </w:r>
      <w:r w:rsidR="005F4BF3">
        <w:rPr>
          <w:lang w:val="fr-CA"/>
        </w:rPr>
        <w:t>s</w:t>
      </w:r>
      <w:r w:rsidRPr="00AE3C6B">
        <w:rPr>
          <w:lang w:val="fr-CA"/>
        </w:rPr>
        <w:t>. Un équilibre a été atteint au nom de la certitude et de l’uniformité.</w:t>
      </w:r>
    </w:p>
    <w:p w:rsidR="00367456" w:rsidRPr="00AE3C6B" w:rsidRDefault="00367456" w:rsidP="00C82EE3">
      <w:pPr>
        <w:pStyle w:val="Citation-AltC"/>
        <w:widowControl w:val="0"/>
        <w:ind w:hanging="1166"/>
        <w:contextualSpacing w:val="0"/>
        <w:rPr>
          <w:lang w:val="fr-CA"/>
        </w:rPr>
      </w:pPr>
      <w:r w:rsidRPr="00AE3C6B">
        <w:rPr>
          <w:lang w:val="fr-CA"/>
        </w:rPr>
        <w:tab/>
      </w:r>
      <w:r w:rsidR="00542353">
        <w:rPr>
          <w:lang w:val="fr-CA"/>
        </w:rPr>
        <w:tab/>
      </w:r>
      <w:r w:rsidR="00A12DCE">
        <w:rPr>
          <w:lang w:val="fr-CA"/>
        </w:rPr>
        <w:t>. . .</w:t>
      </w:r>
      <w:r w:rsidRPr="00AE3C6B">
        <w:rPr>
          <w:lang w:val="fr-CA"/>
        </w:rPr>
        <w:t xml:space="preserve"> Il faut donc conclure que la Convention exclut tou</w:t>
      </w:r>
      <w:r w:rsidR="005F4BF3">
        <w:rPr>
          <w:lang w:val="fr-CA"/>
        </w:rPr>
        <w:t>t</w:t>
      </w:r>
      <w:r w:rsidRPr="00AE3C6B">
        <w:rPr>
          <w:lang w:val="fr-CA"/>
        </w:rPr>
        <w:t xml:space="preserve"> recours, </w:t>
      </w:r>
      <w:r w:rsidR="005F4BF3">
        <w:rPr>
          <w:lang w:val="fr-CA"/>
        </w:rPr>
        <w:t xml:space="preserve">étant donné que </w:t>
      </w:r>
      <w:r w:rsidRPr="00AE3C6B">
        <w:rPr>
          <w:lang w:val="fr-CA"/>
        </w:rPr>
        <w:t>l’ensemble de règles uniformes</w:t>
      </w:r>
      <w:r w:rsidR="005F4BF3">
        <w:rPr>
          <w:lang w:val="fr-CA"/>
        </w:rPr>
        <w:t xml:space="preserve"> n’en prévoit pas</w:t>
      </w:r>
      <w:r w:rsidRPr="00AE3C6B">
        <w:rPr>
          <w:lang w:val="fr-CA"/>
        </w:rPr>
        <w:t xml:space="preserve">.  Les tribunaux nationaux ne sont pas libres d’accorder une réparation conformément à leur propre droit, parce que, s’ils le faisaient, ils affaibliraient la Convention.  On verrait ainsi apparaître, </w:t>
      </w:r>
      <w:r w:rsidR="005F4BF3">
        <w:rPr>
          <w:lang w:val="fr-CA"/>
        </w:rPr>
        <w:t>parallèlement à</w:t>
      </w:r>
      <w:r w:rsidRPr="00AE3C6B">
        <w:rPr>
          <w:lang w:val="fr-CA"/>
        </w:rPr>
        <w:t xml:space="preserve"> la Convention, un ensemble de règles complètement différentes qui perturberait l’application de tout le régime.</w:t>
      </w:r>
    </w:p>
    <w:p w:rsidR="00367456" w:rsidRPr="001A1E08" w:rsidRDefault="00367456" w:rsidP="00A12DCE">
      <w:pPr>
        <w:pStyle w:val="ParaNoNdepar-AltN"/>
        <w:widowControl w:val="0"/>
        <w:tabs>
          <w:tab w:val="clear" w:pos="1166"/>
          <w:tab w:val="num" w:pos="1152"/>
        </w:tabs>
        <w:rPr>
          <w:rFonts w:cs="Times New Roman"/>
          <w:bCs/>
          <w:lang w:val="fr-CA"/>
        </w:rPr>
      </w:pPr>
      <w:r w:rsidRPr="001A1E08">
        <w:rPr>
          <w:rFonts w:cs="Times New Roman"/>
          <w:lang w:val="fr-CA"/>
        </w:rPr>
        <w:t xml:space="preserve">Cette interprétation du principe de l’exclusivité a été reprise par la Chambre des lords dans l’arrêt </w:t>
      </w:r>
      <w:r w:rsidRPr="001A1E08">
        <w:rPr>
          <w:rFonts w:cs="Times New Roman"/>
          <w:i/>
          <w:lang w:val="fr-CA"/>
        </w:rPr>
        <w:t xml:space="preserve">In </w:t>
      </w:r>
      <w:proofErr w:type="spellStart"/>
      <w:r w:rsidRPr="001A1E08">
        <w:rPr>
          <w:rFonts w:cs="Times New Roman"/>
          <w:i/>
          <w:lang w:val="fr-CA"/>
        </w:rPr>
        <w:t>re</w:t>
      </w:r>
      <w:proofErr w:type="spellEnd"/>
      <w:r w:rsidRPr="001A1E08">
        <w:rPr>
          <w:rFonts w:cs="Times New Roman"/>
          <w:lang w:val="fr-CA"/>
        </w:rPr>
        <w:t xml:space="preserve"> </w:t>
      </w:r>
      <w:proofErr w:type="spellStart"/>
      <w:r w:rsidRPr="001A1E08">
        <w:rPr>
          <w:rFonts w:cs="Times New Roman"/>
          <w:bCs/>
          <w:i/>
          <w:lang w:val="fr-CA"/>
        </w:rPr>
        <w:t>Deep</w:t>
      </w:r>
      <w:proofErr w:type="spellEnd"/>
      <w:r w:rsidRPr="001A1E08">
        <w:rPr>
          <w:rFonts w:cs="Times New Roman"/>
          <w:bCs/>
          <w:i/>
          <w:lang w:val="fr-CA"/>
        </w:rPr>
        <w:t xml:space="preserve"> </w:t>
      </w:r>
      <w:proofErr w:type="spellStart"/>
      <w:r w:rsidRPr="001A1E08">
        <w:rPr>
          <w:rFonts w:cs="Times New Roman"/>
          <w:bCs/>
          <w:i/>
          <w:lang w:val="fr-CA"/>
        </w:rPr>
        <w:t>Vein</w:t>
      </w:r>
      <w:proofErr w:type="spellEnd"/>
      <w:r w:rsidRPr="001A1E08">
        <w:rPr>
          <w:rFonts w:cs="Times New Roman"/>
          <w:bCs/>
          <w:i/>
          <w:lang w:val="fr-CA"/>
        </w:rPr>
        <w:t xml:space="preserve"> </w:t>
      </w:r>
      <w:proofErr w:type="spellStart"/>
      <w:r w:rsidRPr="001A1E08">
        <w:rPr>
          <w:rFonts w:cs="Times New Roman"/>
          <w:bCs/>
          <w:i/>
          <w:lang w:val="fr-CA"/>
        </w:rPr>
        <w:t>Thrombosis</w:t>
      </w:r>
      <w:proofErr w:type="spellEnd"/>
      <w:r w:rsidRPr="001A1E08">
        <w:rPr>
          <w:rFonts w:cs="Times New Roman"/>
          <w:bCs/>
          <w:i/>
          <w:lang w:val="fr-CA"/>
        </w:rPr>
        <w:t xml:space="preserve"> and Air </w:t>
      </w:r>
      <w:proofErr w:type="spellStart"/>
      <w:r w:rsidRPr="001A1E08">
        <w:rPr>
          <w:rFonts w:cs="Times New Roman"/>
          <w:bCs/>
          <w:i/>
          <w:lang w:val="fr-CA"/>
        </w:rPr>
        <w:t>Travel</w:t>
      </w:r>
      <w:proofErr w:type="spellEnd"/>
      <w:r w:rsidRPr="001A1E08">
        <w:rPr>
          <w:rFonts w:cs="Times New Roman"/>
          <w:bCs/>
          <w:i/>
          <w:lang w:val="fr-CA"/>
        </w:rPr>
        <w:t xml:space="preserve"> Group </w:t>
      </w:r>
      <w:proofErr w:type="spellStart"/>
      <w:r w:rsidRPr="001A1E08">
        <w:rPr>
          <w:rFonts w:cs="Times New Roman"/>
          <w:bCs/>
          <w:i/>
          <w:lang w:val="fr-CA"/>
        </w:rPr>
        <w:t>Litigation</w:t>
      </w:r>
      <w:proofErr w:type="spellEnd"/>
      <w:r w:rsidRPr="001A1E08">
        <w:rPr>
          <w:rFonts w:cs="Times New Roman"/>
          <w:bCs/>
          <w:lang w:val="fr-CA"/>
        </w:rPr>
        <w:t>, [2005] UKHL 72, [2006] 1 A.C. 495, par.</w:t>
      </w:r>
      <w:r w:rsidR="006412AC">
        <w:rPr>
          <w:rFonts w:cs="Times New Roman"/>
          <w:bCs/>
          <w:lang w:val="fr-CA"/>
        </w:rPr>
        <w:t xml:space="preserve"> </w:t>
      </w:r>
      <w:r w:rsidRPr="001A1E08">
        <w:rPr>
          <w:rFonts w:cs="Times New Roman"/>
          <w:bCs/>
          <w:lang w:val="fr-CA"/>
        </w:rPr>
        <w:t>3</w:t>
      </w:r>
      <w:r w:rsidR="006412AC">
        <w:rPr>
          <w:rFonts w:cs="Times New Roman"/>
          <w:bCs/>
          <w:lang w:val="fr-CA"/>
        </w:rPr>
        <w:t> :</w:t>
      </w:r>
    </w:p>
    <w:p w:rsidR="00367456" w:rsidRPr="001A1E08" w:rsidRDefault="00367456" w:rsidP="00A12DCE">
      <w:pPr>
        <w:pStyle w:val="Citation-AltC"/>
        <w:widowControl w:val="0"/>
        <w:ind w:hanging="1166"/>
        <w:rPr>
          <w:lang w:val="fr-CA"/>
        </w:rPr>
      </w:pPr>
      <w:r w:rsidRPr="001A1E08">
        <w:rPr>
          <w:lang w:val="fr-CA"/>
        </w:rPr>
        <w:tab/>
        <w:t>[</w:t>
      </w:r>
      <w:r w:rsidRPr="001A1E08">
        <w:rPr>
          <w:smallCaps/>
          <w:lang w:val="fr-CA"/>
        </w:rPr>
        <w:t>traduction</w:t>
      </w:r>
      <w:r w:rsidRPr="001A1E08">
        <w:rPr>
          <w:lang w:val="fr-CA"/>
        </w:rPr>
        <w:t>]  Le passager est désavantagé, cependant, car même dans les cas manifestes de négligence causale de la part du transporteur, il ne pourra obtenir réparation si les conditions de l’art.</w:t>
      </w:r>
      <w:r w:rsidR="006412AC">
        <w:rPr>
          <w:lang w:val="fr-CA"/>
        </w:rPr>
        <w:t xml:space="preserve"> </w:t>
      </w:r>
      <w:r w:rsidRPr="001A1E08">
        <w:rPr>
          <w:lang w:val="fr-CA"/>
        </w:rPr>
        <w:t xml:space="preserve">17 ne sont pas réunies. </w:t>
      </w:r>
      <w:r w:rsidRPr="001A1E08">
        <w:rPr>
          <w:u w:val="single"/>
          <w:lang w:val="fr-CA"/>
        </w:rPr>
        <w:t>Il a été jugé, dans des arrêts faisant autorité, que si un recours n’est pas ouvert à l’égard du préjudice en vertu de la Convention, il n’est pas ouvert du tout</w:t>
      </w:r>
      <w:r w:rsidR="006412AC">
        <w:rPr>
          <w:lang w:val="fr-CA"/>
        </w:rPr>
        <w:t> :</w:t>
      </w:r>
      <w:r w:rsidRPr="001A1E08">
        <w:rPr>
          <w:lang w:val="fr-CA"/>
        </w:rPr>
        <w:t xml:space="preserve"> voir </w:t>
      </w:r>
      <w:proofErr w:type="spellStart"/>
      <w:r w:rsidRPr="001A1E08">
        <w:rPr>
          <w:i/>
          <w:iCs/>
          <w:lang w:val="fr-CA"/>
        </w:rPr>
        <w:t>Sidhu</w:t>
      </w:r>
      <w:proofErr w:type="spellEnd"/>
      <w:r w:rsidRPr="001A1E08">
        <w:rPr>
          <w:i/>
          <w:iCs/>
          <w:lang w:val="fr-CA"/>
        </w:rPr>
        <w:t xml:space="preserve"> c British Airways </w:t>
      </w:r>
      <w:proofErr w:type="spellStart"/>
      <w:r w:rsidRPr="001A1E08">
        <w:rPr>
          <w:i/>
          <w:iCs/>
          <w:lang w:val="fr-CA"/>
        </w:rPr>
        <w:t>plc</w:t>
      </w:r>
      <w:proofErr w:type="spellEnd"/>
      <w:r w:rsidR="00A9705B">
        <w:rPr>
          <w:lang w:val="fr-CA"/>
        </w:rPr>
        <w:t xml:space="preserve"> [1997] AC 430</w:t>
      </w:r>
      <w:r w:rsidRPr="001A1E08">
        <w:rPr>
          <w:lang w:val="fr-CA"/>
        </w:rPr>
        <w:t xml:space="preserve"> et </w:t>
      </w:r>
      <w:r w:rsidR="00A9705B">
        <w:rPr>
          <w:i/>
          <w:iCs/>
          <w:lang w:val="fr-CA"/>
        </w:rPr>
        <w:t xml:space="preserve">El Al </w:t>
      </w:r>
      <w:proofErr w:type="spellStart"/>
      <w:r w:rsidR="00A9705B">
        <w:rPr>
          <w:i/>
          <w:iCs/>
          <w:lang w:val="fr-CA"/>
        </w:rPr>
        <w:t>Israel</w:t>
      </w:r>
      <w:proofErr w:type="spellEnd"/>
      <w:r w:rsidR="00A9705B">
        <w:rPr>
          <w:i/>
          <w:iCs/>
          <w:lang w:val="fr-CA"/>
        </w:rPr>
        <w:t xml:space="preserve"> Airlines Ltd c</w:t>
      </w:r>
      <w:r w:rsidRPr="001A1E08">
        <w:rPr>
          <w:i/>
          <w:iCs/>
          <w:lang w:val="fr-CA"/>
        </w:rPr>
        <w:t xml:space="preserve"> </w:t>
      </w:r>
      <w:proofErr w:type="spellStart"/>
      <w:r w:rsidRPr="001A1E08">
        <w:rPr>
          <w:i/>
          <w:iCs/>
          <w:lang w:val="fr-CA"/>
        </w:rPr>
        <w:t>Tsui</w:t>
      </w:r>
      <w:proofErr w:type="spellEnd"/>
      <w:r w:rsidRPr="001A1E08">
        <w:rPr>
          <w:i/>
          <w:iCs/>
          <w:lang w:val="fr-CA"/>
        </w:rPr>
        <w:t xml:space="preserve"> Yuan </w:t>
      </w:r>
      <w:proofErr w:type="spellStart"/>
      <w:r w:rsidRPr="001A1E08">
        <w:rPr>
          <w:i/>
          <w:iCs/>
          <w:lang w:val="fr-CA"/>
        </w:rPr>
        <w:t>Tseng</w:t>
      </w:r>
      <w:proofErr w:type="spellEnd"/>
      <w:r w:rsidRPr="001A1E08">
        <w:rPr>
          <w:i/>
          <w:iCs/>
          <w:lang w:val="fr-CA"/>
        </w:rPr>
        <w:t xml:space="preserve"> </w:t>
      </w:r>
      <w:r w:rsidR="00A9705B">
        <w:rPr>
          <w:iCs/>
          <w:lang w:val="fr-CA"/>
        </w:rPr>
        <w:t>(1999)</w:t>
      </w:r>
      <w:r w:rsidR="00A9705B">
        <w:rPr>
          <w:lang w:val="fr-CA"/>
        </w:rPr>
        <w:t xml:space="preserve"> 525 US</w:t>
      </w:r>
      <w:r w:rsidRPr="001A1E08">
        <w:rPr>
          <w:lang w:val="fr-CA"/>
        </w:rPr>
        <w:t xml:space="preserve"> 155.  [Je souligne.]</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Dans l’arrêt </w:t>
      </w:r>
      <w:proofErr w:type="spellStart"/>
      <w:r w:rsidRPr="001A1E08">
        <w:rPr>
          <w:rFonts w:cs="Times New Roman"/>
          <w:i/>
          <w:lang w:val="fr-CA"/>
        </w:rPr>
        <w:t>Tseng</w:t>
      </w:r>
      <w:proofErr w:type="spellEnd"/>
      <w:r w:rsidRPr="001A1E08">
        <w:rPr>
          <w:rFonts w:cs="Times New Roman"/>
          <w:lang w:val="fr-CA"/>
        </w:rPr>
        <w:t>, la Cour suprême des États</w:t>
      </w:r>
      <w:r w:rsidR="006412AC">
        <w:rPr>
          <w:rFonts w:cs="Times New Roman"/>
          <w:lang w:val="fr-CA"/>
        </w:rPr>
        <w:t>-</w:t>
      </w:r>
      <w:r w:rsidRPr="001A1E08">
        <w:rPr>
          <w:rFonts w:cs="Times New Roman"/>
          <w:lang w:val="fr-CA"/>
        </w:rPr>
        <w:t xml:space="preserve">Unis a souscrit au principe de l’exclusivité reconnu par la Chambre des lords dans </w:t>
      </w:r>
      <w:proofErr w:type="spellStart"/>
      <w:r w:rsidRPr="001A1E08">
        <w:rPr>
          <w:rFonts w:cs="Times New Roman"/>
          <w:i/>
          <w:lang w:val="fr-CA"/>
        </w:rPr>
        <w:t>Sidhu</w:t>
      </w:r>
      <w:proofErr w:type="spellEnd"/>
      <w:r w:rsidRPr="00E42CD4">
        <w:rPr>
          <w:rFonts w:cs="Times New Roman"/>
          <w:lang w:val="fr-CA"/>
        </w:rPr>
        <w:t>,</w:t>
      </w:r>
      <w:r w:rsidRPr="001A1E08">
        <w:rPr>
          <w:rFonts w:cs="Times New Roman"/>
          <w:lang w:val="fr-CA"/>
        </w:rPr>
        <w:t xml:space="preserve"> et elle a fait sienne l’interprétation de la </w:t>
      </w:r>
      <w:r w:rsidRPr="001A1E08">
        <w:rPr>
          <w:rFonts w:cs="Times New Roman"/>
          <w:i/>
          <w:lang w:val="fr-CA"/>
        </w:rPr>
        <w:t>Convention de Varsovie</w:t>
      </w:r>
      <w:r w:rsidRPr="001A1E08">
        <w:rPr>
          <w:rFonts w:cs="Times New Roman"/>
          <w:lang w:val="fr-CA"/>
        </w:rPr>
        <w:t xml:space="preserve"> que préconisait le gouvernement américain.  La demanderesse avait fait l’objet d’une fouille envahissante à l’aéroport international John</w:t>
      </w:r>
      <w:r w:rsidR="006412AC">
        <w:rPr>
          <w:rFonts w:cs="Times New Roman"/>
          <w:lang w:val="fr-CA"/>
        </w:rPr>
        <w:t xml:space="preserve"> </w:t>
      </w:r>
      <w:r w:rsidRPr="001A1E08">
        <w:rPr>
          <w:rFonts w:cs="Times New Roman"/>
          <w:lang w:val="fr-CA"/>
        </w:rPr>
        <w:t>F.</w:t>
      </w:r>
      <w:r w:rsidR="006412AC">
        <w:rPr>
          <w:rFonts w:cs="Times New Roman"/>
          <w:lang w:val="fr-CA"/>
        </w:rPr>
        <w:t xml:space="preserve"> </w:t>
      </w:r>
      <w:r w:rsidRPr="001A1E08">
        <w:rPr>
          <w:rFonts w:cs="Times New Roman"/>
          <w:lang w:val="fr-CA"/>
        </w:rPr>
        <w:t xml:space="preserve">Kennedy de New York avant de monter à bord d’un vol de la El </w:t>
      </w:r>
      <w:r w:rsidRPr="001A1E08">
        <w:rPr>
          <w:rFonts w:cs="Times New Roman"/>
          <w:lang w:val="fr-CA"/>
        </w:rPr>
        <w:lastRenderedPageBreak/>
        <w:t xml:space="preserve">Al </w:t>
      </w:r>
      <w:proofErr w:type="spellStart"/>
      <w:r w:rsidRPr="001A1E08">
        <w:rPr>
          <w:rFonts w:cs="Times New Roman"/>
          <w:lang w:val="fr-CA"/>
        </w:rPr>
        <w:t>Israe</w:t>
      </w:r>
      <w:r w:rsidR="009330F8">
        <w:rPr>
          <w:rFonts w:cs="Times New Roman"/>
          <w:lang w:val="fr-CA"/>
        </w:rPr>
        <w:t>l</w:t>
      </w:r>
      <w:proofErr w:type="spellEnd"/>
      <w:r w:rsidR="009330F8">
        <w:rPr>
          <w:rFonts w:cs="Times New Roman"/>
          <w:lang w:val="fr-CA"/>
        </w:rPr>
        <w:t xml:space="preserve"> Airlines à destination de Tel-</w:t>
      </w:r>
      <w:r w:rsidRPr="001A1E08">
        <w:rPr>
          <w:rFonts w:cs="Times New Roman"/>
          <w:lang w:val="fr-CA"/>
        </w:rPr>
        <w:t>Aviv.  Elle réclamait des dommages</w:t>
      </w:r>
      <w:r w:rsidR="006412AC">
        <w:rPr>
          <w:rFonts w:cs="Times New Roman"/>
          <w:lang w:val="fr-CA"/>
        </w:rPr>
        <w:t>-</w:t>
      </w:r>
      <w:r w:rsidRPr="001A1E08">
        <w:rPr>
          <w:rFonts w:cs="Times New Roman"/>
          <w:lang w:val="fr-CA"/>
        </w:rPr>
        <w:t xml:space="preserve">intérêts pour préjudice psychique ou psychosomatique, mais reconnaissait qu’elle n’avait subi aucune </w:t>
      </w:r>
      <w:r w:rsidR="006412AC">
        <w:rPr>
          <w:rFonts w:cs="Times New Roman"/>
          <w:lang w:val="fr-CA"/>
        </w:rPr>
        <w:t>« </w:t>
      </w:r>
      <w:r w:rsidRPr="001A1E08">
        <w:rPr>
          <w:rFonts w:cs="Times New Roman"/>
          <w:lang w:val="fr-CA"/>
        </w:rPr>
        <w:t>lésion corporelle</w:t>
      </w:r>
      <w:r w:rsidR="006412AC">
        <w:rPr>
          <w:rFonts w:cs="Times New Roman"/>
          <w:lang w:val="fr-CA"/>
        </w:rPr>
        <w:t> »</w:t>
      </w:r>
      <w:r w:rsidRPr="001A1E08">
        <w:rPr>
          <w:rFonts w:cs="Times New Roman"/>
          <w:lang w:val="fr-CA"/>
        </w:rPr>
        <w:t>.  La compagnie aérienne et le gouvernement des États</w:t>
      </w:r>
      <w:r w:rsidR="006412AC">
        <w:rPr>
          <w:rFonts w:cs="Times New Roman"/>
          <w:lang w:val="fr-CA"/>
        </w:rPr>
        <w:t>-</w:t>
      </w:r>
      <w:r w:rsidRPr="001A1E08">
        <w:rPr>
          <w:rFonts w:cs="Times New Roman"/>
          <w:lang w:val="fr-CA"/>
        </w:rPr>
        <w:t xml:space="preserve">Unis prétendaient que les mots </w:t>
      </w:r>
      <w:r w:rsidR="006412AC">
        <w:rPr>
          <w:rFonts w:cs="Times New Roman"/>
          <w:lang w:val="fr-CA"/>
        </w:rPr>
        <w:t>« </w:t>
      </w:r>
      <w:r w:rsidRPr="001A1E08">
        <w:rPr>
          <w:rFonts w:cs="Times New Roman"/>
          <w:lang w:val="fr-CA"/>
        </w:rPr>
        <w:t>[d]ans les cas prévus à l’article</w:t>
      </w:r>
      <w:r w:rsidR="006412AC">
        <w:rPr>
          <w:rFonts w:cs="Times New Roman"/>
          <w:lang w:val="fr-CA"/>
        </w:rPr>
        <w:t xml:space="preserve"> </w:t>
      </w:r>
      <w:r w:rsidRPr="001A1E08">
        <w:rPr>
          <w:rFonts w:cs="Times New Roman"/>
          <w:lang w:val="fr-CA"/>
        </w:rPr>
        <w:t>17</w:t>
      </w:r>
      <w:r w:rsidR="006412AC">
        <w:rPr>
          <w:rFonts w:cs="Times New Roman"/>
          <w:lang w:val="fr-CA"/>
        </w:rPr>
        <w:t> »</w:t>
      </w:r>
      <w:r w:rsidR="00A9705B">
        <w:rPr>
          <w:rFonts w:cs="Times New Roman"/>
          <w:lang w:val="fr-CA"/>
        </w:rPr>
        <w:t>, qui se trouvent à l’article</w:t>
      </w:r>
      <w:r w:rsidR="006412AC">
        <w:rPr>
          <w:rFonts w:cs="Times New Roman"/>
          <w:lang w:val="fr-CA"/>
        </w:rPr>
        <w:t xml:space="preserve"> </w:t>
      </w:r>
      <w:r w:rsidRPr="001A1E08">
        <w:rPr>
          <w:rFonts w:cs="Times New Roman"/>
          <w:lang w:val="fr-CA"/>
        </w:rPr>
        <w:t xml:space="preserve">24 de la </w:t>
      </w:r>
      <w:r w:rsidRPr="001A1E08">
        <w:rPr>
          <w:rFonts w:cs="Times New Roman"/>
          <w:i/>
          <w:lang w:val="fr-CA"/>
        </w:rPr>
        <w:t>Convention de Varsovie</w:t>
      </w:r>
      <w:r w:rsidRPr="001A1E08">
        <w:rPr>
          <w:rFonts w:cs="Times New Roman"/>
          <w:lang w:val="fr-CA"/>
        </w:rPr>
        <w:t>, [</w:t>
      </w:r>
      <w:r w:rsidRPr="001A1E08">
        <w:rPr>
          <w:rFonts w:cs="Times New Roman"/>
          <w:smallCaps/>
          <w:lang w:val="fr-CA"/>
        </w:rPr>
        <w:t>traduction</w:t>
      </w:r>
      <w:r w:rsidRPr="001A1E08">
        <w:rPr>
          <w:rFonts w:cs="Times New Roman"/>
          <w:lang w:val="fr-CA"/>
        </w:rPr>
        <w:t xml:space="preserve">] </w:t>
      </w:r>
      <w:r w:rsidR="006412AC">
        <w:rPr>
          <w:rFonts w:cs="Times New Roman"/>
          <w:lang w:val="fr-CA"/>
        </w:rPr>
        <w:t>« </w:t>
      </w:r>
      <w:proofErr w:type="spellStart"/>
      <w:proofErr w:type="gramStart"/>
      <w:r w:rsidRPr="001A1E08">
        <w:rPr>
          <w:rFonts w:cs="Times New Roman"/>
          <w:lang w:val="fr-CA"/>
        </w:rPr>
        <w:t>renvoy</w:t>
      </w:r>
      <w:proofErr w:type="spellEnd"/>
      <w:r w:rsidR="00A9705B">
        <w:rPr>
          <w:rFonts w:cs="Times New Roman"/>
          <w:lang w:val="fr-CA"/>
        </w:rPr>
        <w:t>[</w:t>
      </w:r>
      <w:proofErr w:type="gramEnd"/>
      <w:r w:rsidRPr="001A1E08">
        <w:rPr>
          <w:rFonts w:cs="Times New Roman"/>
          <w:lang w:val="fr-CA"/>
        </w:rPr>
        <w:t>aient] de façon générale à tous les cas de préjudice personnel découlant d’un événement survenu à bord d’un aéronef ou au cours d’une opération d’embarquement ou de débarquement</w:t>
      </w:r>
      <w:r w:rsidR="006412AC">
        <w:rPr>
          <w:rFonts w:cs="Times New Roman"/>
          <w:lang w:val="fr-CA"/>
        </w:rPr>
        <w:t> » :</w:t>
      </w:r>
      <w:r w:rsidRPr="001A1E08">
        <w:rPr>
          <w:rFonts w:cs="Times New Roman"/>
          <w:lang w:val="fr-CA"/>
        </w:rPr>
        <w:t xml:space="preserve"> p.</w:t>
      </w:r>
      <w:r w:rsidR="006412AC">
        <w:rPr>
          <w:rFonts w:cs="Times New Roman"/>
          <w:lang w:val="fr-CA"/>
        </w:rPr>
        <w:t xml:space="preserve"> </w:t>
      </w:r>
      <w:r w:rsidRPr="001A1E08">
        <w:rPr>
          <w:rFonts w:cs="Times New Roman"/>
          <w:lang w:val="fr-CA"/>
        </w:rPr>
        <w:t>168.  La Cour suprême des États</w:t>
      </w:r>
      <w:r w:rsidR="006412AC">
        <w:rPr>
          <w:rFonts w:cs="Times New Roman"/>
          <w:lang w:val="fr-CA"/>
        </w:rPr>
        <w:t>-</w:t>
      </w:r>
      <w:r w:rsidRPr="001A1E08">
        <w:rPr>
          <w:rFonts w:cs="Times New Roman"/>
          <w:lang w:val="fr-CA"/>
        </w:rPr>
        <w:t xml:space="preserve">Unis a en outre souscrit à la proposition suivant laquelle, </w:t>
      </w:r>
      <w:r w:rsidR="006412AC">
        <w:rPr>
          <w:rFonts w:cs="Times New Roman"/>
          <w:lang w:val="fr-CA"/>
        </w:rPr>
        <w:t>« </w:t>
      </w:r>
      <w:r w:rsidRPr="001A1E08">
        <w:rPr>
          <w:rFonts w:cs="Times New Roman"/>
          <w:lang w:val="fr-CA"/>
        </w:rPr>
        <w:t>[i]</w:t>
      </w:r>
      <w:proofErr w:type="spellStart"/>
      <w:r w:rsidRPr="001A1E08">
        <w:rPr>
          <w:rFonts w:cs="Times New Roman"/>
          <w:lang w:val="fr-CA"/>
        </w:rPr>
        <w:t>nterprété</w:t>
      </w:r>
      <w:proofErr w:type="spellEnd"/>
      <w:r w:rsidRPr="001A1E08">
        <w:rPr>
          <w:rFonts w:cs="Times New Roman"/>
          <w:lang w:val="fr-CA"/>
        </w:rPr>
        <w:t xml:space="preserve"> ainsi, l’article</w:t>
      </w:r>
      <w:r w:rsidR="006412AC">
        <w:rPr>
          <w:rFonts w:cs="Times New Roman"/>
          <w:lang w:val="fr-CA"/>
        </w:rPr>
        <w:t xml:space="preserve"> </w:t>
      </w:r>
      <w:r w:rsidRPr="001A1E08">
        <w:rPr>
          <w:rFonts w:cs="Times New Roman"/>
          <w:lang w:val="fr-CA"/>
        </w:rPr>
        <w:t xml:space="preserve">24 [de la </w:t>
      </w:r>
      <w:r w:rsidRPr="001A1E08">
        <w:rPr>
          <w:rFonts w:cs="Times New Roman"/>
          <w:i/>
          <w:lang w:val="fr-CA"/>
        </w:rPr>
        <w:t>Convention de Varsovie</w:t>
      </w:r>
      <w:r w:rsidRPr="001A1E08">
        <w:rPr>
          <w:rFonts w:cs="Times New Roman"/>
          <w:lang w:val="fr-CA"/>
        </w:rPr>
        <w:t>] empêcherait les passagers de présenter toute réclamation pour préjudice personnel lié au transport aérien en vertu du droit interne, y compris une action ne satisfaisant pas aux conditions de responsabilité prescrites par l’article</w:t>
      </w:r>
      <w:r w:rsidR="006412AC">
        <w:rPr>
          <w:rFonts w:cs="Times New Roman"/>
          <w:lang w:val="fr-CA"/>
        </w:rPr>
        <w:t xml:space="preserve"> </w:t>
      </w:r>
      <w:r w:rsidRPr="001A1E08">
        <w:rPr>
          <w:rFonts w:cs="Times New Roman"/>
          <w:lang w:val="fr-CA"/>
        </w:rPr>
        <w:t>17</w:t>
      </w:r>
      <w:r w:rsidR="006412AC">
        <w:rPr>
          <w:rFonts w:cs="Times New Roman"/>
          <w:lang w:val="fr-CA"/>
        </w:rPr>
        <w:t> » :</w:t>
      </w:r>
      <w:r w:rsidRPr="001A1E08">
        <w:rPr>
          <w:rFonts w:cs="Times New Roman"/>
          <w:lang w:val="fr-CA"/>
        </w:rPr>
        <w:t xml:space="preserve"> </w:t>
      </w:r>
      <w:r w:rsidRPr="001A1E08">
        <w:rPr>
          <w:rFonts w:cs="Times New Roman"/>
          <w:i/>
          <w:lang w:val="fr-CA"/>
        </w:rPr>
        <w:t>ibid.</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La Cour de cassation française a adopté une approche semblable dans l’arrêt </w:t>
      </w:r>
      <w:proofErr w:type="spellStart"/>
      <w:r w:rsidRPr="001A1E08">
        <w:rPr>
          <w:rFonts w:cs="Times New Roman"/>
          <w:lang w:val="fr-CA"/>
        </w:rPr>
        <w:t>Civ</w:t>
      </w:r>
      <w:proofErr w:type="spellEnd"/>
      <w:r w:rsidRPr="001A1E08">
        <w:rPr>
          <w:rFonts w:cs="Times New Roman"/>
          <w:lang w:val="fr-CA"/>
        </w:rPr>
        <w:t>. 1</w:t>
      </w:r>
      <w:r w:rsidRPr="001A1E08">
        <w:rPr>
          <w:rFonts w:cs="Times New Roman"/>
          <w:vertAlign w:val="superscript"/>
          <w:lang w:val="fr-CA"/>
        </w:rPr>
        <w:t>re</w:t>
      </w:r>
      <w:r w:rsidRPr="001A1E08">
        <w:rPr>
          <w:rFonts w:cs="Times New Roman"/>
          <w:lang w:val="fr-CA"/>
        </w:rPr>
        <w:t>, 14</w:t>
      </w:r>
      <w:r w:rsidR="006412AC">
        <w:rPr>
          <w:rFonts w:cs="Times New Roman"/>
          <w:lang w:val="fr-CA"/>
        </w:rPr>
        <w:t xml:space="preserve"> </w:t>
      </w:r>
      <w:r w:rsidRPr="001A1E08">
        <w:rPr>
          <w:rFonts w:cs="Times New Roman"/>
          <w:lang w:val="fr-CA"/>
        </w:rPr>
        <w:t xml:space="preserve">juin 2007, </w:t>
      </w:r>
      <w:r w:rsidRPr="001A1E08">
        <w:rPr>
          <w:rFonts w:cs="Times New Roman"/>
          <w:i/>
          <w:lang w:val="fr-CA"/>
        </w:rPr>
        <w:t xml:space="preserve">Bull. </w:t>
      </w:r>
      <w:proofErr w:type="spellStart"/>
      <w:r w:rsidRPr="001A1E08">
        <w:rPr>
          <w:rFonts w:cs="Times New Roman"/>
          <w:i/>
          <w:lang w:val="fr-CA"/>
        </w:rPr>
        <w:t>civ</w:t>
      </w:r>
      <w:proofErr w:type="spellEnd"/>
      <w:r w:rsidRPr="001A1E08">
        <w:rPr>
          <w:rFonts w:cs="Times New Roman"/>
          <w:i/>
          <w:lang w:val="fr-CA"/>
        </w:rPr>
        <w:t>.</w:t>
      </w:r>
      <w:r w:rsidRPr="001A1E08">
        <w:rPr>
          <w:rFonts w:cs="Times New Roman"/>
          <w:lang w:val="fr-CA"/>
        </w:rPr>
        <w:t xml:space="preserve"> 6, n°</w:t>
      </w:r>
      <w:r w:rsidR="006412AC">
        <w:rPr>
          <w:rFonts w:cs="Times New Roman"/>
          <w:lang w:val="fr-CA"/>
        </w:rPr>
        <w:t xml:space="preserve"> </w:t>
      </w:r>
      <w:r w:rsidRPr="001A1E08">
        <w:rPr>
          <w:rFonts w:cs="Times New Roman"/>
          <w:lang w:val="fr-CA"/>
        </w:rPr>
        <w:t>230. Madame</w:t>
      </w:r>
      <w:r w:rsidR="006412AC">
        <w:rPr>
          <w:rFonts w:cs="Times New Roman"/>
          <w:lang w:val="fr-CA"/>
        </w:rPr>
        <w:t xml:space="preserve"> </w:t>
      </w:r>
      <w:r w:rsidRPr="001A1E08">
        <w:rPr>
          <w:rFonts w:cs="Times New Roman"/>
          <w:lang w:val="fr-CA"/>
        </w:rPr>
        <w:t>Gillet a subi une embolie pulmonaire plus de deux semaines après être montée à bord d’un vol international d’Air Canada et a poursuivi cette dernière en dommages</w:t>
      </w:r>
      <w:r w:rsidR="006412AC">
        <w:rPr>
          <w:rFonts w:cs="Times New Roman"/>
          <w:lang w:val="fr-CA"/>
        </w:rPr>
        <w:t>-</w:t>
      </w:r>
      <w:r w:rsidRPr="001A1E08">
        <w:rPr>
          <w:rFonts w:cs="Times New Roman"/>
          <w:lang w:val="fr-CA"/>
        </w:rPr>
        <w:t xml:space="preserve">intérêts, soutenant que la compagnie aérienne ne l’avait pas informée des risques que comportait le transport aérien, comme son contrat l’obligeait à le faire selon le </w:t>
      </w:r>
      <w:r w:rsidRPr="001A1E08">
        <w:rPr>
          <w:rFonts w:cs="Times New Roman"/>
          <w:i/>
          <w:lang w:val="fr-CA"/>
        </w:rPr>
        <w:t xml:space="preserve">Code de la consommation </w:t>
      </w:r>
      <w:r w:rsidRPr="001A1E08">
        <w:rPr>
          <w:rFonts w:cs="Times New Roman"/>
          <w:lang w:val="fr-CA"/>
        </w:rPr>
        <w:t xml:space="preserve">français.  La cour lui a cependant refusé toute réparation pécuniaire en application de la </w:t>
      </w:r>
      <w:r w:rsidRPr="001A1E08">
        <w:rPr>
          <w:rFonts w:cs="Times New Roman"/>
          <w:i/>
          <w:lang w:val="fr-CA"/>
        </w:rPr>
        <w:t>Convention de Varsovie</w:t>
      </w:r>
      <w:r w:rsidRPr="001A1E08">
        <w:rPr>
          <w:rFonts w:cs="Times New Roman"/>
          <w:lang w:val="fr-CA"/>
        </w:rPr>
        <w:t>, incorporée au droit français par l’art.</w:t>
      </w:r>
      <w:r w:rsidR="006412AC">
        <w:rPr>
          <w:rFonts w:cs="Times New Roman"/>
          <w:lang w:val="fr-CA"/>
        </w:rPr>
        <w:t xml:space="preserve"> </w:t>
      </w:r>
      <w:r w:rsidRPr="001A1E08">
        <w:rPr>
          <w:rFonts w:cs="Times New Roman"/>
          <w:lang w:val="fr-CA"/>
        </w:rPr>
        <w:t>L. 322</w:t>
      </w:r>
      <w:r w:rsidR="006412AC">
        <w:rPr>
          <w:rFonts w:cs="Times New Roman"/>
          <w:lang w:val="fr-CA"/>
        </w:rPr>
        <w:t>-</w:t>
      </w:r>
      <w:r w:rsidRPr="001A1E08">
        <w:rPr>
          <w:rFonts w:cs="Times New Roman"/>
          <w:lang w:val="fr-CA"/>
        </w:rPr>
        <w:t xml:space="preserve">3 du </w:t>
      </w:r>
      <w:r w:rsidRPr="001A1E08">
        <w:rPr>
          <w:rFonts w:cs="Times New Roman"/>
          <w:i/>
          <w:lang w:val="fr-CA"/>
        </w:rPr>
        <w:t>Code de l’aviation civile</w:t>
      </w:r>
      <w:r w:rsidRPr="001A1E08">
        <w:rPr>
          <w:rFonts w:cs="Times New Roman"/>
          <w:lang w:val="fr-CA"/>
        </w:rPr>
        <w:t xml:space="preserve">.  La demanderesse s’est pourvue en appel devant la Cour de cassation, première chambre civile, faisant entre autres valoir que la Cour d’appel de Paris </w:t>
      </w:r>
      <w:proofErr w:type="gramStart"/>
      <w:r w:rsidRPr="001A1E08">
        <w:rPr>
          <w:rFonts w:cs="Times New Roman"/>
          <w:lang w:val="fr-CA"/>
        </w:rPr>
        <w:t>avait</w:t>
      </w:r>
      <w:proofErr w:type="gramEnd"/>
      <w:r w:rsidRPr="001A1E08">
        <w:rPr>
          <w:rFonts w:cs="Times New Roman"/>
          <w:lang w:val="fr-CA"/>
        </w:rPr>
        <w:t xml:space="preserve"> eu tort de ne pas appliquer les dispositions du </w:t>
      </w:r>
      <w:r w:rsidRPr="001A1E08">
        <w:rPr>
          <w:rFonts w:cs="Times New Roman"/>
          <w:i/>
          <w:lang w:val="fr-CA"/>
        </w:rPr>
        <w:t>Code de la consommation</w:t>
      </w:r>
      <w:r w:rsidRPr="001A1E08">
        <w:rPr>
          <w:rFonts w:cs="Times New Roman"/>
          <w:lang w:val="fr-CA"/>
        </w:rPr>
        <w:t xml:space="preserve">, </w:t>
      </w:r>
      <w:r w:rsidRPr="001A1E08">
        <w:rPr>
          <w:rFonts w:cs="Times New Roman"/>
          <w:lang w:val="fr-CA"/>
        </w:rPr>
        <w:lastRenderedPageBreak/>
        <w:t xml:space="preserve">qui sont d’ordre public en droit interne.  La Cour de cassation a rejeté cette prétention, concluant qu’une action pour préjudice personnel qui ne respecte pas </w:t>
      </w:r>
      <w:r w:rsidR="00424BA6">
        <w:rPr>
          <w:rFonts w:cs="Times New Roman"/>
          <w:lang w:val="fr-CA"/>
        </w:rPr>
        <w:t>les conditions énoncées à l’article</w:t>
      </w:r>
      <w:r w:rsidR="006412AC">
        <w:rPr>
          <w:rFonts w:cs="Times New Roman"/>
          <w:lang w:val="fr-CA"/>
        </w:rPr>
        <w:t xml:space="preserve"> </w:t>
      </w:r>
      <w:r w:rsidRPr="001A1E08">
        <w:rPr>
          <w:rFonts w:cs="Times New Roman"/>
          <w:lang w:val="fr-CA"/>
        </w:rPr>
        <w:t xml:space="preserve">17 de la </w:t>
      </w:r>
      <w:r w:rsidRPr="001A1E08">
        <w:rPr>
          <w:rFonts w:cs="Times New Roman"/>
          <w:i/>
          <w:lang w:val="fr-CA"/>
        </w:rPr>
        <w:t>Convention de Varsovie</w:t>
      </w:r>
      <w:r w:rsidRPr="001A1E08">
        <w:rPr>
          <w:rFonts w:cs="Times New Roman"/>
          <w:lang w:val="fr-CA"/>
        </w:rPr>
        <w:t xml:space="preserve"> est irrec</w:t>
      </w:r>
      <w:r w:rsidR="00424BA6">
        <w:rPr>
          <w:rFonts w:cs="Times New Roman"/>
          <w:lang w:val="fr-CA"/>
        </w:rPr>
        <w:t>evable par application de l’article</w:t>
      </w:r>
      <w:r w:rsidR="006412AC">
        <w:rPr>
          <w:rFonts w:cs="Times New Roman"/>
          <w:lang w:val="fr-CA"/>
        </w:rPr>
        <w:t xml:space="preserve"> </w:t>
      </w:r>
      <w:r w:rsidRPr="001A1E08">
        <w:rPr>
          <w:rFonts w:cs="Times New Roman"/>
          <w:lang w:val="fr-CA"/>
        </w:rPr>
        <w:t>24 de celle</w:t>
      </w:r>
      <w:r w:rsidR="006412AC">
        <w:rPr>
          <w:rFonts w:cs="Times New Roman"/>
          <w:lang w:val="fr-CA"/>
        </w:rPr>
        <w:t>-</w:t>
      </w:r>
      <w:r w:rsidRPr="001A1E08">
        <w:rPr>
          <w:rFonts w:cs="Times New Roman"/>
          <w:lang w:val="fr-CA"/>
        </w:rPr>
        <w:t>ci.</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Cette interprétation du principe de l’exclusivité de la </w:t>
      </w:r>
      <w:r w:rsidRPr="001A1E08">
        <w:rPr>
          <w:rFonts w:cs="Times New Roman"/>
          <w:i/>
          <w:lang w:val="fr-CA"/>
        </w:rPr>
        <w:t>Convention de Varsovie</w:t>
      </w:r>
      <w:r w:rsidRPr="001A1E08">
        <w:rPr>
          <w:rFonts w:cs="Times New Roman"/>
          <w:lang w:val="fr-CA"/>
        </w:rPr>
        <w:t xml:space="preserve"> a également été confirmée par la Cour d’appel de Hong Kong dans </w:t>
      </w:r>
      <w:proofErr w:type="spellStart"/>
      <w:r w:rsidRPr="001A1E08">
        <w:rPr>
          <w:rFonts w:cs="Times New Roman"/>
          <w:i/>
          <w:iCs/>
          <w:lang w:val="fr-CA"/>
        </w:rPr>
        <w:t>Ong</w:t>
      </w:r>
      <w:proofErr w:type="spellEnd"/>
      <w:r w:rsidRPr="001A1E08">
        <w:rPr>
          <w:rFonts w:cs="Times New Roman"/>
          <w:i/>
          <w:iCs/>
          <w:lang w:val="fr-CA"/>
        </w:rPr>
        <w:t xml:space="preserve"> c. </w:t>
      </w:r>
      <w:proofErr w:type="spellStart"/>
      <w:r w:rsidRPr="001A1E08">
        <w:rPr>
          <w:rFonts w:cs="Times New Roman"/>
          <w:i/>
          <w:iCs/>
          <w:lang w:val="fr-CA"/>
        </w:rPr>
        <w:t>Malaysian</w:t>
      </w:r>
      <w:proofErr w:type="spellEnd"/>
      <w:r w:rsidRPr="001A1E08">
        <w:rPr>
          <w:rFonts w:cs="Times New Roman"/>
          <w:i/>
          <w:iCs/>
          <w:lang w:val="fr-CA"/>
        </w:rPr>
        <w:t xml:space="preserve"> </w:t>
      </w:r>
      <w:proofErr w:type="spellStart"/>
      <w:r w:rsidRPr="001A1E08">
        <w:rPr>
          <w:rFonts w:cs="Times New Roman"/>
          <w:i/>
          <w:iCs/>
          <w:lang w:val="fr-CA"/>
        </w:rPr>
        <w:t>Airline</w:t>
      </w:r>
      <w:proofErr w:type="spellEnd"/>
      <w:r w:rsidRPr="001A1E08">
        <w:rPr>
          <w:rFonts w:cs="Times New Roman"/>
          <w:i/>
          <w:iCs/>
          <w:lang w:val="fr-CA"/>
        </w:rPr>
        <w:t xml:space="preserve"> System </w:t>
      </w:r>
      <w:proofErr w:type="spellStart"/>
      <w:r w:rsidRPr="001A1E08">
        <w:rPr>
          <w:rFonts w:cs="Times New Roman"/>
          <w:i/>
          <w:iCs/>
          <w:lang w:val="fr-CA"/>
        </w:rPr>
        <w:t>Bhd</w:t>
      </w:r>
      <w:proofErr w:type="spellEnd"/>
      <w:r w:rsidRPr="001A1E08">
        <w:rPr>
          <w:rFonts w:cs="Times New Roman"/>
          <w:iCs/>
          <w:lang w:val="fr-CA"/>
        </w:rPr>
        <w:t>,</w:t>
      </w:r>
      <w:r w:rsidRPr="001A1E08">
        <w:rPr>
          <w:rFonts w:cs="Times New Roman"/>
          <w:lang w:val="fr-CA"/>
        </w:rPr>
        <w:t xml:space="preserve"> [2008] 3 H.K.L.R.D. 153, la Haute Cour d’Irlande dans </w:t>
      </w:r>
      <w:proofErr w:type="spellStart"/>
      <w:r w:rsidRPr="001A1E08">
        <w:rPr>
          <w:rFonts w:cs="Times New Roman"/>
          <w:i/>
          <w:iCs/>
          <w:lang w:val="fr-CA"/>
        </w:rPr>
        <w:t>Hennessey</w:t>
      </w:r>
      <w:proofErr w:type="spellEnd"/>
      <w:r w:rsidRPr="001A1E08">
        <w:rPr>
          <w:rFonts w:cs="Times New Roman"/>
          <w:i/>
          <w:iCs/>
          <w:lang w:val="fr-CA"/>
        </w:rPr>
        <w:t xml:space="preserve"> c. </w:t>
      </w:r>
      <w:proofErr w:type="spellStart"/>
      <w:r w:rsidRPr="001A1E08">
        <w:rPr>
          <w:rFonts w:cs="Times New Roman"/>
          <w:i/>
          <w:iCs/>
          <w:lang w:val="fr-CA"/>
        </w:rPr>
        <w:t>Aer</w:t>
      </w:r>
      <w:proofErr w:type="spellEnd"/>
      <w:r w:rsidRPr="001A1E08">
        <w:rPr>
          <w:rFonts w:cs="Times New Roman"/>
          <w:i/>
          <w:iCs/>
          <w:lang w:val="fr-CA"/>
        </w:rPr>
        <w:t xml:space="preserve"> </w:t>
      </w:r>
      <w:proofErr w:type="spellStart"/>
      <w:r w:rsidRPr="001A1E08">
        <w:rPr>
          <w:rFonts w:cs="Times New Roman"/>
          <w:i/>
          <w:iCs/>
          <w:lang w:val="fr-CA"/>
        </w:rPr>
        <w:t>Lingus</w:t>
      </w:r>
      <w:proofErr w:type="spellEnd"/>
      <w:r w:rsidRPr="001A1E08">
        <w:rPr>
          <w:rFonts w:cs="Times New Roman"/>
          <w:i/>
          <w:iCs/>
          <w:lang w:val="fr-CA"/>
        </w:rPr>
        <w:t xml:space="preserve"> Ltd.</w:t>
      </w:r>
      <w:r w:rsidRPr="001A1E08">
        <w:rPr>
          <w:rFonts w:cs="Times New Roman"/>
          <w:iCs/>
          <w:lang w:val="fr-CA"/>
        </w:rPr>
        <w:t>,</w:t>
      </w:r>
      <w:r w:rsidRPr="001A1E08">
        <w:rPr>
          <w:rFonts w:cs="Times New Roman"/>
          <w:lang w:val="fr-CA"/>
        </w:rPr>
        <w:t xml:space="preserve"> [2012] IEHC 124 (BAILII), la Cour d’appel de la Nouvelle</w:t>
      </w:r>
      <w:r w:rsidR="006412AC">
        <w:rPr>
          <w:rFonts w:cs="Times New Roman"/>
          <w:lang w:val="fr-CA"/>
        </w:rPr>
        <w:t>-</w:t>
      </w:r>
      <w:r w:rsidRPr="001A1E08">
        <w:rPr>
          <w:rFonts w:cs="Times New Roman"/>
          <w:lang w:val="fr-CA"/>
        </w:rPr>
        <w:t xml:space="preserve">Zélande dans </w:t>
      </w:r>
      <w:r w:rsidRPr="001A1E08">
        <w:rPr>
          <w:rFonts w:cs="Times New Roman"/>
          <w:i/>
          <w:lang w:val="fr-CA"/>
        </w:rPr>
        <w:t xml:space="preserve">Emery Air </w:t>
      </w:r>
      <w:proofErr w:type="spellStart"/>
      <w:r w:rsidRPr="001A1E08">
        <w:rPr>
          <w:rFonts w:cs="Times New Roman"/>
          <w:i/>
          <w:lang w:val="fr-CA"/>
        </w:rPr>
        <w:t>Freight</w:t>
      </w:r>
      <w:proofErr w:type="spellEnd"/>
      <w:r w:rsidRPr="001A1E08">
        <w:rPr>
          <w:rFonts w:cs="Times New Roman"/>
          <w:i/>
          <w:lang w:val="fr-CA"/>
        </w:rPr>
        <w:t xml:space="preserve"> Corp.</w:t>
      </w:r>
      <w:r w:rsidR="006412AC">
        <w:rPr>
          <w:rFonts w:cs="Times New Roman"/>
          <w:i/>
          <w:lang w:val="fr-CA"/>
        </w:rPr>
        <w:t xml:space="preserve"> </w:t>
      </w:r>
      <w:r w:rsidRPr="001A1E08">
        <w:rPr>
          <w:rFonts w:cs="Times New Roman"/>
          <w:i/>
          <w:lang w:val="fr-CA"/>
        </w:rPr>
        <w:t xml:space="preserve">c. </w:t>
      </w:r>
      <w:proofErr w:type="spellStart"/>
      <w:r w:rsidRPr="001A1E08">
        <w:rPr>
          <w:rFonts w:cs="Times New Roman"/>
          <w:i/>
          <w:lang w:val="fr-CA"/>
        </w:rPr>
        <w:t>Nerine</w:t>
      </w:r>
      <w:proofErr w:type="spellEnd"/>
      <w:r w:rsidRPr="001A1E08">
        <w:rPr>
          <w:rFonts w:cs="Times New Roman"/>
          <w:i/>
          <w:lang w:val="fr-CA"/>
        </w:rPr>
        <w:t xml:space="preserve"> Nurseries Ltd.</w:t>
      </w:r>
      <w:r w:rsidRPr="001A1E08">
        <w:rPr>
          <w:rFonts w:cs="Times New Roman"/>
          <w:lang w:val="fr-CA"/>
        </w:rPr>
        <w:t xml:space="preserve">, [1997] 3 N.Z.L.R. 723, la Cour d’appel de Singapour dans </w:t>
      </w:r>
      <w:r w:rsidRPr="001A1E08">
        <w:rPr>
          <w:rFonts w:cs="Times New Roman"/>
          <w:i/>
          <w:lang w:val="fr-CA"/>
        </w:rPr>
        <w:t xml:space="preserve">Seagate </w:t>
      </w:r>
      <w:proofErr w:type="spellStart"/>
      <w:r w:rsidRPr="001A1E08">
        <w:rPr>
          <w:rFonts w:cs="Times New Roman"/>
          <w:i/>
          <w:lang w:val="fr-CA"/>
        </w:rPr>
        <w:t>Technology</w:t>
      </w:r>
      <w:proofErr w:type="spellEnd"/>
      <w:r w:rsidRPr="001A1E08">
        <w:rPr>
          <w:rFonts w:cs="Times New Roman"/>
          <w:i/>
          <w:lang w:val="fr-CA"/>
        </w:rPr>
        <w:t xml:space="preserve"> International c. </w:t>
      </w:r>
      <w:proofErr w:type="spellStart"/>
      <w:r w:rsidRPr="001A1E08">
        <w:rPr>
          <w:rFonts w:cs="Times New Roman"/>
          <w:i/>
          <w:lang w:val="fr-CA"/>
        </w:rPr>
        <w:t>Changi</w:t>
      </w:r>
      <w:proofErr w:type="spellEnd"/>
      <w:r w:rsidRPr="001A1E08">
        <w:rPr>
          <w:rFonts w:cs="Times New Roman"/>
          <w:i/>
          <w:lang w:val="fr-CA"/>
        </w:rPr>
        <w:t xml:space="preserve"> International </w:t>
      </w:r>
      <w:proofErr w:type="spellStart"/>
      <w:r w:rsidRPr="001A1E08">
        <w:rPr>
          <w:rFonts w:cs="Times New Roman"/>
          <w:i/>
          <w:lang w:val="fr-CA"/>
        </w:rPr>
        <w:t>Airport</w:t>
      </w:r>
      <w:proofErr w:type="spellEnd"/>
      <w:r w:rsidRPr="001A1E08">
        <w:rPr>
          <w:rFonts w:cs="Times New Roman"/>
          <w:i/>
          <w:lang w:val="fr-CA"/>
        </w:rPr>
        <w:t xml:space="preserve"> Services </w:t>
      </w:r>
      <w:proofErr w:type="spellStart"/>
      <w:r w:rsidRPr="001A1E08">
        <w:rPr>
          <w:rFonts w:cs="Times New Roman"/>
          <w:i/>
          <w:lang w:val="fr-CA"/>
        </w:rPr>
        <w:t>Pte</w:t>
      </w:r>
      <w:proofErr w:type="spellEnd"/>
      <w:r w:rsidRPr="001A1E08">
        <w:rPr>
          <w:rFonts w:cs="Times New Roman"/>
          <w:i/>
          <w:lang w:val="fr-CA"/>
        </w:rPr>
        <w:t>. Ltd.</w:t>
      </w:r>
      <w:r w:rsidRPr="001A1E08">
        <w:rPr>
          <w:rFonts w:cs="Times New Roman"/>
          <w:lang w:val="fr-CA"/>
        </w:rPr>
        <w:t xml:space="preserve">, </w:t>
      </w:r>
      <w:r w:rsidR="007B081E">
        <w:rPr>
          <w:rFonts w:cs="Times New Roman"/>
          <w:lang w:val="fr-CA"/>
        </w:rPr>
        <w:t>[1997] SGCA 22, [1997] 2 S.L.R</w:t>
      </w:r>
      <w:proofErr w:type="gramStart"/>
      <w:r w:rsidR="007B081E">
        <w:rPr>
          <w:rFonts w:cs="Times New Roman"/>
          <w:lang w:val="fr-CA"/>
        </w:rPr>
        <w:t>.</w:t>
      </w:r>
      <w:r w:rsidRPr="001A1E08">
        <w:rPr>
          <w:rFonts w:cs="Times New Roman"/>
          <w:lang w:val="fr-CA"/>
        </w:rPr>
        <w:t>(</w:t>
      </w:r>
      <w:proofErr w:type="gramEnd"/>
      <w:r w:rsidRPr="001A1E08">
        <w:rPr>
          <w:rFonts w:cs="Times New Roman"/>
          <w:lang w:val="fr-CA"/>
        </w:rPr>
        <w:t xml:space="preserve">R.) 57, et la Haute Cour d’Afrique du Sud dans </w:t>
      </w:r>
      <w:proofErr w:type="spellStart"/>
      <w:r w:rsidRPr="001A1E08">
        <w:rPr>
          <w:rFonts w:cs="Times New Roman"/>
          <w:i/>
          <w:lang w:val="fr-CA"/>
        </w:rPr>
        <w:t>Potgieter</w:t>
      </w:r>
      <w:proofErr w:type="spellEnd"/>
      <w:r w:rsidRPr="001A1E08">
        <w:rPr>
          <w:rFonts w:cs="Times New Roman"/>
          <w:i/>
          <w:lang w:val="fr-CA"/>
        </w:rPr>
        <w:t xml:space="preserve"> c. British Airways Plc</w:t>
      </w:r>
      <w:r w:rsidRPr="001A1E08">
        <w:rPr>
          <w:rFonts w:cs="Times New Roman"/>
          <w:lang w:val="fr-CA"/>
        </w:rPr>
        <w:t>, [2005] ZAWCHC 5 (SAFLII).  Au Canada, les tribunaux ont adopté le même point de vue</w:t>
      </w:r>
      <w:r w:rsidR="006412AC">
        <w:rPr>
          <w:rFonts w:cs="Times New Roman"/>
          <w:lang w:val="fr-CA"/>
        </w:rPr>
        <w:t> :</w:t>
      </w:r>
      <w:r w:rsidRPr="001A1E08">
        <w:rPr>
          <w:rFonts w:cs="Times New Roman"/>
          <w:lang w:val="fr-CA"/>
        </w:rPr>
        <w:t xml:space="preserve"> voir </w:t>
      </w:r>
      <w:r w:rsidRPr="001A1E08">
        <w:rPr>
          <w:rFonts w:cs="Times New Roman"/>
          <w:i/>
          <w:lang w:val="fr-CA"/>
        </w:rPr>
        <w:t xml:space="preserve">Gal c. </w:t>
      </w:r>
      <w:proofErr w:type="spellStart"/>
      <w:r w:rsidRPr="001A1E08">
        <w:rPr>
          <w:rFonts w:cs="Times New Roman"/>
          <w:i/>
          <w:lang w:val="fr-CA"/>
        </w:rPr>
        <w:t>Northern</w:t>
      </w:r>
      <w:proofErr w:type="spellEnd"/>
      <w:r w:rsidRPr="001A1E08">
        <w:rPr>
          <w:rFonts w:cs="Times New Roman"/>
          <w:i/>
          <w:lang w:val="fr-CA"/>
        </w:rPr>
        <w:t xml:space="preserve"> </w:t>
      </w:r>
      <w:proofErr w:type="spellStart"/>
      <w:r w:rsidRPr="001A1E08">
        <w:rPr>
          <w:rFonts w:cs="Times New Roman"/>
          <w:i/>
          <w:lang w:val="fr-CA"/>
        </w:rPr>
        <w:t>Mountain</w:t>
      </w:r>
      <w:proofErr w:type="spellEnd"/>
      <w:r w:rsidRPr="001A1E08">
        <w:rPr>
          <w:rFonts w:cs="Times New Roman"/>
          <w:i/>
          <w:lang w:val="fr-CA"/>
        </w:rPr>
        <w:t xml:space="preserve"> </w:t>
      </w:r>
      <w:proofErr w:type="spellStart"/>
      <w:r w:rsidRPr="001A1E08">
        <w:rPr>
          <w:rFonts w:cs="Times New Roman"/>
          <w:i/>
          <w:lang w:val="fr-CA"/>
        </w:rPr>
        <w:t>Helicopters</w:t>
      </w:r>
      <w:proofErr w:type="spellEnd"/>
      <w:r w:rsidRPr="001A1E08">
        <w:rPr>
          <w:rFonts w:cs="Times New Roman"/>
          <w:i/>
          <w:lang w:val="fr-CA"/>
        </w:rPr>
        <w:t xml:space="preserve"> Inc.</w:t>
      </w:r>
      <w:r w:rsidRPr="001A1E08">
        <w:rPr>
          <w:rFonts w:cs="Times New Roman"/>
          <w:lang w:val="fr-CA"/>
        </w:rPr>
        <w:t>, 1999 BCCA 486, 128</w:t>
      </w:r>
      <w:r w:rsidR="006412AC">
        <w:rPr>
          <w:rFonts w:cs="Times New Roman"/>
          <w:lang w:val="fr-CA"/>
        </w:rPr>
        <w:t xml:space="preserve"> </w:t>
      </w:r>
      <w:r w:rsidRPr="001A1E08">
        <w:rPr>
          <w:rFonts w:cs="Times New Roman"/>
          <w:lang w:val="fr-CA"/>
        </w:rPr>
        <w:t xml:space="preserve">B.C.A.C. 290, et </w:t>
      </w:r>
      <w:proofErr w:type="spellStart"/>
      <w:r w:rsidRPr="001A1E08">
        <w:rPr>
          <w:rFonts w:cs="Times New Roman"/>
          <w:i/>
          <w:lang w:val="fr-CA"/>
        </w:rPr>
        <w:t>Sakka</w:t>
      </w:r>
      <w:proofErr w:type="spellEnd"/>
      <w:r w:rsidRPr="001A1E08">
        <w:rPr>
          <w:rFonts w:cs="Times New Roman"/>
          <w:lang w:val="fr-CA"/>
        </w:rPr>
        <w:t>, par.</w:t>
      </w:r>
      <w:r w:rsidR="006412AC">
        <w:rPr>
          <w:rFonts w:cs="Times New Roman"/>
          <w:lang w:val="fr-CA"/>
        </w:rPr>
        <w:t xml:space="preserve"> </w:t>
      </w:r>
      <w:r w:rsidRPr="001A1E08">
        <w:rPr>
          <w:rFonts w:cs="Times New Roman"/>
          <w:lang w:val="fr-CA"/>
        </w:rPr>
        <w:t xml:space="preserve">30.  Une interprétation semblable du principe de l’exclusivité de la </w:t>
      </w:r>
      <w:r w:rsidRPr="001A1E08">
        <w:rPr>
          <w:rFonts w:cs="Times New Roman"/>
          <w:i/>
          <w:lang w:val="fr-CA"/>
        </w:rPr>
        <w:t>Convention de Montréal</w:t>
      </w:r>
      <w:r w:rsidRPr="001A1E08">
        <w:rPr>
          <w:rFonts w:cs="Times New Roman"/>
          <w:lang w:val="fr-CA"/>
        </w:rPr>
        <w:t xml:space="preserve"> a été confirmée par la Cour suprême de l’Allemagne dans </w:t>
      </w:r>
      <w:proofErr w:type="spellStart"/>
      <w:r w:rsidRPr="001A1E08">
        <w:rPr>
          <w:rFonts w:cs="Times New Roman"/>
          <w:lang w:val="fr-CA"/>
        </w:rPr>
        <w:t>Az</w:t>
      </w:r>
      <w:proofErr w:type="spellEnd"/>
      <w:r w:rsidRPr="001A1E08">
        <w:rPr>
          <w:rFonts w:cs="Times New Roman"/>
          <w:lang w:val="fr-CA"/>
        </w:rPr>
        <w:t>. X ZR 99/10, 15</w:t>
      </w:r>
      <w:r w:rsidR="006412AC">
        <w:rPr>
          <w:rFonts w:cs="Times New Roman"/>
          <w:lang w:val="fr-CA"/>
        </w:rPr>
        <w:t xml:space="preserve"> </w:t>
      </w:r>
      <w:r w:rsidRPr="001A1E08">
        <w:rPr>
          <w:rFonts w:cs="Times New Roman"/>
          <w:lang w:val="fr-CA"/>
        </w:rPr>
        <w:t>mars 2011 (en ligne), la Cour suprême du Royaume</w:t>
      </w:r>
      <w:r w:rsidR="006412AC">
        <w:rPr>
          <w:rFonts w:cs="Times New Roman"/>
          <w:lang w:val="fr-CA"/>
        </w:rPr>
        <w:t>-</w:t>
      </w:r>
      <w:r w:rsidRPr="001A1E08">
        <w:rPr>
          <w:rFonts w:cs="Times New Roman"/>
          <w:lang w:val="fr-CA"/>
        </w:rPr>
        <w:t xml:space="preserve">Uni dans </w:t>
      </w:r>
      <w:proofErr w:type="spellStart"/>
      <w:r w:rsidRPr="001A1E08">
        <w:rPr>
          <w:rFonts w:cs="Times New Roman"/>
          <w:i/>
          <w:lang w:val="fr-CA"/>
        </w:rPr>
        <w:t>Stott</w:t>
      </w:r>
      <w:proofErr w:type="spellEnd"/>
      <w:r w:rsidRPr="001A1E08">
        <w:rPr>
          <w:rFonts w:cs="Times New Roman"/>
          <w:lang w:val="fr-CA"/>
        </w:rPr>
        <w:t>, par.</w:t>
      </w:r>
      <w:r w:rsidR="006412AC">
        <w:rPr>
          <w:rFonts w:cs="Times New Roman"/>
          <w:lang w:val="fr-CA"/>
        </w:rPr>
        <w:t xml:space="preserve"> </w:t>
      </w:r>
      <w:r w:rsidRPr="001A1E08">
        <w:rPr>
          <w:rFonts w:cs="Times New Roman"/>
          <w:lang w:val="fr-CA"/>
        </w:rPr>
        <w:t xml:space="preserve">31, et la Haute Cour d’Irlande dans </w:t>
      </w:r>
      <w:proofErr w:type="spellStart"/>
      <w:r w:rsidRPr="001A1E08">
        <w:rPr>
          <w:rFonts w:cs="Times New Roman"/>
          <w:i/>
          <w:lang w:val="fr-CA"/>
        </w:rPr>
        <w:t>McAuley</w:t>
      </w:r>
      <w:proofErr w:type="spellEnd"/>
      <w:r w:rsidRPr="001A1E08">
        <w:rPr>
          <w:rFonts w:cs="Times New Roman"/>
          <w:i/>
          <w:lang w:val="fr-CA"/>
        </w:rPr>
        <w:t xml:space="preserve"> c. </w:t>
      </w:r>
      <w:proofErr w:type="spellStart"/>
      <w:r w:rsidRPr="001A1E08">
        <w:rPr>
          <w:rFonts w:cs="Times New Roman"/>
          <w:i/>
          <w:lang w:val="fr-CA"/>
        </w:rPr>
        <w:t>Aer</w:t>
      </w:r>
      <w:proofErr w:type="spellEnd"/>
      <w:r w:rsidRPr="001A1E08">
        <w:rPr>
          <w:rFonts w:cs="Times New Roman"/>
          <w:i/>
          <w:lang w:val="fr-CA"/>
        </w:rPr>
        <w:t xml:space="preserve"> </w:t>
      </w:r>
      <w:proofErr w:type="spellStart"/>
      <w:r w:rsidRPr="001A1E08">
        <w:rPr>
          <w:rFonts w:cs="Times New Roman"/>
          <w:i/>
          <w:lang w:val="fr-CA"/>
        </w:rPr>
        <w:t>Lingus</w:t>
      </w:r>
      <w:proofErr w:type="spellEnd"/>
      <w:r w:rsidRPr="001A1E08">
        <w:rPr>
          <w:rFonts w:cs="Times New Roman"/>
          <w:i/>
          <w:lang w:val="fr-CA"/>
        </w:rPr>
        <w:t xml:space="preserve"> Ltd.</w:t>
      </w:r>
      <w:r w:rsidRPr="001A1E08">
        <w:rPr>
          <w:rFonts w:cs="Times New Roman"/>
          <w:lang w:val="fr-CA"/>
        </w:rPr>
        <w:t>, [2011] IEHC 89 (en ligne), par.</w:t>
      </w:r>
      <w:r w:rsidR="006412AC">
        <w:rPr>
          <w:rFonts w:cs="Times New Roman"/>
          <w:lang w:val="fr-CA"/>
        </w:rPr>
        <w:t xml:space="preserve"> </w:t>
      </w:r>
      <w:r w:rsidRPr="001A1E08">
        <w:rPr>
          <w:rFonts w:cs="Times New Roman"/>
          <w:lang w:val="fr-CA"/>
        </w:rPr>
        <w:t>6.3</w:t>
      </w:r>
      <w:r w:rsidR="006412AC">
        <w:rPr>
          <w:rFonts w:cs="Times New Roman"/>
          <w:lang w:val="fr-CA"/>
        </w:rPr>
        <w:t>-</w:t>
      </w:r>
      <w:r w:rsidRPr="001A1E08">
        <w:rPr>
          <w:rFonts w:cs="Times New Roman"/>
          <w:lang w:val="fr-CA"/>
        </w:rPr>
        <w:t xml:space="preserve">6.6; au Canada, voir </w:t>
      </w:r>
      <w:proofErr w:type="spellStart"/>
      <w:r w:rsidRPr="001A1E08">
        <w:rPr>
          <w:rFonts w:cs="Times New Roman"/>
          <w:i/>
          <w:lang w:val="fr-CA"/>
        </w:rPr>
        <w:t>O’Mara</w:t>
      </w:r>
      <w:proofErr w:type="spellEnd"/>
      <w:r w:rsidRPr="001A1E08">
        <w:rPr>
          <w:rFonts w:cs="Times New Roman"/>
          <w:i/>
          <w:lang w:val="fr-CA"/>
        </w:rPr>
        <w:t xml:space="preserve"> c. Air Canada</w:t>
      </w:r>
      <w:r w:rsidRPr="001A1E08">
        <w:rPr>
          <w:rFonts w:cs="Times New Roman"/>
          <w:lang w:val="fr-CA"/>
        </w:rPr>
        <w:t xml:space="preserve">, 2013 ONSC 2931, 115 O.R. (3d) 673, et </w:t>
      </w:r>
      <w:r w:rsidRPr="001A1E08">
        <w:rPr>
          <w:rFonts w:cs="Times New Roman"/>
          <w:i/>
          <w:lang w:val="fr-CA"/>
        </w:rPr>
        <w:t xml:space="preserve">Walton c. </w:t>
      </w:r>
      <w:proofErr w:type="spellStart"/>
      <w:r w:rsidRPr="001A1E08">
        <w:rPr>
          <w:rFonts w:cs="Times New Roman"/>
          <w:i/>
          <w:lang w:val="fr-CA"/>
        </w:rPr>
        <w:t>MyTravel</w:t>
      </w:r>
      <w:proofErr w:type="spellEnd"/>
      <w:r w:rsidRPr="001A1E08">
        <w:rPr>
          <w:rFonts w:cs="Times New Roman"/>
          <w:i/>
          <w:lang w:val="fr-CA"/>
        </w:rPr>
        <w:t xml:space="preserve"> Canada Holdings Inc.</w:t>
      </w:r>
      <w:r w:rsidRPr="001A1E08">
        <w:rPr>
          <w:rFonts w:cs="Times New Roman"/>
          <w:lang w:val="fr-CA"/>
        </w:rPr>
        <w:t xml:space="preserve">, 2006 SKQB 231, 280 </w:t>
      </w:r>
      <w:proofErr w:type="spellStart"/>
      <w:r w:rsidRPr="001A1E08">
        <w:rPr>
          <w:rFonts w:cs="Times New Roman"/>
          <w:lang w:val="fr-CA"/>
        </w:rPr>
        <w:t>Sask</w:t>
      </w:r>
      <w:proofErr w:type="spellEnd"/>
      <w:r w:rsidRPr="001A1E08">
        <w:rPr>
          <w:rFonts w:cs="Times New Roman"/>
          <w:lang w:val="fr-CA"/>
        </w:rPr>
        <w:t>. R.</w:t>
      </w:r>
      <w:r w:rsidR="006412AC">
        <w:rPr>
          <w:rFonts w:cs="Times New Roman"/>
          <w:lang w:val="fr-CA"/>
        </w:rPr>
        <w:t xml:space="preserve"> </w:t>
      </w:r>
      <w:r w:rsidRPr="001A1E08">
        <w:rPr>
          <w:rFonts w:cs="Times New Roman"/>
          <w:lang w:val="fr-CA"/>
        </w:rPr>
        <w:t>1.</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Pour résumer, le texte et l’objet de la </w:t>
      </w:r>
      <w:r w:rsidRPr="001A1E08">
        <w:rPr>
          <w:rFonts w:cs="Times New Roman"/>
          <w:i/>
          <w:lang w:val="fr-CA"/>
        </w:rPr>
        <w:t>Convention de Montréal</w:t>
      </w:r>
      <w:r w:rsidRPr="001A1E08">
        <w:rPr>
          <w:rFonts w:cs="Times New Roman"/>
          <w:lang w:val="fr-CA"/>
        </w:rPr>
        <w:t xml:space="preserve">, de même </w:t>
      </w:r>
      <w:r w:rsidRPr="001A1E08">
        <w:rPr>
          <w:rFonts w:cs="Times New Roman"/>
          <w:lang w:val="fr-CA"/>
        </w:rPr>
        <w:lastRenderedPageBreak/>
        <w:t>qu’un fort courant jurisprudentiel international, montrent que les actions en dommages</w:t>
      </w:r>
      <w:r w:rsidR="006412AC">
        <w:rPr>
          <w:rFonts w:cs="Times New Roman"/>
          <w:lang w:val="fr-CA"/>
        </w:rPr>
        <w:t>-</w:t>
      </w:r>
      <w:r w:rsidRPr="001A1E08">
        <w:rPr>
          <w:rFonts w:cs="Times New Roman"/>
          <w:lang w:val="fr-CA"/>
        </w:rPr>
        <w:t>intérêts liées à des matières qui relèvent de cette convention ne peuvent être exercées que si elles sont expressément autorisées par les dispositions de celle-ci.  Comme l’a dit tout récemment la Cour suprême du Royaume</w:t>
      </w:r>
      <w:r w:rsidR="006412AC">
        <w:rPr>
          <w:rFonts w:cs="Times New Roman"/>
          <w:lang w:val="fr-CA"/>
        </w:rPr>
        <w:t>-</w:t>
      </w:r>
      <w:r w:rsidRPr="001A1E08">
        <w:rPr>
          <w:rFonts w:cs="Times New Roman"/>
          <w:lang w:val="fr-CA"/>
        </w:rPr>
        <w:t>Uni, [</w:t>
      </w:r>
      <w:r w:rsidRPr="001A1E08">
        <w:rPr>
          <w:rFonts w:cs="Times New Roman"/>
          <w:smallCaps/>
          <w:lang w:val="fr-CA"/>
        </w:rPr>
        <w:t>traduction</w:t>
      </w:r>
      <w:r w:rsidRPr="001A1E08">
        <w:rPr>
          <w:rFonts w:cs="Times New Roman"/>
          <w:lang w:val="fr-CA"/>
        </w:rPr>
        <w:t xml:space="preserve">] </w:t>
      </w:r>
      <w:r w:rsidR="006412AC">
        <w:rPr>
          <w:rFonts w:cs="Times New Roman"/>
          <w:lang w:val="fr-CA"/>
        </w:rPr>
        <w:t>« </w:t>
      </w:r>
      <w:r w:rsidR="00F4194D">
        <w:rPr>
          <w:rFonts w:cs="Times New Roman"/>
          <w:lang w:val="fr-CA"/>
        </w:rPr>
        <w:t>[</w:t>
      </w:r>
      <w:r w:rsidRPr="001A1E08">
        <w:rPr>
          <w:rFonts w:cs="Times New Roman"/>
          <w:lang w:val="fr-CA"/>
        </w:rPr>
        <w:t>l</w:t>
      </w:r>
      <w:r w:rsidR="00F4194D">
        <w:rPr>
          <w:rFonts w:cs="Times New Roman"/>
          <w:lang w:val="fr-CA"/>
        </w:rPr>
        <w:t>]</w:t>
      </w:r>
      <w:r w:rsidRPr="001A1E08">
        <w:rPr>
          <w:rFonts w:cs="Times New Roman"/>
          <w:lang w:val="fr-CA"/>
        </w:rPr>
        <w:t>a Convention est censée traiter exhaustivement de la responsabilité du transporteur à l’égard de tout ce qui peut arriver physiquement au passager entre le moment de l’embarquement et celui du débarquement</w:t>
      </w:r>
      <w:r w:rsidR="006412AC">
        <w:rPr>
          <w:rFonts w:cs="Times New Roman"/>
          <w:lang w:val="fr-CA"/>
        </w:rPr>
        <w:t> » :</w:t>
      </w:r>
      <w:r w:rsidRPr="001A1E08">
        <w:rPr>
          <w:rFonts w:cs="Times New Roman"/>
          <w:lang w:val="fr-CA"/>
        </w:rPr>
        <w:t xml:space="preserve"> </w:t>
      </w:r>
      <w:proofErr w:type="spellStart"/>
      <w:r w:rsidRPr="001A1E08">
        <w:rPr>
          <w:rFonts w:cs="Times New Roman"/>
          <w:i/>
          <w:lang w:val="fr-CA"/>
        </w:rPr>
        <w:t>Stott</w:t>
      </w:r>
      <w:proofErr w:type="spellEnd"/>
      <w:r w:rsidRPr="001A1E08">
        <w:rPr>
          <w:rFonts w:cs="Times New Roman"/>
          <w:lang w:val="fr-CA"/>
        </w:rPr>
        <w:t>,</w:t>
      </w:r>
      <w:r w:rsidRPr="001A1E08">
        <w:rPr>
          <w:rFonts w:cs="Times New Roman"/>
          <w:i/>
          <w:lang w:val="fr-CA"/>
        </w:rPr>
        <w:t xml:space="preserve"> </w:t>
      </w:r>
      <w:r w:rsidRPr="001A1E08">
        <w:rPr>
          <w:rFonts w:cs="Times New Roman"/>
          <w:lang w:val="fr-CA"/>
        </w:rPr>
        <w:t>par.</w:t>
      </w:r>
      <w:r w:rsidR="006412AC">
        <w:rPr>
          <w:rFonts w:cs="Times New Roman"/>
          <w:lang w:val="fr-CA"/>
        </w:rPr>
        <w:t xml:space="preserve"> </w:t>
      </w:r>
      <w:r w:rsidRPr="001A1E08">
        <w:rPr>
          <w:rFonts w:cs="Times New Roman"/>
          <w:lang w:val="fr-CA"/>
        </w:rPr>
        <w:t>61.</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Je passe maintenant aux arguments précis avancés pour le compte des appelants. </w:t>
      </w:r>
    </w:p>
    <w:p w:rsidR="00367456" w:rsidRPr="001A1E08" w:rsidRDefault="00367456" w:rsidP="00A12DCE">
      <w:pPr>
        <w:pStyle w:val="Title3LevelTitre3Niveau"/>
        <w:widowControl w:val="0"/>
        <w:ind w:left="862" w:hanging="431"/>
        <w:rPr>
          <w:rFonts w:cs="Times New Roman"/>
          <w:lang w:val="fr-CA"/>
        </w:rPr>
      </w:pPr>
      <w:r w:rsidRPr="001A1E08">
        <w:rPr>
          <w:rFonts w:cs="Times New Roman"/>
          <w:lang w:val="fr-CA"/>
        </w:rPr>
        <w:t>Analyse des arguments des appelants</w:t>
      </w:r>
    </w:p>
    <w:p w:rsidR="00367456" w:rsidRPr="001A1E08" w:rsidRDefault="00367456" w:rsidP="00F4194D">
      <w:pPr>
        <w:pStyle w:val="Title4LevelTitre4Niveau"/>
        <w:widowControl w:val="0"/>
        <w:ind w:left="892" w:hanging="446"/>
        <w:rPr>
          <w:rFonts w:cs="Times New Roman"/>
          <w:lang w:val="fr-CA"/>
        </w:rPr>
      </w:pPr>
      <w:r w:rsidRPr="001A1E08">
        <w:rPr>
          <w:rFonts w:cs="Times New Roman"/>
          <w:lang w:val="fr-CA"/>
        </w:rPr>
        <w:t>La Convention de Montréal ne limite pas les demandes d’indemnisation présentées au titre d’un recours de droit public par suite de la violation d’une loi ou d’un droit fondamental protégé par une loi quasi constitutionnelle telle que la Loi sur les langues officielles</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Les appelants soutiennent que la </w:t>
      </w:r>
      <w:r w:rsidRPr="001A1E08">
        <w:rPr>
          <w:rFonts w:cs="Times New Roman"/>
          <w:i/>
          <w:lang w:val="fr-CA"/>
        </w:rPr>
        <w:t>Convention de Montréal</w:t>
      </w:r>
      <w:r w:rsidRPr="001A1E08">
        <w:rPr>
          <w:rFonts w:cs="Times New Roman"/>
          <w:lang w:val="fr-CA"/>
        </w:rPr>
        <w:t xml:space="preserve"> ne limite pas les actions en dommages</w:t>
      </w:r>
      <w:r w:rsidR="006412AC">
        <w:rPr>
          <w:rFonts w:cs="Times New Roman"/>
          <w:lang w:val="fr-CA"/>
        </w:rPr>
        <w:t>-</w:t>
      </w:r>
      <w:r w:rsidRPr="001A1E08">
        <w:rPr>
          <w:rFonts w:cs="Times New Roman"/>
          <w:lang w:val="fr-CA"/>
        </w:rPr>
        <w:t>intérêts exercées au titre d’un recours de droit public pour violation d’une loi quasi constitutionnelle.  Pour situer cet argument dans son contexte législatif, les appelants affirment que les demandes de dommages</w:t>
      </w:r>
      <w:r w:rsidR="006412AC">
        <w:rPr>
          <w:rFonts w:cs="Times New Roman"/>
          <w:lang w:val="fr-CA"/>
        </w:rPr>
        <w:t>-</w:t>
      </w:r>
      <w:r w:rsidRPr="001A1E08">
        <w:rPr>
          <w:rFonts w:cs="Times New Roman"/>
          <w:lang w:val="fr-CA"/>
        </w:rPr>
        <w:t xml:space="preserve">intérêts qu’ils ont présentées en vertu de la </w:t>
      </w:r>
      <w:r w:rsidRPr="001A1E08">
        <w:rPr>
          <w:rFonts w:cs="Times New Roman"/>
          <w:i/>
          <w:lang w:val="fr-CA"/>
        </w:rPr>
        <w:t>LLO</w:t>
      </w:r>
      <w:r w:rsidRPr="001A1E08">
        <w:rPr>
          <w:rFonts w:cs="Times New Roman"/>
          <w:lang w:val="fr-CA"/>
        </w:rPr>
        <w:t xml:space="preserve"> ne relèvent pas du champ d’application substantiel de la </w:t>
      </w:r>
      <w:r w:rsidRPr="001A1E08">
        <w:rPr>
          <w:rFonts w:cs="Times New Roman"/>
          <w:i/>
          <w:lang w:val="fr-CA"/>
        </w:rPr>
        <w:t>Convention de Montréal</w:t>
      </w:r>
      <w:r w:rsidRPr="001A1E08">
        <w:rPr>
          <w:rFonts w:cs="Times New Roman"/>
          <w:lang w:val="fr-CA"/>
        </w:rPr>
        <w:t>, c’est</w:t>
      </w:r>
      <w:r w:rsidR="006412AC">
        <w:rPr>
          <w:rFonts w:cs="Times New Roman"/>
          <w:lang w:val="fr-CA"/>
        </w:rPr>
        <w:t>-</w:t>
      </w:r>
      <w:r w:rsidRPr="001A1E08">
        <w:rPr>
          <w:rFonts w:cs="Times New Roman"/>
          <w:lang w:val="fr-CA"/>
        </w:rPr>
        <w:t>à</w:t>
      </w:r>
      <w:r w:rsidR="006412AC">
        <w:rPr>
          <w:rFonts w:cs="Times New Roman"/>
          <w:lang w:val="fr-CA"/>
        </w:rPr>
        <w:t>-</w:t>
      </w:r>
      <w:r w:rsidRPr="001A1E08">
        <w:rPr>
          <w:rFonts w:cs="Times New Roman"/>
          <w:lang w:val="fr-CA"/>
        </w:rPr>
        <w:t xml:space="preserve">dire des chefs de responsabilité du transporteur que la convention a pour objet de réglementer.  Puisque les revendications de droits linguistiques échappent à ce champ d’application substantiel, </w:t>
      </w:r>
      <w:r w:rsidRPr="001A1E08">
        <w:rPr>
          <w:rFonts w:cs="Times New Roman"/>
          <w:lang w:val="fr-CA"/>
        </w:rPr>
        <w:lastRenderedPageBreak/>
        <w:t>leurs demandes de dommages</w:t>
      </w:r>
      <w:r w:rsidR="006412AC">
        <w:rPr>
          <w:rFonts w:cs="Times New Roman"/>
          <w:lang w:val="fr-CA"/>
        </w:rPr>
        <w:t>-</w:t>
      </w:r>
      <w:r w:rsidRPr="001A1E08">
        <w:rPr>
          <w:rFonts w:cs="Times New Roman"/>
          <w:lang w:val="fr-CA"/>
        </w:rPr>
        <w:t xml:space="preserve">intérêts n’entrent pas dans la catégorie </w:t>
      </w:r>
      <w:r w:rsidR="00F4194D" w:rsidRPr="001A1E08">
        <w:rPr>
          <w:rFonts w:cs="Times New Roman"/>
          <w:lang w:val="fr-CA"/>
        </w:rPr>
        <w:t>d’</w:t>
      </w:r>
      <w:r w:rsidR="006412AC">
        <w:rPr>
          <w:rFonts w:cs="Times New Roman"/>
          <w:lang w:val="fr-CA"/>
        </w:rPr>
        <w:t>« </w:t>
      </w:r>
      <w:r w:rsidRPr="001A1E08">
        <w:rPr>
          <w:rFonts w:cs="Times New Roman"/>
          <w:lang w:val="fr-CA"/>
        </w:rPr>
        <w:t>action en dommages</w:t>
      </w:r>
      <w:r w:rsidR="006412AC">
        <w:rPr>
          <w:rFonts w:cs="Times New Roman"/>
          <w:lang w:val="fr-CA"/>
        </w:rPr>
        <w:t>-</w:t>
      </w:r>
      <w:r w:rsidRPr="001A1E08">
        <w:rPr>
          <w:rFonts w:cs="Times New Roman"/>
          <w:lang w:val="fr-CA"/>
        </w:rPr>
        <w:t>intérêts</w:t>
      </w:r>
      <w:r w:rsidR="006412AC">
        <w:rPr>
          <w:rFonts w:cs="Times New Roman"/>
          <w:lang w:val="fr-CA"/>
        </w:rPr>
        <w:t> »</w:t>
      </w:r>
      <w:r w:rsidR="00F4194D">
        <w:rPr>
          <w:rFonts w:cs="Times New Roman"/>
          <w:lang w:val="fr-CA"/>
        </w:rPr>
        <w:t xml:space="preserve"> visée à l’article</w:t>
      </w:r>
      <w:r w:rsidR="006412AC">
        <w:rPr>
          <w:rFonts w:cs="Times New Roman"/>
          <w:lang w:val="fr-CA"/>
        </w:rPr>
        <w:t xml:space="preserve"> </w:t>
      </w:r>
      <w:r w:rsidRPr="001A1E08">
        <w:rPr>
          <w:rFonts w:cs="Times New Roman"/>
          <w:lang w:val="fr-CA"/>
        </w:rPr>
        <w:t xml:space="preserve">29 de la </w:t>
      </w:r>
      <w:r w:rsidRPr="001A1E08">
        <w:rPr>
          <w:rFonts w:cs="Times New Roman"/>
          <w:i/>
          <w:lang w:val="fr-CA"/>
        </w:rPr>
        <w:t>Convention de Montréal</w:t>
      </w:r>
      <w:r w:rsidRPr="001A1E08">
        <w:rPr>
          <w:rFonts w:cs="Times New Roman"/>
          <w:lang w:val="fr-CA"/>
        </w:rPr>
        <w:t xml:space="preserve">, et le principe d’exclusivité établi par la convention ne s’appliquerait donc pas.  À l’appui de cet argument, les appelants soutiennent essentiellement que la violation des droits linguistiques n’est pas un risque inhérent au </w:t>
      </w:r>
      <w:r w:rsidR="00F4194D">
        <w:rPr>
          <w:rFonts w:cs="Times New Roman"/>
          <w:lang w:val="fr-CA"/>
        </w:rPr>
        <w:t>transport aérien visé par l’article</w:t>
      </w:r>
      <w:r w:rsidR="006412AC">
        <w:rPr>
          <w:rFonts w:cs="Times New Roman"/>
          <w:lang w:val="fr-CA"/>
        </w:rPr>
        <w:t xml:space="preserve"> </w:t>
      </w:r>
      <w:r w:rsidRPr="001A1E08">
        <w:rPr>
          <w:rFonts w:cs="Times New Roman"/>
          <w:lang w:val="fr-CA"/>
        </w:rPr>
        <w:t xml:space="preserve">17, et que la </w:t>
      </w:r>
      <w:r w:rsidRPr="001A1E08">
        <w:rPr>
          <w:rFonts w:cs="Times New Roman"/>
          <w:i/>
          <w:lang w:val="fr-CA"/>
        </w:rPr>
        <w:t>Convention de Montréal</w:t>
      </w:r>
      <w:r w:rsidRPr="001A1E08">
        <w:rPr>
          <w:rFonts w:cs="Times New Roman"/>
          <w:lang w:val="fr-CA"/>
        </w:rPr>
        <w:t xml:space="preserve"> n’est pas censée régir les recours légaux fondés sur des droits fondamentaux ni les </w:t>
      </w:r>
      <w:r w:rsidR="006412AC">
        <w:rPr>
          <w:rFonts w:cs="Times New Roman"/>
          <w:lang w:val="fr-CA"/>
        </w:rPr>
        <w:t>« </w:t>
      </w:r>
      <w:r w:rsidRPr="001A1E08">
        <w:rPr>
          <w:rFonts w:cs="Times New Roman"/>
          <w:lang w:val="fr-CA"/>
        </w:rPr>
        <w:t>dommages</w:t>
      </w:r>
      <w:r w:rsidR="006412AC">
        <w:rPr>
          <w:rFonts w:cs="Times New Roman"/>
          <w:lang w:val="fr-CA"/>
        </w:rPr>
        <w:t>-</w:t>
      </w:r>
      <w:r w:rsidRPr="001A1E08">
        <w:rPr>
          <w:rFonts w:cs="Times New Roman"/>
          <w:lang w:val="fr-CA"/>
        </w:rPr>
        <w:t>intérêts de droit public</w:t>
      </w:r>
      <w:r w:rsidR="006412AC">
        <w:rPr>
          <w:rFonts w:cs="Times New Roman"/>
          <w:lang w:val="fr-CA"/>
        </w:rPr>
        <w:t> »</w:t>
      </w:r>
      <w:r w:rsidRPr="001A1E08">
        <w:rPr>
          <w:rFonts w:cs="Times New Roman"/>
          <w:lang w:val="fr-CA"/>
        </w:rPr>
        <w:t xml:space="preserve"> auxquels ils peuvent donner lieu.  À mon sens, cet argument n’est aucunement étayé par le texte ou l’objet de la </w:t>
      </w:r>
      <w:r w:rsidRPr="001A1E08">
        <w:rPr>
          <w:rFonts w:cs="Times New Roman"/>
          <w:i/>
          <w:lang w:val="fr-CA"/>
        </w:rPr>
        <w:t>Convention de Montréal</w:t>
      </w:r>
      <w:r w:rsidRPr="001A1E08">
        <w:rPr>
          <w:rFonts w:cs="Times New Roman"/>
          <w:lang w:val="fr-CA"/>
        </w:rPr>
        <w:t xml:space="preserve">, ni par la jurisprudence internationale. </w:t>
      </w:r>
    </w:p>
    <w:p w:rsidR="00367456" w:rsidRPr="001A1E08" w:rsidRDefault="00367456" w:rsidP="00AE44FD">
      <w:pPr>
        <w:pStyle w:val="Title5LevelTitre5Niveau"/>
        <w:widowControl w:val="0"/>
        <w:tabs>
          <w:tab w:val="clear" w:pos="1728"/>
        </w:tabs>
        <w:ind w:left="900" w:hanging="450"/>
        <w:rPr>
          <w:rFonts w:cs="Times New Roman"/>
          <w:lang w:val="fr-CA"/>
        </w:rPr>
      </w:pPr>
      <w:r w:rsidRPr="001A1E08">
        <w:rPr>
          <w:rFonts w:cs="Times New Roman"/>
          <w:lang w:val="fr-CA"/>
        </w:rPr>
        <w:t xml:space="preserve">L’argument des appelants est incompatible avec le texte et l’objet de la </w:t>
      </w:r>
      <w:r w:rsidRPr="001A1E08">
        <w:rPr>
          <w:rFonts w:cs="Times New Roman"/>
          <w:i/>
          <w:lang w:val="fr-CA"/>
        </w:rPr>
        <w:t>Convention de Montréal</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J’ai déjà examiné la por</w:t>
      </w:r>
      <w:r w:rsidR="00F4194D">
        <w:rPr>
          <w:rFonts w:cs="Times New Roman"/>
          <w:lang w:val="fr-CA"/>
        </w:rPr>
        <w:t>tée des termes employés à l’article</w:t>
      </w:r>
      <w:r w:rsidR="006412AC">
        <w:rPr>
          <w:rFonts w:cs="Times New Roman"/>
          <w:lang w:val="fr-CA"/>
        </w:rPr>
        <w:t xml:space="preserve"> </w:t>
      </w:r>
      <w:r w:rsidRPr="001A1E08">
        <w:rPr>
          <w:rFonts w:cs="Times New Roman"/>
          <w:lang w:val="fr-CA"/>
        </w:rPr>
        <w:t xml:space="preserve">29 pour décrire le principe des recours assujettis aux limites de la </w:t>
      </w:r>
      <w:r w:rsidRPr="001A1E08">
        <w:rPr>
          <w:rFonts w:cs="Times New Roman"/>
          <w:i/>
          <w:lang w:val="fr-CA"/>
        </w:rPr>
        <w:t>Convention de Montréal</w:t>
      </w:r>
      <w:r w:rsidRPr="00F4194D">
        <w:rPr>
          <w:rFonts w:cs="Times New Roman"/>
          <w:lang w:val="fr-CA"/>
        </w:rPr>
        <w:t>.</w:t>
      </w:r>
      <w:r w:rsidR="006412AC">
        <w:rPr>
          <w:rFonts w:cs="Times New Roman"/>
          <w:i/>
          <w:lang w:val="fr-CA"/>
        </w:rPr>
        <w:t xml:space="preserve"> </w:t>
      </w:r>
      <w:r w:rsidRPr="001A1E08">
        <w:rPr>
          <w:rFonts w:cs="Times New Roman"/>
          <w:lang w:val="fr-CA"/>
        </w:rPr>
        <w:t xml:space="preserve"> Les limites s’appliquent, dans le transport de passagers, de bagages et de marchandises, à </w:t>
      </w:r>
      <w:r w:rsidR="006412AC">
        <w:rPr>
          <w:rFonts w:cs="Times New Roman"/>
          <w:lang w:val="fr-CA"/>
        </w:rPr>
        <w:t>« </w:t>
      </w:r>
      <w:r w:rsidRPr="001A1E08">
        <w:rPr>
          <w:rFonts w:cs="Times New Roman"/>
          <w:lang w:val="fr-CA"/>
        </w:rPr>
        <w:t>toute action en dommages</w:t>
      </w:r>
      <w:r w:rsidR="006412AC">
        <w:rPr>
          <w:rFonts w:cs="Times New Roman"/>
          <w:lang w:val="fr-CA"/>
        </w:rPr>
        <w:t>-</w:t>
      </w:r>
      <w:r w:rsidRPr="001A1E08">
        <w:rPr>
          <w:rFonts w:cs="Times New Roman"/>
          <w:lang w:val="fr-CA"/>
        </w:rPr>
        <w:t xml:space="preserve">intérêts, </w:t>
      </w:r>
      <w:r w:rsidRPr="001A1E08">
        <w:rPr>
          <w:rFonts w:cs="Times New Roman"/>
          <w:u w:val="single"/>
          <w:lang w:val="fr-CA"/>
        </w:rPr>
        <w:t>à quelque titre que ce soit</w:t>
      </w:r>
      <w:r w:rsidRPr="001A1E08">
        <w:rPr>
          <w:rFonts w:cs="Times New Roman"/>
          <w:lang w:val="fr-CA"/>
        </w:rPr>
        <w:t xml:space="preserve">, en vertu de la présente convention, en raison d’un contrat ou d’un acte illicite </w:t>
      </w:r>
      <w:r w:rsidRPr="001A1E08">
        <w:rPr>
          <w:rFonts w:cs="Times New Roman"/>
          <w:u w:val="single"/>
          <w:lang w:val="fr-CA"/>
        </w:rPr>
        <w:t>ou pour toute autre cause</w:t>
      </w:r>
      <w:r w:rsidR="006412AC">
        <w:rPr>
          <w:rFonts w:cs="Times New Roman"/>
          <w:lang w:val="fr-CA"/>
        </w:rPr>
        <w:t> »</w:t>
      </w:r>
      <w:r w:rsidRPr="001A1E08">
        <w:rPr>
          <w:rFonts w:cs="Times New Roman"/>
          <w:lang w:val="fr-CA"/>
        </w:rPr>
        <w:t xml:space="preserve">.  Il ne se dégage de ces termes aucune intention de soustraire quelque </w:t>
      </w:r>
      <w:r w:rsidR="006412AC">
        <w:rPr>
          <w:rFonts w:cs="Times New Roman"/>
          <w:lang w:val="fr-CA"/>
        </w:rPr>
        <w:t>« </w:t>
      </w:r>
      <w:r w:rsidRPr="001A1E08">
        <w:rPr>
          <w:rFonts w:cs="Times New Roman"/>
          <w:lang w:val="fr-CA"/>
        </w:rPr>
        <w:t>action en dommages</w:t>
      </w:r>
      <w:r w:rsidR="006412AC">
        <w:rPr>
          <w:rFonts w:cs="Times New Roman"/>
          <w:lang w:val="fr-CA"/>
        </w:rPr>
        <w:t>-</w:t>
      </w:r>
      <w:r w:rsidRPr="001A1E08">
        <w:rPr>
          <w:rFonts w:cs="Times New Roman"/>
          <w:lang w:val="fr-CA"/>
        </w:rPr>
        <w:t>intérêts</w:t>
      </w:r>
      <w:r w:rsidR="006412AC">
        <w:rPr>
          <w:rFonts w:cs="Times New Roman"/>
          <w:lang w:val="fr-CA"/>
        </w:rPr>
        <w:t> »</w:t>
      </w:r>
      <w:r w:rsidRPr="001A1E08">
        <w:rPr>
          <w:rFonts w:cs="Times New Roman"/>
          <w:lang w:val="fr-CA"/>
        </w:rPr>
        <w:t xml:space="preserve"> que ce soit dans le transport de passagers, de bagages et de marchandises selon son fondement légal, par exemple lorsque le demandeur présente, en vertu de la loi, une demande pécuniaire de droit public fondée sur la violation de droits quasi constitutionnels.  Comme l’a dit M</w:t>
      </w:r>
      <w:r w:rsidRPr="001A1E08">
        <w:rPr>
          <w:rFonts w:cs="Times New Roman"/>
          <w:vertAlign w:val="superscript"/>
          <w:lang w:val="fr-CA"/>
        </w:rPr>
        <w:t>e</w:t>
      </w:r>
      <w:r w:rsidRPr="001A1E08">
        <w:rPr>
          <w:rFonts w:cs="Times New Roman"/>
          <w:lang w:val="fr-CA"/>
        </w:rPr>
        <w:t xml:space="preserve"> </w:t>
      </w:r>
      <w:proofErr w:type="spellStart"/>
      <w:r w:rsidRPr="001A1E08">
        <w:rPr>
          <w:rFonts w:cs="Times New Roman"/>
          <w:lang w:val="fr-CA"/>
        </w:rPr>
        <w:t>Chassot</w:t>
      </w:r>
      <w:proofErr w:type="spellEnd"/>
      <w:r w:rsidRPr="001A1E08">
        <w:rPr>
          <w:rFonts w:cs="Times New Roman"/>
          <w:lang w:val="fr-CA"/>
        </w:rPr>
        <w:t xml:space="preserve">, les termes </w:t>
      </w:r>
      <w:r w:rsidR="006412AC">
        <w:rPr>
          <w:rFonts w:cs="Times New Roman"/>
          <w:lang w:val="fr-CA"/>
        </w:rPr>
        <w:t>« </w:t>
      </w:r>
      <w:r w:rsidRPr="001A1E08">
        <w:rPr>
          <w:rFonts w:cs="Times New Roman"/>
          <w:lang w:val="fr-CA"/>
        </w:rPr>
        <w:t>action</w:t>
      </w:r>
      <w:r w:rsidR="006412AC">
        <w:rPr>
          <w:rFonts w:cs="Times New Roman"/>
          <w:lang w:val="fr-CA"/>
        </w:rPr>
        <w:t> »</w:t>
      </w:r>
      <w:r w:rsidRPr="001A1E08">
        <w:rPr>
          <w:rFonts w:cs="Times New Roman"/>
          <w:lang w:val="fr-CA"/>
        </w:rPr>
        <w:t xml:space="preserve"> et </w:t>
      </w:r>
      <w:r w:rsidR="006412AC">
        <w:rPr>
          <w:rFonts w:cs="Times New Roman"/>
          <w:lang w:val="fr-CA"/>
        </w:rPr>
        <w:t>« </w:t>
      </w:r>
      <w:r w:rsidRPr="001A1E08">
        <w:rPr>
          <w:rFonts w:cs="Times New Roman"/>
          <w:lang w:val="fr-CA"/>
        </w:rPr>
        <w:t>dommages</w:t>
      </w:r>
      <w:r w:rsidR="006412AC">
        <w:rPr>
          <w:rFonts w:cs="Times New Roman"/>
          <w:lang w:val="fr-CA"/>
        </w:rPr>
        <w:t>-</w:t>
      </w:r>
      <w:r w:rsidRPr="001A1E08">
        <w:rPr>
          <w:rFonts w:cs="Times New Roman"/>
          <w:lang w:val="fr-CA"/>
        </w:rPr>
        <w:t>intérêts</w:t>
      </w:r>
      <w:r w:rsidR="006412AC">
        <w:rPr>
          <w:rFonts w:cs="Times New Roman"/>
          <w:lang w:val="fr-CA"/>
        </w:rPr>
        <w:t> »</w:t>
      </w:r>
      <w:r w:rsidRPr="001A1E08">
        <w:rPr>
          <w:rFonts w:cs="Times New Roman"/>
          <w:lang w:val="fr-CA"/>
        </w:rPr>
        <w:t xml:space="preserve"> doivent recevoir une interprétation </w:t>
      </w:r>
      <w:r w:rsidRPr="001A1E08">
        <w:rPr>
          <w:rFonts w:cs="Times New Roman"/>
          <w:lang w:val="fr-CA"/>
        </w:rPr>
        <w:lastRenderedPageBreak/>
        <w:t xml:space="preserve">large; leur donner une interprétation étroite aurait pour effet de limiter indûment le champ d’application de la </w:t>
      </w:r>
      <w:r w:rsidRPr="001A1E08">
        <w:rPr>
          <w:rFonts w:cs="Times New Roman"/>
          <w:i/>
          <w:lang w:val="fr-CA"/>
        </w:rPr>
        <w:t>Convention de Montréal</w:t>
      </w:r>
      <w:r w:rsidRPr="001A1E08">
        <w:rPr>
          <w:rFonts w:cs="Times New Roman"/>
          <w:lang w:val="fr-CA"/>
        </w:rPr>
        <w:t>, d’une façon qui n’était pas prévue</w:t>
      </w:r>
      <w:r w:rsidR="006412AC">
        <w:rPr>
          <w:rFonts w:cs="Times New Roman"/>
          <w:lang w:val="fr-CA"/>
        </w:rPr>
        <w:t> :</w:t>
      </w:r>
      <w:r w:rsidRPr="001A1E08">
        <w:rPr>
          <w:rFonts w:cs="Times New Roman"/>
          <w:lang w:val="fr-CA"/>
        </w:rPr>
        <w:t xml:space="preserve"> voir p.</w:t>
      </w:r>
      <w:r w:rsidR="006412AC">
        <w:rPr>
          <w:rFonts w:cs="Times New Roman"/>
          <w:lang w:val="fr-CA"/>
        </w:rPr>
        <w:t xml:space="preserve"> </w:t>
      </w:r>
      <w:r w:rsidRPr="001A1E08">
        <w:rPr>
          <w:rFonts w:cs="Times New Roman"/>
          <w:lang w:val="fr-CA"/>
        </w:rPr>
        <w:t>176</w:t>
      </w:r>
      <w:r w:rsidR="006412AC">
        <w:rPr>
          <w:rFonts w:cs="Times New Roman"/>
          <w:lang w:val="fr-CA"/>
        </w:rPr>
        <w:t>-</w:t>
      </w:r>
      <w:r w:rsidRPr="001A1E08">
        <w:rPr>
          <w:rFonts w:cs="Times New Roman"/>
          <w:lang w:val="fr-CA"/>
        </w:rPr>
        <w:t>177.</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Les demandes des Thibodeau constituent une </w:t>
      </w:r>
      <w:r w:rsidR="006412AC">
        <w:rPr>
          <w:rFonts w:cs="Times New Roman"/>
          <w:lang w:val="fr-CA"/>
        </w:rPr>
        <w:t>« </w:t>
      </w:r>
      <w:r w:rsidRPr="001A1E08">
        <w:rPr>
          <w:rFonts w:cs="Times New Roman"/>
          <w:lang w:val="fr-CA"/>
        </w:rPr>
        <w:t>action en dommages</w:t>
      </w:r>
      <w:r w:rsidR="006412AC">
        <w:rPr>
          <w:rFonts w:cs="Times New Roman"/>
          <w:lang w:val="fr-CA"/>
        </w:rPr>
        <w:t>-</w:t>
      </w:r>
      <w:r w:rsidRPr="001A1E08">
        <w:rPr>
          <w:rFonts w:cs="Times New Roman"/>
          <w:lang w:val="fr-CA"/>
        </w:rPr>
        <w:t>intérêts</w:t>
      </w:r>
      <w:r w:rsidR="006412AC">
        <w:rPr>
          <w:rFonts w:cs="Times New Roman"/>
          <w:lang w:val="fr-CA"/>
        </w:rPr>
        <w:t> »</w:t>
      </w:r>
      <w:r w:rsidR="00F4194D">
        <w:rPr>
          <w:rFonts w:cs="Times New Roman"/>
          <w:lang w:val="fr-CA"/>
        </w:rPr>
        <w:t xml:space="preserve"> au sens de l’article</w:t>
      </w:r>
      <w:r w:rsidR="006412AC">
        <w:rPr>
          <w:rFonts w:cs="Times New Roman"/>
          <w:lang w:val="fr-CA"/>
        </w:rPr>
        <w:t xml:space="preserve"> </w:t>
      </w:r>
      <w:r w:rsidRPr="001A1E08">
        <w:rPr>
          <w:rFonts w:cs="Times New Roman"/>
          <w:lang w:val="fr-CA"/>
        </w:rPr>
        <w:t>29, puisque ces derniers réclament des dommages</w:t>
      </w:r>
      <w:r w:rsidR="006412AC">
        <w:rPr>
          <w:rFonts w:cs="Times New Roman"/>
          <w:lang w:val="fr-CA"/>
        </w:rPr>
        <w:t>-</w:t>
      </w:r>
      <w:r w:rsidRPr="001A1E08">
        <w:rPr>
          <w:rFonts w:cs="Times New Roman"/>
          <w:lang w:val="fr-CA"/>
        </w:rPr>
        <w:t>intérêts</w:t>
      </w:r>
      <w:r w:rsidR="006412AC">
        <w:rPr>
          <w:rFonts w:cs="Times New Roman"/>
          <w:lang w:val="fr-CA"/>
        </w:rPr>
        <w:t xml:space="preserve"> </w:t>
      </w:r>
      <w:r w:rsidRPr="001A1E08">
        <w:rPr>
          <w:rFonts w:cs="Times New Roman"/>
          <w:lang w:val="fr-CA"/>
        </w:rPr>
        <w:t>pour le préjudice subi au cours d’un vol international.</w:t>
      </w:r>
      <w:r w:rsidR="006412AC">
        <w:rPr>
          <w:rFonts w:cs="Times New Roman"/>
          <w:lang w:val="fr-CA"/>
        </w:rPr>
        <w:t xml:space="preserve"> </w:t>
      </w:r>
      <w:r w:rsidRPr="001A1E08">
        <w:rPr>
          <w:rFonts w:cs="Times New Roman"/>
          <w:lang w:val="fr-CA"/>
        </w:rPr>
        <w:t xml:space="preserve"> C’est ce qui ressort clairement de la façon dont ils ont présenté leurs réclamations, ainsi que des motifs de la juge saisie de la demande.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Dans leurs actes de procédure, les Thibodeau parlent des dommages</w:t>
      </w:r>
      <w:r w:rsidR="006412AC">
        <w:rPr>
          <w:rFonts w:cs="Times New Roman"/>
          <w:lang w:val="fr-CA"/>
        </w:rPr>
        <w:t>-</w:t>
      </w:r>
      <w:r w:rsidRPr="001A1E08">
        <w:rPr>
          <w:rFonts w:cs="Times New Roman"/>
          <w:lang w:val="fr-CA"/>
        </w:rPr>
        <w:t>intérêts qu’ils réclament.  Selon les al</w:t>
      </w:r>
      <w:r w:rsidR="00F4194D">
        <w:rPr>
          <w:rFonts w:cs="Times New Roman"/>
          <w:lang w:val="fr-CA"/>
        </w:rPr>
        <w:t>.</w:t>
      </w:r>
      <w:r w:rsidRPr="001A1E08">
        <w:rPr>
          <w:rFonts w:cs="Times New Roman"/>
          <w:lang w:val="fr-CA"/>
        </w:rPr>
        <w:t xml:space="preserve"> a) et b) de la partie</w:t>
      </w:r>
      <w:r w:rsidR="006412AC">
        <w:rPr>
          <w:rFonts w:cs="Times New Roman"/>
          <w:lang w:val="fr-CA"/>
        </w:rPr>
        <w:t xml:space="preserve"> </w:t>
      </w:r>
      <w:r w:rsidRPr="001A1E08">
        <w:rPr>
          <w:rFonts w:cs="Times New Roman"/>
          <w:lang w:val="fr-CA"/>
        </w:rPr>
        <w:t>III de leur avis de demande déposé en Cour fédérale, ils sollicitaient, entre autres, 25</w:t>
      </w:r>
      <w:r w:rsidR="006412AC">
        <w:rPr>
          <w:rFonts w:cs="Times New Roman"/>
          <w:lang w:val="fr-CA"/>
        </w:rPr>
        <w:t xml:space="preserve"> </w:t>
      </w:r>
      <w:r w:rsidRPr="001A1E08">
        <w:rPr>
          <w:rFonts w:cs="Times New Roman"/>
          <w:lang w:val="fr-CA"/>
        </w:rPr>
        <w:t>000</w:t>
      </w:r>
      <w:r w:rsidR="006412AC">
        <w:rPr>
          <w:rFonts w:cs="Times New Roman"/>
          <w:lang w:val="fr-CA"/>
        </w:rPr>
        <w:t xml:space="preserve"> </w:t>
      </w:r>
      <w:r w:rsidRPr="001A1E08">
        <w:rPr>
          <w:rFonts w:cs="Times New Roman"/>
          <w:lang w:val="fr-CA"/>
        </w:rPr>
        <w:t>$ en dommages</w:t>
      </w:r>
      <w:r w:rsidR="006412AC">
        <w:rPr>
          <w:rFonts w:cs="Times New Roman"/>
          <w:lang w:val="fr-CA"/>
        </w:rPr>
        <w:t>-</w:t>
      </w:r>
      <w:r w:rsidRPr="001A1E08">
        <w:rPr>
          <w:rFonts w:cs="Times New Roman"/>
          <w:lang w:val="fr-CA"/>
        </w:rPr>
        <w:t>intérêts et 250</w:t>
      </w:r>
      <w:r w:rsidR="006412AC">
        <w:rPr>
          <w:rFonts w:cs="Times New Roman"/>
          <w:lang w:val="fr-CA"/>
        </w:rPr>
        <w:t xml:space="preserve"> </w:t>
      </w:r>
      <w:r w:rsidRPr="001A1E08">
        <w:rPr>
          <w:rFonts w:cs="Times New Roman"/>
          <w:lang w:val="fr-CA"/>
        </w:rPr>
        <w:t>000</w:t>
      </w:r>
      <w:r w:rsidR="006412AC">
        <w:rPr>
          <w:rFonts w:cs="Times New Roman"/>
          <w:lang w:val="fr-CA"/>
        </w:rPr>
        <w:t xml:space="preserve"> </w:t>
      </w:r>
      <w:r w:rsidRPr="001A1E08">
        <w:rPr>
          <w:rFonts w:cs="Times New Roman"/>
          <w:lang w:val="fr-CA"/>
        </w:rPr>
        <w:t>$ en dommages punitifs et exemplaires</w:t>
      </w:r>
      <w:r w:rsidR="006412AC">
        <w:rPr>
          <w:rFonts w:cs="Times New Roman"/>
          <w:lang w:val="fr-CA"/>
        </w:rPr>
        <w:t xml:space="preserve"> </w:t>
      </w:r>
      <w:r w:rsidRPr="001A1E08">
        <w:rPr>
          <w:rFonts w:cs="Times New Roman"/>
          <w:lang w:val="fr-CA"/>
        </w:rPr>
        <w:t>pour chacun d’eux.  En réponse à ces réclamations, la Cour fédérale leur a accordé des dommages</w:t>
      </w:r>
      <w:r w:rsidR="006412AC">
        <w:rPr>
          <w:rFonts w:cs="Times New Roman"/>
          <w:lang w:val="fr-CA"/>
        </w:rPr>
        <w:t>-</w:t>
      </w:r>
      <w:r w:rsidRPr="001A1E08">
        <w:rPr>
          <w:rFonts w:cs="Times New Roman"/>
          <w:lang w:val="fr-CA"/>
        </w:rPr>
        <w:t xml:space="preserve">intérêts pour les indemniser du préjudice découlant des atteintes à leurs droits linguistiques.  Comme l’a dit la juge de première instance, </w:t>
      </w:r>
      <w:r w:rsidR="006412AC">
        <w:rPr>
          <w:rFonts w:cs="Times New Roman"/>
          <w:lang w:val="fr-CA"/>
        </w:rPr>
        <w:t>« </w:t>
      </w:r>
      <w:r w:rsidRPr="001A1E08">
        <w:rPr>
          <w:rFonts w:cs="Times New Roman"/>
          <w:lang w:val="fr-CA"/>
        </w:rPr>
        <w:t xml:space="preserve">il est clair que les droits linguistiques des demandeurs sont très importants pour eux et que </w:t>
      </w:r>
      <w:r w:rsidRPr="001A1E08">
        <w:rPr>
          <w:rFonts w:cs="Times New Roman"/>
          <w:u w:val="single"/>
          <w:lang w:val="fr-CA"/>
        </w:rPr>
        <w:t>la violation de leurs droits leur a causé un préjudice moral, des troubles et inconvénients et la perte de jouissance de leurs vacances</w:t>
      </w:r>
      <w:r w:rsidR="006412AC">
        <w:rPr>
          <w:rFonts w:cs="Times New Roman"/>
          <w:lang w:val="fr-CA"/>
        </w:rPr>
        <w:t> »</w:t>
      </w:r>
      <w:r w:rsidR="00F4194D">
        <w:rPr>
          <w:rFonts w:cs="Times New Roman"/>
          <w:lang w:val="fr-CA"/>
        </w:rPr>
        <w:t> :</w:t>
      </w:r>
      <w:r w:rsidRPr="001A1E08">
        <w:rPr>
          <w:rFonts w:cs="Times New Roman"/>
          <w:lang w:val="fr-CA"/>
        </w:rPr>
        <w:t xml:space="preserve"> par.</w:t>
      </w:r>
      <w:r w:rsidR="006412AC">
        <w:rPr>
          <w:rFonts w:cs="Times New Roman"/>
          <w:lang w:val="fr-CA"/>
        </w:rPr>
        <w:t xml:space="preserve"> </w:t>
      </w:r>
      <w:r w:rsidRPr="001A1E08">
        <w:rPr>
          <w:rFonts w:cs="Times New Roman"/>
          <w:lang w:val="fr-CA"/>
        </w:rPr>
        <w:t>88 (je souligne).  (Bien que la juge n’ait pas accordé de dommages</w:t>
      </w:r>
      <w:r w:rsidR="006412AC">
        <w:rPr>
          <w:rFonts w:cs="Times New Roman"/>
          <w:lang w:val="fr-CA"/>
        </w:rPr>
        <w:t>-</w:t>
      </w:r>
      <w:r w:rsidRPr="001A1E08">
        <w:rPr>
          <w:rFonts w:cs="Times New Roman"/>
          <w:lang w:val="fr-CA"/>
        </w:rPr>
        <w:t>intérêts punitifs ou exemplaires en l’espèce, je signale en passant que de tels dommages</w:t>
      </w:r>
      <w:r w:rsidR="006412AC">
        <w:rPr>
          <w:rFonts w:cs="Times New Roman"/>
          <w:lang w:val="fr-CA"/>
        </w:rPr>
        <w:t>-</w:t>
      </w:r>
      <w:r w:rsidR="0017096E">
        <w:rPr>
          <w:rFonts w:cs="Times New Roman"/>
          <w:lang w:val="fr-CA"/>
        </w:rPr>
        <w:t>intérêts sont exclus par l’article</w:t>
      </w:r>
      <w:r w:rsidR="006412AC">
        <w:rPr>
          <w:rFonts w:cs="Times New Roman"/>
          <w:lang w:val="fr-CA"/>
        </w:rPr>
        <w:t xml:space="preserve"> </w:t>
      </w:r>
      <w:r w:rsidRPr="001A1E08">
        <w:rPr>
          <w:rFonts w:cs="Times New Roman"/>
          <w:lang w:val="fr-CA"/>
        </w:rPr>
        <w:t xml:space="preserve">29 </w:t>
      </w:r>
      <w:r w:rsidRPr="001A1E08">
        <w:rPr>
          <w:rFonts w:cs="Times New Roman"/>
          <w:i/>
          <w:lang w:val="fr-CA"/>
        </w:rPr>
        <w:t>in fine</w:t>
      </w:r>
      <w:r w:rsidRPr="001A1E08">
        <w:rPr>
          <w:rFonts w:cs="Times New Roman"/>
          <w:lang w:val="fr-CA"/>
        </w:rPr>
        <w:t xml:space="preserve">, même dans les cas où l’action est par ailleurs autorisée par la </w:t>
      </w:r>
      <w:r w:rsidRPr="001A1E08">
        <w:rPr>
          <w:rFonts w:cs="Times New Roman"/>
          <w:i/>
          <w:lang w:val="fr-CA"/>
        </w:rPr>
        <w:t>Convention de Montréal</w:t>
      </w:r>
      <w:r w:rsidRPr="001A1E08">
        <w:rPr>
          <w:rFonts w:cs="Times New Roman"/>
          <w:lang w:val="fr-CA"/>
        </w:rPr>
        <w:t>.)</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lastRenderedPageBreak/>
        <w:t>En résumé, les Thibodeau sollicitaient des dommages</w:t>
      </w:r>
      <w:r w:rsidR="006412AC">
        <w:rPr>
          <w:rFonts w:cs="Times New Roman"/>
          <w:lang w:val="fr-CA"/>
        </w:rPr>
        <w:t>-</w:t>
      </w:r>
      <w:r w:rsidRPr="001A1E08">
        <w:rPr>
          <w:rFonts w:cs="Times New Roman"/>
          <w:lang w:val="fr-CA"/>
        </w:rPr>
        <w:t xml:space="preserve">intérêts pour préjudice moral, troubles et inconvénients et perte de jouissance de leurs vacances, et c’est ce que la juge leur a accordé.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Permettre l’exercice d’une action en dommages</w:t>
      </w:r>
      <w:r w:rsidR="006412AC">
        <w:rPr>
          <w:rFonts w:cs="Times New Roman"/>
          <w:lang w:val="fr-CA"/>
        </w:rPr>
        <w:t>-</w:t>
      </w:r>
      <w:r w:rsidRPr="001A1E08">
        <w:rPr>
          <w:rFonts w:cs="Times New Roman"/>
          <w:lang w:val="fr-CA"/>
        </w:rPr>
        <w:t xml:space="preserve">intérêts visant l’indemnisation du </w:t>
      </w:r>
      <w:r w:rsidR="006412AC">
        <w:rPr>
          <w:rFonts w:cs="Times New Roman"/>
          <w:lang w:val="fr-CA"/>
        </w:rPr>
        <w:t>« </w:t>
      </w:r>
      <w:r w:rsidRPr="001A1E08">
        <w:rPr>
          <w:rFonts w:cs="Times New Roman"/>
          <w:lang w:val="fr-CA"/>
        </w:rPr>
        <w:t>préjudice moral, des troubles et inconvénients et [de] la perte de jouissance [des] vacances [du passager]</w:t>
      </w:r>
      <w:r w:rsidR="006412AC">
        <w:rPr>
          <w:rFonts w:cs="Times New Roman"/>
          <w:lang w:val="fr-CA"/>
        </w:rPr>
        <w:t> »</w:t>
      </w:r>
      <w:r w:rsidRPr="001A1E08">
        <w:rPr>
          <w:rFonts w:cs="Times New Roman"/>
          <w:lang w:val="fr-CA"/>
        </w:rPr>
        <w:t>, action qui ne respecte pas par a</w:t>
      </w:r>
      <w:r w:rsidR="0017096E">
        <w:rPr>
          <w:rFonts w:cs="Times New Roman"/>
          <w:lang w:val="fr-CA"/>
        </w:rPr>
        <w:t>illeurs les conditions de l’article</w:t>
      </w:r>
      <w:r w:rsidR="006412AC">
        <w:rPr>
          <w:rFonts w:cs="Times New Roman"/>
          <w:lang w:val="fr-CA"/>
        </w:rPr>
        <w:t xml:space="preserve"> </w:t>
      </w:r>
      <w:r w:rsidRPr="001A1E08">
        <w:rPr>
          <w:rFonts w:cs="Times New Roman"/>
          <w:lang w:val="fr-CA"/>
        </w:rPr>
        <w:t xml:space="preserve">17 de la </w:t>
      </w:r>
      <w:r w:rsidRPr="001A1E08">
        <w:rPr>
          <w:rFonts w:cs="Times New Roman"/>
          <w:i/>
          <w:lang w:val="fr-CA"/>
        </w:rPr>
        <w:t>Convention de Montréal</w:t>
      </w:r>
      <w:r w:rsidRPr="001A1E08">
        <w:rPr>
          <w:rFonts w:cs="Times New Roman"/>
          <w:lang w:val="fr-CA"/>
        </w:rPr>
        <w:t xml:space="preserve"> (parce qu’elle ne découle pas de la mort ou d’une lésion corpor</w:t>
      </w:r>
      <w:r w:rsidR="0017096E">
        <w:rPr>
          <w:rFonts w:cs="Times New Roman"/>
          <w:lang w:val="fr-CA"/>
        </w:rPr>
        <w:t>elle), serait contraire à l’article</w:t>
      </w:r>
      <w:r w:rsidR="006412AC">
        <w:rPr>
          <w:rFonts w:cs="Times New Roman"/>
          <w:lang w:val="fr-CA"/>
        </w:rPr>
        <w:t xml:space="preserve"> </w:t>
      </w:r>
      <w:r w:rsidRPr="001A1E08">
        <w:rPr>
          <w:rFonts w:cs="Times New Roman"/>
          <w:lang w:val="fr-CA"/>
        </w:rPr>
        <w:t xml:space="preserve">29.  Autoriser une action de ce genre compromettrait aussi l’un des principaux objectifs de la </w:t>
      </w:r>
      <w:r w:rsidRPr="001A1E08">
        <w:rPr>
          <w:rFonts w:cs="Times New Roman"/>
          <w:i/>
          <w:lang w:val="fr-CA"/>
        </w:rPr>
        <w:t>Convention de Montréal</w:t>
      </w:r>
      <w:r w:rsidRPr="001A1E08">
        <w:rPr>
          <w:rFonts w:cs="Times New Roman"/>
          <w:lang w:val="fr-CA"/>
        </w:rPr>
        <w:t>, qui est d’assurer l’uniformité entre les pays quant aux types de recours en dommages</w:t>
      </w:r>
      <w:r w:rsidR="006412AC">
        <w:rPr>
          <w:rFonts w:cs="Times New Roman"/>
          <w:lang w:val="fr-CA"/>
        </w:rPr>
        <w:t>-</w:t>
      </w:r>
      <w:r w:rsidRPr="001A1E08">
        <w:rPr>
          <w:rFonts w:cs="Times New Roman"/>
          <w:lang w:val="fr-CA"/>
        </w:rPr>
        <w:t xml:space="preserve">intérêts pouvant être exercés contre les transporteurs internationaux pour les dommages subis au cours du transport de passagers, de bagages et de marchandises, et quant aux plafonds applicables à ces recours.  Comme l’indique clairement la jurisprudence internationale, l’application de la </w:t>
      </w:r>
      <w:r w:rsidRPr="001A1E08">
        <w:rPr>
          <w:rFonts w:cs="Times New Roman"/>
          <w:i/>
          <w:lang w:val="fr-CA"/>
        </w:rPr>
        <w:t>Convention de Montréal</w:t>
      </w:r>
      <w:r w:rsidRPr="001A1E08">
        <w:rPr>
          <w:rFonts w:cs="Times New Roman"/>
          <w:lang w:val="fr-CA"/>
        </w:rPr>
        <w:t xml:space="preserve"> s’attache aux faits qui entourent la réclamation pécuniaire, non au fondement juridique de cette réclamation.  Conclure autrement reviendrait à permettre que d’habiles plaidoiries définissent la portée de la </w:t>
      </w:r>
      <w:r w:rsidRPr="001A1E08">
        <w:rPr>
          <w:rFonts w:cs="Times New Roman"/>
          <w:i/>
          <w:lang w:val="fr-CA"/>
        </w:rPr>
        <w:t>Convention de Montréal</w:t>
      </w:r>
      <w:r w:rsidRPr="001A1E08">
        <w:rPr>
          <w:rFonts w:cs="Times New Roman"/>
          <w:lang w:val="fr-CA"/>
        </w:rPr>
        <w:t>.</w:t>
      </w:r>
    </w:p>
    <w:p w:rsidR="00367456" w:rsidRPr="001A1E08" w:rsidRDefault="00367456" w:rsidP="00AE44FD">
      <w:pPr>
        <w:pStyle w:val="Title5LevelTitre5Niveau"/>
        <w:widowControl w:val="0"/>
        <w:tabs>
          <w:tab w:val="clear" w:pos="1728"/>
        </w:tabs>
        <w:ind w:left="900" w:hanging="450"/>
        <w:rPr>
          <w:rFonts w:cs="Times New Roman"/>
          <w:lang w:val="fr-CA"/>
        </w:rPr>
      </w:pPr>
      <w:r w:rsidRPr="001A1E08">
        <w:rPr>
          <w:rFonts w:cs="Times New Roman"/>
          <w:lang w:val="fr-CA"/>
        </w:rPr>
        <w:t>L’argument des appelants est incompatible avec la jurisprudence internationale</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L’abondante jurisprudence internationale n’étaye pas la thèse des appelants voulant que leurs demandes échappent au champ d’application substantiel de la </w:t>
      </w:r>
      <w:r w:rsidRPr="001A1E08">
        <w:rPr>
          <w:rFonts w:cs="Times New Roman"/>
          <w:i/>
          <w:lang w:val="fr-CA"/>
        </w:rPr>
        <w:t>Convention de Montréal.</w:t>
      </w:r>
      <w:r w:rsidR="006412AC">
        <w:rPr>
          <w:rFonts w:cs="Times New Roman"/>
          <w:i/>
          <w:lang w:val="fr-CA"/>
        </w:rPr>
        <w:t xml:space="preserve"> </w:t>
      </w:r>
      <w:r w:rsidRPr="001A1E08">
        <w:rPr>
          <w:rFonts w:cs="Times New Roman"/>
          <w:lang w:val="fr-CA"/>
        </w:rPr>
        <w:t xml:space="preserve"> Elle appuie la conclusion contraire.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lastRenderedPageBreak/>
        <w:t xml:space="preserve">Les tribunaux américains ont été saisis d’une question semblable, alors qu’ils ont été appelés à décider si les recours fondés sur des droits fondamentaux étaient exclus par la </w:t>
      </w:r>
      <w:r w:rsidRPr="001A1E08">
        <w:rPr>
          <w:rFonts w:cs="Times New Roman"/>
          <w:i/>
          <w:lang w:val="fr-CA"/>
        </w:rPr>
        <w:t>Convention de Varsovie</w:t>
      </w:r>
      <w:r w:rsidRPr="001A1E08">
        <w:rPr>
          <w:rFonts w:cs="Times New Roman"/>
          <w:lang w:val="fr-CA"/>
        </w:rPr>
        <w:t xml:space="preserve">.  Les cours de district et d’appel ont conclu, postérieurement à l’arrêt </w:t>
      </w:r>
      <w:proofErr w:type="spellStart"/>
      <w:r w:rsidRPr="001A1E08">
        <w:rPr>
          <w:rFonts w:cs="Times New Roman"/>
          <w:i/>
          <w:lang w:val="fr-CA"/>
        </w:rPr>
        <w:t>Tseng</w:t>
      </w:r>
      <w:proofErr w:type="spellEnd"/>
      <w:r w:rsidRPr="001A1E08">
        <w:rPr>
          <w:rFonts w:cs="Times New Roman"/>
          <w:lang w:val="fr-CA"/>
        </w:rPr>
        <w:t xml:space="preserve">, qu’en dépit de la différence substantielle entre les recours en responsabilité délictuelle et les recours pour discrimination, la </w:t>
      </w:r>
      <w:r w:rsidRPr="001A1E08">
        <w:rPr>
          <w:rFonts w:cs="Times New Roman"/>
          <w:i/>
          <w:lang w:val="fr-CA"/>
        </w:rPr>
        <w:t>Convention de Varsovie</w:t>
      </w:r>
      <w:r w:rsidRPr="001A1E08">
        <w:rPr>
          <w:rFonts w:cs="Times New Roman"/>
          <w:lang w:val="fr-CA"/>
        </w:rPr>
        <w:t xml:space="preserve"> devait s’appliquer aux dommages</w:t>
      </w:r>
      <w:r w:rsidR="006412AC">
        <w:rPr>
          <w:rFonts w:cs="Times New Roman"/>
          <w:lang w:val="fr-CA"/>
        </w:rPr>
        <w:t>-</w:t>
      </w:r>
      <w:r w:rsidRPr="001A1E08">
        <w:rPr>
          <w:rFonts w:cs="Times New Roman"/>
          <w:lang w:val="fr-CA"/>
        </w:rPr>
        <w:t xml:space="preserve">intérêts réclamés dans le cadre de ces deux types de recours.  Cette conclusion repose sur le principe que l’application de la </w:t>
      </w:r>
      <w:r w:rsidRPr="001A1E08">
        <w:rPr>
          <w:rFonts w:cs="Times New Roman"/>
          <w:i/>
          <w:lang w:val="fr-CA"/>
        </w:rPr>
        <w:t>Convention de Varsovie</w:t>
      </w:r>
      <w:r w:rsidRPr="001A1E08">
        <w:rPr>
          <w:rFonts w:cs="Times New Roman"/>
          <w:lang w:val="fr-CA"/>
        </w:rPr>
        <w:t xml:space="preserve"> dépend des faits à l’origine du recours, non du fondement juridique de celui</w:t>
      </w:r>
      <w:r w:rsidR="006412AC">
        <w:rPr>
          <w:rFonts w:cs="Times New Roman"/>
          <w:lang w:val="fr-CA"/>
        </w:rPr>
        <w:t>-</w:t>
      </w:r>
      <w:r w:rsidRPr="001A1E08">
        <w:rPr>
          <w:rFonts w:cs="Times New Roman"/>
          <w:lang w:val="fr-CA"/>
        </w:rPr>
        <w:t xml:space="preserve">ci.  Comme nous l’avons vu, l’exclusion prévue par la </w:t>
      </w:r>
      <w:r w:rsidRPr="001A1E08">
        <w:rPr>
          <w:rFonts w:cs="Times New Roman"/>
          <w:i/>
          <w:lang w:val="fr-CA"/>
        </w:rPr>
        <w:t>Convention de Montréal</w:t>
      </w:r>
      <w:r w:rsidRPr="001A1E08">
        <w:rPr>
          <w:rFonts w:cs="Times New Roman"/>
          <w:lang w:val="fr-CA"/>
        </w:rPr>
        <w:t xml:space="preserve"> est encore plus évidente qu’elle ne l’était sous le régime de la </w:t>
      </w:r>
      <w:r w:rsidRPr="001A1E08">
        <w:rPr>
          <w:rFonts w:cs="Times New Roman"/>
          <w:i/>
          <w:lang w:val="fr-CA"/>
        </w:rPr>
        <w:t>Convention de Varsovie</w:t>
      </w:r>
      <w:r w:rsidRPr="001A1E08">
        <w:rPr>
          <w:rFonts w:cs="Times New Roman"/>
          <w:lang w:val="fr-CA"/>
        </w:rPr>
        <w:t>.</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Dans l’affaire </w:t>
      </w:r>
      <w:r w:rsidRPr="001A1E08">
        <w:rPr>
          <w:rFonts w:cs="Times New Roman"/>
          <w:i/>
          <w:lang w:val="fr-CA"/>
        </w:rPr>
        <w:t>King c. American Airlines, Inc</w:t>
      </w:r>
      <w:r w:rsidRPr="001A1E08">
        <w:rPr>
          <w:rFonts w:cs="Times New Roman"/>
          <w:lang w:val="fr-CA"/>
        </w:rPr>
        <w:t xml:space="preserve">., 284 F.3d 352 (2d </w:t>
      </w:r>
      <w:proofErr w:type="spellStart"/>
      <w:r w:rsidRPr="001A1E08">
        <w:rPr>
          <w:rFonts w:cs="Times New Roman"/>
          <w:lang w:val="fr-CA"/>
        </w:rPr>
        <w:t>Cir</w:t>
      </w:r>
      <w:proofErr w:type="spellEnd"/>
      <w:r w:rsidRPr="001A1E08">
        <w:rPr>
          <w:rFonts w:cs="Times New Roman"/>
          <w:lang w:val="fr-CA"/>
        </w:rPr>
        <w:t>. 2002), M. et M</w:t>
      </w:r>
      <w:r w:rsidRPr="001A1E08">
        <w:rPr>
          <w:rFonts w:cs="Times New Roman"/>
          <w:vertAlign w:val="superscript"/>
          <w:lang w:val="fr-CA"/>
        </w:rPr>
        <w:t>me</w:t>
      </w:r>
      <w:r w:rsidR="006412AC">
        <w:rPr>
          <w:rFonts w:cs="Times New Roman"/>
          <w:lang w:val="fr-CA"/>
        </w:rPr>
        <w:t xml:space="preserve"> </w:t>
      </w:r>
      <w:r w:rsidRPr="001A1E08">
        <w:rPr>
          <w:rFonts w:cs="Times New Roman"/>
          <w:lang w:val="fr-CA"/>
        </w:rPr>
        <w:t>King réclamaient des dommages</w:t>
      </w:r>
      <w:r w:rsidR="006412AC">
        <w:rPr>
          <w:rFonts w:cs="Times New Roman"/>
          <w:lang w:val="fr-CA"/>
        </w:rPr>
        <w:t>-</w:t>
      </w:r>
      <w:r w:rsidRPr="001A1E08">
        <w:rPr>
          <w:rFonts w:cs="Times New Roman"/>
          <w:lang w:val="fr-CA"/>
        </w:rPr>
        <w:t>intérêts devant la Cour de district des États</w:t>
      </w:r>
      <w:r w:rsidR="006412AC">
        <w:rPr>
          <w:rFonts w:cs="Times New Roman"/>
          <w:lang w:val="fr-CA"/>
        </w:rPr>
        <w:t>-</w:t>
      </w:r>
      <w:r w:rsidRPr="001A1E08">
        <w:rPr>
          <w:rFonts w:cs="Times New Roman"/>
          <w:lang w:val="fr-CA"/>
        </w:rPr>
        <w:t xml:space="preserve">Unis du district nord de New York, alléguant qu’ils avaient été victimes de discrimination raciale en violation du droit à l’égalité que leur </w:t>
      </w:r>
      <w:proofErr w:type="gramStart"/>
      <w:r w:rsidRPr="001A1E08">
        <w:rPr>
          <w:rFonts w:cs="Times New Roman"/>
          <w:lang w:val="fr-CA"/>
        </w:rPr>
        <w:t>garantit</w:t>
      </w:r>
      <w:proofErr w:type="gramEnd"/>
      <w:r w:rsidRPr="001A1E08">
        <w:rPr>
          <w:rFonts w:cs="Times New Roman"/>
          <w:lang w:val="fr-CA"/>
        </w:rPr>
        <w:t xml:space="preserve"> le 42 U.S.C. § 1981.  Les King invoquaient également la </w:t>
      </w:r>
      <w:proofErr w:type="spellStart"/>
      <w:r w:rsidRPr="001A1E08">
        <w:rPr>
          <w:rFonts w:cs="Times New Roman"/>
          <w:i/>
          <w:lang w:val="fr-CA"/>
        </w:rPr>
        <w:t>Federal</w:t>
      </w:r>
      <w:proofErr w:type="spellEnd"/>
      <w:r w:rsidRPr="001A1E08">
        <w:rPr>
          <w:rFonts w:cs="Times New Roman"/>
          <w:i/>
          <w:lang w:val="fr-CA"/>
        </w:rPr>
        <w:t xml:space="preserve"> Aviation </w:t>
      </w:r>
      <w:proofErr w:type="spellStart"/>
      <w:r w:rsidRPr="001A1E08">
        <w:rPr>
          <w:rFonts w:cs="Times New Roman"/>
          <w:i/>
          <w:lang w:val="fr-CA"/>
        </w:rPr>
        <w:t>Act</w:t>
      </w:r>
      <w:proofErr w:type="spellEnd"/>
      <w:r w:rsidRPr="001A1E08">
        <w:rPr>
          <w:rFonts w:cs="Times New Roman"/>
          <w:lang w:val="fr-CA"/>
        </w:rPr>
        <w:t>, 49 U.S.C. § 41310(a), et diverses autres lois des États et lois fédérales.  Ils soutenaient qu’American Airlines [</w:t>
      </w:r>
      <w:r w:rsidRPr="001A1E08">
        <w:rPr>
          <w:rFonts w:cs="Times New Roman"/>
          <w:smallCaps/>
          <w:lang w:val="fr-CA"/>
        </w:rPr>
        <w:t>traduction</w:t>
      </w:r>
      <w:r w:rsidRPr="001A1E08">
        <w:rPr>
          <w:rFonts w:cs="Times New Roman"/>
          <w:lang w:val="fr-CA"/>
        </w:rPr>
        <w:t xml:space="preserve">] </w:t>
      </w:r>
      <w:r w:rsidR="006412AC">
        <w:rPr>
          <w:rFonts w:cs="Times New Roman"/>
          <w:lang w:val="fr-CA"/>
        </w:rPr>
        <w:t>« </w:t>
      </w:r>
      <w:r w:rsidRPr="001A1E08">
        <w:rPr>
          <w:rFonts w:cs="Times New Roman"/>
          <w:lang w:val="fr-CA"/>
        </w:rPr>
        <w:t xml:space="preserve">les avait évincés d’un vol </w:t>
      </w:r>
      <w:proofErr w:type="spellStart"/>
      <w:r w:rsidRPr="001A1E08">
        <w:rPr>
          <w:rFonts w:cs="Times New Roman"/>
          <w:lang w:val="fr-CA"/>
        </w:rPr>
        <w:t>surréservé</w:t>
      </w:r>
      <w:proofErr w:type="spellEnd"/>
      <w:r w:rsidRPr="001A1E08">
        <w:rPr>
          <w:rFonts w:cs="Times New Roman"/>
          <w:lang w:val="fr-CA"/>
        </w:rPr>
        <w:t xml:space="preserve"> en raison de leur race</w:t>
      </w:r>
      <w:r w:rsidR="006412AC">
        <w:rPr>
          <w:rFonts w:cs="Times New Roman"/>
          <w:lang w:val="fr-CA"/>
        </w:rPr>
        <w:t> » :</w:t>
      </w:r>
      <w:r w:rsidRPr="001A1E08">
        <w:rPr>
          <w:rFonts w:cs="Times New Roman"/>
          <w:lang w:val="fr-CA"/>
        </w:rPr>
        <w:t xml:space="preserve"> p.</w:t>
      </w:r>
      <w:r w:rsidR="006412AC">
        <w:rPr>
          <w:rFonts w:cs="Times New Roman"/>
          <w:lang w:val="fr-CA"/>
        </w:rPr>
        <w:t xml:space="preserve"> </w:t>
      </w:r>
      <w:r w:rsidRPr="001A1E08">
        <w:rPr>
          <w:rFonts w:cs="Times New Roman"/>
          <w:lang w:val="fr-CA"/>
        </w:rPr>
        <w:t xml:space="preserve">355.  La Cour d’appel </w:t>
      </w:r>
      <w:r w:rsidR="00F54936">
        <w:rPr>
          <w:rFonts w:cs="Times New Roman"/>
          <w:lang w:val="fr-CA"/>
        </w:rPr>
        <w:t xml:space="preserve">fédérale </w:t>
      </w:r>
      <w:r w:rsidRPr="001A1E08">
        <w:rPr>
          <w:rFonts w:cs="Times New Roman"/>
          <w:lang w:val="fr-CA"/>
        </w:rPr>
        <w:t>des États</w:t>
      </w:r>
      <w:r w:rsidR="006412AC">
        <w:rPr>
          <w:rFonts w:cs="Times New Roman"/>
          <w:lang w:val="fr-CA"/>
        </w:rPr>
        <w:t>-</w:t>
      </w:r>
      <w:r w:rsidRPr="001A1E08">
        <w:rPr>
          <w:rFonts w:cs="Times New Roman"/>
          <w:lang w:val="fr-CA"/>
        </w:rPr>
        <w:t xml:space="preserve">Unis pour le deuxième circuit devait déterminer si la </w:t>
      </w:r>
      <w:r w:rsidRPr="001A1E08">
        <w:rPr>
          <w:rFonts w:cs="Times New Roman"/>
          <w:i/>
          <w:lang w:val="fr-CA"/>
        </w:rPr>
        <w:t xml:space="preserve">Convention de Varsovie </w:t>
      </w:r>
      <w:r w:rsidRPr="001A1E08">
        <w:rPr>
          <w:rFonts w:cs="Times New Roman"/>
          <w:lang w:val="fr-CA"/>
        </w:rPr>
        <w:t>s’appliquait au recours en dommages</w:t>
      </w:r>
      <w:r w:rsidR="006412AC">
        <w:rPr>
          <w:rFonts w:cs="Times New Roman"/>
          <w:lang w:val="fr-CA"/>
        </w:rPr>
        <w:t>-</w:t>
      </w:r>
      <w:r w:rsidRPr="001A1E08">
        <w:rPr>
          <w:rFonts w:cs="Times New Roman"/>
          <w:lang w:val="fr-CA"/>
        </w:rPr>
        <w:t>intérêts des King.  Dans l’affirmative, le recours était irrecevable, puisqu’il avait été exercé après le délai de prescri</w:t>
      </w:r>
      <w:r w:rsidR="003E2AF0">
        <w:rPr>
          <w:rFonts w:cs="Times New Roman"/>
          <w:lang w:val="fr-CA"/>
        </w:rPr>
        <w:t>ption de deux ans prévu à l’article</w:t>
      </w:r>
      <w:r w:rsidR="006412AC">
        <w:rPr>
          <w:rFonts w:cs="Times New Roman"/>
          <w:lang w:val="fr-CA"/>
        </w:rPr>
        <w:t xml:space="preserve"> </w:t>
      </w:r>
      <w:r w:rsidRPr="001A1E08">
        <w:rPr>
          <w:rFonts w:cs="Times New Roman"/>
          <w:lang w:val="fr-CA"/>
        </w:rPr>
        <w:t xml:space="preserve">29 de cette convention.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lastRenderedPageBreak/>
        <w:t xml:space="preserve">S’exprimant au nom de la Cour de circuit, la juge </w:t>
      </w:r>
      <w:proofErr w:type="spellStart"/>
      <w:r w:rsidRPr="001A1E08">
        <w:rPr>
          <w:rFonts w:cs="Times New Roman"/>
          <w:lang w:val="fr-CA"/>
        </w:rPr>
        <w:t>Sotomayor</w:t>
      </w:r>
      <w:proofErr w:type="spellEnd"/>
      <w:r w:rsidRPr="001A1E08">
        <w:rPr>
          <w:rFonts w:cs="Times New Roman"/>
          <w:lang w:val="fr-CA"/>
        </w:rPr>
        <w:t xml:space="preserve"> (maintenant juge à la Cour suprême des États</w:t>
      </w:r>
      <w:r w:rsidR="006412AC">
        <w:rPr>
          <w:rFonts w:cs="Times New Roman"/>
          <w:lang w:val="fr-CA"/>
        </w:rPr>
        <w:t>-</w:t>
      </w:r>
      <w:r w:rsidRPr="001A1E08">
        <w:rPr>
          <w:rFonts w:cs="Times New Roman"/>
          <w:lang w:val="fr-CA"/>
        </w:rPr>
        <w:t>Unis) a conclu que la demande relevait du champ d’a</w:t>
      </w:r>
      <w:r w:rsidR="003E2AF0">
        <w:rPr>
          <w:rFonts w:cs="Times New Roman"/>
          <w:lang w:val="fr-CA"/>
        </w:rPr>
        <w:t>pplication substantiel de l’article</w:t>
      </w:r>
      <w:r w:rsidR="006412AC">
        <w:rPr>
          <w:rFonts w:cs="Times New Roman"/>
          <w:lang w:val="fr-CA"/>
        </w:rPr>
        <w:t xml:space="preserve"> </w:t>
      </w:r>
      <w:r w:rsidRPr="001A1E08">
        <w:rPr>
          <w:rFonts w:cs="Times New Roman"/>
          <w:lang w:val="fr-CA"/>
        </w:rPr>
        <w:t xml:space="preserve">17 de la </w:t>
      </w:r>
      <w:r w:rsidRPr="001A1E08">
        <w:rPr>
          <w:rFonts w:cs="Times New Roman"/>
          <w:i/>
          <w:lang w:val="fr-CA"/>
        </w:rPr>
        <w:t>Convention de Varsovie</w:t>
      </w:r>
      <w:r w:rsidRPr="001A1E08">
        <w:rPr>
          <w:rFonts w:cs="Times New Roman"/>
          <w:lang w:val="fr-CA"/>
        </w:rPr>
        <w:t xml:space="preserve">, lequel s’applique de façon exhaustive aux recours pour préjudice subi </w:t>
      </w:r>
      <w:r w:rsidR="006412AC">
        <w:rPr>
          <w:rFonts w:cs="Times New Roman"/>
          <w:lang w:val="fr-CA"/>
        </w:rPr>
        <w:t>« </w:t>
      </w:r>
      <w:r w:rsidRPr="001A1E08">
        <w:rPr>
          <w:rFonts w:cs="Times New Roman"/>
          <w:lang w:val="fr-CA"/>
        </w:rPr>
        <w:t>au cours de [l’une des] opérations d’embarquement</w:t>
      </w:r>
      <w:r w:rsidR="006412AC">
        <w:rPr>
          <w:rFonts w:cs="Times New Roman"/>
          <w:lang w:val="fr-CA"/>
        </w:rPr>
        <w:t> » :</w:t>
      </w:r>
      <w:r w:rsidRPr="001A1E08">
        <w:rPr>
          <w:rFonts w:cs="Times New Roman"/>
          <w:lang w:val="fr-CA"/>
        </w:rPr>
        <w:t xml:space="preserve"> p.</w:t>
      </w:r>
      <w:r w:rsidR="006412AC">
        <w:rPr>
          <w:rFonts w:cs="Times New Roman"/>
          <w:lang w:val="fr-CA"/>
        </w:rPr>
        <w:t xml:space="preserve"> </w:t>
      </w:r>
      <w:r w:rsidRPr="001A1E08">
        <w:rPr>
          <w:rFonts w:cs="Times New Roman"/>
          <w:lang w:val="fr-CA"/>
        </w:rPr>
        <w:t>359</w:t>
      </w:r>
      <w:r w:rsidR="006412AC">
        <w:rPr>
          <w:rFonts w:cs="Times New Roman"/>
          <w:lang w:val="fr-CA"/>
        </w:rPr>
        <w:t>-</w:t>
      </w:r>
      <w:r w:rsidRPr="001A1E08">
        <w:rPr>
          <w:rFonts w:cs="Times New Roman"/>
          <w:lang w:val="fr-CA"/>
        </w:rPr>
        <w:t>360.  Les King soutenaient cependant que les demandes en matière de droits de la personne fondées sur les lois fédérales ne relevaient pas du régime d’exclusivité qu’était censé</w:t>
      </w:r>
      <w:r w:rsidR="003E2AF0">
        <w:rPr>
          <w:rFonts w:cs="Times New Roman"/>
          <w:lang w:val="fr-CA"/>
        </w:rPr>
        <w:t>e</w:t>
      </w:r>
      <w:r w:rsidRPr="001A1E08">
        <w:rPr>
          <w:rFonts w:cs="Times New Roman"/>
          <w:lang w:val="fr-CA"/>
        </w:rPr>
        <w:t xml:space="preserve"> établir la </w:t>
      </w:r>
      <w:r w:rsidRPr="001A1E08">
        <w:rPr>
          <w:rFonts w:cs="Times New Roman"/>
          <w:i/>
          <w:lang w:val="fr-CA"/>
        </w:rPr>
        <w:t>Convention de Varsovie</w:t>
      </w:r>
      <w:r w:rsidR="006412AC">
        <w:rPr>
          <w:rFonts w:cs="Times New Roman"/>
          <w:lang w:val="fr-CA"/>
        </w:rPr>
        <w:t> :</w:t>
      </w:r>
      <w:r w:rsidRPr="001A1E08">
        <w:rPr>
          <w:rFonts w:cs="Times New Roman"/>
          <w:lang w:val="fr-CA"/>
        </w:rPr>
        <w:t xml:space="preserve"> p.</w:t>
      </w:r>
      <w:r w:rsidR="006412AC">
        <w:rPr>
          <w:rFonts w:cs="Times New Roman"/>
          <w:lang w:val="fr-CA"/>
        </w:rPr>
        <w:t xml:space="preserve"> </w:t>
      </w:r>
      <w:r w:rsidRPr="001A1E08">
        <w:rPr>
          <w:rFonts w:cs="Times New Roman"/>
          <w:lang w:val="fr-CA"/>
        </w:rPr>
        <w:t xml:space="preserve">360.  La juge </w:t>
      </w:r>
      <w:proofErr w:type="spellStart"/>
      <w:r w:rsidRPr="001A1E08">
        <w:rPr>
          <w:rFonts w:cs="Times New Roman"/>
          <w:lang w:val="fr-CA"/>
        </w:rPr>
        <w:t>Sotomayor</w:t>
      </w:r>
      <w:proofErr w:type="spellEnd"/>
      <w:r w:rsidRPr="001A1E08">
        <w:rPr>
          <w:rFonts w:cs="Times New Roman"/>
          <w:lang w:val="fr-CA"/>
        </w:rPr>
        <w:t xml:space="preserve"> a rejeté cet argument</w:t>
      </w:r>
      <w:r w:rsidR="006412AC">
        <w:rPr>
          <w:rFonts w:cs="Times New Roman"/>
          <w:lang w:val="fr-CA"/>
        </w:rPr>
        <w:t> :</w:t>
      </w:r>
    </w:p>
    <w:p w:rsidR="00367456" w:rsidRPr="001A1E08" w:rsidRDefault="00367456" w:rsidP="00A12DCE">
      <w:pPr>
        <w:pStyle w:val="Citation-AltC"/>
        <w:widowControl w:val="0"/>
        <w:spacing w:after="240"/>
        <w:ind w:hanging="1166"/>
        <w:contextualSpacing w:val="0"/>
        <w:rPr>
          <w:lang w:val="fr-CA"/>
        </w:rPr>
      </w:pPr>
      <w:r w:rsidRPr="001A1E08">
        <w:rPr>
          <w:lang w:val="fr-CA"/>
        </w:rPr>
        <w:tab/>
        <w:t>[</w:t>
      </w:r>
      <w:r w:rsidRPr="001A1E08">
        <w:rPr>
          <w:smallCaps/>
          <w:lang w:val="fr-CA"/>
        </w:rPr>
        <w:t>traduction</w:t>
      </w:r>
      <w:r w:rsidRPr="001A1E08">
        <w:rPr>
          <w:lang w:val="fr-CA"/>
        </w:rPr>
        <w:t xml:space="preserve">]  Comme l’indique clairement l’arrêt </w:t>
      </w:r>
      <w:proofErr w:type="spellStart"/>
      <w:r w:rsidRPr="001A1E08">
        <w:rPr>
          <w:i/>
          <w:iCs/>
          <w:lang w:val="fr-CA"/>
        </w:rPr>
        <w:t>Tseng</w:t>
      </w:r>
      <w:proofErr w:type="spellEnd"/>
      <w:r w:rsidRPr="003E2AF0">
        <w:rPr>
          <w:iCs/>
          <w:lang w:val="fr-CA"/>
        </w:rPr>
        <w:t xml:space="preserve">, </w:t>
      </w:r>
      <w:r w:rsidRPr="001A1E08">
        <w:rPr>
          <w:u w:val="single"/>
          <w:lang w:val="fr-CA"/>
        </w:rPr>
        <w:t xml:space="preserve">la portée de la </w:t>
      </w:r>
      <w:r w:rsidRPr="00AE3C6B">
        <w:rPr>
          <w:u w:val="single"/>
          <w:lang w:val="fr-CA"/>
        </w:rPr>
        <w:t>Convention</w:t>
      </w:r>
      <w:r w:rsidRPr="001A1E08">
        <w:rPr>
          <w:u w:val="single"/>
          <w:lang w:val="fr-CA"/>
        </w:rPr>
        <w:t xml:space="preserve"> ne dépend ni de la théorie juridique plaidée ni de la nature du préjudice subi</w:t>
      </w:r>
      <w:r w:rsidRPr="001A1E08">
        <w:rPr>
          <w:lang w:val="fr-CA"/>
        </w:rPr>
        <w:t xml:space="preserve">.  Voir </w:t>
      </w:r>
      <w:proofErr w:type="spellStart"/>
      <w:r w:rsidRPr="001A1E08">
        <w:rPr>
          <w:i/>
          <w:iCs/>
          <w:lang w:val="fr-CA"/>
        </w:rPr>
        <w:t>Tseng</w:t>
      </w:r>
      <w:proofErr w:type="spellEnd"/>
      <w:r w:rsidRPr="001A1E08">
        <w:rPr>
          <w:iCs/>
          <w:lang w:val="fr-CA"/>
        </w:rPr>
        <w:t>,</w:t>
      </w:r>
      <w:r w:rsidRPr="001A1E08">
        <w:rPr>
          <w:i/>
          <w:iCs/>
          <w:lang w:val="fr-CA"/>
        </w:rPr>
        <w:t xml:space="preserve"> </w:t>
      </w:r>
      <w:r w:rsidRPr="001A1E08">
        <w:rPr>
          <w:lang w:val="fr-CA"/>
        </w:rPr>
        <w:t>525 U.S. p.</w:t>
      </w:r>
      <w:r w:rsidR="006412AC">
        <w:rPr>
          <w:lang w:val="fr-CA"/>
        </w:rPr>
        <w:t xml:space="preserve"> </w:t>
      </w:r>
      <w:r w:rsidRPr="001A1E08">
        <w:rPr>
          <w:lang w:val="fr-CA"/>
        </w:rPr>
        <w:t xml:space="preserve">171, 119 </w:t>
      </w:r>
      <w:proofErr w:type="spellStart"/>
      <w:r w:rsidRPr="001A1E08">
        <w:rPr>
          <w:lang w:val="fr-CA"/>
        </w:rPr>
        <w:t>S.Ct</w:t>
      </w:r>
      <w:proofErr w:type="spellEnd"/>
      <w:r w:rsidRPr="001A1E08">
        <w:rPr>
          <w:lang w:val="fr-CA"/>
        </w:rPr>
        <w:t xml:space="preserve">. 662 (rejetant une interprétation de la </w:t>
      </w:r>
      <w:r w:rsidRPr="00AE3C6B">
        <w:rPr>
          <w:lang w:val="fr-CA"/>
        </w:rPr>
        <w:t>Convention</w:t>
      </w:r>
      <w:r w:rsidRPr="001A1E08">
        <w:rPr>
          <w:lang w:val="fr-CA"/>
        </w:rPr>
        <w:t xml:space="preserve"> qui tiendrait compte du type de préjudice subi, parce qu’elle </w:t>
      </w:r>
      <w:r w:rsidR="006412AC">
        <w:rPr>
          <w:lang w:val="fr-CA"/>
        </w:rPr>
        <w:t>« </w:t>
      </w:r>
      <w:r w:rsidRPr="001A1E08">
        <w:rPr>
          <w:lang w:val="fr-CA"/>
        </w:rPr>
        <w:t xml:space="preserve">inciterait </w:t>
      </w:r>
      <w:r>
        <w:rPr>
          <w:lang w:val="fr-CA"/>
        </w:rPr>
        <w:t xml:space="preserve">des demandeurs à tenter d’échapper, par d’habiles plaidoiries, </w:t>
      </w:r>
      <w:r w:rsidRPr="001A1E08">
        <w:rPr>
          <w:lang w:val="fr-CA"/>
        </w:rPr>
        <w:t xml:space="preserve">au régime de responsabilité établi par la </w:t>
      </w:r>
      <w:r w:rsidRPr="00AE3C6B">
        <w:rPr>
          <w:lang w:val="fr-CA"/>
        </w:rPr>
        <w:t>Convention</w:t>
      </w:r>
      <w:r w:rsidRPr="001A1E08">
        <w:rPr>
          <w:lang w:val="fr-CA"/>
        </w:rPr>
        <w:t xml:space="preserve"> dans les cas où le droit interne garantit un dédommagement supérieur à celui prescrit par le traité</w:t>
      </w:r>
      <w:r w:rsidR="006412AC">
        <w:rPr>
          <w:lang w:val="fr-CA"/>
        </w:rPr>
        <w:t> »</w:t>
      </w:r>
      <w:proofErr w:type="gramStart"/>
      <w:r w:rsidRPr="001A1E08">
        <w:rPr>
          <w:lang w:val="fr-CA"/>
        </w:rPr>
        <w:t>)</w:t>
      </w:r>
      <w:r w:rsidR="003E2AF0">
        <w:rPr>
          <w:lang w:val="fr-CA"/>
        </w:rPr>
        <w:t> </w:t>
      </w:r>
      <w:r w:rsidRPr="001A1E08">
        <w:rPr>
          <w:lang w:val="fr-CA"/>
        </w:rPr>
        <w:t>.</w:t>
      </w:r>
      <w:proofErr w:type="gramEnd"/>
      <w:r w:rsidR="003E2AF0">
        <w:rPr>
          <w:lang w:val="fr-CA"/>
        </w:rPr>
        <w:t> . .</w:t>
      </w:r>
    </w:p>
    <w:p w:rsidR="00367456" w:rsidRPr="001A1E08" w:rsidRDefault="00367456" w:rsidP="00A12DCE">
      <w:pPr>
        <w:pStyle w:val="Citation-AltC"/>
        <w:widowControl w:val="0"/>
        <w:spacing w:after="240"/>
        <w:ind w:hanging="1166"/>
        <w:contextualSpacing w:val="0"/>
        <w:rPr>
          <w:lang w:val="fr-CA"/>
        </w:rPr>
      </w:pPr>
      <w:r w:rsidRPr="001A1E08">
        <w:rPr>
          <w:lang w:val="fr-CA"/>
        </w:rPr>
        <w:tab/>
      </w:r>
      <w:r w:rsidRPr="001A1E08">
        <w:rPr>
          <w:lang w:val="fr-CA"/>
        </w:rPr>
        <w:tab/>
      </w:r>
      <w:r w:rsidRPr="001A1E08">
        <w:rPr>
          <w:u w:val="single"/>
          <w:lang w:val="fr-CA"/>
        </w:rPr>
        <w:t xml:space="preserve">En particulier, tous les tribunaux qui ont été appelés, après l’arrêt </w:t>
      </w:r>
      <w:proofErr w:type="spellStart"/>
      <w:r w:rsidRPr="001A1E08">
        <w:rPr>
          <w:i/>
          <w:u w:val="single"/>
          <w:lang w:val="fr-CA"/>
        </w:rPr>
        <w:t>Tseng</w:t>
      </w:r>
      <w:proofErr w:type="spellEnd"/>
      <w:r w:rsidRPr="001A1E08">
        <w:rPr>
          <w:u w:val="single"/>
          <w:lang w:val="fr-CA"/>
        </w:rPr>
        <w:t xml:space="preserve">, à se prononcer sur la question de savoir si la </w:t>
      </w:r>
      <w:r w:rsidRPr="00AE3C6B">
        <w:rPr>
          <w:u w:val="single"/>
          <w:lang w:val="fr-CA"/>
        </w:rPr>
        <w:t>Convention de Varsovie</w:t>
      </w:r>
      <w:r w:rsidRPr="001A1E08">
        <w:rPr>
          <w:u w:val="single"/>
          <w:lang w:val="fr-CA"/>
        </w:rPr>
        <w:t xml:space="preserve"> faisait obstacle aux recours en discrimination sont parvenus à la même conclusion</w:t>
      </w:r>
      <w:r w:rsidR="003E2AF0">
        <w:rPr>
          <w:u w:val="single"/>
          <w:lang w:val="fr-CA"/>
        </w:rPr>
        <w:t>.</w:t>
      </w:r>
      <w:r w:rsidRPr="001A1E08">
        <w:rPr>
          <w:lang w:val="fr-CA"/>
        </w:rPr>
        <w:t xml:space="preserve"> </w:t>
      </w:r>
      <w:r w:rsidR="003E2AF0">
        <w:rPr>
          <w:lang w:val="fr-CA"/>
        </w:rPr>
        <w:t>. .</w:t>
      </w:r>
    </w:p>
    <w:p w:rsidR="00367456" w:rsidRPr="001A1E08" w:rsidRDefault="00367456" w:rsidP="00A12DCE">
      <w:pPr>
        <w:pStyle w:val="Citation-AltC"/>
        <w:widowControl w:val="0"/>
        <w:ind w:hanging="1166"/>
        <w:rPr>
          <w:lang w:val="fr-CA"/>
        </w:rPr>
      </w:pPr>
      <w:r w:rsidRPr="001A1E08">
        <w:rPr>
          <w:lang w:val="fr-CA"/>
        </w:rPr>
        <w:tab/>
      </w:r>
      <w:r w:rsidRPr="001A1E08">
        <w:rPr>
          <w:lang w:val="fr-CA"/>
        </w:rPr>
        <w:tab/>
      </w:r>
      <w:r w:rsidR="003E2AF0">
        <w:rPr>
          <w:lang w:val="fr-CA"/>
        </w:rPr>
        <w:t xml:space="preserve">. . . </w:t>
      </w:r>
      <w:r w:rsidRPr="001A1E08">
        <w:rPr>
          <w:lang w:val="fr-CA"/>
        </w:rPr>
        <w:t xml:space="preserve">Il n’appartient pas aux tribunaux de réécrire les modalités d’un traité conclu entre nations souveraines.  </w:t>
      </w:r>
      <w:r w:rsidRPr="001A1E08">
        <w:rPr>
          <w:i/>
          <w:iCs/>
          <w:lang w:val="fr-CA"/>
        </w:rPr>
        <w:t xml:space="preserve">Cf. </w:t>
      </w:r>
      <w:proofErr w:type="spellStart"/>
      <w:r w:rsidRPr="001A1E08">
        <w:rPr>
          <w:i/>
          <w:iCs/>
          <w:lang w:val="fr-CA"/>
        </w:rPr>
        <w:t>Turturro</w:t>
      </w:r>
      <w:proofErr w:type="spellEnd"/>
      <w:r w:rsidRPr="001A1E08">
        <w:rPr>
          <w:iCs/>
          <w:lang w:val="fr-CA"/>
        </w:rPr>
        <w:t>,</w:t>
      </w:r>
      <w:r w:rsidRPr="001A1E08">
        <w:rPr>
          <w:i/>
          <w:iCs/>
          <w:lang w:val="fr-CA"/>
        </w:rPr>
        <w:t xml:space="preserve"> </w:t>
      </w:r>
      <w:r w:rsidRPr="001A1E08">
        <w:rPr>
          <w:lang w:val="fr-CA"/>
        </w:rPr>
        <w:t xml:space="preserve">128 </w:t>
      </w:r>
      <w:proofErr w:type="spellStart"/>
      <w:r w:rsidRPr="001A1E08">
        <w:rPr>
          <w:lang w:val="fr-CA"/>
        </w:rPr>
        <w:t>F.Supp</w:t>
      </w:r>
      <w:proofErr w:type="spellEnd"/>
      <w:r w:rsidRPr="001A1E08">
        <w:rPr>
          <w:lang w:val="fr-CA"/>
        </w:rPr>
        <w:t>.2d p.</w:t>
      </w:r>
      <w:r w:rsidR="006412AC">
        <w:rPr>
          <w:lang w:val="fr-CA"/>
        </w:rPr>
        <w:t xml:space="preserve"> </w:t>
      </w:r>
      <w:r w:rsidRPr="001A1E08">
        <w:rPr>
          <w:lang w:val="fr-CA"/>
        </w:rPr>
        <w:t>181 (</w:t>
      </w:r>
      <w:r w:rsidR="006412AC">
        <w:rPr>
          <w:lang w:val="fr-CA"/>
        </w:rPr>
        <w:t>« </w:t>
      </w:r>
      <w:r w:rsidRPr="001A1E08">
        <w:rPr>
          <w:lang w:val="fr-CA"/>
        </w:rPr>
        <w:t xml:space="preserve">[L]a </w:t>
      </w:r>
      <w:r w:rsidRPr="00AE3C6B">
        <w:rPr>
          <w:lang w:val="fr-CA"/>
        </w:rPr>
        <w:t>Convention</w:t>
      </w:r>
      <w:r w:rsidRPr="001A1E08">
        <w:rPr>
          <w:lang w:val="fr-CA"/>
        </w:rPr>
        <w:t xml:space="preserve"> limite considérablement l’attribution de dommages</w:t>
      </w:r>
      <w:r w:rsidR="006412AC">
        <w:rPr>
          <w:lang w:val="fr-CA"/>
        </w:rPr>
        <w:t>-</w:t>
      </w:r>
      <w:r w:rsidRPr="001A1E08">
        <w:rPr>
          <w:lang w:val="fr-CA"/>
        </w:rPr>
        <w:t xml:space="preserve">intérêts aux victimes d’horribles actes </w:t>
      </w:r>
      <w:r w:rsidR="003E2AF0">
        <w:rPr>
          <w:lang w:val="fr-CA"/>
        </w:rPr>
        <w:t>[</w:t>
      </w:r>
      <w:r w:rsidRPr="001A1E08">
        <w:rPr>
          <w:lang w:val="fr-CA"/>
        </w:rPr>
        <w:t>de</w:t>
      </w:r>
      <w:r w:rsidR="003E2AF0">
        <w:rPr>
          <w:lang w:val="fr-CA"/>
        </w:rPr>
        <w:t>]</w:t>
      </w:r>
      <w:r w:rsidRPr="001A1E08">
        <w:rPr>
          <w:lang w:val="fr-CA"/>
        </w:rPr>
        <w:t xml:space="preserve"> terrorisme; le fait que la </w:t>
      </w:r>
      <w:r w:rsidRPr="00AE3C6B">
        <w:rPr>
          <w:lang w:val="fr-CA"/>
        </w:rPr>
        <w:t>Convention</w:t>
      </w:r>
      <w:r w:rsidRPr="001A1E08">
        <w:rPr>
          <w:lang w:val="fr-CA"/>
        </w:rPr>
        <w:t xml:space="preserve"> restreigne également l’indemnisation pour [</w:t>
      </w:r>
      <w:r w:rsidR="00A12DCE">
        <w:rPr>
          <w:lang w:val="fr-CA"/>
        </w:rPr>
        <w:t>. . .</w:t>
      </w:r>
      <w:r w:rsidRPr="001A1E08">
        <w:rPr>
          <w:lang w:val="fr-CA"/>
        </w:rPr>
        <w:t>] la discrimination ne devrait surprendre personne.</w:t>
      </w:r>
      <w:r w:rsidR="006412AC">
        <w:rPr>
          <w:lang w:val="fr-CA"/>
        </w:rPr>
        <w:t> »</w:t>
      </w:r>
      <w:r w:rsidRPr="001A1E08">
        <w:rPr>
          <w:lang w:val="fr-CA"/>
        </w:rPr>
        <w:t>).  [Je souligne; p.</w:t>
      </w:r>
      <w:r w:rsidR="006412AC">
        <w:rPr>
          <w:lang w:val="fr-CA"/>
        </w:rPr>
        <w:t xml:space="preserve"> </w:t>
      </w:r>
      <w:r w:rsidRPr="001A1E08">
        <w:rPr>
          <w:lang w:val="fr-CA"/>
        </w:rPr>
        <w:t>361</w:t>
      </w:r>
      <w:r w:rsidR="006412AC">
        <w:rPr>
          <w:lang w:val="fr-CA"/>
        </w:rPr>
        <w:t>-</w:t>
      </w:r>
      <w:r w:rsidRPr="001A1E08">
        <w:rPr>
          <w:lang w:val="fr-CA"/>
        </w:rPr>
        <w:t>362.]</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Cette décision est très pertinente, car l’argument des King suivant lequel les recours en dommages</w:t>
      </w:r>
      <w:r w:rsidR="006412AC">
        <w:rPr>
          <w:rFonts w:cs="Times New Roman"/>
          <w:lang w:val="fr-CA"/>
        </w:rPr>
        <w:t>-</w:t>
      </w:r>
      <w:r w:rsidRPr="001A1E08">
        <w:rPr>
          <w:rFonts w:cs="Times New Roman"/>
          <w:lang w:val="fr-CA"/>
        </w:rPr>
        <w:t xml:space="preserve">intérêts pour atteinte aux droits de la personne n’étaient pas exclus par la </w:t>
      </w:r>
      <w:r w:rsidRPr="001A1E08">
        <w:rPr>
          <w:rFonts w:cs="Times New Roman"/>
          <w:i/>
          <w:lang w:val="fr-CA"/>
        </w:rPr>
        <w:t>Convention de Varsovie</w:t>
      </w:r>
      <w:r w:rsidRPr="001A1E08">
        <w:rPr>
          <w:rFonts w:cs="Times New Roman"/>
          <w:lang w:val="fr-CA"/>
        </w:rPr>
        <w:t xml:space="preserve"> s’apparente à celui avancé par les appelants en </w:t>
      </w:r>
      <w:r w:rsidRPr="001A1E08">
        <w:rPr>
          <w:rFonts w:cs="Times New Roman"/>
          <w:lang w:val="fr-CA"/>
        </w:rPr>
        <w:lastRenderedPageBreak/>
        <w:t>l’espèce, à savoir que les recours en dommages</w:t>
      </w:r>
      <w:r w:rsidR="006412AC">
        <w:rPr>
          <w:rFonts w:cs="Times New Roman"/>
          <w:lang w:val="fr-CA"/>
        </w:rPr>
        <w:t>-</w:t>
      </w:r>
      <w:r w:rsidRPr="001A1E08">
        <w:rPr>
          <w:rFonts w:cs="Times New Roman"/>
          <w:lang w:val="fr-CA"/>
        </w:rPr>
        <w:t xml:space="preserve">intérêts pour violation des droits linguistiques ne sont pas exclus.  Le raisonnement suivi dans l’arrêt </w:t>
      </w:r>
      <w:r w:rsidRPr="005E3AE4">
        <w:rPr>
          <w:rFonts w:cs="Times New Roman"/>
          <w:i/>
          <w:lang w:val="fr-CA"/>
        </w:rPr>
        <w:t>King</w:t>
      </w:r>
      <w:r w:rsidRPr="001A1E08">
        <w:rPr>
          <w:rFonts w:cs="Times New Roman"/>
          <w:lang w:val="fr-CA"/>
        </w:rPr>
        <w:t xml:space="preserve"> par la cour, qui a conclu que l’exclusion s’applique, étaye la même conclusion en l’espèce.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De même, dans l’affaire </w:t>
      </w:r>
      <w:r w:rsidRPr="001A1E08">
        <w:rPr>
          <w:rFonts w:cs="Times New Roman"/>
          <w:i/>
          <w:lang w:val="fr-CA"/>
        </w:rPr>
        <w:t>Gibbs c. American Airlines, Inc.</w:t>
      </w:r>
      <w:r w:rsidRPr="001A1E08">
        <w:rPr>
          <w:rFonts w:cs="Times New Roman"/>
          <w:lang w:val="fr-CA"/>
        </w:rPr>
        <w:t xml:space="preserve">, 191 </w:t>
      </w:r>
      <w:proofErr w:type="spellStart"/>
      <w:r w:rsidRPr="001A1E08">
        <w:rPr>
          <w:rFonts w:cs="Times New Roman"/>
          <w:lang w:val="fr-CA"/>
        </w:rPr>
        <w:t>F.Supp</w:t>
      </w:r>
      <w:proofErr w:type="spellEnd"/>
      <w:r w:rsidRPr="001A1E08">
        <w:rPr>
          <w:rFonts w:cs="Times New Roman"/>
          <w:lang w:val="fr-CA"/>
        </w:rPr>
        <w:t>.2d 144 (D.D.C. 2002), M.</w:t>
      </w:r>
      <w:r w:rsidR="006412AC">
        <w:rPr>
          <w:rFonts w:cs="Times New Roman"/>
          <w:lang w:val="fr-CA"/>
        </w:rPr>
        <w:t xml:space="preserve"> </w:t>
      </w:r>
      <w:r w:rsidRPr="001A1E08">
        <w:rPr>
          <w:rFonts w:cs="Times New Roman"/>
          <w:lang w:val="fr-CA"/>
        </w:rPr>
        <w:t>Gibbs a poursuivi American Airlines en vertu du 42 U.S.C. § 1981, alléguant que le transporteur aérien [</w:t>
      </w:r>
      <w:r w:rsidRPr="001A1E08">
        <w:rPr>
          <w:rFonts w:cs="Times New Roman"/>
          <w:smallCaps/>
          <w:lang w:val="fr-CA"/>
        </w:rPr>
        <w:t>traduction</w:t>
      </w:r>
      <w:r w:rsidRPr="001A1E08">
        <w:rPr>
          <w:rFonts w:cs="Times New Roman"/>
          <w:lang w:val="fr-CA"/>
        </w:rPr>
        <w:t xml:space="preserve">] </w:t>
      </w:r>
      <w:r w:rsidR="006412AC">
        <w:rPr>
          <w:rFonts w:cs="Times New Roman"/>
          <w:lang w:val="fr-CA"/>
        </w:rPr>
        <w:t>« </w:t>
      </w:r>
      <w:r w:rsidRPr="001A1E08">
        <w:rPr>
          <w:rFonts w:cs="Times New Roman"/>
          <w:lang w:val="fr-CA"/>
        </w:rPr>
        <w:t>avait refusé d’exécuter son obligation contractuelle de le transporter [</w:t>
      </w:r>
      <w:r w:rsidR="00A12DCE">
        <w:rPr>
          <w:rFonts w:cs="Times New Roman"/>
          <w:lang w:val="fr-CA"/>
        </w:rPr>
        <w:t>. . .</w:t>
      </w:r>
      <w:r w:rsidRPr="001A1E08">
        <w:rPr>
          <w:rFonts w:cs="Times New Roman"/>
          <w:lang w:val="fr-CA"/>
        </w:rPr>
        <w:t>] du fait de sa race</w:t>
      </w:r>
      <w:r w:rsidR="006412AC">
        <w:rPr>
          <w:rFonts w:cs="Times New Roman"/>
          <w:lang w:val="fr-CA"/>
        </w:rPr>
        <w:t> » :</w:t>
      </w:r>
      <w:r w:rsidRPr="001A1E08">
        <w:rPr>
          <w:rFonts w:cs="Times New Roman"/>
          <w:lang w:val="fr-CA"/>
        </w:rPr>
        <w:t xml:space="preserve"> p.</w:t>
      </w:r>
      <w:r w:rsidR="006412AC">
        <w:rPr>
          <w:rFonts w:cs="Times New Roman"/>
          <w:lang w:val="fr-CA"/>
        </w:rPr>
        <w:t xml:space="preserve"> </w:t>
      </w:r>
      <w:r w:rsidRPr="001A1E08">
        <w:rPr>
          <w:rFonts w:cs="Times New Roman"/>
          <w:lang w:val="fr-CA"/>
        </w:rPr>
        <w:t>146</w:t>
      </w:r>
      <w:r w:rsidR="006412AC">
        <w:rPr>
          <w:rFonts w:cs="Times New Roman"/>
          <w:lang w:val="fr-CA"/>
        </w:rPr>
        <w:t>-</w:t>
      </w:r>
      <w:r w:rsidRPr="001A1E08">
        <w:rPr>
          <w:rFonts w:cs="Times New Roman"/>
          <w:lang w:val="fr-CA"/>
        </w:rPr>
        <w:t>147.  Monsieur</w:t>
      </w:r>
      <w:r w:rsidR="006412AC">
        <w:rPr>
          <w:rFonts w:cs="Times New Roman"/>
          <w:lang w:val="fr-CA"/>
        </w:rPr>
        <w:t xml:space="preserve"> </w:t>
      </w:r>
      <w:r w:rsidRPr="001A1E08">
        <w:rPr>
          <w:rFonts w:cs="Times New Roman"/>
          <w:lang w:val="fr-CA"/>
        </w:rPr>
        <w:t xml:space="preserve">Gibbs soutenait que le </w:t>
      </w:r>
      <w:r w:rsidR="006412AC">
        <w:rPr>
          <w:rFonts w:cs="Times New Roman"/>
          <w:lang w:val="fr-CA"/>
        </w:rPr>
        <w:t>« </w:t>
      </w:r>
      <w:r w:rsidRPr="001A1E08">
        <w:rPr>
          <w:rFonts w:cs="Times New Roman"/>
          <w:lang w:val="fr-CA"/>
        </w:rPr>
        <w:t>Congrès ne voulait pas que la Convention [de Varsovie] entrave l’exercice de recours relatifs aux droits de la personne qui reposent sur la Constitution [américaine], tels que les actions fondées sur l’art.</w:t>
      </w:r>
      <w:r w:rsidR="006412AC">
        <w:rPr>
          <w:rFonts w:cs="Times New Roman"/>
          <w:lang w:val="fr-CA"/>
        </w:rPr>
        <w:t xml:space="preserve"> </w:t>
      </w:r>
      <w:r w:rsidRPr="001A1E08">
        <w:rPr>
          <w:rFonts w:cs="Times New Roman"/>
          <w:lang w:val="fr-CA"/>
        </w:rPr>
        <w:t>1981</w:t>
      </w:r>
      <w:r w:rsidR="006412AC">
        <w:rPr>
          <w:rFonts w:cs="Times New Roman"/>
          <w:lang w:val="fr-CA"/>
        </w:rPr>
        <w:t> » :</w:t>
      </w:r>
      <w:r w:rsidRPr="001A1E08">
        <w:rPr>
          <w:rFonts w:cs="Times New Roman"/>
          <w:lang w:val="fr-CA"/>
        </w:rPr>
        <w:t xml:space="preserve"> p.</w:t>
      </w:r>
      <w:r w:rsidR="006412AC">
        <w:rPr>
          <w:rFonts w:cs="Times New Roman"/>
          <w:lang w:val="fr-CA"/>
        </w:rPr>
        <w:t xml:space="preserve"> </w:t>
      </w:r>
      <w:r w:rsidRPr="001A1E08">
        <w:rPr>
          <w:rFonts w:cs="Times New Roman"/>
          <w:lang w:val="fr-CA"/>
        </w:rPr>
        <w:t>148.  Le juge Kennedy, de la Cour de district des États</w:t>
      </w:r>
      <w:r w:rsidR="006412AC">
        <w:rPr>
          <w:rFonts w:cs="Times New Roman"/>
          <w:lang w:val="fr-CA"/>
        </w:rPr>
        <w:t>-</w:t>
      </w:r>
      <w:r w:rsidRPr="001A1E08">
        <w:rPr>
          <w:rFonts w:cs="Times New Roman"/>
          <w:lang w:val="fr-CA"/>
        </w:rPr>
        <w:t xml:space="preserve">Unis pour le district de Columbia, a toutefois rejeté cet argument et conclu que les </w:t>
      </w:r>
      <w:r w:rsidR="006412AC">
        <w:rPr>
          <w:rFonts w:cs="Times New Roman"/>
          <w:lang w:val="fr-CA"/>
        </w:rPr>
        <w:t>« </w:t>
      </w:r>
      <w:r w:rsidRPr="001A1E08">
        <w:rPr>
          <w:rFonts w:cs="Times New Roman"/>
          <w:lang w:val="fr-CA"/>
        </w:rPr>
        <w:t xml:space="preserve">conséquences négatives qui, selon la Cour dans l’arrêt </w:t>
      </w:r>
      <w:proofErr w:type="spellStart"/>
      <w:r w:rsidRPr="001A1E08">
        <w:rPr>
          <w:rFonts w:cs="Times New Roman"/>
          <w:i/>
          <w:iCs/>
          <w:lang w:val="fr-CA"/>
        </w:rPr>
        <w:t>Tseng</w:t>
      </w:r>
      <w:proofErr w:type="spellEnd"/>
      <w:r w:rsidRPr="001A1E08">
        <w:rPr>
          <w:rFonts w:cs="Times New Roman"/>
          <w:iCs/>
          <w:lang w:val="fr-CA"/>
        </w:rPr>
        <w:t>,</w:t>
      </w:r>
      <w:r w:rsidRPr="001A1E08">
        <w:rPr>
          <w:rFonts w:cs="Times New Roman"/>
          <w:i/>
          <w:iCs/>
          <w:lang w:val="fr-CA"/>
        </w:rPr>
        <w:t xml:space="preserve"> </w:t>
      </w:r>
      <w:r w:rsidRPr="001A1E08">
        <w:rPr>
          <w:rFonts w:cs="Times New Roman"/>
          <w:lang w:val="fr-CA"/>
        </w:rPr>
        <w:t xml:space="preserve">découleraient d’une </w:t>
      </w:r>
      <w:r w:rsidR="00CB3AF7">
        <w:rPr>
          <w:rFonts w:cs="Times New Roman"/>
          <w:lang w:val="fr-CA"/>
        </w:rPr>
        <w:t>« </w:t>
      </w:r>
      <w:r w:rsidRPr="001A1E08">
        <w:rPr>
          <w:rFonts w:cs="Times New Roman"/>
          <w:lang w:val="fr-CA"/>
        </w:rPr>
        <w:t>interprétation de la Convention [de Varsovie] [</w:t>
      </w:r>
      <w:r w:rsidR="00A12DCE">
        <w:rPr>
          <w:rFonts w:cs="Times New Roman"/>
          <w:lang w:val="fr-CA"/>
        </w:rPr>
        <w:t>. . .</w:t>
      </w:r>
      <w:r w:rsidRPr="001A1E08">
        <w:rPr>
          <w:rFonts w:cs="Times New Roman"/>
          <w:lang w:val="fr-CA"/>
        </w:rPr>
        <w:t xml:space="preserve">] qui permettrait aux passagers de se pourvoir en justice en vertu du droit interne, alors que la Convention [de Varsovie] ne </w:t>
      </w:r>
      <w:r>
        <w:rPr>
          <w:rFonts w:cs="Times New Roman"/>
          <w:lang w:val="fr-CA"/>
        </w:rPr>
        <w:t>p</w:t>
      </w:r>
      <w:r w:rsidRPr="001A1E08">
        <w:rPr>
          <w:rFonts w:cs="Times New Roman"/>
          <w:lang w:val="fr-CA"/>
        </w:rPr>
        <w:t xml:space="preserve">ermet pas l’indemnisation, ne sont pas moins susceptibles de se produire dans les cas de recours pour discrimination prévus par la loi que dans ceux des recours de </w:t>
      </w:r>
      <w:proofErr w:type="spellStart"/>
      <w:r w:rsidRPr="001A1E08">
        <w:rPr>
          <w:rFonts w:cs="Times New Roman"/>
          <w:lang w:val="fr-CA"/>
        </w:rPr>
        <w:t>common</w:t>
      </w:r>
      <w:proofErr w:type="spellEnd"/>
      <w:r w:rsidRPr="001A1E08">
        <w:rPr>
          <w:rFonts w:cs="Times New Roman"/>
          <w:lang w:val="fr-CA"/>
        </w:rPr>
        <w:t xml:space="preserve"> </w:t>
      </w:r>
      <w:proofErr w:type="spellStart"/>
      <w:r w:rsidRPr="001A1E08">
        <w:rPr>
          <w:rFonts w:cs="Times New Roman"/>
          <w:lang w:val="fr-CA"/>
        </w:rPr>
        <w:t>law</w:t>
      </w:r>
      <w:proofErr w:type="spellEnd"/>
      <w:r w:rsidR="006412AC">
        <w:rPr>
          <w:rFonts w:cs="Times New Roman"/>
          <w:lang w:val="fr-CA"/>
        </w:rPr>
        <w:t> » :</w:t>
      </w:r>
      <w:r w:rsidRPr="001A1E08">
        <w:rPr>
          <w:rFonts w:cs="Times New Roman"/>
          <w:lang w:val="fr-CA"/>
        </w:rPr>
        <w:t xml:space="preserve"> </w:t>
      </w:r>
      <w:r w:rsidRPr="001A1E08">
        <w:rPr>
          <w:rFonts w:cs="Times New Roman"/>
          <w:i/>
          <w:lang w:val="fr-CA"/>
        </w:rPr>
        <w:t>ibid</w:t>
      </w:r>
      <w:r w:rsidRPr="001A1E08">
        <w:rPr>
          <w:rFonts w:cs="Times New Roman"/>
          <w:lang w:val="fr-CA"/>
        </w:rPr>
        <w:t xml:space="preserve">., citant </w:t>
      </w:r>
      <w:proofErr w:type="spellStart"/>
      <w:r w:rsidRPr="001A1E08">
        <w:rPr>
          <w:rFonts w:cs="Times New Roman"/>
          <w:i/>
          <w:lang w:val="fr-CA"/>
        </w:rPr>
        <w:t>Tseng</w:t>
      </w:r>
      <w:proofErr w:type="spellEnd"/>
      <w:r w:rsidRPr="001A1E08">
        <w:rPr>
          <w:rFonts w:cs="Times New Roman"/>
          <w:lang w:val="fr-CA"/>
        </w:rPr>
        <w:t>, p.</w:t>
      </w:r>
      <w:r w:rsidR="006412AC">
        <w:rPr>
          <w:rFonts w:cs="Times New Roman"/>
          <w:lang w:val="fr-CA"/>
        </w:rPr>
        <w:t xml:space="preserve"> </w:t>
      </w:r>
      <w:r w:rsidRPr="001A1E08">
        <w:rPr>
          <w:rFonts w:cs="Times New Roman"/>
          <w:lang w:val="fr-CA"/>
        </w:rPr>
        <w:t>171.  Comme l’a expliqué le juge</w:t>
      </w:r>
      <w:r w:rsidR="006412AC">
        <w:rPr>
          <w:rFonts w:cs="Times New Roman"/>
          <w:lang w:val="fr-CA"/>
        </w:rPr>
        <w:t xml:space="preserve"> </w:t>
      </w:r>
      <w:r w:rsidRPr="001A1E08">
        <w:rPr>
          <w:rFonts w:cs="Times New Roman"/>
          <w:lang w:val="fr-CA"/>
        </w:rPr>
        <w:t xml:space="preserve">Kennedy, </w:t>
      </w:r>
      <w:r w:rsidR="006412AC">
        <w:rPr>
          <w:rFonts w:cs="Times New Roman"/>
          <w:lang w:val="fr-CA"/>
        </w:rPr>
        <w:t>« </w:t>
      </w:r>
      <w:r w:rsidRPr="001A1E08">
        <w:rPr>
          <w:rFonts w:cs="Times New Roman"/>
          <w:lang w:val="fr-CA"/>
        </w:rPr>
        <w:t>l’objectif premier de la Convention [de Varsovie] est d’empêcher que la responsabilité varie en fonction du droit interne</w:t>
      </w:r>
      <w:r w:rsidR="006412AC">
        <w:rPr>
          <w:rFonts w:cs="Times New Roman"/>
          <w:lang w:val="fr-CA"/>
        </w:rPr>
        <w:t> »</w:t>
      </w:r>
      <w:r w:rsidRPr="001A1E08">
        <w:rPr>
          <w:rFonts w:cs="Times New Roman"/>
          <w:lang w:val="fr-CA"/>
        </w:rPr>
        <w:t xml:space="preserve">, et que pour cette raison, l’objectif en question  </w:t>
      </w:r>
      <w:r w:rsidR="006412AC">
        <w:rPr>
          <w:rFonts w:cs="Times New Roman"/>
          <w:lang w:val="fr-CA"/>
        </w:rPr>
        <w:t>« </w:t>
      </w:r>
      <w:r w:rsidRPr="001A1E08">
        <w:rPr>
          <w:rFonts w:cs="Times New Roman"/>
          <w:lang w:val="fr-CA"/>
        </w:rPr>
        <w:t>ne fait aucune distinction entre les différents types de droit interne; il ne fait de distinction qu’entre le droit interne et le droit international</w:t>
      </w:r>
      <w:r w:rsidR="006412AC">
        <w:rPr>
          <w:rFonts w:cs="Times New Roman"/>
          <w:lang w:val="fr-CA"/>
        </w:rPr>
        <w:t> » :</w:t>
      </w:r>
      <w:r w:rsidRPr="001A1E08">
        <w:rPr>
          <w:rFonts w:cs="Times New Roman"/>
          <w:lang w:val="fr-CA"/>
        </w:rPr>
        <w:t xml:space="preserve"> p.</w:t>
      </w:r>
      <w:r w:rsidR="006412AC">
        <w:rPr>
          <w:rFonts w:cs="Times New Roman"/>
          <w:lang w:val="fr-CA"/>
        </w:rPr>
        <w:t xml:space="preserve"> </w:t>
      </w:r>
      <w:r w:rsidRPr="001A1E08">
        <w:rPr>
          <w:rFonts w:cs="Times New Roman"/>
          <w:lang w:val="fr-CA"/>
        </w:rPr>
        <w:t xml:space="preserve">149.  Ainsi, </w:t>
      </w:r>
      <w:r w:rsidR="006412AC">
        <w:rPr>
          <w:rFonts w:cs="Times New Roman"/>
          <w:lang w:val="fr-CA"/>
        </w:rPr>
        <w:t>« </w:t>
      </w:r>
      <w:r w:rsidRPr="001A1E08">
        <w:rPr>
          <w:rFonts w:cs="Times New Roman"/>
          <w:lang w:val="fr-CA"/>
        </w:rPr>
        <w:t>[l]es lois fédérales sur la discrimination appartiennent clairement à la première catégorie</w:t>
      </w:r>
      <w:r w:rsidR="006412AC">
        <w:rPr>
          <w:rFonts w:cs="Times New Roman"/>
          <w:lang w:val="fr-CA"/>
        </w:rPr>
        <w:t> » :</w:t>
      </w:r>
      <w:r w:rsidRPr="001A1E08">
        <w:rPr>
          <w:rFonts w:cs="Times New Roman"/>
          <w:lang w:val="fr-CA"/>
        </w:rPr>
        <w:t xml:space="preserve"> </w:t>
      </w:r>
      <w:r w:rsidRPr="001A1E08">
        <w:rPr>
          <w:rFonts w:cs="Times New Roman"/>
          <w:i/>
          <w:lang w:val="fr-CA"/>
        </w:rPr>
        <w:t>ibid.</w:t>
      </w:r>
      <w:r w:rsidRPr="001A1E08">
        <w:rPr>
          <w:rFonts w:cs="Times New Roman"/>
          <w:lang w:val="fr-CA"/>
        </w:rPr>
        <w:t xml:space="preserve">  En ce qui concerne </w:t>
      </w:r>
      <w:r w:rsidRPr="001A1E08">
        <w:rPr>
          <w:rFonts w:cs="Times New Roman"/>
          <w:lang w:val="fr-CA"/>
        </w:rPr>
        <w:lastRenderedPageBreak/>
        <w:t xml:space="preserve">l’application de la </w:t>
      </w:r>
      <w:r w:rsidRPr="001A1E08">
        <w:rPr>
          <w:rFonts w:cs="Times New Roman"/>
          <w:i/>
          <w:lang w:val="fr-CA"/>
        </w:rPr>
        <w:t>Convention de Varsovie</w:t>
      </w:r>
      <w:r w:rsidRPr="001A1E08">
        <w:rPr>
          <w:rFonts w:cs="Times New Roman"/>
          <w:lang w:val="fr-CA"/>
        </w:rPr>
        <w:t xml:space="preserve"> aux recours en matière de droits de la personne, voir également </w:t>
      </w:r>
      <w:proofErr w:type="spellStart"/>
      <w:r w:rsidRPr="001A1E08">
        <w:rPr>
          <w:rFonts w:cs="Times New Roman"/>
          <w:i/>
          <w:lang w:val="fr-CA"/>
        </w:rPr>
        <w:t>Turturro</w:t>
      </w:r>
      <w:proofErr w:type="spellEnd"/>
      <w:r w:rsidRPr="001A1E08">
        <w:rPr>
          <w:rFonts w:cs="Times New Roman"/>
          <w:i/>
          <w:lang w:val="fr-CA"/>
        </w:rPr>
        <w:t xml:space="preserve"> c. Continental Airlines</w:t>
      </w:r>
      <w:r w:rsidRPr="001A1E08">
        <w:rPr>
          <w:rFonts w:cs="Times New Roman"/>
          <w:lang w:val="fr-CA"/>
        </w:rPr>
        <w:t xml:space="preserve">, 128 </w:t>
      </w:r>
      <w:proofErr w:type="spellStart"/>
      <w:r w:rsidRPr="001A1E08">
        <w:rPr>
          <w:rFonts w:cs="Times New Roman"/>
          <w:lang w:val="fr-CA"/>
        </w:rPr>
        <w:t>F.Supp</w:t>
      </w:r>
      <w:proofErr w:type="spellEnd"/>
      <w:r w:rsidRPr="001A1E08">
        <w:rPr>
          <w:rFonts w:cs="Times New Roman"/>
          <w:lang w:val="fr-CA"/>
        </w:rPr>
        <w:t xml:space="preserve">.2d 170 (S.D.N.Y. 2001), et </w:t>
      </w:r>
      <w:r w:rsidRPr="001A1E08">
        <w:rPr>
          <w:rFonts w:cs="Times New Roman"/>
          <w:i/>
          <w:iCs/>
          <w:lang w:val="fr-CA"/>
        </w:rPr>
        <w:t>Brandt c. American Airlines</w:t>
      </w:r>
      <w:r w:rsidRPr="001A1E08">
        <w:rPr>
          <w:rFonts w:cs="Times New Roman"/>
          <w:iCs/>
          <w:lang w:val="fr-CA"/>
        </w:rPr>
        <w:t>,</w:t>
      </w:r>
      <w:r w:rsidRPr="001A1E08">
        <w:rPr>
          <w:rFonts w:cs="Times New Roman"/>
          <w:lang w:val="fr-CA"/>
        </w:rPr>
        <w:t xml:space="preserve"> 2000 WL 288393 (N.D. Cal.).</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La jurisprudence des autres pays, y compris une très récente décision de la Cour suprême du Royaume</w:t>
      </w:r>
      <w:r w:rsidR="006412AC">
        <w:rPr>
          <w:rFonts w:cs="Times New Roman"/>
          <w:lang w:val="fr-CA"/>
        </w:rPr>
        <w:t>-</w:t>
      </w:r>
      <w:r w:rsidRPr="001A1E08">
        <w:rPr>
          <w:rFonts w:cs="Times New Roman"/>
          <w:lang w:val="fr-CA"/>
        </w:rPr>
        <w:t xml:space="preserve">Uni, appuie également l’opinion selon laquelle l’application de </w:t>
      </w:r>
      <w:r w:rsidR="00CB3AF7">
        <w:rPr>
          <w:rFonts w:cs="Times New Roman"/>
          <w:lang w:val="fr-CA"/>
        </w:rPr>
        <w:t>l’</w:t>
      </w:r>
      <w:r w:rsidRPr="001A1E08">
        <w:rPr>
          <w:rFonts w:cs="Times New Roman"/>
          <w:lang w:val="fr-CA"/>
        </w:rPr>
        <w:t xml:space="preserve">exclusion prévue par la </w:t>
      </w:r>
      <w:r w:rsidRPr="001A1E08">
        <w:rPr>
          <w:rFonts w:cs="Times New Roman"/>
          <w:i/>
          <w:lang w:val="fr-CA"/>
        </w:rPr>
        <w:t>Convention de Montréal</w:t>
      </w:r>
      <w:r w:rsidRPr="001A1E08">
        <w:rPr>
          <w:rFonts w:cs="Times New Roman"/>
          <w:lang w:val="fr-CA"/>
        </w:rPr>
        <w:t xml:space="preserve"> dépend de la question de savoir si le recours en cause est un recours en dommages</w:t>
      </w:r>
      <w:r w:rsidR="006412AC">
        <w:rPr>
          <w:rFonts w:cs="Times New Roman"/>
          <w:lang w:val="fr-CA"/>
        </w:rPr>
        <w:t>-</w:t>
      </w:r>
      <w:r w:rsidRPr="001A1E08">
        <w:rPr>
          <w:rFonts w:cs="Times New Roman"/>
          <w:lang w:val="fr-CA"/>
        </w:rPr>
        <w:t xml:space="preserve">intérêts qui se rapporte aux circonstances envisagées par la </w:t>
      </w:r>
      <w:r w:rsidRPr="001A1E08">
        <w:rPr>
          <w:rFonts w:cs="Times New Roman"/>
          <w:i/>
          <w:lang w:val="fr-CA"/>
        </w:rPr>
        <w:t>Convention</w:t>
      </w:r>
      <w:r w:rsidRPr="001A1E08">
        <w:rPr>
          <w:rFonts w:cs="Times New Roman"/>
          <w:lang w:val="fr-CA"/>
        </w:rPr>
        <w:t xml:space="preserve"> </w:t>
      </w:r>
      <w:r w:rsidRPr="001A1E08">
        <w:rPr>
          <w:rFonts w:cs="Times New Roman"/>
          <w:i/>
          <w:lang w:val="fr-CA"/>
        </w:rPr>
        <w:t>de Montréal</w:t>
      </w:r>
      <w:r w:rsidRPr="001A1E08">
        <w:rPr>
          <w:rFonts w:cs="Times New Roman"/>
          <w:lang w:val="fr-CA"/>
        </w:rPr>
        <w:t>, et non de la prétendue source de l’obligation de verser de tels dommages</w:t>
      </w:r>
      <w:r w:rsidR="006412AC">
        <w:rPr>
          <w:rFonts w:cs="Times New Roman"/>
          <w:lang w:val="fr-CA"/>
        </w:rPr>
        <w:t>-</w:t>
      </w:r>
      <w:r w:rsidRPr="001A1E08">
        <w:rPr>
          <w:rFonts w:cs="Times New Roman"/>
          <w:lang w:val="fr-CA"/>
        </w:rPr>
        <w:t xml:space="preserve">intérêts.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Dans </w:t>
      </w:r>
      <w:proofErr w:type="spellStart"/>
      <w:r w:rsidRPr="001A1E08">
        <w:rPr>
          <w:rFonts w:cs="Times New Roman"/>
          <w:i/>
          <w:lang w:val="fr-CA"/>
        </w:rPr>
        <w:t>Stott</w:t>
      </w:r>
      <w:proofErr w:type="spellEnd"/>
      <w:r w:rsidRPr="001A1E08">
        <w:rPr>
          <w:rFonts w:cs="Times New Roman"/>
          <w:lang w:val="fr-CA"/>
        </w:rPr>
        <w:t>, le demandeur, un passager handicapé qui se déplaçait en fauteuil roulant, réclamait des dommages</w:t>
      </w:r>
      <w:r w:rsidR="006412AC">
        <w:rPr>
          <w:rFonts w:cs="Times New Roman"/>
          <w:lang w:val="fr-CA"/>
        </w:rPr>
        <w:t>-</w:t>
      </w:r>
      <w:r w:rsidRPr="001A1E08">
        <w:rPr>
          <w:rFonts w:cs="Times New Roman"/>
          <w:lang w:val="fr-CA"/>
        </w:rPr>
        <w:t xml:space="preserve">intérêts à la suite d’une série de violations, par les organisateurs de voyages Thomas Cook, du </w:t>
      </w:r>
      <w:r w:rsidRPr="001A1E08">
        <w:rPr>
          <w:rFonts w:cs="Times New Roman"/>
          <w:i/>
          <w:lang w:val="fr-CA"/>
        </w:rPr>
        <w:t>Civil Aviation</w:t>
      </w:r>
      <w:r w:rsidRPr="001A1E08">
        <w:rPr>
          <w:rFonts w:cs="Times New Roman"/>
          <w:lang w:val="fr-CA"/>
        </w:rPr>
        <w:t xml:space="preserve"> </w:t>
      </w:r>
      <w:r w:rsidRPr="003E2AF0">
        <w:rPr>
          <w:rFonts w:cs="Times New Roman"/>
          <w:i/>
          <w:lang w:val="fr-CA"/>
        </w:rPr>
        <w:t>(</w:t>
      </w:r>
      <w:r w:rsidRPr="001A1E08">
        <w:rPr>
          <w:rFonts w:cs="Times New Roman"/>
          <w:i/>
          <w:lang w:val="fr-CA"/>
        </w:rPr>
        <w:t xml:space="preserve">Access to Air </w:t>
      </w:r>
      <w:proofErr w:type="spellStart"/>
      <w:r w:rsidRPr="001A1E08">
        <w:rPr>
          <w:rFonts w:cs="Times New Roman"/>
          <w:i/>
          <w:lang w:val="fr-CA"/>
        </w:rPr>
        <w:t>Travel</w:t>
      </w:r>
      <w:proofErr w:type="spellEnd"/>
      <w:r w:rsidRPr="001A1E08">
        <w:rPr>
          <w:rFonts w:cs="Times New Roman"/>
          <w:i/>
          <w:lang w:val="fr-CA"/>
        </w:rPr>
        <w:t xml:space="preserve"> for </w:t>
      </w:r>
      <w:proofErr w:type="spellStart"/>
      <w:r w:rsidRPr="001A1E08">
        <w:rPr>
          <w:rFonts w:cs="Times New Roman"/>
          <w:i/>
          <w:lang w:val="fr-CA"/>
        </w:rPr>
        <w:t>Disabled</w:t>
      </w:r>
      <w:proofErr w:type="spellEnd"/>
      <w:r w:rsidRPr="001A1E08">
        <w:rPr>
          <w:rFonts w:cs="Times New Roman"/>
          <w:i/>
          <w:lang w:val="fr-CA"/>
        </w:rPr>
        <w:t xml:space="preserve"> </w:t>
      </w:r>
      <w:proofErr w:type="spellStart"/>
      <w:r w:rsidRPr="001A1E08">
        <w:rPr>
          <w:rFonts w:cs="Times New Roman"/>
          <w:i/>
          <w:lang w:val="fr-CA"/>
        </w:rPr>
        <w:t>Persons</w:t>
      </w:r>
      <w:proofErr w:type="spellEnd"/>
      <w:r w:rsidRPr="001A1E08">
        <w:rPr>
          <w:rFonts w:cs="Times New Roman"/>
          <w:i/>
          <w:lang w:val="fr-CA"/>
        </w:rPr>
        <w:t xml:space="preserve"> and </w:t>
      </w:r>
      <w:proofErr w:type="spellStart"/>
      <w:r w:rsidRPr="001A1E08">
        <w:rPr>
          <w:rFonts w:cs="Times New Roman"/>
          <w:i/>
          <w:lang w:val="fr-CA"/>
        </w:rPr>
        <w:t>Persons</w:t>
      </w:r>
      <w:proofErr w:type="spellEnd"/>
      <w:r w:rsidRPr="001A1E08">
        <w:rPr>
          <w:rFonts w:cs="Times New Roman"/>
          <w:i/>
          <w:lang w:val="fr-CA"/>
        </w:rPr>
        <w:t xml:space="preserve"> </w:t>
      </w:r>
      <w:proofErr w:type="spellStart"/>
      <w:r w:rsidRPr="001A1E08">
        <w:rPr>
          <w:rFonts w:cs="Times New Roman"/>
          <w:i/>
          <w:lang w:val="fr-CA"/>
        </w:rPr>
        <w:t>with</w:t>
      </w:r>
      <w:proofErr w:type="spellEnd"/>
      <w:r w:rsidRPr="001A1E08">
        <w:rPr>
          <w:rFonts w:cs="Times New Roman"/>
          <w:i/>
          <w:lang w:val="fr-CA"/>
        </w:rPr>
        <w:t xml:space="preserve"> </w:t>
      </w:r>
      <w:proofErr w:type="spellStart"/>
      <w:r w:rsidRPr="001A1E08">
        <w:rPr>
          <w:rFonts w:cs="Times New Roman"/>
          <w:i/>
          <w:lang w:val="fr-CA"/>
        </w:rPr>
        <w:t>Reduced</w:t>
      </w:r>
      <w:proofErr w:type="spellEnd"/>
      <w:r w:rsidRPr="001A1E08">
        <w:rPr>
          <w:rFonts w:cs="Times New Roman"/>
          <w:i/>
          <w:lang w:val="fr-CA"/>
        </w:rPr>
        <w:t xml:space="preserve"> </w:t>
      </w:r>
      <w:proofErr w:type="spellStart"/>
      <w:r w:rsidRPr="001A1E08">
        <w:rPr>
          <w:rFonts w:cs="Times New Roman"/>
          <w:i/>
          <w:lang w:val="fr-CA"/>
        </w:rPr>
        <w:t>Mobility</w:t>
      </w:r>
      <w:proofErr w:type="spellEnd"/>
      <w:r w:rsidRPr="003E2AF0">
        <w:rPr>
          <w:rFonts w:cs="Times New Roman"/>
          <w:i/>
          <w:lang w:val="fr-CA"/>
        </w:rPr>
        <w:t xml:space="preserve">) </w:t>
      </w:r>
      <w:proofErr w:type="spellStart"/>
      <w:r w:rsidRPr="001A1E08">
        <w:rPr>
          <w:rFonts w:cs="Times New Roman"/>
          <w:i/>
          <w:lang w:val="fr-CA"/>
        </w:rPr>
        <w:t>Regulations</w:t>
      </w:r>
      <w:proofErr w:type="spellEnd"/>
      <w:r w:rsidRPr="001A1E08">
        <w:rPr>
          <w:rFonts w:cs="Times New Roman"/>
          <w:i/>
          <w:lang w:val="fr-CA"/>
        </w:rPr>
        <w:t xml:space="preserve"> 2007</w:t>
      </w:r>
      <w:r w:rsidRPr="001A1E08">
        <w:rPr>
          <w:rFonts w:cs="Times New Roman"/>
          <w:lang w:val="fr-CA"/>
        </w:rPr>
        <w:t>, SI 2007/1895, qui mettait en œuvre au Royaume</w:t>
      </w:r>
      <w:r w:rsidR="006412AC">
        <w:rPr>
          <w:rFonts w:cs="Times New Roman"/>
          <w:lang w:val="fr-CA"/>
        </w:rPr>
        <w:t>-</w:t>
      </w:r>
      <w:r w:rsidRPr="001A1E08">
        <w:rPr>
          <w:rFonts w:cs="Times New Roman"/>
          <w:lang w:val="fr-CA"/>
        </w:rPr>
        <w:t>Uni le Règlement (CE) n</w:t>
      </w:r>
      <w:r w:rsidRPr="001A1E08">
        <w:rPr>
          <w:rFonts w:cs="Times New Roman"/>
          <w:vertAlign w:val="superscript"/>
          <w:lang w:val="fr-CA"/>
        </w:rPr>
        <w:t>o</w:t>
      </w:r>
      <w:r w:rsidR="006412AC">
        <w:rPr>
          <w:rFonts w:cs="Times New Roman"/>
          <w:lang w:val="fr-CA"/>
        </w:rPr>
        <w:t xml:space="preserve"> </w:t>
      </w:r>
      <w:r w:rsidRPr="001A1E08">
        <w:rPr>
          <w:rFonts w:cs="Times New Roman"/>
          <w:lang w:val="fr-CA"/>
        </w:rPr>
        <w:t>1107/2006 du Parlement européen et du Conseil concernant les droits des personnes handicapées et des personnes à mobilité réduite lorsqu’elles font des voyages aériens.  La Cour suprême du Royaume</w:t>
      </w:r>
      <w:r w:rsidR="006412AC">
        <w:rPr>
          <w:rFonts w:cs="Times New Roman"/>
          <w:lang w:val="fr-CA"/>
        </w:rPr>
        <w:t>-</w:t>
      </w:r>
      <w:r w:rsidRPr="001A1E08">
        <w:rPr>
          <w:rFonts w:cs="Times New Roman"/>
          <w:lang w:val="fr-CA"/>
        </w:rPr>
        <w:t>Uni a toutefois conclu qu’elle ne pouvait accorder aucune réparation pécuniaire, parce que l’action en cause n’entrait pas dans la catégorie des actions en dommages</w:t>
      </w:r>
      <w:r w:rsidR="006412AC">
        <w:rPr>
          <w:rFonts w:cs="Times New Roman"/>
          <w:lang w:val="fr-CA"/>
        </w:rPr>
        <w:t>-</w:t>
      </w:r>
      <w:r w:rsidR="003E2AF0">
        <w:rPr>
          <w:rFonts w:cs="Times New Roman"/>
          <w:lang w:val="fr-CA"/>
        </w:rPr>
        <w:t>intérêts autorisées par l’article</w:t>
      </w:r>
      <w:r w:rsidR="006412AC">
        <w:rPr>
          <w:rFonts w:cs="Times New Roman"/>
          <w:lang w:val="fr-CA"/>
        </w:rPr>
        <w:t xml:space="preserve"> </w:t>
      </w:r>
      <w:r w:rsidRPr="001A1E08">
        <w:rPr>
          <w:rFonts w:cs="Times New Roman"/>
          <w:lang w:val="fr-CA"/>
        </w:rPr>
        <w:t xml:space="preserve">17 de la </w:t>
      </w:r>
      <w:r w:rsidRPr="001A1E08">
        <w:rPr>
          <w:rFonts w:cs="Times New Roman"/>
          <w:i/>
          <w:lang w:val="fr-CA"/>
        </w:rPr>
        <w:t>Convention de Montréal</w:t>
      </w:r>
      <w:r w:rsidR="006412AC">
        <w:rPr>
          <w:rFonts w:cs="Times New Roman"/>
          <w:lang w:val="fr-CA"/>
        </w:rPr>
        <w:t> :</w:t>
      </w:r>
    </w:p>
    <w:p w:rsidR="00367456" w:rsidRPr="001A1E08" w:rsidRDefault="00367456" w:rsidP="003E2AF0">
      <w:pPr>
        <w:pStyle w:val="Citation-AltC"/>
        <w:widowControl w:val="0"/>
        <w:ind w:hanging="1051"/>
        <w:contextualSpacing w:val="0"/>
        <w:rPr>
          <w:lang w:val="fr-CA"/>
        </w:rPr>
      </w:pPr>
      <w:r w:rsidRPr="001A1E08">
        <w:rPr>
          <w:lang w:val="fr-CA"/>
        </w:rPr>
        <w:tab/>
      </w:r>
      <w:r w:rsidR="003E2AF0">
        <w:rPr>
          <w:lang w:val="fr-CA"/>
        </w:rPr>
        <w:tab/>
      </w:r>
      <w:r w:rsidRPr="001A1E08">
        <w:rPr>
          <w:lang w:val="fr-CA"/>
        </w:rPr>
        <w:t>[</w:t>
      </w:r>
      <w:r w:rsidRPr="001A1E08">
        <w:rPr>
          <w:smallCaps/>
          <w:lang w:val="fr-CA"/>
        </w:rPr>
        <w:t>traduction</w:t>
      </w:r>
      <w:r w:rsidRPr="001A1E08">
        <w:rPr>
          <w:lang w:val="fr-CA"/>
        </w:rPr>
        <w:t>]  Devrait</w:t>
      </w:r>
      <w:r w:rsidR="006412AC">
        <w:rPr>
          <w:lang w:val="fr-CA"/>
        </w:rPr>
        <w:t>-</w:t>
      </w:r>
      <w:r w:rsidRPr="001A1E08">
        <w:rPr>
          <w:lang w:val="fr-CA"/>
        </w:rPr>
        <w:t>on considérer comme une catégorie générale le recours en dommages</w:t>
      </w:r>
      <w:r w:rsidR="006412AC">
        <w:rPr>
          <w:lang w:val="fr-CA"/>
        </w:rPr>
        <w:t>-</w:t>
      </w:r>
      <w:r w:rsidRPr="001A1E08">
        <w:rPr>
          <w:lang w:val="fr-CA"/>
        </w:rPr>
        <w:t xml:space="preserve">intérêts fondé sur des mauvais traitements infligés </w:t>
      </w:r>
      <w:r w:rsidRPr="001A1E08">
        <w:rPr>
          <w:lang w:val="fr-CA"/>
        </w:rPr>
        <w:lastRenderedPageBreak/>
        <w:t>en contravention des lois sur l’égalité, ou, plus précisément, devrait</w:t>
      </w:r>
      <w:r w:rsidR="006412AC">
        <w:rPr>
          <w:lang w:val="fr-CA"/>
        </w:rPr>
        <w:t>-</w:t>
      </w:r>
      <w:r w:rsidRPr="001A1E08">
        <w:rPr>
          <w:lang w:val="fr-CA"/>
        </w:rPr>
        <w:t>on considérer qu’un recours en dommages</w:t>
      </w:r>
      <w:r w:rsidR="006412AC">
        <w:rPr>
          <w:lang w:val="fr-CA"/>
        </w:rPr>
        <w:t>-</w:t>
      </w:r>
      <w:r w:rsidRPr="001A1E08">
        <w:rPr>
          <w:lang w:val="fr-CA"/>
        </w:rPr>
        <w:t xml:space="preserve">intérêts fondé sur l’omission de répondre adéquatement aux besoins d’un passager handicapé dépasse le champ d’application substantiel de la </w:t>
      </w:r>
      <w:r w:rsidRPr="004F5BC1">
        <w:rPr>
          <w:lang w:val="fr-CA"/>
        </w:rPr>
        <w:t>Convention</w:t>
      </w:r>
      <w:r w:rsidRPr="001A1E08">
        <w:rPr>
          <w:lang w:val="fr-CA"/>
        </w:rPr>
        <w:t xml:space="preserve">? S’agissant de la question générale, je réponds par la négative pour les motifs exposés par la juge </w:t>
      </w:r>
      <w:proofErr w:type="spellStart"/>
      <w:r w:rsidRPr="001A1E08">
        <w:rPr>
          <w:lang w:val="fr-CA"/>
        </w:rPr>
        <w:t>Sotomayor</w:t>
      </w:r>
      <w:proofErr w:type="spellEnd"/>
      <w:r w:rsidRPr="001A1E08">
        <w:rPr>
          <w:lang w:val="fr-CA"/>
        </w:rPr>
        <w:t xml:space="preserve"> dans l’arrêt </w:t>
      </w:r>
      <w:r w:rsidRPr="001A1E08">
        <w:rPr>
          <w:i/>
          <w:iCs/>
          <w:lang w:val="fr-CA"/>
        </w:rPr>
        <w:t>King c American Airlines</w:t>
      </w:r>
      <w:r w:rsidRPr="001A1E08">
        <w:rPr>
          <w:lang w:val="fr-CA"/>
        </w:rPr>
        <w:t xml:space="preserve">. Je suis d’accord avec elle pour dire que, ce qui compte, ce n’est pas la nature de la cause d’action, mais le moment et le lieu où l’accident ou la mésaventure s’est produit.  La </w:t>
      </w:r>
      <w:r w:rsidRPr="004F5BC1">
        <w:rPr>
          <w:lang w:val="fr-CA"/>
        </w:rPr>
        <w:t>Convention</w:t>
      </w:r>
      <w:r w:rsidRPr="001A1E08">
        <w:rPr>
          <w:lang w:val="fr-CA"/>
        </w:rPr>
        <w:t xml:space="preserve"> est censée traiter exhaustivement de la responsabilité du transporteur à l’égard de tout ce qui peut arriver physiquement au passager entre le moment de l’embarquement et celui du débarquement.  La réponse à cette question générale vaut également pour la question plus précise.  [</w:t>
      </w:r>
      <w:proofErr w:type="gramStart"/>
      <w:r w:rsidRPr="001A1E08">
        <w:rPr>
          <w:lang w:val="fr-CA"/>
        </w:rPr>
        <w:t>par</w:t>
      </w:r>
      <w:proofErr w:type="gramEnd"/>
      <w:r w:rsidRPr="001A1E08">
        <w:rPr>
          <w:lang w:val="fr-CA"/>
        </w:rPr>
        <w:t>.</w:t>
      </w:r>
      <w:r w:rsidR="006412AC">
        <w:rPr>
          <w:lang w:val="fr-CA"/>
        </w:rPr>
        <w:t xml:space="preserve"> </w:t>
      </w:r>
      <w:r w:rsidRPr="001A1E08">
        <w:rPr>
          <w:lang w:val="fr-CA"/>
        </w:rPr>
        <w:t>61]</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Je souscris à cette analyse et rejette l’argument des appelants selon lequel les recours exercés en vertu de la loi pour atteinte à des droits quasi constitutionnels n’entrent pas dans la catégorie d’actions auxquelles s’applique la </w:t>
      </w:r>
      <w:r w:rsidRPr="001A1E08">
        <w:rPr>
          <w:rFonts w:cs="Times New Roman"/>
          <w:i/>
          <w:lang w:val="fr-CA"/>
        </w:rPr>
        <w:t>Convention de Montréal.</w:t>
      </w:r>
      <w:r w:rsidR="006412AC">
        <w:rPr>
          <w:rFonts w:cs="Times New Roman"/>
          <w:i/>
          <w:lang w:val="fr-CA"/>
        </w:rPr>
        <w:t xml:space="preserve">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Le commissaire affirme cependant que la </w:t>
      </w:r>
      <w:r w:rsidRPr="001A1E08">
        <w:rPr>
          <w:rFonts w:cs="Times New Roman"/>
          <w:i/>
          <w:lang w:val="fr-CA"/>
        </w:rPr>
        <w:t>Convention de Montréal</w:t>
      </w:r>
      <w:r w:rsidRPr="001A1E08">
        <w:rPr>
          <w:rFonts w:cs="Times New Roman"/>
          <w:lang w:val="fr-CA"/>
        </w:rPr>
        <w:t xml:space="preserve"> ne s’applique qu’aux recours qui trouvent leur source dans le droit privé et aux recours en dommages</w:t>
      </w:r>
      <w:r w:rsidR="006412AC">
        <w:rPr>
          <w:rFonts w:cs="Times New Roman"/>
          <w:lang w:val="fr-CA"/>
        </w:rPr>
        <w:t>-</w:t>
      </w:r>
      <w:r w:rsidRPr="001A1E08">
        <w:rPr>
          <w:rFonts w:cs="Times New Roman"/>
          <w:lang w:val="fr-CA"/>
        </w:rPr>
        <w:t>intérêts de droit privé.  En ce qui concerne la source de la responsabilité en droit, le commissaire fait valoir que les demandes comme celles présentées par M. et M</w:t>
      </w:r>
      <w:r w:rsidRPr="001A1E08">
        <w:rPr>
          <w:rFonts w:cs="Times New Roman"/>
          <w:vertAlign w:val="superscript"/>
          <w:lang w:val="fr-CA"/>
        </w:rPr>
        <w:t>me</w:t>
      </w:r>
      <w:r w:rsidR="006412AC">
        <w:rPr>
          <w:rFonts w:cs="Times New Roman"/>
          <w:lang w:val="fr-CA"/>
        </w:rPr>
        <w:t xml:space="preserve"> </w:t>
      </w:r>
      <w:r w:rsidRPr="001A1E08">
        <w:rPr>
          <w:rFonts w:cs="Times New Roman"/>
          <w:lang w:val="fr-CA"/>
        </w:rPr>
        <w:t>Thibodeau, lesquelles reposent sur un droit reconnu par la loi, ne</w:t>
      </w:r>
      <w:r w:rsidR="00556995">
        <w:rPr>
          <w:rFonts w:cs="Times New Roman"/>
          <w:lang w:val="fr-CA"/>
        </w:rPr>
        <w:t xml:space="preserve"> seraient pas exclues par l’article</w:t>
      </w:r>
      <w:r w:rsidR="006412AC">
        <w:rPr>
          <w:rFonts w:cs="Times New Roman"/>
          <w:lang w:val="fr-CA"/>
        </w:rPr>
        <w:t xml:space="preserve"> </w:t>
      </w:r>
      <w:r w:rsidRPr="001A1E08">
        <w:rPr>
          <w:rFonts w:cs="Times New Roman"/>
          <w:lang w:val="fr-CA"/>
        </w:rPr>
        <w:t>29, étant donné qu’elles s’apparentent davantage à une plainte administrative</w:t>
      </w:r>
      <w:r w:rsidR="006412AC">
        <w:rPr>
          <w:rFonts w:cs="Times New Roman"/>
          <w:lang w:val="fr-CA"/>
        </w:rPr>
        <w:t xml:space="preserve"> </w:t>
      </w:r>
      <w:r w:rsidRPr="001A1E08">
        <w:rPr>
          <w:rFonts w:cs="Times New Roman"/>
          <w:lang w:val="fr-CA"/>
        </w:rPr>
        <w:t>qu’à une procédure de droit privé.</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Cet argument est lacunaire en ce que, comme nous l’avons vu, la question pertinente est celle de la nature du recours (c.</w:t>
      </w:r>
      <w:r w:rsidR="006412AC">
        <w:rPr>
          <w:rFonts w:cs="Times New Roman"/>
          <w:lang w:val="fr-CA"/>
        </w:rPr>
        <w:t>-</w:t>
      </w:r>
      <w:r w:rsidRPr="001A1E08">
        <w:rPr>
          <w:rFonts w:cs="Times New Roman"/>
          <w:lang w:val="fr-CA"/>
        </w:rPr>
        <w:t>à</w:t>
      </w:r>
      <w:r w:rsidR="006412AC">
        <w:rPr>
          <w:rFonts w:cs="Times New Roman"/>
          <w:lang w:val="fr-CA"/>
        </w:rPr>
        <w:t>-</w:t>
      </w:r>
      <w:r w:rsidRPr="001A1E08">
        <w:rPr>
          <w:rFonts w:cs="Times New Roman"/>
          <w:lang w:val="fr-CA"/>
        </w:rPr>
        <w:t>d. s’il s’agit ou non d’une action en dommages</w:t>
      </w:r>
      <w:r w:rsidR="006412AC">
        <w:rPr>
          <w:rFonts w:cs="Times New Roman"/>
          <w:lang w:val="fr-CA"/>
        </w:rPr>
        <w:t>-</w:t>
      </w:r>
      <w:r w:rsidRPr="001A1E08">
        <w:rPr>
          <w:rFonts w:cs="Times New Roman"/>
          <w:lang w:val="fr-CA"/>
        </w:rPr>
        <w:t xml:space="preserve">intérêts liée aux circonstances envisagées par la </w:t>
      </w:r>
      <w:r w:rsidRPr="001A1E08">
        <w:rPr>
          <w:rFonts w:cs="Times New Roman"/>
          <w:i/>
          <w:lang w:val="fr-CA"/>
        </w:rPr>
        <w:t>Convention de Montréal</w:t>
      </w:r>
      <w:r w:rsidRPr="001A1E08">
        <w:rPr>
          <w:rFonts w:cs="Times New Roman"/>
          <w:lang w:val="fr-CA"/>
        </w:rPr>
        <w:t xml:space="preserve">, </w:t>
      </w:r>
      <w:r w:rsidRPr="001A1E08">
        <w:rPr>
          <w:rFonts w:cs="Times New Roman"/>
          <w:lang w:val="fr-CA"/>
        </w:rPr>
        <w:lastRenderedPageBreak/>
        <w:t>à quelque titre que ce soit), et non celle du fondement du recours</w:t>
      </w:r>
      <w:r w:rsidR="006412AC">
        <w:rPr>
          <w:rFonts w:cs="Times New Roman"/>
          <w:lang w:val="fr-CA"/>
        </w:rPr>
        <w:t> :</w:t>
      </w:r>
      <w:r w:rsidRPr="001A1E08">
        <w:rPr>
          <w:rFonts w:cs="Times New Roman"/>
          <w:lang w:val="fr-CA"/>
        </w:rPr>
        <w:t xml:space="preserve"> voir aussi </w:t>
      </w:r>
      <w:proofErr w:type="spellStart"/>
      <w:r w:rsidRPr="001A1E08">
        <w:rPr>
          <w:rFonts w:cs="Times New Roman"/>
          <w:lang w:val="fr-CA"/>
        </w:rPr>
        <w:t>Chassot</w:t>
      </w:r>
      <w:proofErr w:type="spellEnd"/>
      <w:r w:rsidRPr="001A1E08">
        <w:rPr>
          <w:rFonts w:cs="Times New Roman"/>
          <w:lang w:val="fr-CA"/>
        </w:rPr>
        <w:t>, p.</w:t>
      </w:r>
      <w:r w:rsidR="006412AC">
        <w:rPr>
          <w:rFonts w:cs="Times New Roman"/>
          <w:lang w:val="fr-CA"/>
        </w:rPr>
        <w:t xml:space="preserve"> </w:t>
      </w:r>
      <w:r w:rsidRPr="001A1E08">
        <w:rPr>
          <w:rFonts w:cs="Times New Roman"/>
          <w:lang w:val="fr-CA"/>
        </w:rPr>
        <w:t xml:space="preserve">179; J. J. </w:t>
      </w:r>
      <w:proofErr w:type="spellStart"/>
      <w:r w:rsidRPr="001A1E08">
        <w:rPr>
          <w:rFonts w:cs="Times New Roman"/>
          <w:lang w:val="fr-CA"/>
        </w:rPr>
        <w:t>Wegter</w:t>
      </w:r>
      <w:proofErr w:type="spellEnd"/>
      <w:r w:rsidRPr="001A1E08">
        <w:rPr>
          <w:rFonts w:cs="Times New Roman"/>
          <w:lang w:val="fr-CA"/>
        </w:rPr>
        <w:t xml:space="preserve">, </w:t>
      </w:r>
      <w:r w:rsidR="006412AC">
        <w:rPr>
          <w:rFonts w:cs="Times New Roman"/>
          <w:lang w:val="fr-CA"/>
        </w:rPr>
        <w:t>« </w:t>
      </w:r>
      <w:r w:rsidRPr="001A1E08">
        <w:rPr>
          <w:rFonts w:cs="Times New Roman"/>
          <w:lang w:val="fr-CA"/>
        </w:rPr>
        <w:t xml:space="preserve">The ECJ </w:t>
      </w:r>
      <w:proofErr w:type="spellStart"/>
      <w:r w:rsidRPr="001A1E08">
        <w:rPr>
          <w:rFonts w:cs="Times New Roman"/>
          <w:lang w:val="fr-CA"/>
        </w:rPr>
        <w:t>Decision</w:t>
      </w:r>
      <w:proofErr w:type="spellEnd"/>
      <w:r w:rsidRPr="001A1E08">
        <w:rPr>
          <w:rFonts w:cs="Times New Roman"/>
          <w:lang w:val="fr-CA"/>
        </w:rPr>
        <w:t xml:space="preserve"> of 10 </w:t>
      </w:r>
      <w:proofErr w:type="spellStart"/>
      <w:r w:rsidRPr="001A1E08">
        <w:rPr>
          <w:rFonts w:cs="Times New Roman"/>
          <w:lang w:val="fr-CA"/>
        </w:rPr>
        <w:t>January</w:t>
      </w:r>
      <w:proofErr w:type="spellEnd"/>
      <w:r w:rsidRPr="001A1E08">
        <w:rPr>
          <w:rFonts w:cs="Times New Roman"/>
          <w:lang w:val="fr-CA"/>
        </w:rPr>
        <w:t xml:space="preserve"> 2006 on the </w:t>
      </w:r>
      <w:proofErr w:type="spellStart"/>
      <w:r w:rsidRPr="001A1E08">
        <w:rPr>
          <w:rFonts w:cs="Times New Roman"/>
          <w:lang w:val="fr-CA"/>
        </w:rPr>
        <w:t>Validity</w:t>
      </w:r>
      <w:proofErr w:type="spellEnd"/>
      <w:r w:rsidRPr="001A1E08">
        <w:rPr>
          <w:rFonts w:cs="Times New Roman"/>
          <w:lang w:val="fr-CA"/>
        </w:rPr>
        <w:t xml:space="preserve"> of </w:t>
      </w:r>
      <w:proofErr w:type="spellStart"/>
      <w:r w:rsidRPr="001A1E08">
        <w:rPr>
          <w:rFonts w:cs="Times New Roman"/>
          <w:lang w:val="fr-CA"/>
        </w:rPr>
        <w:t>Regulation</w:t>
      </w:r>
      <w:proofErr w:type="spellEnd"/>
      <w:r w:rsidRPr="001A1E08">
        <w:rPr>
          <w:rFonts w:cs="Times New Roman"/>
          <w:lang w:val="fr-CA"/>
        </w:rPr>
        <w:t xml:space="preserve"> 261/2004</w:t>
      </w:r>
      <w:r w:rsidR="003E2AF0">
        <w:rPr>
          <w:rFonts w:cs="Times New Roman"/>
          <w:lang w:val="fr-CA"/>
        </w:rPr>
        <w:t xml:space="preserve"> </w:t>
      </w:r>
      <w:r w:rsidRPr="001A1E08">
        <w:rPr>
          <w:rFonts w:cs="Times New Roman"/>
          <w:lang w:val="fr-CA"/>
        </w:rPr>
        <w:t xml:space="preserve">: </w:t>
      </w:r>
      <w:proofErr w:type="spellStart"/>
      <w:r w:rsidRPr="001A1E08">
        <w:rPr>
          <w:rFonts w:cs="Times New Roman"/>
          <w:lang w:val="fr-CA"/>
        </w:rPr>
        <w:t>Ignoring</w:t>
      </w:r>
      <w:proofErr w:type="spellEnd"/>
      <w:r w:rsidRPr="001A1E08">
        <w:rPr>
          <w:rFonts w:cs="Times New Roman"/>
          <w:lang w:val="fr-CA"/>
        </w:rPr>
        <w:t xml:space="preserve"> the </w:t>
      </w:r>
      <w:proofErr w:type="spellStart"/>
      <w:r w:rsidRPr="001A1E08">
        <w:rPr>
          <w:rFonts w:cs="Times New Roman"/>
          <w:lang w:val="fr-CA"/>
        </w:rPr>
        <w:t>Exclusivity</w:t>
      </w:r>
      <w:proofErr w:type="spellEnd"/>
      <w:r w:rsidRPr="001A1E08">
        <w:rPr>
          <w:rFonts w:cs="Times New Roman"/>
          <w:lang w:val="fr-CA"/>
        </w:rPr>
        <w:t xml:space="preserve"> of the </w:t>
      </w:r>
      <w:proofErr w:type="spellStart"/>
      <w:r w:rsidRPr="001A1E08">
        <w:rPr>
          <w:rFonts w:cs="Times New Roman"/>
          <w:lang w:val="fr-CA"/>
        </w:rPr>
        <w:t>Montreal</w:t>
      </w:r>
      <w:proofErr w:type="spellEnd"/>
      <w:r w:rsidRPr="001A1E08">
        <w:rPr>
          <w:rFonts w:cs="Times New Roman"/>
          <w:lang w:val="fr-CA"/>
        </w:rPr>
        <w:t xml:space="preserve"> Convention</w:t>
      </w:r>
      <w:r w:rsidR="006412AC">
        <w:rPr>
          <w:rFonts w:cs="Times New Roman"/>
          <w:lang w:val="fr-CA"/>
        </w:rPr>
        <w:t> »</w:t>
      </w:r>
      <w:r w:rsidRPr="001A1E08">
        <w:rPr>
          <w:rFonts w:cs="Times New Roman"/>
          <w:lang w:val="fr-CA"/>
        </w:rPr>
        <w:t xml:space="preserve"> (2006), 31 </w:t>
      </w:r>
      <w:r w:rsidRPr="001A1E08">
        <w:rPr>
          <w:rFonts w:cs="Times New Roman"/>
          <w:i/>
          <w:lang w:val="fr-CA"/>
        </w:rPr>
        <w:t xml:space="preserve">Air &amp; </w:t>
      </w:r>
      <w:proofErr w:type="spellStart"/>
      <w:r w:rsidRPr="001A1E08">
        <w:rPr>
          <w:rFonts w:cs="Times New Roman"/>
          <w:i/>
          <w:lang w:val="fr-CA"/>
        </w:rPr>
        <w:t>Space</w:t>
      </w:r>
      <w:proofErr w:type="spellEnd"/>
      <w:r w:rsidRPr="001A1E08">
        <w:rPr>
          <w:rFonts w:cs="Times New Roman"/>
          <w:i/>
          <w:lang w:val="fr-CA"/>
        </w:rPr>
        <w:t xml:space="preserve"> L.</w:t>
      </w:r>
      <w:r w:rsidRPr="001A1E08">
        <w:rPr>
          <w:rFonts w:cs="Times New Roman"/>
          <w:lang w:val="fr-CA"/>
        </w:rPr>
        <w:t xml:space="preserve"> 133, p.</w:t>
      </w:r>
      <w:r w:rsidR="006412AC">
        <w:rPr>
          <w:rFonts w:cs="Times New Roman"/>
          <w:lang w:val="fr-CA"/>
        </w:rPr>
        <w:t xml:space="preserve"> </w:t>
      </w:r>
      <w:r w:rsidRPr="001A1E08">
        <w:rPr>
          <w:rFonts w:cs="Times New Roman"/>
          <w:lang w:val="fr-CA"/>
        </w:rPr>
        <w:t xml:space="preserve">144.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L’argument relatif à la distinction entre les dommages</w:t>
      </w:r>
      <w:r w:rsidR="006412AC">
        <w:rPr>
          <w:rFonts w:cs="Times New Roman"/>
          <w:lang w:val="fr-CA"/>
        </w:rPr>
        <w:t>-</w:t>
      </w:r>
      <w:r w:rsidRPr="001A1E08">
        <w:rPr>
          <w:rFonts w:cs="Times New Roman"/>
          <w:lang w:val="fr-CA"/>
        </w:rPr>
        <w:t xml:space="preserve">intérêts de </w:t>
      </w:r>
      <w:r w:rsidR="006412AC">
        <w:rPr>
          <w:rFonts w:cs="Times New Roman"/>
          <w:lang w:val="fr-CA"/>
        </w:rPr>
        <w:t>« </w:t>
      </w:r>
      <w:r w:rsidRPr="001A1E08">
        <w:rPr>
          <w:rFonts w:cs="Times New Roman"/>
          <w:lang w:val="fr-CA"/>
        </w:rPr>
        <w:t>droit public</w:t>
      </w:r>
      <w:r w:rsidR="006412AC">
        <w:rPr>
          <w:rFonts w:cs="Times New Roman"/>
          <w:lang w:val="fr-CA"/>
        </w:rPr>
        <w:t> »</w:t>
      </w:r>
      <w:r w:rsidRPr="001A1E08">
        <w:rPr>
          <w:rFonts w:cs="Times New Roman"/>
          <w:lang w:val="fr-CA"/>
        </w:rPr>
        <w:t xml:space="preserve"> et ceux de </w:t>
      </w:r>
      <w:r w:rsidR="006412AC">
        <w:rPr>
          <w:rFonts w:cs="Times New Roman"/>
          <w:lang w:val="fr-CA"/>
        </w:rPr>
        <w:t>« </w:t>
      </w:r>
      <w:r w:rsidRPr="001A1E08">
        <w:rPr>
          <w:rFonts w:cs="Times New Roman"/>
          <w:lang w:val="fr-CA"/>
        </w:rPr>
        <w:t>droit privé</w:t>
      </w:r>
      <w:r w:rsidR="006412AC">
        <w:rPr>
          <w:rFonts w:cs="Times New Roman"/>
          <w:lang w:val="fr-CA"/>
        </w:rPr>
        <w:t> »</w:t>
      </w:r>
      <w:r w:rsidRPr="001A1E08">
        <w:rPr>
          <w:rFonts w:cs="Times New Roman"/>
          <w:lang w:val="fr-CA"/>
        </w:rPr>
        <w:t xml:space="preserve"> repose sur la même logique et peut recevoir une réponse semblable. Monsieur et Madame</w:t>
      </w:r>
      <w:r>
        <w:rPr>
          <w:rFonts w:cs="Times New Roman"/>
          <w:lang w:val="fr-CA"/>
        </w:rPr>
        <w:t xml:space="preserve"> </w:t>
      </w:r>
      <w:r w:rsidRPr="001A1E08">
        <w:rPr>
          <w:rFonts w:cs="Times New Roman"/>
          <w:lang w:val="fr-CA"/>
        </w:rPr>
        <w:t>Thibodeau disent réclamer des dommages</w:t>
      </w:r>
      <w:r w:rsidR="006412AC">
        <w:rPr>
          <w:rFonts w:cs="Times New Roman"/>
          <w:lang w:val="fr-CA"/>
        </w:rPr>
        <w:t>-</w:t>
      </w:r>
      <w:r w:rsidRPr="001A1E08">
        <w:rPr>
          <w:rFonts w:cs="Times New Roman"/>
          <w:lang w:val="fr-CA"/>
        </w:rPr>
        <w:t xml:space="preserve">intérêts de droit public, étant donné qu’ils cherchent à obtenir réparation pour une atteinte à des droits quasi constitutionnels.  Ils fondent en grande partie cet argument sur les observations formulées par notre Cour dans l’arrêt </w:t>
      </w:r>
      <w:r w:rsidRPr="001A1E08">
        <w:rPr>
          <w:rFonts w:cs="Times New Roman"/>
          <w:i/>
          <w:lang w:val="fr-CA"/>
        </w:rPr>
        <w:t>Vancouver (Ville) c. Ward</w:t>
      </w:r>
      <w:r w:rsidRPr="001A1E08">
        <w:rPr>
          <w:rFonts w:cs="Times New Roman"/>
          <w:lang w:val="fr-CA"/>
        </w:rPr>
        <w:t>, 2010 CSC 27, [2010] 2 R.C.S. 28, où la Juge en chef a établi une distinction entre l’action en dommages</w:t>
      </w:r>
      <w:r w:rsidR="006412AC">
        <w:rPr>
          <w:rFonts w:cs="Times New Roman"/>
          <w:lang w:val="fr-CA"/>
        </w:rPr>
        <w:t>-</w:t>
      </w:r>
      <w:r w:rsidRPr="001A1E08">
        <w:rPr>
          <w:rFonts w:cs="Times New Roman"/>
          <w:lang w:val="fr-CA"/>
        </w:rPr>
        <w:t>intérêts de droit public et l’action en dommages</w:t>
      </w:r>
      <w:r w:rsidR="006412AC">
        <w:rPr>
          <w:rFonts w:cs="Times New Roman"/>
          <w:lang w:val="fr-CA"/>
        </w:rPr>
        <w:t>-</w:t>
      </w:r>
      <w:r w:rsidRPr="001A1E08">
        <w:rPr>
          <w:rFonts w:cs="Times New Roman"/>
          <w:lang w:val="fr-CA"/>
        </w:rPr>
        <w:t>intérêts de droit privé, et souligné qu’il s’agit de réparations distinctes</w:t>
      </w:r>
      <w:r w:rsidR="006412AC">
        <w:rPr>
          <w:rFonts w:cs="Times New Roman"/>
          <w:lang w:val="fr-CA"/>
        </w:rPr>
        <w:t> :</w:t>
      </w:r>
      <w:r w:rsidRPr="001A1E08">
        <w:rPr>
          <w:rFonts w:cs="Times New Roman"/>
          <w:lang w:val="fr-CA"/>
        </w:rPr>
        <w:t xml:space="preserve"> par.</w:t>
      </w:r>
      <w:r w:rsidR="006412AC">
        <w:rPr>
          <w:rFonts w:cs="Times New Roman"/>
          <w:lang w:val="fr-CA"/>
        </w:rPr>
        <w:t xml:space="preserve"> </w:t>
      </w:r>
      <w:r w:rsidRPr="001A1E08">
        <w:rPr>
          <w:rFonts w:cs="Times New Roman"/>
          <w:lang w:val="fr-CA"/>
        </w:rPr>
        <w:t>22.</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Cet argument est erroné à deux égards.  Tout d’abord, et sous réserve de certaines considérations constitutionnelles, la portée du principe d’exclusivité énoncé dans la </w:t>
      </w:r>
      <w:r w:rsidRPr="001A1E08">
        <w:rPr>
          <w:rFonts w:cs="Times New Roman"/>
          <w:i/>
          <w:lang w:val="fr-CA"/>
        </w:rPr>
        <w:t>Convention de Montréal</w:t>
      </w:r>
      <w:r w:rsidRPr="001A1E08">
        <w:rPr>
          <w:rFonts w:cs="Times New Roman"/>
          <w:lang w:val="fr-CA"/>
        </w:rPr>
        <w:t xml:space="preserve"> ne peut être fonction de la définition des dommages</w:t>
      </w:r>
      <w:r w:rsidR="006412AC">
        <w:rPr>
          <w:rFonts w:cs="Times New Roman"/>
          <w:lang w:val="fr-CA"/>
        </w:rPr>
        <w:t>-</w:t>
      </w:r>
      <w:r w:rsidRPr="001A1E08">
        <w:rPr>
          <w:rFonts w:cs="Times New Roman"/>
          <w:lang w:val="fr-CA"/>
        </w:rPr>
        <w:t>intérêts en droit interne.  Comme l’explique M</w:t>
      </w:r>
      <w:r w:rsidRPr="001A1E08">
        <w:rPr>
          <w:rFonts w:cs="Times New Roman"/>
          <w:vertAlign w:val="superscript"/>
          <w:lang w:val="fr-CA"/>
        </w:rPr>
        <w:t>e</w:t>
      </w:r>
      <w:r w:rsidRPr="001A1E08">
        <w:rPr>
          <w:rFonts w:cs="Times New Roman"/>
          <w:lang w:val="fr-CA"/>
        </w:rPr>
        <w:t xml:space="preserve"> </w:t>
      </w:r>
      <w:proofErr w:type="spellStart"/>
      <w:r w:rsidRPr="001A1E08">
        <w:rPr>
          <w:rFonts w:cs="Times New Roman"/>
          <w:lang w:val="fr-CA"/>
        </w:rPr>
        <w:t>Chassot</w:t>
      </w:r>
      <w:proofErr w:type="spellEnd"/>
      <w:r w:rsidRPr="001A1E08">
        <w:rPr>
          <w:rFonts w:cs="Times New Roman"/>
          <w:lang w:val="fr-CA"/>
        </w:rPr>
        <w:t>, à la p.</w:t>
      </w:r>
      <w:r w:rsidR="006412AC">
        <w:rPr>
          <w:rFonts w:cs="Times New Roman"/>
          <w:lang w:val="fr-CA"/>
        </w:rPr>
        <w:t xml:space="preserve"> </w:t>
      </w:r>
      <w:r w:rsidRPr="001A1E08">
        <w:rPr>
          <w:rFonts w:cs="Times New Roman"/>
          <w:lang w:val="fr-CA"/>
        </w:rPr>
        <w:t>177</w:t>
      </w:r>
      <w:r w:rsidR="006412AC">
        <w:rPr>
          <w:rFonts w:cs="Times New Roman"/>
          <w:lang w:val="fr-CA"/>
        </w:rPr>
        <w:t> :</w:t>
      </w:r>
    </w:p>
    <w:p w:rsidR="00367456" w:rsidRPr="001A1E08" w:rsidRDefault="00367456" w:rsidP="00A12DCE">
      <w:pPr>
        <w:pStyle w:val="Citation-AltC"/>
        <w:widowControl w:val="0"/>
        <w:ind w:hanging="1166"/>
        <w:rPr>
          <w:lang w:val="fr-CA"/>
        </w:rPr>
      </w:pPr>
      <w:r w:rsidRPr="001A1E08">
        <w:rPr>
          <w:lang w:val="fr-CA"/>
        </w:rPr>
        <w:tab/>
        <w:t>La notion de dommages</w:t>
      </w:r>
      <w:r w:rsidR="006412AC">
        <w:rPr>
          <w:lang w:val="fr-CA"/>
        </w:rPr>
        <w:t>-</w:t>
      </w:r>
      <w:r w:rsidRPr="001A1E08">
        <w:rPr>
          <w:lang w:val="fr-CA"/>
        </w:rPr>
        <w:t>intérêts, en tant qu’élément de la définition du domaine de l’exclusivité énoncée à l’art.</w:t>
      </w:r>
      <w:r w:rsidR="006412AC">
        <w:rPr>
          <w:lang w:val="fr-CA"/>
        </w:rPr>
        <w:t xml:space="preserve"> </w:t>
      </w:r>
      <w:r w:rsidRPr="001A1E08">
        <w:rPr>
          <w:lang w:val="fr-CA"/>
        </w:rPr>
        <w:t xml:space="preserve">29 [de la </w:t>
      </w:r>
      <w:r w:rsidRPr="001A1E08">
        <w:rPr>
          <w:i/>
          <w:lang w:val="fr-CA"/>
        </w:rPr>
        <w:t>Convention de Montréal</w:t>
      </w:r>
      <w:r w:rsidRPr="001A1E08">
        <w:rPr>
          <w:lang w:val="fr-CA"/>
        </w:rPr>
        <w:t>], est de droit uniforme</w:t>
      </w:r>
      <w:r w:rsidR="006412AC">
        <w:rPr>
          <w:lang w:val="fr-CA"/>
        </w:rPr>
        <w:t> :</w:t>
      </w:r>
      <w:r w:rsidRPr="001A1E08">
        <w:rPr>
          <w:lang w:val="fr-CA"/>
        </w:rPr>
        <w:t xml:space="preserve"> son interprétation est autonome</w:t>
      </w:r>
      <w:r w:rsidR="003E2AF0">
        <w:rPr>
          <w:lang w:val="fr-CA"/>
        </w:rPr>
        <w:t>.</w:t>
      </w:r>
      <w:r w:rsidRPr="001A1E08">
        <w:rPr>
          <w:lang w:val="fr-CA"/>
        </w:rPr>
        <w:t xml:space="preserve"> [</w:t>
      </w:r>
      <w:r w:rsidR="00A12DCE">
        <w:rPr>
          <w:lang w:val="fr-CA"/>
        </w:rPr>
        <w:t>. . .</w:t>
      </w:r>
      <w:r w:rsidRPr="001A1E08">
        <w:rPr>
          <w:lang w:val="fr-CA"/>
        </w:rPr>
        <w:t xml:space="preserve">] </w:t>
      </w:r>
      <w:r w:rsidRPr="001A1E08">
        <w:rPr>
          <w:u w:val="single"/>
          <w:lang w:val="fr-CA"/>
        </w:rPr>
        <w:t>Pour apprécier le domaine de l’exclusivité, on ne saurait cependant se référer à la notion de dommages</w:t>
      </w:r>
      <w:r w:rsidR="006412AC">
        <w:rPr>
          <w:u w:val="single"/>
          <w:lang w:val="fr-CA"/>
        </w:rPr>
        <w:t>-</w:t>
      </w:r>
      <w:r w:rsidRPr="001A1E08">
        <w:rPr>
          <w:u w:val="single"/>
          <w:lang w:val="fr-CA"/>
        </w:rPr>
        <w:t>intérêts résultant du droit national, puisque ce serait alors l’ordre juridique interne qui déterminerait la portée de la Convention, ce qui serait manifestement incompatible avec l’objectif poursuivi par l’art.</w:t>
      </w:r>
      <w:r w:rsidR="006412AC">
        <w:rPr>
          <w:u w:val="single"/>
          <w:lang w:val="fr-CA"/>
        </w:rPr>
        <w:t xml:space="preserve"> </w:t>
      </w:r>
      <w:r w:rsidRPr="001A1E08">
        <w:rPr>
          <w:u w:val="single"/>
          <w:lang w:val="fr-CA"/>
        </w:rPr>
        <w:t xml:space="preserve">29 [de la </w:t>
      </w:r>
      <w:r w:rsidRPr="001A1E08">
        <w:rPr>
          <w:i/>
          <w:u w:val="single"/>
          <w:lang w:val="fr-CA"/>
        </w:rPr>
        <w:t>Convention de Montréal</w:t>
      </w:r>
      <w:r w:rsidRPr="001A1E08">
        <w:rPr>
          <w:u w:val="single"/>
          <w:lang w:val="fr-CA"/>
        </w:rPr>
        <w:t>]</w:t>
      </w:r>
      <w:r w:rsidRPr="003E2AF0">
        <w:rPr>
          <w:u w:val="single"/>
          <w:lang w:val="fr-CA"/>
        </w:rPr>
        <w:t>.</w:t>
      </w:r>
      <w:r w:rsidRPr="001A1E08">
        <w:rPr>
          <w:lang w:val="fr-CA"/>
        </w:rPr>
        <w:t xml:space="preserve">  Dès </w:t>
      </w:r>
      <w:r w:rsidRPr="001A1E08">
        <w:rPr>
          <w:lang w:val="fr-CA"/>
        </w:rPr>
        <w:lastRenderedPageBreak/>
        <w:t>lors, la notion de dommages</w:t>
      </w:r>
      <w:r w:rsidR="006412AC">
        <w:rPr>
          <w:lang w:val="fr-CA"/>
        </w:rPr>
        <w:t>-</w:t>
      </w:r>
      <w:r w:rsidRPr="001A1E08">
        <w:rPr>
          <w:lang w:val="fr-CA"/>
        </w:rPr>
        <w:t>intérêts au sens de l’art.</w:t>
      </w:r>
      <w:r w:rsidR="006412AC">
        <w:rPr>
          <w:lang w:val="fr-CA"/>
        </w:rPr>
        <w:t xml:space="preserve"> </w:t>
      </w:r>
      <w:r w:rsidRPr="001A1E08">
        <w:rPr>
          <w:lang w:val="fr-CA"/>
        </w:rPr>
        <w:t xml:space="preserve">29 [de la </w:t>
      </w:r>
      <w:r w:rsidRPr="001A1E08">
        <w:rPr>
          <w:i/>
          <w:lang w:val="fr-CA"/>
        </w:rPr>
        <w:t>Convention de Montréal</w:t>
      </w:r>
      <w:r w:rsidRPr="001A1E08">
        <w:rPr>
          <w:lang w:val="fr-CA"/>
        </w:rPr>
        <w:t xml:space="preserve">], dont le but est de délimiter le domaine de l’exclusivité des règles de responsabilité de la Convention, doit être distinguée de celle du préjudice réparable au titre des </w:t>
      </w:r>
      <w:proofErr w:type="gramStart"/>
      <w:r w:rsidRPr="001A1E08">
        <w:rPr>
          <w:lang w:val="fr-CA"/>
        </w:rPr>
        <w:t>art</w:t>
      </w:r>
      <w:proofErr w:type="gramEnd"/>
      <w:r w:rsidRPr="001A1E08">
        <w:rPr>
          <w:lang w:val="fr-CA"/>
        </w:rPr>
        <w:t>.</w:t>
      </w:r>
      <w:r w:rsidR="006412AC">
        <w:rPr>
          <w:lang w:val="fr-CA"/>
        </w:rPr>
        <w:t xml:space="preserve"> </w:t>
      </w:r>
      <w:r w:rsidRPr="001A1E08">
        <w:rPr>
          <w:lang w:val="fr-CA"/>
        </w:rPr>
        <w:t xml:space="preserve">17 </w:t>
      </w:r>
      <w:proofErr w:type="spellStart"/>
      <w:r w:rsidRPr="001A1E08">
        <w:rPr>
          <w:lang w:val="fr-CA"/>
        </w:rPr>
        <w:t>ss</w:t>
      </w:r>
      <w:proofErr w:type="spellEnd"/>
      <w:r w:rsidRPr="001A1E08">
        <w:rPr>
          <w:lang w:val="fr-CA"/>
        </w:rPr>
        <w:t xml:space="preserve"> [de la </w:t>
      </w:r>
      <w:r w:rsidRPr="001A1E08">
        <w:rPr>
          <w:i/>
          <w:lang w:val="fr-CA"/>
        </w:rPr>
        <w:t>Convention de Montréal</w:t>
      </w:r>
      <w:r w:rsidRPr="001A1E08">
        <w:rPr>
          <w:lang w:val="fr-CA"/>
        </w:rPr>
        <w:t>].  [Je souligne.]</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Ensuite, même si le droit interne était pertinent à ce stade, les dommages</w:t>
      </w:r>
      <w:r w:rsidR="006412AC">
        <w:rPr>
          <w:rFonts w:cs="Times New Roman"/>
          <w:lang w:val="fr-CA"/>
        </w:rPr>
        <w:t>-</w:t>
      </w:r>
      <w:r w:rsidRPr="001A1E08">
        <w:rPr>
          <w:rFonts w:cs="Times New Roman"/>
          <w:lang w:val="fr-CA"/>
        </w:rPr>
        <w:t xml:space="preserve">intérêts dont il est question dans l’arrêt </w:t>
      </w:r>
      <w:r w:rsidRPr="001A1E08">
        <w:rPr>
          <w:rFonts w:cs="Times New Roman"/>
          <w:i/>
          <w:lang w:val="fr-CA"/>
        </w:rPr>
        <w:t xml:space="preserve">Ward </w:t>
      </w:r>
      <w:r w:rsidRPr="001A1E08">
        <w:rPr>
          <w:rFonts w:cs="Times New Roman"/>
          <w:lang w:val="fr-CA"/>
        </w:rPr>
        <w:t xml:space="preserve">étaient réclamés de l’État, alors que, de toute évidence, Air Canada n’est pas l’État, pas plus que son mandataire.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Je conclus que l’argument des appelants selon lequel la </w:t>
      </w:r>
      <w:r w:rsidRPr="001A1E08">
        <w:rPr>
          <w:rFonts w:cs="Times New Roman"/>
          <w:i/>
          <w:lang w:val="fr-CA"/>
        </w:rPr>
        <w:t>Convention de Montréal</w:t>
      </w:r>
      <w:r w:rsidRPr="001A1E08">
        <w:rPr>
          <w:rFonts w:cs="Times New Roman"/>
          <w:lang w:val="fr-CA"/>
        </w:rPr>
        <w:t xml:space="preserve"> ne s’applique pas aux dommages</w:t>
      </w:r>
      <w:r w:rsidR="006412AC">
        <w:rPr>
          <w:rFonts w:cs="Times New Roman"/>
          <w:lang w:val="fr-CA"/>
        </w:rPr>
        <w:t>-</w:t>
      </w:r>
      <w:r w:rsidRPr="001A1E08">
        <w:rPr>
          <w:rFonts w:cs="Times New Roman"/>
          <w:lang w:val="fr-CA"/>
        </w:rPr>
        <w:t xml:space="preserve">intérêts qu’ils réclament en l’espèce est incompatible non seulement avec le libellé et l’objet de la </w:t>
      </w:r>
      <w:r w:rsidRPr="001A1E08">
        <w:rPr>
          <w:rFonts w:cs="Times New Roman"/>
          <w:i/>
          <w:lang w:val="fr-CA"/>
        </w:rPr>
        <w:t>Convention de Montréal</w:t>
      </w:r>
      <w:r w:rsidRPr="001A1E08">
        <w:rPr>
          <w:rFonts w:cs="Times New Roman"/>
          <w:lang w:val="fr-CA"/>
        </w:rPr>
        <w:t xml:space="preserve">, mais aussi avec le fort courant jurisprudentiel international quant à son interprétation. </w:t>
      </w:r>
    </w:p>
    <w:p w:rsidR="00367456" w:rsidRPr="001A1E08" w:rsidRDefault="00367456" w:rsidP="003E2AF0">
      <w:pPr>
        <w:pStyle w:val="Title4LevelTitre4Niveau"/>
        <w:widowControl w:val="0"/>
        <w:ind w:left="892" w:hanging="446"/>
        <w:rPr>
          <w:rFonts w:cs="Times New Roman"/>
          <w:lang w:val="fr-CA"/>
        </w:rPr>
      </w:pPr>
      <w:r w:rsidRPr="001A1E08">
        <w:rPr>
          <w:rFonts w:cs="Times New Roman"/>
          <w:lang w:val="fr-CA"/>
        </w:rPr>
        <w:t>La Convention de Montréal</w:t>
      </w:r>
      <w:r w:rsidRPr="001A1E08">
        <w:rPr>
          <w:rFonts w:cs="Times New Roman"/>
          <w:i w:val="0"/>
          <w:lang w:val="fr-CA"/>
        </w:rPr>
        <w:t xml:space="preserve"> </w:t>
      </w:r>
      <w:r w:rsidRPr="001A1E08">
        <w:rPr>
          <w:rFonts w:cs="Times New Roman"/>
          <w:lang w:val="fr-CA"/>
        </w:rPr>
        <w:t xml:space="preserve">exclut </w:t>
      </w:r>
      <w:r>
        <w:rPr>
          <w:rFonts w:cs="Times New Roman"/>
          <w:lang w:val="fr-CA"/>
        </w:rPr>
        <w:t>les dommages</w:t>
      </w:r>
      <w:r w:rsidR="006412AC">
        <w:rPr>
          <w:rFonts w:cs="Times New Roman"/>
          <w:lang w:val="fr-CA"/>
        </w:rPr>
        <w:t>-</w:t>
      </w:r>
      <w:r>
        <w:rPr>
          <w:rFonts w:cs="Times New Roman"/>
          <w:lang w:val="fr-CA"/>
        </w:rPr>
        <w:t xml:space="preserve">intérêts uniquement pour </w:t>
      </w:r>
      <w:r w:rsidRPr="001A1E08">
        <w:rPr>
          <w:rFonts w:cs="Times New Roman"/>
          <w:lang w:val="fr-CA"/>
        </w:rPr>
        <w:t xml:space="preserve">les </w:t>
      </w:r>
      <w:r w:rsidR="006412AC">
        <w:rPr>
          <w:rFonts w:cs="Times New Roman"/>
          <w:lang w:val="fr-CA"/>
        </w:rPr>
        <w:t>« </w:t>
      </w:r>
      <w:r>
        <w:rPr>
          <w:rFonts w:cs="Times New Roman"/>
          <w:lang w:val="fr-CA"/>
        </w:rPr>
        <w:t xml:space="preserve">préjudices </w:t>
      </w:r>
      <w:r w:rsidRPr="001A1E08">
        <w:rPr>
          <w:rFonts w:cs="Times New Roman"/>
          <w:lang w:val="fr-CA"/>
        </w:rPr>
        <w:t>individu</w:t>
      </w:r>
      <w:r>
        <w:rPr>
          <w:rFonts w:cs="Times New Roman"/>
          <w:lang w:val="fr-CA"/>
        </w:rPr>
        <w:t>el</w:t>
      </w:r>
      <w:r w:rsidRPr="001A1E08">
        <w:rPr>
          <w:rFonts w:cs="Times New Roman"/>
          <w:lang w:val="fr-CA"/>
        </w:rPr>
        <w:t>s</w:t>
      </w:r>
      <w:r w:rsidR="006412AC">
        <w:rPr>
          <w:rFonts w:cs="Times New Roman"/>
          <w:lang w:val="fr-CA"/>
        </w:rPr>
        <w:t> »</w:t>
      </w:r>
      <w:r w:rsidRPr="001A1E08">
        <w:rPr>
          <w:rFonts w:cs="Times New Roman"/>
          <w:lang w:val="fr-CA"/>
        </w:rPr>
        <w:t xml:space="preserve"> et non </w:t>
      </w:r>
      <w:r>
        <w:rPr>
          <w:rFonts w:cs="Times New Roman"/>
          <w:lang w:val="fr-CA"/>
        </w:rPr>
        <w:t xml:space="preserve">pour </w:t>
      </w:r>
      <w:r w:rsidRPr="001A1E08">
        <w:rPr>
          <w:rFonts w:cs="Times New Roman"/>
          <w:lang w:val="fr-CA"/>
        </w:rPr>
        <w:t xml:space="preserve">les </w:t>
      </w:r>
      <w:r w:rsidR="006412AC">
        <w:rPr>
          <w:rFonts w:cs="Times New Roman"/>
          <w:lang w:val="fr-CA"/>
        </w:rPr>
        <w:t>« </w:t>
      </w:r>
      <w:r>
        <w:rPr>
          <w:rFonts w:cs="Times New Roman"/>
          <w:lang w:val="fr-CA"/>
        </w:rPr>
        <w:t xml:space="preserve">préjudices appelant des réparations </w:t>
      </w:r>
      <w:r w:rsidRPr="001A1E08">
        <w:rPr>
          <w:rFonts w:cs="Times New Roman"/>
          <w:lang w:val="fr-CA"/>
        </w:rPr>
        <w:t>standardisé</w:t>
      </w:r>
      <w:r>
        <w:rPr>
          <w:rFonts w:cs="Times New Roman"/>
          <w:lang w:val="fr-CA"/>
        </w:rPr>
        <w:t>e</w:t>
      </w:r>
      <w:r w:rsidRPr="001A1E08">
        <w:rPr>
          <w:rFonts w:cs="Times New Roman"/>
          <w:lang w:val="fr-CA"/>
        </w:rPr>
        <w:t>s</w:t>
      </w:r>
      <w:r w:rsidR="006412AC">
        <w:rPr>
          <w:rFonts w:cs="Times New Roman"/>
          <w:lang w:val="fr-CA"/>
        </w:rPr>
        <w:t>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Les Thibodeau soutiennent en outre que le champ d’application substantiel de la </w:t>
      </w:r>
      <w:r w:rsidRPr="001A1E08">
        <w:rPr>
          <w:rFonts w:cs="Times New Roman"/>
          <w:i/>
          <w:lang w:val="fr-CA"/>
        </w:rPr>
        <w:t>Convention de Montréal</w:t>
      </w:r>
      <w:r w:rsidRPr="001A1E08">
        <w:rPr>
          <w:rFonts w:cs="Times New Roman"/>
          <w:lang w:val="fr-CA"/>
        </w:rPr>
        <w:t xml:space="preserve"> ne fait pas obstacle aux </w:t>
      </w:r>
      <w:r>
        <w:rPr>
          <w:rFonts w:cs="Times New Roman"/>
          <w:lang w:val="fr-CA"/>
        </w:rPr>
        <w:t>recours en dommages</w:t>
      </w:r>
      <w:r w:rsidR="006412AC">
        <w:rPr>
          <w:rFonts w:cs="Times New Roman"/>
          <w:lang w:val="fr-CA"/>
        </w:rPr>
        <w:t>-</w:t>
      </w:r>
      <w:r>
        <w:rPr>
          <w:rFonts w:cs="Times New Roman"/>
          <w:lang w:val="fr-CA"/>
        </w:rPr>
        <w:t xml:space="preserve">intérêts pour </w:t>
      </w:r>
      <w:r w:rsidR="006412AC">
        <w:rPr>
          <w:rFonts w:cs="Times New Roman"/>
          <w:lang w:val="fr-CA"/>
        </w:rPr>
        <w:t>« </w:t>
      </w:r>
      <w:r>
        <w:rPr>
          <w:rFonts w:cs="Times New Roman"/>
          <w:lang w:val="fr-CA"/>
        </w:rPr>
        <w:t xml:space="preserve">préjudices appelant des réparations </w:t>
      </w:r>
      <w:r w:rsidRPr="001A1E08">
        <w:rPr>
          <w:rFonts w:cs="Times New Roman"/>
          <w:lang w:val="fr-CA"/>
        </w:rPr>
        <w:t>standardisé</w:t>
      </w:r>
      <w:r>
        <w:rPr>
          <w:rFonts w:cs="Times New Roman"/>
          <w:lang w:val="fr-CA"/>
        </w:rPr>
        <w:t>e</w:t>
      </w:r>
      <w:r w:rsidRPr="001A1E08">
        <w:rPr>
          <w:rFonts w:cs="Times New Roman"/>
          <w:lang w:val="fr-CA"/>
        </w:rPr>
        <w:t>s</w:t>
      </w:r>
      <w:r w:rsidR="006412AC">
        <w:rPr>
          <w:rFonts w:cs="Times New Roman"/>
          <w:lang w:val="fr-CA"/>
        </w:rPr>
        <w:t> »</w:t>
      </w:r>
      <w:r>
        <w:rPr>
          <w:rFonts w:cs="Times New Roman"/>
          <w:lang w:val="fr-CA"/>
        </w:rPr>
        <w:t>,</w:t>
      </w:r>
      <w:r w:rsidRPr="001A1E08">
        <w:rPr>
          <w:rFonts w:cs="Times New Roman"/>
          <w:lang w:val="fr-CA"/>
        </w:rPr>
        <w:t xml:space="preserve"> et que leurs demandes sont de cette nature.  Cet argument repose sur la jurisprudence de la Cour européenne de justice, en particulier l’arrêt </w:t>
      </w:r>
      <w:r w:rsidRPr="001A1E08">
        <w:rPr>
          <w:rFonts w:cs="Times New Roman"/>
          <w:i/>
          <w:lang w:val="fr-CA"/>
        </w:rPr>
        <w:t xml:space="preserve">International Air Transport Association c. </w:t>
      </w:r>
      <w:proofErr w:type="spellStart"/>
      <w:r w:rsidRPr="001A1E08">
        <w:rPr>
          <w:rFonts w:cs="Times New Roman"/>
          <w:i/>
          <w:lang w:val="fr-CA"/>
        </w:rPr>
        <w:t>Department</w:t>
      </w:r>
      <w:proofErr w:type="spellEnd"/>
      <w:r w:rsidRPr="001A1E08">
        <w:rPr>
          <w:rFonts w:cs="Times New Roman"/>
          <w:i/>
          <w:lang w:val="fr-CA"/>
        </w:rPr>
        <w:t xml:space="preserve"> for Transport</w:t>
      </w:r>
      <w:r w:rsidRPr="001A1E08">
        <w:rPr>
          <w:rFonts w:cs="Times New Roman"/>
          <w:lang w:val="fr-CA"/>
        </w:rPr>
        <w:t>,</w:t>
      </w:r>
      <w:r w:rsidRPr="001A1E08">
        <w:rPr>
          <w:rFonts w:cs="Times New Roman"/>
          <w:i/>
          <w:lang w:val="fr-CA"/>
        </w:rPr>
        <w:t xml:space="preserve"> </w:t>
      </w:r>
      <w:r w:rsidRPr="001A1E08">
        <w:rPr>
          <w:rFonts w:cs="Times New Roman"/>
          <w:lang w:val="fr-CA"/>
        </w:rPr>
        <w:t>C</w:t>
      </w:r>
      <w:r w:rsidR="006412AC">
        <w:rPr>
          <w:rFonts w:cs="Times New Roman"/>
          <w:lang w:val="fr-CA"/>
        </w:rPr>
        <w:t>-</w:t>
      </w:r>
      <w:r w:rsidRPr="001A1E08">
        <w:rPr>
          <w:rFonts w:cs="Times New Roman"/>
          <w:lang w:val="fr-CA"/>
        </w:rPr>
        <w:t>344/04, [2006] E.C.R. I</w:t>
      </w:r>
      <w:r w:rsidR="006412AC">
        <w:rPr>
          <w:rFonts w:cs="Times New Roman"/>
          <w:lang w:val="fr-CA"/>
        </w:rPr>
        <w:t>-</w:t>
      </w:r>
      <w:r w:rsidRPr="001A1E08">
        <w:rPr>
          <w:rFonts w:cs="Times New Roman"/>
          <w:lang w:val="fr-CA"/>
        </w:rPr>
        <w:t>403 (grande chambre) (</w:t>
      </w:r>
      <w:r w:rsidR="006412AC">
        <w:rPr>
          <w:rFonts w:cs="Times New Roman"/>
          <w:lang w:val="fr-CA"/>
        </w:rPr>
        <w:t>« </w:t>
      </w:r>
      <w:r w:rsidRPr="001A1E08">
        <w:rPr>
          <w:rFonts w:cs="Times New Roman"/>
          <w:i/>
          <w:lang w:val="fr-CA"/>
        </w:rPr>
        <w:t>IATA</w:t>
      </w:r>
      <w:r w:rsidR="006412AC">
        <w:rPr>
          <w:rFonts w:cs="Times New Roman"/>
          <w:i/>
          <w:lang w:val="fr-CA"/>
        </w:rPr>
        <w:t> </w:t>
      </w:r>
      <w:r w:rsidR="006412AC" w:rsidRPr="006412AC">
        <w:rPr>
          <w:rFonts w:cs="Times New Roman"/>
          <w:lang w:val="fr-CA"/>
        </w:rPr>
        <w:t>»</w:t>
      </w:r>
      <w:r w:rsidRPr="001A1E08">
        <w:rPr>
          <w:rFonts w:cs="Times New Roman"/>
          <w:lang w:val="fr-CA"/>
        </w:rPr>
        <w:t xml:space="preserve">), qui a été appliqué par la quatrième chambre de la Cour européenne de justice dans </w:t>
      </w:r>
      <w:proofErr w:type="spellStart"/>
      <w:r w:rsidRPr="001A1E08">
        <w:rPr>
          <w:rFonts w:cs="Times New Roman"/>
          <w:i/>
          <w:lang w:val="fr-CA"/>
        </w:rPr>
        <w:t>Wallentin</w:t>
      </w:r>
      <w:proofErr w:type="spellEnd"/>
      <w:r w:rsidR="006412AC">
        <w:rPr>
          <w:rFonts w:cs="Times New Roman"/>
          <w:i/>
          <w:lang w:val="fr-CA"/>
        </w:rPr>
        <w:t>-</w:t>
      </w:r>
      <w:r w:rsidRPr="001A1E08">
        <w:rPr>
          <w:rFonts w:cs="Times New Roman"/>
          <w:i/>
          <w:lang w:val="fr-CA"/>
        </w:rPr>
        <w:t>Hermann c. Alitalia</w:t>
      </w:r>
      <w:r w:rsidRPr="001A1E08">
        <w:rPr>
          <w:rFonts w:cs="Times New Roman"/>
          <w:lang w:val="fr-CA"/>
        </w:rPr>
        <w:t>,</w:t>
      </w:r>
      <w:r w:rsidRPr="001A1E08">
        <w:rPr>
          <w:rFonts w:cs="Times New Roman"/>
          <w:i/>
          <w:lang w:val="fr-CA"/>
        </w:rPr>
        <w:t xml:space="preserve"> </w:t>
      </w:r>
      <w:r w:rsidRPr="001A1E08">
        <w:rPr>
          <w:rFonts w:cs="Times New Roman"/>
          <w:lang w:val="fr-CA"/>
        </w:rPr>
        <w:t>C</w:t>
      </w:r>
      <w:r w:rsidR="006412AC">
        <w:rPr>
          <w:rFonts w:cs="Times New Roman"/>
          <w:lang w:val="fr-CA"/>
        </w:rPr>
        <w:t>-</w:t>
      </w:r>
      <w:r w:rsidRPr="001A1E08">
        <w:rPr>
          <w:rFonts w:cs="Times New Roman"/>
          <w:lang w:val="fr-CA"/>
        </w:rPr>
        <w:t>549/07,</w:t>
      </w:r>
      <w:r w:rsidRPr="001A1E08">
        <w:rPr>
          <w:rFonts w:cs="Times New Roman"/>
          <w:i/>
          <w:lang w:val="fr-CA"/>
        </w:rPr>
        <w:t xml:space="preserve"> </w:t>
      </w:r>
      <w:r w:rsidRPr="001A1E08">
        <w:rPr>
          <w:rFonts w:cs="Times New Roman"/>
          <w:lang w:val="fr-CA"/>
        </w:rPr>
        <w:t>[2008] E.C.R. I</w:t>
      </w:r>
      <w:r w:rsidR="006412AC">
        <w:rPr>
          <w:rFonts w:cs="Times New Roman"/>
          <w:lang w:val="fr-CA"/>
        </w:rPr>
        <w:t>-</w:t>
      </w:r>
      <w:r w:rsidRPr="001A1E08">
        <w:rPr>
          <w:rFonts w:cs="Times New Roman"/>
          <w:lang w:val="fr-CA"/>
        </w:rPr>
        <w:lastRenderedPageBreak/>
        <w:t>11061, par.</w:t>
      </w:r>
      <w:r w:rsidR="006412AC">
        <w:rPr>
          <w:rFonts w:cs="Times New Roman"/>
          <w:lang w:val="fr-CA"/>
        </w:rPr>
        <w:t xml:space="preserve"> </w:t>
      </w:r>
      <w:r w:rsidRPr="001A1E08">
        <w:rPr>
          <w:rFonts w:cs="Times New Roman"/>
          <w:lang w:val="fr-CA"/>
        </w:rPr>
        <w:t xml:space="preserve">32, et </w:t>
      </w:r>
      <w:r w:rsidRPr="001A1E08">
        <w:rPr>
          <w:rFonts w:cs="Times New Roman"/>
          <w:i/>
          <w:lang w:val="fr-CA"/>
        </w:rPr>
        <w:t xml:space="preserve">Sturgeon c. Condor </w:t>
      </w:r>
      <w:proofErr w:type="spellStart"/>
      <w:r w:rsidRPr="001A1E08">
        <w:rPr>
          <w:rFonts w:cs="Times New Roman"/>
          <w:i/>
          <w:lang w:val="fr-CA"/>
        </w:rPr>
        <w:t>Flugdienst</w:t>
      </w:r>
      <w:proofErr w:type="spellEnd"/>
      <w:r w:rsidRPr="001A1E08">
        <w:rPr>
          <w:rFonts w:cs="Times New Roman"/>
          <w:i/>
          <w:lang w:val="fr-CA"/>
        </w:rPr>
        <w:t xml:space="preserve"> </w:t>
      </w:r>
      <w:proofErr w:type="spellStart"/>
      <w:r w:rsidRPr="001A1E08">
        <w:rPr>
          <w:rFonts w:cs="Times New Roman"/>
          <w:i/>
          <w:lang w:val="fr-CA"/>
        </w:rPr>
        <w:t>GmbH</w:t>
      </w:r>
      <w:proofErr w:type="spellEnd"/>
      <w:r w:rsidRPr="001A1E08">
        <w:rPr>
          <w:rFonts w:cs="Times New Roman"/>
          <w:lang w:val="fr-CA"/>
        </w:rPr>
        <w:t>, affaires conjointes C</w:t>
      </w:r>
      <w:r w:rsidR="006412AC">
        <w:rPr>
          <w:rFonts w:cs="Times New Roman"/>
          <w:lang w:val="fr-CA"/>
        </w:rPr>
        <w:t>-</w:t>
      </w:r>
      <w:r w:rsidRPr="001A1E08">
        <w:rPr>
          <w:rFonts w:cs="Times New Roman"/>
          <w:lang w:val="fr-CA"/>
        </w:rPr>
        <w:t xml:space="preserve">402/07 </w:t>
      </w:r>
      <w:r w:rsidR="00593C2D">
        <w:rPr>
          <w:rFonts w:cs="Times New Roman"/>
          <w:lang w:val="fr-CA"/>
        </w:rPr>
        <w:t>et</w:t>
      </w:r>
      <w:r w:rsidRPr="001A1E08">
        <w:rPr>
          <w:rFonts w:cs="Times New Roman"/>
          <w:lang w:val="fr-CA"/>
        </w:rPr>
        <w:t xml:space="preserve"> C</w:t>
      </w:r>
      <w:r w:rsidR="006412AC">
        <w:rPr>
          <w:rFonts w:cs="Times New Roman"/>
          <w:lang w:val="fr-CA"/>
        </w:rPr>
        <w:t>-</w:t>
      </w:r>
      <w:r w:rsidRPr="001A1E08">
        <w:rPr>
          <w:rFonts w:cs="Times New Roman"/>
          <w:lang w:val="fr-CA"/>
        </w:rPr>
        <w:t>432/07, [2009] E.C.R. I</w:t>
      </w:r>
      <w:r w:rsidR="006412AC">
        <w:rPr>
          <w:rFonts w:cs="Times New Roman"/>
          <w:lang w:val="fr-CA"/>
        </w:rPr>
        <w:t>-</w:t>
      </w:r>
      <w:r w:rsidRPr="001A1E08">
        <w:rPr>
          <w:rFonts w:cs="Times New Roman"/>
          <w:lang w:val="fr-CA"/>
        </w:rPr>
        <w:t>10923, par.</w:t>
      </w:r>
      <w:r w:rsidR="006412AC">
        <w:rPr>
          <w:rFonts w:cs="Times New Roman"/>
          <w:lang w:val="fr-CA"/>
        </w:rPr>
        <w:t xml:space="preserve"> </w:t>
      </w:r>
      <w:r w:rsidRPr="001A1E08">
        <w:rPr>
          <w:rFonts w:cs="Times New Roman"/>
          <w:lang w:val="fr-CA"/>
        </w:rPr>
        <w:t xml:space="preserve">65, et confirmé par la grande chambre dans </w:t>
      </w:r>
      <w:r w:rsidRPr="001A1E08">
        <w:rPr>
          <w:rFonts w:cs="Times New Roman"/>
          <w:i/>
          <w:lang w:val="fr-CA"/>
        </w:rPr>
        <w:t>Nelson c. Deutsche Lufthansa AG</w:t>
      </w:r>
      <w:r w:rsidRPr="001A1E08">
        <w:rPr>
          <w:rFonts w:cs="Times New Roman"/>
          <w:lang w:val="fr-CA"/>
        </w:rPr>
        <w:t>, affaires conjointes C</w:t>
      </w:r>
      <w:r w:rsidR="006412AC">
        <w:rPr>
          <w:rFonts w:cs="Times New Roman"/>
          <w:lang w:val="fr-CA"/>
        </w:rPr>
        <w:t>-</w:t>
      </w:r>
      <w:r w:rsidRPr="001A1E08">
        <w:rPr>
          <w:rFonts w:cs="Times New Roman"/>
          <w:lang w:val="fr-CA"/>
        </w:rPr>
        <w:t>581/10 et C</w:t>
      </w:r>
      <w:r w:rsidR="006412AC">
        <w:rPr>
          <w:rFonts w:cs="Times New Roman"/>
          <w:lang w:val="fr-CA"/>
        </w:rPr>
        <w:t>-</w:t>
      </w:r>
      <w:r w:rsidRPr="001A1E08">
        <w:rPr>
          <w:rFonts w:cs="Times New Roman"/>
          <w:lang w:val="fr-CA"/>
        </w:rPr>
        <w:t>629/10, [2013] 1 C.M.L.R.</w:t>
      </w:r>
      <w:r w:rsidR="00593C2D">
        <w:rPr>
          <w:rFonts w:cs="Times New Roman"/>
          <w:lang w:val="fr-CA"/>
        </w:rPr>
        <w:t xml:space="preserve"> 42 (p.</w:t>
      </w:r>
      <w:r w:rsidRPr="001A1E08">
        <w:rPr>
          <w:rFonts w:cs="Times New Roman"/>
          <w:lang w:val="fr-CA"/>
        </w:rPr>
        <w:t xml:space="preserve"> 1191</w:t>
      </w:r>
      <w:r w:rsidR="00593C2D">
        <w:rPr>
          <w:rFonts w:cs="Times New Roman"/>
          <w:lang w:val="fr-CA"/>
        </w:rPr>
        <w:t>)</w:t>
      </w:r>
      <w:r w:rsidRPr="001A1E08">
        <w:rPr>
          <w:rFonts w:cs="Times New Roman"/>
          <w:lang w:val="fr-CA"/>
        </w:rPr>
        <w:t>, par.</w:t>
      </w:r>
      <w:r w:rsidR="006412AC">
        <w:rPr>
          <w:rFonts w:cs="Times New Roman"/>
          <w:lang w:val="fr-CA"/>
        </w:rPr>
        <w:t xml:space="preserve"> </w:t>
      </w:r>
      <w:r w:rsidRPr="001A1E08">
        <w:rPr>
          <w:rFonts w:cs="Times New Roman"/>
          <w:lang w:val="fr-CA"/>
        </w:rPr>
        <w:t>46</w:t>
      </w:r>
      <w:r w:rsidR="006412AC">
        <w:rPr>
          <w:rFonts w:cs="Times New Roman"/>
          <w:lang w:val="fr-CA"/>
        </w:rPr>
        <w:t>-</w:t>
      </w:r>
      <w:r w:rsidRPr="001A1E08">
        <w:rPr>
          <w:rFonts w:cs="Times New Roman"/>
          <w:lang w:val="fr-CA"/>
        </w:rPr>
        <w:t xml:space="preserve">60.  Dans l’affaire </w:t>
      </w:r>
      <w:r w:rsidRPr="001A1E08">
        <w:rPr>
          <w:rFonts w:cs="Times New Roman"/>
          <w:i/>
          <w:lang w:val="fr-CA"/>
        </w:rPr>
        <w:t>IATA</w:t>
      </w:r>
      <w:r w:rsidRPr="001A1E08">
        <w:rPr>
          <w:rFonts w:cs="Times New Roman"/>
          <w:lang w:val="fr-CA"/>
        </w:rPr>
        <w:t xml:space="preserve">, par exemple, la cour devait déterminer si un règlement de la Communauté européenne sur les droits des passagers aériens en cas de retard allait à l’encontre de la </w:t>
      </w:r>
      <w:r w:rsidRPr="001A1E08">
        <w:rPr>
          <w:rFonts w:cs="Times New Roman"/>
          <w:i/>
          <w:lang w:val="fr-CA"/>
        </w:rPr>
        <w:t>Convention de Montréal</w:t>
      </w:r>
      <w:r w:rsidRPr="00593C2D">
        <w:rPr>
          <w:rFonts w:cs="Times New Roman"/>
          <w:lang w:val="fr-CA"/>
        </w:rPr>
        <w:t>.</w:t>
      </w:r>
      <w:r w:rsidR="006412AC">
        <w:rPr>
          <w:rFonts w:cs="Times New Roman"/>
          <w:i/>
          <w:lang w:val="fr-CA"/>
        </w:rPr>
        <w:t xml:space="preserve"> </w:t>
      </w:r>
      <w:r w:rsidRPr="001A1E08">
        <w:rPr>
          <w:rFonts w:cs="Times New Roman"/>
          <w:lang w:val="fr-CA"/>
        </w:rPr>
        <w:t xml:space="preserve"> Le règlement en question exigeait des compagnies aériennes qu’elles offrent gratuitement aux passagers dont le vol est retardé des rafraîchissements, </w:t>
      </w:r>
      <w:r w:rsidR="00CB3AF7">
        <w:rPr>
          <w:rFonts w:cs="Times New Roman"/>
          <w:lang w:val="fr-CA"/>
        </w:rPr>
        <w:t>des repas et l’</w:t>
      </w:r>
      <w:r w:rsidRPr="001A1E08">
        <w:rPr>
          <w:rFonts w:cs="Times New Roman"/>
          <w:lang w:val="fr-CA"/>
        </w:rPr>
        <w:t>hébergement à l’hôtel</w:t>
      </w:r>
      <w:r w:rsidR="00CB3AF7">
        <w:rPr>
          <w:rFonts w:cs="Times New Roman"/>
          <w:lang w:val="fr-CA"/>
        </w:rPr>
        <w:t>, selon le cas</w:t>
      </w:r>
      <w:r w:rsidRPr="001A1E08">
        <w:rPr>
          <w:rFonts w:cs="Times New Roman"/>
          <w:lang w:val="fr-CA"/>
        </w:rPr>
        <w:t>.  La cour a conclu qu’un retard dans le transport aérien ouvrait droit à deux types distincts de dommages</w:t>
      </w:r>
      <w:r w:rsidR="006412AC">
        <w:rPr>
          <w:rFonts w:cs="Times New Roman"/>
          <w:lang w:val="fr-CA"/>
        </w:rPr>
        <w:t>-</w:t>
      </w:r>
      <w:r w:rsidRPr="001A1E08">
        <w:rPr>
          <w:rFonts w:cs="Times New Roman"/>
          <w:lang w:val="fr-CA"/>
        </w:rPr>
        <w:t xml:space="preserve">intérêts, dont un seul est régi par la </w:t>
      </w:r>
      <w:r w:rsidRPr="001A1E08">
        <w:rPr>
          <w:rFonts w:cs="Times New Roman"/>
          <w:i/>
          <w:lang w:val="fr-CA"/>
        </w:rPr>
        <w:t>Convention de Montréal</w:t>
      </w:r>
      <w:r w:rsidRPr="00593C2D">
        <w:rPr>
          <w:rFonts w:cs="Times New Roman"/>
          <w:lang w:val="fr-CA"/>
        </w:rPr>
        <w:t>.</w:t>
      </w:r>
      <w:r w:rsidR="006412AC">
        <w:rPr>
          <w:rFonts w:cs="Times New Roman"/>
          <w:i/>
          <w:lang w:val="fr-CA"/>
        </w:rPr>
        <w:t xml:space="preserve"> </w:t>
      </w:r>
      <w:r w:rsidRPr="001A1E08">
        <w:rPr>
          <w:rFonts w:cs="Times New Roman"/>
          <w:lang w:val="fr-CA"/>
        </w:rPr>
        <w:t xml:space="preserve"> Le premier, qui, selon la cour, </w:t>
      </w:r>
      <w:r w:rsidRPr="0029611A">
        <w:rPr>
          <w:rFonts w:cs="Times New Roman"/>
          <w:i/>
          <w:lang w:val="fr-CA"/>
        </w:rPr>
        <w:t>n</w:t>
      </w:r>
      <w:r w:rsidRPr="001A1E08">
        <w:rPr>
          <w:rFonts w:cs="Times New Roman"/>
          <w:lang w:val="fr-CA"/>
        </w:rPr>
        <w:t xml:space="preserve">’est </w:t>
      </w:r>
      <w:r w:rsidRPr="0029611A">
        <w:rPr>
          <w:rFonts w:cs="Times New Roman"/>
          <w:i/>
          <w:lang w:val="fr-CA"/>
        </w:rPr>
        <w:t>pas</w:t>
      </w:r>
      <w:r w:rsidRPr="001A1E08">
        <w:rPr>
          <w:rFonts w:cs="Times New Roman"/>
          <w:lang w:val="fr-CA"/>
        </w:rPr>
        <w:t xml:space="preserve"> visé par la </w:t>
      </w:r>
      <w:r w:rsidRPr="001A1E08">
        <w:rPr>
          <w:rFonts w:cs="Times New Roman"/>
          <w:i/>
          <w:lang w:val="fr-CA"/>
        </w:rPr>
        <w:t>Convention de Montréal</w:t>
      </w:r>
      <w:r w:rsidRPr="001A1E08">
        <w:rPr>
          <w:rFonts w:cs="Times New Roman"/>
          <w:lang w:val="fr-CA"/>
        </w:rPr>
        <w:t xml:space="preserve">, découle des </w:t>
      </w:r>
      <w:r w:rsidR="006412AC">
        <w:rPr>
          <w:rFonts w:cs="Times New Roman"/>
          <w:lang w:val="fr-CA"/>
        </w:rPr>
        <w:t>« </w:t>
      </w:r>
      <w:r w:rsidRPr="001A1E08">
        <w:rPr>
          <w:rFonts w:cs="Times New Roman"/>
          <w:lang w:val="fr-CA"/>
        </w:rPr>
        <w:t>préjudices, quasiment identiques pour tous les passagers, dont la réparation peut prendre la forme d’une assistance ou d’une prise en charge, standardisées et immédiates, pour tous les intéressés</w:t>
      </w:r>
      <w:r w:rsidR="006412AC">
        <w:rPr>
          <w:rFonts w:cs="Times New Roman"/>
          <w:lang w:val="fr-CA"/>
        </w:rPr>
        <w:t> » :</w:t>
      </w:r>
      <w:r w:rsidRPr="001A1E08">
        <w:rPr>
          <w:rFonts w:cs="Times New Roman"/>
          <w:lang w:val="fr-CA"/>
        </w:rPr>
        <w:t xml:space="preserve"> par.</w:t>
      </w:r>
      <w:r w:rsidR="006412AC">
        <w:rPr>
          <w:rFonts w:cs="Times New Roman"/>
          <w:lang w:val="fr-CA"/>
        </w:rPr>
        <w:t xml:space="preserve"> </w:t>
      </w:r>
      <w:r w:rsidRPr="001A1E08">
        <w:rPr>
          <w:rFonts w:cs="Times New Roman"/>
          <w:lang w:val="fr-CA"/>
        </w:rPr>
        <w:t xml:space="preserve">43.  De l’avis de la cour, c’est ce type de mesure que </w:t>
      </w:r>
      <w:r>
        <w:rPr>
          <w:rFonts w:cs="Times New Roman"/>
          <w:lang w:val="fr-CA"/>
        </w:rPr>
        <w:t xml:space="preserve">prévoyait </w:t>
      </w:r>
      <w:r w:rsidRPr="001A1E08">
        <w:rPr>
          <w:rFonts w:cs="Times New Roman"/>
          <w:lang w:val="fr-CA"/>
        </w:rPr>
        <w:t xml:space="preserve">le règlement.  Le deuxième, qui </w:t>
      </w:r>
      <w:r w:rsidRPr="001A1E08">
        <w:rPr>
          <w:rFonts w:cs="Times New Roman"/>
          <w:i/>
          <w:lang w:val="fr-CA"/>
        </w:rPr>
        <w:t>est</w:t>
      </w:r>
      <w:r w:rsidRPr="001A1E08">
        <w:rPr>
          <w:rFonts w:cs="Times New Roman"/>
          <w:lang w:val="fr-CA"/>
        </w:rPr>
        <w:t xml:space="preserve"> visé par la </w:t>
      </w:r>
      <w:r w:rsidRPr="001A1E08">
        <w:rPr>
          <w:rFonts w:cs="Times New Roman"/>
          <w:i/>
          <w:lang w:val="fr-CA"/>
        </w:rPr>
        <w:t>Convention de Montréal</w:t>
      </w:r>
      <w:r w:rsidRPr="001A1E08">
        <w:rPr>
          <w:rFonts w:cs="Times New Roman"/>
          <w:lang w:val="fr-CA"/>
        </w:rPr>
        <w:t xml:space="preserve">, découle des </w:t>
      </w:r>
      <w:r w:rsidR="006412AC">
        <w:rPr>
          <w:rFonts w:cs="Times New Roman"/>
          <w:lang w:val="fr-CA"/>
        </w:rPr>
        <w:t>« </w:t>
      </w:r>
      <w:r w:rsidRPr="001A1E08">
        <w:rPr>
          <w:rFonts w:cs="Times New Roman"/>
          <w:lang w:val="fr-CA"/>
        </w:rPr>
        <w:t>préjudices individuels [</w:t>
      </w:r>
      <w:r w:rsidR="00A12DCE">
        <w:rPr>
          <w:rFonts w:cs="Times New Roman"/>
          <w:lang w:val="fr-CA"/>
        </w:rPr>
        <w:t>. . .</w:t>
      </w:r>
      <w:r w:rsidRPr="001A1E08">
        <w:rPr>
          <w:rFonts w:cs="Times New Roman"/>
          <w:lang w:val="fr-CA"/>
        </w:rPr>
        <w:t>] dont la réparation exige une appréciation au cas par cas de l’ampleur des dommages causés</w:t>
      </w:r>
      <w:r w:rsidR="006412AC">
        <w:rPr>
          <w:rFonts w:cs="Times New Roman"/>
          <w:lang w:val="fr-CA"/>
        </w:rPr>
        <w:t> » :</w:t>
      </w:r>
      <w:r w:rsidRPr="001A1E08">
        <w:rPr>
          <w:rFonts w:cs="Times New Roman"/>
          <w:lang w:val="fr-CA"/>
        </w:rPr>
        <w:t xml:space="preserve"> </w:t>
      </w:r>
      <w:r w:rsidRPr="001A1E08">
        <w:rPr>
          <w:rFonts w:cs="Times New Roman"/>
          <w:i/>
          <w:lang w:val="fr-CA"/>
        </w:rPr>
        <w:t>ibid.</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À mon humble avis, cette jurisprudence n’est pas pertinente quant à la question dont nous sommes saisis en l’espèce.  Même si nous adoptions la distinction établie par la Cour européenne de justice entre les </w:t>
      </w:r>
      <w:r w:rsidR="006412AC">
        <w:rPr>
          <w:rFonts w:cs="Times New Roman"/>
          <w:lang w:val="fr-CA"/>
        </w:rPr>
        <w:t>« </w:t>
      </w:r>
      <w:r w:rsidRPr="001A1E08">
        <w:rPr>
          <w:rFonts w:cs="Times New Roman"/>
          <w:lang w:val="fr-CA"/>
        </w:rPr>
        <w:t>préjudices individuels</w:t>
      </w:r>
      <w:r w:rsidR="006412AC">
        <w:rPr>
          <w:rFonts w:cs="Times New Roman"/>
          <w:lang w:val="fr-CA"/>
        </w:rPr>
        <w:t> »</w:t>
      </w:r>
      <w:r w:rsidRPr="001A1E08">
        <w:rPr>
          <w:rFonts w:cs="Times New Roman"/>
          <w:lang w:val="fr-CA"/>
        </w:rPr>
        <w:t xml:space="preserve"> et les </w:t>
      </w:r>
      <w:r w:rsidR="006412AC">
        <w:rPr>
          <w:rFonts w:cs="Times New Roman"/>
          <w:lang w:val="fr-CA"/>
        </w:rPr>
        <w:t>« </w:t>
      </w:r>
      <w:r w:rsidRPr="001A1E08">
        <w:rPr>
          <w:rFonts w:cs="Times New Roman"/>
          <w:lang w:val="fr-CA"/>
        </w:rPr>
        <w:t>préjudices appelant des réparations standardisées</w:t>
      </w:r>
      <w:r w:rsidR="006412AC">
        <w:rPr>
          <w:rFonts w:cs="Times New Roman"/>
          <w:lang w:val="fr-CA"/>
        </w:rPr>
        <w:t> »</w:t>
      </w:r>
      <w:r w:rsidRPr="001A1E08">
        <w:rPr>
          <w:rFonts w:cs="Times New Roman"/>
          <w:lang w:val="fr-CA"/>
        </w:rPr>
        <w:t>, cela n’aiderait pas les Thibodeau.  Les dommages</w:t>
      </w:r>
      <w:r w:rsidR="006412AC">
        <w:rPr>
          <w:rFonts w:cs="Times New Roman"/>
          <w:lang w:val="fr-CA"/>
        </w:rPr>
        <w:t>-</w:t>
      </w:r>
      <w:r w:rsidRPr="001A1E08">
        <w:rPr>
          <w:rFonts w:cs="Times New Roman"/>
          <w:lang w:val="fr-CA"/>
        </w:rPr>
        <w:t xml:space="preserve">intérêts que ces derniers cherchent à obtenir en l’espèce </w:t>
      </w:r>
      <w:r w:rsidRPr="001A1E08">
        <w:rPr>
          <w:rFonts w:cs="Times New Roman"/>
          <w:lang w:val="fr-CA"/>
        </w:rPr>
        <w:lastRenderedPageBreak/>
        <w:t xml:space="preserve">ne sauraient concerner des </w:t>
      </w:r>
      <w:r w:rsidR="006412AC">
        <w:rPr>
          <w:rFonts w:cs="Times New Roman"/>
          <w:lang w:val="fr-CA"/>
        </w:rPr>
        <w:t>« </w:t>
      </w:r>
      <w:r w:rsidRPr="001A1E08">
        <w:rPr>
          <w:rFonts w:cs="Times New Roman"/>
          <w:lang w:val="fr-CA"/>
        </w:rPr>
        <w:t>préjudices [</w:t>
      </w:r>
      <w:r w:rsidR="00A12DCE">
        <w:rPr>
          <w:rFonts w:cs="Times New Roman"/>
          <w:lang w:val="fr-CA"/>
        </w:rPr>
        <w:t>. . .</w:t>
      </w:r>
      <w:r w:rsidRPr="001A1E08">
        <w:rPr>
          <w:rFonts w:cs="Times New Roman"/>
          <w:lang w:val="fr-CA"/>
        </w:rPr>
        <w:t>] dont la réparation peut prendre la forme d’une assistance ou d’une prise en charge, standardisées et immédiates, pour tous les intéressés</w:t>
      </w:r>
      <w:r w:rsidR="006412AC">
        <w:rPr>
          <w:rFonts w:cs="Times New Roman"/>
          <w:lang w:val="fr-CA"/>
        </w:rPr>
        <w:t> »</w:t>
      </w:r>
      <w:r w:rsidRPr="001A1E08">
        <w:rPr>
          <w:rFonts w:cs="Times New Roman"/>
          <w:lang w:val="fr-CA"/>
        </w:rPr>
        <w:t xml:space="preserve">, comme l’étaient les mesures prescrites par le règlement examiné dans l’affaire </w:t>
      </w:r>
      <w:r w:rsidRPr="001A1E08">
        <w:rPr>
          <w:rFonts w:cs="Times New Roman"/>
          <w:i/>
          <w:lang w:val="fr-CA"/>
        </w:rPr>
        <w:t>IATA.</w:t>
      </w:r>
      <w:r w:rsidRPr="001A1E08">
        <w:rPr>
          <w:rFonts w:cs="Times New Roman"/>
          <w:lang w:val="fr-CA"/>
        </w:rPr>
        <w:t xml:space="preserve">  Les dommages</w:t>
      </w:r>
      <w:r w:rsidR="006412AC">
        <w:rPr>
          <w:rFonts w:cs="Times New Roman"/>
          <w:lang w:val="fr-CA"/>
        </w:rPr>
        <w:t>-</w:t>
      </w:r>
      <w:r w:rsidRPr="001A1E08">
        <w:rPr>
          <w:rFonts w:cs="Times New Roman"/>
          <w:lang w:val="fr-CA"/>
        </w:rPr>
        <w:t>intérêts réclamés par les Thibodeau et accordés par la juge saisie de la demande étaient fonction, du moins en partie, du préjudice causé aux Thibodeau par les manquements particuliers en cause.  Les Thibodeau demandaient des dommages</w:t>
      </w:r>
      <w:r w:rsidR="006412AC">
        <w:rPr>
          <w:rFonts w:cs="Times New Roman"/>
          <w:lang w:val="fr-CA"/>
        </w:rPr>
        <w:t>-</w:t>
      </w:r>
      <w:r w:rsidRPr="001A1E08">
        <w:rPr>
          <w:rFonts w:cs="Times New Roman"/>
          <w:lang w:val="fr-CA"/>
        </w:rPr>
        <w:t xml:space="preserve">intérêts à titre individuel.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Je signale que la Cour suprême du Royaume</w:t>
      </w:r>
      <w:r w:rsidR="006412AC">
        <w:rPr>
          <w:rFonts w:cs="Times New Roman"/>
          <w:lang w:val="fr-CA"/>
        </w:rPr>
        <w:t>-</w:t>
      </w:r>
      <w:r w:rsidRPr="001A1E08">
        <w:rPr>
          <w:rFonts w:cs="Times New Roman"/>
          <w:lang w:val="fr-CA"/>
        </w:rPr>
        <w:t xml:space="preserve">Uni a donné récemment la même interprétation au courant jurisprudentiel découlant de l’arrêt </w:t>
      </w:r>
      <w:r w:rsidRPr="001A1E08">
        <w:rPr>
          <w:rFonts w:cs="Times New Roman"/>
          <w:i/>
          <w:lang w:val="fr-CA"/>
        </w:rPr>
        <w:t>IATA</w:t>
      </w:r>
      <w:r w:rsidRPr="001A1E08">
        <w:rPr>
          <w:rFonts w:cs="Times New Roman"/>
          <w:lang w:val="fr-CA"/>
        </w:rPr>
        <w:t>.  La cour a conclu qu’un recours en dommages</w:t>
      </w:r>
      <w:r w:rsidR="006412AC">
        <w:rPr>
          <w:rFonts w:cs="Times New Roman"/>
          <w:lang w:val="fr-CA"/>
        </w:rPr>
        <w:t>-</w:t>
      </w:r>
      <w:r w:rsidRPr="001A1E08">
        <w:rPr>
          <w:rFonts w:cs="Times New Roman"/>
          <w:lang w:val="fr-CA"/>
        </w:rPr>
        <w:t>intérêts pour manquement aux obligations imposées à l’égard des personnes handicapées était un recours en dommages</w:t>
      </w:r>
      <w:r w:rsidR="006412AC">
        <w:rPr>
          <w:rFonts w:cs="Times New Roman"/>
          <w:lang w:val="fr-CA"/>
        </w:rPr>
        <w:t>-</w:t>
      </w:r>
      <w:r w:rsidRPr="001A1E08">
        <w:rPr>
          <w:rFonts w:cs="Times New Roman"/>
          <w:lang w:val="fr-CA"/>
        </w:rPr>
        <w:t xml:space="preserve">intérêts fondé sur un préjudice individuel et que, de ce fait, ce courant jurisprudentiel ne permettait pas au demandeur d’échapper à l’interdiction prescrite par la </w:t>
      </w:r>
      <w:r w:rsidRPr="001A1E08">
        <w:rPr>
          <w:rFonts w:cs="Times New Roman"/>
          <w:i/>
          <w:lang w:val="fr-CA"/>
        </w:rPr>
        <w:t>Convention de Montréal</w:t>
      </w:r>
      <w:r w:rsidR="006412AC">
        <w:rPr>
          <w:rFonts w:cs="Times New Roman"/>
          <w:lang w:val="fr-CA"/>
        </w:rPr>
        <w:t> :</w:t>
      </w:r>
      <w:r w:rsidRPr="001A1E08">
        <w:rPr>
          <w:rFonts w:cs="Times New Roman"/>
          <w:lang w:val="fr-CA"/>
        </w:rPr>
        <w:t xml:space="preserve"> </w:t>
      </w:r>
      <w:proofErr w:type="spellStart"/>
      <w:r w:rsidRPr="001A1E08">
        <w:rPr>
          <w:rFonts w:cs="Times New Roman"/>
          <w:i/>
          <w:lang w:val="fr-CA"/>
        </w:rPr>
        <w:t>Stott</w:t>
      </w:r>
      <w:proofErr w:type="spellEnd"/>
      <w:r w:rsidRPr="001A1E08">
        <w:rPr>
          <w:rFonts w:cs="Times New Roman"/>
          <w:lang w:val="fr-CA"/>
        </w:rPr>
        <w:t>, par.</w:t>
      </w:r>
      <w:r w:rsidR="006412AC">
        <w:rPr>
          <w:rFonts w:cs="Times New Roman"/>
          <w:lang w:val="fr-CA"/>
        </w:rPr>
        <w:t xml:space="preserve"> </w:t>
      </w:r>
      <w:r w:rsidRPr="001A1E08">
        <w:rPr>
          <w:rFonts w:cs="Times New Roman"/>
          <w:lang w:val="fr-CA"/>
        </w:rPr>
        <w:t xml:space="preserve">58.  Je suis d’accord et j’appliquerais le même raisonnement en l’espèce. </w:t>
      </w:r>
    </w:p>
    <w:p w:rsidR="00367456" w:rsidRPr="001A1E08" w:rsidRDefault="00367456" w:rsidP="00593C2D">
      <w:pPr>
        <w:pStyle w:val="Title4LevelTitre4Niveau"/>
        <w:widowControl w:val="0"/>
        <w:ind w:left="892" w:hanging="446"/>
        <w:rPr>
          <w:rFonts w:cs="Times New Roman"/>
          <w:lang w:val="fr-CA"/>
        </w:rPr>
      </w:pPr>
      <w:r w:rsidRPr="001A1E08">
        <w:rPr>
          <w:rFonts w:cs="Times New Roman"/>
          <w:lang w:val="fr-CA"/>
        </w:rPr>
        <w:t xml:space="preserve">Les demandes des appelants ne relèvent pas du champ d’application temporel des limites prescrites par la Convention de Montréal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Monsieur et Madame Thibodeau soutiennent que, même si leurs demandes relèvent du champ d’application substantiel de la </w:t>
      </w:r>
      <w:r w:rsidRPr="001A1E08">
        <w:rPr>
          <w:rFonts w:cs="Times New Roman"/>
          <w:i/>
          <w:lang w:val="fr-CA"/>
        </w:rPr>
        <w:t>Convention de Montréal</w:t>
      </w:r>
      <w:r w:rsidRPr="001A1E08">
        <w:rPr>
          <w:rFonts w:cs="Times New Roman"/>
          <w:lang w:val="fr-CA"/>
        </w:rPr>
        <w:t>, elles dépassent néanmoins son champ d’application temporel pour ce qui est des cas de préjudice personnel.  L’article</w:t>
      </w:r>
      <w:r w:rsidR="006412AC">
        <w:rPr>
          <w:rFonts w:cs="Times New Roman"/>
          <w:lang w:val="fr-CA"/>
        </w:rPr>
        <w:t xml:space="preserve"> </w:t>
      </w:r>
      <w:r w:rsidRPr="001A1E08">
        <w:rPr>
          <w:rFonts w:cs="Times New Roman"/>
          <w:lang w:val="fr-CA"/>
        </w:rPr>
        <w:t xml:space="preserve">17 de la </w:t>
      </w:r>
      <w:r w:rsidRPr="001A1E08">
        <w:rPr>
          <w:rFonts w:cs="Times New Roman"/>
          <w:i/>
          <w:lang w:val="fr-CA"/>
        </w:rPr>
        <w:t>Convention de Montréal</w:t>
      </w:r>
      <w:r w:rsidRPr="001A1E08">
        <w:rPr>
          <w:rFonts w:cs="Times New Roman"/>
          <w:lang w:val="fr-CA"/>
        </w:rPr>
        <w:t xml:space="preserve"> traite du préjudice personnel subi </w:t>
      </w:r>
      <w:r w:rsidR="006412AC">
        <w:rPr>
          <w:rFonts w:cs="Times New Roman"/>
          <w:lang w:val="fr-CA"/>
        </w:rPr>
        <w:t>« </w:t>
      </w:r>
      <w:r w:rsidRPr="001A1E08">
        <w:rPr>
          <w:rFonts w:cs="Times New Roman"/>
          <w:lang w:val="fr-CA"/>
        </w:rPr>
        <w:t xml:space="preserve">à bord de l’aéronef ou au cours de toutes opérations </w:t>
      </w:r>
      <w:r w:rsidRPr="001A1E08">
        <w:rPr>
          <w:rFonts w:cs="Times New Roman"/>
          <w:lang w:val="fr-CA"/>
        </w:rPr>
        <w:lastRenderedPageBreak/>
        <w:t>d’embarquement ou de débarquement</w:t>
      </w:r>
      <w:r w:rsidR="006412AC">
        <w:rPr>
          <w:rFonts w:cs="Times New Roman"/>
          <w:lang w:val="fr-CA"/>
        </w:rPr>
        <w:t> »</w:t>
      </w:r>
      <w:r w:rsidRPr="001A1E08">
        <w:rPr>
          <w:rFonts w:cs="Times New Roman"/>
          <w:lang w:val="fr-CA"/>
        </w:rPr>
        <w:t>.  Selon M. et M</w:t>
      </w:r>
      <w:r w:rsidRPr="001A1E08">
        <w:rPr>
          <w:rFonts w:cs="Times New Roman"/>
          <w:vertAlign w:val="superscript"/>
          <w:lang w:val="fr-CA"/>
        </w:rPr>
        <w:t>me</w:t>
      </w:r>
      <w:r w:rsidR="006412AC">
        <w:rPr>
          <w:rFonts w:cs="Times New Roman"/>
          <w:lang w:val="fr-CA"/>
        </w:rPr>
        <w:t xml:space="preserve"> </w:t>
      </w:r>
      <w:r w:rsidRPr="001A1E08">
        <w:rPr>
          <w:rFonts w:cs="Times New Roman"/>
          <w:lang w:val="fr-CA"/>
        </w:rPr>
        <w:t>Thibodeau, l’affectation par Air Canada d’agents de bord non bilingues aux vols en cause était une décision prise bien avant la procédure d’embarquement et résultait, comme l’a conclu la juge saisie de la demande, d’un problème systémique touchant l’administration de la compagnie aérienne.  En conséquence, font</w:t>
      </w:r>
      <w:r w:rsidR="006412AC">
        <w:rPr>
          <w:rFonts w:cs="Times New Roman"/>
          <w:lang w:val="fr-CA"/>
        </w:rPr>
        <w:t>-</w:t>
      </w:r>
      <w:r w:rsidRPr="001A1E08">
        <w:rPr>
          <w:rFonts w:cs="Times New Roman"/>
          <w:lang w:val="fr-CA"/>
        </w:rPr>
        <w:t xml:space="preserve">ils valoir, l’omission de fournir des services en français ne s’est pas produite </w:t>
      </w:r>
      <w:r w:rsidR="006412AC">
        <w:rPr>
          <w:rFonts w:cs="Times New Roman"/>
          <w:lang w:val="fr-CA"/>
        </w:rPr>
        <w:t>« </w:t>
      </w:r>
      <w:r w:rsidRPr="001A1E08">
        <w:rPr>
          <w:rFonts w:cs="Times New Roman"/>
          <w:lang w:val="fr-CA"/>
        </w:rPr>
        <w:t>à bord de l’aéronef ou au cours de toutes opérations d’embarquement ou de débarquement</w:t>
      </w:r>
      <w:r w:rsidR="006412AC">
        <w:rPr>
          <w:rFonts w:cs="Times New Roman"/>
          <w:lang w:val="fr-CA"/>
        </w:rPr>
        <w:t> »</w:t>
      </w:r>
      <w:r w:rsidRPr="001A1E08">
        <w:rPr>
          <w:rFonts w:cs="Times New Roman"/>
          <w:lang w:val="fr-CA"/>
        </w:rPr>
        <w:t xml:space="preserve">.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Cet argument n’est pas fondé et je ne saurais le retenir.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La Cour suprême du Royaume</w:t>
      </w:r>
      <w:r w:rsidR="006412AC">
        <w:rPr>
          <w:rFonts w:cs="Times New Roman"/>
          <w:lang w:val="fr-CA"/>
        </w:rPr>
        <w:t>-</w:t>
      </w:r>
      <w:r w:rsidRPr="001A1E08">
        <w:rPr>
          <w:rFonts w:cs="Times New Roman"/>
          <w:lang w:val="fr-CA"/>
        </w:rPr>
        <w:t xml:space="preserve">Uni a rejeté, à juste titre selon moi, un argument semblable dans l’arrêt </w:t>
      </w:r>
      <w:proofErr w:type="spellStart"/>
      <w:r w:rsidRPr="001A1E08">
        <w:rPr>
          <w:rFonts w:cs="Times New Roman"/>
          <w:i/>
          <w:lang w:val="fr-CA"/>
        </w:rPr>
        <w:t>Stott</w:t>
      </w:r>
      <w:proofErr w:type="spellEnd"/>
      <w:r w:rsidRPr="001A1E08">
        <w:rPr>
          <w:rFonts w:cs="Times New Roman"/>
          <w:lang w:val="fr-CA"/>
        </w:rPr>
        <w:t>.  Dans cette affaire, l’appelant prétendait qu’il [</w:t>
      </w:r>
      <w:r w:rsidRPr="001A1E08">
        <w:rPr>
          <w:rFonts w:cs="Times New Roman"/>
          <w:smallCaps/>
          <w:lang w:val="fr-CA"/>
        </w:rPr>
        <w:t>traduction</w:t>
      </w:r>
      <w:r w:rsidRPr="001A1E08">
        <w:rPr>
          <w:rFonts w:cs="Times New Roman"/>
          <w:lang w:val="fr-CA"/>
        </w:rPr>
        <w:t xml:space="preserve">] </w:t>
      </w:r>
      <w:r w:rsidR="006412AC">
        <w:rPr>
          <w:rFonts w:cs="Times New Roman"/>
          <w:lang w:val="fr-CA"/>
        </w:rPr>
        <w:t>« </w:t>
      </w:r>
      <w:r w:rsidRPr="001A1E08">
        <w:rPr>
          <w:rFonts w:cs="Times New Roman"/>
          <w:lang w:val="fr-CA"/>
        </w:rPr>
        <w:t>avait une cause d’action complète avant de monter à bord de l’aéronef, compte tenu du mauvais traitement qu’il avait subi auparavant</w:t>
      </w:r>
      <w:r w:rsidR="006412AC">
        <w:rPr>
          <w:rFonts w:cs="Times New Roman"/>
          <w:lang w:val="fr-CA"/>
        </w:rPr>
        <w:t> » :</w:t>
      </w:r>
      <w:r w:rsidRPr="001A1E08">
        <w:rPr>
          <w:rFonts w:cs="Times New Roman"/>
          <w:lang w:val="fr-CA"/>
        </w:rPr>
        <w:t xml:space="preserve"> par.</w:t>
      </w:r>
      <w:r w:rsidR="006412AC">
        <w:rPr>
          <w:rFonts w:cs="Times New Roman"/>
          <w:lang w:val="fr-CA"/>
        </w:rPr>
        <w:t xml:space="preserve"> </w:t>
      </w:r>
      <w:r w:rsidRPr="001A1E08">
        <w:rPr>
          <w:rFonts w:cs="Times New Roman"/>
          <w:lang w:val="fr-CA"/>
        </w:rPr>
        <w:t xml:space="preserve">60.  La cour a conclu à bon droit que, suivant ce raisonnement, </w:t>
      </w:r>
      <w:r w:rsidR="006412AC">
        <w:rPr>
          <w:rFonts w:cs="Times New Roman"/>
          <w:lang w:val="fr-CA"/>
        </w:rPr>
        <w:t>« </w:t>
      </w:r>
      <w:r w:rsidRPr="001A1E08">
        <w:rPr>
          <w:rFonts w:cs="Times New Roman"/>
          <w:lang w:val="fr-CA"/>
        </w:rPr>
        <w:t>la plupart des accidents ou mésaventures</w:t>
      </w:r>
      <w:r w:rsidR="006412AC">
        <w:rPr>
          <w:rFonts w:cs="Times New Roman"/>
          <w:lang w:val="fr-CA"/>
        </w:rPr>
        <w:t> »</w:t>
      </w:r>
      <w:r w:rsidRPr="001A1E08">
        <w:rPr>
          <w:rFonts w:cs="Times New Roman"/>
          <w:lang w:val="fr-CA"/>
        </w:rPr>
        <w:t xml:space="preserve"> pouvaient être </w:t>
      </w:r>
      <w:r w:rsidR="006412AC">
        <w:rPr>
          <w:rFonts w:cs="Times New Roman"/>
          <w:lang w:val="fr-CA"/>
        </w:rPr>
        <w:t>« </w:t>
      </w:r>
      <w:r w:rsidRPr="001A1E08">
        <w:rPr>
          <w:rFonts w:cs="Times New Roman"/>
          <w:lang w:val="fr-CA"/>
        </w:rPr>
        <w:t>imputés à une cause effective antérieure</w:t>
      </w:r>
      <w:r w:rsidR="006412AC">
        <w:rPr>
          <w:rFonts w:cs="Times New Roman"/>
          <w:lang w:val="fr-CA"/>
        </w:rPr>
        <w:t> »</w:t>
      </w:r>
      <w:r w:rsidRPr="001A1E08">
        <w:rPr>
          <w:rFonts w:cs="Times New Roman"/>
          <w:lang w:val="fr-CA"/>
        </w:rPr>
        <w:t xml:space="preserve">, et qu’une telle interprétation de la </w:t>
      </w:r>
      <w:r w:rsidRPr="001A1E08">
        <w:rPr>
          <w:rFonts w:cs="Times New Roman"/>
          <w:i/>
          <w:lang w:val="fr-CA"/>
        </w:rPr>
        <w:t>Convention de Montréal</w:t>
      </w:r>
      <w:r w:rsidRPr="001A1E08">
        <w:rPr>
          <w:rFonts w:cs="Times New Roman"/>
          <w:lang w:val="fr-CA"/>
        </w:rPr>
        <w:t xml:space="preserve"> </w:t>
      </w:r>
      <w:r w:rsidR="006412AC">
        <w:rPr>
          <w:rFonts w:cs="Times New Roman"/>
          <w:lang w:val="fr-CA"/>
        </w:rPr>
        <w:t>« </w:t>
      </w:r>
      <w:r w:rsidRPr="001A1E08">
        <w:rPr>
          <w:rFonts w:cs="Times New Roman"/>
          <w:lang w:val="fr-CA"/>
        </w:rPr>
        <w:t xml:space="preserve">aurait pour effet de dénaturer </w:t>
      </w:r>
      <w:r w:rsidR="00593C2D">
        <w:rPr>
          <w:rFonts w:cs="Times New Roman"/>
          <w:lang w:val="fr-CA"/>
        </w:rPr>
        <w:t>[</w:t>
      </w:r>
      <w:r w:rsidRPr="001A1E08">
        <w:rPr>
          <w:rFonts w:cs="Times New Roman"/>
          <w:lang w:val="fr-CA"/>
        </w:rPr>
        <w:t>son</w:t>
      </w:r>
      <w:r w:rsidR="00593C2D">
        <w:rPr>
          <w:rFonts w:cs="Times New Roman"/>
          <w:lang w:val="fr-CA"/>
        </w:rPr>
        <w:t>]</w:t>
      </w:r>
      <w:r w:rsidRPr="001A1E08">
        <w:rPr>
          <w:rFonts w:cs="Times New Roman"/>
          <w:lang w:val="fr-CA"/>
        </w:rPr>
        <w:t xml:space="preserve"> objectif général</w:t>
      </w:r>
      <w:r w:rsidR="006412AC">
        <w:rPr>
          <w:rFonts w:cs="Times New Roman"/>
          <w:lang w:val="fr-CA"/>
        </w:rPr>
        <w:t> » :</w:t>
      </w:r>
      <w:r w:rsidRPr="001A1E08">
        <w:rPr>
          <w:rFonts w:cs="Times New Roman"/>
          <w:lang w:val="fr-CA"/>
        </w:rPr>
        <w:t xml:space="preserve"> </w:t>
      </w:r>
      <w:r w:rsidRPr="001A1E08">
        <w:rPr>
          <w:rFonts w:cs="Times New Roman"/>
          <w:i/>
          <w:lang w:val="fr-CA"/>
        </w:rPr>
        <w:t>ibid</w:t>
      </w:r>
      <w:r w:rsidRPr="001A1E08">
        <w:rPr>
          <w:rFonts w:cs="Times New Roman"/>
          <w:lang w:val="fr-CA"/>
        </w:rPr>
        <w:t>.  Les tribunaux doivent plutôt appliquer le principe de l’exclusivité en fonction de l’endroit où se trouvait le passager, ou de ce qu’il faisait, au moment de l’accident ou de l’événement ayant causé directement le préjudice ouvrant droit au recours, et non en fonction d’une quelconque faute antérieure</w:t>
      </w:r>
      <w:r w:rsidR="006412AC">
        <w:rPr>
          <w:rFonts w:cs="Times New Roman"/>
          <w:lang w:val="fr-CA"/>
        </w:rPr>
        <w:t> :</w:t>
      </w:r>
      <w:r w:rsidRPr="001A1E08">
        <w:rPr>
          <w:rFonts w:cs="Times New Roman"/>
          <w:lang w:val="fr-CA"/>
        </w:rPr>
        <w:t xml:space="preserve"> </w:t>
      </w:r>
      <w:r w:rsidRPr="001A1E08">
        <w:rPr>
          <w:rFonts w:cs="Times New Roman"/>
          <w:i/>
          <w:lang w:val="fr-CA"/>
        </w:rPr>
        <w:t>ibid</w:t>
      </w:r>
      <w:r w:rsidRPr="001A1E08">
        <w:rPr>
          <w:rFonts w:cs="Times New Roman"/>
          <w:lang w:val="fr-CA"/>
        </w:rPr>
        <w:t>.  Voir également Dempsey, p.</w:t>
      </w:r>
      <w:r w:rsidR="006412AC">
        <w:rPr>
          <w:rFonts w:cs="Times New Roman"/>
          <w:lang w:val="fr-CA"/>
        </w:rPr>
        <w:t xml:space="preserve"> </w:t>
      </w:r>
      <w:r w:rsidRPr="001A1E08">
        <w:rPr>
          <w:rFonts w:cs="Times New Roman"/>
          <w:lang w:val="fr-CA"/>
        </w:rPr>
        <w:t>439</w:t>
      </w:r>
      <w:r w:rsidR="006412AC">
        <w:rPr>
          <w:rFonts w:cs="Times New Roman"/>
          <w:lang w:val="fr-CA"/>
        </w:rPr>
        <w:t>-</w:t>
      </w:r>
      <w:r w:rsidRPr="001A1E08">
        <w:rPr>
          <w:rFonts w:cs="Times New Roman"/>
          <w:lang w:val="fr-CA"/>
        </w:rPr>
        <w:t>441</w:t>
      </w:r>
      <w:r>
        <w:rPr>
          <w:rFonts w:cs="Times New Roman"/>
          <w:lang w:val="fr-CA"/>
        </w:rPr>
        <w:t>;</w:t>
      </w:r>
      <w:r w:rsidRPr="001A1E08">
        <w:rPr>
          <w:rFonts w:cs="Times New Roman"/>
          <w:lang w:val="fr-CA"/>
        </w:rPr>
        <w:t xml:space="preserve"> </w:t>
      </w:r>
      <w:proofErr w:type="spellStart"/>
      <w:r w:rsidRPr="001A1E08">
        <w:rPr>
          <w:rFonts w:cs="Times New Roman"/>
          <w:i/>
          <w:lang w:val="fr-CA"/>
        </w:rPr>
        <w:t>Shawcross</w:t>
      </w:r>
      <w:proofErr w:type="spellEnd"/>
      <w:r w:rsidRPr="001A1E08">
        <w:rPr>
          <w:rFonts w:cs="Times New Roman"/>
          <w:i/>
          <w:lang w:val="fr-CA"/>
        </w:rPr>
        <w:t xml:space="preserve"> and Beaumont</w:t>
      </w:r>
      <w:r w:rsidRPr="001A1E08">
        <w:rPr>
          <w:rFonts w:cs="Times New Roman"/>
          <w:lang w:val="fr-CA"/>
        </w:rPr>
        <w:t>, p.</w:t>
      </w:r>
      <w:r w:rsidR="006412AC">
        <w:rPr>
          <w:rFonts w:cs="Times New Roman"/>
          <w:lang w:val="fr-CA"/>
        </w:rPr>
        <w:t xml:space="preserve"> </w:t>
      </w:r>
      <w:r w:rsidRPr="001A1E08">
        <w:rPr>
          <w:rFonts w:cs="Times New Roman"/>
          <w:lang w:val="fr-CA"/>
        </w:rPr>
        <w:t>VII</w:t>
      </w:r>
      <w:r w:rsidR="006412AC">
        <w:rPr>
          <w:rFonts w:cs="Times New Roman"/>
          <w:lang w:val="fr-CA"/>
        </w:rPr>
        <w:t>-</w:t>
      </w:r>
      <w:r w:rsidRPr="001A1E08">
        <w:rPr>
          <w:rFonts w:cs="Times New Roman"/>
          <w:lang w:val="fr-CA"/>
        </w:rPr>
        <w:t>685 à VII</w:t>
      </w:r>
      <w:r w:rsidR="006412AC">
        <w:rPr>
          <w:rFonts w:cs="Times New Roman"/>
          <w:lang w:val="fr-CA"/>
        </w:rPr>
        <w:t>-</w:t>
      </w:r>
      <w:r w:rsidRPr="001A1E08">
        <w:rPr>
          <w:rFonts w:cs="Times New Roman"/>
          <w:lang w:val="fr-CA"/>
        </w:rPr>
        <w:t>687.</w:t>
      </w:r>
      <w:r w:rsidRPr="001A1E08">
        <w:rPr>
          <w:rFonts w:cs="Times New Roman"/>
          <w:i/>
          <w:lang w:val="fr-CA"/>
        </w:rPr>
        <w:t xml:space="preserve">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lastRenderedPageBreak/>
        <w:t xml:space="preserve">Dans l’affaire qui nous occupe, la situation des Thibodeau relevait clairement du champ d’application temporel de la </w:t>
      </w:r>
      <w:r w:rsidRPr="001A1E08">
        <w:rPr>
          <w:rFonts w:cs="Times New Roman"/>
          <w:i/>
          <w:lang w:val="fr-CA"/>
        </w:rPr>
        <w:t>Convention de Montréal</w:t>
      </w:r>
      <w:r w:rsidRPr="001A1E08">
        <w:rPr>
          <w:rFonts w:cs="Times New Roman"/>
          <w:lang w:val="fr-CA"/>
        </w:rPr>
        <w:t xml:space="preserve"> lorsqu’on a porté atteinte à leurs droits linguistiques; ils étaient à bord de l’aéronef à l’occasion des trois atteintes au sujet desquelles la Cour d’appel fédérale a annulé les dommages</w:t>
      </w:r>
      <w:r w:rsidR="006412AC">
        <w:rPr>
          <w:rFonts w:cs="Times New Roman"/>
          <w:lang w:val="fr-CA"/>
        </w:rPr>
        <w:t>-</w:t>
      </w:r>
      <w:r w:rsidRPr="001A1E08">
        <w:rPr>
          <w:rFonts w:cs="Times New Roman"/>
          <w:lang w:val="fr-CA"/>
        </w:rPr>
        <w:t>intérêts octroyés.  Je rejette donc l’argument des Thibodeau fondé</w:t>
      </w:r>
      <w:r w:rsidR="00593C2D">
        <w:rPr>
          <w:rFonts w:cs="Times New Roman"/>
          <w:lang w:val="fr-CA"/>
        </w:rPr>
        <w:t xml:space="preserve"> sur l’aspect temporel de l’article</w:t>
      </w:r>
      <w:r w:rsidR="006412AC">
        <w:rPr>
          <w:rFonts w:cs="Times New Roman"/>
          <w:lang w:val="fr-CA"/>
        </w:rPr>
        <w:t xml:space="preserve"> </w:t>
      </w:r>
      <w:r w:rsidRPr="001A1E08">
        <w:rPr>
          <w:rFonts w:cs="Times New Roman"/>
          <w:lang w:val="fr-CA"/>
        </w:rPr>
        <w:t xml:space="preserve">17 de la </w:t>
      </w:r>
      <w:r w:rsidRPr="001A1E08">
        <w:rPr>
          <w:rFonts w:cs="Times New Roman"/>
          <w:i/>
          <w:lang w:val="fr-CA"/>
        </w:rPr>
        <w:t>Convention de Montréal</w:t>
      </w:r>
      <w:r w:rsidRPr="001A1E08">
        <w:rPr>
          <w:rFonts w:cs="Times New Roman"/>
          <w:lang w:val="fr-CA"/>
        </w:rPr>
        <w:t>.</w:t>
      </w:r>
    </w:p>
    <w:p w:rsidR="00367456" w:rsidRPr="001A1E08" w:rsidRDefault="00367456" w:rsidP="00593C2D">
      <w:pPr>
        <w:pStyle w:val="Title4LevelTitre4Niveau"/>
        <w:widowControl w:val="0"/>
        <w:ind w:left="892" w:hanging="446"/>
        <w:rPr>
          <w:rFonts w:cs="Times New Roman"/>
          <w:lang w:val="fr-CA"/>
        </w:rPr>
      </w:pPr>
      <w:r w:rsidRPr="001A1E08">
        <w:rPr>
          <w:rFonts w:cs="Times New Roman"/>
          <w:lang w:val="fr-CA"/>
        </w:rPr>
        <w:t>Conclusion</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Les demandes soumises à notre Cour tombent nettement sous le coup de l’exclusion établie par la </w:t>
      </w:r>
      <w:r w:rsidRPr="001A1E08">
        <w:rPr>
          <w:rFonts w:cs="Times New Roman"/>
          <w:i/>
          <w:lang w:val="fr-CA"/>
        </w:rPr>
        <w:t>Convention de Montréal</w:t>
      </w:r>
      <w:r w:rsidRPr="001A1E08">
        <w:rPr>
          <w:rFonts w:cs="Times New Roman"/>
          <w:lang w:val="fr-CA"/>
        </w:rPr>
        <w:t>.</w:t>
      </w:r>
    </w:p>
    <w:p w:rsidR="00367456" w:rsidRPr="001A1E08" w:rsidRDefault="00367456" w:rsidP="00A12DCE">
      <w:pPr>
        <w:pStyle w:val="Title2LevelTitre2Niveau"/>
        <w:widowControl w:val="0"/>
        <w:jc w:val="both"/>
        <w:rPr>
          <w:rFonts w:cs="Times New Roman"/>
          <w:lang w:val="fr-CA"/>
        </w:rPr>
      </w:pPr>
      <w:r w:rsidRPr="001A1E08">
        <w:rPr>
          <w:rFonts w:cs="Times New Roman"/>
          <w:lang w:val="fr-CA"/>
        </w:rPr>
        <w:t>Monsieur et Madame Thibodeau ont</w:t>
      </w:r>
      <w:r w:rsidR="006412AC">
        <w:rPr>
          <w:rFonts w:cs="Times New Roman"/>
          <w:lang w:val="fr-CA"/>
        </w:rPr>
        <w:t>-</w:t>
      </w:r>
      <w:r w:rsidRPr="001A1E08">
        <w:rPr>
          <w:rFonts w:cs="Times New Roman"/>
          <w:lang w:val="fr-CA"/>
        </w:rPr>
        <w:t>ils néanmoins droit à des dommages</w:t>
      </w:r>
      <w:r w:rsidR="006412AC">
        <w:rPr>
          <w:rFonts w:cs="Times New Roman"/>
          <w:lang w:val="fr-CA"/>
        </w:rPr>
        <w:t>-</w:t>
      </w:r>
      <w:r w:rsidRPr="001A1E08">
        <w:rPr>
          <w:rFonts w:cs="Times New Roman"/>
          <w:lang w:val="fr-CA"/>
        </w:rPr>
        <w:t>intérêts parce que la LLO entre en conflit avec la Convention de Montréal et que la LLO prévaut?</w:t>
      </w:r>
    </w:p>
    <w:p w:rsidR="00367456" w:rsidRPr="001A1E08" w:rsidRDefault="00367456" w:rsidP="00A12DCE">
      <w:pPr>
        <w:pStyle w:val="Title3LevelTitre3Niveau"/>
        <w:widowControl w:val="0"/>
        <w:rPr>
          <w:rFonts w:cs="Times New Roman"/>
          <w:lang w:val="fr-CA"/>
        </w:rPr>
      </w:pPr>
      <w:r w:rsidRPr="001A1E08">
        <w:rPr>
          <w:rFonts w:cs="Times New Roman"/>
          <w:lang w:val="fr-CA"/>
        </w:rPr>
        <w:t>Introduction</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J’ai conclu que, si la </w:t>
      </w:r>
      <w:r w:rsidRPr="001A1E08">
        <w:rPr>
          <w:rFonts w:cs="Times New Roman"/>
          <w:i/>
          <w:lang w:val="fr-CA"/>
        </w:rPr>
        <w:t>Convention de Montréal</w:t>
      </w:r>
      <w:r w:rsidRPr="001A1E08">
        <w:rPr>
          <w:rFonts w:cs="Times New Roman"/>
          <w:lang w:val="fr-CA"/>
        </w:rPr>
        <w:t xml:space="preserve"> s’applique, elle fait obstacle aux demandes de dommages</w:t>
      </w:r>
      <w:r w:rsidR="006412AC">
        <w:rPr>
          <w:rFonts w:cs="Times New Roman"/>
          <w:lang w:val="fr-CA"/>
        </w:rPr>
        <w:t>-</w:t>
      </w:r>
      <w:r w:rsidRPr="001A1E08">
        <w:rPr>
          <w:rFonts w:cs="Times New Roman"/>
          <w:lang w:val="fr-CA"/>
        </w:rPr>
        <w:t xml:space="preserve">intérêts présentées par les Thibodeau en vertu de la </w:t>
      </w:r>
      <w:r w:rsidRPr="001A1E08">
        <w:rPr>
          <w:rFonts w:cs="Times New Roman"/>
          <w:i/>
          <w:lang w:val="fr-CA"/>
        </w:rPr>
        <w:t>LLO</w:t>
      </w:r>
      <w:r w:rsidRPr="001A1E08">
        <w:rPr>
          <w:rFonts w:cs="Times New Roman"/>
          <w:lang w:val="fr-CA"/>
        </w:rPr>
        <w:t xml:space="preserve">.  Les appelants affirment toutefois que, même s’il en est ainsi, la </w:t>
      </w:r>
      <w:r w:rsidRPr="001A1E08">
        <w:rPr>
          <w:rFonts w:cs="Times New Roman"/>
          <w:i/>
          <w:lang w:val="fr-CA"/>
        </w:rPr>
        <w:t>Convention de Montréal</w:t>
      </w:r>
      <w:r w:rsidRPr="001A1E08">
        <w:rPr>
          <w:rFonts w:cs="Times New Roman"/>
          <w:lang w:val="fr-CA"/>
        </w:rPr>
        <w:t xml:space="preserve"> entre en conflit avec la </w:t>
      </w:r>
      <w:r w:rsidRPr="001A1E08">
        <w:rPr>
          <w:rFonts w:cs="Times New Roman"/>
          <w:i/>
          <w:lang w:val="fr-CA"/>
        </w:rPr>
        <w:t>LLO</w:t>
      </w:r>
      <w:r w:rsidRPr="001A1E08">
        <w:rPr>
          <w:rFonts w:cs="Times New Roman"/>
          <w:lang w:val="fr-CA"/>
        </w:rPr>
        <w:t xml:space="preserve"> et que cette dernière prévaut.  Selon eux, le pouvoir que confère le par.</w:t>
      </w:r>
      <w:r w:rsidR="006412AC">
        <w:rPr>
          <w:rFonts w:cs="Times New Roman"/>
          <w:lang w:val="fr-CA"/>
        </w:rPr>
        <w:t xml:space="preserve"> </w:t>
      </w:r>
      <w:r w:rsidRPr="001A1E08">
        <w:rPr>
          <w:rFonts w:cs="Times New Roman"/>
          <w:lang w:val="fr-CA"/>
        </w:rPr>
        <w:t xml:space="preserve">77(4) de la </w:t>
      </w:r>
      <w:r w:rsidRPr="001A1E08">
        <w:rPr>
          <w:rFonts w:cs="Times New Roman"/>
          <w:i/>
          <w:lang w:val="fr-CA"/>
        </w:rPr>
        <w:t>LLO</w:t>
      </w:r>
      <w:r w:rsidRPr="001A1E08">
        <w:rPr>
          <w:rFonts w:cs="Times New Roman"/>
          <w:lang w:val="fr-CA"/>
        </w:rPr>
        <w:t xml:space="preserve"> à la Cour fédérale, c’est-à-dire celui d’</w:t>
      </w:r>
      <w:r w:rsidR="006412AC">
        <w:rPr>
          <w:rFonts w:cs="Times New Roman"/>
          <w:lang w:val="fr-CA"/>
        </w:rPr>
        <w:t>« </w:t>
      </w:r>
      <w:r w:rsidRPr="001A1E08">
        <w:rPr>
          <w:rFonts w:cs="Times New Roman"/>
          <w:lang w:val="fr-CA"/>
        </w:rPr>
        <w:t xml:space="preserve">accorder la réparation </w:t>
      </w:r>
      <w:proofErr w:type="gramStart"/>
      <w:r w:rsidRPr="001A1E08">
        <w:rPr>
          <w:rFonts w:cs="Times New Roman"/>
          <w:lang w:val="fr-CA"/>
        </w:rPr>
        <w:t>qu’[</w:t>
      </w:r>
      <w:proofErr w:type="gramEnd"/>
      <w:r w:rsidRPr="001A1E08">
        <w:rPr>
          <w:rFonts w:cs="Times New Roman"/>
          <w:lang w:val="fr-CA"/>
        </w:rPr>
        <w:t>elle] estime convenable et juste eu égard aux circonstances</w:t>
      </w:r>
      <w:r w:rsidR="006412AC">
        <w:rPr>
          <w:rFonts w:cs="Times New Roman"/>
          <w:lang w:val="fr-CA"/>
        </w:rPr>
        <w:t> »</w:t>
      </w:r>
      <w:r w:rsidRPr="001A1E08">
        <w:rPr>
          <w:rFonts w:cs="Times New Roman"/>
          <w:lang w:val="fr-CA"/>
        </w:rPr>
        <w:t>, est incompatible avec l’exclusion des actions en dommages</w:t>
      </w:r>
      <w:r w:rsidR="006412AC">
        <w:rPr>
          <w:rFonts w:cs="Times New Roman"/>
          <w:lang w:val="fr-CA"/>
        </w:rPr>
        <w:t>-</w:t>
      </w:r>
      <w:r w:rsidRPr="001A1E08">
        <w:rPr>
          <w:rFonts w:cs="Times New Roman"/>
          <w:lang w:val="fr-CA"/>
        </w:rPr>
        <w:t xml:space="preserve">intérêts </w:t>
      </w:r>
      <w:r w:rsidRPr="001A1E08">
        <w:rPr>
          <w:rFonts w:cs="Times New Roman"/>
          <w:lang w:val="fr-CA"/>
        </w:rPr>
        <w:lastRenderedPageBreak/>
        <w:t xml:space="preserve">prévue par la </w:t>
      </w:r>
      <w:r w:rsidRPr="001A1E08">
        <w:rPr>
          <w:rFonts w:cs="Times New Roman"/>
          <w:i/>
          <w:lang w:val="fr-CA"/>
        </w:rPr>
        <w:t>Convention de Montréal.</w:t>
      </w:r>
      <w:r w:rsidR="006412AC">
        <w:rPr>
          <w:rFonts w:cs="Times New Roman"/>
          <w:i/>
          <w:lang w:val="fr-CA"/>
        </w:rPr>
        <w:t xml:space="preserve"> </w:t>
      </w:r>
      <w:r w:rsidRPr="001A1E08">
        <w:rPr>
          <w:rFonts w:cs="Times New Roman"/>
          <w:lang w:val="fr-CA"/>
        </w:rPr>
        <w:t xml:space="preserve"> La première question qui se pose, par conséquent, est celle de savoir si ces dispositions sont en conflit.  À l’instar de la Cour d’appel fédérale, je suis d’avis qu’elles ne le sont pas. </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Les tribunaux présument que les lois adoptées par le législateur ne contiennent ni contradiction ni incohérence, et ils ne concluent à l’existence de l’une ou l’autre que si les dispositions en cause sont à ce point incompatibles qu’elles ne peuvent coexister.  Même lorsqu’elles se chevauchent, en ce sens où elles traitent des aspects d’une même matière, elles sont interprétées de façon à éviter les conflits chaque fois que cela est possible. </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Si nous appliquons ces principes, nous constatons que les dispositions en cause ici ne sont pas en conflit.  Elles ont des objets sensiblement différents.  Les dispositions réparatrices de la </w:t>
      </w:r>
      <w:r w:rsidRPr="001A1E08">
        <w:rPr>
          <w:rFonts w:cs="Times New Roman"/>
          <w:i/>
          <w:lang w:val="fr-CA"/>
        </w:rPr>
        <w:t>LLO</w:t>
      </w:r>
      <w:r w:rsidRPr="001A1E08">
        <w:rPr>
          <w:rFonts w:cs="Times New Roman"/>
          <w:lang w:val="fr-CA"/>
        </w:rPr>
        <w:t xml:space="preserve"> ne peuvent être considérées comme un code exhaustif qui impose l’octroi de dommages</w:t>
      </w:r>
      <w:r w:rsidR="006412AC">
        <w:rPr>
          <w:rFonts w:cs="Times New Roman"/>
          <w:lang w:val="fr-CA"/>
        </w:rPr>
        <w:t>-</w:t>
      </w:r>
      <w:r w:rsidRPr="001A1E08">
        <w:rPr>
          <w:rFonts w:cs="Times New Roman"/>
          <w:lang w:val="fr-CA"/>
        </w:rPr>
        <w:t xml:space="preserve">intérêts dans toutes les circonstances et sans égard aux autres lois applicables.  De plus, il est facile de concilier le pouvoir d’accorder une réparation </w:t>
      </w:r>
      <w:r w:rsidR="006412AC">
        <w:rPr>
          <w:rFonts w:cs="Times New Roman"/>
          <w:lang w:val="fr-CA"/>
        </w:rPr>
        <w:t>« </w:t>
      </w:r>
      <w:r w:rsidRPr="001A1E08">
        <w:rPr>
          <w:rFonts w:cs="Times New Roman"/>
          <w:lang w:val="fr-CA"/>
        </w:rPr>
        <w:t>convenable et juste</w:t>
      </w:r>
      <w:r w:rsidR="006412AC">
        <w:rPr>
          <w:rFonts w:cs="Times New Roman"/>
          <w:lang w:val="fr-CA"/>
        </w:rPr>
        <w:t> »</w:t>
      </w:r>
      <w:r w:rsidRPr="001A1E08">
        <w:rPr>
          <w:rFonts w:cs="Times New Roman"/>
          <w:lang w:val="fr-CA"/>
        </w:rPr>
        <w:t xml:space="preserve"> avec l’exclusion expresse et limitée des dommages</w:t>
      </w:r>
      <w:r w:rsidR="006412AC">
        <w:rPr>
          <w:rFonts w:cs="Times New Roman"/>
          <w:lang w:val="fr-CA"/>
        </w:rPr>
        <w:t>-</w:t>
      </w:r>
      <w:r w:rsidRPr="001A1E08">
        <w:rPr>
          <w:rFonts w:cs="Times New Roman"/>
          <w:lang w:val="fr-CA"/>
        </w:rPr>
        <w:t>intérêts dans le contexte du transport aérien international.</w:t>
      </w:r>
      <w:r w:rsidR="006412AC">
        <w:rPr>
          <w:rFonts w:cs="Times New Roman"/>
          <w:lang w:val="fr-CA"/>
        </w:rPr>
        <w:t xml:space="preserve"> </w:t>
      </w:r>
      <w:r w:rsidRPr="001A1E08">
        <w:rPr>
          <w:rFonts w:cs="Times New Roman"/>
          <w:lang w:val="fr-CA"/>
        </w:rPr>
        <w:t xml:space="preserve"> Une réparation n’est pas </w:t>
      </w:r>
      <w:r w:rsidR="006412AC">
        <w:rPr>
          <w:rFonts w:cs="Times New Roman"/>
          <w:lang w:val="fr-CA"/>
        </w:rPr>
        <w:t>« </w:t>
      </w:r>
      <w:r w:rsidRPr="001A1E08">
        <w:rPr>
          <w:rFonts w:cs="Times New Roman"/>
          <w:lang w:val="fr-CA"/>
        </w:rPr>
        <w:t>convenable et juste</w:t>
      </w:r>
      <w:r w:rsidR="006412AC">
        <w:rPr>
          <w:rFonts w:cs="Times New Roman"/>
          <w:lang w:val="fr-CA"/>
        </w:rPr>
        <w:t> »</w:t>
      </w:r>
      <w:r w:rsidRPr="001A1E08">
        <w:rPr>
          <w:rFonts w:cs="Times New Roman"/>
          <w:lang w:val="fr-CA"/>
        </w:rPr>
        <w:t xml:space="preserve"> si son octroi contrevient aux obligations internationales qu’impose au Canada la </w:t>
      </w:r>
      <w:r w:rsidRPr="001A1E08">
        <w:rPr>
          <w:rFonts w:cs="Times New Roman"/>
          <w:i/>
          <w:lang w:val="fr-CA"/>
        </w:rPr>
        <w:t>Convention de Montréal.</w:t>
      </w:r>
      <w:r w:rsidR="006412AC">
        <w:rPr>
          <w:rFonts w:cs="Times New Roman"/>
          <w:i/>
          <w:lang w:val="fr-CA"/>
        </w:rPr>
        <w:t xml:space="preserve"> </w:t>
      </w:r>
    </w:p>
    <w:p w:rsidR="00367456" w:rsidRPr="001A1E08" w:rsidRDefault="00367456" w:rsidP="00A12DCE">
      <w:pPr>
        <w:pStyle w:val="Title3LevelTitre3Niveau"/>
        <w:widowControl w:val="0"/>
        <w:ind w:left="862" w:hanging="431"/>
        <w:rPr>
          <w:rFonts w:cs="Times New Roman"/>
          <w:lang w:val="fr-CA"/>
        </w:rPr>
      </w:pPr>
      <w:r w:rsidRPr="001A1E08">
        <w:rPr>
          <w:rFonts w:cs="Times New Roman"/>
          <w:lang w:val="fr-CA"/>
        </w:rPr>
        <w:t>Qu’est</w:t>
      </w:r>
      <w:r w:rsidR="006412AC">
        <w:rPr>
          <w:rFonts w:cs="Times New Roman"/>
          <w:lang w:val="fr-CA"/>
        </w:rPr>
        <w:t>-</w:t>
      </w:r>
      <w:r w:rsidRPr="001A1E08">
        <w:rPr>
          <w:rFonts w:cs="Times New Roman"/>
          <w:lang w:val="fr-CA"/>
        </w:rPr>
        <w:t>ce qu’</w:t>
      </w:r>
      <w:r w:rsidR="006412AC">
        <w:rPr>
          <w:rFonts w:cs="Times New Roman"/>
          <w:lang w:val="fr-CA"/>
        </w:rPr>
        <w:t>« </w:t>
      </w:r>
      <w:r w:rsidRPr="001A1E08">
        <w:rPr>
          <w:rFonts w:cs="Times New Roman"/>
          <w:lang w:val="fr-CA"/>
        </w:rPr>
        <w:t>un conflit</w:t>
      </w:r>
      <w:r w:rsidR="006412AC">
        <w:rPr>
          <w:rFonts w:cs="Times New Roman"/>
          <w:lang w:val="fr-CA"/>
        </w:rPr>
        <w:t> »</w:t>
      </w:r>
      <w:r w:rsidRPr="001A1E08">
        <w:rPr>
          <w:rFonts w:cs="Times New Roman"/>
          <w:lang w:val="fr-CA"/>
        </w:rPr>
        <w:t>?</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Les appelants affirment qu’il y a conflit entre deux lois émanant du même </w:t>
      </w:r>
      <w:r w:rsidRPr="001A1E08">
        <w:rPr>
          <w:rFonts w:cs="Times New Roman"/>
          <w:lang w:val="fr-CA"/>
        </w:rPr>
        <w:lastRenderedPageBreak/>
        <w:t xml:space="preserve">législateur.  La </w:t>
      </w:r>
      <w:r w:rsidRPr="001A1E08">
        <w:rPr>
          <w:rFonts w:cs="Times New Roman"/>
          <w:i/>
          <w:lang w:val="fr-CA"/>
        </w:rPr>
        <w:t>Loi sur le transport aérien</w:t>
      </w:r>
      <w:r w:rsidRPr="001A1E08">
        <w:rPr>
          <w:rFonts w:cs="Times New Roman"/>
          <w:lang w:val="fr-CA"/>
        </w:rPr>
        <w:t xml:space="preserve">, qui incorpore la </w:t>
      </w:r>
      <w:r w:rsidRPr="001A1E08">
        <w:rPr>
          <w:rFonts w:cs="Times New Roman"/>
          <w:i/>
          <w:lang w:val="fr-CA"/>
        </w:rPr>
        <w:t>Convention de Montréal</w:t>
      </w:r>
      <w:r w:rsidRPr="001A1E08">
        <w:rPr>
          <w:rFonts w:cs="Times New Roman"/>
          <w:lang w:val="fr-CA"/>
        </w:rPr>
        <w:t>, vise à interdir</w:t>
      </w:r>
      <w:r w:rsidR="00593C2D">
        <w:rPr>
          <w:rFonts w:cs="Times New Roman"/>
          <w:lang w:val="fr-CA"/>
        </w:rPr>
        <w:t>e</w:t>
      </w:r>
      <w:r w:rsidRPr="001A1E08">
        <w:rPr>
          <w:rFonts w:cs="Times New Roman"/>
          <w:lang w:val="fr-CA"/>
        </w:rPr>
        <w:t xml:space="preserve"> l’octroi de dommages</w:t>
      </w:r>
      <w:r w:rsidR="006412AC">
        <w:rPr>
          <w:rFonts w:cs="Times New Roman"/>
          <w:lang w:val="fr-CA"/>
        </w:rPr>
        <w:t>-</w:t>
      </w:r>
      <w:r w:rsidRPr="001A1E08">
        <w:rPr>
          <w:rFonts w:cs="Times New Roman"/>
          <w:lang w:val="fr-CA"/>
        </w:rPr>
        <w:t>intérêts, alors que le par.</w:t>
      </w:r>
      <w:r w:rsidR="006412AC">
        <w:rPr>
          <w:rFonts w:cs="Times New Roman"/>
          <w:lang w:val="fr-CA"/>
        </w:rPr>
        <w:t xml:space="preserve"> </w:t>
      </w:r>
      <w:r w:rsidRPr="001A1E08">
        <w:rPr>
          <w:rFonts w:cs="Times New Roman"/>
          <w:lang w:val="fr-CA"/>
        </w:rPr>
        <w:t xml:space="preserve">77(4) de la </w:t>
      </w:r>
      <w:r w:rsidRPr="001A1E08">
        <w:rPr>
          <w:rFonts w:cs="Times New Roman"/>
          <w:i/>
          <w:lang w:val="fr-CA"/>
        </w:rPr>
        <w:t>LLO</w:t>
      </w:r>
      <w:r w:rsidRPr="001A1E08">
        <w:rPr>
          <w:rFonts w:cs="Times New Roman"/>
          <w:lang w:val="fr-CA"/>
        </w:rPr>
        <w:t xml:space="preserve"> autorise le tribunal à accorder une réparation </w:t>
      </w:r>
      <w:r w:rsidR="006412AC">
        <w:rPr>
          <w:rFonts w:cs="Times New Roman"/>
          <w:lang w:val="fr-CA"/>
        </w:rPr>
        <w:t>« </w:t>
      </w:r>
      <w:r w:rsidRPr="001A1E08">
        <w:rPr>
          <w:rFonts w:cs="Times New Roman"/>
          <w:lang w:val="fr-CA"/>
        </w:rPr>
        <w:t>convenable et juste</w:t>
      </w:r>
      <w:r w:rsidR="006412AC">
        <w:rPr>
          <w:rFonts w:cs="Times New Roman"/>
          <w:lang w:val="fr-CA"/>
        </w:rPr>
        <w:t> »</w:t>
      </w:r>
      <w:r w:rsidRPr="001A1E08">
        <w:rPr>
          <w:rFonts w:cs="Times New Roman"/>
          <w:lang w:val="fr-CA"/>
        </w:rPr>
        <w:t>, y compris des dommages</w:t>
      </w:r>
      <w:r w:rsidR="006412AC">
        <w:rPr>
          <w:rFonts w:cs="Times New Roman"/>
          <w:lang w:val="fr-CA"/>
        </w:rPr>
        <w:t>-</w:t>
      </w:r>
      <w:r w:rsidRPr="001A1E08">
        <w:rPr>
          <w:rFonts w:cs="Times New Roman"/>
          <w:lang w:val="fr-CA"/>
        </w:rPr>
        <w:t>intérêts.  Bref, les appelants font valoir que l’exclusion des dommages</w:t>
      </w:r>
      <w:r w:rsidR="006412AC">
        <w:rPr>
          <w:rFonts w:cs="Times New Roman"/>
          <w:lang w:val="fr-CA"/>
        </w:rPr>
        <w:t>-</w:t>
      </w:r>
      <w:r w:rsidRPr="001A1E08">
        <w:rPr>
          <w:rFonts w:cs="Times New Roman"/>
          <w:lang w:val="fr-CA"/>
        </w:rPr>
        <w:t xml:space="preserve">intérêts pour le préjudice subi lors d’un vol international entre en conflit avec le pouvoir d’accorder une réparation </w:t>
      </w:r>
      <w:r w:rsidR="006412AC">
        <w:rPr>
          <w:rFonts w:cs="Times New Roman"/>
          <w:lang w:val="fr-CA"/>
        </w:rPr>
        <w:t>« </w:t>
      </w:r>
      <w:r w:rsidRPr="001A1E08">
        <w:rPr>
          <w:rFonts w:cs="Times New Roman"/>
          <w:lang w:val="fr-CA"/>
        </w:rPr>
        <w:t>convenable et juste</w:t>
      </w:r>
      <w:r w:rsidR="006412AC">
        <w:rPr>
          <w:rFonts w:cs="Times New Roman"/>
          <w:lang w:val="fr-CA"/>
        </w:rPr>
        <w:t> »</w:t>
      </w:r>
      <w:r w:rsidRPr="001A1E08">
        <w:rPr>
          <w:rFonts w:cs="Times New Roman"/>
          <w:lang w:val="fr-CA"/>
        </w:rPr>
        <w:t>.</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Le cadre législatif qui régit cette question n’est pas compliqué.  Premièrement, les tribunaux adoptent une interprétation restrictive de ce qui constitue un conflit dans un tel contexte.  Deuxièmement, les tribunaux estiment qu’il y a conflit seulement lorsque le conflit, au sens strict du terme, ne peut être évité par l’interprétation.  Le chevauchement n’est pas en soi un conflit dans ce contexte, de sorte que, même si les champs d’application de deux dispositions se chevauchent, on présume qu’elles sont censées s’appliquer, pourvu qu’elles puissent le faire sans que cela mène à un résultat absurde.  Cette présomption peut être réfutée si l’une des dispositions est censée traiter la matière de façon exhaustive.  Troisièmement, ce n’est que si le confit est inévitable que le tribunal doit recourir aux dispositions légales et aux principes d’interprétation permettant de déterminer quelle loi prime l’autre.  La présente affaire porte sur les deux premiers principes, que je vais maintenant examiner un peu plus en détail.  </w:t>
      </w:r>
    </w:p>
    <w:p w:rsidR="00367456" w:rsidRPr="001A1E08" w:rsidRDefault="00367456" w:rsidP="00A12DCE">
      <w:pPr>
        <w:pStyle w:val="ParaNoNdepar-AltN"/>
        <w:widowControl w:val="0"/>
        <w:rPr>
          <w:rFonts w:cs="Times New Roman"/>
          <w:lang w:val="fr-CA"/>
        </w:rPr>
      </w:pPr>
      <w:r w:rsidRPr="001A1E08">
        <w:rPr>
          <w:rFonts w:cs="Times New Roman"/>
          <w:lang w:val="fr-CA"/>
        </w:rPr>
        <w:t>Les tribunaux présument que [</w:t>
      </w:r>
      <w:r w:rsidRPr="001A1E08">
        <w:rPr>
          <w:rFonts w:cs="Times New Roman"/>
          <w:smallCaps/>
          <w:lang w:val="fr-CA"/>
        </w:rPr>
        <w:t>traduction</w:t>
      </w:r>
      <w:r w:rsidRPr="001A1E08">
        <w:rPr>
          <w:rFonts w:cs="Times New Roman"/>
          <w:lang w:val="fr-CA"/>
        </w:rPr>
        <w:t xml:space="preserve">] </w:t>
      </w:r>
      <w:r w:rsidR="006412AC">
        <w:rPr>
          <w:rFonts w:cs="Times New Roman"/>
          <w:lang w:val="fr-CA"/>
        </w:rPr>
        <w:t>« </w:t>
      </w:r>
      <w:r w:rsidRPr="001A1E08">
        <w:rPr>
          <w:rFonts w:cs="Times New Roman"/>
          <w:lang w:val="fr-CA"/>
        </w:rPr>
        <w:t xml:space="preserve">l’ensemble des textes législatifs édictés par une législature ne comporte pas de contradictions ou d’incohérences et que chaque disposition peut être appliquée sans entrer en conflit </w:t>
      </w:r>
      <w:r w:rsidRPr="001A1E08">
        <w:rPr>
          <w:rFonts w:cs="Times New Roman"/>
          <w:lang w:val="fr-CA"/>
        </w:rPr>
        <w:lastRenderedPageBreak/>
        <w:t>avec une autre</w:t>
      </w:r>
      <w:r w:rsidR="006412AC">
        <w:rPr>
          <w:rFonts w:cs="Times New Roman"/>
          <w:lang w:val="fr-CA"/>
        </w:rPr>
        <w:t> » :</w:t>
      </w:r>
      <w:r w:rsidRPr="001A1E08">
        <w:rPr>
          <w:rFonts w:cs="Times New Roman"/>
          <w:lang w:val="fr-CA"/>
        </w:rPr>
        <w:t xml:space="preserve"> R.</w:t>
      </w:r>
      <w:r w:rsidR="006412AC">
        <w:rPr>
          <w:rFonts w:cs="Times New Roman"/>
          <w:lang w:val="fr-CA"/>
        </w:rPr>
        <w:t xml:space="preserve"> </w:t>
      </w:r>
      <w:r w:rsidRPr="001A1E08">
        <w:rPr>
          <w:rFonts w:cs="Times New Roman"/>
          <w:lang w:val="fr-CA"/>
        </w:rPr>
        <w:t xml:space="preserve">Sullivan, </w:t>
      </w:r>
      <w:r w:rsidRPr="001A1E08">
        <w:rPr>
          <w:rFonts w:cs="Times New Roman"/>
          <w:i/>
          <w:lang w:val="fr-CA"/>
        </w:rPr>
        <w:t xml:space="preserve">Sullivan on the Construction of </w:t>
      </w:r>
      <w:proofErr w:type="spellStart"/>
      <w:r w:rsidRPr="001A1E08">
        <w:rPr>
          <w:rFonts w:cs="Times New Roman"/>
          <w:i/>
          <w:lang w:val="fr-CA"/>
        </w:rPr>
        <w:t>Statutes</w:t>
      </w:r>
      <w:proofErr w:type="spellEnd"/>
      <w:r w:rsidRPr="001A1E08">
        <w:rPr>
          <w:rFonts w:cs="Times New Roman"/>
          <w:lang w:val="fr-CA"/>
        </w:rPr>
        <w:t xml:space="preserve"> (5</w:t>
      </w:r>
      <w:r w:rsidRPr="001A1E08">
        <w:rPr>
          <w:rFonts w:cs="Times New Roman"/>
          <w:vertAlign w:val="superscript"/>
          <w:lang w:val="fr-CA"/>
        </w:rPr>
        <w:t>e</w:t>
      </w:r>
      <w:r w:rsidR="006412AC">
        <w:rPr>
          <w:rFonts w:cs="Times New Roman"/>
          <w:lang w:val="fr-CA"/>
        </w:rPr>
        <w:t xml:space="preserve"> </w:t>
      </w:r>
      <w:r w:rsidRPr="001A1E08">
        <w:rPr>
          <w:rFonts w:cs="Times New Roman"/>
          <w:lang w:val="fr-CA"/>
        </w:rPr>
        <w:t>éd. 2008), p.</w:t>
      </w:r>
      <w:r w:rsidR="006412AC">
        <w:rPr>
          <w:rFonts w:cs="Times New Roman"/>
          <w:lang w:val="fr-CA"/>
        </w:rPr>
        <w:t xml:space="preserve"> </w:t>
      </w:r>
      <w:r w:rsidRPr="001A1E08">
        <w:rPr>
          <w:rFonts w:cs="Times New Roman"/>
          <w:lang w:val="fr-CA"/>
        </w:rPr>
        <w:t xml:space="preserve">325; </w:t>
      </w:r>
      <w:r w:rsidRPr="001A1E08">
        <w:rPr>
          <w:rFonts w:cs="Times New Roman"/>
          <w:i/>
          <w:lang w:val="fr-CA"/>
        </w:rPr>
        <w:t xml:space="preserve">R. c. </w:t>
      </w:r>
      <w:proofErr w:type="spellStart"/>
      <w:r w:rsidRPr="001A1E08">
        <w:rPr>
          <w:rFonts w:cs="Times New Roman"/>
          <w:i/>
          <w:lang w:val="fr-CA"/>
        </w:rPr>
        <w:t>Ulybel</w:t>
      </w:r>
      <w:proofErr w:type="spellEnd"/>
      <w:r w:rsidRPr="001A1E08">
        <w:rPr>
          <w:rFonts w:cs="Times New Roman"/>
          <w:i/>
          <w:lang w:val="fr-CA"/>
        </w:rPr>
        <w:t xml:space="preserve"> </w:t>
      </w:r>
      <w:proofErr w:type="spellStart"/>
      <w:r w:rsidRPr="001A1E08">
        <w:rPr>
          <w:rFonts w:cs="Times New Roman"/>
          <w:i/>
          <w:lang w:val="fr-CA"/>
        </w:rPr>
        <w:t>Enterprises</w:t>
      </w:r>
      <w:proofErr w:type="spellEnd"/>
      <w:r w:rsidRPr="001A1E08">
        <w:rPr>
          <w:rFonts w:cs="Times New Roman"/>
          <w:i/>
          <w:lang w:val="fr-CA"/>
        </w:rPr>
        <w:t xml:space="preserve"> Ltd.</w:t>
      </w:r>
      <w:r w:rsidRPr="001A1E08">
        <w:rPr>
          <w:rFonts w:cs="Times New Roman"/>
          <w:lang w:val="fr-CA"/>
        </w:rPr>
        <w:t>, 2001 CSC 56, [2001] 2 R.C.S. 867, par.</w:t>
      </w:r>
      <w:r w:rsidR="006412AC">
        <w:rPr>
          <w:rFonts w:cs="Times New Roman"/>
          <w:lang w:val="fr-CA"/>
        </w:rPr>
        <w:t xml:space="preserve"> </w:t>
      </w:r>
      <w:r w:rsidRPr="001A1E08">
        <w:rPr>
          <w:rFonts w:cs="Times New Roman"/>
          <w:lang w:val="fr-CA"/>
        </w:rPr>
        <w:t>30.  Parfois appelé présomption de cohérence, ce principe repose sur l’idée, conforme au bon sens, que le législateur n’a pas l’intention d’adopter des textes contradictoires</w:t>
      </w:r>
      <w:r w:rsidR="006412AC">
        <w:rPr>
          <w:rFonts w:cs="Times New Roman"/>
          <w:lang w:val="fr-CA"/>
        </w:rPr>
        <w:t> :</w:t>
      </w:r>
      <w:r w:rsidRPr="001A1E08">
        <w:rPr>
          <w:rFonts w:cs="Times New Roman"/>
          <w:lang w:val="fr-CA"/>
        </w:rPr>
        <w:t xml:space="preserve"> </w:t>
      </w:r>
      <w:proofErr w:type="spellStart"/>
      <w:r w:rsidRPr="001A1E08">
        <w:rPr>
          <w:rFonts w:cs="Times New Roman"/>
          <w:i/>
          <w:lang w:val="fr-CA"/>
        </w:rPr>
        <w:t>Friends</w:t>
      </w:r>
      <w:proofErr w:type="spellEnd"/>
      <w:r w:rsidRPr="001A1E08">
        <w:rPr>
          <w:rFonts w:cs="Times New Roman"/>
          <w:i/>
          <w:lang w:val="fr-CA"/>
        </w:rPr>
        <w:t xml:space="preserve"> of the </w:t>
      </w:r>
      <w:proofErr w:type="spellStart"/>
      <w:r w:rsidRPr="001A1E08">
        <w:rPr>
          <w:rFonts w:cs="Times New Roman"/>
          <w:i/>
          <w:lang w:val="fr-CA"/>
        </w:rPr>
        <w:t>Oldman</w:t>
      </w:r>
      <w:proofErr w:type="spellEnd"/>
      <w:r w:rsidRPr="001A1E08">
        <w:rPr>
          <w:rFonts w:cs="Times New Roman"/>
          <w:i/>
          <w:lang w:val="fr-CA"/>
        </w:rPr>
        <w:t xml:space="preserve"> River Society c. Canada (Ministre des Transports)</w:t>
      </w:r>
      <w:r w:rsidRPr="001A1E08">
        <w:rPr>
          <w:rFonts w:cs="Times New Roman"/>
          <w:lang w:val="fr-CA"/>
        </w:rPr>
        <w:t>, [1992] 1 R.C.S. 3, p.</w:t>
      </w:r>
      <w:r w:rsidR="006412AC">
        <w:rPr>
          <w:rFonts w:cs="Times New Roman"/>
          <w:lang w:val="fr-CA"/>
        </w:rPr>
        <w:t xml:space="preserve"> </w:t>
      </w:r>
      <w:r w:rsidRPr="001A1E08">
        <w:rPr>
          <w:rFonts w:cs="Times New Roman"/>
          <w:lang w:val="fr-CA"/>
        </w:rPr>
        <w:t>38.  C’est pourquoi les tribunaux définissent de manière très stricte la notion de conflit</w:t>
      </w:r>
      <w:r w:rsidR="006412AC">
        <w:rPr>
          <w:rFonts w:cs="Times New Roman"/>
          <w:lang w:val="fr-CA"/>
        </w:rPr>
        <w:t> :</w:t>
      </w:r>
      <w:r w:rsidRPr="001A1E08">
        <w:rPr>
          <w:rFonts w:cs="Times New Roman"/>
          <w:lang w:val="fr-CA"/>
        </w:rPr>
        <w:t xml:space="preserve"> P.</w:t>
      </w:r>
      <w:r w:rsidR="006412AC">
        <w:rPr>
          <w:rFonts w:cs="Times New Roman"/>
          <w:lang w:val="fr-CA"/>
        </w:rPr>
        <w:t>-</w:t>
      </w:r>
      <w:r w:rsidRPr="001A1E08">
        <w:rPr>
          <w:rFonts w:cs="Times New Roman"/>
          <w:lang w:val="fr-CA"/>
        </w:rPr>
        <w:t>A.</w:t>
      </w:r>
      <w:r w:rsidR="006412AC">
        <w:rPr>
          <w:rFonts w:cs="Times New Roman"/>
          <w:lang w:val="fr-CA"/>
        </w:rPr>
        <w:t xml:space="preserve"> </w:t>
      </w:r>
      <w:r w:rsidRPr="001A1E08">
        <w:rPr>
          <w:rFonts w:cs="Times New Roman"/>
          <w:lang w:val="fr-CA"/>
        </w:rPr>
        <w:t>Côté, avec la collaboration de S.</w:t>
      </w:r>
      <w:r w:rsidR="006412AC">
        <w:rPr>
          <w:rFonts w:cs="Times New Roman"/>
          <w:lang w:val="fr-CA"/>
        </w:rPr>
        <w:t xml:space="preserve"> </w:t>
      </w:r>
      <w:proofErr w:type="spellStart"/>
      <w:r w:rsidRPr="001A1E08">
        <w:rPr>
          <w:rFonts w:cs="Times New Roman"/>
          <w:lang w:val="fr-CA"/>
        </w:rPr>
        <w:t>Beaulac</w:t>
      </w:r>
      <w:proofErr w:type="spellEnd"/>
      <w:r w:rsidRPr="001A1E08">
        <w:rPr>
          <w:rFonts w:cs="Times New Roman"/>
          <w:lang w:val="fr-CA"/>
        </w:rPr>
        <w:t xml:space="preserve"> et de M.</w:t>
      </w:r>
      <w:r w:rsidR="006412AC">
        <w:rPr>
          <w:rFonts w:cs="Times New Roman"/>
          <w:lang w:val="fr-CA"/>
        </w:rPr>
        <w:t xml:space="preserve"> </w:t>
      </w:r>
      <w:proofErr w:type="spellStart"/>
      <w:r w:rsidRPr="001A1E08">
        <w:rPr>
          <w:rFonts w:cs="Times New Roman"/>
          <w:lang w:val="fr-CA"/>
        </w:rPr>
        <w:t>Devinat</w:t>
      </w:r>
      <w:proofErr w:type="spellEnd"/>
      <w:r w:rsidRPr="001A1E08">
        <w:rPr>
          <w:rFonts w:cs="Times New Roman"/>
          <w:lang w:val="fr-CA"/>
        </w:rPr>
        <w:t xml:space="preserve">, </w:t>
      </w:r>
      <w:r w:rsidRPr="001A1E08">
        <w:rPr>
          <w:rFonts w:cs="Times New Roman"/>
          <w:i/>
          <w:lang w:val="fr-CA"/>
        </w:rPr>
        <w:t>Interprétation des lois</w:t>
      </w:r>
      <w:r w:rsidRPr="001A1E08">
        <w:rPr>
          <w:rFonts w:cs="Times New Roman"/>
          <w:lang w:val="fr-CA"/>
        </w:rPr>
        <w:t xml:space="preserve"> (4</w:t>
      </w:r>
      <w:r w:rsidRPr="001A1E08">
        <w:rPr>
          <w:rFonts w:cs="Times New Roman"/>
          <w:vertAlign w:val="superscript"/>
          <w:lang w:val="fr-CA"/>
        </w:rPr>
        <w:t>e</w:t>
      </w:r>
      <w:r w:rsidRPr="001A1E08">
        <w:rPr>
          <w:rFonts w:cs="Times New Roman"/>
          <w:lang w:val="fr-CA"/>
        </w:rPr>
        <w:t xml:space="preserve"> éd. 2009), p.</w:t>
      </w:r>
      <w:r w:rsidR="006412AC">
        <w:rPr>
          <w:rFonts w:cs="Times New Roman"/>
          <w:lang w:val="fr-CA"/>
        </w:rPr>
        <w:t xml:space="preserve"> </w:t>
      </w:r>
      <w:r w:rsidRPr="001A1E08">
        <w:rPr>
          <w:rFonts w:cs="Times New Roman"/>
          <w:lang w:val="fr-CA"/>
        </w:rPr>
        <w:t>405.</w:t>
      </w:r>
    </w:p>
    <w:p w:rsidR="00367456" w:rsidRPr="001A1E08" w:rsidRDefault="00367456" w:rsidP="00A12DCE">
      <w:pPr>
        <w:pStyle w:val="ParaNoNdepar-AltN"/>
        <w:widowControl w:val="0"/>
        <w:rPr>
          <w:rFonts w:cs="Times New Roman"/>
          <w:lang w:val="fr-CA"/>
        </w:rPr>
      </w:pPr>
      <w:r w:rsidRPr="001A1E08">
        <w:rPr>
          <w:rFonts w:cs="Times New Roman"/>
          <w:lang w:val="fr-CA"/>
        </w:rPr>
        <w:t>Qu’est</w:t>
      </w:r>
      <w:r w:rsidR="006412AC">
        <w:rPr>
          <w:rFonts w:cs="Times New Roman"/>
          <w:lang w:val="fr-CA"/>
        </w:rPr>
        <w:t>-</w:t>
      </w:r>
      <w:r w:rsidRPr="001A1E08">
        <w:rPr>
          <w:rFonts w:cs="Times New Roman"/>
          <w:lang w:val="fr-CA"/>
        </w:rPr>
        <w:t>ce qui constitue alors un conflit dans ce contexte?  Les dispositions en cause doivent être [</w:t>
      </w:r>
      <w:r w:rsidRPr="001A1E08">
        <w:rPr>
          <w:rFonts w:cs="Times New Roman"/>
          <w:smallCaps/>
          <w:lang w:val="fr-CA"/>
        </w:rPr>
        <w:t>traduction</w:t>
      </w:r>
      <w:r w:rsidRPr="001A1E08">
        <w:rPr>
          <w:rFonts w:cs="Times New Roman"/>
          <w:lang w:val="fr-CA"/>
        </w:rPr>
        <w:t xml:space="preserve">] </w:t>
      </w:r>
      <w:r w:rsidR="006412AC">
        <w:rPr>
          <w:rFonts w:cs="Times New Roman"/>
          <w:lang w:val="fr-CA"/>
        </w:rPr>
        <w:t>« </w:t>
      </w:r>
      <w:r w:rsidR="00593C2D">
        <w:rPr>
          <w:rFonts w:cs="Times New Roman"/>
          <w:lang w:val="fr-CA"/>
        </w:rPr>
        <w:t>à ce point incompatibles ou contraires</w:t>
      </w:r>
      <w:r w:rsidRPr="001A1E08">
        <w:rPr>
          <w:rFonts w:cs="Times New Roman"/>
          <w:lang w:val="fr-CA"/>
        </w:rPr>
        <w:t xml:space="preserve"> qu’elles ne peuvent coexister</w:t>
      </w:r>
      <w:r w:rsidR="006412AC">
        <w:rPr>
          <w:rFonts w:cs="Times New Roman"/>
          <w:lang w:val="fr-CA"/>
        </w:rPr>
        <w:t> » :</w:t>
      </w:r>
      <w:r w:rsidRPr="001A1E08">
        <w:rPr>
          <w:rFonts w:cs="Times New Roman"/>
          <w:lang w:val="fr-CA"/>
        </w:rPr>
        <w:t xml:space="preserve"> </w:t>
      </w:r>
      <w:r w:rsidRPr="001A1E08">
        <w:rPr>
          <w:rFonts w:cs="Times New Roman"/>
          <w:i/>
          <w:lang w:val="fr-CA"/>
        </w:rPr>
        <w:t>Daniels c. White</w:t>
      </w:r>
      <w:r w:rsidRPr="001A1E08">
        <w:rPr>
          <w:rFonts w:cs="Times New Roman"/>
          <w:lang w:val="fr-CA"/>
        </w:rPr>
        <w:t>, [1968] R.C.S. 517, p.</w:t>
      </w:r>
      <w:r w:rsidR="006412AC">
        <w:rPr>
          <w:rFonts w:cs="Times New Roman"/>
          <w:lang w:val="fr-CA"/>
        </w:rPr>
        <w:t xml:space="preserve"> </w:t>
      </w:r>
      <w:r w:rsidRPr="001A1E08">
        <w:rPr>
          <w:rFonts w:cs="Times New Roman"/>
          <w:lang w:val="fr-CA"/>
        </w:rPr>
        <w:t xml:space="preserve">526; </w:t>
      </w:r>
      <w:r w:rsidRPr="001A1E08">
        <w:rPr>
          <w:rFonts w:cs="Times New Roman"/>
          <w:i/>
          <w:lang w:val="fr-CA"/>
        </w:rPr>
        <w:t xml:space="preserve">Toronto </w:t>
      </w:r>
      <w:proofErr w:type="spellStart"/>
      <w:r w:rsidRPr="001A1E08">
        <w:rPr>
          <w:rFonts w:cs="Times New Roman"/>
          <w:i/>
          <w:lang w:val="fr-CA"/>
        </w:rPr>
        <w:t>Railway</w:t>
      </w:r>
      <w:proofErr w:type="spellEnd"/>
      <w:r w:rsidRPr="001A1E08">
        <w:rPr>
          <w:rFonts w:cs="Times New Roman"/>
          <w:i/>
          <w:lang w:val="fr-CA"/>
        </w:rPr>
        <w:t xml:space="preserve"> Co. c. Paget</w:t>
      </w:r>
      <w:r w:rsidRPr="001A1E08">
        <w:rPr>
          <w:rFonts w:cs="Times New Roman"/>
          <w:lang w:val="fr-CA"/>
        </w:rPr>
        <w:t xml:space="preserve"> (1909), 42 R.C.S. 488, p.</w:t>
      </w:r>
      <w:r w:rsidR="006412AC">
        <w:rPr>
          <w:rFonts w:cs="Times New Roman"/>
          <w:lang w:val="fr-CA"/>
        </w:rPr>
        <w:t xml:space="preserve"> </w:t>
      </w:r>
      <w:r w:rsidRPr="001A1E08">
        <w:rPr>
          <w:rFonts w:cs="Times New Roman"/>
          <w:lang w:val="fr-CA"/>
        </w:rPr>
        <w:t xml:space="preserve">491 et 499; </w:t>
      </w:r>
      <w:r w:rsidRPr="001A1E08">
        <w:rPr>
          <w:rFonts w:cs="Times New Roman"/>
          <w:i/>
          <w:lang w:val="fr-CA"/>
        </w:rPr>
        <w:t>Canadian Westinghouse Co. c. Grant</w:t>
      </w:r>
      <w:r w:rsidRPr="001A1E08">
        <w:rPr>
          <w:rFonts w:cs="Times New Roman"/>
          <w:lang w:val="fr-CA"/>
        </w:rPr>
        <w:t>, [1927] R.C.S. 625, p.</w:t>
      </w:r>
      <w:r w:rsidR="006412AC">
        <w:rPr>
          <w:rFonts w:cs="Times New Roman"/>
          <w:lang w:val="fr-CA"/>
        </w:rPr>
        <w:t xml:space="preserve"> </w:t>
      </w:r>
      <w:r w:rsidRPr="001A1E08">
        <w:rPr>
          <w:rFonts w:cs="Times New Roman"/>
          <w:lang w:val="fr-CA"/>
        </w:rPr>
        <w:t xml:space="preserve">630; </w:t>
      </w:r>
      <w:r w:rsidRPr="001A1E08">
        <w:rPr>
          <w:rFonts w:cs="Times New Roman"/>
          <w:i/>
          <w:lang w:val="fr-CA"/>
        </w:rPr>
        <w:t xml:space="preserve">International </w:t>
      </w:r>
      <w:proofErr w:type="spellStart"/>
      <w:r w:rsidRPr="001A1E08">
        <w:rPr>
          <w:rFonts w:cs="Times New Roman"/>
          <w:i/>
          <w:lang w:val="fr-CA"/>
        </w:rPr>
        <w:t>Brotherhood</w:t>
      </w:r>
      <w:proofErr w:type="spellEnd"/>
      <w:r w:rsidRPr="001A1E08">
        <w:rPr>
          <w:rFonts w:cs="Times New Roman"/>
          <w:i/>
          <w:lang w:val="fr-CA"/>
        </w:rPr>
        <w:t xml:space="preserve"> of </w:t>
      </w:r>
      <w:proofErr w:type="spellStart"/>
      <w:r w:rsidRPr="001A1E08">
        <w:rPr>
          <w:rFonts w:cs="Times New Roman"/>
          <w:i/>
          <w:lang w:val="fr-CA"/>
        </w:rPr>
        <w:t>Electrical</w:t>
      </w:r>
      <w:proofErr w:type="spellEnd"/>
      <w:r w:rsidRPr="001A1E08">
        <w:rPr>
          <w:rFonts w:cs="Times New Roman"/>
          <w:i/>
          <w:lang w:val="fr-CA"/>
        </w:rPr>
        <w:t xml:space="preserve"> </w:t>
      </w:r>
      <w:proofErr w:type="spellStart"/>
      <w:r w:rsidRPr="001A1E08">
        <w:rPr>
          <w:rFonts w:cs="Times New Roman"/>
          <w:i/>
          <w:lang w:val="fr-CA"/>
        </w:rPr>
        <w:t>Workers</w:t>
      </w:r>
      <w:proofErr w:type="spellEnd"/>
      <w:r w:rsidRPr="001A1E08">
        <w:rPr>
          <w:rFonts w:cs="Times New Roman"/>
          <w:i/>
          <w:lang w:val="fr-CA"/>
        </w:rPr>
        <w:t xml:space="preserve"> c. </w:t>
      </w:r>
      <w:proofErr w:type="spellStart"/>
      <w:r w:rsidRPr="001A1E08">
        <w:rPr>
          <w:rFonts w:cs="Times New Roman"/>
          <w:i/>
          <w:lang w:val="fr-CA"/>
        </w:rPr>
        <w:t>Town</w:t>
      </w:r>
      <w:proofErr w:type="spellEnd"/>
      <w:r w:rsidRPr="001A1E08">
        <w:rPr>
          <w:rFonts w:cs="Times New Roman"/>
          <w:i/>
          <w:lang w:val="fr-CA"/>
        </w:rPr>
        <w:t xml:space="preserve"> of Summerside</w:t>
      </w:r>
      <w:r w:rsidRPr="001A1E08">
        <w:rPr>
          <w:rFonts w:cs="Times New Roman"/>
          <w:lang w:val="fr-CA"/>
        </w:rPr>
        <w:t>,</w:t>
      </w:r>
      <w:r w:rsidRPr="001A1E08">
        <w:rPr>
          <w:rFonts w:cs="Times New Roman"/>
          <w:i/>
          <w:lang w:val="fr-CA"/>
        </w:rPr>
        <w:t xml:space="preserve"> </w:t>
      </w:r>
      <w:r w:rsidRPr="001A1E08">
        <w:rPr>
          <w:rFonts w:cs="Times New Roman"/>
          <w:lang w:val="fr-CA"/>
        </w:rPr>
        <w:t>[1960] R.C.S. 591, p.</w:t>
      </w:r>
      <w:r w:rsidR="006412AC">
        <w:rPr>
          <w:rFonts w:cs="Times New Roman"/>
          <w:lang w:val="fr-CA"/>
        </w:rPr>
        <w:t xml:space="preserve"> </w:t>
      </w:r>
      <w:r w:rsidRPr="001A1E08">
        <w:rPr>
          <w:rFonts w:cs="Times New Roman"/>
          <w:lang w:val="fr-CA"/>
        </w:rPr>
        <w:t>598</w:t>
      </w:r>
      <w:r w:rsidR="006412AC">
        <w:rPr>
          <w:rFonts w:cs="Times New Roman"/>
          <w:lang w:val="fr-CA"/>
        </w:rPr>
        <w:t>-</w:t>
      </w:r>
      <w:r w:rsidRPr="001A1E08">
        <w:rPr>
          <w:rFonts w:cs="Times New Roman"/>
          <w:lang w:val="fr-CA"/>
        </w:rPr>
        <w:t xml:space="preserve">599; </w:t>
      </w:r>
      <w:r w:rsidRPr="001A1E08">
        <w:rPr>
          <w:rFonts w:cs="Times New Roman"/>
          <w:i/>
          <w:lang w:val="fr-CA"/>
        </w:rPr>
        <w:t>Renvoi relatif à la Politique réglementaire de radiodiffusion CRTC 2010</w:t>
      </w:r>
      <w:r w:rsidR="006412AC">
        <w:rPr>
          <w:rFonts w:cs="Times New Roman"/>
          <w:i/>
          <w:lang w:val="fr-CA"/>
        </w:rPr>
        <w:t>-</w:t>
      </w:r>
      <w:r w:rsidRPr="001A1E08">
        <w:rPr>
          <w:rFonts w:cs="Times New Roman"/>
          <w:i/>
          <w:lang w:val="fr-CA"/>
        </w:rPr>
        <w:t>167 et l’ordonnance de radiodiffusion CRTC 2010</w:t>
      </w:r>
      <w:r w:rsidR="006412AC">
        <w:rPr>
          <w:rFonts w:cs="Times New Roman"/>
          <w:i/>
          <w:lang w:val="fr-CA"/>
        </w:rPr>
        <w:t>-</w:t>
      </w:r>
      <w:r w:rsidRPr="001A1E08">
        <w:rPr>
          <w:rFonts w:cs="Times New Roman"/>
          <w:i/>
          <w:lang w:val="fr-CA"/>
        </w:rPr>
        <w:t>168</w:t>
      </w:r>
      <w:r w:rsidRPr="001A1E08">
        <w:rPr>
          <w:rFonts w:cs="Times New Roman"/>
          <w:lang w:val="fr-CA"/>
        </w:rPr>
        <w:t>, 2012 CSC 68, [2012] 3 R.C.S. 489, par.</w:t>
      </w:r>
      <w:r w:rsidR="006412AC">
        <w:rPr>
          <w:rFonts w:cs="Times New Roman"/>
          <w:lang w:val="fr-CA"/>
        </w:rPr>
        <w:t xml:space="preserve"> </w:t>
      </w:r>
      <w:r w:rsidRPr="001A1E08">
        <w:rPr>
          <w:rFonts w:cs="Times New Roman"/>
          <w:lang w:val="fr-CA"/>
        </w:rPr>
        <w:t>41</w:t>
      </w:r>
      <w:r w:rsidR="006412AC">
        <w:rPr>
          <w:rFonts w:cs="Times New Roman"/>
          <w:lang w:val="fr-CA"/>
        </w:rPr>
        <w:t>-</w:t>
      </w:r>
      <w:r w:rsidRPr="001A1E08">
        <w:rPr>
          <w:rFonts w:cs="Times New Roman"/>
          <w:lang w:val="fr-CA"/>
        </w:rPr>
        <w:t xml:space="preserve">45.  Il faut que l’application de l’une des dispositions </w:t>
      </w:r>
      <w:r w:rsidR="006412AC">
        <w:rPr>
          <w:rFonts w:cs="Times New Roman"/>
          <w:lang w:val="fr-CA"/>
        </w:rPr>
        <w:t>« </w:t>
      </w:r>
      <w:r w:rsidRPr="001A1E08">
        <w:rPr>
          <w:rFonts w:cs="Times New Roman"/>
          <w:lang w:val="fr-CA"/>
        </w:rPr>
        <w:t>exclue, explicitement ou implicitement, celle de l’autre</w:t>
      </w:r>
      <w:r w:rsidR="006412AC">
        <w:rPr>
          <w:rFonts w:cs="Times New Roman"/>
          <w:lang w:val="fr-CA"/>
        </w:rPr>
        <w:t> » :</w:t>
      </w:r>
      <w:r w:rsidRPr="001A1E08">
        <w:rPr>
          <w:rFonts w:cs="Times New Roman"/>
          <w:lang w:val="fr-CA"/>
        </w:rPr>
        <w:t xml:space="preserve"> P.</w:t>
      </w:r>
      <w:r w:rsidR="006412AC">
        <w:rPr>
          <w:rFonts w:cs="Times New Roman"/>
          <w:lang w:val="fr-CA"/>
        </w:rPr>
        <w:t>-</w:t>
      </w:r>
      <w:r w:rsidRPr="001A1E08">
        <w:rPr>
          <w:rFonts w:cs="Times New Roman"/>
          <w:lang w:val="fr-CA"/>
        </w:rPr>
        <w:t>A.</w:t>
      </w:r>
      <w:r w:rsidR="006412AC">
        <w:rPr>
          <w:rFonts w:cs="Times New Roman"/>
          <w:lang w:val="fr-CA"/>
        </w:rPr>
        <w:t xml:space="preserve"> </w:t>
      </w:r>
      <w:r w:rsidRPr="001A1E08">
        <w:rPr>
          <w:rFonts w:cs="Times New Roman"/>
          <w:lang w:val="fr-CA"/>
        </w:rPr>
        <w:t>Côté,</w:t>
      </w:r>
      <w:r w:rsidRPr="001A1E08">
        <w:rPr>
          <w:rFonts w:cs="Times New Roman"/>
          <w:i/>
          <w:lang w:val="fr-CA"/>
        </w:rPr>
        <w:t xml:space="preserve"> Interprétation des lois</w:t>
      </w:r>
      <w:r w:rsidRPr="001A1E08">
        <w:rPr>
          <w:rFonts w:cs="Times New Roman"/>
          <w:lang w:val="fr-CA"/>
        </w:rPr>
        <w:t xml:space="preserve"> (3</w:t>
      </w:r>
      <w:r w:rsidRPr="001A1E08">
        <w:rPr>
          <w:rFonts w:cs="Times New Roman"/>
          <w:vertAlign w:val="superscript"/>
          <w:lang w:val="fr-CA"/>
        </w:rPr>
        <w:t>e</w:t>
      </w:r>
      <w:r w:rsidR="006412AC">
        <w:rPr>
          <w:rFonts w:cs="Times New Roman"/>
          <w:lang w:val="fr-CA"/>
        </w:rPr>
        <w:t xml:space="preserve"> </w:t>
      </w:r>
      <w:r w:rsidR="00593C2D">
        <w:rPr>
          <w:rFonts w:cs="Times New Roman"/>
          <w:lang w:val="fr-CA"/>
        </w:rPr>
        <w:t>éd.</w:t>
      </w:r>
      <w:r w:rsidRPr="001A1E08">
        <w:rPr>
          <w:rFonts w:cs="Times New Roman"/>
          <w:lang w:val="fr-CA"/>
        </w:rPr>
        <w:t xml:space="preserve"> 1999), p.</w:t>
      </w:r>
      <w:r w:rsidR="006412AC">
        <w:rPr>
          <w:rFonts w:cs="Times New Roman"/>
          <w:lang w:val="fr-CA"/>
        </w:rPr>
        <w:t xml:space="preserve"> </w:t>
      </w:r>
      <w:r w:rsidRPr="001A1E08">
        <w:rPr>
          <w:rFonts w:cs="Times New Roman"/>
          <w:lang w:val="fr-CA"/>
        </w:rPr>
        <w:t xml:space="preserve">443, repris par la Cour dans </w:t>
      </w:r>
      <w:r w:rsidRPr="001A1E08">
        <w:rPr>
          <w:rFonts w:cs="Times New Roman"/>
          <w:i/>
          <w:lang w:val="fr-CA"/>
        </w:rPr>
        <w:t>Lévis (Ville) c. Fraternité des policiers de Lévis Inc.</w:t>
      </w:r>
      <w:r w:rsidRPr="001A1E08">
        <w:rPr>
          <w:rFonts w:cs="Times New Roman"/>
          <w:lang w:val="fr-CA"/>
        </w:rPr>
        <w:t>, 2007 CSC 14, [2007] 1 R.C.S. 591, par.</w:t>
      </w:r>
      <w:r w:rsidR="006412AC">
        <w:rPr>
          <w:rFonts w:cs="Times New Roman"/>
          <w:lang w:val="fr-CA"/>
        </w:rPr>
        <w:t xml:space="preserve"> </w:t>
      </w:r>
      <w:r w:rsidR="00593C2D">
        <w:rPr>
          <w:rFonts w:cs="Times New Roman"/>
          <w:lang w:val="fr-CA"/>
        </w:rPr>
        <w:t>47; voir aussi</w:t>
      </w:r>
      <w:r w:rsidRPr="001A1E08">
        <w:rPr>
          <w:rFonts w:cs="Times New Roman"/>
          <w:lang w:val="fr-CA"/>
        </w:rPr>
        <w:t xml:space="preserve"> Côté (4</w:t>
      </w:r>
      <w:r w:rsidRPr="001A1E08">
        <w:rPr>
          <w:rFonts w:cs="Times New Roman"/>
          <w:vertAlign w:val="superscript"/>
          <w:lang w:val="fr-CA"/>
        </w:rPr>
        <w:t>e</w:t>
      </w:r>
      <w:r w:rsidR="006412AC">
        <w:rPr>
          <w:rFonts w:cs="Times New Roman"/>
          <w:vertAlign w:val="superscript"/>
          <w:lang w:val="fr-CA"/>
        </w:rPr>
        <w:t xml:space="preserve"> </w:t>
      </w:r>
      <w:r w:rsidRPr="001A1E08">
        <w:rPr>
          <w:rFonts w:cs="Times New Roman"/>
          <w:lang w:val="fr-CA"/>
        </w:rPr>
        <w:t>éd.), p.</w:t>
      </w:r>
      <w:r w:rsidR="006412AC">
        <w:rPr>
          <w:rFonts w:cs="Times New Roman"/>
          <w:lang w:val="fr-CA"/>
        </w:rPr>
        <w:t xml:space="preserve"> </w:t>
      </w:r>
      <w:r w:rsidRPr="001A1E08">
        <w:rPr>
          <w:rFonts w:cs="Times New Roman"/>
          <w:lang w:val="fr-CA"/>
        </w:rPr>
        <w:t xml:space="preserve">406. </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Dans l’arrêt </w:t>
      </w:r>
      <w:r w:rsidRPr="001A1E08">
        <w:rPr>
          <w:rFonts w:cs="Times New Roman"/>
          <w:i/>
          <w:lang w:val="fr-CA"/>
        </w:rPr>
        <w:t>Lévis</w:t>
      </w:r>
      <w:r w:rsidRPr="001A1E08">
        <w:rPr>
          <w:rFonts w:cs="Times New Roman"/>
          <w:lang w:val="fr-CA"/>
        </w:rPr>
        <w:t xml:space="preserve">, le juge </w:t>
      </w:r>
      <w:proofErr w:type="spellStart"/>
      <w:r w:rsidRPr="001A1E08">
        <w:rPr>
          <w:rFonts w:cs="Times New Roman"/>
          <w:lang w:val="fr-CA"/>
        </w:rPr>
        <w:t>Bastarache</w:t>
      </w:r>
      <w:proofErr w:type="spellEnd"/>
      <w:r w:rsidRPr="001A1E08">
        <w:rPr>
          <w:rFonts w:cs="Times New Roman"/>
          <w:lang w:val="fr-CA"/>
        </w:rPr>
        <w:t xml:space="preserve"> a affirmé qu’</w:t>
      </w:r>
      <w:r w:rsidR="006412AC">
        <w:rPr>
          <w:rFonts w:cs="Times New Roman"/>
          <w:lang w:val="fr-CA"/>
        </w:rPr>
        <w:t>« </w:t>
      </w:r>
      <w:r w:rsidRPr="001A1E08">
        <w:rPr>
          <w:rFonts w:cs="Times New Roman"/>
          <w:lang w:val="fr-CA"/>
        </w:rPr>
        <w:t xml:space="preserve">il y a conflit inévitable lorsque deux lois sont directement contradictoires ou que leur application </w:t>
      </w:r>
      <w:r w:rsidRPr="001A1E08">
        <w:rPr>
          <w:rFonts w:cs="Times New Roman"/>
          <w:lang w:val="fr-CA"/>
        </w:rPr>
        <w:lastRenderedPageBreak/>
        <w:t>concurrente donnerait lieu à un résultat déraisonnable ou absurde</w:t>
      </w:r>
      <w:r w:rsidR="006412AC">
        <w:rPr>
          <w:rFonts w:cs="Times New Roman"/>
          <w:lang w:val="fr-CA"/>
        </w:rPr>
        <w:t> » :</w:t>
      </w:r>
      <w:r w:rsidRPr="001A1E08">
        <w:rPr>
          <w:rFonts w:cs="Times New Roman"/>
          <w:lang w:val="fr-CA"/>
        </w:rPr>
        <w:t xml:space="preserve"> par.</w:t>
      </w:r>
      <w:r w:rsidR="006412AC">
        <w:rPr>
          <w:rFonts w:cs="Times New Roman"/>
          <w:lang w:val="fr-CA"/>
        </w:rPr>
        <w:t xml:space="preserve"> </w:t>
      </w:r>
      <w:r w:rsidRPr="001A1E08">
        <w:rPr>
          <w:rFonts w:cs="Times New Roman"/>
          <w:lang w:val="fr-CA"/>
        </w:rPr>
        <w:t>47.  Ce n’est pas un résultat absurde que d’exclure une réparation en particulier — les dommages</w:t>
      </w:r>
      <w:r w:rsidR="006412AC">
        <w:rPr>
          <w:rFonts w:cs="Times New Roman"/>
          <w:lang w:val="fr-CA"/>
        </w:rPr>
        <w:t>-</w:t>
      </w:r>
      <w:r w:rsidRPr="001A1E08">
        <w:rPr>
          <w:rFonts w:cs="Times New Roman"/>
          <w:lang w:val="fr-CA"/>
        </w:rPr>
        <w:t>intérêts — dans le contexte particulier du transport aérien international.</w:t>
      </w:r>
      <w:r w:rsidR="006412AC">
        <w:rPr>
          <w:rFonts w:cs="Times New Roman"/>
          <w:lang w:val="fr-CA"/>
        </w:rPr>
        <w:t xml:space="preserve"> </w:t>
      </w:r>
      <w:r w:rsidRPr="001A1E08">
        <w:rPr>
          <w:rFonts w:cs="Times New Roman"/>
          <w:lang w:val="fr-CA"/>
        </w:rPr>
        <w:t xml:space="preserve"> La question en litige en l’espèce est donc de savoir si les dispositions en cause sont directement contradictoires. </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Il y a </w:t>
      </w:r>
      <w:r w:rsidR="006412AC">
        <w:rPr>
          <w:rFonts w:cs="Times New Roman"/>
          <w:lang w:val="fr-CA"/>
        </w:rPr>
        <w:t>« </w:t>
      </w:r>
      <w:r w:rsidRPr="001A1E08">
        <w:rPr>
          <w:rFonts w:cs="Times New Roman"/>
          <w:lang w:val="fr-CA"/>
        </w:rPr>
        <w:t>contradiction directe</w:t>
      </w:r>
      <w:r w:rsidR="006412AC">
        <w:rPr>
          <w:rFonts w:cs="Times New Roman"/>
          <w:lang w:val="fr-CA"/>
        </w:rPr>
        <w:t> »</w:t>
      </w:r>
      <w:r w:rsidRPr="001A1E08">
        <w:rPr>
          <w:rFonts w:cs="Times New Roman"/>
          <w:lang w:val="fr-CA"/>
        </w:rPr>
        <w:t xml:space="preserve"> si l’application d’une loi exclut celle de l’autre.  Par exemple, dans l’affaire </w:t>
      </w:r>
      <w:proofErr w:type="spellStart"/>
      <w:r w:rsidRPr="001A1E08">
        <w:rPr>
          <w:rFonts w:cs="Times New Roman"/>
          <w:i/>
          <w:lang w:val="fr-CA"/>
        </w:rPr>
        <w:t>Massicotte</w:t>
      </w:r>
      <w:proofErr w:type="spellEnd"/>
      <w:r w:rsidRPr="001A1E08">
        <w:rPr>
          <w:rFonts w:cs="Times New Roman"/>
          <w:i/>
          <w:lang w:val="fr-CA"/>
        </w:rPr>
        <w:t xml:space="preserve"> c. Boutin</w:t>
      </w:r>
      <w:r w:rsidRPr="001A1E08">
        <w:rPr>
          <w:rFonts w:cs="Times New Roman"/>
          <w:lang w:val="fr-CA"/>
        </w:rPr>
        <w:t>, [1969] R.C.S. 818, une loi ne prévoyait la possibilité d’obtenir une prorogation de délai qu’avant l’expiration de ce délai, alors qu’une autre loi prévoyait la possibilité d’obtenir une telle prorogation même après l’expiration du délai.  Il y avait donc conflit direct entre les deux lois quant à la recevabilité d’une demande de prorogation de délai présentée après l’expiration du délai en question</w:t>
      </w:r>
      <w:r w:rsidR="006412AC">
        <w:rPr>
          <w:rFonts w:cs="Times New Roman"/>
          <w:lang w:val="fr-CA"/>
        </w:rPr>
        <w:t> :</w:t>
      </w:r>
      <w:r w:rsidRPr="001A1E08">
        <w:rPr>
          <w:rFonts w:cs="Times New Roman"/>
          <w:lang w:val="fr-CA"/>
        </w:rPr>
        <w:t xml:space="preserve"> p.</w:t>
      </w:r>
      <w:r w:rsidR="006412AC">
        <w:rPr>
          <w:rFonts w:cs="Times New Roman"/>
          <w:lang w:val="fr-CA"/>
        </w:rPr>
        <w:t xml:space="preserve"> </w:t>
      </w:r>
      <w:r w:rsidRPr="001A1E08">
        <w:rPr>
          <w:rFonts w:cs="Times New Roman"/>
          <w:lang w:val="fr-CA"/>
        </w:rPr>
        <w:t xml:space="preserve">820.  De même, dans </w:t>
      </w:r>
      <w:r w:rsidRPr="001A1E08">
        <w:rPr>
          <w:rFonts w:cs="Times New Roman"/>
          <w:i/>
          <w:lang w:val="fr-CA"/>
        </w:rPr>
        <w:t>Lévis</w:t>
      </w:r>
      <w:r w:rsidRPr="001A1E08">
        <w:rPr>
          <w:rFonts w:cs="Times New Roman"/>
          <w:lang w:val="fr-CA"/>
        </w:rPr>
        <w:t xml:space="preserve">, une première disposition exigeait la destitution du policier reconnu coupable d’une infraction criminelle, alors qu’une autre disposition permettait au policier de rester en fonction s’il démontrait l’existence de circonstances particulières.  Pour reprendre les termes employés par le juge </w:t>
      </w:r>
      <w:proofErr w:type="spellStart"/>
      <w:r w:rsidRPr="001A1E08">
        <w:rPr>
          <w:rFonts w:cs="Times New Roman"/>
          <w:lang w:val="fr-CA"/>
        </w:rPr>
        <w:t>Bastarache</w:t>
      </w:r>
      <w:proofErr w:type="spellEnd"/>
      <w:r w:rsidRPr="001A1E08">
        <w:rPr>
          <w:rFonts w:cs="Times New Roman"/>
          <w:lang w:val="fr-CA"/>
        </w:rPr>
        <w:t xml:space="preserve">, une loi disait </w:t>
      </w:r>
      <w:r w:rsidR="006412AC">
        <w:rPr>
          <w:rFonts w:cs="Times New Roman"/>
          <w:lang w:val="fr-CA"/>
        </w:rPr>
        <w:t>« </w:t>
      </w:r>
      <w:r w:rsidRPr="001A1E08">
        <w:rPr>
          <w:rFonts w:cs="Times New Roman"/>
          <w:lang w:val="fr-CA"/>
        </w:rPr>
        <w:t>oui</w:t>
      </w:r>
      <w:r w:rsidR="006412AC">
        <w:rPr>
          <w:rFonts w:cs="Times New Roman"/>
          <w:lang w:val="fr-CA"/>
        </w:rPr>
        <w:t> »</w:t>
      </w:r>
      <w:r w:rsidRPr="001A1E08">
        <w:rPr>
          <w:rFonts w:cs="Times New Roman"/>
          <w:lang w:val="fr-CA"/>
        </w:rPr>
        <w:t xml:space="preserve"> alors que l’autre disait </w:t>
      </w:r>
      <w:r w:rsidR="006412AC">
        <w:rPr>
          <w:rFonts w:cs="Times New Roman"/>
          <w:lang w:val="fr-CA"/>
        </w:rPr>
        <w:t>« </w:t>
      </w:r>
      <w:r w:rsidRPr="001A1E08">
        <w:rPr>
          <w:rFonts w:cs="Times New Roman"/>
          <w:lang w:val="fr-CA"/>
        </w:rPr>
        <w:t>non</w:t>
      </w:r>
      <w:r w:rsidR="006412AC">
        <w:rPr>
          <w:rFonts w:cs="Times New Roman"/>
          <w:lang w:val="fr-CA"/>
        </w:rPr>
        <w:t> » :</w:t>
      </w:r>
      <w:r w:rsidRPr="001A1E08">
        <w:rPr>
          <w:rFonts w:cs="Times New Roman"/>
          <w:lang w:val="fr-CA"/>
        </w:rPr>
        <w:t xml:space="preserve"> par.</w:t>
      </w:r>
      <w:r w:rsidR="006412AC">
        <w:rPr>
          <w:rFonts w:cs="Times New Roman"/>
          <w:lang w:val="fr-CA"/>
        </w:rPr>
        <w:t xml:space="preserve"> </w:t>
      </w:r>
      <w:r w:rsidRPr="001A1E08">
        <w:rPr>
          <w:rFonts w:cs="Times New Roman"/>
          <w:lang w:val="fr-CA"/>
        </w:rPr>
        <w:t>48</w:t>
      </w:r>
      <w:r w:rsidR="006412AC">
        <w:rPr>
          <w:rFonts w:cs="Times New Roman"/>
          <w:lang w:val="fr-CA"/>
        </w:rPr>
        <w:t>-</w:t>
      </w:r>
      <w:r w:rsidRPr="001A1E08">
        <w:rPr>
          <w:rFonts w:cs="Times New Roman"/>
          <w:lang w:val="fr-CA"/>
        </w:rPr>
        <w:t xml:space="preserve">49.  </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Ce n’est pas la situation à laquelle nous avons affaire en l’espèce.  La </w:t>
      </w:r>
      <w:r w:rsidRPr="001A1E08">
        <w:rPr>
          <w:rFonts w:cs="Times New Roman"/>
          <w:i/>
          <w:lang w:val="fr-CA"/>
        </w:rPr>
        <w:t>LLO</w:t>
      </w:r>
      <w:r w:rsidRPr="001A1E08">
        <w:rPr>
          <w:rFonts w:cs="Times New Roman"/>
          <w:lang w:val="fr-CA"/>
        </w:rPr>
        <w:t xml:space="preserve"> ne dispose pas que des dommages</w:t>
      </w:r>
      <w:r w:rsidR="006412AC">
        <w:rPr>
          <w:rFonts w:cs="Times New Roman"/>
          <w:lang w:val="fr-CA"/>
        </w:rPr>
        <w:t>-</w:t>
      </w:r>
      <w:r w:rsidRPr="001A1E08">
        <w:rPr>
          <w:rFonts w:cs="Times New Roman"/>
          <w:lang w:val="fr-CA"/>
        </w:rPr>
        <w:t xml:space="preserve">intérêts doivent être octroyés dans tous les cas; elle ne fait qu’autoriser les tribunaux à accorder une réparation </w:t>
      </w:r>
      <w:r w:rsidR="006412AC">
        <w:rPr>
          <w:rFonts w:cs="Times New Roman"/>
          <w:lang w:val="fr-CA"/>
        </w:rPr>
        <w:t>« </w:t>
      </w:r>
      <w:r w:rsidRPr="001A1E08">
        <w:rPr>
          <w:rFonts w:cs="Times New Roman"/>
          <w:lang w:val="fr-CA"/>
        </w:rPr>
        <w:t>convenable et juste</w:t>
      </w:r>
      <w:r w:rsidR="006412AC">
        <w:rPr>
          <w:rFonts w:cs="Times New Roman"/>
          <w:lang w:val="fr-CA"/>
        </w:rPr>
        <w:t> »</w:t>
      </w:r>
      <w:r w:rsidRPr="001A1E08">
        <w:rPr>
          <w:rFonts w:cs="Times New Roman"/>
          <w:lang w:val="fr-CA"/>
        </w:rPr>
        <w:t>.  L’exclusion des dommages</w:t>
      </w:r>
      <w:r w:rsidR="006412AC">
        <w:rPr>
          <w:rFonts w:cs="Times New Roman"/>
          <w:lang w:val="fr-CA"/>
        </w:rPr>
        <w:t>-</w:t>
      </w:r>
      <w:r w:rsidRPr="001A1E08">
        <w:rPr>
          <w:rFonts w:cs="Times New Roman"/>
          <w:lang w:val="fr-CA"/>
        </w:rPr>
        <w:t xml:space="preserve">intérêts dans le contexte du transport aérien international n’est donc pas en contradiction directe avec le pouvoir de réparation </w:t>
      </w:r>
      <w:r w:rsidRPr="001A1E08">
        <w:rPr>
          <w:rFonts w:cs="Times New Roman"/>
          <w:lang w:val="fr-CA"/>
        </w:rPr>
        <w:lastRenderedPageBreak/>
        <w:t xml:space="preserve">conféré par la </w:t>
      </w:r>
      <w:r w:rsidRPr="001A1E08">
        <w:rPr>
          <w:rFonts w:cs="Times New Roman"/>
          <w:i/>
          <w:lang w:val="fr-CA"/>
        </w:rPr>
        <w:t>LLO</w:t>
      </w:r>
      <w:r w:rsidRPr="001A1E08">
        <w:rPr>
          <w:rFonts w:cs="Times New Roman"/>
          <w:lang w:val="fr-CA"/>
        </w:rPr>
        <w:t xml:space="preserve">. </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La présente affaire n’en est donc pas une de contradiction directe, mais de chevauchement.  Les dispositions réparatrices générales et discrétionnaires de la </w:t>
      </w:r>
      <w:r w:rsidRPr="001A1E08">
        <w:rPr>
          <w:rFonts w:cs="Times New Roman"/>
          <w:i/>
          <w:lang w:val="fr-CA"/>
        </w:rPr>
        <w:t>LLO</w:t>
      </w:r>
      <w:r w:rsidRPr="001A1E08">
        <w:rPr>
          <w:rFonts w:cs="Times New Roman"/>
          <w:lang w:val="fr-CA"/>
        </w:rPr>
        <w:t xml:space="preserve"> permettent au tribunal d’accorder des dommages</w:t>
      </w:r>
      <w:r w:rsidR="006412AC">
        <w:rPr>
          <w:rFonts w:cs="Times New Roman"/>
          <w:lang w:val="fr-CA"/>
        </w:rPr>
        <w:t>-</w:t>
      </w:r>
      <w:r w:rsidRPr="001A1E08">
        <w:rPr>
          <w:rFonts w:cs="Times New Roman"/>
          <w:lang w:val="fr-CA"/>
        </w:rPr>
        <w:t xml:space="preserve">intérêts s’il estime que c’est une réparation convenable et juste eu égard aux circonstances.  La </w:t>
      </w:r>
      <w:r w:rsidRPr="001A1E08">
        <w:rPr>
          <w:rFonts w:cs="Times New Roman"/>
          <w:i/>
          <w:lang w:val="fr-CA"/>
        </w:rPr>
        <w:t>Convention de Montréal</w:t>
      </w:r>
      <w:r w:rsidRPr="001A1E08">
        <w:rPr>
          <w:rFonts w:cs="Times New Roman"/>
          <w:lang w:val="fr-CA"/>
        </w:rPr>
        <w:t>, en revanche, limite les recours en dommages</w:t>
      </w:r>
      <w:r w:rsidR="006412AC">
        <w:rPr>
          <w:rFonts w:cs="Times New Roman"/>
          <w:lang w:val="fr-CA"/>
        </w:rPr>
        <w:t>-</w:t>
      </w:r>
      <w:r w:rsidRPr="001A1E08">
        <w:rPr>
          <w:rFonts w:cs="Times New Roman"/>
          <w:lang w:val="fr-CA"/>
        </w:rPr>
        <w:t>intérêts que peuvent intenter les passagers dans le contexte du transport aérien international.</w:t>
      </w:r>
      <w:r w:rsidR="006412AC">
        <w:rPr>
          <w:rFonts w:cs="Times New Roman"/>
          <w:lang w:val="fr-CA"/>
        </w:rPr>
        <w:t xml:space="preserve"> </w:t>
      </w:r>
      <w:r w:rsidRPr="001A1E08">
        <w:rPr>
          <w:rFonts w:cs="Times New Roman"/>
          <w:lang w:val="fr-CA"/>
        </w:rPr>
        <w:t xml:space="preserve"> Par contre, des dispositions qui se chevauchent ne sont pas nécessairement en conflit.  Deux lois ne sont pas en conflit du seul fait que </w:t>
      </w:r>
      <w:r w:rsidR="006412AC">
        <w:rPr>
          <w:rFonts w:cs="Times New Roman"/>
          <w:lang w:val="fr-CA"/>
        </w:rPr>
        <w:t>« </w:t>
      </w:r>
      <w:r w:rsidRPr="001A1E08">
        <w:rPr>
          <w:rFonts w:cs="Times New Roman"/>
          <w:lang w:val="fr-CA"/>
        </w:rPr>
        <w:t>l’une et l’autre occupent le même champ, traitent de la même matière [ou] s’appliquent au même objet</w:t>
      </w:r>
      <w:r w:rsidR="006412AC">
        <w:rPr>
          <w:rFonts w:cs="Times New Roman"/>
          <w:lang w:val="fr-CA"/>
        </w:rPr>
        <w:t> » :</w:t>
      </w:r>
      <w:r w:rsidRPr="001A1E08">
        <w:rPr>
          <w:rFonts w:cs="Times New Roman"/>
          <w:lang w:val="fr-CA"/>
        </w:rPr>
        <w:t xml:space="preserve"> Côté (4</w:t>
      </w:r>
      <w:r w:rsidRPr="001A1E08">
        <w:rPr>
          <w:rFonts w:cs="Times New Roman"/>
          <w:vertAlign w:val="superscript"/>
          <w:lang w:val="fr-CA"/>
        </w:rPr>
        <w:t>e</w:t>
      </w:r>
      <w:r w:rsidR="006412AC">
        <w:rPr>
          <w:rFonts w:cs="Times New Roman"/>
          <w:lang w:val="fr-CA"/>
        </w:rPr>
        <w:t xml:space="preserve"> </w:t>
      </w:r>
      <w:r w:rsidRPr="001A1E08">
        <w:rPr>
          <w:rFonts w:cs="Times New Roman"/>
          <w:lang w:val="fr-CA"/>
        </w:rPr>
        <w:t>éd.), p.</w:t>
      </w:r>
      <w:r w:rsidR="006412AC">
        <w:rPr>
          <w:rFonts w:cs="Times New Roman"/>
          <w:lang w:val="fr-CA"/>
        </w:rPr>
        <w:t xml:space="preserve"> </w:t>
      </w:r>
      <w:r w:rsidRPr="001A1E08">
        <w:rPr>
          <w:rFonts w:cs="Times New Roman"/>
          <w:lang w:val="fr-CA"/>
        </w:rPr>
        <w:t xml:space="preserve">407; </w:t>
      </w:r>
      <w:r w:rsidRPr="001A1E08">
        <w:rPr>
          <w:rFonts w:cs="Times New Roman"/>
          <w:i/>
          <w:lang w:val="fr-CA"/>
        </w:rPr>
        <w:t xml:space="preserve">Toronto </w:t>
      </w:r>
      <w:proofErr w:type="spellStart"/>
      <w:r w:rsidRPr="001A1E08">
        <w:rPr>
          <w:rFonts w:cs="Times New Roman"/>
          <w:i/>
          <w:lang w:val="fr-CA"/>
        </w:rPr>
        <w:t>Railway</w:t>
      </w:r>
      <w:proofErr w:type="spellEnd"/>
      <w:r w:rsidRPr="001A1E08">
        <w:rPr>
          <w:rFonts w:cs="Times New Roman"/>
          <w:lang w:val="fr-CA"/>
        </w:rPr>
        <w:t>, p.</w:t>
      </w:r>
      <w:r w:rsidR="006412AC">
        <w:rPr>
          <w:rFonts w:cs="Times New Roman"/>
          <w:lang w:val="fr-CA"/>
        </w:rPr>
        <w:t xml:space="preserve"> </w:t>
      </w:r>
      <w:r w:rsidRPr="001A1E08">
        <w:rPr>
          <w:rFonts w:cs="Times New Roman"/>
          <w:lang w:val="fr-CA"/>
        </w:rPr>
        <w:t>499.  Si les lois qui se chevauchent peuvent toutes deux s’appliquer, on présume qu’elles sont censées s’appliquer, et [</w:t>
      </w:r>
      <w:r w:rsidRPr="001A1E08">
        <w:rPr>
          <w:rFonts w:cs="Times New Roman"/>
          <w:smallCaps/>
          <w:lang w:val="fr-CA"/>
        </w:rPr>
        <w:t>traduction</w:t>
      </w:r>
      <w:r w:rsidRPr="001A1E08">
        <w:rPr>
          <w:rFonts w:cs="Times New Roman"/>
          <w:lang w:val="fr-CA"/>
        </w:rPr>
        <w:t xml:space="preserve">] </w:t>
      </w:r>
      <w:r w:rsidR="006412AC">
        <w:rPr>
          <w:rFonts w:cs="Times New Roman"/>
          <w:lang w:val="fr-CA"/>
        </w:rPr>
        <w:t>« </w:t>
      </w:r>
      <w:r w:rsidRPr="001A1E08">
        <w:rPr>
          <w:rFonts w:cs="Times New Roman"/>
          <w:lang w:val="fr-CA"/>
        </w:rPr>
        <w:t>[i]l ne reste au tribunal qu’à déterminer si la présomption est réfutée par la preuve qu’une des dispositions visait à énoncer de manière exhaustive le droit applicable</w:t>
      </w:r>
      <w:r w:rsidR="006412AC">
        <w:rPr>
          <w:rFonts w:cs="Times New Roman"/>
          <w:lang w:val="fr-CA"/>
        </w:rPr>
        <w:t> » :</w:t>
      </w:r>
      <w:r w:rsidRPr="001A1E08">
        <w:rPr>
          <w:rFonts w:cs="Times New Roman"/>
          <w:lang w:val="fr-CA"/>
        </w:rPr>
        <w:t xml:space="preserve"> Sullivan, p.</w:t>
      </w:r>
      <w:r w:rsidR="006412AC">
        <w:rPr>
          <w:rFonts w:cs="Times New Roman"/>
          <w:lang w:val="fr-CA"/>
        </w:rPr>
        <w:t xml:space="preserve"> </w:t>
      </w:r>
      <w:r w:rsidRPr="001A1E08">
        <w:rPr>
          <w:rFonts w:cs="Times New Roman"/>
          <w:lang w:val="fr-CA"/>
        </w:rPr>
        <w:t xml:space="preserve">326. </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Les tribunaux s’efforcent, dans leur interprétation de dispositions qui se chevauchent, de ne pas conclure qu’elles sont en conflit.  Comme l’a dit le juge </w:t>
      </w:r>
      <w:proofErr w:type="spellStart"/>
      <w:r w:rsidRPr="001A1E08">
        <w:rPr>
          <w:rFonts w:cs="Times New Roman"/>
          <w:lang w:val="fr-CA"/>
        </w:rPr>
        <w:t>Bastarache</w:t>
      </w:r>
      <w:proofErr w:type="spellEnd"/>
      <w:r w:rsidRPr="001A1E08">
        <w:rPr>
          <w:rFonts w:cs="Times New Roman"/>
          <w:lang w:val="fr-CA"/>
        </w:rPr>
        <w:t xml:space="preserve"> dans l’arrêt </w:t>
      </w:r>
      <w:r w:rsidRPr="001A1E08">
        <w:rPr>
          <w:rFonts w:cs="Times New Roman"/>
          <w:i/>
          <w:lang w:val="fr-CA"/>
        </w:rPr>
        <w:t>Lévis</w:t>
      </w:r>
      <w:r w:rsidRPr="001A1E08">
        <w:rPr>
          <w:rFonts w:cs="Times New Roman"/>
          <w:lang w:val="fr-CA"/>
        </w:rPr>
        <w:t xml:space="preserve">, </w:t>
      </w:r>
      <w:r w:rsidR="006412AC">
        <w:rPr>
          <w:rFonts w:cs="Times New Roman"/>
          <w:lang w:val="fr-CA"/>
        </w:rPr>
        <w:t>« </w:t>
      </w:r>
      <w:r w:rsidRPr="001A1E08">
        <w:rPr>
          <w:rFonts w:cs="Times New Roman"/>
          <w:lang w:val="fr-CA"/>
        </w:rPr>
        <w:t xml:space="preserve">une interprétation qui donne lieu à un conflit devrait </w:t>
      </w:r>
      <w:r w:rsidR="00DB0DDE">
        <w:rPr>
          <w:rFonts w:cs="Times New Roman"/>
          <w:lang w:val="fr-CA"/>
        </w:rPr>
        <w:t>être évitée dans la</w:t>
      </w:r>
      <w:r w:rsidRPr="001A1E08">
        <w:rPr>
          <w:rFonts w:cs="Times New Roman"/>
          <w:lang w:val="fr-CA"/>
        </w:rPr>
        <w:t xml:space="preserve"> mesure du possible</w:t>
      </w:r>
      <w:r w:rsidR="006412AC">
        <w:rPr>
          <w:rFonts w:cs="Times New Roman"/>
          <w:lang w:val="fr-CA"/>
        </w:rPr>
        <w:t> »</w:t>
      </w:r>
      <w:r w:rsidRPr="001A1E08">
        <w:rPr>
          <w:rFonts w:cs="Times New Roman"/>
          <w:lang w:val="fr-CA"/>
        </w:rPr>
        <w:t xml:space="preserve"> (par.</w:t>
      </w:r>
      <w:r w:rsidR="006412AC">
        <w:rPr>
          <w:rFonts w:cs="Times New Roman"/>
          <w:lang w:val="fr-CA"/>
        </w:rPr>
        <w:t xml:space="preserve"> </w:t>
      </w:r>
      <w:r w:rsidRPr="001A1E08">
        <w:rPr>
          <w:rFonts w:cs="Times New Roman"/>
          <w:lang w:val="fr-CA"/>
        </w:rPr>
        <w:t xml:space="preserve">47).  Les tribunaux hésitent donc à juger que des dispositions de portée générale sont censées énoncer de manière exhaustive le droit applicable si cette conclusion a pour effet de créer un conflit plutôt que de l’éviter.  Par exemple, si des dispositions qui se chevauchent ont des objets différents ou traitent d’aspects différents, les tribunaux concluront en général à l’absence de </w:t>
      </w:r>
      <w:r w:rsidRPr="001A1E08">
        <w:rPr>
          <w:rFonts w:cs="Times New Roman"/>
          <w:lang w:val="fr-CA"/>
        </w:rPr>
        <w:lastRenderedPageBreak/>
        <w:t>conflit entre elles</w:t>
      </w:r>
      <w:r w:rsidR="006412AC">
        <w:rPr>
          <w:rFonts w:cs="Times New Roman"/>
          <w:lang w:val="fr-CA"/>
        </w:rPr>
        <w:t> :</w:t>
      </w:r>
      <w:r w:rsidRPr="001A1E08">
        <w:rPr>
          <w:rFonts w:cs="Times New Roman"/>
          <w:lang w:val="fr-CA"/>
        </w:rPr>
        <w:t xml:space="preserve"> Sullivan, p.</w:t>
      </w:r>
      <w:r w:rsidR="006412AC">
        <w:rPr>
          <w:rFonts w:cs="Times New Roman"/>
          <w:lang w:val="fr-CA"/>
        </w:rPr>
        <w:t xml:space="preserve"> </w:t>
      </w:r>
      <w:r w:rsidRPr="001A1E08">
        <w:rPr>
          <w:rFonts w:cs="Times New Roman"/>
          <w:lang w:val="fr-CA"/>
        </w:rPr>
        <w:t>328.  Comme l’explique le professeur Côté, le tribunal doit considérer l’objet de la loi afin de déterminer si, en l’occurrence, l’adoption d’une norme peut s’interpréter comme l’exclusion de toute autre</w:t>
      </w:r>
      <w:r w:rsidR="006412AC">
        <w:rPr>
          <w:rFonts w:cs="Times New Roman"/>
          <w:lang w:val="fr-CA"/>
        </w:rPr>
        <w:t> :</w:t>
      </w:r>
      <w:r w:rsidRPr="001A1E08">
        <w:rPr>
          <w:rFonts w:cs="Times New Roman"/>
          <w:lang w:val="fr-CA"/>
        </w:rPr>
        <w:t xml:space="preserve"> 4</w:t>
      </w:r>
      <w:r w:rsidRPr="001A1E08">
        <w:rPr>
          <w:rFonts w:cs="Times New Roman"/>
          <w:vertAlign w:val="superscript"/>
          <w:lang w:val="fr-CA"/>
        </w:rPr>
        <w:t>e</w:t>
      </w:r>
      <w:r w:rsidR="006412AC">
        <w:rPr>
          <w:rFonts w:cs="Times New Roman"/>
          <w:lang w:val="fr-CA"/>
        </w:rPr>
        <w:t xml:space="preserve"> </w:t>
      </w:r>
      <w:r w:rsidRPr="001A1E08">
        <w:rPr>
          <w:rFonts w:cs="Times New Roman"/>
          <w:lang w:val="fr-CA"/>
        </w:rPr>
        <w:t>éd., p.</w:t>
      </w:r>
      <w:r w:rsidR="006412AC">
        <w:rPr>
          <w:rFonts w:cs="Times New Roman"/>
          <w:lang w:val="fr-CA"/>
        </w:rPr>
        <w:t xml:space="preserve"> </w:t>
      </w:r>
      <w:r w:rsidRPr="001A1E08">
        <w:rPr>
          <w:rFonts w:cs="Times New Roman"/>
          <w:lang w:val="fr-CA"/>
        </w:rPr>
        <w:t>410</w:t>
      </w:r>
      <w:r w:rsidR="006412AC">
        <w:rPr>
          <w:rFonts w:cs="Times New Roman"/>
          <w:lang w:val="fr-CA"/>
        </w:rPr>
        <w:t>-</w:t>
      </w:r>
      <w:r w:rsidRPr="001A1E08">
        <w:rPr>
          <w:rFonts w:cs="Times New Roman"/>
          <w:lang w:val="fr-CA"/>
        </w:rPr>
        <w:t>411.</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Je m’arrête ici un moment pour dire que les deux lois prétendument en conflit en l’espèce ont des objets sensiblement différents et traitent de matières distinctes.  Les dispositions réparatrices de la </w:t>
      </w:r>
      <w:r w:rsidRPr="001A1E08">
        <w:rPr>
          <w:rFonts w:cs="Times New Roman"/>
          <w:i/>
          <w:lang w:val="fr-CA"/>
        </w:rPr>
        <w:t>LLO</w:t>
      </w:r>
      <w:r w:rsidRPr="001A1E08">
        <w:rPr>
          <w:rFonts w:cs="Times New Roman"/>
          <w:lang w:val="fr-CA"/>
        </w:rPr>
        <w:t xml:space="preserve"> s’inscrivent dans un régime général d’obligations et de mécanismes visant à préserver et à renforcer l’épanouissement des langues officielles au sein de nos institutions fédérales.  Elles ne s’appliquent qu’à une seule compagnie aérienne, Air Canada.  La </w:t>
      </w:r>
      <w:r w:rsidRPr="001A1E08">
        <w:rPr>
          <w:rFonts w:cs="Times New Roman"/>
          <w:i/>
          <w:lang w:val="fr-CA"/>
        </w:rPr>
        <w:t>Convention de Montréal</w:t>
      </w:r>
      <w:r w:rsidRPr="001A1E08">
        <w:rPr>
          <w:rFonts w:cs="Times New Roman"/>
          <w:lang w:val="fr-CA"/>
        </w:rPr>
        <w:t>, en revanche, fait partie d’un régime uniforme et exclusif, reconnu internationalement, qui vise à encadrer les recours en dommages</w:t>
      </w:r>
      <w:r w:rsidR="006412AC">
        <w:rPr>
          <w:rFonts w:cs="Times New Roman"/>
          <w:lang w:val="fr-CA"/>
        </w:rPr>
        <w:t>-</w:t>
      </w:r>
      <w:r w:rsidRPr="001A1E08">
        <w:rPr>
          <w:rFonts w:cs="Times New Roman"/>
          <w:lang w:val="fr-CA"/>
        </w:rPr>
        <w:t>intérêts dans le domaine du transport aérien international.</w:t>
      </w:r>
      <w:r w:rsidR="006412AC">
        <w:rPr>
          <w:rFonts w:cs="Times New Roman"/>
          <w:lang w:val="fr-CA"/>
        </w:rPr>
        <w:t xml:space="preserve"> </w:t>
      </w:r>
      <w:r w:rsidRPr="001A1E08">
        <w:rPr>
          <w:rFonts w:cs="Times New Roman"/>
          <w:lang w:val="fr-CA"/>
        </w:rPr>
        <w:t xml:space="preserve"> Puisque les objets et champs d’application de ces deux régimes sont radicalement différents, nous devrions hésiter à conclure qu’il existe un conflit au sujet de la question précise sur laquelle ils se chevauchent.  Il sera utile d’examiner brièvement trois arrêts de la Cour portant sur des dispositions qui se chevauchent afin de voir comment ces principes s’appliquent dans certains cas précis.</w:t>
      </w:r>
    </w:p>
    <w:p w:rsidR="00367456" w:rsidRPr="001A1E08" w:rsidRDefault="00367456" w:rsidP="00A12DCE">
      <w:pPr>
        <w:pStyle w:val="Title3LevelTitre3Niveau"/>
        <w:widowControl w:val="0"/>
        <w:rPr>
          <w:rFonts w:cs="Times New Roman"/>
          <w:lang w:val="fr-CA"/>
        </w:rPr>
      </w:pPr>
      <w:r w:rsidRPr="001A1E08">
        <w:rPr>
          <w:rFonts w:cs="Times New Roman"/>
          <w:lang w:val="fr-CA"/>
        </w:rPr>
        <w:t>La jurisprudence</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Dans l’affaire </w:t>
      </w:r>
      <w:r w:rsidRPr="001A1E08">
        <w:rPr>
          <w:rFonts w:cs="Times New Roman"/>
          <w:i/>
          <w:lang w:val="fr-CA"/>
        </w:rPr>
        <w:t>The King c. Williams</w:t>
      </w:r>
      <w:r w:rsidRPr="001A1E08">
        <w:rPr>
          <w:rFonts w:cs="Times New Roman"/>
          <w:lang w:val="fr-CA"/>
        </w:rPr>
        <w:t>, [1944] R.C.S. 226, M.</w:t>
      </w:r>
      <w:r w:rsidR="006412AC">
        <w:rPr>
          <w:rFonts w:cs="Times New Roman"/>
          <w:lang w:val="fr-CA"/>
        </w:rPr>
        <w:t xml:space="preserve"> </w:t>
      </w:r>
      <w:r w:rsidRPr="001A1E08">
        <w:rPr>
          <w:rFonts w:cs="Times New Roman"/>
          <w:lang w:val="fr-CA"/>
        </w:rPr>
        <w:t>Williams s’est vu infliger une amende après avoir été reconnu coupable en vertu de l’</w:t>
      </w:r>
      <w:r w:rsidRPr="001A1E08">
        <w:rPr>
          <w:rFonts w:cs="Times New Roman"/>
          <w:i/>
          <w:lang w:val="fr-CA"/>
        </w:rPr>
        <w:t>Ordonnance sur le contrôle du change étranger</w:t>
      </w:r>
      <w:r w:rsidRPr="001A1E08">
        <w:rPr>
          <w:rFonts w:cs="Times New Roman"/>
          <w:lang w:val="fr-CA"/>
        </w:rPr>
        <w:t>, C.P.</w:t>
      </w:r>
      <w:r w:rsidR="006412AC">
        <w:rPr>
          <w:rFonts w:cs="Times New Roman"/>
          <w:lang w:val="fr-CA"/>
        </w:rPr>
        <w:t xml:space="preserve"> </w:t>
      </w:r>
      <w:r w:rsidRPr="001A1E08">
        <w:rPr>
          <w:rFonts w:cs="Times New Roman"/>
          <w:lang w:val="fr-CA"/>
        </w:rPr>
        <w:t xml:space="preserve">7378, prise en application de </w:t>
      </w:r>
      <w:r w:rsidRPr="001A1E08">
        <w:rPr>
          <w:rFonts w:cs="Times New Roman"/>
          <w:lang w:val="fr-CA"/>
        </w:rPr>
        <w:lastRenderedPageBreak/>
        <w:t xml:space="preserve">la </w:t>
      </w:r>
      <w:r w:rsidRPr="001A1E08">
        <w:rPr>
          <w:rFonts w:cs="Times New Roman"/>
          <w:i/>
          <w:lang w:val="fr-CA"/>
        </w:rPr>
        <w:t>Loi des mesures de guerre</w:t>
      </w:r>
      <w:r w:rsidR="00DB0DDE">
        <w:rPr>
          <w:rFonts w:cs="Times New Roman"/>
          <w:lang w:val="fr-CA"/>
        </w:rPr>
        <w:t>, S</w:t>
      </w:r>
      <w:r w:rsidRPr="001A1E08">
        <w:rPr>
          <w:rFonts w:cs="Times New Roman"/>
          <w:lang w:val="fr-CA"/>
        </w:rPr>
        <w:t>.R.C. 1927, ch.</w:t>
      </w:r>
      <w:r w:rsidR="006412AC">
        <w:rPr>
          <w:rFonts w:cs="Times New Roman"/>
          <w:lang w:val="fr-CA"/>
        </w:rPr>
        <w:t xml:space="preserve"> </w:t>
      </w:r>
      <w:r w:rsidRPr="001A1E08">
        <w:rPr>
          <w:rFonts w:cs="Times New Roman"/>
          <w:lang w:val="fr-CA"/>
        </w:rPr>
        <w:t xml:space="preserve">206, pour avoir tenté d’exporter sans permis une certaine quantité d’or du Canada.  Durant la procédure de confiscation de l’or engagée contre lui, il a plaidé que l’exportation d’or était visée par la </w:t>
      </w:r>
      <w:r w:rsidRPr="001A1E08">
        <w:rPr>
          <w:rFonts w:cs="Times New Roman"/>
          <w:i/>
          <w:lang w:val="fr-CA"/>
        </w:rPr>
        <w:t>Loi sur l’exportation de l’or</w:t>
      </w:r>
      <w:r w:rsidR="00DB0DDE">
        <w:rPr>
          <w:rFonts w:cs="Times New Roman"/>
          <w:lang w:val="fr-CA"/>
        </w:rPr>
        <w:t>, S</w:t>
      </w:r>
      <w:r w:rsidRPr="001A1E08">
        <w:rPr>
          <w:rFonts w:cs="Times New Roman"/>
          <w:lang w:val="fr-CA"/>
        </w:rPr>
        <w:t>.C. 1932, ch.</w:t>
      </w:r>
      <w:r w:rsidR="006412AC">
        <w:rPr>
          <w:rFonts w:cs="Times New Roman"/>
          <w:lang w:val="fr-CA"/>
        </w:rPr>
        <w:t xml:space="preserve"> </w:t>
      </w:r>
      <w:r w:rsidRPr="001A1E08">
        <w:rPr>
          <w:rFonts w:cs="Times New Roman"/>
          <w:lang w:val="fr-CA"/>
        </w:rPr>
        <w:t xml:space="preserve">33, qui </w:t>
      </w:r>
      <w:r w:rsidRPr="001A1E08">
        <w:rPr>
          <w:rFonts w:cs="Times New Roman"/>
          <w:i/>
          <w:lang w:val="fr-CA"/>
        </w:rPr>
        <w:t>n’</w:t>
      </w:r>
      <w:r w:rsidRPr="001A1E08">
        <w:rPr>
          <w:rFonts w:cs="Times New Roman"/>
          <w:lang w:val="fr-CA"/>
        </w:rPr>
        <w:t xml:space="preserve">en prévoyait </w:t>
      </w:r>
      <w:r w:rsidRPr="001A1E08">
        <w:rPr>
          <w:rFonts w:cs="Times New Roman"/>
          <w:i/>
          <w:lang w:val="fr-CA"/>
        </w:rPr>
        <w:t>pas</w:t>
      </w:r>
      <w:r w:rsidRPr="001A1E08">
        <w:rPr>
          <w:rFonts w:cs="Times New Roman"/>
          <w:lang w:val="fr-CA"/>
        </w:rPr>
        <w:t xml:space="preserve"> la confiscation.  Par conséquent, selon lui, il était impossible de procéder à une confiscation dans les cas d’exportation d’or en contravention de l’</w:t>
      </w:r>
      <w:r w:rsidRPr="001A1E08">
        <w:rPr>
          <w:rFonts w:cs="Times New Roman"/>
          <w:i/>
          <w:lang w:val="fr-CA"/>
        </w:rPr>
        <w:t>Ordonnance sur le contrôle du change étranger</w:t>
      </w:r>
      <w:r w:rsidRPr="001A1E08">
        <w:rPr>
          <w:rFonts w:cs="Times New Roman"/>
          <w:lang w:val="fr-CA"/>
        </w:rPr>
        <w:t>.</w:t>
      </w:r>
      <w:r w:rsidRPr="001A1E08">
        <w:rPr>
          <w:rFonts w:cs="Times New Roman"/>
          <w:i/>
          <w:lang w:val="fr-CA"/>
        </w:rPr>
        <w:t xml:space="preserve"> </w:t>
      </w:r>
      <w:r w:rsidRPr="001A1E08">
        <w:rPr>
          <w:rFonts w:cs="Times New Roman"/>
          <w:lang w:val="fr-CA"/>
        </w:rPr>
        <w:t xml:space="preserve"> Il a prétendu dans les faits que la </w:t>
      </w:r>
      <w:r w:rsidRPr="001A1E08">
        <w:rPr>
          <w:rFonts w:cs="Times New Roman"/>
          <w:i/>
          <w:lang w:val="fr-CA"/>
        </w:rPr>
        <w:t>Loi sur l’exportation de l’or</w:t>
      </w:r>
      <w:r w:rsidRPr="001A1E08">
        <w:rPr>
          <w:rFonts w:cs="Times New Roman"/>
          <w:lang w:val="fr-CA"/>
        </w:rPr>
        <w:t xml:space="preserve"> traitait de manière exhaustive et exclusive des conséquences d’une tentative d’exporter de l’or du Canada.  Cette prétention a été rejetée par les juges majoritaires de la Cour.  Ce point ressort peut</w:t>
      </w:r>
      <w:r w:rsidR="006412AC">
        <w:rPr>
          <w:rFonts w:cs="Times New Roman"/>
          <w:lang w:val="fr-CA"/>
        </w:rPr>
        <w:t>-</w:t>
      </w:r>
      <w:r w:rsidR="00DB0DDE">
        <w:rPr>
          <w:rFonts w:cs="Times New Roman"/>
          <w:lang w:val="fr-CA"/>
        </w:rPr>
        <w:t>être le plus clairement d</w:t>
      </w:r>
      <w:r w:rsidRPr="001A1E08">
        <w:rPr>
          <w:rFonts w:cs="Times New Roman"/>
          <w:lang w:val="fr-CA"/>
        </w:rPr>
        <w:t>es motifs concordants du juge Hudson, à la p.</w:t>
      </w:r>
      <w:r w:rsidR="006412AC">
        <w:rPr>
          <w:rFonts w:cs="Times New Roman"/>
          <w:lang w:val="fr-CA"/>
        </w:rPr>
        <w:t xml:space="preserve"> </w:t>
      </w:r>
      <w:r w:rsidRPr="001A1E08">
        <w:rPr>
          <w:rFonts w:cs="Times New Roman"/>
          <w:lang w:val="fr-CA"/>
        </w:rPr>
        <w:t>240</w:t>
      </w:r>
      <w:r w:rsidR="006412AC">
        <w:rPr>
          <w:rFonts w:cs="Times New Roman"/>
          <w:lang w:val="fr-CA"/>
        </w:rPr>
        <w:t> :</w:t>
      </w:r>
    </w:p>
    <w:p w:rsidR="00367456" w:rsidRPr="001A1E08" w:rsidRDefault="00367456" w:rsidP="00A12DCE">
      <w:pPr>
        <w:pStyle w:val="Citation-AltC"/>
        <w:widowControl w:val="0"/>
        <w:ind w:hanging="1166"/>
        <w:rPr>
          <w:lang w:val="fr-CA"/>
        </w:rPr>
      </w:pPr>
      <w:r w:rsidRPr="001A1E08">
        <w:rPr>
          <w:lang w:val="fr-CA"/>
        </w:rPr>
        <w:tab/>
      </w:r>
      <w:r w:rsidR="00952377">
        <w:rPr>
          <w:lang w:val="fr-CA"/>
        </w:rPr>
        <w:tab/>
      </w:r>
      <w:r w:rsidRPr="001A1E08">
        <w:rPr>
          <w:lang w:val="fr-CA"/>
        </w:rPr>
        <w:t>[</w:t>
      </w:r>
      <w:r w:rsidRPr="001A1E08">
        <w:rPr>
          <w:smallCaps/>
          <w:lang w:val="fr-CA"/>
        </w:rPr>
        <w:t>traduction</w:t>
      </w:r>
      <w:r w:rsidRPr="001A1E08">
        <w:rPr>
          <w:lang w:val="fr-CA"/>
        </w:rPr>
        <w:t>]  Il n’y a en l’espèce aucune incompatibilité.  Deux mesures ont été prises à des fins différentes et doivent être appliquées par des organes différents de l’État.  L’</w:t>
      </w:r>
      <w:r w:rsidRPr="001A1E08">
        <w:rPr>
          <w:i/>
          <w:lang w:val="fr-CA"/>
        </w:rPr>
        <w:t>Ordonnance sur le contrôle du change étranger</w:t>
      </w:r>
      <w:r w:rsidRPr="001A1E08">
        <w:rPr>
          <w:lang w:val="fr-CA"/>
        </w:rPr>
        <w:t xml:space="preserve"> est très exhaustive en ce qu’elle régit tout le domaine de la monnaie, des valeurs mobilières et des marchandises.  </w:t>
      </w:r>
      <w:r w:rsidRPr="001A1E08">
        <w:rPr>
          <w:u w:val="single"/>
          <w:lang w:val="fr-CA"/>
        </w:rPr>
        <w:t xml:space="preserve">Je ne crois pas que la Cour pourrait à bon droit y voir une intention d’exclure de la </w:t>
      </w:r>
      <w:r w:rsidR="006412AC">
        <w:rPr>
          <w:u w:val="single"/>
          <w:lang w:val="fr-CA"/>
        </w:rPr>
        <w:t>« </w:t>
      </w:r>
      <w:r w:rsidRPr="001A1E08">
        <w:rPr>
          <w:u w:val="single"/>
          <w:lang w:val="fr-CA"/>
        </w:rPr>
        <w:t>monnaie</w:t>
      </w:r>
      <w:r w:rsidR="006412AC">
        <w:rPr>
          <w:u w:val="single"/>
          <w:lang w:val="fr-CA"/>
        </w:rPr>
        <w:t> »</w:t>
      </w:r>
      <w:r w:rsidRPr="001A1E08">
        <w:rPr>
          <w:u w:val="single"/>
          <w:lang w:val="fr-CA"/>
        </w:rPr>
        <w:t xml:space="preserve"> les pièces d’or, et des </w:t>
      </w:r>
      <w:r w:rsidR="006412AC">
        <w:rPr>
          <w:u w:val="single"/>
          <w:lang w:val="fr-CA"/>
        </w:rPr>
        <w:t>« </w:t>
      </w:r>
      <w:r w:rsidRPr="001A1E08">
        <w:rPr>
          <w:u w:val="single"/>
          <w:lang w:val="fr-CA"/>
        </w:rPr>
        <w:t>marchandises</w:t>
      </w:r>
      <w:r w:rsidR="006412AC">
        <w:rPr>
          <w:u w:val="single"/>
          <w:lang w:val="fr-CA"/>
        </w:rPr>
        <w:t> »</w:t>
      </w:r>
      <w:r w:rsidRPr="001A1E08">
        <w:rPr>
          <w:u w:val="single"/>
          <w:lang w:val="fr-CA"/>
        </w:rPr>
        <w:t xml:space="preserve"> l’or fin, lequel</w:t>
      </w:r>
      <w:r>
        <w:rPr>
          <w:u w:val="single"/>
          <w:lang w:val="fr-CA"/>
        </w:rPr>
        <w:t xml:space="preserve"> </w:t>
      </w:r>
      <w:r w:rsidRPr="001A1E08">
        <w:rPr>
          <w:u w:val="single"/>
          <w:lang w:val="fr-CA"/>
        </w:rPr>
        <w:t>détermine la valeur nominale de la monnaie et des obligations monétaires.</w:t>
      </w:r>
      <w:r w:rsidRPr="001A1E08">
        <w:rPr>
          <w:lang w:val="fr-CA"/>
        </w:rPr>
        <w:t xml:space="preserve"> [Je souligne.]</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Il y a un parallèle évident entre l’affaire </w:t>
      </w:r>
      <w:r w:rsidRPr="001A1E08">
        <w:rPr>
          <w:rFonts w:cs="Times New Roman"/>
          <w:i/>
          <w:lang w:val="fr-CA"/>
        </w:rPr>
        <w:t xml:space="preserve">Williams </w:t>
      </w:r>
      <w:r w:rsidRPr="001A1E08">
        <w:rPr>
          <w:rFonts w:cs="Times New Roman"/>
          <w:lang w:val="fr-CA"/>
        </w:rPr>
        <w:t xml:space="preserve">et la présente espèce.  Les deux dispositions ont été adoptées à des fins très différentes, comme nous l’avons vu.  La </w:t>
      </w:r>
      <w:r w:rsidRPr="001A1E08">
        <w:rPr>
          <w:rFonts w:cs="Times New Roman"/>
          <w:i/>
          <w:lang w:val="fr-CA"/>
        </w:rPr>
        <w:t>Convention de Montréal</w:t>
      </w:r>
      <w:r w:rsidRPr="001A1E08">
        <w:rPr>
          <w:rFonts w:cs="Times New Roman"/>
          <w:lang w:val="fr-CA"/>
        </w:rPr>
        <w:t xml:space="preserve"> établit un régime </w:t>
      </w:r>
      <w:r w:rsidR="006412AC">
        <w:rPr>
          <w:rFonts w:cs="Times New Roman"/>
          <w:lang w:val="fr-CA"/>
        </w:rPr>
        <w:t>« </w:t>
      </w:r>
      <w:r w:rsidRPr="001A1E08">
        <w:rPr>
          <w:rFonts w:cs="Times New Roman"/>
          <w:lang w:val="fr-CA"/>
        </w:rPr>
        <w:t>très complet</w:t>
      </w:r>
      <w:r w:rsidR="006412AC">
        <w:rPr>
          <w:rFonts w:cs="Times New Roman"/>
          <w:lang w:val="fr-CA"/>
        </w:rPr>
        <w:t> »</w:t>
      </w:r>
      <w:r w:rsidRPr="001A1E08">
        <w:rPr>
          <w:rFonts w:cs="Times New Roman"/>
          <w:lang w:val="fr-CA"/>
        </w:rPr>
        <w:t xml:space="preserve"> qui encadre les recours en dommages</w:t>
      </w:r>
      <w:r w:rsidR="006412AC">
        <w:rPr>
          <w:rFonts w:cs="Times New Roman"/>
          <w:lang w:val="fr-CA"/>
        </w:rPr>
        <w:t>-</w:t>
      </w:r>
      <w:r w:rsidRPr="001A1E08">
        <w:rPr>
          <w:rFonts w:cs="Times New Roman"/>
          <w:lang w:val="fr-CA"/>
        </w:rPr>
        <w:t xml:space="preserve">intérêts dans le domaine du transport aérien international.  Les dispositions réparatrices de la </w:t>
      </w:r>
      <w:r w:rsidRPr="001A1E08">
        <w:rPr>
          <w:rFonts w:cs="Times New Roman"/>
          <w:i/>
          <w:lang w:val="fr-CA"/>
        </w:rPr>
        <w:t>LLO</w:t>
      </w:r>
      <w:r w:rsidRPr="001A1E08">
        <w:rPr>
          <w:rFonts w:cs="Times New Roman"/>
          <w:lang w:val="fr-CA"/>
        </w:rPr>
        <w:t xml:space="preserve">, en revanche, sont de portée très générale et ne peuvent pas vraiment être considérées comme prescrivant que chaque manquement </w:t>
      </w:r>
      <w:r w:rsidRPr="001A1E08">
        <w:rPr>
          <w:rFonts w:cs="Times New Roman"/>
          <w:lang w:val="fr-CA"/>
        </w:rPr>
        <w:lastRenderedPageBreak/>
        <w:t>ouvre droit à des dommages</w:t>
      </w:r>
      <w:r w:rsidR="006412AC">
        <w:rPr>
          <w:rFonts w:cs="Times New Roman"/>
          <w:lang w:val="fr-CA"/>
        </w:rPr>
        <w:t>-</w:t>
      </w:r>
      <w:r w:rsidRPr="001A1E08">
        <w:rPr>
          <w:rFonts w:cs="Times New Roman"/>
          <w:lang w:val="fr-CA"/>
        </w:rPr>
        <w:t xml:space="preserve">intérêts.  Selon le raisonnement adopté dans l’arrêt </w:t>
      </w:r>
      <w:r w:rsidRPr="001A1E08">
        <w:rPr>
          <w:rFonts w:cs="Times New Roman"/>
          <w:i/>
          <w:lang w:val="fr-CA"/>
        </w:rPr>
        <w:t>Williams</w:t>
      </w:r>
      <w:r w:rsidRPr="001A1E08">
        <w:rPr>
          <w:rFonts w:cs="Times New Roman"/>
          <w:lang w:val="fr-CA"/>
        </w:rPr>
        <w:t>,</w:t>
      </w:r>
      <w:r w:rsidRPr="001A1E08">
        <w:rPr>
          <w:rFonts w:cs="Times New Roman"/>
          <w:i/>
          <w:lang w:val="fr-CA"/>
        </w:rPr>
        <w:t xml:space="preserve"> </w:t>
      </w:r>
      <w:r w:rsidRPr="001A1E08">
        <w:rPr>
          <w:rFonts w:cs="Times New Roman"/>
          <w:lang w:val="fr-CA"/>
        </w:rPr>
        <w:t>il n’y a aucune [</w:t>
      </w:r>
      <w:r w:rsidRPr="001A1E08">
        <w:rPr>
          <w:rFonts w:cs="Times New Roman"/>
          <w:smallCaps/>
          <w:lang w:val="fr-CA"/>
        </w:rPr>
        <w:t>traduction</w:t>
      </w:r>
      <w:r w:rsidRPr="001A1E08">
        <w:rPr>
          <w:rFonts w:cs="Times New Roman"/>
          <w:lang w:val="fr-CA"/>
        </w:rPr>
        <w:t xml:space="preserve">] </w:t>
      </w:r>
      <w:r w:rsidR="006412AC">
        <w:rPr>
          <w:rFonts w:cs="Times New Roman"/>
          <w:lang w:val="fr-CA"/>
        </w:rPr>
        <w:t>« </w:t>
      </w:r>
      <w:r w:rsidRPr="001A1E08">
        <w:rPr>
          <w:rFonts w:cs="Times New Roman"/>
          <w:lang w:val="fr-CA"/>
        </w:rPr>
        <w:t>incompatibilité</w:t>
      </w:r>
      <w:r w:rsidR="006412AC">
        <w:rPr>
          <w:rFonts w:cs="Times New Roman"/>
          <w:lang w:val="fr-CA"/>
        </w:rPr>
        <w:t> »</w:t>
      </w:r>
      <w:r w:rsidRPr="001A1E08">
        <w:rPr>
          <w:rFonts w:cs="Times New Roman"/>
          <w:lang w:val="fr-CA"/>
        </w:rPr>
        <w:t xml:space="preserve"> entre les deux dispositions. </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Dans </w:t>
      </w:r>
      <w:proofErr w:type="spellStart"/>
      <w:r w:rsidRPr="001A1E08">
        <w:rPr>
          <w:rFonts w:cs="Times New Roman"/>
          <w:i/>
          <w:lang w:val="fr-CA"/>
        </w:rPr>
        <w:t>Myran</w:t>
      </w:r>
      <w:proofErr w:type="spellEnd"/>
      <w:r w:rsidRPr="001A1E08">
        <w:rPr>
          <w:rFonts w:cs="Times New Roman"/>
          <w:i/>
          <w:lang w:val="fr-CA"/>
        </w:rPr>
        <w:t xml:space="preserve"> c. La Reine</w:t>
      </w:r>
      <w:r w:rsidRPr="001A1E08">
        <w:rPr>
          <w:rFonts w:cs="Times New Roman"/>
          <w:lang w:val="fr-CA"/>
        </w:rPr>
        <w:t xml:space="preserve">, [1976] 2 R.C.S. 137, une convention ayant force de loi assurait aux appelants, des Indiens visés par un traité, des droits de chasse, de piégeage et de pêche pour se nourrir sur toutes les terres inoccupées de la Couronne (et certaines autres terres).  Or, une autre loi érigeait en infraction le fait de chasser sans égard à la sécurité d’autrui dans le voisinage.  Il ne faisait guère de doute que les appelants avaient chassé sans égard pour la sécurité d’autrui.  La question était de savoir si la loi qui créait l’infraction entrait en conflit avec le droit de chasse des appelants.  La Cour a conclu par la négative.  Il n’y avait aucun </w:t>
      </w:r>
      <w:r w:rsidR="006412AC">
        <w:rPr>
          <w:rFonts w:cs="Times New Roman"/>
          <w:lang w:val="fr-CA"/>
        </w:rPr>
        <w:t>« </w:t>
      </w:r>
      <w:r w:rsidRPr="001A1E08">
        <w:rPr>
          <w:rFonts w:cs="Times New Roman"/>
          <w:lang w:val="fr-CA"/>
        </w:rPr>
        <w:t>conflit [irréconciliable]</w:t>
      </w:r>
      <w:r w:rsidR="006412AC">
        <w:rPr>
          <w:rFonts w:cs="Times New Roman"/>
          <w:lang w:val="fr-CA"/>
        </w:rPr>
        <w:t> »</w:t>
      </w:r>
      <w:r w:rsidRPr="001A1E08">
        <w:rPr>
          <w:rFonts w:cs="Times New Roman"/>
          <w:lang w:val="fr-CA"/>
        </w:rPr>
        <w:t xml:space="preserve"> entre les deux dispositions</w:t>
      </w:r>
      <w:r w:rsidR="006412AC">
        <w:rPr>
          <w:rFonts w:cs="Times New Roman"/>
          <w:lang w:val="fr-CA"/>
        </w:rPr>
        <w:t> :</w:t>
      </w:r>
      <w:r w:rsidRPr="001A1E08">
        <w:rPr>
          <w:rFonts w:cs="Times New Roman"/>
          <w:lang w:val="fr-CA"/>
        </w:rPr>
        <w:t xml:space="preserve"> elles poursuivaient des fins très différentes (p.</w:t>
      </w:r>
      <w:r w:rsidR="006412AC">
        <w:rPr>
          <w:rFonts w:cs="Times New Roman"/>
          <w:lang w:val="fr-CA"/>
        </w:rPr>
        <w:t xml:space="preserve"> </w:t>
      </w:r>
      <w:r w:rsidRPr="001A1E08">
        <w:rPr>
          <w:rFonts w:cs="Times New Roman"/>
          <w:lang w:val="fr-CA"/>
        </w:rPr>
        <w:t>142, le juge Dickson).  La première visait la protection du gibier pour assurer aux Indiens un approvisionnement continu en nourriture, alors que la seconde portait sur le risque de mort ou de blessure grave qui se pose lorsque les chasseurs ne se soucient pas de la sécurité d’autrui.  L’obligation de chasser sans risquer de causer la mort ou des blessures graves ne portait pas atteinte au droit de chasse</w:t>
      </w:r>
      <w:r w:rsidR="006412AC">
        <w:rPr>
          <w:rFonts w:cs="Times New Roman"/>
          <w:lang w:val="fr-CA"/>
        </w:rPr>
        <w:t> :</w:t>
      </w:r>
      <w:r w:rsidRPr="001A1E08">
        <w:rPr>
          <w:rFonts w:cs="Times New Roman"/>
          <w:lang w:val="fr-CA"/>
        </w:rPr>
        <w:t xml:space="preserve"> </w:t>
      </w:r>
      <w:r w:rsidRPr="001A1E08">
        <w:rPr>
          <w:rFonts w:cs="Times New Roman"/>
          <w:i/>
          <w:lang w:val="fr-CA"/>
        </w:rPr>
        <w:t>ibid</w:t>
      </w:r>
      <w:r w:rsidRPr="001A1E08">
        <w:rPr>
          <w:rFonts w:cs="Times New Roman"/>
          <w:lang w:val="fr-CA"/>
        </w:rPr>
        <w:t>.  Il s’agissait d’une affaire où la Cour a conclu que les termes généraux confirmant le droit de chasse ne pouvaient être considérés comme énonçant de manière exhaustive et exclusive les règles régissant l’exercice de ce droit.</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Il existe là encore un parallèle évident entre l’affaire </w:t>
      </w:r>
      <w:proofErr w:type="spellStart"/>
      <w:r w:rsidRPr="001A1E08">
        <w:rPr>
          <w:rFonts w:cs="Times New Roman"/>
          <w:i/>
          <w:lang w:val="fr-CA"/>
        </w:rPr>
        <w:t>Myran</w:t>
      </w:r>
      <w:proofErr w:type="spellEnd"/>
      <w:r w:rsidRPr="001A1E08">
        <w:rPr>
          <w:rFonts w:cs="Times New Roman"/>
          <w:lang w:val="fr-CA"/>
        </w:rPr>
        <w:t xml:space="preserve"> et la présente affaire.  Les deux régimes en cause ont des objets différents et le droit général à une </w:t>
      </w:r>
      <w:r w:rsidRPr="001A1E08">
        <w:rPr>
          <w:rFonts w:cs="Times New Roman"/>
          <w:lang w:val="fr-CA"/>
        </w:rPr>
        <w:lastRenderedPageBreak/>
        <w:t xml:space="preserve">réparation </w:t>
      </w:r>
      <w:r w:rsidR="006412AC">
        <w:rPr>
          <w:rFonts w:cs="Times New Roman"/>
          <w:lang w:val="fr-CA"/>
        </w:rPr>
        <w:t>« </w:t>
      </w:r>
      <w:r w:rsidRPr="001A1E08">
        <w:rPr>
          <w:rFonts w:cs="Times New Roman"/>
          <w:lang w:val="fr-CA"/>
        </w:rPr>
        <w:t>convenable et juste</w:t>
      </w:r>
      <w:r w:rsidR="006412AC">
        <w:rPr>
          <w:rFonts w:cs="Times New Roman"/>
          <w:lang w:val="fr-CA"/>
        </w:rPr>
        <w:t> »</w:t>
      </w:r>
      <w:r w:rsidRPr="001A1E08">
        <w:rPr>
          <w:rFonts w:cs="Times New Roman"/>
          <w:lang w:val="fr-CA"/>
        </w:rPr>
        <w:t xml:space="preserve"> n’est pas incompatible avec la limite imposée à l’exercice de recours en dommages</w:t>
      </w:r>
      <w:r w:rsidR="006412AC">
        <w:rPr>
          <w:rFonts w:cs="Times New Roman"/>
          <w:lang w:val="fr-CA"/>
        </w:rPr>
        <w:t>-</w:t>
      </w:r>
      <w:r w:rsidRPr="001A1E08">
        <w:rPr>
          <w:rFonts w:cs="Times New Roman"/>
          <w:lang w:val="fr-CA"/>
        </w:rPr>
        <w:t>intérêts pour les préjudices subis à l’occasion de transports aériens internationaux.</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Dans le troisième arrêt, </w:t>
      </w:r>
      <w:r w:rsidRPr="001A1E08">
        <w:rPr>
          <w:rFonts w:cs="Times New Roman"/>
          <w:i/>
          <w:lang w:val="fr-CA"/>
        </w:rPr>
        <w:t>Perron</w:t>
      </w:r>
      <w:r w:rsidR="006412AC">
        <w:rPr>
          <w:rFonts w:cs="Times New Roman"/>
          <w:i/>
          <w:lang w:val="fr-CA"/>
        </w:rPr>
        <w:t>-</w:t>
      </w:r>
      <w:proofErr w:type="spellStart"/>
      <w:r w:rsidRPr="001A1E08">
        <w:rPr>
          <w:rFonts w:cs="Times New Roman"/>
          <w:i/>
          <w:lang w:val="fr-CA"/>
        </w:rPr>
        <w:t>Malenfant</w:t>
      </w:r>
      <w:proofErr w:type="spellEnd"/>
      <w:r w:rsidRPr="001A1E08">
        <w:rPr>
          <w:rFonts w:cs="Times New Roman"/>
          <w:i/>
          <w:lang w:val="fr-CA"/>
        </w:rPr>
        <w:t xml:space="preserve"> c.</w:t>
      </w:r>
      <w:r w:rsidRPr="001A1E08">
        <w:rPr>
          <w:rFonts w:cs="Times New Roman"/>
          <w:lang w:val="fr-CA"/>
        </w:rPr>
        <w:t xml:space="preserve"> </w:t>
      </w:r>
      <w:proofErr w:type="spellStart"/>
      <w:r w:rsidRPr="001A1E08">
        <w:rPr>
          <w:rFonts w:cs="Times New Roman"/>
          <w:i/>
          <w:lang w:val="fr-CA"/>
        </w:rPr>
        <w:t>Malenfant</w:t>
      </w:r>
      <w:proofErr w:type="spellEnd"/>
      <w:r w:rsidRPr="001A1E08">
        <w:rPr>
          <w:rFonts w:cs="Times New Roman"/>
          <w:i/>
          <w:lang w:val="fr-CA"/>
        </w:rPr>
        <w:t xml:space="preserve"> (Syndic de)</w:t>
      </w:r>
      <w:r w:rsidRPr="001A1E08">
        <w:rPr>
          <w:rFonts w:cs="Times New Roman"/>
          <w:lang w:val="fr-CA"/>
        </w:rPr>
        <w:t xml:space="preserve">, [1999] 3 R.C.S. 375, la Cour est parvenue à la conclusion contraire.  L’analyse ayant mené à cette conclusion est instructive. </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Sans trop entrer dans les détails, dans </w:t>
      </w:r>
      <w:r w:rsidRPr="001A1E08">
        <w:rPr>
          <w:rFonts w:cs="Times New Roman"/>
          <w:i/>
          <w:lang w:val="fr-CA"/>
        </w:rPr>
        <w:t>Perron</w:t>
      </w:r>
      <w:r w:rsidR="006412AC">
        <w:rPr>
          <w:rFonts w:cs="Times New Roman"/>
          <w:i/>
          <w:lang w:val="fr-CA"/>
        </w:rPr>
        <w:t>-</w:t>
      </w:r>
      <w:proofErr w:type="spellStart"/>
      <w:r w:rsidRPr="001A1E08">
        <w:rPr>
          <w:rFonts w:cs="Times New Roman"/>
          <w:i/>
          <w:lang w:val="fr-CA"/>
        </w:rPr>
        <w:t>Malenfant</w:t>
      </w:r>
      <w:proofErr w:type="spellEnd"/>
      <w:r w:rsidRPr="001A1E08">
        <w:rPr>
          <w:rFonts w:cs="Times New Roman"/>
          <w:lang w:val="fr-CA"/>
        </w:rPr>
        <w:t xml:space="preserve"> la Cour devait déterminer si l’un des biens du failli avait été dévolu au syndic au moment de la faillite.  Plus précisément, il s’agissait de savoir si la valeur de rachat d’une police d’assurance</w:t>
      </w:r>
      <w:r w:rsidR="006412AC">
        <w:rPr>
          <w:rFonts w:cs="Times New Roman"/>
          <w:lang w:val="fr-CA"/>
        </w:rPr>
        <w:t>-</w:t>
      </w:r>
      <w:r w:rsidRPr="001A1E08">
        <w:rPr>
          <w:rFonts w:cs="Times New Roman"/>
          <w:lang w:val="fr-CA"/>
        </w:rPr>
        <w:t xml:space="preserve">vie pouvait être saisie par le syndic au moment de la faillite de la preneuse.  Certaines dispositions législatives provinciales ayant été incorporées dans la </w:t>
      </w:r>
      <w:r w:rsidRPr="001A1E08">
        <w:rPr>
          <w:rFonts w:cs="Times New Roman"/>
          <w:i/>
          <w:lang w:val="fr-CA"/>
        </w:rPr>
        <w:t>Loi sur la faillite et l’insolvabilité</w:t>
      </w:r>
      <w:r w:rsidRPr="001A1E08">
        <w:rPr>
          <w:rFonts w:cs="Times New Roman"/>
          <w:lang w:val="fr-CA"/>
        </w:rPr>
        <w:t>, L.R.C. 1985, ch.</w:t>
      </w:r>
      <w:r w:rsidR="006412AC">
        <w:rPr>
          <w:rFonts w:cs="Times New Roman"/>
          <w:lang w:val="fr-CA"/>
        </w:rPr>
        <w:t xml:space="preserve"> </w:t>
      </w:r>
      <w:r w:rsidRPr="001A1E08">
        <w:rPr>
          <w:rFonts w:cs="Times New Roman"/>
          <w:lang w:val="fr-CA"/>
        </w:rPr>
        <w:t>B</w:t>
      </w:r>
      <w:r w:rsidR="006412AC">
        <w:rPr>
          <w:rFonts w:cs="Times New Roman"/>
          <w:lang w:val="fr-CA"/>
        </w:rPr>
        <w:t>-</w:t>
      </w:r>
      <w:r w:rsidRPr="001A1E08">
        <w:rPr>
          <w:rFonts w:cs="Times New Roman"/>
          <w:lang w:val="fr-CA"/>
        </w:rPr>
        <w:t xml:space="preserve">3, la réponse à cette question dépendait de l’interprétation donnée à certaines dispositions du </w:t>
      </w:r>
      <w:r w:rsidR="00DB0DDE">
        <w:rPr>
          <w:rFonts w:cs="Times New Roman"/>
          <w:i/>
          <w:lang w:val="fr-CA"/>
        </w:rPr>
        <w:t>Code civil du Bas-</w:t>
      </w:r>
      <w:r w:rsidRPr="001A1E08">
        <w:rPr>
          <w:rFonts w:cs="Times New Roman"/>
          <w:i/>
          <w:lang w:val="fr-CA"/>
        </w:rPr>
        <w:t>Canada</w:t>
      </w:r>
      <w:r w:rsidRPr="001A1E08">
        <w:rPr>
          <w:rFonts w:cs="Times New Roman"/>
          <w:lang w:val="fr-CA"/>
        </w:rPr>
        <w:t>.  Si deux articles (art.</w:t>
      </w:r>
      <w:r w:rsidR="006412AC">
        <w:rPr>
          <w:rFonts w:cs="Times New Roman"/>
          <w:lang w:val="fr-CA"/>
        </w:rPr>
        <w:t xml:space="preserve"> </w:t>
      </w:r>
      <w:r w:rsidRPr="001A1E08">
        <w:rPr>
          <w:rFonts w:cs="Times New Roman"/>
          <w:lang w:val="fr-CA"/>
        </w:rPr>
        <w:t xml:space="preserve">2552 et 2554) énonçaient exhaustivement les exceptions applicables, la valeur de rachat serait </w:t>
      </w:r>
      <w:r w:rsidRPr="001A1E08">
        <w:rPr>
          <w:rFonts w:cs="Times New Roman"/>
          <w:i/>
          <w:lang w:val="fr-CA"/>
        </w:rPr>
        <w:t>saisissable</w:t>
      </w:r>
      <w:r w:rsidRPr="001A1E08">
        <w:rPr>
          <w:rFonts w:cs="Times New Roman"/>
          <w:lang w:val="fr-CA"/>
        </w:rPr>
        <w:t>.  Toutefois, suivant la jurisprudence relative à un autre article (art.</w:t>
      </w:r>
      <w:r w:rsidR="006412AC">
        <w:rPr>
          <w:rFonts w:cs="Times New Roman"/>
          <w:lang w:val="fr-CA"/>
        </w:rPr>
        <w:t xml:space="preserve"> </w:t>
      </w:r>
      <w:r w:rsidRPr="001A1E08">
        <w:rPr>
          <w:rFonts w:cs="Times New Roman"/>
          <w:lang w:val="fr-CA"/>
        </w:rPr>
        <w:t xml:space="preserve">1031), s’il s’appliquait (ce que la Cour a présumé sans le décider), la valeur de rachat était </w:t>
      </w:r>
      <w:r w:rsidRPr="001A1E08">
        <w:rPr>
          <w:rFonts w:cs="Times New Roman"/>
          <w:i/>
          <w:lang w:val="fr-CA"/>
        </w:rPr>
        <w:t>insaisissable</w:t>
      </w:r>
      <w:r w:rsidRPr="001A1E08">
        <w:rPr>
          <w:rFonts w:cs="Times New Roman"/>
          <w:lang w:val="fr-CA"/>
        </w:rPr>
        <w:t>.  En somme, il s’agissait de décider si les deux articles, qui ne permettaient pas l’insaisissabilité de la valeur de rachat dans cette affaire, étaient censés constituer un énoncé exhaustif des cas d’insaisissabilité de l’assurance</w:t>
      </w:r>
      <w:r w:rsidR="006412AC">
        <w:rPr>
          <w:rFonts w:cs="Times New Roman"/>
          <w:lang w:val="fr-CA"/>
        </w:rPr>
        <w:t>-</w:t>
      </w:r>
      <w:r w:rsidRPr="001A1E08">
        <w:rPr>
          <w:rFonts w:cs="Times New Roman"/>
          <w:lang w:val="fr-CA"/>
        </w:rPr>
        <w:t>vie.</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Pour répondre à cette question, la Cour a examiné l’historique et </w:t>
      </w:r>
      <w:r w:rsidRPr="001A1E08">
        <w:rPr>
          <w:rFonts w:cs="Times New Roman"/>
          <w:lang w:val="fr-CA"/>
        </w:rPr>
        <w:lastRenderedPageBreak/>
        <w:t xml:space="preserve">l’évolution des dispositions en cause, de leur libellé et de leur objet.  Cet examen a révélé que </w:t>
      </w:r>
      <w:proofErr w:type="gramStart"/>
      <w:r w:rsidRPr="001A1E08">
        <w:rPr>
          <w:rFonts w:cs="Times New Roman"/>
          <w:lang w:val="fr-CA"/>
        </w:rPr>
        <w:t>les art</w:t>
      </w:r>
      <w:proofErr w:type="gramEnd"/>
      <w:r w:rsidRPr="001A1E08">
        <w:rPr>
          <w:rFonts w:cs="Times New Roman"/>
          <w:lang w:val="fr-CA"/>
        </w:rPr>
        <w:t>.</w:t>
      </w:r>
      <w:r w:rsidR="006412AC">
        <w:rPr>
          <w:rFonts w:cs="Times New Roman"/>
          <w:lang w:val="fr-CA"/>
        </w:rPr>
        <w:t xml:space="preserve"> </w:t>
      </w:r>
      <w:r w:rsidRPr="001A1E08">
        <w:rPr>
          <w:rFonts w:cs="Times New Roman"/>
          <w:lang w:val="fr-CA"/>
        </w:rPr>
        <w:t xml:space="preserve">2552 et 2554 faisaient partie d’un ensemble complet de règles législatives régissant tous les aspects du droit des assurances qui avaient créé </w:t>
      </w:r>
      <w:r w:rsidR="006412AC">
        <w:rPr>
          <w:rFonts w:cs="Times New Roman"/>
          <w:lang w:val="fr-CA"/>
        </w:rPr>
        <w:t>« </w:t>
      </w:r>
      <w:r w:rsidRPr="001A1E08">
        <w:rPr>
          <w:rFonts w:cs="Times New Roman"/>
          <w:lang w:val="fr-CA"/>
        </w:rPr>
        <w:t xml:space="preserve">un code des assurances à l’intérieur même du </w:t>
      </w:r>
      <w:r w:rsidRPr="001A1E08">
        <w:rPr>
          <w:rFonts w:cs="Times New Roman"/>
          <w:i/>
          <w:lang w:val="fr-CA"/>
        </w:rPr>
        <w:t>Code civil</w:t>
      </w:r>
      <w:r w:rsidR="006412AC" w:rsidRPr="00952377">
        <w:rPr>
          <w:rFonts w:cs="Times New Roman"/>
          <w:lang w:val="fr-CA"/>
        </w:rPr>
        <w:t> </w:t>
      </w:r>
      <w:r w:rsidR="006412AC" w:rsidRPr="006412AC">
        <w:rPr>
          <w:rFonts w:cs="Times New Roman"/>
          <w:lang w:val="fr-CA"/>
        </w:rPr>
        <w:t>»</w:t>
      </w:r>
      <w:r w:rsidR="006412AC" w:rsidRPr="00952377">
        <w:rPr>
          <w:rFonts w:cs="Times New Roman"/>
          <w:lang w:val="fr-CA"/>
        </w:rPr>
        <w:t> :</w:t>
      </w:r>
      <w:r w:rsidRPr="001A1E08">
        <w:rPr>
          <w:rFonts w:cs="Times New Roman"/>
          <w:lang w:val="fr-CA"/>
        </w:rPr>
        <w:t xml:space="preserve"> par.</w:t>
      </w:r>
      <w:r w:rsidR="006412AC">
        <w:rPr>
          <w:rFonts w:cs="Times New Roman"/>
          <w:lang w:val="fr-CA"/>
        </w:rPr>
        <w:t xml:space="preserve"> </w:t>
      </w:r>
      <w:r w:rsidRPr="001A1E08">
        <w:rPr>
          <w:rFonts w:cs="Times New Roman"/>
          <w:lang w:val="fr-CA"/>
        </w:rPr>
        <w:t>36</w:t>
      </w:r>
      <w:r w:rsidR="006412AC">
        <w:rPr>
          <w:rFonts w:cs="Times New Roman"/>
          <w:lang w:val="fr-CA"/>
        </w:rPr>
        <w:t>-</w:t>
      </w:r>
      <w:r w:rsidRPr="001A1E08">
        <w:rPr>
          <w:rFonts w:cs="Times New Roman"/>
          <w:lang w:val="fr-CA"/>
        </w:rPr>
        <w:t xml:space="preserve">37.  La Cour s’est ensuite penchée sur le texte et l’objet des dispositions, concluant que le législateur </w:t>
      </w:r>
      <w:r w:rsidR="006412AC">
        <w:rPr>
          <w:rFonts w:cs="Times New Roman"/>
          <w:lang w:val="fr-CA"/>
        </w:rPr>
        <w:t>« </w:t>
      </w:r>
      <w:r w:rsidRPr="001A1E08">
        <w:rPr>
          <w:rFonts w:cs="Times New Roman"/>
          <w:lang w:val="fr-CA"/>
        </w:rPr>
        <w:t>doit avoir envisagé l’ensemble des éléments du contrat d’assurance</w:t>
      </w:r>
      <w:r w:rsidR="006412AC">
        <w:rPr>
          <w:rFonts w:cs="Times New Roman"/>
          <w:lang w:val="fr-CA"/>
        </w:rPr>
        <w:t>-</w:t>
      </w:r>
      <w:r w:rsidRPr="001A1E08">
        <w:rPr>
          <w:rFonts w:cs="Times New Roman"/>
          <w:lang w:val="fr-CA"/>
        </w:rPr>
        <w:t>vie, y compris le droit à la valeur de rachat du contrat</w:t>
      </w:r>
      <w:r w:rsidR="006412AC">
        <w:rPr>
          <w:rFonts w:cs="Times New Roman"/>
          <w:lang w:val="fr-CA"/>
        </w:rPr>
        <w:t> » :</w:t>
      </w:r>
      <w:r w:rsidRPr="001A1E08">
        <w:rPr>
          <w:rFonts w:cs="Times New Roman"/>
          <w:lang w:val="fr-CA"/>
        </w:rPr>
        <w:t xml:space="preserve"> par.</w:t>
      </w:r>
      <w:r w:rsidR="006412AC">
        <w:rPr>
          <w:rFonts w:cs="Times New Roman"/>
          <w:lang w:val="fr-CA"/>
        </w:rPr>
        <w:t xml:space="preserve"> </w:t>
      </w:r>
      <w:r w:rsidRPr="001A1E08">
        <w:rPr>
          <w:rFonts w:cs="Times New Roman"/>
          <w:lang w:val="fr-CA"/>
        </w:rPr>
        <w:t xml:space="preserve">39.  Ne pas juger exhaustives les dispositions </w:t>
      </w:r>
      <w:r w:rsidR="006412AC">
        <w:rPr>
          <w:rFonts w:cs="Times New Roman"/>
          <w:lang w:val="fr-CA"/>
        </w:rPr>
        <w:t>« </w:t>
      </w:r>
      <w:r w:rsidRPr="001A1E08">
        <w:rPr>
          <w:rFonts w:cs="Times New Roman"/>
          <w:lang w:val="fr-CA"/>
        </w:rPr>
        <w:t>les dépouille en grande partie de leur portée</w:t>
      </w:r>
      <w:r w:rsidR="006412AC">
        <w:rPr>
          <w:rFonts w:cs="Times New Roman"/>
          <w:lang w:val="fr-CA"/>
        </w:rPr>
        <w:t> » :</w:t>
      </w:r>
      <w:r w:rsidRPr="001A1E08">
        <w:rPr>
          <w:rFonts w:cs="Times New Roman"/>
          <w:lang w:val="fr-CA"/>
        </w:rPr>
        <w:t xml:space="preserve"> par.</w:t>
      </w:r>
      <w:r w:rsidR="006412AC">
        <w:rPr>
          <w:rFonts w:cs="Times New Roman"/>
          <w:lang w:val="fr-CA"/>
        </w:rPr>
        <w:t xml:space="preserve"> </w:t>
      </w:r>
      <w:r w:rsidRPr="001A1E08">
        <w:rPr>
          <w:rFonts w:cs="Times New Roman"/>
          <w:lang w:val="fr-CA"/>
        </w:rPr>
        <w:t xml:space="preserve">41.  La Cour a également ancré son analyse textuelle dans le contexte global de la refonte du droit des assurances dont ces articles ont fait partie.  Cela l’a amené à conclure que les articles en question témoignaient d’un </w:t>
      </w:r>
      <w:r w:rsidR="006412AC">
        <w:rPr>
          <w:rFonts w:cs="Times New Roman"/>
          <w:lang w:val="fr-CA"/>
        </w:rPr>
        <w:t>« </w:t>
      </w:r>
      <w:r w:rsidRPr="001A1E08">
        <w:rPr>
          <w:rFonts w:cs="Times New Roman"/>
          <w:lang w:val="fr-CA"/>
        </w:rPr>
        <w:t>équilibre soigneusement établi entre les considérations pertinentes</w:t>
      </w:r>
      <w:r w:rsidR="006412AC">
        <w:rPr>
          <w:rFonts w:cs="Times New Roman"/>
          <w:lang w:val="fr-CA"/>
        </w:rPr>
        <w:t> » :</w:t>
      </w:r>
      <w:r w:rsidRPr="001A1E08">
        <w:rPr>
          <w:rFonts w:cs="Times New Roman"/>
          <w:lang w:val="fr-CA"/>
        </w:rPr>
        <w:t xml:space="preserve"> par.</w:t>
      </w:r>
      <w:r w:rsidR="006412AC">
        <w:rPr>
          <w:rFonts w:cs="Times New Roman"/>
          <w:lang w:val="fr-CA"/>
        </w:rPr>
        <w:t xml:space="preserve"> </w:t>
      </w:r>
      <w:r w:rsidRPr="001A1E08">
        <w:rPr>
          <w:rFonts w:cs="Times New Roman"/>
          <w:lang w:val="fr-CA"/>
        </w:rPr>
        <w:t xml:space="preserve">50.  Tenant compte de tous ces éléments, la Cour a conclu que </w:t>
      </w:r>
      <w:proofErr w:type="gramStart"/>
      <w:r w:rsidRPr="001A1E08">
        <w:rPr>
          <w:rFonts w:cs="Times New Roman"/>
          <w:lang w:val="fr-CA"/>
        </w:rPr>
        <w:t>les art</w:t>
      </w:r>
      <w:proofErr w:type="gramEnd"/>
      <w:r w:rsidRPr="001A1E08">
        <w:rPr>
          <w:rFonts w:cs="Times New Roman"/>
          <w:lang w:val="fr-CA"/>
        </w:rPr>
        <w:t>.</w:t>
      </w:r>
      <w:r w:rsidR="006412AC">
        <w:rPr>
          <w:rFonts w:cs="Times New Roman"/>
          <w:lang w:val="fr-CA"/>
        </w:rPr>
        <w:t xml:space="preserve"> </w:t>
      </w:r>
      <w:r w:rsidRPr="001A1E08">
        <w:rPr>
          <w:rFonts w:cs="Times New Roman"/>
          <w:lang w:val="fr-CA"/>
        </w:rPr>
        <w:t xml:space="preserve">2552 et 2554 se voulaient un ensemble complet et exclusif de règles régissant la </w:t>
      </w:r>
      <w:proofErr w:type="spellStart"/>
      <w:r w:rsidRPr="001A1E08">
        <w:rPr>
          <w:rFonts w:cs="Times New Roman"/>
          <w:lang w:val="fr-CA"/>
        </w:rPr>
        <w:t>saisissabilité</w:t>
      </w:r>
      <w:proofErr w:type="spellEnd"/>
      <w:r w:rsidRPr="001A1E08">
        <w:rPr>
          <w:rFonts w:cs="Times New Roman"/>
          <w:lang w:val="fr-CA"/>
        </w:rPr>
        <w:t xml:space="preserve"> des droits conférés par des contrats d’assurance</w:t>
      </w:r>
      <w:r w:rsidR="006412AC">
        <w:rPr>
          <w:rFonts w:cs="Times New Roman"/>
          <w:lang w:val="fr-CA"/>
        </w:rPr>
        <w:t>-</w:t>
      </w:r>
      <w:r w:rsidRPr="001A1E08">
        <w:rPr>
          <w:rFonts w:cs="Times New Roman"/>
          <w:lang w:val="fr-CA"/>
        </w:rPr>
        <w:t>vie</w:t>
      </w:r>
      <w:r w:rsidR="006412AC">
        <w:rPr>
          <w:rFonts w:cs="Times New Roman"/>
          <w:lang w:val="fr-CA"/>
        </w:rPr>
        <w:t> :</w:t>
      </w:r>
    </w:p>
    <w:p w:rsidR="00367456" w:rsidRPr="001A1E08" w:rsidRDefault="00367456" w:rsidP="00A12DCE">
      <w:pPr>
        <w:pStyle w:val="Citation-AltC"/>
        <w:widowControl w:val="0"/>
        <w:ind w:hanging="1166"/>
        <w:rPr>
          <w:lang w:val="fr-CA"/>
        </w:rPr>
      </w:pPr>
      <w:r w:rsidRPr="001A1E08">
        <w:rPr>
          <w:lang w:val="fr-CA"/>
        </w:rPr>
        <w:tab/>
      </w:r>
      <w:r w:rsidR="00952377">
        <w:rPr>
          <w:lang w:val="fr-CA"/>
        </w:rPr>
        <w:tab/>
        <w:t xml:space="preserve">. . . </w:t>
      </w:r>
      <w:r w:rsidRPr="001A1E08">
        <w:rPr>
          <w:lang w:val="fr-CA"/>
        </w:rPr>
        <w:t>il est contraire au bon sens de présumer que, dans ses dispositions relatives à l’insaisissabilité, le législateur a voulu demeurer silencieux au sujet de l’élément le plus précieux d’une police d’assurance</w:t>
      </w:r>
      <w:r w:rsidR="006412AC">
        <w:rPr>
          <w:lang w:val="fr-CA"/>
        </w:rPr>
        <w:t>-</w:t>
      </w:r>
      <w:r w:rsidRPr="001A1E08">
        <w:rPr>
          <w:lang w:val="fr-CA"/>
        </w:rPr>
        <w:t>vie pour les créanciers — sa valeur de rachat.  Au contraire, compte tenu de la politique du législateur de rendre les droits conférés par des contrats d’assurance plus accessibles aux créanciers en tant que partie de la garantie offerte par le preneur, il est plus raisonnable de conclure que la valeur de rachat du contrat d’assurance était bien dans les visées du législateur quand il a décidé, aux art.</w:t>
      </w:r>
      <w:r w:rsidR="006412AC">
        <w:rPr>
          <w:lang w:val="fr-CA"/>
        </w:rPr>
        <w:t xml:space="preserve"> </w:t>
      </w:r>
      <w:r w:rsidRPr="001A1E08">
        <w:rPr>
          <w:lang w:val="fr-CA"/>
        </w:rPr>
        <w:t>2552 et 2554, quelles polices étaient insaisissables et lesquelles étaient saisissables.  [</w:t>
      </w:r>
      <w:proofErr w:type="gramStart"/>
      <w:r w:rsidRPr="001A1E08">
        <w:rPr>
          <w:lang w:val="fr-CA"/>
        </w:rPr>
        <w:t>par</w:t>
      </w:r>
      <w:proofErr w:type="gramEnd"/>
      <w:r w:rsidRPr="001A1E08">
        <w:rPr>
          <w:lang w:val="fr-CA"/>
        </w:rPr>
        <w:t>.</w:t>
      </w:r>
      <w:r w:rsidR="006412AC">
        <w:rPr>
          <w:lang w:val="fr-CA"/>
        </w:rPr>
        <w:t xml:space="preserve"> </w:t>
      </w:r>
      <w:r w:rsidRPr="001A1E08">
        <w:rPr>
          <w:lang w:val="fr-CA"/>
        </w:rPr>
        <w:t>52]</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Pour paraphraser les propos tenus par la Cour dans l’arrêt </w:t>
      </w:r>
      <w:r w:rsidRPr="001A1E08">
        <w:rPr>
          <w:rFonts w:cs="Times New Roman"/>
          <w:i/>
          <w:lang w:val="fr-CA"/>
        </w:rPr>
        <w:t>Perron</w:t>
      </w:r>
      <w:r w:rsidR="006412AC">
        <w:rPr>
          <w:rFonts w:cs="Times New Roman"/>
          <w:i/>
          <w:lang w:val="fr-CA"/>
        </w:rPr>
        <w:t>-</w:t>
      </w:r>
      <w:proofErr w:type="spellStart"/>
      <w:r w:rsidRPr="001A1E08">
        <w:rPr>
          <w:rFonts w:cs="Times New Roman"/>
          <w:i/>
          <w:lang w:val="fr-CA"/>
        </w:rPr>
        <w:t>Malenfant</w:t>
      </w:r>
      <w:proofErr w:type="spellEnd"/>
      <w:r w:rsidRPr="001A1E08">
        <w:rPr>
          <w:rFonts w:cs="Times New Roman"/>
          <w:lang w:val="fr-CA"/>
        </w:rPr>
        <w:t xml:space="preserve">, la question à trancher en l’espèce est de savoir s’il est contraire au bon </w:t>
      </w:r>
      <w:r w:rsidRPr="001A1E08">
        <w:rPr>
          <w:rFonts w:cs="Times New Roman"/>
          <w:lang w:val="fr-CA"/>
        </w:rPr>
        <w:lastRenderedPageBreak/>
        <w:t xml:space="preserve">sens de présumer qu’en permettant au tribunal d’accorder une réparation </w:t>
      </w:r>
      <w:r w:rsidR="006412AC">
        <w:rPr>
          <w:rFonts w:cs="Times New Roman"/>
          <w:lang w:val="fr-CA"/>
        </w:rPr>
        <w:t>« </w:t>
      </w:r>
      <w:r w:rsidRPr="001A1E08">
        <w:rPr>
          <w:rFonts w:cs="Times New Roman"/>
          <w:lang w:val="fr-CA"/>
        </w:rPr>
        <w:t>convenable et juste</w:t>
      </w:r>
      <w:r w:rsidR="006412AC">
        <w:rPr>
          <w:rFonts w:cs="Times New Roman"/>
          <w:lang w:val="fr-CA"/>
        </w:rPr>
        <w:t> »</w:t>
      </w:r>
      <w:r w:rsidRPr="001A1E08">
        <w:rPr>
          <w:rFonts w:cs="Times New Roman"/>
          <w:lang w:val="fr-CA"/>
        </w:rPr>
        <w:t xml:space="preserve"> en cas de violation de la </w:t>
      </w:r>
      <w:r w:rsidRPr="001A1E08">
        <w:rPr>
          <w:rFonts w:cs="Times New Roman"/>
          <w:i/>
          <w:lang w:val="fr-CA"/>
        </w:rPr>
        <w:t>LLO</w:t>
      </w:r>
      <w:r w:rsidRPr="001A1E08">
        <w:rPr>
          <w:rFonts w:cs="Times New Roman"/>
          <w:lang w:val="fr-CA"/>
        </w:rPr>
        <w:t>, le législateur a voulu qu’il soit libre de rendre une ordonnance qui contrevient aux obligations du Canada issues de traités internationaux.  En d’autres termes, est</w:t>
      </w:r>
      <w:r w:rsidR="006412AC">
        <w:rPr>
          <w:rFonts w:cs="Times New Roman"/>
          <w:lang w:val="fr-CA"/>
        </w:rPr>
        <w:t>-</w:t>
      </w:r>
      <w:r w:rsidRPr="001A1E08">
        <w:rPr>
          <w:rFonts w:cs="Times New Roman"/>
          <w:lang w:val="fr-CA"/>
        </w:rPr>
        <w:t xml:space="preserve">il logique que le législateur ait voulu qu’une ordonnance judiciaire contrevenant aux obligations internationales du Canada constitue une réparation </w:t>
      </w:r>
      <w:r w:rsidR="006412AC">
        <w:rPr>
          <w:rFonts w:cs="Times New Roman"/>
          <w:lang w:val="fr-CA"/>
        </w:rPr>
        <w:t>« </w:t>
      </w:r>
      <w:r w:rsidRPr="001A1E08">
        <w:rPr>
          <w:rFonts w:cs="Times New Roman"/>
          <w:lang w:val="fr-CA"/>
        </w:rPr>
        <w:t>convenable et juste</w:t>
      </w:r>
      <w:r w:rsidR="006412AC">
        <w:rPr>
          <w:rFonts w:cs="Times New Roman"/>
          <w:lang w:val="fr-CA"/>
        </w:rPr>
        <w:t> »</w:t>
      </w:r>
      <w:r w:rsidRPr="001A1E08">
        <w:rPr>
          <w:rFonts w:cs="Times New Roman"/>
          <w:lang w:val="fr-CA"/>
        </w:rPr>
        <w:t xml:space="preserve">?  Les appelants souhaiteraient que nous répondions </w:t>
      </w:r>
      <w:r w:rsidR="006412AC">
        <w:rPr>
          <w:rFonts w:cs="Times New Roman"/>
          <w:lang w:val="fr-CA"/>
        </w:rPr>
        <w:t>« </w:t>
      </w:r>
      <w:r w:rsidRPr="001A1E08">
        <w:rPr>
          <w:rFonts w:cs="Times New Roman"/>
          <w:lang w:val="fr-CA"/>
        </w:rPr>
        <w:t>oui</w:t>
      </w:r>
      <w:r w:rsidR="006412AC">
        <w:rPr>
          <w:rFonts w:cs="Times New Roman"/>
          <w:lang w:val="fr-CA"/>
        </w:rPr>
        <w:t> »</w:t>
      </w:r>
      <w:r w:rsidRPr="001A1E08">
        <w:rPr>
          <w:rFonts w:cs="Times New Roman"/>
          <w:lang w:val="fr-CA"/>
        </w:rPr>
        <w:t xml:space="preserve"> à ces deux questions.</w:t>
      </w:r>
    </w:p>
    <w:p w:rsidR="00367456" w:rsidRPr="001A1E08" w:rsidRDefault="00367456" w:rsidP="00A12DCE">
      <w:pPr>
        <w:pStyle w:val="Title3LevelTitre3Niveau"/>
        <w:widowControl w:val="0"/>
        <w:rPr>
          <w:rFonts w:cs="Times New Roman"/>
          <w:lang w:val="fr-CA"/>
        </w:rPr>
      </w:pPr>
      <w:r w:rsidRPr="001A1E08">
        <w:rPr>
          <w:rFonts w:cs="Times New Roman"/>
          <w:lang w:val="fr-CA"/>
        </w:rPr>
        <w:t>Application</w:t>
      </w:r>
    </w:p>
    <w:p w:rsidR="00367456" w:rsidRPr="001A1E08" w:rsidRDefault="00367456" w:rsidP="00A12DCE">
      <w:pPr>
        <w:pStyle w:val="ParaNoNdepar-AltN"/>
        <w:widowControl w:val="0"/>
        <w:rPr>
          <w:rFonts w:cs="Times New Roman"/>
          <w:lang w:val="fr-CA"/>
        </w:rPr>
      </w:pPr>
      <w:r w:rsidRPr="001A1E08">
        <w:rPr>
          <w:rFonts w:cs="Times New Roman"/>
          <w:lang w:val="fr-CA"/>
        </w:rPr>
        <w:t>En gardant ces principes à l’esprit, je reviens à la question de savoir s’il y a conflit entre le pouvoir discrétionnaire général de réparation prévu au par.</w:t>
      </w:r>
      <w:r w:rsidR="006412AC">
        <w:rPr>
          <w:rFonts w:cs="Times New Roman"/>
          <w:lang w:val="fr-CA"/>
        </w:rPr>
        <w:t xml:space="preserve"> </w:t>
      </w:r>
      <w:r w:rsidRPr="001A1E08">
        <w:rPr>
          <w:rFonts w:cs="Times New Roman"/>
          <w:lang w:val="fr-CA"/>
        </w:rPr>
        <w:t xml:space="preserve">77(4) de la </w:t>
      </w:r>
      <w:r w:rsidRPr="001A1E08">
        <w:rPr>
          <w:rFonts w:cs="Times New Roman"/>
          <w:i/>
          <w:lang w:val="fr-CA"/>
        </w:rPr>
        <w:t>LLO</w:t>
      </w:r>
      <w:r w:rsidRPr="001A1E08">
        <w:rPr>
          <w:rFonts w:cs="Times New Roman"/>
          <w:lang w:val="fr-CA"/>
        </w:rPr>
        <w:t xml:space="preserve"> et la limite expresse imposée à </w:t>
      </w:r>
      <w:r w:rsidR="00952377">
        <w:rPr>
          <w:rFonts w:cs="Times New Roman"/>
          <w:lang w:val="fr-CA"/>
        </w:rPr>
        <w:t>ce pouvoir par l’effet de l’article</w:t>
      </w:r>
      <w:r w:rsidR="006412AC">
        <w:rPr>
          <w:rFonts w:cs="Times New Roman"/>
          <w:lang w:val="fr-CA"/>
        </w:rPr>
        <w:t xml:space="preserve"> </w:t>
      </w:r>
      <w:r w:rsidRPr="001A1E08">
        <w:rPr>
          <w:rFonts w:cs="Times New Roman"/>
          <w:lang w:val="fr-CA"/>
        </w:rPr>
        <w:t xml:space="preserve">29 de la </w:t>
      </w:r>
      <w:r w:rsidRPr="001A1E08">
        <w:rPr>
          <w:rFonts w:cs="Times New Roman"/>
          <w:i/>
          <w:lang w:val="fr-CA"/>
        </w:rPr>
        <w:t>Convention de Montréal.</w:t>
      </w:r>
      <w:r w:rsidR="006412AC">
        <w:rPr>
          <w:rFonts w:cs="Times New Roman"/>
          <w:i/>
          <w:lang w:val="fr-CA"/>
        </w:rPr>
        <w:t xml:space="preserve"> </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Ces dispositions possèdent toutes les caractéristiques des dispositions dont on a déjà conclu qu’elles </w:t>
      </w:r>
      <w:r w:rsidRPr="001A1E08">
        <w:rPr>
          <w:rFonts w:cs="Times New Roman"/>
          <w:i/>
          <w:lang w:val="fr-CA"/>
        </w:rPr>
        <w:t>n</w:t>
      </w:r>
      <w:r w:rsidRPr="001A1E08">
        <w:rPr>
          <w:rFonts w:cs="Times New Roman"/>
          <w:lang w:val="fr-CA"/>
        </w:rPr>
        <w:t xml:space="preserve">’étaient </w:t>
      </w:r>
      <w:r w:rsidRPr="001A1E08">
        <w:rPr>
          <w:rFonts w:cs="Times New Roman"/>
          <w:i/>
          <w:lang w:val="fr-CA"/>
        </w:rPr>
        <w:t>pas</w:t>
      </w:r>
      <w:r w:rsidRPr="001A1E08">
        <w:rPr>
          <w:rFonts w:cs="Times New Roman"/>
          <w:lang w:val="fr-CA"/>
        </w:rPr>
        <w:t xml:space="preserve"> en conflit.  Elles ont été adoptées à des fins sensiblement différentes.  Il est facile de les interpréter de façon à ce qu’elles puissent coexister sans donner lieu à un résultat absurde</w:t>
      </w:r>
      <w:r w:rsidR="006412AC">
        <w:rPr>
          <w:rFonts w:cs="Times New Roman"/>
          <w:lang w:val="fr-CA"/>
        </w:rPr>
        <w:t> :</w:t>
      </w:r>
      <w:r w:rsidRPr="001A1E08">
        <w:rPr>
          <w:rFonts w:cs="Times New Roman"/>
          <w:lang w:val="fr-CA"/>
        </w:rPr>
        <w:t xml:space="preserve"> une réparation </w:t>
      </w:r>
      <w:r w:rsidR="006412AC">
        <w:rPr>
          <w:rFonts w:cs="Times New Roman"/>
          <w:lang w:val="fr-CA"/>
        </w:rPr>
        <w:t>« </w:t>
      </w:r>
      <w:r w:rsidRPr="001A1E08">
        <w:rPr>
          <w:rFonts w:cs="Times New Roman"/>
          <w:lang w:val="fr-CA"/>
        </w:rPr>
        <w:t>convenable et juste</w:t>
      </w:r>
      <w:r w:rsidR="006412AC">
        <w:rPr>
          <w:rFonts w:cs="Times New Roman"/>
          <w:lang w:val="fr-CA"/>
        </w:rPr>
        <w:t> »</w:t>
      </w:r>
      <w:r w:rsidRPr="001A1E08">
        <w:rPr>
          <w:rFonts w:cs="Times New Roman"/>
          <w:lang w:val="fr-CA"/>
        </w:rPr>
        <w:t xml:space="preserve"> ne doit pas contrevenir aux obligations internationales du Canada.  La seule véritable question est de savoir si la prétendue présomption de chevauchement est réfutée pour le motif que le par.</w:t>
      </w:r>
      <w:r w:rsidR="006412AC">
        <w:rPr>
          <w:rFonts w:cs="Times New Roman"/>
          <w:lang w:val="fr-CA"/>
        </w:rPr>
        <w:t xml:space="preserve"> </w:t>
      </w:r>
      <w:r w:rsidRPr="001A1E08">
        <w:rPr>
          <w:rFonts w:cs="Times New Roman"/>
          <w:lang w:val="fr-CA"/>
        </w:rPr>
        <w:t xml:space="preserve">77(4) de la </w:t>
      </w:r>
      <w:r w:rsidRPr="001A1E08">
        <w:rPr>
          <w:rFonts w:cs="Times New Roman"/>
          <w:i/>
          <w:lang w:val="fr-CA"/>
        </w:rPr>
        <w:t>LLO</w:t>
      </w:r>
      <w:r w:rsidRPr="001A1E08">
        <w:rPr>
          <w:rFonts w:cs="Times New Roman"/>
          <w:lang w:val="fr-CA"/>
        </w:rPr>
        <w:t xml:space="preserve"> serait un énoncé exhaustif et exclusif du pouvoir de réparation du tribunal et qu’en conséquence il serait toujours possible </w:t>
      </w:r>
      <w:r w:rsidR="003D6323">
        <w:rPr>
          <w:rFonts w:cs="Times New Roman"/>
          <w:lang w:val="fr-CA"/>
        </w:rPr>
        <w:t>pour</w:t>
      </w:r>
      <w:r w:rsidRPr="001A1E08">
        <w:rPr>
          <w:rFonts w:cs="Times New Roman"/>
          <w:lang w:val="fr-CA"/>
        </w:rPr>
        <w:t xml:space="preserve"> ce dernier d’octroyer des dommages</w:t>
      </w:r>
      <w:r w:rsidR="006412AC">
        <w:rPr>
          <w:rFonts w:cs="Times New Roman"/>
          <w:lang w:val="fr-CA"/>
        </w:rPr>
        <w:t>-</w:t>
      </w:r>
      <w:r w:rsidRPr="001A1E08">
        <w:rPr>
          <w:rFonts w:cs="Times New Roman"/>
          <w:lang w:val="fr-CA"/>
        </w:rPr>
        <w:t xml:space="preserve">intérêts en cas de contravention à cette loi.  </w:t>
      </w:r>
      <w:r w:rsidRPr="001A1E08">
        <w:rPr>
          <w:rFonts w:cs="Times New Roman"/>
          <w:lang w:val="fr-CA"/>
        </w:rPr>
        <w:lastRenderedPageBreak/>
        <w:t xml:space="preserve">À mon humble avis, cette position est intenable.  </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Les appelants affirment que le statut quasi constitutionnel de la </w:t>
      </w:r>
      <w:r w:rsidRPr="001A1E08">
        <w:rPr>
          <w:rFonts w:cs="Times New Roman"/>
          <w:i/>
          <w:lang w:val="fr-CA"/>
        </w:rPr>
        <w:t>LLO</w:t>
      </w:r>
      <w:r w:rsidRPr="001A1E08">
        <w:rPr>
          <w:rFonts w:cs="Times New Roman"/>
          <w:lang w:val="fr-CA"/>
        </w:rPr>
        <w:t xml:space="preserve"> empêche d’interpréter harmonieusement son par.</w:t>
      </w:r>
      <w:r w:rsidR="006412AC">
        <w:rPr>
          <w:rFonts w:cs="Times New Roman"/>
          <w:lang w:val="fr-CA"/>
        </w:rPr>
        <w:t xml:space="preserve"> </w:t>
      </w:r>
      <w:r w:rsidR="00952377">
        <w:rPr>
          <w:rFonts w:cs="Times New Roman"/>
          <w:lang w:val="fr-CA"/>
        </w:rPr>
        <w:t>77(4) et l’article</w:t>
      </w:r>
      <w:r w:rsidR="006412AC">
        <w:rPr>
          <w:rFonts w:cs="Times New Roman"/>
          <w:lang w:val="fr-CA"/>
        </w:rPr>
        <w:t xml:space="preserve"> </w:t>
      </w:r>
      <w:r w:rsidRPr="001A1E08">
        <w:rPr>
          <w:rFonts w:cs="Times New Roman"/>
          <w:lang w:val="fr-CA"/>
        </w:rPr>
        <w:t xml:space="preserve">29 de la </w:t>
      </w:r>
      <w:r w:rsidRPr="001A1E08">
        <w:rPr>
          <w:rFonts w:cs="Times New Roman"/>
          <w:i/>
          <w:lang w:val="fr-CA"/>
        </w:rPr>
        <w:t>Convention de Montréal</w:t>
      </w:r>
      <w:r w:rsidR="006412AC">
        <w:rPr>
          <w:rFonts w:cs="Times New Roman"/>
          <w:lang w:val="fr-CA"/>
        </w:rPr>
        <w:t> :</w:t>
      </w:r>
      <w:r w:rsidRPr="001A1E08">
        <w:rPr>
          <w:rFonts w:cs="Times New Roman"/>
          <w:lang w:val="fr-CA"/>
        </w:rPr>
        <w:t xml:space="preserve"> mémoire du commissaire, par.</w:t>
      </w:r>
      <w:r w:rsidR="006412AC">
        <w:rPr>
          <w:rFonts w:cs="Times New Roman"/>
          <w:lang w:val="fr-CA"/>
        </w:rPr>
        <w:t xml:space="preserve"> </w:t>
      </w:r>
      <w:r w:rsidRPr="001A1E08">
        <w:rPr>
          <w:rFonts w:cs="Times New Roman"/>
          <w:lang w:val="fr-CA"/>
        </w:rPr>
        <w:t>90</w:t>
      </w:r>
      <w:r w:rsidR="006412AC">
        <w:rPr>
          <w:rFonts w:cs="Times New Roman"/>
          <w:lang w:val="fr-CA"/>
        </w:rPr>
        <w:t>-</w:t>
      </w:r>
      <w:r w:rsidRPr="001A1E08">
        <w:rPr>
          <w:rFonts w:cs="Times New Roman"/>
          <w:lang w:val="fr-CA"/>
        </w:rPr>
        <w:t>95.  Suivant cet argument, considérer que le par.</w:t>
      </w:r>
      <w:r w:rsidR="006412AC">
        <w:rPr>
          <w:rFonts w:cs="Times New Roman"/>
          <w:lang w:val="fr-CA"/>
        </w:rPr>
        <w:t xml:space="preserve"> </w:t>
      </w:r>
      <w:r w:rsidRPr="001A1E08">
        <w:rPr>
          <w:rFonts w:cs="Times New Roman"/>
          <w:lang w:val="fr-CA"/>
        </w:rPr>
        <w:t>77(4) ne permet pas d’accorder des dommages</w:t>
      </w:r>
      <w:r w:rsidR="006412AC">
        <w:rPr>
          <w:rFonts w:cs="Times New Roman"/>
          <w:lang w:val="fr-CA"/>
        </w:rPr>
        <w:t>-</w:t>
      </w:r>
      <w:r w:rsidRPr="001A1E08">
        <w:rPr>
          <w:rFonts w:cs="Times New Roman"/>
          <w:lang w:val="fr-CA"/>
        </w:rPr>
        <w:t xml:space="preserve">intérêts dans le contexte du transport aérien international irait à l’encontre du statut quasi constitutionnel de la </w:t>
      </w:r>
      <w:r w:rsidRPr="001A1E08">
        <w:rPr>
          <w:rFonts w:cs="Times New Roman"/>
          <w:i/>
          <w:lang w:val="fr-CA"/>
        </w:rPr>
        <w:t>LLO</w:t>
      </w:r>
      <w:r w:rsidRPr="001A1E08">
        <w:rPr>
          <w:rFonts w:cs="Times New Roman"/>
          <w:lang w:val="fr-CA"/>
        </w:rPr>
        <w:t xml:space="preserve"> et, par conséquent, de l’intention du législateur.  Avec égards, je ne peux pas accepter cette prétention.  </w:t>
      </w:r>
    </w:p>
    <w:p w:rsidR="00367456" w:rsidRDefault="00367456" w:rsidP="00A12DCE">
      <w:pPr>
        <w:pStyle w:val="ParaNoNdepar-AltN"/>
        <w:widowControl w:val="0"/>
        <w:rPr>
          <w:rFonts w:cs="Times New Roman"/>
          <w:lang w:val="fr-CA"/>
        </w:rPr>
      </w:pPr>
      <w:r w:rsidRPr="001A1E08">
        <w:rPr>
          <w:rFonts w:cs="Times New Roman"/>
          <w:lang w:val="fr-CA"/>
        </w:rPr>
        <w:t>Le paragraphe</w:t>
      </w:r>
      <w:r w:rsidR="006412AC">
        <w:rPr>
          <w:rFonts w:cs="Times New Roman"/>
          <w:lang w:val="fr-CA"/>
        </w:rPr>
        <w:t xml:space="preserve"> </w:t>
      </w:r>
      <w:r w:rsidRPr="001A1E08">
        <w:rPr>
          <w:rFonts w:cs="Times New Roman"/>
          <w:lang w:val="fr-CA"/>
        </w:rPr>
        <w:t xml:space="preserve">77(4) de la </w:t>
      </w:r>
      <w:r w:rsidRPr="001A1E08">
        <w:rPr>
          <w:rFonts w:cs="Times New Roman"/>
          <w:i/>
          <w:lang w:val="fr-CA"/>
        </w:rPr>
        <w:t>LLO</w:t>
      </w:r>
      <w:r w:rsidRPr="001A1E08">
        <w:rPr>
          <w:rFonts w:cs="Times New Roman"/>
          <w:lang w:val="fr-CA"/>
        </w:rPr>
        <w:t xml:space="preserve"> s’inscrit assurément dans un régime législatif quasi constitutionnel visant à refléter et à actualiser l’égalité de statut du français et de l’anglais en tant que langues officielles du Canada, de même que les </w:t>
      </w:r>
      <w:r w:rsidR="006412AC">
        <w:rPr>
          <w:rFonts w:cs="Times New Roman"/>
          <w:lang w:val="fr-CA"/>
        </w:rPr>
        <w:t>« </w:t>
      </w:r>
      <w:r w:rsidRPr="001A1E08">
        <w:rPr>
          <w:rFonts w:cs="Times New Roman"/>
          <w:lang w:val="fr-CA"/>
        </w:rPr>
        <w:t>droits et privilèges égaux quant à leur usage dans les institutions du Parlement et du gouvernement du Canada</w:t>
      </w:r>
      <w:r w:rsidR="006412AC">
        <w:rPr>
          <w:rFonts w:cs="Times New Roman"/>
          <w:lang w:val="fr-CA"/>
        </w:rPr>
        <w:t> »</w:t>
      </w:r>
      <w:r w:rsidRPr="001A1E08">
        <w:rPr>
          <w:rFonts w:cs="Times New Roman"/>
          <w:lang w:val="fr-CA"/>
        </w:rPr>
        <w:t>, ainsi qu’il est déclaré au par.</w:t>
      </w:r>
      <w:r w:rsidR="006412AC">
        <w:rPr>
          <w:rFonts w:cs="Times New Roman"/>
          <w:lang w:val="fr-CA"/>
        </w:rPr>
        <w:t xml:space="preserve"> </w:t>
      </w:r>
      <w:r w:rsidRPr="001A1E08">
        <w:rPr>
          <w:rFonts w:cs="Times New Roman"/>
          <w:lang w:val="fr-CA"/>
        </w:rPr>
        <w:t xml:space="preserve">16(1) de la </w:t>
      </w:r>
      <w:r w:rsidRPr="001A1E08">
        <w:rPr>
          <w:rFonts w:cs="Times New Roman"/>
          <w:i/>
          <w:lang w:val="fr-CA"/>
        </w:rPr>
        <w:t>Charte</w:t>
      </w:r>
      <w:r w:rsidR="006412AC">
        <w:rPr>
          <w:rFonts w:cs="Times New Roman"/>
          <w:lang w:val="fr-CA"/>
        </w:rPr>
        <w:t> :</w:t>
      </w:r>
      <w:r w:rsidRPr="001A1E08">
        <w:rPr>
          <w:rFonts w:cs="Times New Roman"/>
          <w:lang w:val="fr-CA"/>
        </w:rPr>
        <w:t xml:space="preserve"> voir, p.</w:t>
      </w:r>
      <w:r w:rsidR="006412AC">
        <w:rPr>
          <w:rFonts w:cs="Times New Roman"/>
          <w:lang w:val="fr-CA"/>
        </w:rPr>
        <w:t xml:space="preserve"> </w:t>
      </w:r>
      <w:r w:rsidRPr="001A1E08">
        <w:rPr>
          <w:rFonts w:cs="Times New Roman"/>
          <w:lang w:val="fr-CA"/>
        </w:rPr>
        <w:t xml:space="preserve">ex., </w:t>
      </w:r>
      <w:r w:rsidRPr="001A1E08">
        <w:rPr>
          <w:rFonts w:cs="Times New Roman"/>
          <w:i/>
          <w:lang w:val="fr-CA"/>
        </w:rPr>
        <w:t xml:space="preserve">R. c. </w:t>
      </w:r>
      <w:proofErr w:type="spellStart"/>
      <w:r w:rsidRPr="001A1E08">
        <w:rPr>
          <w:rFonts w:cs="Times New Roman"/>
          <w:i/>
          <w:lang w:val="fr-CA"/>
        </w:rPr>
        <w:t>Beaulac</w:t>
      </w:r>
      <w:proofErr w:type="spellEnd"/>
      <w:r w:rsidRPr="001A1E08">
        <w:rPr>
          <w:rFonts w:cs="Times New Roman"/>
          <w:lang w:val="fr-CA"/>
        </w:rPr>
        <w:t xml:space="preserve">, [1999] 1 R.C.S. 768; </w:t>
      </w:r>
      <w:r w:rsidRPr="001A1E08">
        <w:rPr>
          <w:rFonts w:cs="Times New Roman"/>
          <w:i/>
          <w:lang w:val="fr-CA"/>
        </w:rPr>
        <w:t>Lavigne</w:t>
      </w:r>
      <w:r w:rsidRPr="001A1E08">
        <w:rPr>
          <w:rFonts w:cs="Times New Roman"/>
          <w:lang w:val="fr-CA"/>
        </w:rPr>
        <w:t>, par.</w:t>
      </w:r>
      <w:r w:rsidR="006412AC">
        <w:rPr>
          <w:rFonts w:cs="Times New Roman"/>
          <w:lang w:val="fr-CA"/>
        </w:rPr>
        <w:t xml:space="preserve"> </w:t>
      </w:r>
      <w:r w:rsidRPr="001A1E08">
        <w:rPr>
          <w:rFonts w:cs="Times New Roman"/>
          <w:lang w:val="fr-CA"/>
        </w:rPr>
        <w:t>23.  À l’instar du par.</w:t>
      </w:r>
      <w:r w:rsidR="006412AC">
        <w:rPr>
          <w:rFonts w:cs="Times New Roman"/>
          <w:lang w:val="fr-CA"/>
        </w:rPr>
        <w:t xml:space="preserve"> </w:t>
      </w:r>
      <w:r w:rsidRPr="001A1E08">
        <w:rPr>
          <w:rFonts w:cs="Times New Roman"/>
          <w:lang w:val="fr-CA"/>
        </w:rPr>
        <w:t xml:space="preserve">24(1) de la </w:t>
      </w:r>
      <w:r w:rsidRPr="001A1E08">
        <w:rPr>
          <w:rFonts w:cs="Times New Roman"/>
          <w:i/>
          <w:lang w:val="fr-CA"/>
        </w:rPr>
        <w:t>Charte</w:t>
      </w:r>
      <w:r w:rsidRPr="001A1E08">
        <w:rPr>
          <w:rFonts w:cs="Times New Roman"/>
          <w:lang w:val="fr-CA"/>
        </w:rPr>
        <w:t>, le par.</w:t>
      </w:r>
      <w:r w:rsidR="006412AC">
        <w:rPr>
          <w:rFonts w:cs="Times New Roman"/>
          <w:lang w:val="fr-CA"/>
        </w:rPr>
        <w:t xml:space="preserve"> </w:t>
      </w:r>
      <w:r w:rsidRPr="001A1E08">
        <w:rPr>
          <w:rFonts w:cs="Times New Roman"/>
          <w:lang w:val="fr-CA"/>
        </w:rPr>
        <w:t xml:space="preserve">77(4) de la </w:t>
      </w:r>
      <w:r w:rsidRPr="001A1E08">
        <w:rPr>
          <w:rFonts w:cs="Times New Roman"/>
          <w:i/>
          <w:lang w:val="fr-CA"/>
        </w:rPr>
        <w:t>LLO</w:t>
      </w:r>
      <w:r w:rsidRPr="001A1E08">
        <w:rPr>
          <w:rFonts w:cs="Times New Roman"/>
          <w:lang w:val="fr-CA"/>
        </w:rPr>
        <w:t xml:space="preserve"> confère un vaste pouvoir de réparation et devrait recevoir une interprétation généreuse afin que se réalise son objet.  Ces facteurs ne modifient cependant en rien la bonne méthode d’interprétation des lois, selon laquelle il faut lire les termes d’une loi dans leur contexte global en suivant le sens ordinaire et grammatical qui s’harmonise avec l’économie de la loi, son objet et l’intention du législateur</w:t>
      </w:r>
      <w:r w:rsidR="006412AC">
        <w:rPr>
          <w:rFonts w:cs="Times New Roman"/>
          <w:lang w:val="fr-CA"/>
        </w:rPr>
        <w:t> :</w:t>
      </w:r>
      <w:r w:rsidRPr="001A1E08">
        <w:rPr>
          <w:rFonts w:cs="Times New Roman"/>
          <w:lang w:val="fr-CA"/>
        </w:rPr>
        <w:t xml:space="preserve"> </w:t>
      </w:r>
      <w:r w:rsidRPr="001A1E08">
        <w:rPr>
          <w:rFonts w:cs="Times New Roman"/>
          <w:i/>
          <w:lang w:val="fr-CA"/>
        </w:rPr>
        <w:t>Lavigne</w:t>
      </w:r>
      <w:r w:rsidRPr="001A1E08">
        <w:rPr>
          <w:rFonts w:cs="Times New Roman"/>
          <w:lang w:val="fr-CA"/>
        </w:rPr>
        <w:t>, par.</w:t>
      </w:r>
      <w:r w:rsidR="006412AC">
        <w:rPr>
          <w:rFonts w:cs="Times New Roman"/>
          <w:lang w:val="fr-CA"/>
        </w:rPr>
        <w:t xml:space="preserve"> </w:t>
      </w:r>
      <w:r w:rsidRPr="001A1E08">
        <w:rPr>
          <w:rFonts w:cs="Times New Roman"/>
          <w:lang w:val="fr-CA"/>
        </w:rPr>
        <w:t xml:space="preserve">25, citant E. A. </w:t>
      </w:r>
      <w:proofErr w:type="spellStart"/>
      <w:r w:rsidRPr="001A1E08">
        <w:rPr>
          <w:rFonts w:cs="Times New Roman"/>
          <w:lang w:val="fr-CA"/>
        </w:rPr>
        <w:t>Driedger</w:t>
      </w:r>
      <w:proofErr w:type="spellEnd"/>
      <w:r w:rsidRPr="001A1E08">
        <w:rPr>
          <w:rFonts w:cs="Times New Roman"/>
          <w:lang w:val="fr-CA"/>
        </w:rPr>
        <w:t xml:space="preserve">, </w:t>
      </w:r>
      <w:r w:rsidRPr="001A1E08">
        <w:rPr>
          <w:rFonts w:cs="Times New Roman"/>
          <w:i/>
          <w:lang w:val="fr-CA"/>
        </w:rPr>
        <w:t xml:space="preserve">Construction of </w:t>
      </w:r>
      <w:proofErr w:type="spellStart"/>
      <w:r w:rsidRPr="001A1E08">
        <w:rPr>
          <w:rFonts w:cs="Times New Roman"/>
          <w:i/>
          <w:lang w:val="fr-CA"/>
        </w:rPr>
        <w:t>Statutes</w:t>
      </w:r>
      <w:proofErr w:type="spellEnd"/>
      <w:r w:rsidRPr="001A1E08">
        <w:rPr>
          <w:rFonts w:cs="Times New Roman"/>
          <w:i/>
          <w:lang w:val="fr-CA"/>
        </w:rPr>
        <w:t xml:space="preserve"> </w:t>
      </w:r>
      <w:r w:rsidRPr="001A1E08">
        <w:rPr>
          <w:rFonts w:cs="Times New Roman"/>
          <w:lang w:val="fr-CA"/>
        </w:rPr>
        <w:t>(2</w:t>
      </w:r>
      <w:r w:rsidRPr="001A1E08">
        <w:rPr>
          <w:rFonts w:cs="Times New Roman"/>
          <w:vertAlign w:val="superscript"/>
          <w:lang w:val="fr-CA"/>
        </w:rPr>
        <w:t>e</w:t>
      </w:r>
      <w:r w:rsidR="007F77FA">
        <w:rPr>
          <w:rFonts w:cs="Times New Roman"/>
          <w:lang w:val="fr-CA"/>
        </w:rPr>
        <w:t xml:space="preserve"> éd.</w:t>
      </w:r>
      <w:r w:rsidRPr="001A1E08">
        <w:rPr>
          <w:rFonts w:cs="Times New Roman"/>
          <w:lang w:val="fr-CA"/>
        </w:rPr>
        <w:t xml:space="preserve"> 1983), p.</w:t>
      </w:r>
      <w:r w:rsidR="006412AC">
        <w:rPr>
          <w:rFonts w:cs="Times New Roman"/>
          <w:lang w:val="fr-CA"/>
        </w:rPr>
        <w:t xml:space="preserve"> </w:t>
      </w:r>
      <w:r w:rsidRPr="001A1E08">
        <w:rPr>
          <w:rFonts w:cs="Times New Roman"/>
          <w:lang w:val="fr-CA"/>
        </w:rPr>
        <w:t xml:space="preserve">87.  À mon sens, il ressort de la </w:t>
      </w:r>
      <w:r w:rsidRPr="001A1E08">
        <w:rPr>
          <w:rFonts w:cs="Times New Roman"/>
          <w:i/>
          <w:lang w:val="fr-CA"/>
        </w:rPr>
        <w:t>LLO</w:t>
      </w:r>
      <w:r w:rsidRPr="001A1E08">
        <w:rPr>
          <w:rFonts w:cs="Times New Roman"/>
          <w:lang w:val="fr-CA"/>
        </w:rPr>
        <w:t>, lue dans son contexte global, que le législateur ne voulait pas empêcher que le par.</w:t>
      </w:r>
      <w:r w:rsidR="006412AC">
        <w:rPr>
          <w:rFonts w:cs="Times New Roman"/>
          <w:lang w:val="fr-CA"/>
        </w:rPr>
        <w:t xml:space="preserve"> </w:t>
      </w:r>
      <w:r w:rsidRPr="001A1E08">
        <w:rPr>
          <w:rFonts w:cs="Times New Roman"/>
          <w:lang w:val="fr-CA"/>
        </w:rPr>
        <w:t xml:space="preserve">77(4) soit interprété harmonieusement </w:t>
      </w:r>
      <w:r w:rsidRPr="001A1E08">
        <w:rPr>
          <w:rFonts w:cs="Times New Roman"/>
          <w:lang w:val="fr-CA"/>
        </w:rPr>
        <w:lastRenderedPageBreak/>
        <w:t>avec les obligations internationales du Canada mises en œuvre par une autre loi fédérale.</w:t>
      </w:r>
      <w:r>
        <w:rPr>
          <w:rFonts w:cs="Times New Roman"/>
          <w:lang w:val="fr-CA"/>
        </w:rPr>
        <w:t xml:space="preserve">  </w:t>
      </w:r>
    </w:p>
    <w:p w:rsidR="00367456" w:rsidRPr="001A1E08" w:rsidRDefault="00367456" w:rsidP="00A12DCE">
      <w:pPr>
        <w:pStyle w:val="ParaNoNdepar-AltN"/>
        <w:widowControl w:val="0"/>
        <w:rPr>
          <w:rFonts w:cs="Times New Roman"/>
          <w:lang w:val="fr-CA"/>
        </w:rPr>
      </w:pPr>
      <w:r w:rsidRPr="001A1E08">
        <w:rPr>
          <w:rFonts w:cs="Times New Roman"/>
          <w:lang w:val="fr-CA"/>
        </w:rPr>
        <w:t>Il est peu probable que le législateur ait voulu, au moyen du libellé général du par.</w:t>
      </w:r>
      <w:r w:rsidR="006412AC">
        <w:rPr>
          <w:rFonts w:cs="Times New Roman"/>
          <w:lang w:val="fr-CA"/>
        </w:rPr>
        <w:t xml:space="preserve"> </w:t>
      </w:r>
      <w:r w:rsidRPr="001A1E08">
        <w:rPr>
          <w:rFonts w:cs="Times New Roman"/>
          <w:lang w:val="fr-CA"/>
        </w:rPr>
        <w:t xml:space="preserve">77(4), faire en sorte que cette disposition soit considérée comme un énoncé exclusif et exhaustif du pouvoir de réparation conféré à la Cour fédérale par la </w:t>
      </w:r>
      <w:r w:rsidRPr="001A1E08">
        <w:rPr>
          <w:rFonts w:cs="Times New Roman"/>
          <w:i/>
          <w:lang w:val="fr-CA"/>
        </w:rPr>
        <w:t>LLO</w:t>
      </w:r>
      <w:r w:rsidRPr="001A1E08">
        <w:rPr>
          <w:rFonts w:cs="Times New Roman"/>
          <w:lang w:val="fr-CA"/>
        </w:rPr>
        <w:t xml:space="preserve"> qui écarte l’ensemble des autres lois et principes juridiques.  Les appelants prétendent en fait que le législateur voulait, au moyen du par.</w:t>
      </w:r>
      <w:r w:rsidR="006412AC">
        <w:rPr>
          <w:rFonts w:cs="Times New Roman"/>
          <w:lang w:val="fr-CA"/>
        </w:rPr>
        <w:t xml:space="preserve"> </w:t>
      </w:r>
      <w:r w:rsidRPr="001A1E08">
        <w:rPr>
          <w:rFonts w:cs="Times New Roman"/>
          <w:lang w:val="fr-CA"/>
        </w:rPr>
        <w:t>77(4), permettre aux tribunaux d’accorder des dommages</w:t>
      </w:r>
      <w:r w:rsidR="006412AC">
        <w:rPr>
          <w:rFonts w:cs="Times New Roman"/>
          <w:lang w:val="fr-CA"/>
        </w:rPr>
        <w:t>-</w:t>
      </w:r>
      <w:r w:rsidRPr="001A1E08">
        <w:rPr>
          <w:rFonts w:cs="Times New Roman"/>
          <w:lang w:val="fr-CA"/>
        </w:rPr>
        <w:t>intérêts, même si l’octroi d’une réparation de cette nature contrevient aux engagements internationaux du Canada incorporés dans une loi fédérale.  Cette prétention va à l’encontre du principe d’interprétation selon lequel le législateur est réputé ne pas vouloir légiférer en contravention des obligations du Canada ressortissant au droit international</w:t>
      </w:r>
      <w:r w:rsidR="006412AC">
        <w:rPr>
          <w:rFonts w:cs="Times New Roman"/>
          <w:lang w:val="fr-CA"/>
        </w:rPr>
        <w:t> :</w:t>
      </w:r>
      <w:r w:rsidRPr="001A1E08">
        <w:rPr>
          <w:rFonts w:cs="Times New Roman"/>
          <w:lang w:val="fr-CA"/>
        </w:rPr>
        <w:t xml:space="preserve"> voir, p.</w:t>
      </w:r>
      <w:r w:rsidR="006412AC">
        <w:rPr>
          <w:rFonts w:cs="Times New Roman"/>
          <w:lang w:val="fr-CA"/>
        </w:rPr>
        <w:t xml:space="preserve"> </w:t>
      </w:r>
      <w:r w:rsidRPr="001A1E08">
        <w:rPr>
          <w:rFonts w:cs="Times New Roman"/>
          <w:lang w:val="fr-CA"/>
        </w:rPr>
        <w:t xml:space="preserve">ex., </w:t>
      </w:r>
      <w:r w:rsidRPr="001A1E08">
        <w:rPr>
          <w:rFonts w:cs="Times New Roman"/>
          <w:i/>
          <w:lang w:val="fr-CA"/>
        </w:rPr>
        <w:t>Daniels</w:t>
      </w:r>
      <w:r w:rsidRPr="001A1E08">
        <w:rPr>
          <w:rFonts w:cs="Times New Roman"/>
          <w:lang w:val="fr-CA"/>
        </w:rPr>
        <w:t>, p.</w:t>
      </w:r>
      <w:r w:rsidR="006412AC">
        <w:rPr>
          <w:rFonts w:cs="Times New Roman"/>
          <w:lang w:val="fr-CA"/>
        </w:rPr>
        <w:t xml:space="preserve"> </w:t>
      </w:r>
      <w:r w:rsidRPr="001A1E08">
        <w:rPr>
          <w:rFonts w:cs="Times New Roman"/>
          <w:lang w:val="fr-CA"/>
        </w:rPr>
        <w:t xml:space="preserve">541; </w:t>
      </w:r>
      <w:proofErr w:type="spellStart"/>
      <w:r w:rsidRPr="001A1E08">
        <w:rPr>
          <w:rFonts w:cs="Times New Roman"/>
          <w:i/>
          <w:lang w:val="fr-CA"/>
        </w:rPr>
        <w:t>Zingre</w:t>
      </w:r>
      <w:proofErr w:type="spellEnd"/>
      <w:r w:rsidRPr="001A1E08">
        <w:rPr>
          <w:rFonts w:cs="Times New Roman"/>
          <w:i/>
          <w:lang w:val="fr-CA"/>
        </w:rPr>
        <w:t xml:space="preserve"> c. La Reine</w:t>
      </w:r>
      <w:r w:rsidRPr="001A1E08">
        <w:rPr>
          <w:rFonts w:cs="Times New Roman"/>
          <w:lang w:val="fr-CA"/>
        </w:rPr>
        <w:t>, [1981] 2 R.C.S. 392, p.</w:t>
      </w:r>
      <w:r w:rsidR="006412AC">
        <w:rPr>
          <w:rFonts w:cs="Times New Roman"/>
          <w:lang w:val="fr-CA"/>
        </w:rPr>
        <w:t xml:space="preserve"> </w:t>
      </w:r>
      <w:r w:rsidRPr="001A1E08">
        <w:rPr>
          <w:rFonts w:cs="Times New Roman"/>
          <w:lang w:val="fr-CA"/>
        </w:rPr>
        <w:t>409</w:t>
      </w:r>
      <w:r w:rsidR="006412AC">
        <w:rPr>
          <w:rFonts w:cs="Times New Roman"/>
          <w:lang w:val="fr-CA"/>
        </w:rPr>
        <w:t>-</w:t>
      </w:r>
      <w:r>
        <w:rPr>
          <w:rFonts w:cs="Times New Roman"/>
          <w:lang w:val="fr-CA"/>
        </w:rPr>
        <w:t>4</w:t>
      </w:r>
      <w:r w:rsidRPr="001A1E08">
        <w:rPr>
          <w:rFonts w:cs="Times New Roman"/>
          <w:lang w:val="fr-CA"/>
        </w:rPr>
        <w:t xml:space="preserve">10; </w:t>
      </w:r>
      <w:r w:rsidRPr="001A1E08">
        <w:rPr>
          <w:rFonts w:cs="Times New Roman"/>
          <w:i/>
          <w:lang w:val="fr-CA"/>
        </w:rPr>
        <w:t xml:space="preserve">Succession Ordon c. </w:t>
      </w:r>
      <w:proofErr w:type="spellStart"/>
      <w:r w:rsidRPr="001A1E08">
        <w:rPr>
          <w:rFonts w:cs="Times New Roman"/>
          <w:i/>
          <w:lang w:val="fr-CA"/>
        </w:rPr>
        <w:t>Grail</w:t>
      </w:r>
      <w:proofErr w:type="spellEnd"/>
      <w:r w:rsidRPr="001A1E08">
        <w:rPr>
          <w:rFonts w:cs="Times New Roman"/>
          <w:lang w:val="fr-CA"/>
        </w:rPr>
        <w:t>, [1998] 3 R.C.S. 437, par.</w:t>
      </w:r>
      <w:r w:rsidR="006412AC">
        <w:rPr>
          <w:rFonts w:cs="Times New Roman"/>
          <w:lang w:val="fr-CA"/>
        </w:rPr>
        <w:t xml:space="preserve"> </w:t>
      </w:r>
      <w:r w:rsidRPr="001A1E08">
        <w:rPr>
          <w:rFonts w:cs="Times New Roman"/>
          <w:lang w:val="fr-CA"/>
        </w:rPr>
        <w:t>128</w:t>
      </w:r>
      <w:r w:rsidR="006412AC">
        <w:rPr>
          <w:rFonts w:cs="Times New Roman"/>
          <w:lang w:val="fr-CA"/>
        </w:rPr>
        <w:t>-</w:t>
      </w:r>
      <w:r>
        <w:rPr>
          <w:rFonts w:cs="Times New Roman"/>
          <w:lang w:val="fr-CA"/>
        </w:rPr>
        <w:t>1</w:t>
      </w:r>
      <w:r w:rsidRPr="001A1E08">
        <w:rPr>
          <w:rFonts w:cs="Times New Roman"/>
          <w:lang w:val="fr-CA"/>
        </w:rPr>
        <w:t>31; Sullivan, p.</w:t>
      </w:r>
      <w:r w:rsidR="006412AC">
        <w:rPr>
          <w:rFonts w:cs="Times New Roman"/>
          <w:lang w:val="fr-CA"/>
        </w:rPr>
        <w:t xml:space="preserve"> </w:t>
      </w:r>
      <w:r w:rsidRPr="001A1E08">
        <w:rPr>
          <w:rFonts w:cs="Times New Roman"/>
          <w:lang w:val="fr-CA"/>
        </w:rPr>
        <w:t>539</w:t>
      </w:r>
      <w:r w:rsidR="006412AC">
        <w:rPr>
          <w:rFonts w:cs="Times New Roman"/>
          <w:lang w:val="fr-CA"/>
        </w:rPr>
        <w:t>-</w:t>
      </w:r>
      <w:r>
        <w:rPr>
          <w:rFonts w:cs="Times New Roman"/>
          <w:lang w:val="fr-CA"/>
        </w:rPr>
        <w:t>5</w:t>
      </w:r>
      <w:r w:rsidRPr="001A1E08">
        <w:rPr>
          <w:rFonts w:cs="Times New Roman"/>
          <w:lang w:val="fr-CA"/>
        </w:rPr>
        <w:t xml:space="preserve">42.  </w:t>
      </w:r>
    </w:p>
    <w:p w:rsidR="00367456" w:rsidRPr="001A1E08" w:rsidRDefault="00367456" w:rsidP="00A12DCE">
      <w:pPr>
        <w:pStyle w:val="ParaNoNdepar-AltN"/>
        <w:widowControl w:val="0"/>
        <w:rPr>
          <w:rFonts w:cs="Times New Roman"/>
          <w:lang w:val="fr-CA"/>
        </w:rPr>
      </w:pPr>
      <w:r w:rsidRPr="001A1E08">
        <w:rPr>
          <w:rFonts w:cs="Times New Roman"/>
          <w:lang w:val="fr-CA"/>
        </w:rPr>
        <w:t>Il m’est impossible de déceler une telle intention dans le libellé général du par.</w:t>
      </w:r>
      <w:r w:rsidR="006412AC">
        <w:rPr>
          <w:rFonts w:cs="Times New Roman"/>
          <w:lang w:val="fr-CA"/>
        </w:rPr>
        <w:t xml:space="preserve"> </w:t>
      </w:r>
      <w:r w:rsidRPr="001A1E08">
        <w:rPr>
          <w:rFonts w:cs="Times New Roman"/>
          <w:lang w:val="fr-CA"/>
        </w:rPr>
        <w:t xml:space="preserve">77(4).  Cette disposition devrait plutôt être vue comme ayant été incorporée dans un cadre juridique déjà établi, composé de limites législatives, d’exigences procédurales et de principes juridiques généraux — y compris les engagements internationaux du Canada incorporés dans un texte législatif canadien — qui aident le tribunal à décider quelle réparation est </w:t>
      </w:r>
      <w:r w:rsidR="006412AC">
        <w:rPr>
          <w:rFonts w:cs="Times New Roman"/>
          <w:lang w:val="fr-CA"/>
        </w:rPr>
        <w:t>« </w:t>
      </w:r>
      <w:r w:rsidRPr="001A1E08">
        <w:rPr>
          <w:rFonts w:cs="Times New Roman"/>
          <w:lang w:val="fr-CA"/>
        </w:rPr>
        <w:t>convenable et juste</w:t>
      </w:r>
      <w:r w:rsidR="006412AC">
        <w:rPr>
          <w:rFonts w:cs="Times New Roman"/>
          <w:lang w:val="fr-CA"/>
        </w:rPr>
        <w:t> »</w:t>
      </w:r>
      <w:r w:rsidRPr="001A1E08">
        <w:rPr>
          <w:rFonts w:cs="Times New Roman"/>
          <w:lang w:val="fr-CA"/>
        </w:rPr>
        <w:t xml:space="preserve">. </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Qui plus est, un examen de l’historique de cette disposition ne démontre </w:t>
      </w:r>
      <w:r w:rsidRPr="001A1E08">
        <w:rPr>
          <w:rFonts w:cs="Times New Roman"/>
          <w:lang w:val="fr-CA"/>
        </w:rPr>
        <w:lastRenderedPageBreak/>
        <w:t>pas que le législateur entendait autoriser l’octroi de dommages</w:t>
      </w:r>
      <w:r w:rsidR="006412AC">
        <w:rPr>
          <w:rFonts w:cs="Times New Roman"/>
          <w:lang w:val="fr-CA"/>
        </w:rPr>
        <w:t>-</w:t>
      </w:r>
      <w:r w:rsidRPr="001A1E08">
        <w:rPr>
          <w:rFonts w:cs="Times New Roman"/>
          <w:lang w:val="fr-CA"/>
        </w:rPr>
        <w:t>intérêts en violation des engagements internationaux du Canada.  Il ressort du dossier législatif que, durant les débats parlementaires sur la portée de l’art.</w:t>
      </w:r>
      <w:r w:rsidR="006412AC">
        <w:rPr>
          <w:rFonts w:cs="Times New Roman"/>
          <w:lang w:val="fr-CA"/>
        </w:rPr>
        <w:t xml:space="preserve"> </w:t>
      </w:r>
      <w:r w:rsidRPr="001A1E08">
        <w:rPr>
          <w:rFonts w:cs="Times New Roman"/>
          <w:lang w:val="fr-CA"/>
        </w:rPr>
        <w:t xml:space="preserve">77 de la </w:t>
      </w:r>
      <w:r w:rsidRPr="001A1E08">
        <w:rPr>
          <w:rFonts w:cs="Times New Roman"/>
          <w:i/>
          <w:lang w:val="fr-CA"/>
        </w:rPr>
        <w:t>LLO</w:t>
      </w:r>
      <w:r w:rsidRPr="001A1E08">
        <w:rPr>
          <w:rFonts w:cs="Times New Roman"/>
          <w:lang w:val="fr-CA"/>
        </w:rPr>
        <w:t xml:space="preserve"> qui ont eu lieu à l’époque de son adoption, les députés se sont attardés non pas sur les réparations précises pouvant être accordées en vertu de cette disposition, mais plutôt sur la mesure dans laquelle celle</w:t>
      </w:r>
      <w:r w:rsidR="006412AC">
        <w:rPr>
          <w:rFonts w:cs="Times New Roman"/>
          <w:lang w:val="fr-CA"/>
        </w:rPr>
        <w:t>-</w:t>
      </w:r>
      <w:r w:rsidRPr="001A1E08">
        <w:rPr>
          <w:rFonts w:cs="Times New Roman"/>
          <w:lang w:val="fr-CA"/>
        </w:rPr>
        <w:t xml:space="preserve">ci permettait aux tribunaux, au moyen de réparations, de faire respecter certaines parties de la nouvelle </w:t>
      </w:r>
      <w:r w:rsidRPr="001A1E08">
        <w:rPr>
          <w:rFonts w:cs="Times New Roman"/>
          <w:i/>
          <w:lang w:val="fr-CA"/>
        </w:rPr>
        <w:t>LLO</w:t>
      </w:r>
      <w:r w:rsidRPr="001A1E08">
        <w:rPr>
          <w:rFonts w:cs="Times New Roman"/>
          <w:lang w:val="fr-CA"/>
        </w:rPr>
        <w:t>, à la différence de la disposition à caractère purement déclaratoire qui l’a précédée</w:t>
      </w:r>
      <w:r w:rsidR="006412AC">
        <w:rPr>
          <w:rFonts w:cs="Times New Roman"/>
          <w:lang w:val="fr-CA"/>
        </w:rPr>
        <w:t> :</w:t>
      </w:r>
      <w:r w:rsidRPr="001A1E08">
        <w:rPr>
          <w:rFonts w:cs="Times New Roman"/>
          <w:lang w:val="fr-CA"/>
        </w:rPr>
        <w:t xml:space="preserve"> voir </w:t>
      </w:r>
      <w:r w:rsidRPr="001A1E08">
        <w:rPr>
          <w:rFonts w:cs="Times New Roman"/>
          <w:i/>
          <w:lang w:val="fr-CA"/>
        </w:rPr>
        <w:t>Débats de la Chambre des communes</w:t>
      </w:r>
      <w:r w:rsidRPr="001A1E08">
        <w:rPr>
          <w:rFonts w:cs="Times New Roman"/>
          <w:lang w:val="fr-CA"/>
        </w:rPr>
        <w:t>, vol.</w:t>
      </w:r>
      <w:r w:rsidR="006412AC">
        <w:rPr>
          <w:rFonts w:cs="Times New Roman"/>
          <w:lang w:val="fr-CA"/>
        </w:rPr>
        <w:t xml:space="preserve"> </w:t>
      </w:r>
      <w:r w:rsidRPr="001A1E08">
        <w:rPr>
          <w:rFonts w:cs="Times New Roman"/>
          <w:lang w:val="fr-CA"/>
        </w:rPr>
        <w:t>X, 2</w:t>
      </w:r>
      <w:r w:rsidRPr="001A1E08">
        <w:rPr>
          <w:rFonts w:cs="Times New Roman"/>
          <w:vertAlign w:val="superscript"/>
          <w:lang w:val="fr-CA"/>
        </w:rPr>
        <w:t>e</w:t>
      </w:r>
      <w:r w:rsidR="006412AC">
        <w:rPr>
          <w:rFonts w:cs="Times New Roman"/>
          <w:lang w:val="fr-CA"/>
        </w:rPr>
        <w:t xml:space="preserve"> </w:t>
      </w:r>
      <w:proofErr w:type="spellStart"/>
      <w:proofErr w:type="gramStart"/>
      <w:r w:rsidRPr="001A1E08">
        <w:rPr>
          <w:rFonts w:cs="Times New Roman"/>
          <w:lang w:val="fr-CA"/>
        </w:rPr>
        <w:t>sess</w:t>
      </w:r>
      <w:proofErr w:type="spellEnd"/>
      <w:r w:rsidRPr="001A1E08">
        <w:rPr>
          <w:rFonts w:cs="Times New Roman"/>
          <w:lang w:val="fr-CA"/>
        </w:rPr>
        <w:t>.,</w:t>
      </w:r>
      <w:proofErr w:type="gramEnd"/>
      <w:r w:rsidRPr="001A1E08">
        <w:rPr>
          <w:rFonts w:cs="Times New Roman"/>
          <w:lang w:val="fr-CA"/>
        </w:rPr>
        <w:t xml:space="preserve"> 33</w:t>
      </w:r>
      <w:r w:rsidRPr="001A1E08">
        <w:rPr>
          <w:rFonts w:cs="Times New Roman"/>
          <w:vertAlign w:val="superscript"/>
          <w:lang w:val="fr-CA"/>
        </w:rPr>
        <w:t>e</w:t>
      </w:r>
      <w:r w:rsidR="006412AC">
        <w:rPr>
          <w:rFonts w:cs="Times New Roman"/>
          <w:lang w:val="fr-CA"/>
        </w:rPr>
        <w:t xml:space="preserve"> </w:t>
      </w:r>
      <w:proofErr w:type="spellStart"/>
      <w:r w:rsidR="007F77FA">
        <w:rPr>
          <w:rFonts w:cs="Times New Roman"/>
          <w:lang w:val="fr-CA"/>
        </w:rPr>
        <w:t>lég</w:t>
      </w:r>
      <w:proofErr w:type="spellEnd"/>
      <w:r w:rsidR="007F77FA">
        <w:rPr>
          <w:rFonts w:cs="Times New Roman"/>
          <w:lang w:val="fr-CA"/>
        </w:rPr>
        <w:t xml:space="preserve">., </w:t>
      </w:r>
      <w:r w:rsidRPr="001A1E08">
        <w:rPr>
          <w:rFonts w:cs="Times New Roman"/>
          <w:lang w:val="fr-CA"/>
        </w:rPr>
        <w:t>8</w:t>
      </w:r>
      <w:r w:rsidR="006412AC">
        <w:rPr>
          <w:rFonts w:cs="Times New Roman"/>
          <w:lang w:val="fr-CA"/>
        </w:rPr>
        <w:t xml:space="preserve"> </w:t>
      </w:r>
      <w:r w:rsidR="007F77FA">
        <w:rPr>
          <w:rFonts w:cs="Times New Roman"/>
          <w:lang w:val="fr-CA"/>
        </w:rPr>
        <w:t>février 1988</w:t>
      </w:r>
      <w:r w:rsidRPr="001A1E08">
        <w:rPr>
          <w:rFonts w:cs="Times New Roman"/>
          <w:lang w:val="fr-CA"/>
        </w:rPr>
        <w:t>, p.</w:t>
      </w:r>
      <w:r w:rsidR="006412AC">
        <w:rPr>
          <w:rFonts w:cs="Times New Roman"/>
          <w:lang w:val="fr-CA"/>
        </w:rPr>
        <w:t xml:space="preserve"> </w:t>
      </w:r>
      <w:r w:rsidRPr="001A1E08">
        <w:rPr>
          <w:rFonts w:cs="Times New Roman"/>
          <w:lang w:val="fr-CA"/>
        </w:rPr>
        <w:t>12706, 12712, 12715 et 12737 (l’hon.</w:t>
      </w:r>
      <w:r w:rsidR="006412AC">
        <w:rPr>
          <w:rFonts w:cs="Times New Roman"/>
          <w:lang w:val="fr-CA"/>
        </w:rPr>
        <w:t xml:space="preserve"> </w:t>
      </w:r>
      <w:r w:rsidRPr="001A1E08">
        <w:rPr>
          <w:rFonts w:cs="Times New Roman"/>
          <w:lang w:val="fr-CA"/>
        </w:rPr>
        <w:t xml:space="preserve">Ray </w:t>
      </w:r>
      <w:proofErr w:type="spellStart"/>
      <w:r w:rsidRPr="001A1E08">
        <w:rPr>
          <w:rFonts w:cs="Times New Roman"/>
          <w:lang w:val="fr-CA"/>
        </w:rPr>
        <w:t>Hnatyshyn</w:t>
      </w:r>
      <w:proofErr w:type="spellEnd"/>
      <w:r w:rsidRPr="001A1E08">
        <w:rPr>
          <w:rFonts w:cs="Times New Roman"/>
          <w:lang w:val="fr-CA"/>
        </w:rPr>
        <w:t>, ministre de la Justice et procureur général du Canada, M.</w:t>
      </w:r>
      <w:r w:rsidR="006412AC">
        <w:rPr>
          <w:rFonts w:cs="Times New Roman"/>
          <w:lang w:val="fr-CA"/>
        </w:rPr>
        <w:t xml:space="preserve"> </w:t>
      </w:r>
      <w:r w:rsidRPr="001A1E08">
        <w:rPr>
          <w:rFonts w:cs="Times New Roman"/>
          <w:lang w:val="fr-CA"/>
        </w:rPr>
        <w:t>Jean</w:t>
      </w:r>
      <w:r w:rsidR="006412AC">
        <w:rPr>
          <w:rFonts w:cs="Times New Roman"/>
          <w:lang w:val="fr-CA"/>
        </w:rPr>
        <w:t>-</w:t>
      </w:r>
      <w:r w:rsidRPr="001A1E08">
        <w:rPr>
          <w:rFonts w:cs="Times New Roman"/>
          <w:lang w:val="fr-CA"/>
        </w:rPr>
        <w:t>Robert Gauthier, M</w:t>
      </w:r>
      <w:r w:rsidRPr="001A1E08">
        <w:rPr>
          <w:rFonts w:cs="Times New Roman"/>
          <w:vertAlign w:val="superscript"/>
          <w:lang w:val="fr-CA"/>
        </w:rPr>
        <w:t>me</w:t>
      </w:r>
      <w:r w:rsidRPr="001A1E08">
        <w:rPr>
          <w:rFonts w:cs="Times New Roman"/>
          <w:lang w:val="fr-CA"/>
        </w:rPr>
        <w:t xml:space="preserve"> Marion Dewar, l’hon. Warren </w:t>
      </w:r>
      <w:proofErr w:type="spellStart"/>
      <w:r w:rsidRPr="001A1E08">
        <w:rPr>
          <w:rFonts w:cs="Times New Roman"/>
          <w:lang w:val="fr-CA"/>
        </w:rPr>
        <w:t>Allmand</w:t>
      </w:r>
      <w:proofErr w:type="spellEnd"/>
      <w:r w:rsidRPr="001A1E08">
        <w:rPr>
          <w:rFonts w:cs="Times New Roman"/>
          <w:lang w:val="fr-CA"/>
        </w:rPr>
        <w:t xml:space="preserve">); </w:t>
      </w:r>
      <w:r w:rsidRPr="001A1E08">
        <w:rPr>
          <w:rFonts w:cs="Times New Roman"/>
          <w:i/>
          <w:lang w:val="fr-CA"/>
        </w:rPr>
        <w:t>Débats de la Chambre des communes</w:t>
      </w:r>
      <w:r w:rsidRPr="001A1E08">
        <w:rPr>
          <w:rFonts w:cs="Times New Roman"/>
          <w:lang w:val="fr-CA"/>
        </w:rPr>
        <w:t>, vol.</w:t>
      </w:r>
      <w:r w:rsidR="006412AC">
        <w:rPr>
          <w:rFonts w:cs="Times New Roman"/>
          <w:lang w:val="fr-CA"/>
        </w:rPr>
        <w:t xml:space="preserve"> </w:t>
      </w:r>
      <w:r w:rsidRPr="001A1E08">
        <w:rPr>
          <w:rFonts w:cs="Times New Roman"/>
          <w:lang w:val="fr-CA"/>
        </w:rPr>
        <w:t>XIV, 2</w:t>
      </w:r>
      <w:r w:rsidRPr="001A1E08">
        <w:rPr>
          <w:rFonts w:cs="Times New Roman"/>
          <w:vertAlign w:val="superscript"/>
          <w:lang w:val="fr-CA"/>
        </w:rPr>
        <w:t>e</w:t>
      </w:r>
      <w:r w:rsidR="006412AC">
        <w:rPr>
          <w:rFonts w:cs="Times New Roman"/>
          <w:lang w:val="fr-CA"/>
        </w:rPr>
        <w:t xml:space="preserve"> </w:t>
      </w:r>
      <w:proofErr w:type="spellStart"/>
      <w:proofErr w:type="gramStart"/>
      <w:r w:rsidRPr="001A1E08">
        <w:rPr>
          <w:rFonts w:cs="Times New Roman"/>
          <w:lang w:val="fr-CA"/>
        </w:rPr>
        <w:t>sess</w:t>
      </w:r>
      <w:proofErr w:type="spellEnd"/>
      <w:r w:rsidRPr="001A1E08">
        <w:rPr>
          <w:rFonts w:cs="Times New Roman"/>
          <w:lang w:val="fr-CA"/>
        </w:rPr>
        <w:t>.,</w:t>
      </w:r>
      <w:proofErr w:type="gramEnd"/>
      <w:r w:rsidRPr="001A1E08">
        <w:rPr>
          <w:rFonts w:cs="Times New Roman"/>
          <w:lang w:val="fr-CA"/>
        </w:rPr>
        <w:t xml:space="preserve"> 33</w:t>
      </w:r>
      <w:r w:rsidRPr="001A1E08">
        <w:rPr>
          <w:rFonts w:cs="Times New Roman"/>
          <w:vertAlign w:val="superscript"/>
          <w:lang w:val="fr-CA"/>
        </w:rPr>
        <w:t>e</w:t>
      </w:r>
      <w:r w:rsidR="006412AC">
        <w:rPr>
          <w:rFonts w:cs="Times New Roman"/>
          <w:lang w:val="fr-CA"/>
        </w:rPr>
        <w:t xml:space="preserve"> </w:t>
      </w:r>
      <w:proofErr w:type="spellStart"/>
      <w:r w:rsidR="007F77FA">
        <w:rPr>
          <w:rFonts w:cs="Times New Roman"/>
          <w:lang w:val="fr-CA"/>
        </w:rPr>
        <w:t>lég</w:t>
      </w:r>
      <w:proofErr w:type="spellEnd"/>
      <w:r w:rsidR="007F77FA">
        <w:rPr>
          <w:rFonts w:cs="Times New Roman"/>
          <w:lang w:val="fr-CA"/>
        </w:rPr>
        <w:t xml:space="preserve">., </w:t>
      </w:r>
      <w:r w:rsidRPr="001A1E08">
        <w:rPr>
          <w:rFonts w:cs="Times New Roman"/>
          <w:lang w:val="fr-CA"/>
        </w:rPr>
        <w:t>7</w:t>
      </w:r>
      <w:r w:rsidR="006412AC">
        <w:rPr>
          <w:rFonts w:cs="Times New Roman"/>
          <w:lang w:val="fr-CA"/>
        </w:rPr>
        <w:t xml:space="preserve"> </w:t>
      </w:r>
      <w:r w:rsidRPr="001A1E08">
        <w:rPr>
          <w:rFonts w:cs="Times New Roman"/>
          <w:lang w:val="fr-CA"/>
        </w:rPr>
        <w:t>juillet 1988, p.</w:t>
      </w:r>
      <w:r w:rsidR="006412AC">
        <w:rPr>
          <w:rFonts w:cs="Times New Roman"/>
          <w:lang w:val="fr-CA"/>
        </w:rPr>
        <w:t xml:space="preserve"> </w:t>
      </w:r>
      <w:r w:rsidRPr="001A1E08">
        <w:rPr>
          <w:rFonts w:cs="Times New Roman"/>
          <w:lang w:val="fr-CA"/>
        </w:rPr>
        <w:t>17224 (l’hon.</w:t>
      </w:r>
      <w:r w:rsidR="006412AC">
        <w:rPr>
          <w:rFonts w:cs="Times New Roman"/>
          <w:lang w:val="fr-CA"/>
        </w:rPr>
        <w:t xml:space="preserve"> </w:t>
      </w:r>
      <w:r w:rsidRPr="001A1E08">
        <w:rPr>
          <w:rFonts w:cs="Times New Roman"/>
          <w:lang w:val="fr-CA"/>
        </w:rPr>
        <w:t xml:space="preserve">Ray </w:t>
      </w:r>
      <w:proofErr w:type="spellStart"/>
      <w:r w:rsidRPr="001A1E08">
        <w:rPr>
          <w:rFonts w:cs="Times New Roman"/>
          <w:lang w:val="fr-CA"/>
        </w:rPr>
        <w:t>Hnatyshyn</w:t>
      </w:r>
      <w:proofErr w:type="spellEnd"/>
      <w:r w:rsidRPr="001A1E08">
        <w:rPr>
          <w:rFonts w:cs="Times New Roman"/>
          <w:lang w:val="fr-CA"/>
        </w:rPr>
        <w:t>, ministre de la Justice et procureur général du Canada).  Si, lors des débats, on a estimé que des dommages</w:t>
      </w:r>
      <w:r w:rsidR="006412AC">
        <w:rPr>
          <w:rFonts w:cs="Times New Roman"/>
          <w:lang w:val="fr-CA"/>
        </w:rPr>
        <w:t>-</w:t>
      </w:r>
      <w:r w:rsidRPr="001A1E08">
        <w:rPr>
          <w:rFonts w:cs="Times New Roman"/>
          <w:lang w:val="fr-CA"/>
        </w:rPr>
        <w:t xml:space="preserve">intérêts pouvaient constituer une réparation </w:t>
      </w:r>
      <w:r w:rsidR="006412AC">
        <w:rPr>
          <w:rFonts w:cs="Times New Roman"/>
          <w:lang w:val="fr-CA"/>
        </w:rPr>
        <w:t>« </w:t>
      </w:r>
      <w:r w:rsidRPr="001A1E08">
        <w:rPr>
          <w:rFonts w:cs="Times New Roman"/>
          <w:lang w:val="fr-CA"/>
        </w:rPr>
        <w:t>convenable et juste</w:t>
      </w:r>
      <w:r w:rsidR="006412AC">
        <w:rPr>
          <w:rFonts w:cs="Times New Roman"/>
          <w:lang w:val="fr-CA"/>
        </w:rPr>
        <w:t> »</w:t>
      </w:r>
      <w:r w:rsidRPr="001A1E08">
        <w:rPr>
          <w:rFonts w:cs="Times New Roman"/>
          <w:lang w:val="fr-CA"/>
        </w:rPr>
        <w:t xml:space="preserve"> dans certains cas, c’est le </w:t>
      </w:r>
      <w:r w:rsidR="009331E9">
        <w:rPr>
          <w:rFonts w:cs="Times New Roman"/>
          <w:lang w:val="fr-CA"/>
        </w:rPr>
        <w:t xml:space="preserve">fait ce ces termes possédaient un </w:t>
      </w:r>
      <w:r w:rsidRPr="001A1E08">
        <w:rPr>
          <w:rFonts w:cs="Times New Roman"/>
          <w:lang w:val="fr-CA"/>
        </w:rPr>
        <w:t>caractère non limitatif</w:t>
      </w:r>
      <w:r w:rsidR="009331E9">
        <w:rPr>
          <w:rFonts w:cs="Times New Roman"/>
          <w:lang w:val="fr-CA"/>
        </w:rPr>
        <w:t xml:space="preserve"> </w:t>
      </w:r>
      <w:r w:rsidRPr="001A1E08">
        <w:rPr>
          <w:rFonts w:cs="Times New Roman"/>
          <w:lang w:val="fr-CA"/>
        </w:rPr>
        <w:t xml:space="preserve">et qu’ils laissaient aux tribunaux le soin de déterminer ce qu’était une </w:t>
      </w:r>
      <w:r w:rsidR="007F77FA">
        <w:rPr>
          <w:rFonts w:cs="Times New Roman"/>
          <w:lang w:val="fr-CA"/>
        </w:rPr>
        <w:t>« </w:t>
      </w:r>
      <w:r w:rsidRPr="001A1E08">
        <w:rPr>
          <w:rFonts w:cs="Times New Roman"/>
          <w:lang w:val="fr-CA"/>
        </w:rPr>
        <w:t xml:space="preserve">réparation </w:t>
      </w:r>
      <w:r w:rsidR="000467C0">
        <w:rPr>
          <w:rFonts w:cs="Times New Roman"/>
          <w:lang w:val="fr-CA"/>
        </w:rPr>
        <w:t xml:space="preserve">[. . .] </w:t>
      </w:r>
      <w:r w:rsidRPr="001A1E08">
        <w:rPr>
          <w:rFonts w:cs="Times New Roman"/>
          <w:lang w:val="fr-CA"/>
        </w:rPr>
        <w:t>convenable et juste</w:t>
      </w:r>
      <w:r w:rsidR="006412AC">
        <w:rPr>
          <w:rFonts w:cs="Times New Roman"/>
          <w:lang w:val="fr-CA"/>
        </w:rPr>
        <w:t> »</w:t>
      </w:r>
      <w:r w:rsidRPr="001A1E08">
        <w:rPr>
          <w:rFonts w:cs="Times New Roman"/>
          <w:lang w:val="fr-CA"/>
        </w:rPr>
        <w:t xml:space="preserve"> eu égard aux circonstances</w:t>
      </w:r>
      <w:r w:rsidR="006412AC">
        <w:rPr>
          <w:rFonts w:cs="Times New Roman"/>
          <w:lang w:val="fr-CA"/>
        </w:rPr>
        <w:t xml:space="preserve"> </w:t>
      </w:r>
      <w:r w:rsidR="009331E9">
        <w:rPr>
          <w:rFonts w:cs="Times New Roman"/>
          <w:lang w:val="fr-CA"/>
        </w:rPr>
        <w:t>qui est ressorti de ces discussions</w:t>
      </w:r>
      <w:r w:rsidR="006412AC">
        <w:rPr>
          <w:rFonts w:cs="Times New Roman"/>
          <w:lang w:val="fr-CA"/>
        </w:rPr>
        <w:t> :</w:t>
      </w:r>
      <w:r w:rsidRPr="001A1E08">
        <w:rPr>
          <w:rFonts w:cs="Times New Roman"/>
          <w:lang w:val="fr-CA"/>
        </w:rPr>
        <w:t xml:space="preserve"> </w:t>
      </w:r>
      <w:r w:rsidRPr="001A1E08">
        <w:rPr>
          <w:rFonts w:cs="Times New Roman"/>
          <w:i/>
          <w:lang w:val="fr-CA"/>
        </w:rPr>
        <w:t>Débats du Sénat</w:t>
      </w:r>
      <w:r w:rsidRPr="001A1E08">
        <w:rPr>
          <w:rFonts w:cs="Times New Roman"/>
          <w:lang w:val="fr-CA"/>
        </w:rPr>
        <w:t>, vol.</w:t>
      </w:r>
      <w:r w:rsidR="006412AC">
        <w:rPr>
          <w:rFonts w:cs="Times New Roman"/>
          <w:lang w:val="fr-CA"/>
        </w:rPr>
        <w:t xml:space="preserve"> </w:t>
      </w:r>
      <w:r w:rsidRPr="001A1E08">
        <w:rPr>
          <w:rFonts w:cs="Times New Roman"/>
          <w:lang w:val="fr-CA"/>
        </w:rPr>
        <w:t>IV, 2</w:t>
      </w:r>
      <w:r w:rsidRPr="001A1E08">
        <w:rPr>
          <w:rFonts w:cs="Times New Roman"/>
          <w:vertAlign w:val="superscript"/>
          <w:lang w:val="fr-CA"/>
        </w:rPr>
        <w:t>e</w:t>
      </w:r>
      <w:r w:rsidR="006412AC">
        <w:rPr>
          <w:rFonts w:cs="Times New Roman"/>
          <w:lang w:val="fr-CA"/>
        </w:rPr>
        <w:t xml:space="preserve"> </w:t>
      </w:r>
      <w:proofErr w:type="spellStart"/>
      <w:proofErr w:type="gramStart"/>
      <w:r w:rsidRPr="001A1E08">
        <w:rPr>
          <w:rFonts w:cs="Times New Roman"/>
          <w:lang w:val="fr-CA"/>
        </w:rPr>
        <w:t>sess</w:t>
      </w:r>
      <w:proofErr w:type="spellEnd"/>
      <w:r w:rsidRPr="001A1E08">
        <w:rPr>
          <w:rFonts w:cs="Times New Roman"/>
          <w:lang w:val="fr-CA"/>
        </w:rPr>
        <w:t>.,</w:t>
      </w:r>
      <w:proofErr w:type="gramEnd"/>
      <w:r w:rsidRPr="001A1E08">
        <w:rPr>
          <w:rFonts w:cs="Times New Roman"/>
          <w:lang w:val="fr-CA"/>
        </w:rPr>
        <w:t xml:space="preserve"> 33</w:t>
      </w:r>
      <w:r w:rsidRPr="001A1E08">
        <w:rPr>
          <w:rFonts w:cs="Times New Roman"/>
          <w:vertAlign w:val="superscript"/>
          <w:lang w:val="fr-CA"/>
        </w:rPr>
        <w:t>e</w:t>
      </w:r>
      <w:r w:rsidR="006412AC">
        <w:rPr>
          <w:rFonts w:cs="Times New Roman"/>
          <w:vertAlign w:val="superscript"/>
          <w:lang w:val="fr-CA"/>
        </w:rPr>
        <w:t xml:space="preserve"> </w:t>
      </w:r>
      <w:proofErr w:type="spellStart"/>
      <w:r w:rsidRPr="001A1E08">
        <w:rPr>
          <w:rFonts w:cs="Times New Roman"/>
          <w:lang w:val="fr-CA"/>
        </w:rPr>
        <w:t>lég</w:t>
      </w:r>
      <w:proofErr w:type="spellEnd"/>
      <w:r w:rsidRPr="001A1E08">
        <w:rPr>
          <w:rFonts w:cs="Times New Roman"/>
          <w:lang w:val="fr-CA"/>
        </w:rPr>
        <w:t>.</w:t>
      </w:r>
      <w:r w:rsidR="000467C0">
        <w:rPr>
          <w:rFonts w:cs="Times New Roman"/>
          <w:lang w:val="fr-CA"/>
        </w:rPr>
        <w:t xml:space="preserve">, </w:t>
      </w:r>
      <w:r w:rsidRPr="001A1E08">
        <w:rPr>
          <w:rFonts w:cs="Times New Roman"/>
          <w:lang w:val="fr-CA"/>
        </w:rPr>
        <w:t>27</w:t>
      </w:r>
      <w:r w:rsidR="006412AC">
        <w:rPr>
          <w:rFonts w:cs="Times New Roman"/>
          <w:lang w:val="fr-CA"/>
        </w:rPr>
        <w:t xml:space="preserve"> </w:t>
      </w:r>
      <w:r w:rsidR="000467C0">
        <w:rPr>
          <w:rFonts w:cs="Times New Roman"/>
          <w:lang w:val="fr-CA"/>
        </w:rPr>
        <w:t>juillet 1988</w:t>
      </w:r>
      <w:r w:rsidRPr="001A1E08">
        <w:rPr>
          <w:rFonts w:cs="Times New Roman"/>
          <w:lang w:val="fr-CA"/>
        </w:rPr>
        <w:t>, p.</w:t>
      </w:r>
      <w:r w:rsidR="006412AC">
        <w:rPr>
          <w:rFonts w:cs="Times New Roman"/>
          <w:lang w:val="fr-CA"/>
        </w:rPr>
        <w:t xml:space="preserve"> </w:t>
      </w:r>
      <w:r w:rsidRPr="001A1E08">
        <w:rPr>
          <w:rFonts w:cs="Times New Roman"/>
          <w:lang w:val="fr-CA"/>
        </w:rPr>
        <w:t>4135</w:t>
      </w:r>
      <w:r w:rsidR="006412AC">
        <w:rPr>
          <w:rFonts w:cs="Times New Roman"/>
          <w:lang w:val="fr-CA"/>
        </w:rPr>
        <w:t>-</w:t>
      </w:r>
      <w:r w:rsidRPr="001A1E08">
        <w:rPr>
          <w:rFonts w:cs="Times New Roman"/>
          <w:lang w:val="fr-CA"/>
        </w:rPr>
        <w:t>4136.  Rien dans ces débats ne permet de croire que ce pouvoir devait l’emporter sur les autres limites imposées au pouvoir du tribunal d’accorder des dommages</w:t>
      </w:r>
      <w:r w:rsidR="006412AC">
        <w:rPr>
          <w:rFonts w:cs="Times New Roman"/>
          <w:lang w:val="fr-CA"/>
        </w:rPr>
        <w:t>-</w:t>
      </w:r>
      <w:r w:rsidRPr="001A1E08">
        <w:rPr>
          <w:rFonts w:cs="Times New Roman"/>
          <w:lang w:val="fr-CA"/>
        </w:rPr>
        <w:t xml:space="preserve">intérêts. </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Nous ne sommes pas en présence d’un cas, comme celui dont était saisie la Cour dans l’affaire </w:t>
      </w:r>
      <w:r w:rsidRPr="001A1E08">
        <w:rPr>
          <w:rFonts w:cs="Times New Roman"/>
          <w:i/>
          <w:lang w:val="fr-CA"/>
        </w:rPr>
        <w:t>Perron</w:t>
      </w:r>
      <w:r w:rsidR="006412AC">
        <w:rPr>
          <w:rFonts w:cs="Times New Roman"/>
          <w:i/>
          <w:lang w:val="fr-CA"/>
        </w:rPr>
        <w:t>-</w:t>
      </w:r>
      <w:proofErr w:type="spellStart"/>
      <w:r w:rsidRPr="001A1E08">
        <w:rPr>
          <w:rFonts w:cs="Times New Roman"/>
          <w:i/>
          <w:lang w:val="fr-CA"/>
        </w:rPr>
        <w:t>Malenfant</w:t>
      </w:r>
      <w:proofErr w:type="spellEnd"/>
      <w:r w:rsidRPr="001A1E08">
        <w:rPr>
          <w:rFonts w:cs="Times New Roman"/>
          <w:lang w:val="fr-CA"/>
        </w:rPr>
        <w:t>,</w:t>
      </w:r>
      <w:r w:rsidRPr="001A1E08">
        <w:rPr>
          <w:rFonts w:cs="Times New Roman"/>
          <w:i/>
          <w:lang w:val="fr-CA"/>
        </w:rPr>
        <w:t xml:space="preserve"> </w:t>
      </w:r>
      <w:r w:rsidRPr="001A1E08">
        <w:rPr>
          <w:rFonts w:cs="Times New Roman"/>
          <w:lang w:val="fr-CA"/>
        </w:rPr>
        <w:t xml:space="preserve">où le fait de permettre l’application des deux </w:t>
      </w:r>
      <w:r w:rsidRPr="001A1E08">
        <w:rPr>
          <w:rFonts w:cs="Times New Roman"/>
          <w:lang w:val="fr-CA"/>
        </w:rPr>
        <w:lastRenderedPageBreak/>
        <w:t>dispositions en cause dépouille en grande partie de leur portée les dispositions réparatrices de la loi.  Personne ne prétend que les pouvoirs du commissaire, y compris celui d’exercer un recours devant la Cour fédérale en vertu de l’art.</w:t>
      </w:r>
      <w:r w:rsidR="006412AC">
        <w:rPr>
          <w:rFonts w:cs="Times New Roman"/>
          <w:lang w:val="fr-CA"/>
        </w:rPr>
        <w:t xml:space="preserve"> </w:t>
      </w:r>
      <w:r w:rsidRPr="001A1E08">
        <w:rPr>
          <w:rFonts w:cs="Times New Roman"/>
          <w:lang w:val="fr-CA"/>
        </w:rPr>
        <w:t xml:space="preserve">78 de la </w:t>
      </w:r>
      <w:r w:rsidRPr="001A1E08">
        <w:rPr>
          <w:rFonts w:cs="Times New Roman"/>
          <w:i/>
          <w:lang w:val="fr-CA"/>
        </w:rPr>
        <w:t>LLO</w:t>
      </w:r>
      <w:r w:rsidRPr="001A1E08">
        <w:rPr>
          <w:rFonts w:cs="Times New Roman"/>
          <w:lang w:val="fr-CA"/>
        </w:rPr>
        <w:t>, sont incompatibles avec la limite des dommages</w:t>
      </w:r>
      <w:r w:rsidR="006412AC">
        <w:rPr>
          <w:rFonts w:cs="Times New Roman"/>
          <w:lang w:val="fr-CA"/>
        </w:rPr>
        <w:t>-</w:t>
      </w:r>
      <w:r w:rsidRPr="001A1E08">
        <w:rPr>
          <w:rFonts w:cs="Times New Roman"/>
          <w:lang w:val="fr-CA"/>
        </w:rPr>
        <w:t xml:space="preserve">intérêts prévue par la </w:t>
      </w:r>
      <w:r w:rsidRPr="001A1E08">
        <w:rPr>
          <w:rFonts w:cs="Times New Roman"/>
          <w:i/>
          <w:lang w:val="fr-CA"/>
        </w:rPr>
        <w:t>Convention de Montréal.</w:t>
      </w:r>
      <w:r w:rsidR="006412AC">
        <w:rPr>
          <w:rFonts w:cs="Times New Roman"/>
          <w:i/>
          <w:lang w:val="fr-CA"/>
        </w:rPr>
        <w:t xml:space="preserve"> </w:t>
      </w:r>
      <w:r w:rsidRPr="001A1E08">
        <w:rPr>
          <w:rFonts w:cs="Times New Roman"/>
          <w:lang w:val="fr-CA"/>
        </w:rPr>
        <w:t xml:space="preserve"> Les dommages</w:t>
      </w:r>
      <w:r w:rsidR="006412AC">
        <w:rPr>
          <w:rFonts w:cs="Times New Roman"/>
          <w:lang w:val="fr-CA"/>
        </w:rPr>
        <w:t>-</w:t>
      </w:r>
      <w:r w:rsidRPr="001A1E08">
        <w:rPr>
          <w:rFonts w:cs="Times New Roman"/>
          <w:lang w:val="fr-CA"/>
        </w:rPr>
        <w:t>intérêts sont loin d’être la seule réparation pouvant être accordée en vertu du par.</w:t>
      </w:r>
      <w:r w:rsidR="006412AC">
        <w:rPr>
          <w:rFonts w:cs="Times New Roman"/>
          <w:lang w:val="fr-CA"/>
        </w:rPr>
        <w:t xml:space="preserve"> </w:t>
      </w:r>
      <w:r w:rsidRPr="001A1E08">
        <w:rPr>
          <w:rFonts w:cs="Times New Roman"/>
          <w:lang w:val="fr-CA"/>
        </w:rPr>
        <w:t xml:space="preserve">77(4) et la limite </w:t>
      </w:r>
      <w:r w:rsidR="000467C0">
        <w:rPr>
          <w:rFonts w:cs="Times New Roman"/>
          <w:lang w:val="fr-CA"/>
        </w:rPr>
        <w:t>imposée à leur octroi par l’article</w:t>
      </w:r>
      <w:r w:rsidR="006412AC">
        <w:rPr>
          <w:rFonts w:cs="Times New Roman"/>
          <w:lang w:val="fr-CA"/>
        </w:rPr>
        <w:t xml:space="preserve"> </w:t>
      </w:r>
      <w:r w:rsidRPr="001A1E08">
        <w:rPr>
          <w:rFonts w:cs="Times New Roman"/>
          <w:lang w:val="fr-CA"/>
        </w:rPr>
        <w:t xml:space="preserve">29 de la </w:t>
      </w:r>
      <w:r w:rsidRPr="001A1E08">
        <w:rPr>
          <w:rFonts w:cs="Times New Roman"/>
          <w:i/>
          <w:lang w:val="fr-CA"/>
        </w:rPr>
        <w:t>Convention de Montréal</w:t>
      </w:r>
      <w:r w:rsidRPr="001A1E08">
        <w:rPr>
          <w:rFonts w:cs="Times New Roman"/>
          <w:lang w:val="fr-CA"/>
        </w:rPr>
        <w:t xml:space="preserve"> ne s’applique qu’aux réclamations présentées par des passagers par suite d’un transport aérien international.</w:t>
      </w:r>
      <w:r w:rsidR="006412AC">
        <w:rPr>
          <w:rFonts w:cs="Times New Roman"/>
          <w:lang w:val="fr-CA"/>
        </w:rPr>
        <w:t xml:space="preserve"> </w:t>
      </w:r>
      <w:r w:rsidRPr="001A1E08">
        <w:rPr>
          <w:rFonts w:cs="Times New Roman"/>
          <w:lang w:val="fr-CA"/>
        </w:rPr>
        <w:t xml:space="preserve"> Je rejette donc l’argument selon lequel l’interprétation que je propose de donner à la </w:t>
      </w:r>
      <w:r w:rsidRPr="001A1E08">
        <w:rPr>
          <w:rFonts w:cs="Times New Roman"/>
          <w:i/>
          <w:lang w:val="fr-CA"/>
        </w:rPr>
        <w:t>Convention de Montréal</w:t>
      </w:r>
      <w:r>
        <w:rPr>
          <w:rFonts w:cs="Times New Roman"/>
          <w:lang w:val="fr-CA"/>
        </w:rPr>
        <w:t xml:space="preserve"> réduit </w:t>
      </w:r>
      <w:r w:rsidRPr="001A1E08">
        <w:rPr>
          <w:rFonts w:cs="Times New Roman"/>
          <w:lang w:val="fr-CA"/>
        </w:rPr>
        <w:t xml:space="preserve">d’une quelconque manière </w:t>
      </w:r>
      <w:r>
        <w:rPr>
          <w:rFonts w:cs="Times New Roman"/>
          <w:lang w:val="fr-CA"/>
        </w:rPr>
        <w:t>au</w:t>
      </w:r>
      <w:r w:rsidRPr="001A1E08">
        <w:rPr>
          <w:rFonts w:cs="Times New Roman"/>
          <w:lang w:val="fr-CA"/>
        </w:rPr>
        <w:t xml:space="preserve"> silence les droits linguistiques.</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En somme, rien en l’espèce ne laisse croire à l’existence d’un conflit entre ces deux dispositions, au sens étroit et strict qu’a ce mot dans le présent contexte, et rien dans le texte, l’économie ou l’objet de la </w:t>
      </w:r>
      <w:r w:rsidRPr="001A1E08">
        <w:rPr>
          <w:rFonts w:cs="Times New Roman"/>
          <w:i/>
          <w:lang w:val="fr-CA"/>
        </w:rPr>
        <w:t>LLO</w:t>
      </w:r>
      <w:r w:rsidRPr="001A1E08">
        <w:rPr>
          <w:rFonts w:cs="Times New Roman"/>
          <w:lang w:val="fr-CA"/>
        </w:rPr>
        <w:t xml:space="preserve"> ne permet de conclure que la disposition brève, générale et hautement discrétionnaire contenue au par.</w:t>
      </w:r>
      <w:r w:rsidR="006412AC">
        <w:rPr>
          <w:rFonts w:cs="Times New Roman"/>
          <w:lang w:val="fr-CA"/>
        </w:rPr>
        <w:t xml:space="preserve"> </w:t>
      </w:r>
      <w:r w:rsidRPr="001A1E08">
        <w:rPr>
          <w:rFonts w:cs="Times New Roman"/>
          <w:lang w:val="fr-CA"/>
        </w:rPr>
        <w:t>77(4) devait permettre aux tribunaux de prononcer des ordonnances en contravention des engagements internationaux du Canada incorporés au droit fédéral.</w:t>
      </w:r>
      <w:r w:rsidR="006412AC">
        <w:rPr>
          <w:rFonts w:cs="Times New Roman"/>
          <w:lang w:val="fr-CA"/>
        </w:rPr>
        <w:t xml:space="preserve"> </w:t>
      </w:r>
    </w:p>
    <w:p w:rsidR="00367456" w:rsidRPr="001A1E08" w:rsidRDefault="00367456" w:rsidP="00A12DCE">
      <w:pPr>
        <w:pStyle w:val="ParaNoNdepar-AltN"/>
        <w:widowControl w:val="0"/>
        <w:rPr>
          <w:rFonts w:cs="Times New Roman"/>
          <w:lang w:val="fr-CA"/>
        </w:rPr>
      </w:pPr>
      <w:r w:rsidRPr="001A1E08">
        <w:rPr>
          <w:rFonts w:cs="Times New Roman"/>
          <w:lang w:val="fr-CA"/>
        </w:rPr>
        <w:t xml:space="preserve">Je conclus qu’il n’existe aucun conflit entre ces dispositions et que, au moment de concevoir une réparation convenable et juste au sens de la </w:t>
      </w:r>
      <w:r w:rsidRPr="001A1E08">
        <w:rPr>
          <w:rFonts w:cs="Times New Roman"/>
          <w:i/>
          <w:lang w:val="fr-CA"/>
        </w:rPr>
        <w:t>LLO</w:t>
      </w:r>
      <w:r w:rsidRPr="001A1E08">
        <w:rPr>
          <w:rFonts w:cs="Times New Roman"/>
          <w:lang w:val="fr-CA"/>
        </w:rPr>
        <w:t xml:space="preserve"> dans une affaire de transport aérien international, la Cour fédérale doit appliquer la limite relative aux dommages</w:t>
      </w:r>
      <w:r w:rsidR="006412AC">
        <w:rPr>
          <w:rFonts w:cs="Times New Roman"/>
          <w:lang w:val="fr-CA"/>
        </w:rPr>
        <w:t>-</w:t>
      </w:r>
      <w:r w:rsidR="000467C0">
        <w:rPr>
          <w:rFonts w:cs="Times New Roman"/>
          <w:lang w:val="fr-CA"/>
        </w:rPr>
        <w:t>intérêts prévue à l’article</w:t>
      </w:r>
      <w:r w:rsidR="006412AC">
        <w:rPr>
          <w:rFonts w:cs="Times New Roman"/>
          <w:lang w:val="fr-CA"/>
        </w:rPr>
        <w:t xml:space="preserve"> </w:t>
      </w:r>
      <w:r w:rsidRPr="001A1E08">
        <w:rPr>
          <w:rFonts w:cs="Times New Roman"/>
          <w:lang w:val="fr-CA"/>
        </w:rPr>
        <w:t xml:space="preserve">29 de la </w:t>
      </w:r>
      <w:r w:rsidRPr="001A1E08">
        <w:rPr>
          <w:rFonts w:cs="Times New Roman"/>
          <w:i/>
          <w:lang w:val="fr-CA"/>
        </w:rPr>
        <w:t>Convention de Montréal.</w:t>
      </w:r>
      <w:r w:rsidR="006412AC">
        <w:rPr>
          <w:rFonts w:cs="Times New Roman"/>
          <w:i/>
          <w:lang w:val="fr-CA"/>
        </w:rPr>
        <w:t xml:space="preserve"> </w:t>
      </w:r>
      <w:r w:rsidRPr="001A1E08">
        <w:rPr>
          <w:rFonts w:cs="Times New Roman"/>
          <w:lang w:val="fr-CA"/>
        </w:rPr>
        <w:t xml:space="preserve"> À la lumière de cette conclusion, je n’ai pas à décider quelle disposition prévaudrait en </w:t>
      </w:r>
      <w:r w:rsidRPr="001A1E08">
        <w:rPr>
          <w:rFonts w:cs="Times New Roman"/>
          <w:lang w:val="fr-CA"/>
        </w:rPr>
        <w:lastRenderedPageBreak/>
        <w:t>cas de conflit.</w:t>
      </w:r>
    </w:p>
    <w:p w:rsidR="00367456" w:rsidRPr="001A1E08" w:rsidRDefault="00367456" w:rsidP="00A12DCE">
      <w:pPr>
        <w:pStyle w:val="Title2LevelTitre2Niveau"/>
        <w:widowControl w:val="0"/>
        <w:rPr>
          <w:rFonts w:cs="Times New Roman"/>
          <w:lang w:val="fr-CA"/>
        </w:rPr>
      </w:pPr>
      <w:r w:rsidRPr="001A1E08">
        <w:rPr>
          <w:rFonts w:cs="Times New Roman"/>
          <w:lang w:val="fr-CA"/>
        </w:rPr>
        <w:t>La Cour d’appel fédérale a</w:t>
      </w:r>
      <w:r w:rsidR="006412AC">
        <w:rPr>
          <w:rFonts w:cs="Times New Roman"/>
          <w:lang w:val="fr-CA"/>
        </w:rPr>
        <w:t>-</w:t>
      </w:r>
      <w:r w:rsidRPr="001A1E08">
        <w:rPr>
          <w:rFonts w:cs="Times New Roman"/>
          <w:lang w:val="fr-CA"/>
        </w:rPr>
        <w:t>t</w:t>
      </w:r>
      <w:r w:rsidR="006412AC">
        <w:rPr>
          <w:rFonts w:cs="Times New Roman"/>
          <w:lang w:val="fr-CA"/>
        </w:rPr>
        <w:t>-</w:t>
      </w:r>
      <w:r w:rsidRPr="001A1E08">
        <w:rPr>
          <w:rFonts w:cs="Times New Roman"/>
          <w:lang w:val="fr-CA"/>
        </w:rPr>
        <w:t>elle commis une erreur en faisant droit à l’appel de l’ordonnance structurelle?</w:t>
      </w:r>
    </w:p>
    <w:p w:rsidR="00367456" w:rsidRPr="001A1E08" w:rsidRDefault="00367456" w:rsidP="00A12DCE">
      <w:pPr>
        <w:pStyle w:val="Title3LevelTitre3Niveau"/>
        <w:widowControl w:val="0"/>
        <w:rPr>
          <w:rFonts w:cs="Times New Roman"/>
          <w:lang w:val="fr-CA"/>
        </w:rPr>
      </w:pPr>
      <w:r w:rsidRPr="001A1E08">
        <w:rPr>
          <w:rFonts w:cs="Times New Roman"/>
          <w:lang w:val="fr-CA"/>
        </w:rPr>
        <w:t>Introduction</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Les Thibodeau ont sollicité une ordonnance structurelle enjoignant à Air</w:t>
      </w:r>
      <w:r w:rsidR="006412AC">
        <w:rPr>
          <w:rFonts w:cs="Times New Roman"/>
          <w:lang w:val="fr-CA"/>
        </w:rPr>
        <w:t xml:space="preserve"> </w:t>
      </w:r>
      <w:r w:rsidRPr="001A1E08">
        <w:rPr>
          <w:rFonts w:cs="Times New Roman"/>
          <w:lang w:val="fr-CA"/>
        </w:rPr>
        <w:t>Canada de prendre toutes les mesures nécessaires pour se conformer à ses obligations d’offrir des services en français, notamment</w:t>
      </w:r>
      <w:r w:rsidR="006412AC">
        <w:rPr>
          <w:rFonts w:cs="Times New Roman"/>
          <w:lang w:val="fr-CA"/>
        </w:rPr>
        <w:t> :</w:t>
      </w:r>
      <w:r w:rsidRPr="001A1E08">
        <w:rPr>
          <w:rFonts w:cs="Times New Roman"/>
          <w:lang w:val="fr-CA"/>
        </w:rPr>
        <w:t xml:space="preserve"> s’assurer d’avoir la capacité bilingue requise pour offrir sur les vols des services en français lorsqu’un nombre suffisant de personne</w:t>
      </w:r>
      <w:r w:rsidR="00750547">
        <w:rPr>
          <w:rFonts w:cs="Times New Roman"/>
          <w:lang w:val="fr-CA"/>
        </w:rPr>
        <w:t>s</w:t>
      </w:r>
      <w:r w:rsidRPr="001A1E08">
        <w:rPr>
          <w:rFonts w:cs="Times New Roman"/>
          <w:lang w:val="fr-CA"/>
        </w:rPr>
        <w:t xml:space="preserve"> les demandent; offrir d’emblée et activement des services en français, entre autres par signalisation, avis ou documentation sur les services ou en entrant en communication avec le public; instaurer des procédures et un système de surveillance adéquats permettant de rapidement relever, documenter et quantifier d’éventuelles violations des droits linguistiques; faire en sorte que les droits linguistiques l’emportent sur tout accord et toute convention collective signés par la compagnie aérienne.</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La juge saisie de la demande a conclu qu’</w:t>
      </w:r>
      <w:r w:rsidR="006412AC">
        <w:rPr>
          <w:rFonts w:cs="Times New Roman"/>
          <w:lang w:val="fr-CA"/>
        </w:rPr>
        <w:t>« </w:t>
      </w:r>
      <w:r w:rsidRPr="001A1E08">
        <w:rPr>
          <w:rFonts w:cs="Times New Roman"/>
          <w:lang w:val="fr-CA"/>
        </w:rPr>
        <w:t>Air Canada et Jazz font des efforts non négligeables et investissent des sommes importantes pour respecter leurs obligations en matière de droits linguistiques</w:t>
      </w:r>
      <w:r w:rsidR="006412AC">
        <w:rPr>
          <w:rFonts w:cs="Times New Roman"/>
          <w:lang w:val="fr-CA"/>
        </w:rPr>
        <w:t> » :</w:t>
      </w:r>
      <w:r w:rsidRPr="001A1E08">
        <w:rPr>
          <w:rFonts w:cs="Times New Roman"/>
          <w:lang w:val="fr-CA"/>
        </w:rPr>
        <w:t xml:space="preserve"> par.</w:t>
      </w:r>
      <w:r w:rsidR="006412AC">
        <w:rPr>
          <w:rFonts w:cs="Times New Roman"/>
          <w:lang w:val="fr-CA"/>
        </w:rPr>
        <w:t xml:space="preserve"> </w:t>
      </w:r>
      <w:r w:rsidRPr="001A1E08">
        <w:rPr>
          <w:rFonts w:cs="Times New Roman"/>
          <w:lang w:val="fr-CA"/>
        </w:rPr>
        <w:t xml:space="preserve">145.  Elle a cependant statué que </w:t>
      </w:r>
      <w:r w:rsidR="006412AC">
        <w:rPr>
          <w:rFonts w:cs="Times New Roman"/>
          <w:lang w:val="fr-CA"/>
        </w:rPr>
        <w:t>« </w:t>
      </w:r>
      <w:r w:rsidRPr="001A1E08">
        <w:rPr>
          <w:rFonts w:cs="Times New Roman"/>
          <w:lang w:val="fr-CA"/>
        </w:rPr>
        <w:t>tout n’est pas parfait et qu’il y a encore du chemin à faire</w:t>
      </w:r>
      <w:r w:rsidR="006412AC">
        <w:rPr>
          <w:rFonts w:cs="Times New Roman"/>
          <w:lang w:val="fr-CA"/>
        </w:rPr>
        <w:t> » :</w:t>
      </w:r>
      <w:r w:rsidRPr="001A1E08">
        <w:rPr>
          <w:rFonts w:cs="Times New Roman"/>
          <w:lang w:val="fr-CA"/>
        </w:rPr>
        <w:t xml:space="preserve"> par.</w:t>
      </w:r>
      <w:r w:rsidR="006412AC">
        <w:rPr>
          <w:rFonts w:cs="Times New Roman"/>
          <w:lang w:val="fr-CA"/>
        </w:rPr>
        <w:t xml:space="preserve"> </w:t>
      </w:r>
      <w:r w:rsidRPr="001A1E08">
        <w:rPr>
          <w:rFonts w:cs="Times New Roman"/>
          <w:lang w:val="fr-CA"/>
        </w:rPr>
        <w:t>146.  Elle a fait remarquer que des améliorations importantes avaient été apportées à la suite des plaintes déposées par les Thibodeau, mais s’est dite surprise de constater qu’Air</w:t>
      </w:r>
      <w:r w:rsidR="006412AC">
        <w:rPr>
          <w:rFonts w:cs="Times New Roman"/>
          <w:lang w:val="fr-CA"/>
        </w:rPr>
        <w:t xml:space="preserve"> </w:t>
      </w:r>
      <w:r w:rsidRPr="001A1E08">
        <w:rPr>
          <w:rFonts w:cs="Times New Roman"/>
          <w:lang w:val="fr-CA"/>
        </w:rPr>
        <w:lastRenderedPageBreak/>
        <w:t>Canada ne dispose d’aucun système de suivi lui permettant de déterminer le nombre de fois où aucun agent de bord bilingue n’est affecté à un vol pour lequel il y a une demande importante de services en français</w:t>
      </w:r>
      <w:r w:rsidR="006412AC">
        <w:rPr>
          <w:rFonts w:cs="Times New Roman"/>
          <w:lang w:val="fr-CA"/>
        </w:rPr>
        <w:t> :</w:t>
      </w:r>
      <w:r w:rsidRPr="001A1E08">
        <w:rPr>
          <w:rFonts w:cs="Times New Roman"/>
          <w:lang w:val="fr-CA"/>
        </w:rPr>
        <w:t xml:space="preserve"> par.</w:t>
      </w:r>
      <w:r w:rsidR="006412AC">
        <w:rPr>
          <w:rFonts w:cs="Times New Roman"/>
          <w:lang w:val="fr-CA"/>
        </w:rPr>
        <w:t xml:space="preserve"> </w:t>
      </w:r>
      <w:r w:rsidRPr="001A1E08">
        <w:rPr>
          <w:rFonts w:cs="Times New Roman"/>
          <w:lang w:val="fr-CA"/>
        </w:rPr>
        <w:t xml:space="preserve">151.  Elle a conclu à l’existence d’un </w:t>
      </w:r>
      <w:r w:rsidR="006412AC">
        <w:rPr>
          <w:rFonts w:cs="Times New Roman"/>
          <w:lang w:val="fr-CA"/>
        </w:rPr>
        <w:t>« </w:t>
      </w:r>
      <w:r w:rsidRPr="001A1E08">
        <w:rPr>
          <w:rFonts w:cs="Times New Roman"/>
          <w:lang w:val="fr-CA"/>
        </w:rPr>
        <w:t>problème de nature systémique</w:t>
      </w:r>
      <w:r w:rsidR="006412AC">
        <w:rPr>
          <w:rFonts w:cs="Times New Roman"/>
          <w:lang w:val="fr-CA"/>
        </w:rPr>
        <w:t> »</w:t>
      </w:r>
      <w:r w:rsidRPr="001A1E08">
        <w:rPr>
          <w:rFonts w:cs="Times New Roman"/>
          <w:lang w:val="fr-CA"/>
        </w:rPr>
        <w:t xml:space="preserve"> au sein d’Air Canada</w:t>
      </w:r>
      <w:r w:rsidR="006412AC">
        <w:rPr>
          <w:rFonts w:cs="Times New Roman"/>
          <w:lang w:val="fr-CA"/>
        </w:rPr>
        <w:t> :</w:t>
      </w:r>
    </w:p>
    <w:p w:rsidR="00367456" w:rsidRPr="001A1E08" w:rsidRDefault="00367456" w:rsidP="00A12DCE">
      <w:pPr>
        <w:pStyle w:val="Citation-AltC"/>
        <w:widowControl w:val="0"/>
        <w:ind w:hanging="1166"/>
        <w:rPr>
          <w:lang w:val="fr-CA"/>
        </w:rPr>
      </w:pPr>
      <w:r w:rsidRPr="001A1E08">
        <w:rPr>
          <w:lang w:val="fr-CA"/>
        </w:rPr>
        <w:tab/>
      </w:r>
      <w:r>
        <w:rPr>
          <w:lang w:val="fr-CA"/>
        </w:rPr>
        <w:tab/>
      </w:r>
      <w:r w:rsidR="00A12DCE">
        <w:rPr>
          <w:lang w:val="fr-CA"/>
        </w:rPr>
        <w:t>. . .</w:t>
      </w:r>
      <w:r>
        <w:rPr>
          <w:lang w:val="fr-CA"/>
        </w:rPr>
        <w:t xml:space="preserve"> </w:t>
      </w:r>
      <w:r w:rsidRPr="001A1E08">
        <w:rPr>
          <w:lang w:val="fr-CA"/>
        </w:rPr>
        <w:t>bien qu’Air Canada fasse des efforts pour satisfaire à ses obligations linguistiques, les problèmes persistent et Air Canada (et Jazz) n’a pas complètement développé le réflexe de mettre en œuvre, de façon proactive, tous les outils et les processus requis pour respecter ses obligations, pour mesurer sa performance réelle en matière de services en français et pour se fixer des objectifs d’amélioration.  Ce constat, ajouté à la reconnaissance par Jazz quant aux difficultés qu’elle éprouve encore à respecter l’ensemble de ses obligations linguistiques, m’amène à conclure qu’il existe un problème de nature systémique au sein d’Air Canada.  [</w:t>
      </w:r>
      <w:proofErr w:type="gramStart"/>
      <w:r w:rsidRPr="001A1E08">
        <w:rPr>
          <w:lang w:val="fr-CA"/>
        </w:rPr>
        <w:t>par</w:t>
      </w:r>
      <w:proofErr w:type="gramEnd"/>
      <w:r w:rsidRPr="001A1E08">
        <w:rPr>
          <w:lang w:val="fr-CA"/>
        </w:rPr>
        <w:t>.</w:t>
      </w:r>
      <w:r w:rsidR="006412AC">
        <w:rPr>
          <w:lang w:val="fr-CA"/>
        </w:rPr>
        <w:t xml:space="preserve"> </w:t>
      </w:r>
      <w:r w:rsidRPr="001A1E08">
        <w:rPr>
          <w:lang w:val="fr-CA"/>
        </w:rPr>
        <w:t>153]</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La juge saisie de la demande a conclu, à la lumière de ces constatations, qu’il était </w:t>
      </w:r>
      <w:r w:rsidR="006412AC">
        <w:rPr>
          <w:rFonts w:cs="Times New Roman"/>
          <w:lang w:val="fr-CA"/>
        </w:rPr>
        <w:t>« </w:t>
      </w:r>
      <w:r w:rsidRPr="001A1E08">
        <w:rPr>
          <w:rFonts w:cs="Times New Roman"/>
          <w:lang w:val="fr-CA"/>
        </w:rPr>
        <w:t>convenable et juste d’imposer à Air Canada de faire tous les efforts nécessaires pour respecter l’ensemble des obligations qui lui incombent en vertu de la partie</w:t>
      </w:r>
      <w:r w:rsidR="006412AC">
        <w:rPr>
          <w:rFonts w:cs="Times New Roman"/>
          <w:lang w:val="fr-CA"/>
        </w:rPr>
        <w:t xml:space="preserve"> </w:t>
      </w:r>
      <w:r w:rsidRPr="001A1E08">
        <w:rPr>
          <w:rFonts w:cs="Times New Roman"/>
          <w:lang w:val="fr-CA"/>
        </w:rPr>
        <w:t xml:space="preserve">IV de la </w:t>
      </w:r>
      <w:r w:rsidRPr="00750547">
        <w:rPr>
          <w:rFonts w:cs="Times New Roman"/>
          <w:lang w:val="fr-CA"/>
        </w:rPr>
        <w:t>LLO</w:t>
      </w:r>
      <w:r w:rsidRPr="001A1E08">
        <w:rPr>
          <w:rFonts w:cs="Times New Roman"/>
          <w:lang w:val="fr-CA"/>
        </w:rPr>
        <w:t xml:space="preserve"> et de veiller à mettre en place un processus de suivi qui lui permettra d’identifier et de documenter les occasions où </w:t>
      </w:r>
      <w:r w:rsidR="00750547">
        <w:rPr>
          <w:rFonts w:cs="Times New Roman"/>
          <w:lang w:val="fr-CA"/>
        </w:rPr>
        <w:t>[</w:t>
      </w:r>
      <w:r w:rsidRPr="001A1E08">
        <w:rPr>
          <w:rFonts w:cs="Times New Roman"/>
          <w:lang w:val="fr-CA"/>
        </w:rPr>
        <w:t>elle</w:t>
      </w:r>
      <w:r w:rsidR="00750547">
        <w:rPr>
          <w:rFonts w:cs="Times New Roman"/>
          <w:lang w:val="fr-CA"/>
        </w:rPr>
        <w:t>]</w:t>
      </w:r>
      <w:r w:rsidRPr="001A1E08">
        <w:rPr>
          <w:rFonts w:cs="Times New Roman"/>
          <w:lang w:val="fr-CA"/>
        </w:rPr>
        <w:t xml:space="preserve"> n’affecte pas le personnel bilingue requis à bord des vols à demande importante de services en français</w:t>
      </w:r>
      <w:r w:rsidR="006412AC">
        <w:rPr>
          <w:rFonts w:cs="Times New Roman"/>
          <w:lang w:val="fr-CA"/>
        </w:rPr>
        <w:t> » :</w:t>
      </w:r>
      <w:r w:rsidRPr="001A1E08">
        <w:rPr>
          <w:rFonts w:cs="Times New Roman"/>
          <w:lang w:val="fr-CA"/>
        </w:rPr>
        <w:t xml:space="preserve"> par.</w:t>
      </w:r>
      <w:r w:rsidR="006412AC">
        <w:rPr>
          <w:rFonts w:cs="Times New Roman"/>
          <w:lang w:val="fr-CA"/>
        </w:rPr>
        <w:t xml:space="preserve"> </w:t>
      </w:r>
      <w:r w:rsidRPr="001A1E08">
        <w:rPr>
          <w:rFonts w:cs="Times New Roman"/>
          <w:lang w:val="fr-CA"/>
        </w:rPr>
        <w:t>154.  Elle a donc ordonné à Air Canada</w:t>
      </w:r>
    </w:p>
    <w:p w:rsidR="00367456" w:rsidRPr="001A1E08" w:rsidRDefault="00367456" w:rsidP="00A12DCE">
      <w:pPr>
        <w:pStyle w:val="Citation-AltC"/>
        <w:widowControl w:val="0"/>
        <w:numPr>
          <w:ilvl w:val="0"/>
          <w:numId w:val="4"/>
        </w:numPr>
        <w:spacing w:after="240"/>
        <w:contextualSpacing w:val="0"/>
        <w:rPr>
          <w:lang w:val="fr-CA"/>
        </w:rPr>
      </w:pPr>
      <w:r w:rsidRPr="001A1E08">
        <w:rPr>
          <w:lang w:val="fr-CA"/>
        </w:rPr>
        <w:t>de faire tous les efforts nécessaires pour respecter l’ensemble des obligations qui lui incombent en vertu de la partie</w:t>
      </w:r>
      <w:r w:rsidR="006412AC">
        <w:rPr>
          <w:lang w:val="fr-CA"/>
        </w:rPr>
        <w:t xml:space="preserve"> </w:t>
      </w:r>
      <w:r w:rsidRPr="001A1E08">
        <w:rPr>
          <w:lang w:val="fr-CA"/>
        </w:rPr>
        <w:t xml:space="preserve">IV de la </w:t>
      </w:r>
      <w:r w:rsidRPr="001A1E08">
        <w:rPr>
          <w:i/>
          <w:lang w:val="fr-CA"/>
        </w:rPr>
        <w:t>Loi sur les langues officielles</w:t>
      </w:r>
      <w:r w:rsidRPr="001A1E08">
        <w:rPr>
          <w:lang w:val="fr-CA"/>
        </w:rPr>
        <w:t>;</w:t>
      </w:r>
    </w:p>
    <w:p w:rsidR="00367456" w:rsidRPr="001A1E08" w:rsidRDefault="00367456" w:rsidP="00A12DCE">
      <w:pPr>
        <w:pStyle w:val="Citation-AltC"/>
        <w:widowControl w:val="0"/>
        <w:numPr>
          <w:ilvl w:val="0"/>
          <w:numId w:val="4"/>
        </w:numPr>
        <w:rPr>
          <w:lang w:val="fr-CA"/>
        </w:rPr>
      </w:pPr>
      <w:r w:rsidRPr="001A1E08">
        <w:rPr>
          <w:lang w:val="fr-CA"/>
        </w:rPr>
        <w:t>d’instaurer, dans les six mois suivant le présent jugement, des procédures et un système de surveillance adéquats visant à rapidement identifier, documenter et quantifier d’éventuelles violations à ses obligations linguistiques, [</w:t>
      </w:r>
      <w:r w:rsidR="00A12DCE">
        <w:rPr>
          <w:lang w:val="fr-CA"/>
        </w:rPr>
        <w:t>. . .</w:t>
      </w:r>
      <w:r w:rsidRPr="001A1E08">
        <w:rPr>
          <w:lang w:val="fr-CA"/>
        </w:rPr>
        <w:t xml:space="preserve">] notamment en instituant un processus permettant d’identifier et de documenter les </w:t>
      </w:r>
      <w:r w:rsidRPr="001A1E08">
        <w:rPr>
          <w:lang w:val="fr-CA"/>
        </w:rPr>
        <w:lastRenderedPageBreak/>
        <w:t>occasions où Jazz n’affecte pas des agents de bord en mesure d’assurer des services en français à bord des vols à demande importante de services en français;</w:t>
      </w:r>
      <w:r w:rsidR="006412AC">
        <w:rPr>
          <w:lang w:val="fr-CA"/>
        </w:rPr>
        <w:t xml:space="preserve"> </w:t>
      </w:r>
      <w:r w:rsidRPr="001A1E08">
        <w:rPr>
          <w:lang w:val="fr-CA"/>
        </w:rPr>
        <w:t xml:space="preserve"> [motifs de la juge saisie de la demande, p.</w:t>
      </w:r>
      <w:r w:rsidR="006412AC">
        <w:rPr>
          <w:lang w:val="fr-CA"/>
        </w:rPr>
        <w:t xml:space="preserve"> </w:t>
      </w:r>
      <w:r w:rsidRPr="001A1E08">
        <w:rPr>
          <w:lang w:val="fr-CA"/>
        </w:rPr>
        <w:t>153]</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La Cour d’appel fédérale a annulé cette ordonnance.  Selon elle, la partie de l’ordonnance qui enjoignait à Air Canada de </w:t>
      </w:r>
      <w:r w:rsidR="006412AC">
        <w:rPr>
          <w:rFonts w:cs="Times New Roman"/>
          <w:lang w:val="fr-CA"/>
        </w:rPr>
        <w:t>« </w:t>
      </w:r>
      <w:r w:rsidRPr="001A1E08">
        <w:rPr>
          <w:rFonts w:cs="Times New Roman"/>
          <w:lang w:val="fr-CA"/>
        </w:rPr>
        <w:t>faire tous les efforts nécessaires pour respecter l’ensemble des obligations</w:t>
      </w:r>
      <w:r w:rsidR="006412AC">
        <w:rPr>
          <w:rFonts w:cs="Times New Roman"/>
          <w:lang w:val="fr-CA"/>
        </w:rPr>
        <w:t> »</w:t>
      </w:r>
      <w:r w:rsidRPr="001A1E08">
        <w:rPr>
          <w:rFonts w:cs="Times New Roman"/>
          <w:lang w:val="fr-CA"/>
        </w:rPr>
        <w:t xml:space="preserve"> que lui impose la partie</w:t>
      </w:r>
      <w:r w:rsidR="006412AC">
        <w:rPr>
          <w:rFonts w:cs="Times New Roman"/>
          <w:lang w:val="fr-CA"/>
        </w:rPr>
        <w:t xml:space="preserve"> </w:t>
      </w:r>
      <w:r w:rsidRPr="001A1E08">
        <w:rPr>
          <w:rFonts w:cs="Times New Roman"/>
          <w:lang w:val="fr-CA"/>
        </w:rPr>
        <w:t xml:space="preserve">IV de la </w:t>
      </w:r>
      <w:r w:rsidRPr="001A1E08">
        <w:rPr>
          <w:rFonts w:cs="Times New Roman"/>
          <w:i/>
          <w:lang w:val="fr-CA"/>
        </w:rPr>
        <w:t>LLO</w:t>
      </w:r>
      <w:r w:rsidRPr="001A1E08">
        <w:rPr>
          <w:rFonts w:cs="Times New Roman"/>
          <w:lang w:val="fr-CA"/>
        </w:rPr>
        <w:t xml:space="preserve"> était simplement une ordonnance générale de respecter la loi, une ordonnance ne devant normalement être accordée que dans des circonstances exceptionnelles, qui n’étaient pas présentes en l’espèce</w:t>
      </w:r>
      <w:r w:rsidR="006412AC">
        <w:rPr>
          <w:rFonts w:cs="Times New Roman"/>
          <w:lang w:val="fr-CA"/>
        </w:rPr>
        <w:t> :</w:t>
      </w:r>
      <w:r w:rsidRPr="001A1E08">
        <w:rPr>
          <w:rFonts w:cs="Times New Roman"/>
          <w:lang w:val="fr-CA"/>
        </w:rPr>
        <w:t xml:space="preserve"> par.</w:t>
      </w:r>
      <w:r w:rsidR="006412AC">
        <w:rPr>
          <w:rFonts w:cs="Times New Roman"/>
          <w:lang w:val="fr-CA"/>
        </w:rPr>
        <w:t xml:space="preserve"> </w:t>
      </w:r>
      <w:r w:rsidRPr="001A1E08">
        <w:rPr>
          <w:rFonts w:cs="Times New Roman"/>
          <w:lang w:val="fr-CA"/>
        </w:rPr>
        <w:t>55</w:t>
      </w:r>
      <w:r w:rsidR="006412AC">
        <w:rPr>
          <w:rFonts w:cs="Times New Roman"/>
          <w:lang w:val="fr-CA"/>
        </w:rPr>
        <w:t>-</w:t>
      </w:r>
      <w:r w:rsidRPr="001A1E08">
        <w:rPr>
          <w:rFonts w:cs="Times New Roman"/>
          <w:lang w:val="fr-CA"/>
        </w:rPr>
        <w:t>60.  Quant à l’autre aspect de l’ordonnance, la Cour d’appel a conclu qu’il n’était pas étayé par la preuve et qu’il n’était pas non plus suffisamment précis</w:t>
      </w:r>
      <w:r w:rsidR="006412AC">
        <w:rPr>
          <w:rFonts w:cs="Times New Roman"/>
          <w:lang w:val="fr-CA"/>
        </w:rPr>
        <w:t> :</w:t>
      </w:r>
      <w:r w:rsidRPr="001A1E08">
        <w:rPr>
          <w:rFonts w:cs="Times New Roman"/>
          <w:lang w:val="fr-CA"/>
        </w:rPr>
        <w:t xml:space="preserve"> par.</w:t>
      </w:r>
      <w:r w:rsidR="006412AC">
        <w:rPr>
          <w:rFonts w:cs="Times New Roman"/>
          <w:lang w:val="fr-CA"/>
        </w:rPr>
        <w:t xml:space="preserve"> </w:t>
      </w:r>
      <w:r w:rsidRPr="001A1E08">
        <w:rPr>
          <w:rFonts w:cs="Times New Roman"/>
          <w:lang w:val="fr-CA"/>
        </w:rPr>
        <w:t>63.  Comme l’a dit la juge Trudel au nom de la Cour d’appel</w:t>
      </w:r>
      <w:r w:rsidR="006412AC">
        <w:rPr>
          <w:rFonts w:cs="Times New Roman"/>
          <w:lang w:val="fr-CA"/>
        </w:rPr>
        <w:t> :</w:t>
      </w:r>
      <w:r w:rsidRPr="001A1E08">
        <w:rPr>
          <w:rFonts w:cs="Times New Roman"/>
          <w:lang w:val="fr-CA"/>
        </w:rPr>
        <w:t xml:space="preserve"> </w:t>
      </w:r>
    </w:p>
    <w:p w:rsidR="00367456" w:rsidRPr="001A1E08" w:rsidRDefault="00367456" w:rsidP="00A12DCE">
      <w:pPr>
        <w:pStyle w:val="Citation-AltC"/>
        <w:widowControl w:val="0"/>
        <w:ind w:hanging="1166"/>
        <w:rPr>
          <w:lang w:val="fr-CA"/>
        </w:rPr>
      </w:pPr>
      <w:r w:rsidRPr="001A1E08">
        <w:rPr>
          <w:spacing w:val="-3"/>
          <w:lang w:val="fr-CA"/>
        </w:rPr>
        <w:tab/>
      </w:r>
      <w:r w:rsidRPr="001A1E08">
        <w:rPr>
          <w:spacing w:val="-3"/>
          <w:lang w:val="fr-CA"/>
        </w:rPr>
        <w:tab/>
        <w:t xml:space="preserve">Le libellé imprécis de l’ordonnance me porte, encore une fois, à prévoir que sa mise en œuvre sera problématique pour l’appelante et pour tout tribunal appelé à intervenir en cas de différend futur.  Rien au dossier ne révèle ce qu’est un système de surveillance adéquat et rapide.  L’usage du mot </w:t>
      </w:r>
      <w:r w:rsidR="006412AC">
        <w:rPr>
          <w:spacing w:val="-3"/>
          <w:lang w:val="fr-CA"/>
        </w:rPr>
        <w:t>« </w:t>
      </w:r>
      <w:r w:rsidRPr="001A1E08">
        <w:rPr>
          <w:spacing w:val="-3"/>
          <w:lang w:val="fr-CA"/>
        </w:rPr>
        <w:t>notamment</w:t>
      </w:r>
      <w:r w:rsidR="006412AC">
        <w:rPr>
          <w:spacing w:val="-3"/>
          <w:lang w:val="fr-CA"/>
        </w:rPr>
        <w:t> »</w:t>
      </w:r>
      <w:r w:rsidRPr="001A1E08">
        <w:rPr>
          <w:spacing w:val="-3"/>
          <w:lang w:val="fr-CA"/>
        </w:rPr>
        <w:t xml:space="preserve"> démontre que l’affectation d’agents de bord bilingues par Jazz ne constitue qu’un des éléments qui appellent l’intervention de l’appelante.  Quels sont les autres?  L’ordonnance, en englobant les obligations énoncées à la partie</w:t>
      </w:r>
      <w:r w:rsidR="006412AC">
        <w:rPr>
          <w:spacing w:val="-3"/>
          <w:lang w:val="fr-CA"/>
        </w:rPr>
        <w:t xml:space="preserve"> </w:t>
      </w:r>
      <w:r w:rsidRPr="001A1E08">
        <w:rPr>
          <w:spacing w:val="-3"/>
          <w:lang w:val="fr-CA"/>
        </w:rPr>
        <w:t xml:space="preserve">IV de la LLO, affecte non seulement les services en vol, mais les services offerts aux différents comptoirs de vente et d’enregistrement de bagages, les centres d’appel, etc.  La portée de l’ordonnance va beaucoup plus loin que ce qui est nécessaire pour remédier à la violation des droits linguistiques subie par les Thibodeau.  </w:t>
      </w:r>
      <w:r w:rsidRPr="001A1E08">
        <w:rPr>
          <w:lang w:val="fr-CA"/>
        </w:rPr>
        <w:t>[</w:t>
      </w:r>
      <w:proofErr w:type="gramStart"/>
      <w:r w:rsidRPr="001A1E08">
        <w:rPr>
          <w:lang w:val="fr-CA"/>
        </w:rPr>
        <w:t>par</w:t>
      </w:r>
      <w:proofErr w:type="gramEnd"/>
      <w:r w:rsidRPr="001A1E08">
        <w:rPr>
          <w:lang w:val="fr-CA"/>
        </w:rPr>
        <w:t>.</w:t>
      </w:r>
      <w:r w:rsidR="006412AC">
        <w:rPr>
          <w:lang w:val="fr-CA"/>
        </w:rPr>
        <w:t xml:space="preserve"> </w:t>
      </w:r>
      <w:r w:rsidRPr="001A1E08">
        <w:rPr>
          <w:lang w:val="fr-CA"/>
        </w:rPr>
        <w:t>76]</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Le commissaire fait valoir que la Cour d’appel fédérale a outrepassé le rôle de tribunal d’appel qui lui revient en appréciant de nouveau la preuve et, par le fait même, en ne faisant pas preuve, à ce titre, de la déférence qui s’impose à l’égard </w:t>
      </w:r>
      <w:r w:rsidRPr="001A1E08">
        <w:rPr>
          <w:rFonts w:cs="Times New Roman"/>
          <w:lang w:val="fr-CA"/>
        </w:rPr>
        <w:lastRenderedPageBreak/>
        <w:t xml:space="preserve">des conclusions tirées en première instance.  J’estime toutefois que l’ordonnance a été annulée avec raison.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La première partie de l’ordonnance exigeait simplement d’Air Canada qu’elle se conforme à la loi.  Or, ce type d’ordonnance ne doit être rendu que dans des circonstances exceptionnelles, qui ne sont pas présentes en l’espèce.  Les appelants n’ont pas tenté de défendre cette partie de l’ordonnance prononcée par la juge saisie de la demande, et, pour les motifs exposés par la Cour d’appel fédérale sur ce point, j’estime que la juge de première instance a eu tort de la rendre.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Quant au deuxième aspect de l’ordonnance — celui enjoignant à Air Canada d’instaurer un système de surveillance — c’est également à bon droit qu’il a été infirmé.  À mon avis, l’ordonnance est trop imprécise, elle risque de donner lieu à d’incessantes procédures et mesures de supervision judiciaire visant à </w:t>
      </w:r>
      <w:r>
        <w:rPr>
          <w:rFonts w:cs="Times New Roman"/>
          <w:lang w:val="fr-CA"/>
        </w:rPr>
        <w:t>déterminer</w:t>
      </w:r>
      <w:r w:rsidRPr="001A1E08">
        <w:rPr>
          <w:rFonts w:cs="Times New Roman"/>
          <w:lang w:val="fr-CA"/>
        </w:rPr>
        <w:t xml:space="preserve"> si elle est respectée, et</w:t>
      </w:r>
      <w:r>
        <w:rPr>
          <w:rFonts w:cs="Times New Roman"/>
          <w:lang w:val="fr-CA"/>
        </w:rPr>
        <w:t>, enfin,</w:t>
      </w:r>
      <w:r w:rsidRPr="001A1E08">
        <w:rPr>
          <w:rFonts w:cs="Times New Roman"/>
          <w:lang w:val="fr-CA"/>
        </w:rPr>
        <w:t xml:space="preserve"> elle est inappropriée, surtout au vu des pouvoirs conférés par la loi au commissaire et de son expertise en matière de surveillance du respect de la </w:t>
      </w:r>
      <w:r w:rsidRPr="001A1E08">
        <w:rPr>
          <w:rFonts w:cs="Times New Roman"/>
          <w:i/>
          <w:lang w:val="fr-CA"/>
        </w:rPr>
        <w:t>LLO</w:t>
      </w:r>
      <w:r w:rsidRPr="001A1E08">
        <w:rPr>
          <w:rFonts w:cs="Times New Roman"/>
          <w:lang w:val="fr-CA"/>
        </w:rPr>
        <w:t xml:space="preserve">. </w:t>
      </w:r>
    </w:p>
    <w:p w:rsidR="00367456" w:rsidRPr="001A1E08" w:rsidRDefault="00367456" w:rsidP="00A12DCE">
      <w:pPr>
        <w:pStyle w:val="Title3LevelTitre3Niveau"/>
        <w:widowControl w:val="0"/>
        <w:ind w:left="862" w:hanging="431"/>
        <w:rPr>
          <w:rFonts w:cs="Times New Roman"/>
          <w:lang w:val="fr-CA"/>
        </w:rPr>
      </w:pPr>
      <w:r w:rsidRPr="001A1E08">
        <w:rPr>
          <w:rFonts w:cs="Times New Roman"/>
          <w:lang w:val="fr-CA"/>
        </w:rPr>
        <w:t>Principes juridiques</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Les ordonnances structurelles jouent un rôle important, mais limité, dans</w:t>
      </w:r>
      <w:r>
        <w:rPr>
          <w:rFonts w:cs="Times New Roman"/>
          <w:lang w:val="fr-CA"/>
        </w:rPr>
        <w:t xml:space="preserve"> </w:t>
      </w:r>
      <w:r w:rsidRPr="001A1E08">
        <w:rPr>
          <w:rFonts w:cs="Times New Roman"/>
          <w:lang w:val="fr-CA"/>
        </w:rPr>
        <w:t>l’exercice des droits par voie judiciaire</w:t>
      </w:r>
      <w:r w:rsidR="006412AC">
        <w:rPr>
          <w:rFonts w:cs="Times New Roman"/>
          <w:lang w:val="fr-CA"/>
        </w:rPr>
        <w:t> :</w:t>
      </w:r>
      <w:r w:rsidRPr="001A1E08">
        <w:rPr>
          <w:rFonts w:cs="Times New Roman"/>
          <w:lang w:val="fr-CA"/>
        </w:rPr>
        <w:t xml:space="preserve"> </w:t>
      </w:r>
      <w:r w:rsidRPr="001A1E08">
        <w:rPr>
          <w:rFonts w:cs="Times New Roman"/>
          <w:i/>
          <w:lang w:val="fr-CA"/>
        </w:rPr>
        <w:t>Doucet</w:t>
      </w:r>
      <w:r w:rsidR="006412AC">
        <w:rPr>
          <w:rFonts w:cs="Times New Roman"/>
          <w:i/>
          <w:lang w:val="fr-CA"/>
        </w:rPr>
        <w:t>-</w:t>
      </w:r>
      <w:r w:rsidRPr="001A1E08">
        <w:rPr>
          <w:rFonts w:cs="Times New Roman"/>
          <w:i/>
          <w:lang w:val="fr-CA"/>
        </w:rPr>
        <w:t>Boudreau c. Nouvelle</w:t>
      </w:r>
      <w:r w:rsidR="006412AC">
        <w:rPr>
          <w:rFonts w:cs="Times New Roman"/>
          <w:i/>
          <w:lang w:val="fr-CA"/>
        </w:rPr>
        <w:t>-</w:t>
      </w:r>
      <w:r w:rsidR="00750547">
        <w:rPr>
          <w:rFonts w:cs="Times New Roman"/>
          <w:i/>
          <w:lang w:val="fr-CA"/>
        </w:rPr>
        <w:t>Écosse (Ministre de l’É</w:t>
      </w:r>
      <w:r w:rsidRPr="001A1E08">
        <w:rPr>
          <w:rFonts w:cs="Times New Roman"/>
          <w:i/>
          <w:lang w:val="fr-CA"/>
        </w:rPr>
        <w:t>ducation)</w:t>
      </w:r>
      <w:r w:rsidRPr="001A1E08">
        <w:rPr>
          <w:rFonts w:cs="Times New Roman"/>
          <w:lang w:val="fr-CA"/>
        </w:rPr>
        <w:t>, 2003 CSC 62, [2003] 3 R.C.S. 3, par.</w:t>
      </w:r>
      <w:r w:rsidR="006412AC">
        <w:rPr>
          <w:rFonts w:cs="Times New Roman"/>
          <w:lang w:val="fr-CA"/>
        </w:rPr>
        <w:t xml:space="preserve"> </w:t>
      </w:r>
      <w:r w:rsidRPr="001A1E08">
        <w:rPr>
          <w:rFonts w:cs="Times New Roman"/>
          <w:lang w:val="fr-CA"/>
        </w:rPr>
        <w:t xml:space="preserve">56.  Les ordonnances de cette nature doivent faire l’objet d’une attention particulière en raison de deux </w:t>
      </w:r>
      <w:r w:rsidRPr="001A1E08">
        <w:rPr>
          <w:rFonts w:cs="Times New Roman"/>
          <w:lang w:val="fr-CA"/>
        </w:rPr>
        <w:lastRenderedPageBreak/>
        <w:t>problèmes potentiels connexes</w:t>
      </w:r>
      <w:r w:rsidR="006412AC">
        <w:rPr>
          <w:rFonts w:cs="Times New Roman"/>
          <w:lang w:val="fr-CA"/>
        </w:rPr>
        <w:t> :</w:t>
      </w:r>
      <w:r w:rsidRPr="001A1E08">
        <w:rPr>
          <w:rFonts w:cs="Times New Roman"/>
          <w:lang w:val="fr-CA"/>
        </w:rPr>
        <w:t xml:space="preserve"> le premier étant un manque de clarté, lequel, à son tour, peut en occasionner un deuxième, soit la nécessité d’une supervision judiciaire continue — la supervision continue étant en soi une tâche que les tribunaux n’exercent qu’exceptionnellement.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S’agissant de la clarté, nous devons garder à l’esprit que la sanction ultime à laquelle s’expose quiconque ne respecte pas une ordonnance de cette nature est une condamnation pour outrage au tribunal et l’infliction conséquente d’une amende ou d’une peine d’emprisonnement.  L’ordonnance doit être suffisamment claire pour donner aux parties tenues de la respecter des indications convenables sur ce qu’il leur faut accomplir pour s’y conformer, et pour éviter une ronde potentiellement interminable de nouvelles demandes visant à déterminer si elles s’y sont conformées.  Comme l’a expliqué la Cour dans l’arrêt </w:t>
      </w:r>
      <w:r w:rsidRPr="001A1E08">
        <w:rPr>
          <w:rFonts w:cs="Times New Roman"/>
          <w:i/>
          <w:lang w:val="fr-CA"/>
        </w:rPr>
        <w:t xml:space="preserve">Pro Swing Inc. c. </w:t>
      </w:r>
      <w:proofErr w:type="spellStart"/>
      <w:r w:rsidRPr="001A1E08">
        <w:rPr>
          <w:rFonts w:cs="Times New Roman"/>
          <w:i/>
          <w:lang w:val="fr-CA"/>
        </w:rPr>
        <w:t>Elta</w:t>
      </w:r>
      <w:proofErr w:type="spellEnd"/>
      <w:r w:rsidRPr="001A1E08">
        <w:rPr>
          <w:rFonts w:cs="Times New Roman"/>
          <w:i/>
          <w:lang w:val="fr-CA"/>
        </w:rPr>
        <w:t xml:space="preserve"> Golf Inc.</w:t>
      </w:r>
      <w:r w:rsidRPr="001A1E08">
        <w:rPr>
          <w:rFonts w:cs="Times New Roman"/>
          <w:lang w:val="fr-CA"/>
        </w:rPr>
        <w:t>, 2006 CSC 52, [2006] 2 R.C.S. 612, par.</w:t>
      </w:r>
      <w:r w:rsidR="006412AC">
        <w:rPr>
          <w:rFonts w:cs="Times New Roman"/>
          <w:lang w:val="fr-CA"/>
        </w:rPr>
        <w:t xml:space="preserve"> </w:t>
      </w:r>
      <w:r w:rsidRPr="001A1E08">
        <w:rPr>
          <w:rFonts w:cs="Times New Roman"/>
          <w:lang w:val="fr-CA"/>
        </w:rPr>
        <w:t>24</w:t>
      </w:r>
      <w:r w:rsidR="006412AC">
        <w:rPr>
          <w:rFonts w:cs="Times New Roman"/>
          <w:lang w:val="fr-CA"/>
        </w:rPr>
        <w:t> :</w:t>
      </w:r>
    </w:p>
    <w:p w:rsidR="00367456" w:rsidRPr="001A1E08" w:rsidRDefault="00367456" w:rsidP="00A12DCE">
      <w:pPr>
        <w:pStyle w:val="Citation-AltC"/>
        <w:widowControl w:val="0"/>
        <w:ind w:hanging="1166"/>
        <w:rPr>
          <w:lang w:val="fr-CA"/>
        </w:rPr>
      </w:pPr>
      <w:r w:rsidRPr="001A1E08">
        <w:rPr>
          <w:lang w:val="fr-CA"/>
        </w:rPr>
        <w:tab/>
        <w:t>Son libellé doit être clair et spécifique.  L’intéressé doit savoir exactement ce qu’il lui faut accomplir pour s’y conformer</w:t>
      </w:r>
      <w:r w:rsidR="00C83206">
        <w:rPr>
          <w:lang w:val="fr-CA"/>
        </w:rPr>
        <w:t xml:space="preserve"> [. . .]</w:t>
      </w:r>
      <w:r w:rsidRPr="001A1E08">
        <w:rPr>
          <w:lang w:val="fr-CA"/>
        </w:rPr>
        <w:t xml:space="preserve">  Alors que l’exigence de la spécificité est justifiée par la possibilité d’une requête pour outrage au tribunal en cas de non</w:t>
      </w:r>
      <w:r w:rsidR="006412AC">
        <w:rPr>
          <w:lang w:val="fr-CA"/>
        </w:rPr>
        <w:t>-</w:t>
      </w:r>
      <w:r w:rsidRPr="001A1E08">
        <w:rPr>
          <w:lang w:val="fr-CA"/>
        </w:rPr>
        <w:t>exécution, la supervision judiciaire entraîne souvent de nouvelles instances et l’affec</w:t>
      </w:r>
      <w:r w:rsidR="009331E9">
        <w:rPr>
          <w:lang w:val="fr-CA"/>
        </w:rPr>
        <w:t>ta</w:t>
      </w:r>
      <w:r w:rsidRPr="001A1E08">
        <w:rPr>
          <w:lang w:val="fr-CA"/>
        </w:rPr>
        <w:t>tion de ressources judiciaires.</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La supervision judiciaire continue sera parfois de mise, comme l’illustre l’arrêt </w:t>
      </w:r>
      <w:r w:rsidRPr="001A1E08">
        <w:rPr>
          <w:rFonts w:cs="Times New Roman"/>
          <w:i/>
          <w:lang w:val="fr-CA"/>
        </w:rPr>
        <w:t>Doucet</w:t>
      </w:r>
      <w:r w:rsidR="006412AC">
        <w:rPr>
          <w:rFonts w:cs="Times New Roman"/>
          <w:i/>
          <w:lang w:val="fr-CA"/>
        </w:rPr>
        <w:t>-</w:t>
      </w:r>
      <w:r w:rsidRPr="001A1E08">
        <w:rPr>
          <w:rFonts w:cs="Times New Roman"/>
          <w:i/>
          <w:lang w:val="fr-CA"/>
        </w:rPr>
        <w:t xml:space="preserve">Boudreau.  </w:t>
      </w:r>
      <w:r w:rsidRPr="001A1E08">
        <w:rPr>
          <w:rFonts w:cs="Times New Roman"/>
          <w:lang w:val="fr-CA"/>
        </w:rPr>
        <w:t>Or, en l’absence de circonstances impérieuses, les tribunaux devraient en général s’abstenir de prononcer des ordonnances qui susciteront presque inévitablement de perpétuel</w:t>
      </w:r>
      <w:r>
        <w:rPr>
          <w:rFonts w:cs="Times New Roman"/>
          <w:lang w:val="fr-CA"/>
        </w:rPr>
        <w:t>le</w:t>
      </w:r>
      <w:r w:rsidRPr="001A1E08">
        <w:rPr>
          <w:rFonts w:cs="Times New Roman"/>
          <w:lang w:val="fr-CA"/>
        </w:rPr>
        <w:t xml:space="preserve">s </w:t>
      </w:r>
      <w:r>
        <w:rPr>
          <w:rFonts w:cs="Times New Roman"/>
          <w:lang w:val="fr-CA"/>
        </w:rPr>
        <w:t xml:space="preserve">procédures </w:t>
      </w:r>
      <w:r w:rsidRPr="001A1E08">
        <w:rPr>
          <w:rFonts w:cs="Times New Roman"/>
          <w:lang w:val="fr-CA"/>
        </w:rPr>
        <w:t xml:space="preserve">sur la question de savoir si elles sont respectées.  C’est particulièrement vrai en l’espèce, compte tenu </w:t>
      </w:r>
      <w:r w:rsidRPr="001A1E08">
        <w:rPr>
          <w:rFonts w:cs="Times New Roman"/>
          <w:lang w:val="fr-CA"/>
        </w:rPr>
        <w:lastRenderedPageBreak/>
        <w:t xml:space="preserve">des pouvoirs légaux du commissaire et de son expertise pour ce qui est de cerner les problèmes en matière de respect de la </w:t>
      </w:r>
      <w:r w:rsidRPr="001A1E08">
        <w:rPr>
          <w:rFonts w:cs="Times New Roman"/>
          <w:i/>
          <w:lang w:val="fr-CA"/>
        </w:rPr>
        <w:t>LLO</w:t>
      </w:r>
      <w:r w:rsidRPr="001A1E08">
        <w:rPr>
          <w:rFonts w:cs="Times New Roman"/>
          <w:lang w:val="fr-CA"/>
        </w:rPr>
        <w:t>, et de vérifier si des progrès suffisants sont réalisés dans la mise en œuvre des mesures visant à y remédier</w:t>
      </w:r>
      <w:r w:rsidR="006412AC">
        <w:rPr>
          <w:rFonts w:cs="Times New Roman"/>
          <w:lang w:val="fr-CA"/>
        </w:rPr>
        <w:t> :</w:t>
      </w:r>
      <w:r w:rsidRPr="001A1E08">
        <w:rPr>
          <w:rFonts w:cs="Times New Roman"/>
          <w:lang w:val="fr-CA"/>
        </w:rPr>
        <w:t xml:space="preserve"> art.</w:t>
      </w:r>
      <w:r w:rsidR="006412AC">
        <w:rPr>
          <w:rFonts w:cs="Times New Roman"/>
          <w:lang w:val="fr-CA"/>
        </w:rPr>
        <w:t xml:space="preserve"> </w:t>
      </w:r>
      <w:r w:rsidRPr="001A1E08">
        <w:rPr>
          <w:rFonts w:cs="Times New Roman"/>
          <w:lang w:val="fr-CA"/>
        </w:rPr>
        <w:t>49</w:t>
      </w:r>
      <w:r>
        <w:rPr>
          <w:rFonts w:cs="Times New Roman"/>
          <w:lang w:val="fr-CA"/>
        </w:rPr>
        <w:t xml:space="preserve"> à </w:t>
      </w:r>
      <w:r w:rsidRPr="001A1E08">
        <w:rPr>
          <w:rFonts w:cs="Times New Roman"/>
          <w:lang w:val="fr-CA"/>
        </w:rPr>
        <w:t>75.</w:t>
      </w:r>
    </w:p>
    <w:p w:rsidR="00367456" w:rsidRPr="001A1E08" w:rsidRDefault="00367456" w:rsidP="00A12DCE">
      <w:pPr>
        <w:pStyle w:val="Title3LevelTitre3Niveau"/>
        <w:widowControl w:val="0"/>
        <w:rPr>
          <w:rFonts w:cs="Times New Roman"/>
          <w:lang w:val="fr-CA"/>
        </w:rPr>
      </w:pPr>
      <w:r w:rsidRPr="001A1E08">
        <w:rPr>
          <w:rFonts w:cs="Times New Roman"/>
          <w:lang w:val="fr-CA"/>
        </w:rPr>
        <w:t>Application</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À la lumière de ces principes, j’estime que la Cour fédérale a commis une erreur en prononçant l’ordonnance structurelle en l’espèce.  Je me concentrerai sur ses dispositions qui traitent de la surveillance, étant donné que les appelants n’ont tenté avec conviction de défendre la première partie de l’ordonnance où la juge enjoint simplement à Air Canada de se conformer à la </w:t>
      </w:r>
      <w:r w:rsidRPr="001A1E08">
        <w:rPr>
          <w:rFonts w:cs="Times New Roman"/>
          <w:i/>
          <w:lang w:val="fr-CA"/>
        </w:rPr>
        <w:t>LLO</w:t>
      </w:r>
      <w:r w:rsidRPr="001A1E08">
        <w:rPr>
          <w:rFonts w:cs="Times New Roman"/>
          <w:lang w:val="fr-CA"/>
        </w:rPr>
        <w:t xml:space="preserve">.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De prime abord, les dispositions de l’ordonnance qui traitent de la surveillance soulèvent un certain nombre de questions quant à son étendue et à ses limites.  Pour se conformer à l’ordonnance, il faut savoir ce qu’est un système de surveillance </w:t>
      </w:r>
      <w:r w:rsidR="006412AC">
        <w:rPr>
          <w:rFonts w:cs="Times New Roman"/>
          <w:lang w:val="fr-CA"/>
        </w:rPr>
        <w:t>« </w:t>
      </w:r>
      <w:proofErr w:type="spellStart"/>
      <w:r w:rsidRPr="001A1E08">
        <w:rPr>
          <w:rFonts w:cs="Times New Roman"/>
          <w:lang w:val="fr-CA"/>
        </w:rPr>
        <w:t>adéqua</w:t>
      </w:r>
      <w:proofErr w:type="spellEnd"/>
      <w:r w:rsidR="002A4811">
        <w:rPr>
          <w:rFonts w:cs="Times New Roman"/>
          <w:lang w:val="fr-CA"/>
        </w:rPr>
        <w:t>[</w:t>
      </w:r>
      <w:r w:rsidRPr="001A1E08">
        <w:rPr>
          <w:rFonts w:cs="Times New Roman"/>
          <w:lang w:val="fr-CA"/>
        </w:rPr>
        <w:t>t]</w:t>
      </w:r>
      <w:r w:rsidR="006412AC">
        <w:rPr>
          <w:rFonts w:cs="Times New Roman"/>
          <w:lang w:val="fr-CA"/>
        </w:rPr>
        <w:t> »</w:t>
      </w:r>
      <w:r w:rsidRPr="001A1E08">
        <w:rPr>
          <w:rFonts w:cs="Times New Roman"/>
          <w:lang w:val="fr-CA"/>
        </w:rPr>
        <w:t>.  Des inspections périodiques seraient</w:t>
      </w:r>
      <w:r w:rsidR="006412AC">
        <w:rPr>
          <w:rFonts w:cs="Times New Roman"/>
          <w:lang w:val="fr-CA"/>
        </w:rPr>
        <w:t>-</w:t>
      </w:r>
      <w:r w:rsidRPr="001A1E08">
        <w:rPr>
          <w:rFonts w:cs="Times New Roman"/>
          <w:lang w:val="fr-CA"/>
        </w:rPr>
        <w:t>elles suffisantes ou le système de surveillance doit</w:t>
      </w:r>
      <w:r w:rsidR="006412AC">
        <w:rPr>
          <w:rFonts w:cs="Times New Roman"/>
          <w:lang w:val="fr-CA"/>
        </w:rPr>
        <w:t>-</w:t>
      </w:r>
      <w:r w:rsidRPr="001A1E08">
        <w:rPr>
          <w:rFonts w:cs="Times New Roman"/>
          <w:lang w:val="fr-CA"/>
        </w:rPr>
        <w:t xml:space="preserve">il permettre de documenter la moindre violation </w:t>
      </w:r>
      <w:r w:rsidR="006412AC">
        <w:rPr>
          <w:rFonts w:cs="Times New Roman"/>
          <w:lang w:val="fr-CA"/>
        </w:rPr>
        <w:t>« </w:t>
      </w:r>
      <w:r w:rsidRPr="001A1E08">
        <w:rPr>
          <w:rFonts w:cs="Times New Roman"/>
          <w:lang w:val="fr-CA"/>
        </w:rPr>
        <w:t>éventuelle</w:t>
      </w:r>
      <w:r w:rsidR="006412AC">
        <w:rPr>
          <w:rFonts w:cs="Times New Roman"/>
          <w:lang w:val="fr-CA"/>
        </w:rPr>
        <w:t> »</w:t>
      </w:r>
      <w:r w:rsidRPr="001A1E08">
        <w:rPr>
          <w:rFonts w:cs="Times New Roman"/>
          <w:lang w:val="fr-CA"/>
        </w:rPr>
        <w:t xml:space="preserve">?  Avec quelle </w:t>
      </w:r>
      <w:r w:rsidR="006412AC">
        <w:rPr>
          <w:rFonts w:cs="Times New Roman"/>
          <w:lang w:val="fr-CA"/>
        </w:rPr>
        <w:t>« </w:t>
      </w:r>
      <w:proofErr w:type="spellStart"/>
      <w:proofErr w:type="gramStart"/>
      <w:r w:rsidRPr="001A1E08">
        <w:rPr>
          <w:rFonts w:cs="Times New Roman"/>
          <w:lang w:val="fr-CA"/>
        </w:rPr>
        <w:t>rapid</w:t>
      </w:r>
      <w:proofErr w:type="spellEnd"/>
      <w:r w:rsidRPr="001A1E08">
        <w:rPr>
          <w:rFonts w:cs="Times New Roman"/>
          <w:lang w:val="fr-CA"/>
        </w:rPr>
        <w:t>[</w:t>
      </w:r>
      <w:proofErr w:type="spellStart"/>
      <w:proofErr w:type="gramEnd"/>
      <w:r w:rsidRPr="001A1E08">
        <w:rPr>
          <w:rFonts w:cs="Times New Roman"/>
          <w:lang w:val="fr-CA"/>
        </w:rPr>
        <w:t>ité</w:t>
      </w:r>
      <w:proofErr w:type="spellEnd"/>
      <w:r w:rsidRPr="001A1E08">
        <w:rPr>
          <w:rFonts w:cs="Times New Roman"/>
          <w:lang w:val="fr-CA"/>
        </w:rPr>
        <w:t>]</w:t>
      </w:r>
      <w:r w:rsidR="006412AC">
        <w:rPr>
          <w:rFonts w:cs="Times New Roman"/>
          <w:lang w:val="fr-CA"/>
        </w:rPr>
        <w:t> »</w:t>
      </w:r>
      <w:r w:rsidRPr="001A1E08">
        <w:rPr>
          <w:rFonts w:cs="Times New Roman"/>
          <w:lang w:val="fr-CA"/>
        </w:rPr>
        <w:t xml:space="preserve"> l’intéressée doit</w:t>
      </w:r>
      <w:r w:rsidR="006412AC">
        <w:rPr>
          <w:rFonts w:cs="Times New Roman"/>
          <w:lang w:val="fr-CA"/>
        </w:rPr>
        <w:t>-</w:t>
      </w:r>
      <w:r w:rsidRPr="001A1E08">
        <w:rPr>
          <w:rFonts w:cs="Times New Roman"/>
          <w:lang w:val="fr-CA"/>
        </w:rPr>
        <w:t xml:space="preserve">elle déceler les </w:t>
      </w:r>
      <w:r w:rsidR="006412AC">
        <w:rPr>
          <w:rFonts w:cs="Times New Roman"/>
          <w:lang w:val="fr-CA"/>
        </w:rPr>
        <w:t>« </w:t>
      </w:r>
      <w:r w:rsidR="002A4811" w:rsidRPr="001A1E08">
        <w:rPr>
          <w:rFonts w:cs="Times New Roman"/>
          <w:lang w:val="fr-CA"/>
        </w:rPr>
        <w:t xml:space="preserve">éventuelles </w:t>
      </w:r>
      <w:r w:rsidRPr="001A1E08">
        <w:rPr>
          <w:rFonts w:cs="Times New Roman"/>
          <w:lang w:val="fr-CA"/>
        </w:rPr>
        <w:t>violations</w:t>
      </w:r>
      <w:r w:rsidR="006412AC">
        <w:rPr>
          <w:rFonts w:cs="Times New Roman"/>
          <w:lang w:val="fr-CA"/>
        </w:rPr>
        <w:t> »</w:t>
      </w:r>
      <w:r w:rsidRPr="001A1E08">
        <w:rPr>
          <w:rFonts w:cs="Times New Roman"/>
          <w:lang w:val="fr-CA"/>
        </w:rPr>
        <w:t>?  D’ailleurs, qu’est</w:t>
      </w:r>
      <w:r w:rsidR="006412AC">
        <w:rPr>
          <w:rFonts w:cs="Times New Roman"/>
          <w:lang w:val="fr-CA"/>
        </w:rPr>
        <w:t>-</w:t>
      </w:r>
      <w:r w:rsidRPr="001A1E08">
        <w:rPr>
          <w:rFonts w:cs="Times New Roman"/>
          <w:lang w:val="fr-CA"/>
        </w:rPr>
        <w:t xml:space="preserve">ce qu’une violation </w:t>
      </w:r>
      <w:r w:rsidR="002A4811">
        <w:rPr>
          <w:rFonts w:cs="Times New Roman"/>
          <w:lang w:val="fr-CA"/>
        </w:rPr>
        <w:t>« </w:t>
      </w:r>
      <w:proofErr w:type="spellStart"/>
      <w:r w:rsidRPr="001A1E08">
        <w:rPr>
          <w:rFonts w:cs="Times New Roman"/>
          <w:lang w:val="fr-CA"/>
        </w:rPr>
        <w:t>éventuell</w:t>
      </w:r>
      <w:proofErr w:type="spellEnd"/>
      <w:r w:rsidR="0026672A">
        <w:rPr>
          <w:rFonts w:cs="Times New Roman"/>
          <w:lang w:val="fr-CA"/>
        </w:rPr>
        <w:t>[</w:t>
      </w:r>
      <w:r w:rsidRPr="001A1E08">
        <w:rPr>
          <w:rFonts w:cs="Times New Roman"/>
          <w:lang w:val="fr-CA"/>
        </w:rPr>
        <w:t>e</w:t>
      </w:r>
      <w:r w:rsidR="0026672A">
        <w:rPr>
          <w:rFonts w:cs="Times New Roman"/>
          <w:lang w:val="fr-CA"/>
        </w:rPr>
        <w:t>]</w:t>
      </w:r>
      <w:r w:rsidR="006412AC">
        <w:rPr>
          <w:rFonts w:cs="Times New Roman"/>
          <w:lang w:val="fr-CA"/>
        </w:rPr>
        <w:t> »</w:t>
      </w:r>
      <w:r w:rsidRPr="001A1E08">
        <w:rPr>
          <w:rFonts w:cs="Times New Roman"/>
          <w:lang w:val="fr-CA"/>
        </w:rPr>
        <w:t>?  Ces questions plutôt évidentes, que suscite un examen de l’ordonnance et auxquelles ni celle</w:t>
      </w:r>
      <w:r w:rsidR="006412AC">
        <w:rPr>
          <w:rFonts w:cs="Times New Roman"/>
          <w:lang w:val="fr-CA"/>
        </w:rPr>
        <w:t>-</w:t>
      </w:r>
      <w:r w:rsidRPr="001A1E08">
        <w:rPr>
          <w:rFonts w:cs="Times New Roman"/>
          <w:lang w:val="fr-CA"/>
        </w:rPr>
        <w:t xml:space="preserve">ci ni le dossier ne répondent, font ressortir son manque de précision.  Bien que la juge saisie de la demande semble avoir voulu mettre l’accent sur l’affectation d’agents de bord capables d’assurer des services en français sur les vols pour lesquels il y a une demande importante de services dans cette langue, son ordonnance va </w:t>
      </w:r>
      <w:r w:rsidRPr="001A1E08">
        <w:rPr>
          <w:rFonts w:cs="Times New Roman"/>
          <w:lang w:val="fr-CA"/>
        </w:rPr>
        <w:lastRenderedPageBreak/>
        <w:t xml:space="preserve">beaucoup plus loin, comme l’a fait observer la Cour d’appel fédérale.  </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À ces difficultés s’ajoute le fait que le commissaire dispose à la fois des pouvoirs légaux et de l’expertise institutionnelle nécessaires pour contrôler le respect de la </w:t>
      </w:r>
      <w:r w:rsidRPr="001A1E08">
        <w:rPr>
          <w:rFonts w:cs="Times New Roman"/>
          <w:i/>
          <w:lang w:val="fr-CA"/>
        </w:rPr>
        <w:t>LLO</w:t>
      </w:r>
      <w:r w:rsidRPr="001A1E08">
        <w:rPr>
          <w:rFonts w:cs="Times New Roman"/>
          <w:lang w:val="fr-CA"/>
        </w:rPr>
        <w:t xml:space="preserve"> et la prise de mesures d’amélioration.  Ainsi, la supervision judiciaire continue ne devrait, en général, s’exercer à l’égard de ce régime législatif que dans des circonstances véritablement impérieuses, qui ne sont pas présentes en l’espèce.</w:t>
      </w:r>
    </w:p>
    <w:p w:rsidR="00367456" w:rsidRPr="001A1E08" w:rsidRDefault="00367456" w:rsidP="00A12DCE">
      <w:pPr>
        <w:pStyle w:val="ParaNoNdepar-AltN"/>
        <w:widowControl w:val="0"/>
        <w:tabs>
          <w:tab w:val="clear" w:pos="1166"/>
          <w:tab w:val="num" w:pos="1152"/>
        </w:tabs>
        <w:rPr>
          <w:rFonts w:cs="Times New Roman"/>
          <w:lang w:val="fr-CA"/>
        </w:rPr>
      </w:pPr>
      <w:r w:rsidRPr="001A1E08">
        <w:rPr>
          <w:rFonts w:cs="Times New Roman"/>
          <w:lang w:val="fr-CA"/>
        </w:rPr>
        <w:t xml:space="preserve">À l’instar de la Cour d’appel fédérale, j’estime que l’ordonnance structurelle n’aurait pas dû être prononcée.  Le jugement déclaratoire, les excuses et les dépens afférents à la demande constituaient une réparation convenable et juste en l’espèce. </w:t>
      </w:r>
    </w:p>
    <w:p w:rsidR="00367456" w:rsidRPr="001A1E08" w:rsidRDefault="00367456" w:rsidP="00A12DCE">
      <w:pPr>
        <w:pStyle w:val="Title1LevelTitre1Niveau-AltL"/>
        <w:widowControl w:val="0"/>
        <w:ind w:left="431" w:hanging="431"/>
        <w:rPr>
          <w:rFonts w:cs="Times New Roman"/>
          <w:lang w:val="fr-CA"/>
        </w:rPr>
      </w:pPr>
      <w:r w:rsidRPr="001A1E08">
        <w:rPr>
          <w:rFonts w:cs="Times New Roman"/>
          <w:lang w:val="fr-CA"/>
        </w:rPr>
        <w:t>Dispositif</w:t>
      </w:r>
    </w:p>
    <w:p w:rsidR="00367456" w:rsidRDefault="00367456" w:rsidP="00A12DCE">
      <w:pPr>
        <w:pStyle w:val="ParaNoNdepar-AltN"/>
        <w:widowControl w:val="0"/>
        <w:tabs>
          <w:tab w:val="clear" w:pos="1166"/>
          <w:tab w:val="num" w:pos="1152"/>
        </w:tabs>
        <w:rPr>
          <w:rFonts w:cs="Times New Roman"/>
          <w:lang w:val="fr-CA"/>
        </w:rPr>
      </w:pPr>
      <w:r w:rsidRPr="00F802C8">
        <w:rPr>
          <w:rFonts w:cs="Times New Roman"/>
          <w:lang w:val="fr-CA"/>
        </w:rPr>
        <w:t>Je suis d’avis de rejeter les pourvois.  L’intimée n’ayant pas demandé les dépens, je n’en adjugerais aucuns</w:t>
      </w:r>
      <w:r>
        <w:rPr>
          <w:rFonts w:cs="Times New Roman"/>
          <w:lang w:val="fr-CA"/>
        </w:rPr>
        <w:t>.</w:t>
      </w:r>
    </w:p>
    <w:p w:rsidR="00367456" w:rsidRPr="00CB2D7A" w:rsidRDefault="00CB2D7A" w:rsidP="00CB2D7A">
      <w:pPr>
        <w:pStyle w:val="JudgeJuge"/>
        <w:widowControl w:val="0"/>
        <w:tabs>
          <w:tab w:val="clear" w:pos="1260"/>
          <w:tab w:val="left" w:pos="1170"/>
        </w:tabs>
        <w:spacing w:before="240"/>
        <w:rPr>
          <w:smallCaps w:val="0"/>
          <w:lang w:val="fr-CA"/>
        </w:rPr>
      </w:pPr>
      <w:r w:rsidRPr="00CB2D7A">
        <w:rPr>
          <w:smallCaps w:val="0"/>
          <w:lang w:val="fr-CA"/>
        </w:rPr>
        <w:tab/>
        <w:t>Version française des motifs des juges Abella et Wagner rendus par</w:t>
      </w:r>
    </w:p>
    <w:p w:rsidR="00367456" w:rsidRPr="005A70F0" w:rsidRDefault="00CB2D7A" w:rsidP="00A12DCE">
      <w:pPr>
        <w:pStyle w:val="ParaNoNdepar-AltN"/>
        <w:widowControl w:val="0"/>
        <w:rPr>
          <w:rFonts w:cs="Times New Roman"/>
          <w:lang w:val="fr-CA"/>
        </w:rPr>
      </w:pPr>
      <w:r w:rsidRPr="00CB2D7A">
        <w:rPr>
          <w:smallCaps/>
          <w:lang w:val="fr-CA"/>
        </w:rPr>
        <w:t>La juge Abella</w:t>
      </w:r>
      <w:r>
        <w:rPr>
          <w:lang w:val="fr-CA"/>
        </w:rPr>
        <w:t xml:space="preserve"> (dissidente)</w:t>
      </w:r>
      <w:r w:rsidRPr="009061A9">
        <w:rPr>
          <w:lang w:val="fr-CA"/>
        </w:rPr>
        <w:t xml:space="preserve"> — </w:t>
      </w:r>
      <w:r w:rsidR="00367456" w:rsidRPr="0085076D">
        <w:rPr>
          <w:lang w:val="fr-CA"/>
        </w:rPr>
        <w:t xml:space="preserve">Le </w:t>
      </w:r>
      <w:r w:rsidR="00367456" w:rsidRPr="00130BD5">
        <w:rPr>
          <w:lang w:val="fr-CA"/>
        </w:rPr>
        <w:t xml:space="preserve">droit international est </w:t>
      </w:r>
      <w:r w:rsidR="00367456" w:rsidRPr="007D5B7D">
        <w:rPr>
          <w:lang w:val="fr-CA"/>
        </w:rPr>
        <w:t>en constante évolution</w:t>
      </w:r>
      <w:r w:rsidR="00367456" w:rsidRPr="00130BD5">
        <w:rPr>
          <w:lang w:val="fr-CA"/>
        </w:rPr>
        <w:t xml:space="preserve">. </w:t>
      </w:r>
      <w:r w:rsidR="00367456">
        <w:rPr>
          <w:lang w:val="fr-CA"/>
        </w:rPr>
        <w:t xml:space="preserve"> Les tribunaux des démocraties libérales se butent </w:t>
      </w:r>
      <w:r w:rsidR="00367456" w:rsidRPr="007D5B7D">
        <w:rPr>
          <w:lang w:val="fr-CA"/>
        </w:rPr>
        <w:t xml:space="preserve">de plus en plus aux conséquences dans leur pays de l’application du droit international des droits de la personne.  Dans la plupart de ces cas, il s’agit d’interpréter les règles nationales </w:t>
      </w:r>
      <w:r w:rsidR="00367456" w:rsidRPr="007D5B7D">
        <w:rPr>
          <w:rFonts w:cs="Times New Roman"/>
          <w:lang w:val="fr-CA"/>
        </w:rPr>
        <w:t>à</w:t>
      </w:r>
      <w:r w:rsidR="00367456" w:rsidRPr="007D5B7D">
        <w:rPr>
          <w:lang w:val="fr-CA"/>
        </w:rPr>
        <w:t xml:space="preserve"> la </w:t>
      </w:r>
      <w:r w:rsidR="00367456" w:rsidRPr="007D5B7D">
        <w:rPr>
          <w:lang w:val="fr-CA"/>
        </w:rPr>
        <w:lastRenderedPageBreak/>
        <w:t>lumière de la protection plus étendue accordée par le droit international aux droits de la personne.  En l’espèce, nous sommes en présence du scénario opposé</w:t>
      </w:r>
      <w:r w:rsidR="006412AC">
        <w:rPr>
          <w:lang w:val="fr-CA"/>
        </w:rPr>
        <w:t> :</w:t>
      </w:r>
      <w:r w:rsidR="00367456" w:rsidRPr="007D5B7D">
        <w:rPr>
          <w:lang w:val="fr-CA"/>
        </w:rPr>
        <w:t xml:space="preserve"> comment faut</w:t>
      </w:r>
      <w:r w:rsidR="006412AC">
        <w:rPr>
          <w:lang w:val="fr-CA"/>
        </w:rPr>
        <w:t>-</w:t>
      </w:r>
      <w:r w:rsidR="00367456" w:rsidRPr="007D5B7D">
        <w:rPr>
          <w:lang w:val="fr-CA"/>
        </w:rPr>
        <w:t>il interpréter un trait</w:t>
      </w:r>
      <w:r w:rsidR="00367456" w:rsidRPr="007D5B7D">
        <w:rPr>
          <w:rFonts w:cs="Times New Roman"/>
          <w:lang w:val="fr-CA"/>
        </w:rPr>
        <w:t>é</w:t>
      </w:r>
      <w:r w:rsidR="00367456">
        <w:rPr>
          <w:lang w:val="fr-CA"/>
        </w:rPr>
        <w:t xml:space="preserve"> international qui est peut</w:t>
      </w:r>
      <w:r w:rsidR="006412AC">
        <w:rPr>
          <w:lang w:val="fr-CA"/>
        </w:rPr>
        <w:t>-</w:t>
      </w:r>
      <w:r w:rsidR="00367456" w:rsidRPr="007D5B7D">
        <w:rPr>
          <w:lang w:val="fr-CA"/>
        </w:rPr>
        <w:t>être en conflit avec la protection plus étendue des droits fondamentaux en droit national</w:t>
      </w:r>
      <w:r w:rsidR="00367456" w:rsidRPr="005A70F0">
        <w:rPr>
          <w:lang w:val="fr-CA"/>
        </w:rPr>
        <w:t>?</w:t>
      </w:r>
    </w:p>
    <w:p w:rsidR="00367456" w:rsidRPr="009061A9" w:rsidRDefault="00367456" w:rsidP="00A12DCE">
      <w:pPr>
        <w:pStyle w:val="ParaNoNdepar-AltN"/>
        <w:widowControl w:val="0"/>
        <w:rPr>
          <w:rFonts w:cs="Times New Roman"/>
          <w:lang w:val="fr-CA"/>
        </w:rPr>
      </w:pPr>
      <w:r w:rsidRPr="009061A9">
        <w:rPr>
          <w:rFonts w:cs="Times New Roman"/>
          <w:lang w:val="fr-CA"/>
        </w:rPr>
        <w:t>Air Canada a manqué à son devoir de fournir des services en français à Michel et</w:t>
      </w:r>
      <w:r>
        <w:rPr>
          <w:rFonts w:cs="Times New Roman"/>
          <w:lang w:val="fr-CA"/>
        </w:rPr>
        <w:t xml:space="preserve"> à</w:t>
      </w:r>
      <w:r w:rsidRPr="009061A9">
        <w:rPr>
          <w:rFonts w:cs="Times New Roman"/>
          <w:lang w:val="fr-CA"/>
        </w:rPr>
        <w:t xml:space="preserve"> Lynda Thibodeau sur </w:t>
      </w:r>
      <w:r w:rsidRPr="007D5B7D">
        <w:rPr>
          <w:rFonts w:cs="Times New Roman"/>
          <w:lang w:val="fr-CA"/>
        </w:rPr>
        <w:t>trois</w:t>
      </w:r>
      <w:r w:rsidRPr="009061A9">
        <w:rPr>
          <w:rFonts w:cs="Times New Roman"/>
          <w:lang w:val="fr-CA"/>
        </w:rPr>
        <w:t xml:space="preserve"> vols entre le Canada et les États</w:t>
      </w:r>
      <w:r w:rsidR="006412AC">
        <w:rPr>
          <w:rFonts w:cs="Times New Roman"/>
          <w:lang w:val="fr-CA"/>
        </w:rPr>
        <w:t>-</w:t>
      </w:r>
      <w:r w:rsidRPr="009061A9">
        <w:rPr>
          <w:rFonts w:cs="Times New Roman"/>
          <w:lang w:val="fr-CA"/>
        </w:rPr>
        <w:t>Unis</w:t>
      </w:r>
      <w:r>
        <w:rPr>
          <w:rFonts w:cs="Times New Roman"/>
          <w:lang w:val="fr-CA"/>
        </w:rPr>
        <w:t xml:space="preserve">.  </w:t>
      </w:r>
      <w:r w:rsidRPr="009061A9">
        <w:rPr>
          <w:rFonts w:cs="Times New Roman"/>
          <w:lang w:val="fr-CA"/>
        </w:rPr>
        <w:t>Les Thibodeau ont réclamé devant la Cour fédérale des dommages</w:t>
      </w:r>
      <w:r w:rsidR="006412AC">
        <w:rPr>
          <w:rFonts w:cs="Times New Roman"/>
          <w:lang w:val="fr-CA"/>
        </w:rPr>
        <w:t>-</w:t>
      </w:r>
      <w:r w:rsidRPr="009061A9">
        <w:rPr>
          <w:rFonts w:cs="Times New Roman"/>
          <w:lang w:val="fr-CA"/>
        </w:rPr>
        <w:t>intérêts ainsi qu</w:t>
      </w:r>
      <w:r>
        <w:rPr>
          <w:rFonts w:cs="Times New Roman"/>
          <w:lang w:val="fr-CA"/>
        </w:rPr>
        <w:t xml:space="preserve">’une </w:t>
      </w:r>
      <w:r w:rsidRPr="009061A9">
        <w:rPr>
          <w:rFonts w:cs="Times New Roman"/>
          <w:lang w:val="fr-CA"/>
        </w:rPr>
        <w:t xml:space="preserve">ordonnance dite </w:t>
      </w:r>
      <w:r w:rsidR="006412AC">
        <w:rPr>
          <w:rFonts w:cs="Times New Roman"/>
          <w:lang w:val="fr-CA"/>
        </w:rPr>
        <w:t>« </w:t>
      </w:r>
      <w:r w:rsidRPr="009061A9">
        <w:rPr>
          <w:rFonts w:cs="Times New Roman"/>
          <w:lang w:val="fr-CA"/>
        </w:rPr>
        <w:t>structurelle</w:t>
      </w:r>
      <w:r w:rsidR="006412AC">
        <w:rPr>
          <w:rFonts w:cs="Times New Roman"/>
          <w:lang w:val="fr-CA"/>
        </w:rPr>
        <w:t> »</w:t>
      </w:r>
      <w:r w:rsidRPr="009061A9">
        <w:rPr>
          <w:rFonts w:cs="Times New Roman"/>
          <w:lang w:val="fr-CA"/>
        </w:rPr>
        <w:t xml:space="preserve"> pour</w:t>
      </w:r>
      <w:r>
        <w:rPr>
          <w:rFonts w:cs="Times New Roman"/>
          <w:lang w:val="fr-CA"/>
        </w:rPr>
        <w:t xml:space="preserve"> faire</w:t>
      </w:r>
      <w:r w:rsidRPr="009061A9">
        <w:rPr>
          <w:rFonts w:cs="Times New Roman"/>
          <w:lang w:val="fr-CA"/>
        </w:rPr>
        <w:t xml:space="preserve"> réparer les violations </w:t>
      </w:r>
      <w:r>
        <w:rPr>
          <w:rFonts w:cs="Times New Roman"/>
          <w:lang w:val="fr-CA"/>
        </w:rPr>
        <w:t xml:space="preserve">prétendument </w:t>
      </w:r>
      <w:r w:rsidRPr="009061A9">
        <w:rPr>
          <w:rFonts w:cs="Times New Roman"/>
          <w:lang w:val="fr-CA"/>
        </w:rPr>
        <w:t>systémiques</w:t>
      </w:r>
      <w:r>
        <w:rPr>
          <w:rFonts w:cs="Times New Roman"/>
          <w:lang w:val="fr-CA"/>
        </w:rPr>
        <w:t>,</w:t>
      </w:r>
      <w:r w:rsidRPr="009061A9">
        <w:rPr>
          <w:rFonts w:cs="Times New Roman"/>
          <w:lang w:val="fr-CA"/>
        </w:rPr>
        <w:t xml:space="preserve"> par Air Canada</w:t>
      </w:r>
      <w:r>
        <w:rPr>
          <w:rFonts w:cs="Times New Roman"/>
          <w:lang w:val="fr-CA"/>
        </w:rPr>
        <w:t>, d</w:t>
      </w:r>
      <w:r w:rsidRPr="009061A9">
        <w:rPr>
          <w:rFonts w:cs="Times New Roman"/>
          <w:lang w:val="fr-CA"/>
        </w:rPr>
        <w:t>e</w:t>
      </w:r>
      <w:r>
        <w:rPr>
          <w:rFonts w:cs="Times New Roman"/>
          <w:lang w:val="fr-CA"/>
        </w:rPr>
        <w:t xml:space="preserve"> se</w:t>
      </w:r>
      <w:r w:rsidRPr="009061A9">
        <w:rPr>
          <w:rFonts w:cs="Times New Roman"/>
          <w:lang w:val="fr-CA"/>
        </w:rPr>
        <w:t>s obligations en matière de bilinguisme</w:t>
      </w:r>
      <w:r>
        <w:rPr>
          <w:rFonts w:cs="Times New Roman"/>
          <w:lang w:val="fr-CA"/>
        </w:rPr>
        <w:t>.  Air</w:t>
      </w:r>
      <w:r w:rsidR="006412AC">
        <w:rPr>
          <w:rFonts w:cs="Times New Roman"/>
          <w:lang w:val="fr-CA"/>
        </w:rPr>
        <w:t xml:space="preserve"> </w:t>
      </w:r>
      <w:r w:rsidRPr="009061A9">
        <w:rPr>
          <w:rFonts w:cs="Times New Roman"/>
          <w:lang w:val="fr-CA"/>
        </w:rPr>
        <w:t xml:space="preserve">Canada </w:t>
      </w:r>
      <w:r>
        <w:rPr>
          <w:rFonts w:cs="Times New Roman"/>
          <w:lang w:val="fr-CA"/>
        </w:rPr>
        <w:t xml:space="preserve">a </w:t>
      </w:r>
      <w:r w:rsidRPr="009061A9">
        <w:rPr>
          <w:rFonts w:cs="Times New Roman"/>
          <w:lang w:val="fr-CA"/>
        </w:rPr>
        <w:t>reconn</w:t>
      </w:r>
      <w:r>
        <w:rPr>
          <w:rFonts w:cs="Times New Roman"/>
          <w:lang w:val="fr-CA"/>
        </w:rPr>
        <w:t>u</w:t>
      </w:r>
      <w:r w:rsidRPr="009061A9">
        <w:rPr>
          <w:rFonts w:cs="Times New Roman"/>
          <w:lang w:val="fr-CA"/>
        </w:rPr>
        <w:t xml:space="preserve"> qu’elle est assujettie à la </w:t>
      </w:r>
      <w:r w:rsidRPr="009061A9">
        <w:rPr>
          <w:rFonts w:cs="Times New Roman"/>
          <w:i/>
          <w:lang w:val="fr-CA"/>
        </w:rPr>
        <w:t>Loi sur les langues officielles</w:t>
      </w:r>
      <w:r w:rsidRPr="009061A9">
        <w:rPr>
          <w:rFonts w:cs="Times New Roman"/>
          <w:lang w:val="fr-CA"/>
        </w:rPr>
        <w:t>,</w:t>
      </w:r>
      <w:r>
        <w:rPr>
          <w:rFonts w:cs="Times New Roman"/>
          <w:lang w:val="fr-CA"/>
        </w:rPr>
        <w:t xml:space="preserve"> L.R.C.</w:t>
      </w:r>
      <w:r w:rsidR="006412AC">
        <w:rPr>
          <w:rFonts w:cs="Times New Roman"/>
          <w:lang w:val="fr-CA"/>
        </w:rPr>
        <w:t xml:space="preserve"> </w:t>
      </w:r>
      <w:r>
        <w:rPr>
          <w:rFonts w:cs="Times New Roman"/>
          <w:lang w:val="fr-CA"/>
        </w:rPr>
        <w:t>1985, ch.</w:t>
      </w:r>
      <w:r w:rsidR="006412AC">
        <w:rPr>
          <w:rFonts w:cs="Times New Roman"/>
          <w:lang w:val="fr-CA"/>
        </w:rPr>
        <w:t xml:space="preserve"> </w:t>
      </w:r>
      <w:r>
        <w:rPr>
          <w:rFonts w:cs="Times New Roman"/>
          <w:lang w:val="fr-CA"/>
        </w:rPr>
        <w:t>31 (4</w:t>
      </w:r>
      <w:r w:rsidRPr="009E37BD">
        <w:rPr>
          <w:rFonts w:cs="Times New Roman"/>
          <w:vertAlign w:val="superscript"/>
          <w:lang w:val="fr-CA"/>
        </w:rPr>
        <w:t>e</w:t>
      </w:r>
      <w:r w:rsidR="006412AC">
        <w:rPr>
          <w:rFonts w:cs="Times New Roman"/>
          <w:lang w:val="fr-CA"/>
        </w:rPr>
        <w:t xml:space="preserve"> </w:t>
      </w:r>
      <w:r>
        <w:rPr>
          <w:rFonts w:cs="Times New Roman"/>
          <w:lang w:val="fr-CA"/>
        </w:rPr>
        <w:t xml:space="preserve">suppl.), </w:t>
      </w:r>
      <w:r w:rsidRPr="009061A9">
        <w:rPr>
          <w:rFonts w:cs="Times New Roman"/>
          <w:lang w:val="fr-CA"/>
        </w:rPr>
        <w:t xml:space="preserve">mais </w:t>
      </w:r>
      <w:r>
        <w:rPr>
          <w:rFonts w:cs="Times New Roman"/>
          <w:lang w:val="fr-CA"/>
        </w:rPr>
        <w:t xml:space="preserve">a </w:t>
      </w:r>
      <w:r w:rsidRPr="009061A9">
        <w:rPr>
          <w:rFonts w:cs="Times New Roman"/>
          <w:lang w:val="fr-CA"/>
        </w:rPr>
        <w:t>prétend</w:t>
      </w:r>
      <w:r>
        <w:rPr>
          <w:rFonts w:cs="Times New Roman"/>
          <w:lang w:val="fr-CA"/>
        </w:rPr>
        <w:t>u</w:t>
      </w:r>
      <w:r w:rsidRPr="009061A9">
        <w:rPr>
          <w:rFonts w:cs="Times New Roman"/>
          <w:lang w:val="fr-CA"/>
        </w:rPr>
        <w:t xml:space="preserve"> que les limites de</w:t>
      </w:r>
      <w:r>
        <w:rPr>
          <w:rFonts w:cs="Times New Roman"/>
          <w:lang w:val="fr-CA"/>
        </w:rPr>
        <w:t xml:space="preserve"> la</w:t>
      </w:r>
      <w:r w:rsidRPr="009061A9">
        <w:rPr>
          <w:rFonts w:cs="Times New Roman"/>
          <w:lang w:val="fr-CA"/>
        </w:rPr>
        <w:t xml:space="preserve"> responsabilité des transporteurs prévues dans la </w:t>
      </w:r>
      <w:r w:rsidRPr="009061A9">
        <w:rPr>
          <w:rFonts w:cs="Times New Roman"/>
          <w:i/>
          <w:lang w:val="fr-CA"/>
        </w:rPr>
        <w:t xml:space="preserve">Convention </w:t>
      </w:r>
      <w:r>
        <w:rPr>
          <w:rFonts w:cs="Times New Roman"/>
          <w:i/>
          <w:lang w:val="fr-CA"/>
        </w:rPr>
        <w:t xml:space="preserve">pour l’unification </w:t>
      </w:r>
      <w:r w:rsidRPr="009061A9">
        <w:rPr>
          <w:rFonts w:cs="Times New Roman"/>
          <w:i/>
          <w:lang w:val="fr-CA"/>
        </w:rPr>
        <w:t>de</w:t>
      </w:r>
      <w:r>
        <w:rPr>
          <w:rFonts w:cs="Times New Roman"/>
          <w:i/>
          <w:lang w:val="fr-CA"/>
        </w:rPr>
        <w:t xml:space="preserve"> certaines règles relatives au transport aérien international</w:t>
      </w:r>
      <w:r>
        <w:rPr>
          <w:rFonts w:cs="Times New Roman"/>
          <w:lang w:val="fr-CA"/>
        </w:rPr>
        <w:t>, signée à Montréal, reproduite à l’annexe</w:t>
      </w:r>
      <w:r w:rsidR="006412AC">
        <w:rPr>
          <w:rFonts w:cs="Times New Roman"/>
          <w:lang w:val="fr-CA"/>
        </w:rPr>
        <w:t xml:space="preserve"> </w:t>
      </w:r>
      <w:r>
        <w:rPr>
          <w:rFonts w:cs="Times New Roman"/>
          <w:lang w:val="fr-CA"/>
        </w:rPr>
        <w:t xml:space="preserve">VI de la </w:t>
      </w:r>
      <w:r w:rsidRPr="00EC0DEE">
        <w:rPr>
          <w:rFonts w:cs="Times New Roman"/>
          <w:i/>
          <w:lang w:val="fr-CA"/>
        </w:rPr>
        <w:t>Loi sur le transport aérien</w:t>
      </w:r>
      <w:r>
        <w:rPr>
          <w:rFonts w:cs="Times New Roman"/>
          <w:lang w:val="fr-CA"/>
        </w:rPr>
        <w:t>, L.R.C. 1985, ch.</w:t>
      </w:r>
      <w:r w:rsidR="006412AC">
        <w:rPr>
          <w:rFonts w:cs="Times New Roman"/>
          <w:lang w:val="fr-CA"/>
        </w:rPr>
        <w:t xml:space="preserve"> </w:t>
      </w:r>
      <w:r>
        <w:rPr>
          <w:rFonts w:cs="Times New Roman"/>
          <w:lang w:val="fr-CA"/>
        </w:rPr>
        <w:t>C</w:t>
      </w:r>
      <w:r w:rsidR="006412AC">
        <w:rPr>
          <w:rFonts w:cs="Times New Roman"/>
          <w:lang w:val="fr-CA"/>
        </w:rPr>
        <w:t>-</w:t>
      </w:r>
      <w:r>
        <w:rPr>
          <w:rFonts w:cs="Times New Roman"/>
          <w:lang w:val="fr-CA"/>
        </w:rPr>
        <w:t xml:space="preserve">26 (la </w:t>
      </w:r>
      <w:r>
        <w:rPr>
          <w:rFonts w:cs="Times New Roman"/>
          <w:i/>
          <w:lang w:val="fr-CA"/>
        </w:rPr>
        <w:t>Convention de</w:t>
      </w:r>
      <w:r w:rsidRPr="009061A9">
        <w:rPr>
          <w:rFonts w:cs="Times New Roman"/>
          <w:i/>
          <w:lang w:val="fr-CA"/>
        </w:rPr>
        <w:t xml:space="preserve"> Montréal</w:t>
      </w:r>
      <w:r>
        <w:rPr>
          <w:rFonts w:cs="Times New Roman"/>
          <w:lang w:val="fr-CA"/>
        </w:rPr>
        <w:t xml:space="preserve"> ou </w:t>
      </w:r>
      <w:r w:rsidRPr="00EC0DEE">
        <w:rPr>
          <w:rFonts w:cs="Times New Roman"/>
          <w:i/>
          <w:lang w:val="fr-CA"/>
        </w:rPr>
        <w:t>Convention</w:t>
      </w:r>
      <w:r>
        <w:rPr>
          <w:rFonts w:cs="Times New Roman"/>
          <w:lang w:val="fr-CA"/>
        </w:rPr>
        <w:t>),</w:t>
      </w:r>
      <w:r w:rsidRPr="009061A9">
        <w:rPr>
          <w:rFonts w:cs="Times New Roman"/>
          <w:lang w:val="fr-CA"/>
        </w:rPr>
        <w:t xml:space="preserve"> rendent irrecevable</w:t>
      </w:r>
      <w:r>
        <w:rPr>
          <w:rFonts w:cs="Times New Roman"/>
          <w:lang w:val="fr-CA"/>
        </w:rPr>
        <w:t xml:space="preserve">s les demandes de </w:t>
      </w:r>
      <w:r w:rsidRPr="009061A9">
        <w:rPr>
          <w:rFonts w:cs="Times New Roman"/>
          <w:lang w:val="fr-CA"/>
        </w:rPr>
        <w:t>dommages</w:t>
      </w:r>
      <w:r w:rsidR="006412AC">
        <w:rPr>
          <w:rFonts w:cs="Times New Roman"/>
          <w:lang w:val="fr-CA"/>
        </w:rPr>
        <w:t>-</w:t>
      </w:r>
      <w:r w:rsidRPr="009061A9">
        <w:rPr>
          <w:rFonts w:cs="Times New Roman"/>
          <w:lang w:val="fr-CA"/>
        </w:rPr>
        <w:t xml:space="preserve">intérêts des Thibodeau. </w:t>
      </w:r>
    </w:p>
    <w:p w:rsidR="00367456" w:rsidRPr="009061A9" w:rsidRDefault="00367456" w:rsidP="00A12DCE">
      <w:pPr>
        <w:pStyle w:val="ParaNoNdepar-AltN"/>
        <w:widowControl w:val="0"/>
        <w:rPr>
          <w:rFonts w:cs="Times New Roman"/>
          <w:lang w:val="fr-CA"/>
        </w:rPr>
      </w:pPr>
      <w:r w:rsidRPr="009061A9">
        <w:rPr>
          <w:rFonts w:cs="Times New Roman"/>
          <w:lang w:val="fr-CA"/>
        </w:rPr>
        <w:t xml:space="preserve">Il n’est pas contesté qu’Air Canada a manqué </w:t>
      </w:r>
      <w:r>
        <w:rPr>
          <w:rFonts w:cs="Times New Roman"/>
          <w:lang w:val="fr-CA"/>
        </w:rPr>
        <w:t xml:space="preserve">aux </w:t>
      </w:r>
      <w:r w:rsidRPr="009061A9">
        <w:rPr>
          <w:rFonts w:cs="Times New Roman"/>
          <w:lang w:val="fr-CA"/>
        </w:rPr>
        <w:t>obligations</w:t>
      </w:r>
      <w:r>
        <w:rPr>
          <w:rFonts w:cs="Times New Roman"/>
          <w:lang w:val="fr-CA"/>
        </w:rPr>
        <w:t xml:space="preserve"> que lui impose </w:t>
      </w:r>
      <w:r w:rsidRPr="009061A9">
        <w:rPr>
          <w:rFonts w:cs="Times New Roman"/>
          <w:lang w:val="fr-CA"/>
        </w:rPr>
        <w:t>l’</w:t>
      </w:r>
      <w:r>
        <w:rPr>
          <w:rFonts w:cs="Times New Roman"/>
          <w:lang w:val="fr-CA"/>
        </w:rPr>
        <w:t>art.</w:t>
      </w:r>
      <w:r w:rsidR="006412AC">
        <w:rPr>
          <w:rFonts w:cs="Times New Roman"/>
          <w:lang w:val="fr-CA"/>
        </w:rPr>
        <w:t xml:space="preserve"> </w:t>
      </w:r>
      <w:r w:rsidRPr="009061A9">
        <w:rPr>
          <w:rFonts w:cs="Times New Roman"/>
          <w:lang w:val="fr-CA"/>
        </w:rPr>
        <w:t xml:space="preserve">22 de la </w:t>
      </w:r>
      <w:r w:rsidRPr="009061A9">
        <w:rPr>
          <w:rFonts w:cs="Times New Roman"/>
          <w:i/>
          <w:lang w:val="fr-CA"/>
        </w:rPr>
        <w:t xml:space="preserve">Loi sur les langues officielles </w:t>
      </w:r>
      <w:r w:rsidRPr="009061A9">
        <w:rPr>
          <w:rFonts w:cs="Times New Roman"/>
          <w:lang w:val="fr-CA"/>
        </w:rPr>
        <w:t>en omettant de fournir des services et des annonces en français</w:t>
      </w:r>
      <w:r>
        <w:rPr>
          <w:rFonts w:cs="Times New Roman"/>
          <w:lang w:val="fr-CA"/>
        </w:rPr>
        <w:t xml:space="preserve">.  </w:t>
      </w:r>
      <w:r w:rsidRPr="009061A9">
        <w:rPr>
          <w:rFonts w:cs="Times New Roman"/>
          <w:lang w:val="fr-CA"/>
        </w:rPr>
        <w:t xml:space="preserve">Il reste à décider si la </w:t>
      </w:r>
      <w:r w:rsidRPr="009061A9">
        <w:rPr>
          <w:rFonts w:cs="Times New Roman"/>
          <w:i/>
          <w:lang w:val="fr-CA"/>
        </w:rPr>
        <w:t>Convention de Montréal</w:t>
      </w:r>
      <w:r w:rsidRPr="009061A9">
        <w:rPr>
          <w:rFonts w:cs="Times New Roman"/>
          <w:lang w:val="fr-CA"/>
        </w:rPr>
        <w:t xml:space="preserve"> empêche les Thibodeau d’obtenir des dommages</w:t>
      </w:r>
      <w:r w:rsidR="006412AC">
        <w:rPr>
          <w:rFonts w:cs="Times New Roman"/>
          <w:lang w:val="fr-CA"/>
        </w:rPr>
        <w:t>-</w:t>
      </w:r>
      <w:r w:rsidRPr="009061A9">
        <w:rPr>
          <w:rFonts w:cs="Times New Roman"/>
          <w:lang w:val="fr-CA"/>
        </w:rPr>
        <w:t>intérêts d’Air Canada pour ces manquements.</w:t>
      </w:r>
    </w:p>
    <w:p w:rsidR="00367456" w:rsidRPr="009061A9" w:rsidRDefault="00367456" w:rsidP="00A12DCE">
      <w:pPr>
        <w:pStyle w:val="ParaNoNdepar-AltN"/>
        <w:widowControl w:val="0"/>
        <w:rPr>
          <w:rFonts w:cs="Times New Roman"/>
          <w:lang w:val="fr-CA"/>
        </w:rPr>
      </w:pPr>
      <w:r>
        <w:rPr>
          <w:rFonts w:cs="Times New Roman"/>
          <w:lang w:val="fr-CA"/>
        </w:rPr>
        <w:lastRenderedPageBreak/>
        <w:t>Soit dit en tout respect</w:t>
      </w:r>
      <w:r w:rsidRPr="009061A9">
        <w:rPr>
          <w:rFonts w:cs="Times New Roman"/>
          <w:lang w:val="fr-CA"/>
        </w:rPr>
        <w:t xml:space="preserve">, la </w:t>
      </w:r>
      <w:r w:rsidRPr="009061A9">
        <w:rPr>
          <w:rFonts w:cs="Times New Roman"/>
          <w:i/>
          <w:lang w:val="fr-CA"/>
        </w:rPr>
        <w:t>Convention de Montréal</w:t>
      </w:r>
      <w:r w:rsidRPr="009061A9">
        <w:rPr>
          <w:rFonts w:cs="Times New Roman"/>
          <w:lang w:val="fr-CA"/>
        </w:rPr>
        <w:t xml:space="preserve"> </w:t>
      </w:r>
      <w:r>
        <w:rPr>
          <w:rFonts w:cs="Times New Roman"/>
          <w:lang w:val="fr-CA"/>
        </w:rPr>
        <w:t xml:space="preserve">ne prévoit ni </w:t>
      </w:r>
      <w:r w:rsidRPr="009061A9">
        <w:rPr>
          <w:rFonts w:cs="Times New Roman"/>
          <w:lang w:val="fr-CA"/>
        </w:rPr>
        <w:t>n’exclut</w:t>
      </w:r>
      <w:r>
        <w:rPr>
          <w:rFonts w:cs="Times New Roman"/>
          <w:lang w:val="fr-CA"/>
        </w:rPr>
        <w:t xml:space="preserve"> </w:t>
      </w:r>
      <w:r w:rsidRPr="009061A9">
        <w:rPr>
          <w:rFonts w:cs="Times New Roman"/>
          <w:lang w:val="fr-CA"/>
        </w:rPr>
        <w:t>le type de dommages</w:t>
      </w:r>
      <w:r w:rsidR="006412AC">
        <w:rPr>
          <w:rFonts w:cs="Times New Roman"/>
          <w:lang w:val="fr-CA"/>
        </w:rPr>
        <w:t>-</w:t>
      </w:r>
      <w:r w:rsidRPr="009061A9">
        <w:rPr>
          <w:rFonts w:cs="Times New Roman"/>
          <w:lang w:val="fr-CA"/>
        </w:rPr>
        <w:t xml:space="preserve">intérêts </w:t>
      </w:r>
      <w:r>
        <w:rPr>
          <w:rFonts w:cs="Times New Roman"/>
          <w:lang w:val="fr-CA"/>
        </w:rPr>
        <w:t xml:space="preserve">en litige </w:t>
      </w:r>
      <w:r w:rsidRPr="009061A9">
        <w:rPr>
          <w:rFonts w:cs="Times New Roman"/>
          <w:lang w:val="fr-CA"/>
        </w:rPr>
        <w:t>dans le</w:t>
      </w:r>
      <w:r>
        <w:rPr>
          <w:rFonts w:cs="Times New Roman"/>
          <w:lang w:val="fr-CA"/>
        </w:rPr>
        <w:t>s</w:t>
      </w:r>
      <w:r w:rsidRPr="009061A9">
        <w:rPr>
          <w:rFonts w:cs="Times New Roman"/>
          <w:lang w:val="fr-CA"/>
        </w:rPr>
        <w:t xml:space="preserve"> présent</w:t>
      </w:r>
      <w:r>
        <w:rPr>
          <w:rFonts w:cs="Times New Roman"/>
          <w:lang w:val="fr-CA"/>
        </w:rPr>
        <w:t>s</w:t>
      </w:r>
      <w:r w:rsidRPr="009061A9">
        <w:rPr>
          <w:rFonts w:cs="Times New Roman"/>
          <w:lang w:val="fr-CA"/>
        </w:rPr>
        <w:t xml:space="preserve"> appel</w:t>
      </w:r>
      <w:r>
        <w:rPr>
          <w:rFonts w:cs="Times New Roman"/>
          <w:lang w:val="fr-CA"/>
        </w:rPr>
        <w:t xml:space="preserve">s.  </w:t>
      </w:r>
      <w:r w:rsidRPr="009061A9">
        <w:rPr>
          <w:rFonts w:cs="Times New Roman"/>
          <w:lang w:val="fr-CA"/>
        </w:rPr>
        <w:t>Je suis donc d’avis d’accueillir le</w:t>
      </w:r>
      <w:r>
        <w:rPr>
          <w:rFonts w:cs="Times New Roman"/>
          <w:lang w:val="fr-CA"/>
        </w:rPr>
        <w:t>s</w:t>
      </w:r>
      <w:r w:rsidRPr="009061A9">
        <w:rPr>
          <w:rFonts w:cs="Times New Roman"/>
          <w:lang w:val="fr-CA"/>
        </w:rPr>
        <w:t xml:space="preserve"> pourvoi</w:t>
      </w:r>
      <w:r>
        <w:rPr>
          <w:rFonts w:cs="Times New Roman"/>
          <w:lang w:val="fr-CA"/>
        </w:rPr>
        <w:t>s</w:t>
      </w:r>
      <w:r w:rsidRPr="009061A9">
        <w:rPr>
          <w:rFonts w:cs="Times New Roman"/>
          <w:lang w:val="fr-CA"/>
        </w:rPr>
        <w:t xml:space="preserve">. </w:t>
      </w:r>
    </w:p>
    <w:p w:rsidR="00367456" w:rsidRPr="009061A9" w:rsidRDefault="00367456" w:rsidP="00A12DCE">
      <w:pPr>
        <w:pStyle w:val="Title1LevelTitre1Niveau-AltL"/>
        <w:widowControl w:val="0"/>
        <w:numPr>
          <w:ilvl w:val="0"/>
          <w:numId w:val="0"/>
        </w:numPr>
        <w:ind w:left="576" w:hanging="576"/>
        <w:rPr>
          <w:rFonts w:cs="Times New Roman"/>
          <w:lang w:val="fr-CA"/>
        </w:rPr>
      </w:pPr>
      <w:r w:rsidRPr="009061A9">
        <w:rPr>
          <w:rFonts w:cs="Times New Roman"/>
          <w:lang w:val="fr-CA"/>
        </w:rPr>
        <w:t>Analyse</w:t>
      </w:r>
    </w:p>
    <w:p w:rsidR="00367456" w:rsidRPr="009061A9" w:rsidRDefault="00367456" w:rsidP="00A12DCE">
      <w:pPr>
        <w:pStyle w:val="ParaNoNdepar-AltN"/>
        <w:widowControl w:val="0"/>
        <w:rPr>
          <w:rFonts w:cs="Times New Roman"/>
          <w:lang w:val="fr-CA"/>
        </w:rPr>
      </w:pPr>
      <w:r w:rsidRPr="009061A9">
        <w:rPr>
          <w:rFonts w:cs="Times New Roman"/>
          <w:lang w:val="fr-CA"/>
        </w:rPr>
        <w:t>Le</w:t>
      </w:r>
      <w:r>
        <w:rPr>
          <w:rFonts w:cs="Times New Roman"/>
          <w:lang w:val="fr-CA"/>
        </w:rPr>
        <w:t>s</w:t>
      </w:r>
      <w:r w:rsidRPr="009061A9">
        <w:rPr>
          <w:rFonts w:cs="Times New Roman"/>
          <w:lang w:val="fr-CA"/>
        </w:rPr>
        <w:t xml:space="preserve"> présent</w:t>
      </w:r>
      <w:r>
        <w:rPr>
          <w:rFonts w:cs="Times New Roman"/>
          <w:lang w:val="fr-CA"/>
        </w:rPr>
        <w:t>s</w:t>
      </w:r>
      <w:r w:rsidRPr="009061A9">
        <w:rPr>
          <w:rFonts w:cs="Times New Roman"/>
          <w:lang w:val="fr-CA"/>
        </w:rPr>
        <w:t xml:space="preserve"> pourvoi</w:t>
      </w:r>
      <w:r>
        <w:rPr>
          <w:rFonts w:cs="Times New Roman"/>
          <w:lang w:val="fr-CA"/>
        </w:rPr>
        <w:t>s</w:t>
      </w:r>
      <w:r w:rsidRPr="009061A9">
        <w:rPr>
          <w:rFonts w:cs="Times New Roman"/>
          <w:lang w:val="fr-CA"/>
        </w:rPr>
        <w:t xml:space="preserve"> porte</w:t>
      </w:r>
      <w:r>
        <w:rPr>
          <w:rFonts w:cs="Times New Roman"/>
          <w:lang w:val="fr-CA"/>
        </w:rPr>
        <w:t>nt, de façon</w:t>
      </w:r>
      <w:r w:rsidRPr="009061A9">
        <w:rPr>
          <w:rFonts w:cs="Times New Roman"/>
          <w:lang w:val="fr-CA"/>
        </w:rPr>
        <w:t xml:space="preserve"> générale</w:t>
      </w:r>
      <w:r>
        <w:rPr>
          <w:rFonts w:cs="Times New Roman"/>
          <w:lang w:val="fr-CA"/>
        </w:rPr>
        <w:t xml:space="preserve">, </w:t>
      </w:r>
      <w:r w:rsidRPr="009061A9">
        <w:rPr>
          <w:rFonts w:cs="Times New Roman"/>
          <w:lang w:val="fr-CA"/>
        </w:rPr>
        <w:t>sur l</w:t>
      </w:r>
      <w:r>
        <w:rPr>
          <w:rFonts w:cs="Times New Roman"/>
          <w:lang w:val="fr-CA"/>
        </w:rPr>
        <w:t xml:space="preserve">a portée </w:t>
      </w:r>
      <w:r w:rsidRPr="009061A9">
        <w:rPr>
          <w:rFonts w:cs="Times New Roman"/>
          <w:lang w:val="fr-CA"/>
        </w:rPr>
        <w:t xml:space="preserve">des dispositions en matière de responsabilité de la </w:t>
      </w:r>
      <w:r w:rsidRPr="009061A9">
        <w:rPr>
          <w:rFonts w:cs="Times New Roman"/>
          <w:i/>
          <w:lang w:val="fr-CA"/>
        </w:rPr>
        <w:t xml:space="preserve">Convention </w:t>
      </w:r>
      <w:r>
        <w:rPr>
          <w:rFonts w:cs="Times New Roman"/>
          <w:i/>
          <w:lang w:val="fr-CA"/>
        </w:rPr>
        <w:t>de Montréal.</w:t>
      </w:r>
      <w:r w:rsidR="006412AC">
        <w:rPr>
          <w:rFonts w:cs="Times New Roman"/>
          <w:i/>
          <w:lang w:val="fr-CA"/>
        </w:rPr>
        <w:t xml:space="preserve"> </w:t>
      </w:r>
      <w:r>
        <w:rPr>
          <w:rFonts w:cs="Times New Roman"/>
          <w:lang w:val="fr-CA"/>
        </w:rPr>
        <w:t xml:space="preserve"> Ils </w:t>
      </w:r>
      <w:r w:rsidRPr="009061A9">
        <w:rPr>
          <w:rFonts w:cs="Times New Roman"/>
          <w:lang w:val="fr-CA"/>
        </w:rPr>
        <w:t>porte</w:t>
      </w:r>
      <w:r>
        <w:rPr>
          <w:rFonts w:cs="Times New Roman"/>
          <w:lang w:val="fr-CA"/>
        </w:rPr>
        <w:t>nt</w:t>
      </w:r>
      <w:r w:rsidRPr="009061A9">
        <w:rPr>
          <w:rFonts w:cs="Times New Roman"/>
          <w:lang w:val="fr-CA"/>
        </w:rPr>
        <w:t xml:space="preserve"> </w:t>
      </w:r>
      <w:r>
        <w:rPr>
          <w:rFonts w:cs="Times New Roman"/>
          <w:lang w:val="fr-CA"/>
        </w:rPr>
        <w:t xml:space="preserve">tout particulièrement </w:t>
      </w:r>
      <w:r w:rsidRPr="009061A9">
        <w:rPr>
          <w:rFonts w:cs="Times New Roman"/>
          <w:lang w:val="fr-CA"/>
        </w:rPr>
        <w:t>sur l’article</w:t>
      </w:r>
      <w:r w:rsidR="006412AC">
        <w:rPr>
          <w:rFonts w:cs="Times New Roman"/>
          <w:lang w:val="fr-CA"/>
        </w:rPr>
        <w:t xml:space="preserve"> </w:t>
      </w:r>
      <w:r w:rsidRPr="009061A9">
        <w:rPr>
          <w:rFonts w:cs="Times New Roman"/>
          <w:lang w:val="fr-CA"/>
        </w:rPr>
        <w:t>29, qui se trouve au</w:t>
      </w:r>
      <w:r>
        <w:rPr>
          <w:rFonts w:cs="Times New Roman"/>
          <w:lang w:val="fr-CA"/>
        </w:rPr>
        <w:t xml:space="preserve"> c</w:t>
      </w:r>
      <w:r w:rsidRPr="009061A9">
        <w:rPr>
          <w:rFonts w:cs="Times New Roman"/>
          <w:lang w:val="fr-CA"/>
        </w:rPr>
        <w:t>hapitre</w:t>
      </w:r>
      <w:r w:rsidR="006412AC">
        <w:rPr>
          <w:rFonts w:cs="Times New Roman"/>
          <w:lang w:val="fr-CA"/>
        </w:rPr>
        <w:t xml:space="preserve"> </w:t>
      </w:r>
      <w:r w:rsidRPr="009061A9">
        <w:rPr>
          <w:rFonts w:cs="Times New Roman"/>
          <w:lang w:val="fr-CA"/>
        </w:rPr>
        <w:t xml:space="preserve">III de la </w:t>
      </w:r>
      <w:r w:rsidRPr="009061A9">
        <w:rPr>
          <w:rFonts w:cs="Times New Roman"/>
          <w:i/>
          <w:lang w:val="fr-CA"/>
        </w:rPr>
        <w:t>Convention</w:t>
      </w:r>
      <w:r w:rsidRPr="009061A9">
        <w:rPr>
          <w:rFonts w:cs="Times New Roman"/>
          <w:lang w:val="fr-CA"/>
        </w:rPr>
        <w:t xml:space="preserve">, intitulé </w:t>
      </w:r>
      <w:r w:rsidR="006412AC">
        <w:rPr>
          <w:rFonts w:cs="Times New Roman"/>
          <w:lang w:val="fr-CA"/>
        </w:rPr>
        <w:t>« </w:t>
      </w:r>
      <w:r w:rsidRPr="009061A9">
        <w:rPr>
          <w:rFonts w:cs="Times New Roman"/>
          <w:lang w:val="fr-CA"/>
        </w:rPr>
        <w:t>Responsabilité du transporteur</w:t>
      </w:r>
      <w:r>
        <w:rPr>
          <w:rFonts w:cs="Times New Roman"/>
          <w:lang w:val="fr-CA"/>
        </w:rPr>
        <w:t xml:space="preserve"> et étendue de l’indemnisation du préjudice</w:t>
      </w:r>
      <w:r w:rsidR="006412AC">
        <w:rPr>
          <w:rFonts w:cs="Times New Roman"/>
          <w:lang w:val="fr-CA"/>
        </w:rPr>
        <w:t> »</w:t>
      </w:r>
      <w:r>
        <w:rPr>
          <w:rFonts w:cs="Times New Roman"/>
          <w:lang w:val="fr-CA"/>
        </w:rPr>
        <w:t xml:space="preserve">.  </w:t>
      </w:r>
      <w:r w:rsidRPr="009061A9">
        <w:rPr>
          <w:rFonts w:cs="Times New Roman"/>
          <w:lang w:val="fr-CA"/>
        </w:rPr>
        <w:t xml:space="preserve">L’article 29 </w:t>
      </w:r>
      <w:r>
        <w:rPr>
          <w:rFonts w:cs="Times New Roman"/>
          <w:lang w:val="fr-CA"/>
        </w:rPr>
        <w:t>est rédigé ainsi</w:t>
      </w:r>
      <w:r w:rsidR="006412AC">
        <w:rPr>
          <w:rFonts w:cs="Times New Roman"/>
          <w:lang w:val="fr-CA"/>
        </w:rPr>
        <w:t> :</w:t>
      </w:r>
    </w:p>
    <w:p w:rsidR="00367456" w:rsidRPr="005A70F0" w:rsidRDefault="00367456" w:rsidP="00A12DCE">
      <w:pPr>
        <w:pStyle w:val="Citation-AltC"/>
        <w:widowControl w:val="0"/>
        <w:spacing w:after="240"/>
        <w:ind w:left="1168" w:hanging="1168"/>
        <w:contextualSpacing w:val="0"/>
        <w:jc w:val="center"/>
        <w:rPr>
          <w:i/>
          <w:smallCaps/>
          <w:lang w:val="fr-CA"/>
        </w:rPr>
      </w:pPr>
      <w:r>
        <w:rPr>
          <w:i/>
          <w:lang w:val="fr-CA"/>
        </w:rPr>
        <w:tab/>
      </w:r>
      <w:r w:rsidRPr="005A70F0">
        <w:rPr>
          <w:i/>
          <w:smallCaps/>
          <w:lang w:val="fr-CA"/>
        </w:rPr>
        <w:t>Article 29 — Principe des recours</w:t>
      </w:r>
    </w:p>
    <w:p w:rsidR="00367456" w:rsidRPr="009061A9" w:rsidRDefault="00367456" w:rsidP="00A12DCE">
      <w:pPr>
        <w:pStyle w:val="Citation-AltC"/>
        <w:widowControl w:val="0"/>
        <w:ind w:hanging="1166"/>
        <w:rPr>
          <w:lang w:val="fr-CA"/>
        </w:rPr>
      </w:pPr>
      <w:r>
        <w:rPr>
          <w:i/>
          <w:lang w:val="fr-CA"/>
        </w:rPr>
        <w:tab/>
      </w:r>
      <w:r w:rsidR="00CB2D7A">
        <w:rPr>
          <w:i/>
          <w:lang w:val="fr-CA"/>
        </w:rPr>
        <w:tab/>
      </w:r>
      <w:r w:rsidRPr="009061A9">
        <w:rPr>
          <w:i/>
          <w:lang w:val="fr-CA"/>
        </w:rPr>
        <w:t>Dans le transport de passagers, de bagages et de marchandises</w:t>
      </w:r>
      <w:r w:rsidRPr="009061A9">
        <w:rPr>
          <w:lang w:val="fr-CA"/>
        </w:rPr>
        <w:t>, toute action en dommages</w:t>
      </w:r>
      <w:r w:rsidR="006412AC">
        <w:rPr>
          <w:lang w:val="fr-CA"/>
        </w:rPr>
        <w:t>-</w:t>
      </w:r>
      <w:r w:rsidRPr="009061A9">
        <w:rPr>
          <w:lang w:val="fr-CA"/>
        </w:rPr>
        <w:t>intérêts, à quelque titre que ce soit, en vertu de la présente convention, en raison d</w:t>
      </w:r>
      <w:r>
        <w:rPr>
          <w:lang w:val="fr-CA"/>
        </w:rPr>
        <w:t>’</w:t>
      </w:r>
      <w:r w:rsidRPr="009061A9">
        <w:rPr>
          <w:lang w:val="fr-CA"/>
        </w:rPr>
        <w:t>un contrat ou d</w:t>
      </w:r>
      <w:r>
        <w:rPr>
          <w:lang w:val="fr-CA"/>
        </w:rPr>
        <w:t>’</w:t>
      </w:r>
      <w:r w:rsidRPr="009061A9">
        <w:rPr>
          <w:lang w:val="fr-CA"/>
        </w:rPr>
        <w:t>un acte illicite ou pour toute autre cause, ne peut être exercée que dans les conditions et limites de responsabilité prévues par la présente convention, sans préjudice de la détermination des personnes qui ont le droit d</w:t>
      </w:r>
      <w:r>
        <w:rPr>
          <w:lang w:val="fr-CA"/>
        </w:rPr>
        <w:t>’</w:t>
      </w:r>
      <w:r w:rsidRPr="009061A9">
        <w:rPr>
          <w:lang w:val="fr-CA"/>
        </w:rPr>
        <w:t>agir et de leurs droits respectifs</w:t>
      </w:r>
      <w:r>
        <w:rPr>
          <w:lang w:val="fr-CA"/>
        </w:rPr>
        <w:t xml:space="preserve">.  </w:t>
      </w:r>
      <w:r w:rsidRPr="009061A9">
        <w:rPr>
          <w:lang w:val="fr-CA"/>
        </w:rPr>
        <w:t>Dans toute action de ce genre, on ne pourra pas obtenir de dommages</w:t>
      </w:r>
      <w:r w:rsidR="006412AC">
        <w:rPr>
          <w:lang w:val="fr-CA"/>
        </w:rPr>
        <w:t>-</w:t>
      </w:r>
      <w:r w:rsidRPr="009061A9">
        <w:rPr>
          <w:lang w:val="fr-CA"/>
        </w:rPr>
        <w:t>intérêts punitifs ou exemplaires ni de dommages à un titre autre que la réparation</w:t>
      </w:r>
      <w:r>
        <w:rPr>
          <w:lang w:val="fr-CA"/>
        </w:rPr>
        <w:t>.</w:t>
      </w:r>
    </w:p>
    <w:p w:rsidR="00367456" w:rsidRPr="009061A9" w:rsidRDefault="00367456" w:rsidP="00A12DCE">
      <w:pPr>
        <w:pStyle w:val="ParaNoNdepar-AltN"/>
        <w:widowControl w:val="0"/>
        <w:rPr>
          <w:lang w:val="fr-CA"/>
        </w:rPr>
      </w:pPr>
      <w:r w:rsidRPr="009061A9">
        <w:rPr>
          <w:rFonts w:cs="Times New Roman"/>
          <w:lang w:val="fr-CA"/>
        </w:rPr>
        <w:t>L’interprétation de cette disposition nous amène à l’article</w:t>
      </w:r>
      <w:r w:rsidR="006412AC">
        <w:rPr>
          <w:rFonts w:cs="Times New Roman"/>
          <w:lang w:val="fr-CA"/>
        </w:rPr>
        <w:t xml:space="preserve"> </w:t>
      </w:r>
      <w:r w:rsidRPr="009061A9">
        <w:rPr>
          <w:rFonts w:cs="Times New Roman"/>
          <w:lang w:val="fr-CA"/>
        </w:rPr>
        <w:t xml:space="preserve">31 de la </w:t>
      </w:r>
      <w:r w:rsidRPr="009061A9">
        <w:rPr>
          <w:rFonts w:cs="Times New Roman"/>
          <w:i/>
          <w:iCs/>
          <w:lang w:val="fr-CA"/>
        </w:rPr>
        <w:t>Convention de Vienne sur le droit des traités</w:t>
      </w:r>
      <w:r w:rsidRPr="009061A9">
        <w:rPr>
          <w:rFonts w:cs="Times New Roman"/>
          <w:lang w:val="fr-CA"/>
        </w:rPr>
        <w:t>,</w:t>
      </w:r>
      <w:r>
        <w:rPr>
          <w:rFonts w:cs="Times New Roman"/>
          <w:lang w:val="fr-CA"/>
        </w:rPr>
        <w:t xml:space="preserve"> R.T. Can. 1980 </w:t>
      </w:r>
      <w:proofErr w:type="gramStart"/>
      <w:r w:rsidRPr="009061A9">
        <w:rPr>
          <w:rFonts w:cs="Times New Roman"/>
          <w:lang w:val="fr-CA"/>
        </w:rPr>
        <w:t>n</w:t>
      </w:r>
      <w:r w:rsidRPr="009061A9">
        <w:rPr>
          <w:rFonts w:cs="Times New Roman"/>
          <w:vertAlign w:val="superscript"/>
          <w:lang w:val="fr-CA"/>
        </w:rPr>
        <w:t>o</w:t>
      </w:r>
      <w:proofErr w:type="gramEnd"/>
      <w:r w:rsidR="006412AC">
        <w:rPr>
          <w:rFonts w:cs="Times New Roman"/>
          <w:lang w:val="fr-CA"/>
        </w:rPr>
        <w:t xml:space="preserve"> </w:t>
      </w:r>
      <w:r w:rsidRPr="009061A9">
        <w:rPr>
          <w:rFonts w:cs="Times New Roman"/>
          <w:lang w:val="fr-CA"/>
        </w:rPr>
        <w:t>37</w:t>
      </w:r>
      <w:r>
        <w:rPr>
          <w:rFonts w:cs="Times New Roman"/>
          <w:lang w:val="fr-CA"/>
        </w:rPr>
        <w:t xml:space="preserve">, selon lequel un </w:t>
      </w:r>
      <w:r w:rsidRPr="009061A9">
        <w:rPr>
          <w:rFonts w:cs="Times New Roman"/>
          <w:lang w:val="fr-CA"/>
        </w:rPr>
        <w:t xml:space="preserve">traité doit être interprété </w:t>
      </w:r>
      <w:r w:rsidR="006412AC">
        <w:rPr>
          <w:rFonts w:cs="Times New Roman"/>
          <w:lang w:val="fr-CA"/>
        </w:rPr>
        <w:t>« </w:t>
      </w:r>
      <w:r w:rsidRPr="009061A9">
        <w:rPr>
          <w:rFonts w:cs="Times New Roman"/>
          <w:lang w:val="fr-CA"/>
        </w:rPr>
        <w:t>de bonne foi suivant le sens ordinaire à attribuer aux termes du traité dans leur contexte et à la lumière de son objet et de son but</w:t>
      </w:r>
      <w:r w:rsidR="006412AC">
        <w:rPr>
          <w:rFonts w:cs="Times New Roman"/>
          <w:lang w:val="fr-CA"/>
        </w:rPr>
        <w:t> »</w:t>
      </w:r>
      <w:r w:rsidRPr="009061A9">
        <w:rPr>
          <w:rFonts w:cs="Times New Roman"/>
          <w:lang w:val="fr-CA"/>
        </w:rPr>
        <w:t xml:space="preserve"> (</w:t>
      </w:r>
      <w:r>
        <w:rPr>
          <w:rFonts w:cs="Times New Roman"/>
          <w:lang w:val="fr-CA"/>
        </w:rPr>
        <w:t>entrée en vigueur le 27</w:t>
      </w:r>
      <w:r w:rsidR="006412AC">
        <w:rPr>
          <w:rFonts w:cs="Times New Roman"/>
          <w:lang w:val="fr-CA"/>
        </w:rPr>
        <w:t xml:space="preserve"> </w:t>
      </w:r>
      <w:r w:rsidRPr="009061A9">
        <w:rPr>
          <w:rFonts w:cs="Times New Roman"/>
          <w:lang w:val="fr-CA"/>
        </w:rPr>
        <w:t xml:space="preserve">janvier 1980). </w:t>
      </w:r>
    </w:p>
    <w:p w:rsidR="00367456" w:rsidRPr="009061A9" w:rsidRDefault="00367456" w:rsidP="00A12DCE">
      <w:pPr>
        <w:pStyle w:val="ParaNoNdepar-AltN"/>
        <w:widowControl w:val="0"/>
        <w:rPr>
          <w:lang w:val="fr-CA"/>
        </w:rPr>
      </w:pPr>
      <w:r w:rsidRPr="009061A9">
        <w:rPr>
          <w:rFonts w:cs="Times New Roman"/>
          <w:lang w:val="fr-CA"/>
        </w:rPr>
        <w:lastRenderedPageBreak/>
        <w:t>L’interprétation d’un traité est un</w:t>
      </w:r>
      <w:r>
        <w:rPr>
          <w:rFonts w:cs="Times New Roman"/>
          <w:lang w:val="fr-CA"/>
        </w:rPr>
        <w:t xml:space="preserve"> exercice </w:t>
      </w:r>
      <w:r w:rsidRPr="009061A9">
        <w:rPr>
          <w:rFonts w:cs="Times New Roman"/>
          <w:lang w:val="fr-CA"/>
        </w:rPr>
        <w:t>de discernement</w:t>
      </w:r>
      <w:r>
        <w:rPr>
          <w:rFonts w:cs="Times New Roman"/>
          <w:lang w:val="fr-CA"/>
        </w:rPr>
        <w:t xml:space="preserve">.  Une réponse claire et sans équivoque se dégage rarement avec certitude du </w:t>
      </w:r>
      <w:r w:rsidRPr="009061A9">
        <w:rPr>
          <w:rFonts w:cs="Times New Roman"/>
          <w:lang w:val="fr-CA"/>
        </w:rPr>
        <w:t>sens littéral des mots</w:t>
      </w:r>
      <w:r>
        <w:rPr>
          <w:rFonts w:cs="Times New Roman"/>
          <w:lang w:val="fr-CA"/>
        </w:rPr>
        <w:t>.  Il faut donc saisir l</w:t>
      </w:r>
      <w:r w:rsidRPr="009061A9">
        <w:rPr>
          <w:rFonts w:cs="Times New Roman"/>
          <w:lang w:val="fr-CA"/>
        </w:rPr>
        <w:t>’intention des États parties en examinant de bonne foi non seulement les mots en cause, mais aussi le contexte, l’histor</w:t>
      </w:r>
      <w:r>
        <w:rPr>
          <w:rFonts w:cs="Times New Roman"/>
          <w:lang w:val="fr-CA"/>
        </w:rPr>
        <w:t>iqu</w:t>
      </w:r>
      <w:r w:rsidRPr="009061A9">
        <w:rPr>
          <w:rFonts w:cs="Times New Roman"/>
          <w:lang w:val="fr-CA"/>
        </w:rPr>
        <w:t xml:space="preserve">e, l’objet et le but du traité dans son ensemble.  </w:t>
      </w:r>
      <w:r>
        <w:rPr>
          <w:rFonts w:cs="Times New Roman"/>
          <w:lang w:val="fr-CA"/>
        </w:rPr>
        <w:t>Soit dit en tout respect</w:t>
      </w:r>
      <w:r w:rsidRPr="009061A9">
        <w:rPr>
          <w:rFonts w:cs="Times New Roman"/>
          <w:lang w:val="fr-CA"/>
        </w:rPr>
        <w:t>, cet exercice mène à la conclusion que l’article 29</w:t>
      </w:r>
      <w:r>
        <w:rPr>
          <w:rFonts w:cs="Times New Roman"/>
          <w:lang w:val="fr-CA"/>
        </w:rPr>
        <w:t xml:space="preserve"> de la </w:t>
      </w:r>
      <w:r>
        <w:rPr>
          <w:rFonts w:cs="Times New Roman"/>
          <w:i/>
          <w:lang w:val="fr-CA"/>
        </w:rPr>
        <w:t>Convention de Montréal</w:t>
      </w:r>
      <w:r w:rsidRPr="009061A9">
        <w:rPr>
          <w:rFonts w:cs="Times New Roman"/>
          <w:lang w:val="fr-CA"/>
        </w:rPr>
        <w:t xml:space="preserve"> ne régit pas</w:t>
      </w:r>
      <w:r>
        <w:rPr>
          <w:rFonts w:cs="Times New Roman"/>
          <w:lang w:val="fr-CA"/>
        </w:rPr>
        <w:t xml:space="preserve"> à titre exclusif tous l</w:t>
      </w:r>
      <w:r w:rsidRPr="009061A9">
        <w:rPr>
          <w:rFonts w:cs="Times New Roman"/>
          <w:lang w:val="fr-CA"/>
        </w:rPr>
        <w:t xml:space="preserve">es dommages </w:t>
      </w:r>
      <w:r>
        <w:rPr>
          <w:rFonts w:cs="Times New Roman"/>
          <w:lang w:val="fr-CA"/>
        </w:rPr>
        <w:t xml:space="preserve">dont </w:t>
      </w:r>
      <w:r w:rsidRPr="009061A9">
        <w:rPr>
          <w:rFonts w:cs="Times New Roman"/>
          <w:lang w:val="fr-CA"/>
        </w:rPr>
        <w:t>les transporteurs peuvent être tenus responsables pendant le transport aérien internation</w:t>
      </w:r>
      <w:r>
        <w:rPr>
          <w:rFonts w:cs="Times New Roman"/>
          <w:lang w:val="fr-CA"/>
        </w:rPr>
        <w:t>al.</w:t>
      </w:r>
      <w:r w:rsidR="006412AC">
        <w:rPr>
          <w:rFonts w:cs="Times New Roman"/>
          <w:lang w:val="fr-CA"/>
        </w:rPr>
        <w:t xml:space="preserve"> </w:t>
      </w:r>
    </w:p>
    <w:p w:rsidR="00367456" w:rsidRPr="009061A9" w:rsidRDefault="00367456" w:rsidP="00A12DCE">
      <w:pPr>
        <w:pStyle w:val="ParaNoNdepar-AltN"/>
        <w:widowControl w:val="0"/>
        <w:rPr>
          <w:rFonts w:cs="Times New Roman"/>
          <w:lang w:val="fr-CA"/>
        </w:rPr>
      </w:pPr>
      <w:r w:rsidRPr="009061A9">
        <w:rPr>
          <w:rFonts w:cs="Times New Roman"/>
          <w:lang w:val="fr-CA"/>
        </w:rPr>
        <w:t>Les premiers mots de l’a</w:t>
      </w:r>
      <w:r>
        <w:rPr>
          <w:rFonts w:cs="Times New Roman"/>
          <w:lang w:val="fr-CA"/>
        </w:rPr>
        <w:t>rticle</w:t>
      </w:r>
      <w:r w:rsidR="006412AC">
        <w:rPr>
          <w:rFonts w:cs="Times New Roman"/>
          <w:lang w:val="fr-CA"/>
        </w:rPr>
        <w:t xml:space="preserve"> </w:t>
      </w:r>
      <w:r w:rsidRPr="009061A9">
        <w:rPr>
          <w:rFonts w:cs="Times New Roman"/>
          <w:lang w:val="fr-CA"/>
        </w:rPr>
        <w:t>29 limitent son champ d’application en déclarant que toute action en dommages</w:t>
      </w:r>
      <w:r w:rsidR="006412AC">
        <w:rPr>
          <w:rFonts w:cs="Times New Roman"/>
          <w:lang w:val="fr-CA"/>
        </w:rPr>
        <w:t>-</w:t>
      </w:r>
      <w:r w:rsidRPr="009061A9">
        <w:rPr>
          <w:rFonts w:cs="Times New Roman"/>
          <w:lang w:val="fr-CA"/>
        </w:rPr>
        <w:t xml:space="preserve">intérêts </w:t>
      </w:r>
      <w:r w:rsidR="006412AC">
        <w:rPr>
          <w:rFonts w:cs="Times New Roman"/>
          <w:lang w:val="fr-CA"/>
        </w:rPr>
        <w:t>« </w:t>
      </w:r>
      <w:r w:rsidRPr="007564D0">
        <w:rPr>
          <w:rFonts w:cs="Times New Roman"/>
          <w:i/>
          <w:lang w:val="fr-CA"/>
        </w:rPr>
        <w:t>[d]ans le transport de passagers, de bagages et de marchandises</w:t>
      </w:r>
      <w:r w:rsidR="006412AC">
        <w:rPr>
          <w:rFonts w:cs="Times New Roman"/>
          <w:lang w:val="fr-CA"/>
        </w:rPr>
        <w:t> »</w:t>
      </w:r>
      <w:r w:rsidRPr="009061A9">
        <w:rPr>
          <w:rFonts w:cs="Times New Roman"/>
          <w:lang w:val="fr-CA"/>
        </w:rPr>
        <w:t xml:space="preserve"> doit être exercée dans les conditions prévues par la </w:t>
      </w:r>
      <w:r w:rsidRPr="009061A9">
        <w:rPr>
          <w:rFonts w:cs="Times New Roman"/>
          <w:i/>
          <w:lang w:val="fr-CA"/>
        </w:rPr>
        <w:t>Convention</w:t>
      </w:r>
      <w:r>
        <w:rPr>
          <w:rFonts w:cs="Times New Roman"/>
          <w:lang w:val="fr-CA"/>
        </w:rPr>
        <w:t xml:space="preserve">.  </w:t>
      </w:r>
      <w:r w:rsidRPr="009061A9">
        <w:rPr>
          <w:rFonts w:cs="Times New Roman"/>
          <w:lang w:val="fr-CA"/>
        </w:rPr>
        <w:t xml:space="preserve">Je conviens que les mots qui suivent immédiatement — </w:t>
      </w:r>
      <w:r w:rsidR="006412AC">
        <w:rPr>
          <w:rFonts w:cs="Times New Roman"/>
          <w:lang w:val="fr-CA"/>
        </w:rPr>
        <w:t>« </w:t>
      </w:r>
      <w:r w:rsidRPr="009061A9">
        <w:rPr>
          <w:rFonts w:cs="Times New Roman"/>
          <w:lang w:val="fr-CA"/>
        </w:rPr>
        <w:t>à quelque titre que ce soit, en vertu de la p</w:t>
      </w:r>
      <w:r>
        <w:rPr>
          <w:rFonts w:cs="Times New Roman"/>
          <w:lang w:val="fr-CA"/>
        </w:rPr>
        <w:t>résente convention, en raison d’</w:t>
      </w:r>
      <w:r w:rsidRPr="009061A9">
        <w:rPr>
          <w:rFonts w:cs="Times New Roman"/>
          <w:lang w:val="fr-CA"/>
        </w:rPr>
        <w:t>un contrat ou d</w:t>
      </w:r>
      <w:r>
        <w:rPr>
          <w:rFonts w:cs="Times New Roman"/>
          <w:lang w:val="fr-CA"/>
        </w:rPr>
        <w:t>’</w:t>
      </w:r>
      <w:r w:rsidRPr="009061A9">
        <w:rPr>
          <w:rFonts w:cs="Times New Roman"/>
          <w:lang w:val="fr-CA"/>
        </w:rPr>
        <w:t>un acte illicite ou pour toute autre cause</w:t>
      </w:r>
      <w:r w:rsidR="006412AC">
        <w:rPr>
          <w:rFonts w:cs="Times New Roman"/>
          <w:lang w:val="fr-CA"/>
        </w:rPr>
        <w:t> »</w:t>
      </w:r>
      <w:r>
        <w:rPr>
          <w:rFonts w:cs="Times New Roman"/>
          <w:lang w:val="fr-CA"/>
        </w:rPr>
        <w:t xml:space="preserve"> </w:t>
      </w:r>
      <w:r w:rsidRPr="009061A9">
        <w:rPr>
          <w:rFonts w:cs="Times New Roman"/>
          <w:lang w:val="fr-CA"/>
        </w:rPr>
        <w:t>—</w:t>
      </w:r>
      <w:r>
        <w:rPr>
          <w:rFonts w:cs="Times New Roman"/>
          <w:lang w:val="fr-CA"/>
        </w:rPr>
        <w:t xml:space="preserve"> </w:t>
      </w:r>
      <w:r w:rsidRPr="009061A9">
        <w:rPr>
          <w:rFonts w:cs="Times New Roman"/>
          <w:lang w:val="fr-CA"/>
        </w:rPr>
        <w:t xml:space="preserve">sont, </w:t>
      </w:r>
      <w:r>
        <w:rPr>
          <w:rFonts w:cs="Times New Roman"/>
          <w:lang w:val="fr-CA"/>
        </w:rPr>
        <w:t>si on les considère</w:t>
      </w:r>
      <w:r w:rsidRPr="009061A9">
        <w:rPr>
          <w:rFonts w:cs="Times New Roman"/>
          <w:lang w:val="fr-CA"/>
        </w:rPr>
        <w:t xml:space="preserve"> isolément, d’application large</w:t>
      </w:r>
      <w:r>
        <w:rPr>
          <w:rFonts w:cs="Times New Roman"/>
          <w:lang w:val="fr-CA"/>
        </w:rPr>
        <w:t>.  Je n</w:t>
      </w:r>
      <w:r w:rsidRPr="009061A9">
        <w:rPr>
          <w:rFonts w:cs="Times New Roman"/>
          <w:lang w:val="fr-CA"/>
        </w:rPr>
        <w:t>’estime</w:t>
      </w:r>
      <w:r>
        <w:rPr>
          <w:rFonts w:cs="Times New Roman"/>
          <w:lang w:val="fr-CA"/>
        </w:rPr>
        <w:t xml:space="preserve"> toutefois pas </w:t>
      </w:r>
      <w:r w:rsidRPr="009061A9">
        <w:rPr>
          <w:rFonts w:cs="Times New Roman"/>
          <w:lang w:val="fr-CA"/>
        </w:rPr>
        <w:t>qu</w:t>
      </w:r>
      <w:r>
        <w:rPr>
          <w:rFonts w:cs="Times New Roman"/>
          <w:lang w:val="fr-CA"/>
        </w:rPr>
        <w:t xml:space="preserve">e </w:t>
      </w:r>
      <w:proofErr w:type="gramStart"/>
      <w:r>
        <w:rPr>
          <w:rFonts w:cs="Times New Roman"/>
          <w:lang w:val="fr-CA"/>
        </w:rPr>
        <w:t>c’est</w:t>
      </w:r>
      <w:proofErr w:type="gramEnd"/>
      <w:r>
        <w:rPr>
          <w:rFonts w:cs="Times New Roman"/>
          <w:lang w:val="fr-CA"/>
        </w:rPr>
        <w:t xml:space="preserve"> une disposition </w:t>
      </w:r>
      <w:r w:rsidRPr="009061A9">
        <w:rPr>
          <w:rFonts w:cs="Times New Roman"/>
          <w:lang w:val="fr-CA"/>
        </w:rPr>
        <w:t>indépendant</w:t>
      </w:r>
      <w:r>
        <w:rPr>
          <w:rFonts w:cs="Times New Roman"/>
          <w:lang w:val="fr-CA"/>
        </w:rPr>
        <w:t>e</w:t>
      </w:r>
      <w:r w:rsidRPr="009061A9">
        <w:rPr>
          <w:rFonts w:cs="Times New Roman"/>
          <w:lang w:val="fr-CA"/>
        </w:rPr>
        <w:t xml:space="preserve"> et </w:t>
      </w:r>
      <w:r>
        <w:rPr>
          <w:rFonts w:cs="Times New Roman"/>
          <w:lang w:val="fr-CA"/>
        </w:rPr>
        <w:t xml:space="preserve">déterminante.  Je la </w:t>
      </w:r>
      <w:r w:rsidRPr="009061A9">
        <w:rPr>
          <w:rFonts w:cs="Times New Roman"/>
          <w:lang w:val="fr-CA"/>
        </w:rPr>
        <w:t xml:space="preserve">considère plutôt comme une disposition dont le sens dépend des mots introductifs </w:t>
      </w:r>
      <w:r>
        <w:rPr>
          <w:rFonts w:cs="Times New Roman"/>
          <w:lang w:val="fr-CA"/>
        </w:rPr>
        <w:t>qui la précèdent.  Ainsi</w:t>
      </w:r>
      <w:r w:rsidRPr="009061A9">
        <w:rPr>
          <w:rFonts w:cs="Times New Roman"/>
          <w:lang w:val="fr-CA"/>
        </w:rPr>
        <w:t xml:space="preserve">, le mot </w:t>
      </w:r>
      <w:r w:rsidR="006412AC">
        <w:rPr>
          <w:rFonts w:cs="Times New Roman"/>
          <w:lang w:val="fr-CA"/>
        </w:rPr>
        <w:t>« </w:t>
      </w:r>
      <w:r w:rsidRPr="009061A9">
        <w:rPr>
          <w:rFonts w:cs="Times New Roman"/>
          <w:lang w:val="fr-CA"/>
        </w:rPr>
        <w:t>action</w:t>
      </w:r>
      <w:r w:rsidR="006412AC">
        <w:rPr>
          <w:rFonts w:cs="Times New Roman"/>
          <w:lang w:val="fr-CA"/>
        </w:rPr>
        <w:t> »</w:t>
      </w:r>
      <w:r w:rsidRPr="009061A9">
        <w:rPr>
          <w:rFonts w:cs="Times New Roman"/>
          <w:lang w:val="fr-CA"/>
        </w:rPr>
        <w:t xml:space="preserve"> renvoie uniquement à une action en dommages</w:t>
      </w:r>
      <w:r w:rsidR="006412AC">
        <w:rPr>
          <w:rFonts w:cs="Times New Roman"/>
          <w:lang w:val="fr-CA"/>
        </w:rPr>
        <w:t>-</w:t>
      </w:r>
      <w:r w:rsidRPr="009061A9">
        <w:rPr>
          <w:rFonts w:cs="Times New Roman"/>
          <w:lang w:val="fr-CA"/>
        </w:rPr>
        <w:t xml:space="preserve">intérêts </w:t>
      </w:r>
      <w:r w:rsidR="006412AC">
        <w:rPr>
          <w:rFonts w:cs="Times New Roman"/>
          <w:lang w:val="fr-CA"/>
        </w:rPr>
        <w:t>« </w:t>
      </w:r>
      <w:r>
        <w:rPr>
          <w:rFonts w:cs="Times New Roman"/>
          <w:lang w:val="fr-CA"/>
        </w:rPr>
        <w:t>[</w:t>
      </w:r>
      <w:r w:rsidRPr="009061A9">
        <w:rPr>
          <w:rFonts w:cs="Times New Roman"/>
          <w:lang w:val="fr-CA"/>
        </w:rPr>
        <w:t>d</w:t>
      </w:r>
      <w:r>
        <w:rPr>
          <w:rFonts w:cs="Times New Roman"/>
          <w:lang w:val="fr-CA"/>
        </w:rPr>
        <w:t>]</w:t>
      </w:r>
      <w:r w:rsidRPr="009061A9">
        <w:rPr>
          <w:rFonts w:cs="Times New Roman"/>
          <w:lang w:val="fr-CA"/>
        </w:rPr>
        <w:t>ans le transport de passagers, de bagages et de marchandises</w:t>
      </w:r>
      <w:r w:rsidR="006412AC">
        <w:rPr>
          <w:rFonts w:cs="Times New Roman"/>
          <w:lang w:val="fr-CA"/>
        </w:rPr>
        <w:t> »</w:t>
      </w:r>
      <w:r w:rsidRPr="009061A9">
        <w:rPr>
          <w:rFonts w:cs="Times New Roman"/>
          <w:lang w:val="fr-CA"/>
        </w:rPr>
        <w:t xml:space="preserve">. </w:t>
      </w:r>
    </w:p>
    <w:p w:rsidR="00367456" w:rsidRPr="009061A9" w:rsidRDefault="00367456" w:rsidP="00A12DCE">
      <w:pPr>
        <w:pStyle w:val="ParaNoNdepar-AltN"/>
        <w:widowControl w:val="0"/>
        <w:rPr>
          <w:rFonts w:cs="Times New Roman"/>
          <w:lang w:val="fr-CA"/>
        </w:rPr>
      </w:pPr>
      <w:r w:rsidRPr="009061A9">
        <w:rPr>
          <w:rFonts w:cs="Times New Roman"/>
          <w:lang w:val="fr-CA"/>
        </w:rPr>
        <w:t xml:space="preserve">Par conséquent, </w:t>
      </w:r>
      <w:r>
        <w:rPr>
          <w:rFonts w:cs="Times New Roman"/>
          <w:lang w:val="fr-CA"/>
        </w:rPr>
        <w:t>seule</w:t>
      </w:r>
      <w:r w:rsidRPr="009061A9">
        <w:rPr>
          <w:rFonts w:cs="Times New Roman"/>
          <w:lang w:val="fr-CA"/>
        </w:rPr>
        <w:t xml:space="preserve"> l’action </w:t>
      </w:r>
      <w:r>
        <w:rPr>
          <w:rFonts w:cs="Times New Roman"/>
          <w:lang w:val="fr-CA"/>
        </w:rPr>
        <w:t>pour un préjudice subi</w:t>
      </w:r>
      <w:r w:rsidRPr="009061A9">
        <w:rPr>
          <w:rFonts w:cs="Times New Roman"/>
          <w:lang w:val="fr-CA"/>
        </w:rPr>
        <w:t xml:space="preserve"> </w:t>
      </w:r>
      <w:r w:rsidR="006412AC">
        <w:rPr>
          <w:rFonts w:cs="Times New Roman"/>
          <w:lang w:val="fr-CA"/>
        </w:rPr>
        <w:t>« </w:t>
      </w:r>
      <w:r>
        <w:rPr>
          <w:rFonts w:cs="Times New Roman"/>
          <w:lang w:val="fr-CA"/>
        </w:rPr>
        <w:t>[</w:t>
      </w:r>
      <w:r w:rsidRPr="009061A9">
        <w:rPr>
          <w:rFonts w:cs="Times New Roman"/>
          <w:lang w:val="fr-CA"/>
        </w:rPr>
        <w:t>d</w:t>
      </w:r>
      <w:r>
        <w:rPr>
          <w:rFonts w:cs="Times New Roman"/>
          <w:lang w:val="fr-CA"/>
        </w:rPr>
        <w:t>]</w:t>
      </w:r>
      <w:r w:rsidRPr="009061A9">
        <w:rPr>
          <w:rFonts w:cs="Times New Roman"/>
          <w:lang w:val="fr-CA"/>
        </w:rPr>
        <w:t>ans le transport de passagers, de bagages et de marchandises</w:t>
      </w:r>
      <w:r w:rsidR="006412AC">
        <w:rPr>
          <w:rFonts w:cs="Times New Roman"/>
          <w:lang w:val="fr-CA"/>
        </w:rPr>
        <w:t> »</w:t>
      </w:r>
      <w:r>
        <w:rPr>
          <w:rFonts w:cs="Times New Roman"/>
          <w:lang w:val="fr-CA"/>
        </w:rPr>
        <w:t xml:space="preserve"> </w:t>
      </w:r>
      <w:r w:rsidRPr="009061A9">
        <w:rPr>
          <w:rFonts w:cs="Times New Roman"/>
          <w:lang w:val="fr-CA"/>
        </w:rPr>
        <w:t>doit</w:t>
      </w:r>
      <w:r>
        <w:rPr>
          <w:rFonts w:cs="Times New Roman"/>
          <w:lang w:val="fr-CA"/>
        </w:rPr>
        <w:t xml:space="preserve"> être</w:t>
      </w:r>
      <w:r w:rsidRPr="009061A9">
        <w:rPr>
          <w:rFonts w:cs="Times New Roman"/>
          <w:lang w:val="fr-CA"/>
        </w:rPr>
        <w:t xml:space="preserve"> exercée </w:t>
      </w:r>
      <w:r w:rsidR="006412AC">
        <w:rPr>
          <w:rFonts w:cs="Times New Roman"/>
          <w:lang w:val="fr-CA"/>
        </w:rPr>
        <w:t>« </w:t>
      </w:r>
      <w:r w:rsidRPr="009061A9">
        <w:rPr>
          <w:rFonts w:cs="Times New Roman"/>
          <w:lang w:val="fr-CA"/>
        </w:rPr>
        <w:t>dans les conditions et limites de responsabilité prévues</w:t>
      </w:r>
      <w:r w:rsidR="006412AC">
        <w:rPr>
          <w:rFonts w:cs="Times New Roman"/>
          <w:lang w:val="fr-CA"/>
        </w:rPr>
        <w:t> »</w:t>
      </w:r>
      <w:r w:rsidRPr="009061A9">
        <w:rPr>
          <w:rFonts w:cs="Times New Roman"/>
          <w:lang w:val="fr-CA"/>
        </w:rPr>
        <w:t xml:space="preserve"> par la </w:t>
      </w:r>
      <w:r w:rsidRPr="009061A9">
        <w:rPr>
          <w:rFonts w:cs="Times New Roman"/>
          <w:i/>
          <w:lang w:val="fr-CA"/>
        </w:rPr>
        <w:t>Convention</w:t>
      </w:r>
      <w:r w:rsidRPr="009061A9">
        <w:rPr>
          <w:rFonts w:cs="Times New Roman"/>
          <w:lang w:val="fr-CA"/>
        </w:rPr>
        <w:t>, que l’</w:t>
      </w:r>
      <w:r>
        <w:rPr>
          <w:rFonts w:cs="Times New Roman"/>
          <w:lang w:val="fr-CA"/>
        </w:rPr>
        <w:t xml:space="preserve">action soit exercée en </w:t>
      </w:r>
      <w:r>
        <w:rPr>
          <w:rFonts w:cs="Times New Roman"/>
          <w:lang w:val="fr-CA"/>
        </w:rPr>
        <w:lastRenderedPageBreak/>
        <w:t>raison d’</w:t>
      </w:r>
      <w:r w:rsidRPr="009061A9">
        <w:rPr>
          <w:rFonts w:cs="Times New Roman"/>
          <w:lang w:val="fr-CA"/>
        </w:rPr>
        <w:t>un contrat ou d</w:t>
      </w:r>
      <w:r>
        <w:rPr>
          <w:rFonts w:cs="Times New Roman"/>
          <w:lang w:val="fr-CA"/>
        </w:rPr>
        <w:t>’</w:t>
      </w:r>
      <w:r w:rsidRPr="009061A9">
        <w:rPr>
          <w:rFonts w:cs="Times New Roman"/>
          <w:lang w:val="fr-CA"/>
        </w:rPr>
        <w:t xml:space="preserve">un acte illicite, de la </w:t>
      </w:r>
      <w:r w:rsidRPr="009061A9">
        <w:rPr>
          <w:rFonts w:cs="Times New Roman"/>
          <w:i/>
          <w:lang w:val="fr-CA"/>
        </w:rPr>
        <w:t>Convention</w:t>
      </w:r>
      <w:r w:rsidRPr="009061A9">
        <w:rPr>
          <w:rFonts w:cs="Times New Roman"/>
          <w:lang w:val="fr-CA"/>
        </w:rPr>
        <w:t xml:space="preserve"> ou pour toute autre cause</w:t>
      </w:r>
      <w:r>
        <w:rPr>
          <w:rFonts w:cs="Times New Roman"/>
          <w:lang w:val="fr-CA"/>
        </w:rPr>
        <w:t xml:space="preserve">.  </w:t>
      </w:r>
      <w:r w:rsidRPr="009061A9">
        <w:rPr>
          <w:rFonts w:cs="Times New Roman"/>
          <w:lang w:val="fr-CA"/>
        </w:rPr>
        <w:t>Aucune autre action en dommages</w:t>
      </w:r>
      <w:r w:rsidR="006412AC">
        <w:rPr>
          <w:rFonts w:cs="Times New Roman"/>
          <w:lang w:val="fr-CA"/>
        </w:rPr>
        <w:t>-</w:t>
      </w:r>
      <w:r w:rsidRPr="009061A9">
        <w:rPr>
          <w:rFonts w:cs="Times New Roman"/>
          <w:lang w:val="fr-CA"/>
        </w:rPr>
        <w:t>intérêts n</w:t>
      </w:r>
      <w:r>
        <w:rPr>
          <w:rFonts w:cs="Times New Roman"/>
          <w:lang w:val="fr-CA"/>
        </w:rPr>
        <w:t xml:space="preserve">e relève </w:t>
      </w:r>
      <w:r w:rsidRPr="009061A9">
        <w:rPr>
          <w:rFonts w:cs="Times New Roman"/>
          <w:lang w:val="fr-CA"/>
        </w:rPr>
        <w:t>de l’</w:t>
      </w:r>
      <w:r>
        <w:rPr>
          <w:rFonts w:cs="Times New Roman"/>
          <w:lang w:val="fr-CA"/>
        </w:rPr>
        <w:t>article</w:t>
      </w:r>
      <w:r w:rsidR="006412AC">
        <w:rPr>
          <w:rFonts w:cs="Times New Roman"/>
          <w:lang w:val="fr-CA"/>
        </w:rPr>
        <w:t xml:space="preserve"> </w:t>
      </w:r>
      <w:r w:rsidRPr="009061A9">
        <w:rPr>
          <w:rFonts w:cs="Times New Roman"/>
          <w:lang w:val="fr-CA"/>
        </w:rPr>
        <w:t>29.</w:t>
      </w:r>
    </w:p>
    <w:p w:rsidR="00367456" w:rsidRPr="009061A9" w:rsidRDefault="00367456" w:rsidP="00A12DCE">
      <w:pPr>
        <w:pStyle w:val="ParaNoNdepar-AltN"/>
        <w:widowControl w:val="0"/>
        <w:rPr>
          <w:rFonts w:cs="Times New Roman"/>
          <w:lang w:val="fr-CA"/>
        </w:rPr>
      </w:pPr>
      <w:r>
        <w:rPr>
          <w:rFonts w:cs="Times New Roman"/>
          <w:lang w:val="fr-CA"/>
        </w:rPr>
        <w:t>Alors, q</w:t>
      </w:r>
      <w:r w:rsidRPr="009061A9">
        <w:rPr>
          <w:rFonts w:cs="Times New Roman"/>
          <w:lang w:val="fr-CA"/>
        </w:rPr>
        <w:t>u</w:t>
      </w:r>
      <w:r>
        <w:rPr>
          <w:rFonts w:cs="Times New Roman"/>
          <w:lang w:val="fr-CA"/>
        </w:rPr>
        <w:t xml:space="preserve">e signifie </w:t>
      </w:r>
      <w:r w:rsidRPr="009061A9">
        <w:rPr>
          <w:rFonts w:cs="Times New Roman"/>
          <w:lang w:val="fr-CA"/>
        </w:rPr>
        <w:t>une action en dommages</w:t>
      </w:r>
      <w:r w:rsidR="006412AC">
        <w:rPr>
          <w:rFonts w:cs="Times New Roman"/>
          <w:lang w:val="fr-CA"/>
        </w:rPr>
        <w:t>-</w:t>
      </w:r>
      <w:r w:rsidRPr="009061A9">
        <w:rPr>
          <w:rFonts w:cs="Times New Roman"/>
          <w:lang w:val="fr-CA"/>
        </w:rPr>
        <w:t xml:space="preserve">intérêts </w:t>
      </w:r>
      <w:r w:rsidR="006412AC">
        <w:rPr>
          <w:rFonts w:cs="Times New Roman"/>
          <w:lang w:val="fr-CA"/>
        </w:rPr>
        <w:t>« </w:t>
      </w:r>
      <w:r w:rsidRPr="00C036F1">
        <w:rPr>
          <w:rFonts w:cs="Times New Roman"/>
          <w:lang w:val="fr-CA"/>
        </w:rPr>
        <w:t>[</w:t>
      </w:r>
      <w:r w:rsidRPr="009061A9">
        <w:rPr>
          <w:rFonts w:cs="Times New Roman"/>
          <w:lang w:val="fr-CA"/>
        </w:rPr>
        <w:t>d</w:t>
      </w:r>
      <w:r>
        <w:rPr>
          <w:rFonts w:cs="Times New Roman"/>
          <w:lang w:val="fr-CA"/>
        </w:rPr>
        <w:t>]</w:t>
      </w:r>
      <w:r w:rsidRPr="009061A9">
        <w:rPr>
          <w:rFonts w:cs="Times New Roman"/>
          <w:lang w:val="fr-CA"/>
        </w:rPr>
        <w:t>ans le transport de passagers, de bagages et de marchandises</w:t>
      </w:r>
      <w:r w:rsidR="006412AC">
        <w:rPr>
          <w:rFonts w:cs="Times New Roman"/>
          <w:lang w:val="fr-CA"/>
        </w:rPr>
        <w:t> »</w:t>
      </w:r>
      <w:r w:rsidRPr="009061A9">
        <w:rPr>
          <w:rFonts w:cs="Times New Roman"/>
          <w:lang w:val="fr-CA"/>
        </w:rPr>
        <w:t xml:space="preserve">? Pour nous aider à interpréter ces termes, nous </w:t>
      </w:r>
      <w:r>
        <w:rPr>
          <w:rFonts w:cs="Times New Roman"/>
          <w:lang w:val="fr-CA"/>
        </w:rPr>
        <w:t xml:space="preserve">faisons appel à </w:t>
      </w:r>
      <w:r w:rsidRPr="009061A9">
        <w:rPr>
          <w:rFonts w:cs="Times New Roman"/>
          <w:lang w:val="fr-CA"/>
        </w:rPr>
        <w:t xml:space="preserve">d’autres dispositions de la </w:t>
      </w:r>
      <w:r w:rsidRPr="009061A9">
        <w:rPr>
          <w:rFonts w:cs="Times New Roman"/>
          <w:i/>
          <w:lang w:val="fr-CA"/>
        </w:rPr>
        <w:t>Convention</w:t>
      </w:r>
      <w:r w:rsidRPr="009061A9">
        <w:rPr>
          <w:rFonts w:cs="Times New Roman"/>
          <w:lang w:val="fr-CA"/>
        </w:rPr>
        <w:t xml:space="preserve">, </w:t>
      </w:r>
      <w:r>
        <w:rPr>
          <w:rFonts w:cs="Times New Roman"/>
          <w:lang w:val="fr-CA"/>
        </w:rPr>
        <w:t xml:space="preserve">et plus particulièrement au </w:t>
      </w:r>
      <w:r w:rsidRPr="009061A9">
        <w:rPr>
          <w:rFonts w:cs="Times New Roman"/>
          <w:lang w:val="fr-CA"/>
        </w:rPr>
        <w:t xml:space="preserve">chapitre III </w:t>
      </w:r>
      <w:r>
        <w:rPr>
          <w:rFonts w:cs="Times New Roman"/>
          <w:lang w:val="fr-CA"/>
        </w:rPr>
        <w:t xml:space="preserve">où figure </w:t>
      </w:r>
      <w:r w:rsidRPr="009061A9">
        <w:rPr>
          <w:rFonts w:cs="Times New Roman"/>
          <w:lang w:val="fr-CA"/>
        </w:rPr>
        <w:t>l’</w:t>
      </w:r>
      <w:r>
        <w:rPr>
          <w:rFonts w:cs="Times New Roman"/>
          <w:lang w:val="fr-CA"/>
        </w:rPr>
        <w:t>article</w:t>
      </w:r>
      <w:r w:rsidR="006412AC">
        <w:rPr>
          <w:rFonts w:cs="Times New Roman"/>
          <w:lang w:val="fr-CA"/>
        </w:rPr>
        <w:t xml:space="preserve"> </w:t>
      </w:r>
      <w:r w:rsidRPr="009061A9">
        <w:rPr>
          <w:rFonts w:cs="Times New Roman"/>
          <w:lang w:val="fr-CA"/>
        </w:rPr>
        <w:t xml:space="preserve">29. </w:t>
      </w:r>
    </w:p>
    <w:p w:rsidR="00367456" w:rsidRPr="009061A9" w:rsidRDefault="00367456" w:rsidP="00A12DCE">
      <w:pPr>
        <w:pStyle w:val="ParaNoNdepar-AltN"/>
        <w:widowControl w:val="0"/>
        <w:rPr>
          <w:rFonts w:cs="Times New Roman"/>
          <w:lang w:val="fr-CA"/>
        </w:rPr>
      </w:pPr>
      <w:r w:rsidRPr="009061A9">
        <w:rPr>
          <w:rFonts w:cs="Times New Roman"/>
          <w:lang w:val="fr-CA"/>
        </w:rPr>
        <w:t>Le chapitre III énonce la responsabilité limitée des transporteurs dans le transport des passagers, des bagages et des marchandises</w:t>
      </w:r>
      <w:r>
        <w:rPr>
          <w:rFonts w:cs="Times New Roman"/>
          <w:lang w:val="fr-CA"/>
        </w:rPr>
        <w:t xml:space="preserve">.  </w:t>
      </w:r>
      <w:r w:rsidRPr="009061A9">
        <w:rPr>
          <w:rFonts w:cs="Times New Roman"/>
          <w:lang w:val="fr-CA"/>
        </w:rPr>
        <w:t xml:space="preserve">Le </w:t>
      </w:r>
      <w:r>
        <w:rPr>
          <w:rFonts w:cs="Times New Roman"/>
          <w:lang w:val="fr-CA"/>
        </w:rPr>
        <w:t>paragraphe</w:t>
      </w:r>
      <w:r w:rsidR="006412AC">
        <w:rPr>
          <w:rFonts w:cs="Times New Roman"/>
          <w:lang w:val="fr-CA"/>
        </w:rPr>
        <w:t xml:space="preserve"> </w:t>
      </w:r>
      <w:r w:rsidRPr="009061A9">
        <w:rPr>
          <w:rFonts w:cs="Times New Roman"/>
          <w:lang w:val="fr-CA"/>
        </w:rPr>
        <w:t xml:space="preserve">17(1) établit les conditions de responsabilité en cas de </w:t>
      </w:r>
      <w:r w:rsidR="00CB2D7A">
        <w:rPr>
          <w:rFonts w:cs="Times New Roman"/>
          <w:lang w:val="fr-CA"/>
        </w:rPr>
        <w:t>« </w:t>
      </w:r>
      <w:r w:rsidRPr="009061A9">
        <w:rPr>
          <w:rFonts w:cs="Times New Roman"/>
          <w:lang w:val="fr-CA"/>
        </w:rPr>
        <w:t>mort ou de lésion subie par le passager</w:t>
      </w:r>
      <w:r w:rsidR="006412AC">
        <w:rPr>
          <w:rFonts w:cs="Times New Roman"/>
          <w:lang w:val="fr-CA"/>
        </w:rPr>
        <w:t> »</w:t>
      </w:r>
      <w:r>
        <w:rPr>
          <w:rFonts w:cs="Times New Roman"/>
          <w:lang w:val="fr-CA"/>
        </w:rPr>
        <w:t xml:space="preserve">.  </w:t>
      </w:r>
      <w:r w:rsidRPr="009061A9">
        <w:rPr>
          <w:rFonts w:cs="Times New Roman"/>
          <w:lang w:val="fr-CA"/>
        </w:rPr>
        <w:t xml:space="preserve">Les </w:t>
      </w:r>
      <w:r>
        <w:rPr>
          <w:rFonts w:cs="Times New Roman"/>
          <w:lang w:val="fr-CA"/>
        </w:rPr>
        <w:t>paragraphes</w:t>
      </w:r>
      <w:r w:rsidR="006412AC">
        <w:rPr>
          <w:rFonts w:cs="Times New Roman"/>
          <w:lang w:val="fr-CA"/>
        </w:rPr>
        <w:t xml:space="preserve"> </w:t>
      </w:r>
      <w:r w:rsidRPr="009061A9">
        <w:rPr>
          <w:rFonts w:cs="Times New Roman"/>
          <w:lang w:val="fr-CA"/>
        </w:rPr>
        <w:t xml:space="preserve">17(2), (3) et (4) établissent les conditions de responsabilité en cas de </w:t>
      </w:r>
      <w:r w:rsidR="006412AC">
        <w:rPr>
          <w:rFonts w:cs="Times New Roman"/>
          <w:lang w:val="fr-CA"/>
        </w:rPr>
        <w:t>« </w:t>
      </w:r>
      <w:r w:rsidRPr="009061A9">
        <w:rPr>
          <w:rFonts w:cs="Times New Roman"/>
          <w:lang w:val="fr-CA"/>
        </w:rPr>
        <w:t>dommage causé aux bagages</w:t>
      </w:r>
      <w:r w:rsidR="006412AC">
        <w:rPr>
          <w:rFonts w:cs="Times New Roman"/>
          <w:lang w:val="fr-CA"/>
        </w:rPr>
        <w:t> »</w:t>
      </w:r>
      <w:r>
        <w:rPr>
          <w:rFonts w:cs="Times New Roman"/>
          <w:lang w:val="fr-CA"/>
        </w:rPr>
        <w:t xml:space="preserve">.  </w:t>
      </w:r>
      <w:r w:rsidRPr="009061A9">
        <w:rPr>
          <w:rFonts w:cs="Times New Roman"/>
          <w:lang w:val="fr-CA"/>
        </w:rPr>
        <w:t>L’</w:t>
      </w:r>
      <w:r>
        <w:rPr>
          <w:rFonts w:cs="Times New Roman"/>
          <w:lang w:val="fr-CA"/>
        </w:rPr>
        <w:t>article</w:t>
      </w:r>
      <w:r w:rsidR="006412AC">
        <w:rPr>
          <w:rFonts w:cs="Times New Roman"/>
          <w:lang w:val="fr-CA"/>
        </w:rPr>
        <w:t xml:space="preserve"> </w:t>
      </w:r>
      <w:r w:rsidRPr="009061A9">
        <w:rPr>
          <w:rFonts w:cs="Times New Roman"/>
          <w:lang w:val="fr-CA"/>
        </w:rPr>
        <w:t xml:space="preserve">18 établit les conditions de responsabilité en cas de </w:t>
      </w:r>
      <w:r w:rsidR="006412AC">
        <w:rPr>
          <w:rFonts w:cs="Times New Roman"/>
          <w:lang w:val="fr-CA"/>
        </w:rPr>
        <w:t>« </w:t>
      </w:r>
      <w:r w:rsidRPr="009061A9">
        <w:rPr>
          <w:rFonts w:cs="Times New Roman"/>
          <w:lang w:val="fr-CA"/>
        </w:rPr>
        <w:t>dommage causé à la marchandise</w:t>
      </w:r>
      <w:r w:rsidR="006412AC">
        <w:rPr>
          <w:rFonts w:cs="Times New Roman"/>
          <w:lang w:val="fr-CA"/>
        </w:rPr>
        <w:t> »</w:t>
      </w:r>
      <w:r>
        <w:rPr>
          <w:rFonts w:cs="Times New Roman"/>
          <w:lang w:val="fr-CA"/>
        </w:rPr>
        <w:t xml:space="preserve">.  </w:t>
      </w:r>
      <w:r w:rsidRPr="009061A9">
        <w:rPr>
          <w:rFonts w:cs="Times New Roman"/>
          <w:lang w:val="fr-CA"/>
        </w:rPr>
        <w:t>L’</w:t>
      </w:r>
      <w:r>
        <w:rPr>
          <w:rFonts w:cs="Times New Roman"/>
          <w:lang w:val="fr-CA"/>
        </w:rPr>
        <w:t>article</w:t>
      </w:r>
      <w:r w:rsidR="006412AC">
        <w:rPr>
          <w:rFonts w:cs="Times New Roman"/>
          <w:lang w:val="fr-CA"/>
        </w:rPr>
        <w:t xml:space="preserve"> </w:t>
      </w:r>
      <w:r w:rsidRPr="009061A9">
        <w:rPr>
          <w:rFonts w:cs="Times New Roman"/>
          <w:lang w:val="fr-CA"/>
        </w:rPr>
        <w:t xml:space="preserve">19 établit les conditions de responsabilité en cas </w:t>
      </w:r>
      <w:r w:rsidR="006412AC">
        <w:rPr>
          <w:rFonts w:cs="Times New Roman"/>
          <w:lang w:val="fr-CA"/>
        </w:rPr>
        <w:t>« </w:t>
      </w:r>
      <w:r w:rsidRPr="009061A9">
        <w:rPr>
          <w:rFonts w:cs="Times New Roman"/>
          <w:lang w:val="fr-CA"/>
        </w:rPr>
        <w:t>d</w:t>
      </w:r>
      <w:r w:rsidR="008456C5">
        <w:rPr>
          <w:rFonts w:cs="Times New Roman"/>
          <w:lang w:val="fr-CA"/>
        </w:rPr>
        <w:t>[</w:t>
      </w:r>
      <w:r w:rsidRPr="009061A9">
        <w:rPr>
          <w:rFonts w:cs="Times New Roman"/>
          <w:lang w:val="fr-CA"/>
        </w:rPr>
        <w:t>e] dommage résultant d</w:t>
      </w:r>
      <w:r>
        <w:rPr>
          <w:rFonts w:cs="Times New Roman"/>
          <w:lang w:val="fr-CA"/>
        </w:rPr>
        <w:t>’</w:t>
      </w:r>
      <w:r w:rsidRPr="009061A9">
        <w:rPr>
          <w:rFonts w:cs="Times New Roman"/>
          <w:lang w:val="fr-CA"/>
        </w:rPr>
        <w:t>un retard dans le transport aérien de passagers, de bagages ou de marchandises</w:t>
      </w:r>
      <w:r w:rsidR="006412AC">
        <w:rPr>
          <w:rFonts w:cs="Times New Roman"/>
          <w:lang w:val="fr-CA"/>
        </w:rPr>
        <w:t> »</w:t>
      </w:r>
      <w:r>
        <w:rPr>
          <w:rFonts w:cs="Times New Roman"/>
          <w:lang w:val="fr-CA"/>
        </w:rPr>
        <w:t xml:space="preserve">.  </w:t>
      </w:r>
      <w:r w:rsidRPr="009061A9">
        <w:rPr>
          <w:rFonts w:cs="Times New Roman"/>
          <w:lang w:val="fr-CA"/>
        </w:rPr>
        <w:t>Les dispositions subséquentes établissent les limites de</w:t>
      </w:r>
      <w:r>
        <w:rPr>
          <w:rFonts w:cs="Times New Roman"/>
          <w:lang w:val="fr-CA"/>
        </w:rPr>
        <w:t xml:space="preserve"> l’indemnisation </w:t>
      </w:r>
      <w:r w:rsidRPr="009061A9">
        <w:rPr>
          <w:rFonts w:cs="Times New Roman"/>
          <w:lang w:val="fr-CA"/>
        </w:rPr>
        <w:t>pour ces types de dommages</w:t>
      </w:r>
      <w:r>
        <w:rPr>
          <w:rFonts w:cs="Times New Roman"/>
          <w:lang w:val="fr-CA"/>
        </w:rPr>
        <w:t xml:space="preserve">.  </w:t>
      </w:r>
      <w:r w:rsidRPr="009061A9">
        <w:rPr>
          <w:rFonts w:cs="Times New Roman"/>
          <w:lang w:val="fr-CA"/>
        </w:rPr>
        <w:t>L’</w:t>
      </w:r>
      <w:r>
        <w:rPr>
          <w:rFonts w:cs="Times New Roman"/>
          <w:lang w:val="fr-CA"/>
        </w:rPr>
        <w:t>article</w:t>
      </w:r>
      <w:r w:rsidR="006412AC">
        <w:rPr>
          <w:rFonts w:cs="Times New Roman"/>
          <w:lang w:val="fr-CA"/>
        </w:rPr>
        <w:t xml:space="preserve"> </w:t>
      </w:r>
      <w:r w:rsidRPr="009061A9">
        <w:rPr>
          <w:rFonts w:cs="Times New Roman"/>
          <w:lang w:val="fr-CA"/>
        </w:rPr>
        <w:t>21 établit les règles d’</w:t>
      </w:r>
      <w:r w:rsidR="006412AC">
        <w:rPr>
          <w:rFonts w:cs="Times New Roman"/>
          <w:lang w:val="fr-CA"/>
        </w:rPr>
        <w:t>« </w:t>
      </w:r>
      <w:r w:rsidRPr="009061A9">
        <w:rPr>
          <w:rFonts w:cs="Times New Roman"/>
          <w:lang w:val="fr-CA"/>
        </w:rPr>
        <w:t>indemnisation en cas de mort ou de lésion subie par le passager</w:t>
      </w:r>
      <w:r w:rsidR="006412AC">
        <w:rPr>
          <w:rFonts w:cs="Times New Roman"/>
          <w:lang w:val="fr-CA"/>
        </w:rPr>
        <w:t> »</w:t>
      </w:r>
      <w:r w:rsidRPr="009061A9">
        <w:rPr>
          <w:rFonts w:cs="Times New Roman"/>
          <w:lang w:val="fr-CA"/>
        </w:rPr>
        <w:t xml:space="preserve"> et l’</w:t>
      </w:r>
      <w:r>
        <w:rPr>
          <w:rFonts w:cs="Times New Roman"/>
          <w:lang w:val="fr-CA"/>
        </w:rPr>
        <w:t>article</w:t>
      </w:r>
      <w:r w:rsidR="006412AC">
        <w:rPr>
          <w:rFonts w:cs="Times New Roman"/>
          <w:lang w:val="fr-CA"/>
        </w:rPr>
        <w:t xml:space="preserve"> </w:t>
      </w:r>
      <w:r w:rsidRPr="009061A9">
        <w:rPr>
          <w:rFonts w:cs="Times New Roman"/>
          <w:lang w:val="fr-CA"/>
        </w:rPr>
        <w:t xml:space="preserve">22 énonce les </w:t>
      </w:r>
      <w:r w:rsidR="006412AC">
        <w:rPr>
          <w:rFonts w:cs="Times New Roman"/>
          <w:lang w:val="fr-CA"/>
        </w:rPr>
        <w:t>« </w:t>
      </w:r>
      <w:r w:rsidRPr="009061A9">
        <w:rPr>
          <w:rFonts w:cs="Times New Roman"/>
          <w:lang w:val="fr-CA"/>
        </w:rPr>
        <w:t>limites de responsabilité relatives aux retards, aux bagages et aux marchandises</w:t>
      </w:r>
      <w:r w:rsidR="006412AC">
        <w:rPr>
          <w:rFonts w:cs="Times New Roman"/>
          <w:lang w:val="fr-CA"/>
        </w:rPr>
        <w:t> »</w:t>
      </w:r>
      <w:r w:rsidRPr="009061A9">
        <w:rPr>
          <w:rFonts w:cs="Times New Roman"/>
          <w:lang w:val="fr-CA"/>
        </w:rPr>
        <w:t xml:space="preserve">. </w:t>
      </w:r>
    </w:p>
    <w:p w:rsidR="00367456" w:rsidRPr="009061A9" w:rsidRDefault="00367456" w:rsidP="00A12DCE">
      <w:pPr>
        <w:pStyle w:val="ParaNoNdepar-AltN"/>
        <w:widowControl w:val="0"/>
        <w:rPr>
          <w:rFonts w:cs="Times New Roman"/>
          <w:lang w:val="fr-CA"/>
        </w:rPr>
      </w:pPr>
      <w:r w:rsidRPr="009061A9">
        <w:rPr>
          <w:rFonts w:cs="Times New Roman"/>
          <w:lang w:val="fr-CA"/>
        </w:rPr>
        <w:t>L’article 19 reprend en fait la partie introductive de l’</w:t>
      </w:r>
      <w:r>
        <w:rPr>
          <w:rFonts w:cs="Times New Roman"/>
          <w:lang w:val="fr-CA"/>
        </w:rPr>
        <w:t>article</w:t>
      </w:r>
      <w:r w:rsidR="006412AC">
        <w:rPr>
          <w:rFonts w:cs="Times New Roman"/>
          <w:lang w:val="fr-CA"/>
        </w:rPr>
        <w:t xml:space="preserve"> </w:t>
      </w:r>
      <w:r w:rsidRPr="009061A9">
        <w:rPr>
          <w:rFonts w:cs="Times New Roman"/>
          <w:lang w:val="fr-CA"/>
        </w:rPr>
        <w:t>29 (</w:t>
      </w:r>
      <w:r w:rsidR="006412AC">
        <w:rPr>
          <w:rFonts w:cs="Times New Roman"/>
          <w:lang w:val="fr-CA"/>
        </w:rPr>
        <w:t>« </w:t>
      </w:r>
      <w:r w:rsidRPr="004419DA">
        <w:rPr>
          <w:rFonts w:cs="Times New Roman"/>
          <w:lang w:val="fr-CA"/>
        </w:rPr>
        <w:t>[</w:t>
      </w:r>
      <w:r w:rsidRPr="009061A9">
        <w:rPr>
          <w:rFonts w:cs="Times New Roman"/>
          <w:lang w:val="fr-CA"/>
        </w:rPr>
        <w:t>d</w:t>
      </w:r>
      <w:r>
        <w:rPr>
          <w:rFonts w:cs="Times New Roman"/>
          <w:lang w:val="fr-CA"/>
        </w:rPr>
        <w:t>]</w:t>
      </w:r>
      <w:r w:rsidRPr="009061A9">
        <w:rPr>
          <w:rFonts w:cs="Times New Roman"/>
          <w:lang w:val="fr-CA"/>
        </w:rPr>
        <w:t xml:space="preserve">ans le transport de passagers, de bagages </w:t>
      </w:r>
      <w:r>
        <w:rPr>
          <w:rFonts w:cs="Times New Roman"/>
          <w:lang w:val="fr-CA"/>
        </w:rPr>
        <w:t>et</w:t>
      </w:r>
      <w:r w:rsidRPr="009061A9">
        <w:rPr>
          <w:rFonts w:cs="Times New Roman"/>
          <w:lang w:val="fr-CA"/>
        </w:rPr>
        <w:t xml:space="preserve"> de marchandises</w:t>
      </w:r>
      <w:r w:rsidR="006412AC">
        <w:rPr>
          <w:rFonts w:cs="Times New Roman"/>
          <w:lang w:val="fr-CA"/>
        </w:rPr>
        <w:t> »</w:t>
      </w:r>
      <w:r w:rsidRPr="009061A9">
        <w:rPr>
          <w:rFonts w:cs="Times New Roman"/>
          <w:lang w:val="fr-CA"/>
        </w:rPr>
        <w:t>) et les autres dispositions portent sur les même</w:t>
      </w:r>
      <w:r>
        <w:rPr>
          <w:rFonts w:cs="Times New Roman"/>
          <w:lang w:val="fr-CA"/>
        </w:rPr>
        <w:t>s objets</w:t>
      </w:r>
      <w:r w:rsidR="006412AC">
        <w:rPr>
          <w:rFonts w:cs="Times New Roman"/>
          <w:lang w:val="fr-CA"/>
        </w:rPr>
        <w:t> :</w:t>
      </w:r>
      <w:r w:rsidRPr="009061A9">
        <w:rPr>
          <w:rFonts w:cs="Times New Roman"/>
          <w:lang w:val="fr-CA"/>
        </w:rPr>
        <w:t xml:space="preserve"> la mort ou une lésion corporelle subie par un passager, </w:t>
      </w:r>
      <w:r w:rsidRPr="009061A9">
        <w:rPr>
          <w:rFonts w:cs="Times New Roman"/>
          <w:lang w:val="fr-CA"/>
        </w:rPr>
        <w:lastRenderedPageBreak/>
        <w:t>la destruction, la perte ou l’avarie de bagages, la destruction, la perte ou l’avarie de la marchandise, et le retard dans le transport de personnes, de bagages ou de marchandises</w:t>
      </w:r>
      <w:r>
        <w:rPr>
          <w:rFonts w:cs="Times New Roman"/>
          <w:lang w:val="fr-CA"/>
        </w:rPr>
        <w:t xml:space="preserve">.  </w:t>
      </w:r>
      <w:r w:rsidRPr="009061A9">
        <w:rPr>
          <w:rFonts w:cs="Times New Roman"/>
          <w:lang w:val="fr-CA"/>
        </w:rPr>
        <w:t>Le reste de l’</w:t>
      </w:r>
      <w:r>
        <w:rPr>
          <w:rFonts w:cs="Times New Roman"/>
          <w:lang w:val="fr-CA"/>
        </w:rPr>
        <w:t>article</w:t>
      </w:r>
      <w:r w:rsidR="006412AC">
        <w:rPr>
          <w:rFonts w:cs="Times New Roman"/>
          <w:lang w:val="fr-CA"/>
        </w:rPr>
        <w:t xml:space="preserve"> </w:t>
      </w:r>
      <w:r w:rsidRPr="009061A9">
        <w:rPr>
          <w:rFonts w:cs="Times New Roman"/>
          <w:lang w:val="fr-CA"/>
        </w:rPr>
        <w:t>29 (</w:t>
      </w:r>
      <w:r w:rsidR="006412AC">
        <w:rPr>
          <w:rFonts w:cs="Times New Roman"/>
          <w:lang w:val="fr-CA"/>
        </w:rPr>
        <w:t>« </w:t>
      </w:r>
      <w:r w:rsidRPr="009061A9">
        <w:rPr>
          <w:rFonts w:cs="Times New Roman"/>
          <w:lang w:val="fr-CA"/>
        </w:rPr>
        <w:t>toute action en dommages</w:t>
      </w:r>
      <w:r w:rsidR="006412AC">
        <w:rPr>
          <w:rFonts w:cs="Times New Roman"/>
          <w:lang w:val="fr-CA"/>
        </w:rPr>
        <w:t>-</w:t>
      </w:r>
      <w:r w:rsidRPr="009061A9">
        <w:rPr>
          <w:rFonts w:cs="Times New Roman"/>
          <w:lang w:val="fr-CA"/>
        </w:rPr>
        <w:t>intérêts, à quelque titre que ce soit [</w:t>
      </w:r>
      <w:r w:rsidR="00A12DCE">
        <w:rPr>
          <w:rFonts w:cs="Times New Roman"/>
          <w:lang w:val="fr-CA"/>
        </w:rPr>
        <w:t>. . .</w:t>
      </w:r>
      <w:r w:rsidRPr="009061A9">
        <w:rPr>
          <w:rFonts w:cs="Times New Roman"/>
          <w:lang w:val="fr-CA"/>
        </w:rPr>
        <w:t>] ne peut être exercée que dans les conditions et limites de responsabilité prévues par la présente convention</w:t>
      </w:r>
      <w:r w:rsidR="006412AC">
        <w:rPr>
          <w:rFonts w:cs="Times New Roman"/>
          <w:lang w:val="fr-CA"/>
        </w:rPr>
        <w:t> »</w:t>
      </w:r>
      <w:r w:rsidRPr="009061A9">
        <w:rPr>
          <w:rFonts w:cs="Times New Roman"/>
          <w:lang w:val="fr-CA"/>
        </w:rPr>
        <w:t>) ne fait que confirmer</w:t>
      </w:r>
      <w:r>
        <w:rPr>
          <w:rFonts w:cs="Times New Roman"/>
          <w:lang w:val="fr-CA"/>
        </w:rPr>
        <w:t xml:space="preserve"> que le Traité régit à titre exclusif</w:t>
      </w:r>
      <w:r w:rsidRPr="009061A9">
        <w:rPr>
          <w:rFonts w:cs="Times New Roman"/>
          <w:lang w:val="fr-CA"/>
        </w:rPr>
        <w:t xml:space="preserve"> les actions en dommages</w:t>
      </w:r>
      <w:r w:rsidR="006412AC">
        <w:rPr>
          <w:rFonts w:cs="Times New Roman"/>
          <w:lang w:val="fr-CA"/>
        </w:rPr>
        <w:t>-</w:t>
      </w:r>
      <w:r w:rsidRPr="009061A9">
        <w:rPr>
          <w:rFonts w:cs="Times New Roman"/>
          <w:lang w:val="fr-CA"/>
        </w:rPr>
        <w:t>intérêts</w:t>
      </w:r>
      <w:r>
        <w:rPr>
          <w:rFonts w:cs="Times New Roman"/>
          <w:lang w:val="fr-CA"/>
        </w:rPr>
        <w:t xml:space="preserve"> exercées</w:t>
      </w:r>
      <w:r w:rsidRPr="009061A9">
        <w:rPr>
          <w:rFonts w:cs="Times New Roman"/>
          <w:lang w:val="fr-CA"/>
        </w:rPr>
        <w:t xml:space="preserve"> à l’égard de ces objets.</w:t>
      </w:r>
    </w:p>
    <w:p w:rsidR="00367456" w:rsidRPr="009061A9" w:rsidRDefault="00367456" w:rsidP="00A12DCE">
      <w:pPr>
        <w:pStyle w:val="ParaNoNdepar-AltN"/>
        <w:widowControl w:val="0"/>
        <w:rPr>
          <w:rFonts w:cs="Times New Roman"/>
          <w:lang w:val="fr-CA"/>
        </w:rPr>
      </w:pPr>
      <w:r w:rsidRPr="009061A9">
        <w:rPr>
          <w:rFonts w:cs="Times New Roman"/>
          <w:lang w:val="fr-CA"/>
        </w:rPr>
        <w:t xml:space="preserve">Cette interprétation </w:t>
      </w:r>
      <w:r>
        <w:rPr>
          <w:rFonts w:cs="Times New Roman"/>
          <w:lang w:val="fr-CA"/>
        </w:rPr>
        <w:t xml:space="preserve">trouve un appui considérable dans </w:t>
      </w:r>
      <w:r w:rsidRPr="009061A9">
        <w:rPr>
          <w:rFonts w:cs="Times New Roman"/>
          <w:lang w:val="fr-CA"/>
        </w:rPr>
        <w:t xml:space="preserve">le lien entre l’article 29 de la </w:t>
      </w:r>
      <w:r w:rsidRPr="009061A9">
        <w:rPr>
          <w:rFonts w:cs="Times New Roman"/>
          <w:i/>
          <w:lang w:val="fr-CA"/>
        </w:rPr>
        <w:t>Convention de Montréal</w:t>
      </w:r>
      <w:r w:rsidRPr="009061A9">
        <w:rPr>
          <w:rFonts w:cs="Times New Roman"/>
          <w:lang w:val="fr-CA"/>
        </w:rPr>
        <w:t xml:space="preserve"> et la disposition qui</w:t>
      </w:r>
      <w:r>
        <w:rPr>
          <w:rFonts w:cs="Times New Roman"/>
          <w:lang w:val="fr-CA"/>
        </w:rPr>
        <w:t xml:space="preserve"> l’a précédé</w:t>
      </w:r>
      <w:r w:rsidRPr="009061A9">
        <w:rPr>
          <w:rFonts w:cs="Times New Roman"/>
          <w:lang w:val="fr-CA"/>
        </w:rPr>
        <w:t>, l’</w:t>
      </w:r>
      <w:r>
        <w:rPr>
          <w:rFonts w:cs="Times New Roman"/>
          <w:lang w:val="fr-CA"/>
        </w:rPr>
        <w:t>article</w:t>
      </w:r>
      <w:r w:rsidR="006412AC">
        <w:rPr>
          <w:rFonts w:cs="Times New Roman"/>
          <w:lang w:val="fr-CA"/>
        </w:rPr>
        <w:t xml:space="preserve"> </w:t>
      </w:r>
      <w:r w:rsidRPr="009061A9">
        <w:rPr>
          <w:rFonts w:cs="Times New Roman"/>
          <w:lang w:val="fr-CA"/>
        </w:rPr>
        <w:t xml:space="preserve">24 de la </w:t>
      </w:r>
      <w:r w:rsidRPr="009061A9">
        <w:rPr>
          <w:rFonts w:cs="Times New Roman"/>
          <w:i/>
          <w:lang w:val="fr-CA"/>
        </w:rPr>
        <w:t>Convention pour l’unification de certaines règles relatives au transport aérien international</w:t>
      </w:r>
      <w:r w:rsidRPr="009061A9">
        <w:rPr>
          <w:rFonts w:cs="Times New Roman"/>
          <w:lang w:val="fr-CA"/>
        </w:rPr>
        <w:t xml:space="preserve">, signée à Varsovie </w:t>
      </w:r>
      <w:r>
        <w:rPr>
          <w:rFonts w:cs="Times New Roman"/>
          <w:lang w:val="fr-CA"/>
        </w:rPr>
        <w:t>le 12</w:t>
      </w:r>
      <w:r w:rsidR="006412AC">
        <w:rPr>
          <w:rFonts w:cs="Times New Roman"/>
          <w:lang w:val="fr-CA"/>
        </w:rPr>
        <w:t xml:space="preserve"> </w:t>
      </w:r>
      <w:r w:rsidRPr="009061A9">
        <w:rPr>
          <w:rFonts w:cs="Times New Roman"/>
          <w:lang w:val="fr-CA"/>
        </w:rPr>
        <w:t xml:space="preserve">octobre 1929, </w:t>
      </w:r>
      <w:r>
        <w:rPr>
          <w:rFonts w:cs="Times New Roman"/>
          <w:lang w:val="fr-CA"/>
        </w:rPr>
        <w:t xml:space="preserve">modifiée à La Haye en 1955, </w:t>
      </w:r>
      <w:r w:rsidRPr="009061A9">
        <w:rPr>
          <w:rFonts w:cs="Times New Roman"/>
          <w:lang w:val="fr-CA"/>
        </w:rPr>
        <w:t xml:space="preserve">telle qu’elle est </w:t>
      </w:r>
      <w:r>
        <w:rPr>
          <w:rFonts w:cs="Times New Roman"/>
          <w:lang w:val="fr-CA"/>
        </w:rPr>
        <w:t xml:space="preserve">reproduite </w:t>
      </w:r>
      <w:r w:rsidRPr="009061A9">
        <w:rPr>
          <w:rFonts w:cs="Times New Roman"/>
          <w:lang w:val="fr-CA"/>
        </w:rPr>
        <w:t xml:space="preserve">à l’annexe I </w:t>
      </w:r>
      <w:r>
        <w:rPr>
          <w:rFonts w:cs="Times New Roman"/>
          <w:lang w:val="fr-CA"/>
        </w:rPr>
        <w:t>de la</w:t>
      </w:r>
      <w:r w:rsidRPr="009061A9">
        <w:rPr>
          <w:rFonts w:cs="Times New Roman"/>
          <w:lang w:val="fr-CA"/>
        </w:rPr>
        <w:t xml:space="preserve"> </w:t>
      </w:r>
      <w:r w:rsidRPr="009061A9">
        <w:rPr>
          <w:rFonts w:cs="Times New Roman"/>
          <w:i/>
          <w:lang w:val="fr-CA"/>
        </w:rPr>
        <w:t>Loi sur le transport aérien</w:t>
      </w:r>
      <w:r>
        <w:rPr>
          <w:rFonts w:cs="Times New Roman"/>
          <w:i/>
          <w:lang w:val="fr-CA"/>
        </w:rPr>
        <w:t xml:space="preserve"> </w:t>
      </w:r>
      <w:r>
        <w:rPr>
          <w:rFonts w:cs="Times New Roman"/>
          <w:lang w:val="fr-CA"/>
        </w:rPr>
        <w:t xml:space="preserve">(la </w:t>
      </w:r>
      <w:r w:rsidRPr="000D09FB">
        <w:rPr>
          <w:rFonts w:cs="Times New Roman"/>
          <w:i/>
          <w:lang w:val="fr-CA"/>
        </w:rPr>
        <w:t>Convention de Varsovie</w:t>
      </w:r>
      <w:r w:rsidRPr="009061A9">
        <w:rPr>
          <w:rFonts w:cs="Times New Roman"/>
          <w:lang w:val="fr-CA"/>
        </w:rPr>
        <w:t>)</w:t>
      </w:r>
      <w:r>
        <w:rPr>
          <w:rFonts w:cs="Times New Roman"/>
          <w:lang w:val="fr-CA"/>
        </w:rPr>
        <w:t>.  L’article</w:t>
      </w:r>
      <w:r w:rsidR="006412AC">
        <w:rPr>
          <w:rFonts w:cs="Times New Roman"/>
          <w:lang w:val="fr-CA"/>
        </w:rPr>
        <w:t xml:space="preserve"> </w:t>
      </w:r>
      <w:r w:rsidRPr="009061A9">
        <w:rPr>
          <w:rFonts w:cs="Times New Roman"/>
          <w:lang w:val="fr-CA"/>
        </w:rPr>
        <w:t xml:space="preserve">24 </w:t>
      </w:r>
      <w:r>
        <w:rPr>
          <w:rFonts w:cs="Times New Roman"/>
          <w:lang w:val="fr-CA"/>
        </w:rPr>
        <w:t>dispose</w:t>
      </w:r>
      <w:r w:rsidR="006412AC">
        <w:rPr>
          <w:rFonts w:cs="Times New Roman"/>
          <w:lang w:val="fr-CA"/>
        </w:rPr>
        <w:t> :</w:t>
      </w:r>
    </w:p>
    <w:p w:rsidR="00367456" w:rsidRPr="00212BE1" w:rsidRDefault="00367456" w:rsidP="00A12DCE">
      <w:pPr>
        <w:pStyle w:val="Citation-AltC"/>
        <w:widowControl w:val="0"/>
        <w:spacing w:after="240"/>
        <w:ind w:left="1168" w:hanging="1168"/>
        <w:contextualSpacing w:val="0"/>
        <w:jc w:val="center"/>
        <w:rPr>
          <w:i/>
          <w:smallCaps/>
          <w:lang w:val="fr-CA"/>
        </w:rPr>
      </w:pPr>
      <w:r>
        <w:rPr>
          <w:i/>
          <w:lang w:val="fr-CA"/>
        </w:rPr>
        <w:tab/>
      </w:r>
      <w:r w:rsidRPr="00212BE1">
        <w:rPr>
          <w:i/>
          <w:smallCaps/>
          <w:lang w:val="fr-CA"/>
        </w:rPr>
        <w:t>Article 24</w:t>
      </w:r>
    </w:p>
    <w:p w:rsidR="00367456" w:rsidRPr="009061A9" w:rsidRDefault="00367456" w:rsidP="00A12DCE">
      <w:pPr>
        <w:pStyle w:val="Citation-AltC"/>
        <w:widowControl w:val="0"/>
        <w:spacing w:after="240"/>
        <w:ind w:left="1168" w:hanging="1168"/>
        <w:contextualSpacing w:val="0"/>
        <w:rPr>
          <w:lang w:val="fr-CA"/>
        </w:rPr>
      </w:pPr>
      <w:r>
        <w:rPr>
          <w:lang w:val="fr-CA"/>
        </w:rPr>
        <w:tab/>
      </w:r>
      <w:r w:rsidR="008456C5">
        <w:rPr>
          <w:lang w:val="fr-CA"/>
        </w:rPr>
        <w:tab/>
      </w:r>
      <w:r w:rsidRPr="009061A9">
        <w:rPr>
          <w:lang w:val="fr-CA"/>
        </w:rPr>
        <w:t>(1)</w:t>
      </w:r>
      <w:r w:rsidR="006412AC">
        <w:rPr>
          <w:lang w:val="fr-CA"/>
        </w:rPr>
        <w:t xml:space="preserve">  </w:t>
      </w:r>
      <w:r w:rsidRPr="009061A9">
        <w:rPr>
          <w:i/>
          <w:lang w:val="fr-CA"/>
        </w:rPr>
        <w:t>Dans les cas prévus aux articles 18 et 19</w:t>
      </w:r>
      <w:r w:rsidRPr="009061A9">
        <w:rPr>
          <w:lang w:val="fr-CA"/>
        </w:rPr>
        <w:t xml:space="preserve"> toute action en responsabilité, à quelque titre que ce soit, ne peut être exercée que dans les conditions et limites prévues par la présente Convention.</w:t>
      </w:r>
    </w:p>
    <w:p w:rsidR="00367456" w:rsidRPr="009061A9" w:rsidRDefault="00367456" w:rsidP="00A12DCE">
      <w:pPr>
        <w:pStyle w:val="Citation-AltC"/>
        <w:widowControl w:val="0"/>
        <w:ind w:hanging="1166"/>
        <w:rPr>
          <w:lang w:val="fr-CA"/>
        </w:rPr>
      </w:pPr>
      <w:r>
        <w:rPr>
          <w:lang w:val="fr-CA"/>
        </w:rPr>
        <w:tab/>
      </w:r>
      <w:r w:rsidR="008456C5">
        <w:rPr>
          <w:lang w:val="fr-CA"/>
        </w:rPr>
        <w:tab/>
      </w:r>
      <w:r w:rsidRPr="009061A9">
        <w:rPr>
          <w:lang w:val="fr-CA"/>
        </w:rPr>
        <w:t>(2)</w:t>
      </w:r>
      <w:r w:rsidR="006412AC">
        <w:rPr>
          <w:lang w:val="fr-CA"/>
        </w:rPr>
        <w:t xml:space="preserve">  </w:t>
      </w:r>
      <w:r w:rsidRPr="009061A9">
        <w:rPr>
          <w:i/>
          <w:lang w:val="fr-CA"/>
        </w:rPr>
        <w:t>Dans les cas prévus à l’article 17</w:t>
      </w:r>
      <w:r w:rsidRPr="009061A9">
        <w:rPr>
          <w:lang w:val="fr-CA"/>
        </w:rPr>
        <w:t>, s’appliquent également les dispositions de l’alinéa précédent, sans préjudice de la détermination des personnes qui ont le droit d’agir et de leurs droits respectifs</w:t>
      </w:r>
      <w:r>
        <w:rPr>
          <w:lang w:val="fr-CA"/>
        </w:rPr>
        <w:t>.</w:t>
      </w:r>
    </w:p>
    <w:p w:rsidR="00367456" w:rsidRPr="009061A9" w:rsidRDefault="00367456" w:rsidP="00A12DCE">
      <w:pPr>
        <w:pStyle w:val="ParaNoNdepar-AltN"/>
        <w:widowControl w:val="0"/>
        <w:rPr>
          <w:rFonts w:cs="Times New Roman"/>
          <w:lang w:val="fr-CA"/>
        </w:rPr>
      </w:pPr>
      <w:r w:rsidRPr="009061A9">
        <w:rPr>
          <w:rFonts w:cs="Times New Roman"/>
          <w:lang w:val="fr-CA"/>
        </w:rPr>
        <w:t xml:space="preserve">L’article 24 de la </w:t>
      </w:r>
      <w:r w:rsidRPr="009061A9">
        <w:rPr>
          <w:rFonts w:cs="Times New Roman"/>
          <w:i/>
          <w:lang w:val="fr-CA"/>
        </w:rPr>
        <w:t>Convention de Varsovie</w:t>
      </w:r>
      <w:r w:rsidRPr="009061A9">
        <w:rPr>
          <w:rFonts w:cs="Times New Roman"/>
          <w:lang w:val="fr-CA"/>
        </w:rPr>
        <w:t xml:space="preserve"> limite clairement l</w:t>
      </w:r>
      <w:r>
        <w:rPr>
          <w:rFonts w:cs="Times New Roman"/>
          <w:lang w:val="fr-CA"/>
        </w:rPr>
        <w:t xml:space="preserve">a portée du membre de </w:t>
      </w:r>
      <w:r w:rsidRPr="009061A9">
        <w:rPr>
          <w:rFonts w:cs="Times New Roman"/>
          <w:lang w:val="fr-CA"/>
        </w:rPr>
        <w:t xml:space="preserve">phrase </w:t>
      </w:r>
      <w:r w:rsidR="006412AC">
        <w:rPr>
          <w:rFonts w:cs="Times New Roman"/>
          <w:lang w:val="fr-CA"/>
        </w:rPr>
        <w:t>« </w:t>
      </w:r>
      <w:r w:rsidRPr="009061A9">
        <w:rPr>
          <w:rFonts w:cs="Times New Roman"/>
          <w:lang w:val="fr-CA"/>
        </w:rPr>
        <w:t>toute action en responsabilité, à quelque titre que ce soit</w:t>
      </w:r>
      <w:r w:rsidR="006412AC">
        <w:rPr>
          <w:rFonts w:cs="Times New Roman"/>
          <w:lang w:val="fr-CA"/>
        </w:rPr>
        <w:t> »</w:t>
      </w:r>
      <w:r w:rsidRPr="009061A9">
        <w:rPr>
          <w:rFonts w:cs="Times New Roman"/>
          <w:lang w:val="fr-CA"/>
        </w:rPr>
        <w:t xml:space="preserve"> aux </w:t>
      </w:r>
      <w:r w:rsidR="006412AC">
        <w:rPr>
          <w:rFonts w:cs="Times New Roman"/>
          <w:lang w:val="fr-CA"/>
        </w:rPr>
        <w:t>« </w:t>
      </w:r>
      <w:r w:rsidRPr="00B826F0">
        <w:rPr>
          <w:rFonts w:cs="Times New Roman"/>
          <w:lang w:val="fr-CA"/>
        </w:rPr>
        <w:t>cas prévus aux</w:t>
      </w:r>
      <w:r w:rsidR="006412AC">
        <w:rPr>
          <w:rFonts w:cs="Times New Roman"/>
          <w:lang w:val="fr-CA"/>
        </w:rPr>
        <w:t> »</w:t>
      </w:r>
      <w:r w:rsidRPr="009061A9">
        <w:rPr>
          <w:rFonts w:cs="Times New Roman"/>
          <w:lang w:val="fr-CA"/>
        </w:rPr>
        <w:t xml:space="preserve"> articles 17, 18 et 19</w:t>
      </w:r>
      <w:r>
        <w:rPr>
          <w:rFonts w:cs="Times New Roman"/>
          <w:lang w:val="fr-CA"/>
        </w:rPr>
        <w:t xml:space="preserve">.  </w:t>
      </w:r>
      <w:r w:rsidRPr="009061A9">
        <w:rPr>
          <w:rFonts w:cs="Times New Roman"/>
          <w:lang w:val="fr-CA"/>
        </w:rPr>
        <w:t xml:space="preserve">Ces articles énoncent les conditions de </w:t>
      </w:r>
      <w:r w:rsidRPr="009061A9">
        <w:rPr>
          <w:rFonts w:cs="Times New Roman"/>
          <w:lang w:val="fr-CA"/>
        </w:rPr>
        <w:lastRenderedPageBreak/>
        <w:t>responsabilité en cas de lésion corporelle subie par un voyageur, d’avarie de bagages ou de marchandises et de dommage résultant d’un retard</w:t>
      </w:r>
      <w:r>
        <w:rPr>
          <w:rFonts w:cs="Times New Roman"/>
          <w:lang w:val="fr-CA"/>
        </w:rPr>
        <w:t xml:space="preserve">.  </w:t>
      </w:r>
      <w:r w:rsidRPr="009061A9">
        <w:rPr>
          <w:rFonts w:cs="Times New Roman"/>
          <w:lang w:val="fr-CA"/>
        </w:rPr>
        <w:t>Le libellé de</w:t>
      </w:r>
      <w:r>
        <w:rPr>
          <w:rFonts w:cs="Times New Roman"/>
          <w:lang w:val="fr-CA"/>
        </w:rPr>
        <w:t xml:space="preserve"> ces dispositions de </w:t>
      </w:r>
      <w:r w:rsidRPr="009061A9">
        <w:rPr>
          <w:rFonts w:cs="Times New Roman"/>
          <w:lang w:val="fr-CA"/>
        </w:rPr>
        <w:t xml:space="preserve">la </w:t>
      </w:r>
      <w:r w:rsidRPr="009061A9">
        <w:rPr>
          <w:rFonts w:cs="Times New Roman"/>
          <w:i/>
          <w:lang w:val="fr-CA"/>
        </w:rPr>
        <w:t>Convention de Varsovie</w:t>
      </w:r>
      <w:r w:rsidRPr="009061A9">
        <w:rPr>
          <w:rFonts w:cs="Times New Roman"/>
          <w:lang w:val="fr-CA"/>
        </w:rPr>
        <w:t xml:space="preserve"> est presque identique</w:t>
      </w:r>
      <w:r>
        <w:rPr>
          <w:rFonts w:cs="Times New Roman"/>
          <w:lang w:val="fr-CA"/>
        </w:rPr>
        <w:t xml:space="preserve"> à celui </w:t>
      </w:r>
      <w:r w:rsidRPr="009061A9">
        <w:rPr>
          <w:rFonts w:cs="Times New Roman"/>
          <w:lang w:val="fr-CA"/>
        </w:rPr>
        <w:t xml:space="preserve">des </w:t>
      </w:r>
      <w:r>
        <w:rPr>
          <w:rFonts w:cs="Times New Roman"/>
          <w:lang w:val="fr-CA"/>
        </w:rPr>
        <w:t>articles</w:t>
      </w:r>
      <w:r w:rsidR="006412AC">
        <w:rPr>
          <w:rFonts w:cs="Times New Roman"/>
          <w:lang w:val="fr-CA"/>
        </w:rPr>
        <w:t xml:space="preserve"> </w:t>
      </w:r>
      <w:r w:rsidRPr="009061A9">
        <w:rPr>
          <w:rFonts w:cs="Times New Roman"/>
          <w:lang w:val="fr-CA"/>
        </w:rPr>
        <w:t xml:space="preserve">17, 18 et 19 de la </w:t>
      </w:r>
      <w:r w:rsidRPr="009061A9">
        <w:rPr>
          <w:rFonts w:cs="Times New Roman"/>
          <w:i/>
          <w:lang w:val="fr-CA"/>
        </w:rPr>
        <w:t>Convention de Montré</w:t>
      </w:r>
      <w:r>
        <w:rPr>
          <w:rFonts w:cs="Times New Roman"/>
          <w:i/>
          <w:lang w:val="fr-CA"/>
        </w:rPr>
        <w:t>al</w:t>
      </w:r>
      <w:r w:rsidRPr="008456C5">
        <w:rPr>
          <w:rFonts w:cs="Times New Roman"/>
          <w:lang w:val="fr-CA"/>
        </w:rPr>
        <w:t>.</w:t>
      </w:r>
      <w:r w:rsidR="006412AC">
        <w:rPr>
          <w:rFonts w:cs="Times New Roman"/>
          <w:i/>
          <w:lang w:val="fr-CA"/>
        </w:rPr>
        <w:t xml:space="preserve"> </w:t>
      </w:r>
    </w:p>
    <w:p w:rsidR="00367456" w:rsidRPr="009061A9" w:rsidRDefault="00367456" w:rsidP="00A12DCE">
      <w:pPr>
        <w:pStyle w:val="ParaNoNdepar-AltN"/>
        <w:widowControl w:val="0"/>
        <w:rPr>
          <w:rFonts w:cs="Times New Roman"/>
          <w:lang w:val="fr-CA" w:eastAsia="en-CA"/>
        </w:rPr>
      </w:pPr>
      <w:r w:rsidRPr="009061A9">
        <w:rPr>
          <w:rFonts w:cs="Times New Roman"/>
          <w:lang w:val="fr-CA"/>
        </w:rPr>
        <w:t>De fait, la seule véritable différence entre le libellé de l’article</w:t>
      </w:r>
      <w:r w:rsidR="006412AC">
        <w:rPr>
          <w:rFonts w:cs="Times New Roman"/>
          <w:lang w:val="fr-CA"/>
        </w:rPr>
        <w:t xml:space="preserve"> </w:t>
      </w:r>
      <w:r w:rsidRPr="009061A9">
        <w:rPr>
          <w:rFonts w:cs="Times New Roman"/>
          <w:lang w:val="fr-CA"/>
        </w:rPr>
        <w:t xml:space="preserve">24 de la </w:t>
      </w:r>
      <w:r w:rsidRPr="009061A9">
        <w:rPr>
          <w:rFonts w:cs="Times New Roman"/>
          <w:i/>
          <w:lang w:val="fr-CA"/>
        </w:rPr>
        <w:t>Convention de Varsovie</w:t>
      </w:r>
      <w:r w:rsidRPr="009061A9">
        <w:rPr>
          <w:rFonts w:cs="Times New Roman"/>
          <w:lang w:val="fr-CA"/>
        </w:rPr>
        <w:t xml:space="preserve"> et celui de l’article</w:t>
      </w:r>
      <w:r w:rsidR="006412AC">
        <w:rPr>
          <w:rFonts w:cs="Times New Roman"/>
          <w:lang w:val="fr-CA"/>
        </w:rPr>
        <w:t xml:space="preserve"> </w:t>
      </w:r>
      <w:r w:rsidRPr="009061A9">
        <w:rPr>
          <w:rFonts w:cs="Times New Roman"/>
          <w:lang w:val="fr-CA"/>
        </w:rPr>
        <w:t xml:space="preserve">29 de la </w:t>
      </w:r>
      <w:r w:rsidRPr="009061A9">
        <w:rPr>
          <w:rFonts w:cs="Times New Roman"/>
          <w:i/>
          <w:lang w:val="fr-CA"/>
        </w:rPr>
        <w:t>Convention de Montréal</w:t>
      </w:r>
      <w:r w:rsidRPr="009061A9">
        <w:rPr>
          <w:rFonts w:cs="Times New Roman"/>
          <w:lang w:val="fr-CA"/>
        </w:rPr>
        <w:t xml:space="preserve"> est que les mots de l’article</w:t>
      </w:r>
      <w:r w:rsidR="006412AC">
        <w:rPr>
          <w:rFonts w:cs="Times New Roman"/>
          <w:lang w:val="fr-CA"/>
        </w:rPr>
        <w:t xml:space="preserve"> </w:t>
      </w:r>
      <w:r w:rsidRPr="009061A9">
        <w:rPr>
          <w:rFonts w:cs="Times New Roman"/>
          <w:lang w:val="fr-CA"/>
        </w:rPr>
        <w:t>24</w:t>
      </w:r>
      <w:r>
        <w:rPr>
          <w:rFonts w:cs="Times New Roman"/>
          <w:lang w:val="fr-CA"/>
        </w:rPr>
        <w:t xml:space="preserve"> </w:t>
      </w:r>
      <w:r w:rsidRPr="009061A9">
        <w:rPr>
          <w:rFonts w:cs="Times New Roman"/>
          <w:lang w:val="fr-CA"/>
        </w:rPr>
        <w:t>précisant que les actions en dommages</w:t>
      </w:r>
      <w:r w:rsidR="006412AC">
        <w:rPr>
          <w:rFonts w:cs="Times New Roman"/>
          <w:lang w:val="fr-CA"/>
        </w:rPr>
        <w:t>-</w:t>
      </w:r>
      <w:r w:rsidRPr="009061A9">
        <w:rPr>
          <w:rFonts w:cs="Times New Roman"/>
          <w:lang w:val="fr-CA"/>
        </w:rPr>
        <w:t>intérêts se rapportent aux cas visés par les articles</w:t>
      </w:r>
      <w:r w:rsidR="006412AC">
        <w:rPr>
          <w:rFonts w:cs="Times New Roman"/>
          <w:lang w:val="fr-CA"/>
        </w:rPr>
        <w:t xml:space="preserve"> </w:t>
      </w:r>
      <w:r w:rsidRPr="009061A9">
        <w:rPr>
          <w:rFonts w:cs="Times New Roman"/>
          <w:lang w:val="fr-CA"/>
        </w:rPr>
        <w:t>17, 18 et 19 ne se retrouvent pas à l’a</w:t>
      </w:r>
      <w:r>
        <w:rPr>
          <w:rFonts w:cs="Times New Roman"/>
          <w:lang w:val="fr-CA"/>
        </w:rPr>
        <w:t>rticle</w:t>
      </w:r>
      <w:r w:rsidR="006412AC">
        <w:rPr>
          <w:rFonts w:cs="Times New Roman"/>
          <w:lang w:val="fr-CA"/>
        </w:rPr>
        <w:t xml:space="preserve"> </w:t>
      </w:r>
      <w:r w:rsidRPr="009061A9">
        <w:rPr>
          <w:rFonts w:cs="Times New Roman"/>
          <w:lang w:val="fr-CA"/>
        </w:rPr>
        <w:t>29</w:t>
      </w:r>
      <w:r>
        <w:rPr>
          <w:rFonts w:cs="Times New Roman"/>
          <w:lang w:val="fr-CA"/>
        </w:rPr>
        <w:t>.  C</w:t>
      </w:r>
      <w:r w:rsidRPr="009061A9">
        <w:rPr>
          <w:rFonts w:cs="Times New Roman"/>
          <w:lang w:val="fr-CA"/>
        </w:rPr>
        <w:t>ette différence ne</w:t>
      </w:r>
      <w:r>
        <w:rPr>
          <w:rFonts w:cs="Times New Roman"/>
          <w:lang w:val="fr-CA"/>
        </w:rPr>
        <w:t xml:space="preserve"> me semble pas particulièrement significative</w:t>
      </w:r>
      <w:r w:rsidRPr="009061A9">
        <w:rPr>
          <w:rFonts w:cs="Times New Roman"/>
          <w:lang w:val="fr-CA"/>
        </w:rPr>
        <w:t>, et ce pour deux raisons.</w:t>
      </w:r>
    </w:p>
    <w:p w:rsidR="00367456" w:rsidRPr="009061A9" w:rsidRDefault="00367456" w:rsidP="00A12DCE">
      <w:pPr>
        <w:pStyle w:val="ParaNoNdepar-AltN"/>
        <w:widowControl w:val="0"/>
        <w:rPr>
          <w:rFonts w:cs="Times New Roman"/>
          <w:lang w:val="fr-CA" w:eastAsia="en-CA"/>
        </w:rPr>
      </w:pPr>
      <w:r w:rsidRPr="009061A9">
        <w:rPr>
          <w:rFonts w:cs="Times New Roman"/>
          <w:lang w:val="fr-CA"/>
        </w:rPr>
        <w:t>Premièrement, la Cour suprême des États</w:t>
      </w:r>
      <w:r w:rsidR="006412AC">
        <w:rPr>
          <w:rFonts w:cs="Times New Roman"/>
          <w:lang w:val="fr-CA"/>
        </w:rPr>
        <w:t>-</w:t>
      </w:r>
      <w:r w:rsidRPr="009061A9">
        <w:rPr>
          <w:rFonts w:cs="Times New Roman"/>
          <w:lang w:val="fr-CA"/>
        </w:rPr>
        <w:t xml:space="preserve">Unis a examiné cette différence de formulation dans l’arrêt </w:t>
      </w:r>
      <w:r>
        <w:rPr>
          <w:rFonts w:cs="Times New Roman"/>
          <w:i/>
          <w:lang w:val="fr-CA"/>
        </w:rPr>
        <w:t xml:space="preserve">El Al </w:t>
      </w:r>
      <w:proofErr w:type="spellStart"/>
      <w:r>
        <w:rPr>
          <w:rFonts w:cs="Times New Roman"/>
          <w:i/>
          <w:lang w:val="fr-CA"/>
        </w:rPr>
        <w:t>Israel</w:t>
      </w:r>
      <w:proofErr w:type="spellEnd"/>
      <w:r>
        <w:rPr>
          <w:rFonts w:cs="Times New Roman"/>
          <w:i/>
          <w:lang w:val="fr-CA"/>
        </w:rPr>
        <w:t xml:space="preserve"> Airlines, Ltd. c. </w:t>
      </w:r>
      <w:proofErr w:type="spellStart"/>
      <w:r>
        <w:rPr>
          <w:rFonts w:cs="Times New Roman"/>
          <w:i/>
          <w:lang w:val="fr-CA"/>
        </w:rPr>
        <w:t>Tsui</w:t>
      </w:r>
      <w:proofErr w:type="spellEnd"/>
      <w:r>
        <w:rPr>
          <w:rFonts w:cs="Times New Roman"/>
          <w:i/>
          <w:lang w:val="fr-CA"/>
        </w:rPr>
        <w:t xml:space="preserve"> Yuan </w:t>
      </w:r>
      <w:proofErr w:type="spellStart"/>
      <w:r w:rsidRPr="009061A9">
        <w:rPr>
          <w:rFonts w:cs="Times New Roman"/>
          <w:i/>
          <w:lang w:val="fr-CA"/>
        </w:rPr>
        <w:t>Tseng</w:t>
      </w:r>
      <w:proofErr w:type="spellEnd"/>
      <w:r>
        <w:rPr>
          <w:rFonts w:cs="Times New Roman"/>
          <w:lang w:val="fr-CA"/>
        </w:rPr>
        <w:t xml:space="preserve">, 525 U.S. 155 (1999).  </w:t>
      </w:r>
      <w:r>
        <w:rPr>
          <w:rFonts w:cs="Times New Roman"/>
          <w:lang w:val="fr-CA" w:eastAsia="en-CA"/>
        </w:rPr>
        <w:t xml:space="preserve">S’exprimant </w:t>
      </w:r>
      <w:r w:rsidRPr="009061A9">
        <w:rPr>
          <w:rFonts w:cs="Times New Roman"/>
          <w:lang w:val="fr-CA" w:eastAsia="en-CA"/>
        </w:rPr>
        <w:t>au</w:t>
      </w:r>
      <w:r w:rsidR="009331E9">
        <w:rPr>
          <w:rFonts w:cs="Times New Roman"/>
          <w:lang w:val="fr-CA" w:eastAsia="en-CA"/>
        </w:rPr>
        <w:t xml:space="preserve"> nom de huit juges de la c</w:t>
      </w:r>
      <w:r w:rsidRPr="009061A9">
        <w:rPr>
          <w:rFonts w:cs="Times New Roman"/>
          <w:lang w:val="fr-CA" w:eastAsia="en-CA"/>
        </w:rPr>
        <w:t xml:space="preserve">our, </w:t>
      </w:r>
      <w:r>
        <w:rPr>
          <w:rFonts w:cs="Times New Roman"/>
          <w:lang w:val="fr-CA" w:eastAsia="en-CA"/>
        </w:rPr>
        <w:t>la</w:t>
      </w:r>
      <w:r w:rsidRPr="009061A9">
        <w:rPr>
          <w:rFonts w:cs="Times New Roman"/>
          <w:lang w:val="fr-CA" w:eastAsia="en-CA"/>
        </w:rPr>
        <w:t xml:space="preserve"> juge </w:t>
      </w:r>
      <w:proofErr w:type="spellStart"/>
      <w:r w:rsidRPr="009061A9">
        <w:rPr>
          <w:rFonts w:cs="Times New Roman"/>
          <w:lang w:val="fr-CA" w:eastAsia="en-CA"/>
        </w:rPr>
        <w:t>Ginsburg</w:t>
      </w:r>
      <w:proofErr w:type="spellEnd"/>
      <w:r w:rsidRPr="009061A9">
        <w:rPr>
          <w:rFonts w:cs="Times New Roman"/>
          <w:lang w:val="fr-CA" w:eastAsia="en-CA"/>
        </w:rPr>
        <w:t xml:space="preserve"> a conclu que le remplacement des mots </w:t>
      </w:r>
      <w:r w:rsidR="006412AC">
        <w:rPr>
          <w:rFonts w:cs="Times New Roman"/>
          <w:lang w:val="fr-CA" w:eastAsia="en-CA"/>
        </w:rPr>
        <w:t>« </w:t>
      </w:r>
      <w:r w:rsidRPr="009061A9">
        <w:rPr>
          <w:rFonts w:cs="Times New Roman"/>
          <w:lang w:val="fr-CA" w:eastAsia="en-CA"/>
        </w:rPr>
        <w:t>[d]ans les cas prévus aux</w:t>
      </w:r>
      <w:r w:rsidR="006412AC">
        <w:rPr>
          <w:rFonts w:cs="Times New Roman"/>
          <w:lang w:val="fr-CA" w:eastAsia="en-CA"/>
        </w:rPr>
        <w:t> »</w:t>
      </w:r>
      <w:r w:rsidRPr="009061A9">
        <w:rPr>
          <w:rFonts w:cs="Times New Roman"/>
          <w:lang w:val="fr-CA" w:eastAsia="en-CA"/>
        </w:rPr>
        <w:t xml:space="preserve"> par les mots </w:t>
      </w:r>
      <w:r w:rsidR="006412AC">
        <w:rPr>
          <w:rFonts w:cs="Times New Roman"/>
          <w:lang w:val="fr-CA" w:eastAsia="en-CA"/>
        </w:rPr>
        <w:t>« </w:t>
      </w:r>
      <w:r w:rsidRPr="009061A9">
        <w:rPr>
          <w:rFonts w:cs="Times New Roman"/>
          <w:lang w:val="fr-CA" w:eastAsia="en-CA"/>
        </w:rPr>
        <w:t>[d]ans le transport de passagers</w:t>
      </w:r>
      <w:r>
        <w:rPr>
          <w:rFonts w:cs="Times New Roman"/>
          <w:lang w:val="fr-CA" w:eastAsia="en-CA"/>
        </w:rPr>
        <w:t xml:space="preserve"> et</w:t>
      </w:r>
      <w:r w:rsidRPr="009061A9">
        <w:rPr>
          <w:rFonts w:cs="Times New Roman"/>
          <w:lang w:val="fr-CA" w:eastAsia="en-CA"/>
        </w:rPr>
        <w:t xml:space="preserve"> de bagages</w:t>
      </w:r>
      <w:r w:rsidR="006412AC">
        <w:rPr>
          <w:rFonts w:cs="Times New Roman"/>
          <w:lang w:val="fr-CA" w:eastAsia="en-CA"/>
        </w:rPr>
        <w:t> »</w:t>
      </w:r>
      <w:r w:rsidRPr="009061A9">
        <w:rPr>
          <w:rFonts w:cs="Times New Roman"/>
          <w:lang w:val="fr-CA" w:eastAsia="en-CA"/>
        </w:rPr>
        <w:t xml:space="preserve"> [</w:t>
      </w:r>
      <w:r w:rsidRPr="009061A9">
        <w:rPr>
          <w:rFonts w:cs="Times New Roman"/>
          <w:smallCaps/>
          <w:lang w:val="fr-CA" w:eastAsia="en-CA"/>
        </w:rPr>
        <w:t>traduction</w:t>
      </w:r>
      <w:r w:rsidRPr="009061A9">
        <w:rPr>
          <w:rFonts w:cs="Times New Roman"/>
          <w:lang w:val="fr-CA" w:eastAsia="en-CA"/>
        </w:rPr>
        <w:t xml:space="preserve">] </w:t>
      </w:r>
      <w:r w:rsidR="006412AC">
        <w:rPr>
          <w:rFonts w:cs="Times New Roman"/>
          <w:lang w:val="fr-CA" w:eastAsia="en-CA"/>
        </w:rPr>
        <w:t>« </w:t>
      </w:r>
      <w:r>
        <w:rPr>
          <w:rFonts w:cs="Times New Roman"/>
          <w:lang w:val="fr-CA" w:eastAsia="en-CA"/>
        </w:rPr>
        <w:t>ne fait que clarifier</w:t>
      </w:r>
      <w:r w:rsidR="006412AC">
        <w:rPr>
          <w:rFonts w:cs="Times New Roman"/>
          <w:lang w:val="fr-CA" w:eastAsia="en-CA"/>
        </w:rPr>
        <w:t> »</w:t>
      </w:r>
      <w:r>
        <w:rPr>
          <w:rFonts w:cs="Times New Roman"/>
          <w:lang w:val="fr-CA" w:eastAsia="en-CA"/>
        </w:rPr>
        <w:t xml:space="preserve"> plutôt que modifier</w:t>
      </w:r>
      <w:r w:rsidRPr="009061A9">
        <w:rPr>
          <w:rFonts w:cs="Times New Roman"/>
          <w:lang w:val="fr-CA" w:eastAsia="en-CA"/>
        </w:rPr>
        <w:t xml:space="preserve"> </w:t>
      </w:r>
      <w:r>
        <w:rPr>
          <w:rFonts w:cs="Times New Roman"/>
          <w:lang w:val="fr-CA" w:eastAsia="en-CA"/>
        </w:rPr>
        <w:t xml:space="preserve">la portée du caractère exclusif </w:t>
      </w:r>
      <w:r w:rsidRPr="009061A9">
        <w:rPr>
          <w:rFonts w:cs="Times New Roman"/>
          <w:lang w:val="fr-CA" w:eastAsia="en-CA"/>
        </w:rPr>
        <w:t>de la disposition (</w:t>
      </w:r>
      <w:r>
        <w:rPr>
          <w:rFonts w:cs="Times New Roman"/>
          <w:lang w:val="fr-CA" w:eastAsia="en-CA"/>
        </w:rPr>
        <w:t>p.</w:t>
      </w:r>
      <w:r w:rsidR="006412AC">
        <w:rPr>
          <w:rFonts w:cs="Times New Roman"/>
          <w:lang w:val="fr-CA" w:eastAsia="en-CA"/>
        </w:rPr>
        <w:t xml:space="preserve"> </w:t>
      </w:r>
      <w:r w:rsidRPr="009061A9">
        <w:rPr>
          <w:rFonts w:cs="Times New Roman"/>
          <w:lang w:val="fr-CA" w:eastAsia="en-CA"/>
        </w:rPr>
        <w:t>175).</w:t>
      </w:r>
    </w:p>
    <w:p w:rsidR="00367456" w:rsidRPr="009061A9" w:rsidRDefault="00367456" w:rsidP="00A12DCE">
      <w:pPr>
        <w:pStyle w:val="ParaNoNdepar-AltN"/>
        <w:widowControl w:val="0"/>
        <w:rPr>
          <w:rFonts w:cs="Times New Roman"/>
          <w:lang w:val="fr-CA" w:eastAsia="en-CA"/>
        </w:rPr>
      </w:pPr>
      <w:r w:rsidRPr="009061A9">
        <w:rPr>
          <w:rFonts w:cs="Times New Roman"/>
          <w:lang w:val="fr-CA"/>
        </w:rPr>
        <w:t xml:space="preserve">Deuxièmement, </w:t>
      </w:r>
      <w:r>
        <w:rPr>
          <w:rFonts w:cs="Times New Roman"/>
          <w:lang w:val="fr-CA"/>
        </w:rPr>
        <w:t xml:space="preserve">considérer que </w:t>
      </w:r>
      <w:r w:rsidRPr="009061A9">
        <w:rPr>
          <w:rFonts w:cs="Times New Roman"/>
          <w:lang w:val="fr-CA"/>
        </w:rPr>
        <w:t xml:space="preserve">ce changement de formulation </w:t>
      </w:r>
      <w:r>
        <w:rPr>
          <w:rFonts w:cs="Times New Roman"/>
          <w:lang w:val="fr-CA"/>
        </w:rPr>
        <w:t>témoigne de l’</w:t>
      </w:r>
      <w:r w:rsidRPr="009061A9">
        <w:rPr>
          <w:rFonts w:cs="Times New Roman"/>
          <w:lang w:val="fr-CA"/>
        </w:rPr>
        <w:t>intention d’étendre la protection accordée aux transporteurs</w:t>
      </w:r>
      <w:r>
        <w:rPr>
          <w:rFonts w:cs="Times New Roman"/>
          <w:lang w:val="fr-CA"/>
        </w:rPr>
        <w:t xml:space="preserve"> aériens</w:t>
      </w:r>
      <w:r w:rsidRPr="009061A9">
        <w:rPr>
          <w:rFonts w:cs="Times New Roman"/>
          <w:lang w:val="fr-CA"/>
        </w:rPr>
        <w:t xml:space="preserve"> au</w:t>
      </w:r>
      <w:r w:rsidR="006412AC">
        <w:rPr>
          <w:rFonts w:cs="Times New Roman"/>
          <w:lang w:val="fr-CA"/>
        </w:rPr>
        <w:t>-</w:t>
      </w:r>
      <w:r w:rsidRPr="009061A9">
        <w:rPr>
          <w:rFonts w:cs="Times New Roman"/>
          <w:lang w:val="fr-CA"/>
        </w:rPr>
        <w:t>delà des actions visées par les a</w:t>
      </w:r>
      <w:r>
        <w:rPr>
          <w:rFonts w:cs="Times New Roman"/>
          <w:lang w:val="fr-CA"/>
        </w:rPr>
        <w:t>rticles</w:t>
      </w:r>
      <w:r w:rsidR="006412AC">
        <w:rPr>
          <w:rFonts w:cs="Times New Roman"/>
          <w:lang w:val="fr-CA"/>
        </w:rPr>
        <w:t xml:space="preserve"> </w:t>
      </w:r>
      <w:r w:rsidRPr="009061A9">
        <w:rPr>
          <w:rFonts w:cs="Times New Roman"/>
          <w:lang w:val="fr-CA"/>
        </w:rPr>
        <w:t xml:space="preserve">17, 18 et 19 contredit la réalité historique, à savoir que la </w:t>
      </w:r>
      <w:r w:rsidRPr="009061A9">
        <w:rPr>
          <w:rFonts w:cs="Times New Roman"/>
          <w:i/>
          <w:lang w:val="fr-CA"/>
        </w:rPr>
        <w:t>Convention de Montréal</w:t>
      </w:r>
      <w:r w:rsidRPr="009061A9">
        <w:rPr>
          <w:rFonts w:cs="Times New Roman"/>
          <w:lang w:val="fr-CA"/>
        </w:rPr>
        <w:t xml:space="preserve"> était l</w:t>
      </w:r>
      <w:r>
        <w:rPr>
          <w:rFonts w:cs="Times New Roman"/>
          <w:lang w:val="fr-CA"/>
        </w:rPr>
        <w:t xml:space="preserve">’aboutissement d’efforts déployés pendant </w:t>
      </w:r>
      <w:r w:rsidRPr="009061A9">
        <w:rPr>
          <w:rFonts w:cs="Times New Roman"/>
          <w:lang w:val="fr-CA"/>
        </w:rPr>
        <w:t>plusieurs décennies en vue d’accroître la protection des consommateurs et non pas de la limiter.</w:t>
      </w:r>
      <w:r w:rsidRPr="009061A9">
        <w:rPr>
          <w:rFonts w:cs="Times New Roman"/>
          <w:lang w:val="fr-CA" w:eastAsia="en-CA"/>
        </w:rPr>
        <w:t xml:space="preserve"> </w:t>
      </w:r>
    </w:p>
    <w:p w:rsidR="00367456" w:rsidRPr="004659D2" w:rsidRDefault="00367456" w:rsidP="00A12DCE">
      <w:pPr>
        <w:pStyle w:val="ParaNoNdepar-AltN"/>
        <w:widowControl w:val="0"/>
        <w:rPr>
          <w:rFonts w:cs="Times New Roman"/>
          <w:lang w:val="fr-CA" w:eastAsia="en-CA"/>
        </w:rPr>
      </w:pPr>
      <w:r w:rsidRPr="009061A9">
        <w:rPr>
          <w:rFonts w:cs="Times New Roman"/>
          <w:lang w:val="fr-CA"/>
        </w:rPr>
        <w:lastRenderedPageBreak/>
        <w:t xml:space="preserve">La </w:t>
      </w:r>
      <w:r w:rsidRPr="009061A9">
        <w:rPr>
          <w:rFonts w:cs="Times New Roman"/>
          <w:i/>
          <w:lang w:val="fr-CA"/>
        </w:rPr>
        <w:t>Convention de Varsovie</w:t>
      </w:r>
      <w:r w:rsidRPr="009061A9">
        <w:rPr>
          <w:rFonts w:cs="Times New Roman"/>
          <w:lang w:val="fr-CA"/>
        </w:rPr>
        <w:t xml:space="preserve"> qui l’a précédée a vu le jour en 1929 pour aider </w:t>
      </w:r>
      <w:r>
        <w:rPr>
          <w:rFonts w:cs="Times New Roman"/>
          <w:lang w:val="fr-CA"/>
        </w:rPr>
        <w:t>l’industrie</w:t>
      </w:r>
      <w:r w:rsidRPr="009061A9">
        <w:rPr>
          <w:rFonts w:cs="Times New Roman"/>
          <w:lang w:val="fr-CA"/>
        </w:rPr>
        <w:t xml:space="preserve"> naissante </w:t>
      </w:r>
      <w:r>
        <w:rPr>
          <w:rFonts w:cs="Times New Roman"/>
          <w:lang w:val="fr-CA"/>
        </w:rPr>
        <w:t xml:space="preserve">du transport aérien </w:t>
      </w:r>
      <w:r w:rsidRPr="009061A9">
        <w:rPr>
          <w:rFonts w:cs="Times New Roman"/>
          <w:lang w:val="fr-CA"/>
        </w:rPr>
        <w:t>à prendre son en</w:t>
      </w:r>
      <w:r>
        <w:rPr>
          <w:rFonts w:cs="Times New Roman"/>
          <w:lang w:val="fr-CA"/>
        </w:rPr>
        <w:t xml:space="preserve">vol.  </w:t>
      </w:r>
      <w:r w:rsidRPr="009061A9">
        <w:rPr>
          <w:rFonts w:cs="Times New Roman"/>
          <w:lang w:val="fr-CA"/>
        </w:rPr>
        <w:t>À l’époque, la technologie de l’aviation en était à ses</w:t>
      </w:r>
      <w:r>
        <w:rPr>
          <w:rFonts w:cs="Times New Roman"/>
          <w:lang w:val="fr-CA"/>
        </w:rPr>
        <w:t xml:space="preserve"> débuts.  </w:t>
      </w:r>
      <w:r w:rsidRPr="009061A9">
        <w:rPr>
          <w:rFonts w:cs="Times New Roman"/>
          <w:lang w:val="fr-CA"/>
        </w:rPr>
        <w:t xml:space="preserve">Les accidents étaient </w:t>
      </w:r>
      <w:r>
        <w:rPr>
          <w:rFonts w:cs="Times New Roman"/>
          <w:lang w:val="fr-CA"/>
        </w:rPr>
        <w:t>monnaie courante</w:t>
      </w:r>
      <w:r w:rsidRPr="009061A9">
        <w:rPr>
          <w:rFonts w:cs="Times New Roman"/>
          <w:lang w:val="fr-CA"/>
        </w:rPr>
        <w:t>, et de nombreux pilotes et passagers</w:t>
      </w:r>
      <w:r>
        <w:rPr>
          <w:rFonts w:cs="Times New Roman"/>
          <w:lang w:val="fr-CA"/>
        </w:rPr>
        <w:t xml:space="preserve"> y ont été blessés ou y ont trouvé la mort.  </w:t>
      </w:r>
      <w:r w:rsidRPr="009061A9">
        <w:rPr>
          <w:rFonts w:cs="Times New Roman"/>
          <w:lang w:val="fr-CA"/>
        </w:rPr>
        <w:t xml:space="preserve">La fréquence relative des accidents exposait les transporteurs à des </w:t>
      </w:r>
      <w:r>
        <w:rPr>
          <w:rFonts w:cs="Times New Roman"/>
          <w:lang w:val="fr-CA"/>
        </w:rPr>
        <w:t xml:space="preserve">pertes </w:t>
      </w:r>
      <w:r w:rsidRPr="009061A9">
        <w:rPr>
          <w:rFonts w:cs="Times New Roman"/>
          <w:lang w:val="fr-CA"/>
        </w:rPr>
        <w:t xml:space="preserve"> imprévisibles et coûteu</w:t>
      </w:r>
      <w:r>
        <w:rPr>
          <w:rFonts w:cs="Times New Roman"/>
          <w:lang w:val="fr-CA"/>
        </w:rPr>
        <w:t>ses, si bien q</w:t>
      </w:r>
      <w:r w:rsidRPr="009061A9">
        <w:rPr>
          <w:rFonts w:cs="Times New Roman"/>
          <w:lang w:val="fr-CA"/>
        </w:rPr>
        <w:t>u’il était difficile d</w:t>
      </w:r>
      <w:r>
        <w:rPr>
          <w:rFonts w:cs="Times New Roman"/>
          <w:lang w:val="fr-CA"/>
        </w:rPr>
        <w:t>’obtenir des capitaux d’</w:t>
      </w:r>
      <w:r w:rsidRPr="009061A9">
        <w:rPr>
          <w:rFonts w:cs="Times New Roman"/>
          <w:lang w:val="fr-CA"/>
        </w:rPr>
        <w:t xml:space="preserve">investissement ou une </w:t>
      </w:r>
      <w:r>
        <w:rPr>
          <w:rFonts w:cs="Times New Roman"/>
          <w:lang w:val="fr-CA"/>
        </w:rPr>
        <w:t xml:space="preserve">couverture </w:t>
      </w:r>
      <w:r w:rsidRPr="004659D2">
        <w:rPr>
          <w:rFonts w:cs="Times New Roman"/>
          <w:lang w:val="fr-CA"/>
        </w:rPr>
        <w:t xml:space="preserve">d’assurance (Paul Stephen Dempsey, </w:t>
      </w:r>
      <w:r w:rsidRPr="004659D2">
        <w:rPr>
          <w:rFonts w:cs="Times New Roman"/>
          <w:i/>
          <w:lang w:val="fr-CA"/>
        </w:rPr>
        <w:t xml:space="preserve">Aviation </w:t>
      </w:r>
      <w:proofErr w:type="spellStart"/>
      <w:r>
        <w:rPr>
          <w:rFonts w:cs="Times New Roman"/>
          <w:i/>
          <w:lang w:val="fr-CA"/>
        </w:rPr>
        <w:t>Liability</w:t>
      </w:r>
      <w:proofErr w:type="spellEnd"/>
      <w:r w:rsidRPr="004659D2">
        <w:rPr>
          <w:rFonts w:cs="Times New Roman"/>
          <w:i/>
          <w:lang w:val="fr-CA"/>
        </w:rPr>
        <w:t xml:space="preserve"> Law</w:t>
      </w:r>
      <w:r w:rsidRPr="004659D2">
        <w:rPr>
          <w:rFonts w:cs="Times New Roman"/>
          <w:lang w:val="fr-CA"/>
        </w:rPr>
        <w:t xml:space="preserve"> (2</w:t>
      </w:r>
      <w:r w:rsidRPr="004659D2">
        <w:rPr>
          <w:rFonts w:cs="Times New Roman"/>
          <w:vertAlign w:val="superscript"/>
          <w:lang w:val="fr-CA"/>
        </w:rPr>
        <w:t>e</w:t>
      </w:r>
      <w:r w:rsidRPr="004659D2">
        <w:rPr>
          <w:rFonts w:cs="Times New Roman"/>
          <w:lang w:val="fr-CA"/>
        </w:rPr>
        <w:t xml:space="preserve"> éd. 2013), p.</w:t>
      </w:r>
      <w:r w:rsidR="006412AC">
        <w:rPr>
          <w:rFonts w:cs="Times New Roman"/>
          <w:lang w:val="fr-CA"/>
        </w:rPr>
        <w:t xml:space="preserve"> </w:t>
      </w:r>
      <w:r w:rsidRPr="004659D2">
        <w:rPr>
          <w:rFonts w:cs="Times New Roman"/>
          <w:lang w:val="fr-CA"/>
        </w:rPr>
        <w:t>309</w:t>
      </w:r>
      <w:r w:rsidR="006412AC">
        <w:rPr>
          <w:rFonts w:cs="Times New Roman"/>
          <w:lang w:val="fr-CA"/>
        </w:rPr>
        <w:t>-</w:t>
      </w:r>
      <w:r w:rsidRPr="004659D2">
        <w:rPr>
          <w:rFonts w:cs="Times New Roman"/>
          <w:lang w:val="fr-CA"/>
        </w:rPr>
        <w:t>310).</w:t>
      </w:r>
    </w:p>
    <w:p w:rsidR="00367456" w:rsidRPr="009061A9" w:rsidRDefault="00367456" w:rsidP="00A12DCE">
      <w:pPr>
        <w:pStyle w:val="ParaNoNdepar-AltN"/>
        <w:widowControl w:val="0"/>
        <w:rPr>
          <w:rFonts w:cs="Times New Roman"/>
          <w:lang w:val="fr-CA"/>
        </w:rPr>
      </w:pPr>
      <w:r w:rsidRPr="009061A9">
        <w:rPr>
          <w:rFonts w:cs="Times New Roman"/>
          <w:lang w:val="fr-CA"/>
        </w:rPr>
        <w:t xml:space="preserve">Les </w:t>
      </w:r>
      <w:r>
        <w:rPr>
          <w:rFonts w:cs="Times New Roman"/>
          <w:lang w:val="fr-CA"/>
        </w:rPr>
        <w:t xml:space="preserve">transporteurs aériens </w:t>
      </w:r>
      <w:r w:rsidRPr="009061A9">
        <w:rPr>
          <w:rFonts w:cs="Times New Roman"/>
          <w:lang w:val="fr-CA"/>
        </w:rPr>
        <w:t>ont réagi en obligeant les passagers à signer des renonciations déchargeant les transporteurs de toute responsabilité en cas de préjudice</w:t>
      </w:r>
      <w:r>
        <w:rPr>
          <w:rFonts w:cs="Times New Roman"/>
          <w:lang w:val="fr-CA"/>
        </w:rPr>
        <w:t xml:space="preserve">.  </w:t>
      </w:r>
      <w:r w:rsidRPr="009061A9">
        <w:rPr>
          <w:rFonts w:cs="Times New Roman"/>
          <w:lang w:val="fr-CA"/>
        </w:rPr>
        <w:t xml:space="preserve">Lorsqu’un accident se produisait, </w:t>
      </w:r>
      <w:r>
        <w:rPr>
          <w:rFonts w:cs="Times New Roman"/>
          <w:lang w:val="fr-CA"/>
        </w:rPr>
        <w:t>l</w:t>
      </w:r>
      <w:r w:rsidRPr="009061A9">
        <w:rPr>
          <w:rFonts w:cs="Times New Roman"/>
          <w:lang w:val="fr-CA"/>
        </w:rPr>
        <w:t xml:space="preserve">es passagers </w:t>
      </w:r>
      <w:r>
        <w:rPr>
          <w:rFonts w:cs="Times New Roman"/>
          <w:lang w:val="fr-CA"/>
        </w:rPr>
        <w:t>en question ne pouvaient obtenir réparation pour les blessures ou les pertes qu’ils subissaient</w:t>
      </w:r>
      <w:r w:rsidRPr="009061A9">
        <w:rPr>
          <w:rFonts w:cs="Times New Roman"/>
          <w:lang w:val="fr-CA"/>
        </w:rPr>
        <w:t>.</w:t>
      </w:r>
    </w:p>
    <w:p w:rsidR="00367456" w:rsidRPr="009061A9" w:rsidRDefault="00367456" w:rsidP="00A12DCE">
      <w:pPr>
        <w:pStyle w:val="ParaNoNdepar-AltN"/>
        <w:widowControl w:val="0"/>
        <w:rPr>
          <w:rFonts w:cs="Times New Roman"/>
          <w:lang w:val="fr-CA"/>
        </w:rPr>
      </w:pPr>
      <w:r w:rsidRPr="009061A9">
        <w:rPr>
          <w:rFonts w:cs="Times New Roman"/>
          <w:lang w:val="fr-CA"/>
        </w:rPr>
        <w:t xml:space="preserve">La </w:t>
      </w:r>
      <w:r w:rsidRPr="009061A9">
        <w:rPr>
          <w:rFonts w:cs="Times New Roman"/>
          <w:i/>
          <w:lang w:val="fr-CA"/>
        </w:rPr>
        <w:t>Convention de Varsovie</w:t>
      </w:r>
      <w:r w:rsidRPr="009061A9">
        <w:rPr>
          <w:rFonts w:cs="Times New Roman"/>
          <w:lang w:val="fr-CA"/>
        </w:rPr>
        <w:t xml:space="preserve"> se voulait une tentative de protéger à la fois les transporteurs aériens et les passagers</w:t>
      </w:r>
      <w:r>
        <w:rPr>
          <w:rFonts w:cs="Times New Roman"/>
          <w:lang w:val="fr-CA"/>
        </w:rPr>
        <w:t xml:space="preserve">.  </w:t>
      </w:r>
      <w:r w:rsidRPr="009061A9">
        <w:rPr>
          <w:rFonts w:cs="Times New Roman"/>
          <w:lang w:val="fr-CA"/>
        </w:rPr>
        <w:t xml:space="preserve">Les transporteurs </w:t>
      </w:r>
      <w:r>
        <w:rPr>
          <w:rFonts w:cs="Times New Roman"/>
          <w:lang w:val="fr-CA"/>
        </w:rPr>
        <w:t xml:space="preserve">bénéficieraient </w:t>
      </w:r>
      <w:r w:rsidRPr="009061A9">
        <w:rPr>
          <w:rFonts w:cs="Times New Roman"/>
          <w:lang w:val="fr-CA"/>
        </w:rPr>
        <w:t>de l’in</w:t>
      </w:r>
      <w:r>
        <w:rPr>
          <w:rFonts w:cs="Times New Roman"/>
          <w:lang w:val="fr-CA"/>
        </w:rPr>
        <w:t>s</w:t>
      </w:r>
      <w:r w:rsidRPr="009061A9">
        <w:rPr>
          <w:rFonts w:cs="Times New Roman"/>
          <w:lang w:val="fr-CA"/>
        </w:rPr>
        <w:t>t</w:t>
      </w:r>
      <w:r>
        <w:rPr>
          <w:rFonts w:cs="Times New Roman"/>
          <w:lang w:val="fr-CA"/>
        </w:rPr>
        <w:t>auration</w:t>
      </w:r>
      <w:r w:rsidRPr="009061A9">
        <w:rPr>
          <w:rFonts w:cs="Times New Roman"/>
          <w:lang w:val="fr-CA"/>
        </w:rPr>
        <w:t xml:space="preserve"> d’un régime uniforme de responsabilité limitée qui les</w:t>
      </w:r>
      <w:r>
        <w:rPr>
          <w:rFonts w:cs="Times New Roman"/>
          <w:lang w:val="fr-CA"/>
        </w:rPr>
        <w:t xml:space="preserve"> mettait à l’abri des </w:t>
      </w:r>
      <w:r w:rsidRPr="009061A9">
        <w:rPr>
          <w:rFonts w:cs="Times New Roman"/>
          <w:lang w:val="fr-CA"/>
        </w:rPr>
        <w:t>risques financiers et</w:t>
      </w:r>
      <w:r>
        <w:rPr>
          <w:rFonts w:cs="Times New Roman"/>
          <w:lang w:val="fr-CA"/>
        </w:rPr>
        <w:t xml:space="preserve"> de</w:t>
      </w:r>
      <w:r w:rsidRPr="009061A9">
        <w:rPr>
          <w:rFonts w:cs="Times New Roman"/>
          <w:lang w:val="fr-CA"/>
        </w:rPr>
        <w:t xml:space="preserve"> l’incertitude </w:t>
      </w:r>
      <w:r>
        <w:rPr>
          <w:rFonts w:cs="Times New Roman"/>
          <w:lang w:val="fr-CA"/>
        </w:rPr>
        <w:t xml:space="preserve">engendrée par </w:t>
      </w:r>
      <w:r w:rsidRPr="009061A9">
        <w:rPr>
          <w:rFonts w:cs="Times New Roman"/>
          <w:lang w:val="fr-CA"/>
        </w:rPr>
        <w:t>les accidents, tandis que les passagers</w:t>
      </w:r>
      <w:r>
        <w:rPr>
          <w:rFonts w:cs="Times New Roman"/>
          <w:lang w:val="fr-CA"/>
        </w:rPr>
        <w:t xml:space="preserve"> profiteraient de la possibilité d’obtenir une indemnité limitée au montant fixé d’avance </w:t>
      </w:r>
      <w:r w:rsidRPr="009061A9">
        <w:rPr>
          <w:rFonts w:cs="Times New Roman"/>
          <w:lang w:val="fr-CA"/>
        </w:rPr>
        <w:t xml:space="preserve">en cas de décès ou de </w:t>
      </w:r>
      <w:r>
        <w:rPr>
          <w:rFonts w:cs="Times New Roman"/>
          <w:lang w:val="fr-CA"/>
        </w:rPr>
        <w:t>lésion</w:t>
      </w:r>
      <w:r w:rsidRPr="009061A9">
        <w:rPr>
          <w:rFonts w:cs="Times New Roman"/>
          <w:lang w:val="fr-CA"/>
        </w:rPr>
        <w:t>s</w:t>
      </w:r>
      <w:r>
        <w:rPr>
          <w:rFonts w:cs="Times New Roman"/>
          <w:lang w:val="fr-CA"/>
        </w:rPr>
        <w:t xml:space="preserve"> </w:t>
      </w:r>
      <w:r w:rsidRPr="009061A9">
        <w:rPr>
          <w:rFonts w:cs="Times New Roman"/>
          <w:lang w:val="fr-CA"/>
        </w:rPr>
        <w:t>—</w:t>
      </w:r>
      <w:r>
        <w:rPr>
          <w:rFonts w:cs="Times New Roman"/>
          <w:lang w:val="fr-CA"/>
        </w:rPr>
        <w:t xml:space="preserve"> </w:t>
      </w:r>
      <w:r w:rsidRPr="009061A9">
        <w:rPr>
          <w:rFonts w:cs="Times New Roman"/>
          <w:lang w:val="fr-CA"/>
        </w:rPr>
        <w:t>environ 8 300</w:t>
      </w:r>
      <w:r w:rsidR="006412AC">
        <w:rPr>
          <w:rFonts w:cs="Times New Roman"/>
          <w:lang w:val="fr-CA"/>
        </w:rPr>
        <w:t xml:space="preserve"> </w:t>
      </w:r>
      <w:r>
        <w:rPr>
          <w:rFonts w:cs="Times New Roman"/>
          <w:lang w:val="fr-CA"/>
        </w:rPr>
        <w:t>$</w:t>
      </w:r>
      <w:r w:rsidRPr="009061A9">
        <w:rPr>
          <w:rFonts w:cs="Times New Roman"/>
          <w:lang w:val="fr-CA"/>
        </w:rPr>
        <w:t>US par passager</w:t>
      </w:r>
      <w:r>
        <w:rPr>
          <w:rFonts w:cs="Times New Roman"/>
          <w:lang w:val="fr-CA"/>
        </w:rPr>
        <w:t xml:space="preserve"> </w:t>
      </w:r>
      <w:r w:rsidRPr="009061A9">
        <w:rPr>
          <w:rFonts w:cs="Times New Roman"/>
          <w:lang w:val="fr-CA"/>
        </w:rPr>
        <w:t>—</w:t>
      </w:r>
      <w:r>
        <w:rPr>
          <w:rFonts w:cs="Times New Roman"/>
          <w:lang w:val="fr-CA"/>
        </w:rPr>
        <w:t xml:space="preserve"> </w:t>
      </w:r>
      <w:r w:rsidRPr="009061A9">
        <w:rPr>
          <w:rFonts w:cs="Times New Roman"/>
          <w:lang w:val="fr-CA"/>
        </w:rPr>
        <w:t>et d</w:t>
      </w:r>
      <w:r>
        <w:rPr>
          <w:rFonts w:cs="Times New Roman"/>
          <w:lang w:val="fr-CA"/>
        </w:rPr>
        <w:t>e l</w:t>
      </w:r>
      <w:r w:rsidRPr="009061A9">
        <w:rPr>
          <w:rFonts w:cs="Times New Roman"/>
          <w:lang w:val="fr-CA"/>
        </w:rPr>
        <w:t>’interdiction</w:t>
      </w:r>
      <w:r>
        <w:rPr>
          <w:rFonts w:cs="Times New Roman"/>
          <w:lang w:val="fr-CA"/>
        </w:rPr>
        <w:t xml:space="preserve"> pour les </w:t>
      </w:r>
      <w:r w:rsidRPr="009061A9">
        <w:rPr>
          <w:rFonts w:cs="Times New Roman"/>
          <w:lang w:val="fr-CA"/>
        </w:rPr>
        <w:t>transporteur</w:t>
      </w:r>
      <w:r>
        <w:rPr>
          <w:rFonts w:cs="Times New Roman"/>
          <w:lang w:val="fr-CA"/>
        </w:rPr>
        <w:t xml:space="preserve">s </w:t>
      </w:r>
      <w:r w:rsidRPr="009061A9">
        <w:rPr>
          <w:rFonts w:cs="Times New Roman"/>
          <w:lang w:val="fr-CA"/>
        </w:rPr>
        <w:t xml:space="preserve">d’obliger les passagers à </w:t>
      </w:r>
      <w:r>
        <w:rPr>
          <w:rFonts w:cs="Times New Roman"/>
          <w:lang w:val="fr-CA"/>
        </w:rPr>
        <w:t xml:space="preserve">les </w:t>
      </w:r>
      <w:r w:rsidRPr="009061A9">
        <w:rPr>
          <w:rFonts w:cs="Times New Roman"/>
          <w:lang w:val="fr-CA"/>
        </w:rPr>
        <w:t xml:space="preserve">décharger de toute responsabilité (Paul </w:t>
      </w:r>
      <w:r>
        <w:rPr>
          <w:rFonts w:cs="Times New Roman"/>
          <w:lang w:val="fr-CA"/>
        </w:rPr>
        <w:t xml:space="preserve">Stephen </w:t>
      </w:r>
      <w:r w:rsidRPr="009061A9">
        <w:rPr>
          <w:rFonts w:cs="Times New Roman"/>
          <w:lang w:val="fr-CA"/>
        </w:rPr>
        <w:t xml:space="preserve">Dempsey et Michael </w:t>
      </w:r>
      <w:proofErr w:type="spellStart"/>
      <w:r w:rsidRPr="009061A9">
        <w:rPr>
          <w:rFonts w:cs="Times New Roman"/>
          <w:lang w:val="fr-CA"/>
        </w:rPr>
        <w:t>Milde</w:t>
      </w:r>
      <w:proofErr w:type="spellEnd"/>
      <w:r w:rsidRPr="009061A9">
        <w:rPr>
          <w:rFonts w:cs="Times New Roman"/>
          <w:lang w:val="fr-CA"/>
        </w:rPr>
        <w:t xml:space="preserve">, </w:t>
      </w:r>
      <w:r w:rsidRPr="009061A9">
        <w:rPr>
          <w:rFonts w:cs="Times New Roman"/>
          <w:i/>
          <w:lang w:val="fr-CA"/>
        </w:rPr>
        <w:t xml:space="preserve">International Air Carrier </w:t>
      </w:r>
      <w:proofErr w:type="spellStart"/>
      <w:r w:rsidRPr="009061A9">
        <w:rPr>
          <w:rFonts w:cs="Times New Roman"/>
          <w:i/>
          <w:lang w:val="fr-CA"/>
        </w:rPr>
        <w:t>Liability</w:t>
      </w:r>
      <w:proofErr w:type="spellEnd"/>
      <w:r w:rsidR="008456C5">
        <w:rPr>
          <w:rFonts w:cs="Times New Roman"/>
          <w:i/>
          <w:lang w:val="fr-CA"/>
        </w:rPr>
        <w:t xml:space="preserve"> </w:t>
      </w:r>
      <w:r>
        <w:rPr>
          <w:rFonts w:cs="Times New Roman"/>
          <w:i/>
          <w:lang w:val="fr-CA"/>
        </w:rPr>
        <w:t xml:space="preserve">: The </w:t>
      </w:r>
      <w:proofErr w:type="spellStart"/>
      <w:r>
        <w:rPr>
          <w:rFonts w:cs="Times New Roman"/>
          <w:i/>
          <w:lang w:val="fr-CA"/>
        </w:rPr>
        <w:t>Montreal</w:t>
      </w:r>
      <w:proofErr w:type="spellEnd"/>
      <w:r>
        <w:rPr>
          <w:rFonts w:cs="Times New Roman"/>
          <w:i/>
          <w:lang w:val="fr-CA"/>
        </w:rPr>
        <w:t xml:space="preserve"> Convention of 1999 </w:t>
      </w:r>
      <w:r>
        <w:rPr>
          <w:rFonts w:cs="Times New Roman"/>
          <w:lang w:val="fr-CA"/>
        </w:rPr>
        <w:t>(</w:t>
      </w:r>
      <w:r w:rsidRPr="009061A9">
        <w:rPr>
          <w:rFonts w:cs="Times New Roman"/>
          <w:lang w:val="fr-CA"/>
        </w:rPr>
        <w:t>2005</w:t>
      </w:r>
      <w:r>
        <w:rPr>
          <w:rFonts w:cs="Times New Roman"/>
          <w:lang w:val="fr-CA"/>
        </w:rPr>
        <w:t>)</w:t>
      </w:r>
      <w:r w:rsidRPr="009061A9">
        <w:rPr>
          <w:rFonts w:cs="Times New Roman"/>
          <w:lang w:val="fr-CA"/>
        </w:rPr>
        <w:t xml:space="preserve">, </w:t>
      </w:r>
      <w:r>
        <w:rPr>
          <w:rFonts w:cs="Times New Roman"/>
          <w:lang w:val="fr-CA"/>
        </w:rPr>
        <w:t>p.</w:t>
      </w:r>
      <w:r w:rsidR="006412AC">
        <w:rPr>
          <w:rFonts w:cs="Times New Roman"/>
          <w:lang w:val="fr-CA"/>
        </w:rPr>
        <w:t xml:space="preserve"> </w:t>
      </w:r>
      <w:r w:rsidRPr="009061A9">
        <w:rPr>
          <w:rFonts w:cs="Times New Roman"/>
          <w:lang w:val="fr-CA"/>
        </w:rPr>
        <w:t>15</w:t>
      </w:r>
      <w:r w:rsidR="006412AC">
        <w:rPr>
          <w:rFonts w:cs="Times New Roman"/>
          <w:lang w:val="fr-CA"/>
        </w:rPr>
        <w:t>-</w:t>
      </w:r>
      <w:r w:rsidRPr="009061A9">
        <w:rPr>
          <w:rFonts w:cs="Times New Roman"/>
          <w:lang w:val="fr-CA"/>
        </w:rPr>
        <w:t>16</w:t>
      </w:r>
      <w:r>
        <w:rPr>
          <w:rFonts w:cs="Times New Roman"/>
          <w:lang w:val="fr-CA"/>
        </w:rPr>
        <w:t xml:space="preserve"> et</w:t>
      </w:r>
      <w:r w:rsidRPr="009061A9">
        <w:rPr>
          <w:rFonts w:cs="Times New Roman"/>
          <w:lang w:val="fr-CA"/>
        </w:rPr>
        <w:t xml:space="preserve"> 50</w:t>
      </w:r>
      <w:r w:rsidR="006412AC">
        <w:rPr>
          <w:rFonts w:cs="Times New Roman"/>
          <w:lang w:val="fr-CA"/>
        </w:rPr>
        <w:t>-</w:t>
      </w:r>
      <w:r w:rsidRPr="009061A9">
        <w:rPr>
          <w:rFonts w:cs="Times New Roman"/>
          <w:lang w:val="fr-CA"/>
        </w:rPr>
        <w:t>51; John E.</w:t>
      </w:r>
      <w:r>
        <w:rPr>
          <w:rFonts w:cs="Times New Roman"/>
          <w:lang w:val="fr-CA"/>
        </w:rPr>
        <w:t xml:space="preserve"> </w:t>
      </w:r>
      <w:r w:rsidRPr="009061A9">
        <w:rPr>
          <w:rFonts w:cs="Times New Roman"/>
          <w:lang w:val="fr-CA"/>
        </w:rPr>
        <w:t xml:space="preserve">J. </w:t>
      </w:r>
      <w:proofErr w:type="spellStart"/>
      <w:r w:rsidRPr="009061A9">
        <w:rPr>
          <w:rFonts w:cs="Times New Roman"/>
          <w:lang w:val="fr-CA"/>
        </w:rPr>
        <w:t>Clare</w:t>
      </w:r>
      <w:proofErr w:type="spellEnd"/>
      <w:r w:rsidRPr="009061A9">
        <w:rPr>
          <w:rFonts w:cs="Times New Roman"/>
          <w:lang w:val="fr-CA"/>
        </w:rPr>
        <w:t xml:space="preserve">, </w:t>
      </w:r>
      <w:r w:rsidR="006412AC">
        <w:rPr>
          <w:rFonts w:cs="Times New Roman"/>
          <w:lang w:val="fr-CA"/>
        </w:rPr>
        <w:t>« </w:t>
      </w:r>
      <w:proofErr w:type="spellStart"/>
      <w:r w:rsidRPr="009061A9">
        <w:rPr>
          <w:rFonts w:cs="Times New Roman"/>
          <w:lang w:val="fr-CA"/>
        </w:rPr>
        <w:t>Evaluation</w:t>
      </w:r>
      <w:proofErr w:type="spellEnd"/>
      <w:r w:rsidRPr="009061A9">
        <w:rPr>
          <w:rFonts w:cs="Times New Roman"/>
          <w:lang w:val="fr-CA"/>
        </w:rPr>
        <w:t xml:space="preserve"> of </w:t>
      </w:r>
      <w:proofErr w:type="spellStart"/>
      <w:r w:rsidRPr="009061A9">
        <w:rPr>
          <w:rFonts w:cs="Times New Roman"/>
          <w:lang w:val="fr-CA"/>
        </w:rPr>
        <w:t>Proposals</w:t>
      </w:r>
      <w:proofErr w:type="spellEnd"/>
      <w:r w:rsidRPr="009061A9">
        <w:rPr>
          <w:rFonts w:cs="Times New Roman"/>
          <w:lang w:val="fr-CA"/>
        </w:rPr>
        <w:t xml:space="preserve"> to </w:t>
      </w:r>
      <w:proofErr w:type="spellStart"/>
      <w:r w:rsidRPr="009061A9">
        <w:rPr>
          <w:rFonts w:cs="Times New Roman"/>
          <w:lang w:val="fr-CA"/>
        </w:rPr>
        <w:t>Increase</w:t>
      </w:r>
      <w:proofErr w:type="spellEnd"/>
      <w:r w:rsidRPr="009061A9">
        <w:rPr>
          <w:rFonts w:cs="Times New Roman"/>
          <w:lang w:val="fr-CA"/>
        </w:rPr>
        <w:t xml:space="preserve"> the </w:t>
      </w:r>
      <w:r w:rsidRPr="007653DD">
        <w:rPr>
          <w:lang w:val="fr-CA"/>
        </w:rPr>
        <w:t>“</w:t>
      </w:r>
      <w:proofErr w:type="spellStart"/>
      <w:r w:rsidRPr="009061A9">
        <w:rPr>
          <w:rFonts w:cs="Times New Roman"/>
          <w:lang w:val="fr-CA"/>
        </w:rPr>
        <w:t>Warsaw</w:t>
      </w:r>
      <w:proofErr w:type="spellEnd"/>
      <w:r w:rsidRPr="009061A9">
        <w:rPr>
          <w:rFonts w:cs="Times New Roman"/>
          <w:lang w:val="fr-CA"/>
        </w:rPr>
        <w:t xml:space="preserve"> Convention</w:t>
      </w:r>
      <w:r w:rsidRPr="007653DD">
        <w:rPr>
          <w:lang w:val="fr-CA"/>
        </w:rPr>
        <w:t>”</w:t>
      </w:r>
      <w:r w:rsidRPr="009061A9">
        <w:rPr>
          <w:rFonts w:cs="Times New Roman"/>
          <w:lang w:val="fr-CA"/>
        </w:rPr>
        <w:t xml:space="preserve"> </w:t>
      </w:r>
      <w:proofErr w:type="spellStart"/>
      <w:r w:rsidRPr="009061A9">
        <w:rPr>
          <w:rFonts w:cs="Times New Roman"/>
          <w:lang w:val="fr-CA"/>
        </w:rPr>
        <w:t>Limit</w:t>
      </w:r>
      <w:proofErr w:type="spellEnd"/>
      <w:r w:rsidRPr="009061A9">
        <w:rPr>
          <w:rFonts w:cs="Times New Roman"/>
          <w:lang w:val="fr-CA"/>
        </w:rPr>
        <w:t xml:space="preserve"> of </w:t>
      </w:r>
      <w:proofErr w:type="spellStart"/>
      <w:r w:rsidRPr="009061A9">
        <w:rPr>
          <w:rFonts w:cs="Times New Roman"/>
          <w:lang w:val="fr-CA"/>
        </w:rPr>
        <w:lastRenderedPageBreak/>
        <w:t>Passenger</w:t>
      </w:r>
      <w:proofErr w:type="spellEnd"/>
      <w:r w:rsidRPr="009061A9">
        <w:rPr>
          <w:rFonts w:cs="Times New Roman"/>
          <w:lang w:val="fr-CA"/>
        </w:rPr>
        <w:t xml:space="preserve"> </w:t>
      </w:r>
      <w:proofErr w:type="spellStart"/>
      <w:r w:rsidRPr="009061A9">
        <w:rPr>
          <w:rFonts w:cs="Times New Roman"/>
          <w:lang w:val="fr-CA"/>
        </w:rPr>
        <w:t>Liability</w:t>
      </w:r>
      <w:proofErr w:type="spellEnd"/>
      <w:r w:rsidR="006412AC">
        <w:rPr>
          <w:rFonts w:cs="Times New Roman"/>
          <w:lang w:val="fr-CA"/>
        </w:rPr>
        <w:t> »</w:t>
      </w:r>
      <w:r w:rsidRPr="009061A9">
        <w:rPr>
          <w:rFonts w:cs="Times New Roman"/>
          <w:lang w:val="fr-CA"/>
        </w:rPr>
        <w:t xml:space="preserve"> (1949)</w:t>
      </w:r>
      <w:r>
        <w:rPr>
          <w:rFonts w:cs="Times New Roman"/>
          <w:lang w:val="fr-CA"/>
        </w:rPr>
        <w:t xml:space="preserve">, 16 </w:t>
      </w:r>
      <w:r w:rsidRPr="00E11A17">
        <w:rPr>
          <w:rFonts w:cs="Times New Roman"/>
          <w:i/>
          <w:lang w:val="fr-CA"/>
        </w:rPr>
        <w:t>J. Air L. &amp; Com.</w:t>
      </w:r>
      <w:r>
        <w:rPr>
          <w:rFonts w:cs="Times New Roman"/>
          <w:i/>
          <w:lang w:val="fr-CA"/>
        </w:rPr>
        <w:t xml:space="preserve"> </w:t>
      </w:r>
      <w:r>
        <w:rPr>
          <w:rFonts w:cs="Times New Roman"/>
          <w:lang w:val="fr-CA"/>
        </w:rPr>
        <w:t>53</w:t>
      </w:r>
      <w:r w:rsidRPr="009061A9">
        <w:rPr>
          <w:rFonts w:cs="Times New Roman"/>
          <w:lang w:val="fr-CA"/>
        </w:rPr>
        <w:t>)</w:t>
      </w:r>
      <w:r>
        <w:rPr>
          <w:rFonts w:cs="Times New Roman"/>
          <w:lang w:val="fr-CA"/>
        </w:rPr>
        <w:t xml:space="preserve">.  </w:t>
      </w:r>
      <w:r w:rsidRPr="009061A9">
        <w:rPr>
          <w:rFonts w:cs="Times New Roman"/>
          <w:lang w:val="fr-CA"/>
        </w:rPr>
        <w:t xml:space="preserve">La </w:t>
      </w:r>
      <w:r w:rsidRPr="009061A9">
        <w:rPr>
          <w:rFonts w:cs="Times New Roman"/>
          <w:i/>
          <w:lang w:val="fr-CA"/>
        </w:rPr>
        <w:t>Convention de Varsovie</w:t>
      </w:r>
      <w:r w:rsidRPr="009061A9">
        <w:rPr>
          <w:rFonts w:cs="Times New Roman"/>
          <w:lang w:val="fr-CA"/>
        </w:rPr>
        <w:t xml:space="preserve"> visait donc [</w:t>
      </w:r>
      <w:r w:rsidRPr="009061A9">
        <w:rPr>
          <w:rFonts w:cs="Times New Roman"/>
          <w:smallCaps/>
          <w:lang w:val="fr-CA"/>
        </w:rPr>
        <w:t>traduction</w:t>
      </w:r>
      <w:r w:rsidRPr="009061A9">
        <w:rPr>
          <w:rFonts w:cs="Times New Roman"/>
          <w:lang w:val="fr-CA"/>
        </w:rPr>
        <w:t xml:space="preserve">] </w:t>
      </w:r>
      <w:r w:rsidR="006412AC">
        <w:rPr>
          <w:rFonts w:cs="Times New Roman"/>
          <w:lang w:val="fr-CA"/>
        </w:rPr>
        <w:t>« </w:t>
      </w:r>
      <w:r w:rsidRPr="009061A9">
        <w:rPr>
          <w:rFonts w:cs="Times New Roman"/>
          <w:lang w:val="fr-CA"/>
        </w:rPr>
        <w:t>à</w:t>
      </w:r>
      <w:r w:rsidRPr="009061A9">
        <w:rPr>
          <w:lang w:val="fr-CA"/>
        </w:rPr>
        <w:t xml:space="preserve"> </w:t>
      </w:r>
      <w:r>
        <w:rPr>
          <w:lang w:val="fr-CA"/>
        </w:rPr>
        <w:t>concilier ou à équilibrer</w:t>
      </w:r>
      <w:r w:rsidRPr="009061A9">
        <w:rPr>
          <w:lang w:val="fr-CA"/>
        </w:rPr>
        <w:t xml:space="preserve"> les intérêts des passagers qui demandent à être indemnisés des préjudices qu’ils pourraient subir et les intérêts des transporteurs aériens qui cherchent à limiter leur responsabilité éventuelle</w:t>
      </w:r>
      <w:r w:rsidR="006412AC">
        <w:rPr>
          <w:lang w:val="fr-CA"/>
        </w:rPr>
        <w:t> »</w:t>
      </w:r>
      <w:r w:rsidRPr="009061A9">
        <w:rPr>
          <w:rFonts w:cs="Times New Roman"/>
          <w:lang w:val="fr-CA"/>
        </w:rPr>
        <w:t xml:space="preserve"> (</w:t>
      </w:r>
      <w:proofErr w:type="spellStart"/>
      <w:r w:rsidRPr="009061A9">
        <w:rPr>
          <w:rFonts w:cs="Times New Roman"/>
          <w:i/>
          <w:lang w:val="fr-CA"/>
        </w:rPr>
        <w:t>Tseng</w:t>
      </w:r>
      <w:proofErr w:type="spellEnd"/>
      <w:r w:rsidRPr="009061A9">
        <w:rPr>
          <w:rFonts w:cs="Times New Roman"/>
          <w:lang w:val="fr-CA"/>
        </w:rPr>
        <w:t xml:space="preserve">, </w:t>
      </w:r>
      <w:r>
        <w:rPr>
          <w:rFonts w:cs="Times New Roman"/>
          <w:lang w:val="fr-CA"/>
        </w:rPr>
        <w:t>p.</w:t>
      </w:r>
      <w:r w:rsidR="006412AC">
        <w:rPr>
          <w:rFonts w:cs="Times New Roman"/>
          <w:lang w:val="fr-CA"/>
        </w:rPr>
        <w:t xml:space="preserve"> </w:t>
      </w:r>
      <w:r w:rsidRPr="009061A9">
        <w:rPr>
          <w:rFonts w:cs="Times New Roman"/>
          <w:lang w:val="fr-CA"/>
        </w:rPr>
        <w:t>170).</w:t>
      </w:r>
    </w:p>
    <w:p w:rsidR="00367456" w:rsidRPr="009061A9" w:rsidRDefault="00367456" w:rsidP="00A12DCE">
      <w:pPr>
        <w:pStyle w:val="ParaNoNdepar-AltN"/>
        <w:widowControl w:val="0"/>
        <w:rPr>
          <w:rFonts w:cs="Times New Roman"/>
          <w:lang w:val="fr-CA"/>
        </w:rPr>
      </w:pPr>
      <w:r w:rsidRPr="009061A9">
        <w:rPr>
          <w:rFonts w:cs="Times New Roman"/>
          <w:lang w:val="fr-CA"/>
        </w:rPr>
        <w:t>À mesure que s’améliorait la sécurité d</w:t>
      </w:r>
      <w:r>
        <w:rPr>
          <w:rFonts w:cs="Times New Roman"/>
          <w:lang w:val="fr-CA"/>
        </w:rPr>
        <w:t>ans</w:t>
      </w:r>
      <w:r w:rsidRPr="009061A9">
        <w:rPr>
          <w:rFonts w:cs="Times New Roman"/>
          <w:lang w:val="fr-CA"/>
        </w:rPr>
        <w:t xml:space="preserve"> l’aviation civile, les gouvernements </w:t>
      </w:r>
      <w:r>
        <w:rPr>
          <w:rFonts w:cs="Times New Roman"/>
          <w:lang w:val="fr-CA"/>
        </w:rPr>
        <w:t xml:space="preserve">ont délaissé la protection de la viabilité financière des transporteurs aériens pour se pencher sur l’instauration </w:t>
      </w:r>
      <w:r w:rsidRPr="009061A9">
        <w:rPr>
          <w:rFonts w:cs="Times New Roman"/>
          <w:lang w:val="fr-CA"/>
        </w:rPr>
        <w:t xml:space="preserve">d’un régime juridique </w:t>
      </w:r>
      <w:r>
        <w:rPr>
          <w:rFonts w:cs="Times New Roman"/>
          <w:lang w:val="fr-CA"/>
        </w:rPr>
        <w:t>plus favorable aux</w:t>
      </w:r>
      <w:r w:rsidRPr="009061A9">
        <w:rPr>
          <w:rFonts w:cs="Times New Roman"/>
          <w:lang w:val="fr-CA"/>
        </w:rPr>
        <w:t xml:space="preserve"> passagers</w:t>
      </w:r>
      <w:r>
        <w:rPr>
          <w:rFonts w:cs="Times New Roman"/>
          <w:lang w:val="fr-CA"/>
        </w:rPr>
        <w:t xml:space="preserve">.  </w:t>
      </w:r>
      <w:r w:rsidRPr="009061A9">
        <w:rPr>
          <w:rFonts w:cs="Times New Roman"/>
          <w:lang w:val="fr-CA"/>
        </w:rPr>
        <w:t xml:space="preserve">L’accent était désormais mis sur l’augmentation des limites exceptionnellement faibles de la responsabilité des transporteurs aériens établies dans la </w:t>
      </w:r>
      <w:r w:rsidRPr="009061A9">
        <w:rPr>
          <w:rFonts w:cs="Times New Roman"/>
          <w:i/>
          <w:lang w:val="fr-CA"/>
        </w:rPr>
        <w:t>Convention de Varsovie</w:t>
      </w:r>
      <w:r>
        <w:rPr>
          <w:rFonts w:cs="Times New Roman"/>
          <w:i/>
          <w:lang w:val="fr-CA"/>
        </w:rPr>
        <w:t xml:space="preserve"> </w:t>
      </w:r>
      <w:r w:rsidRPr="004659D2">
        <w:rPr>
          <w:rFonts w:cs="Times New Roman"/>
          <w:lang w:val="fr-CA"/>
        </w:rPr>
        <w:t>(Dempsey, p.</w:t>
      </w:r>
      <w:r w:rsidR="006412AC">
        <w:rPr>
          <w:rFonts w:cs="Times New Roman"/>
          <w:lang w:val="fr-CA"/>
        </w:rPr>
        <w:t xml:space="preserve"> </w:t>
      </w:r>
      <w:r w:rsidRPr="004659D2">
        <w:rPr>
          <w:rFonts w:cs="Times New Roman"/>
          <w:lang w:val="fr-CA"/>
        </w:rPr>
        <w:t>315</w:t>
      </w:r>
      <w:r w:rsidR="006412AC">
        <w:rPr>
          <w:rFonts w:cs="Times New Roman"/>
          <w:lang w:val="fr-CA"/>
        </w:rPr>
        <w:t>-</w:t>
      </w:r>
      <w:r>
        <w:rPr>
          <w:rFonts w:cs="Times New Roman"/>
          <w:lang w:val="fr-CA"/>
        </w:rPr>
        <w:t>3</w:t>
      </w:r>
      <w:r w:rsidRPr="004659D2">
        <w:rPr>
          <w:rFonts w:cs="Times New Roman"/>
          <w:lang w:val="fr-CA"/>
        </w:rPr>
        <w:t>16)</w:t>
      </w:r>
      <w:r w:rsidRPr="009061A9">
        <w:rPr>
          <w:rFonts w:cs="Times New Roman"/>
          <w:lang w:val="fr-CA"/>
        </w:rPr>
        <w:t xml:space="preserve">. </w:t>
      </w:r>
    </w:p>
    <w:p w:rsidR="00367456" w:rsidRPr="009061A9" w:rsidRDefault="00367456" w:rsidP="00A12DCE">
      <w:pPr>
        <w:pStyle w:val="ParaNoNdepar-AltN"/>
        <w:widowControl w:val="0"/>
        <w:rPr>
          <w:rFonts w:cs="Times New Roman"/>
          <w:lang w:val="fr-CA"/>
        </w:rPr>
      </w:pPr>
      <w:r w:rsidRPr="009061A9">
        <w:rPr>
          <w:rFonts w:cs="Times New Roman"/>
          <w:lang w:val="fr-CA"/>
        </w:rPr>
        <w:t>Les États ont subséquemment adhéré à diverses initiatives internationales visant à accroître la responsabilité des transporteurs</w:t>
      </w:r>
      <w:r>
        <w:rPr>
          <w:rFonts w:cs="Times New Roman"/>
          <w:lang w:val="fr-CA"/>
        </w:rPr>
        <w:t xml:space="preserve">.  </w:t>
      </w:r>
      <w:r w:rsidRPr="009061A9">
        <w:rPr>
          <w:rFonts w:cs="Times New Roman"/>
          <w:lang w:val="fr-CA"/>
        </w:rPr>
        <w:t xml:space="preserve">Par exemple, le </w:t>
      </w:r>
      <w:r w:rsidRPr="009061A9">
        <w:rPr>
          <w:rFonts w:cs="Times New Roman"/>
          <w:i/>
          <w:lang w:val="fr-CA"/>
        </w:rPr>
        <w:t>Protocole de La Haye</w:t>
      </w:r>
      <w:r w:rsidRPr="009061A9">
        <w:rPr>
          <w:rFonts w:cs="Times New Roman"/>
          <w:lang w:val="fr-CA"/>
        </w:rPr>
        <w:t xml:space="preserve"> de 1955 </w:t>
      </w:r>
      <w:r>
        <w:rPr>
          <w:rFonts w:cs="Times New Roman"/>
          <w:lang w:val="fr-CA"/>
        </w:rPr>
        <w:t>a doublé</w:t>
      </w:r>
      <w:r w:rsidRPr="009061A9">
        <w:rPr>
          <w:rFonts w:cs="Times New Roman"/>
          <w:lang w:val="fr-CA"/>
        </w:rPr>
        <w:t xml:space="preserve"> les limites de responsabilité en cas de décès ou de </w:t>
      </w:r>
      <w:r>
        <w:rPr>
          <w:rFonts w:cs="Times New Roman"/>
          <w:lang w:val="fr-CA"/>
        </w:rPr>
        <w:t>lésion</w:t>
      </w:r>
      <w:r w:rsidRPr="009061A9">
        <w:rPr>
          <w:rFonts w:cs="Times New Roman"/>
          <w:lang w:val="fr-CA"/>
        </w:rPr>
        <w:t xml:space="preserve"> corporelle subie par un passager, </w:t>
      </w:r>
      <w:r>
        <w:rPr>
          <w:rFonts w:cs="Times New Roman"/>
          <w:lang w:val="fr-CA"/>
        </w:rPr>
        <w:t>en les fixant à environ 16</w:t>
      </w:r>
      <w:r w:rsidR="006412AC">
        <w:rPr>
          <w:rFonts w:cs="Times New Roman"/>
          <w:lang w:val="fr-CA"/>
        </w:rPr>
        <w:t xml:space="preserve"> </w:t>
      </w:r>
      <w:r>
        <w:rPr>
          <w:rFonts w:cs="Times New Roman"/>
          <w:lang w:val="fr-CA"/>
        </w:rPr>
        <w:t>600</w:t>
      </w:r>
      <w:r w:rsidR="006412AC">
        <w:rPr>
          <w:rFonts w:cs="Times New Roman"/>
          <w:lang w:val="fr-CA"/>
        </w:rPr>
        <w:t xml:space="preserve"> </w:t>
      </w:r>
      <w:r>
        <w:rPr>
          <w:rFonts w:cs="Times New Roman"/>
          <w:lang w:val="fr-CA"/>
        </w:rPr>
        <w:t xml:space="preserve">$US </w:t>
      </w:r>
      <w:r w:rsidRPr="009061A9">
        <w:rPr>
          <w:rFonts w:cs="Times New Roman"/>
          <w:lang w:val="fr-CA"/>
        </w:rPr>
        <w:t>(</w:t>
      </w:r>
      <w:r w:rsidRPr="009061A9">
        <w:rPr>
          <w:rFonts w:cs="Times New Roman"/>
          <w:i/>
          <w:lang w:val="fr-CA"/>
        </w:rPr>
        <w:t>Protocole portant modification de la Convention pour l’unification de certaines règles relatives au transport aérien international</w:t>
      </w:r>
      <w:r w:rsidRPr="009061A9">
        <w:rPr>
          <w:rFonts w:cs="Times New Roman"/>
          <w:lang w:val="fr-CA"/>
        </w:rPr>
        <w:t>,</w:t>
      </w:r>
      <w:r>
        <w:rPr>
          <w:rFonts w:cs="Times New Roman"/>
          <w:lang w:val="fr-CA"/>
        </w:rPr>
        <w:t xml:space="preserve"> </w:t>
      </w:r>
      <w:r w:rsidR="009331E9">
        <w:rPr>
          <w:rFonts w:cs="Times New Roman"/>
          <w:lang w:val="fr-CA"/>
        </w:rPr>
        <w:t>fait</w:t>
      </w:r>
      <w:r>
        <w:rPr>
          <w:rFonts w:cs="Times New Roman"/>
          <w:lang w:val="fr-CA"/>
        </w:rPr>
        <w:t xml:space="preserve"> à La Haye le</w:t>
      </w:r>
      <w:r w:rsidRPr="009061A9">
        <w:rPr>
          <w:rFonts w:cs="Times New Roman"/>
          <w:i/>
          <w:lang w:val="fr-CA"/>
        </w:rPr>
        <w:t xml:space="preserve"> </w:t>
      </w:r>
      <w:r w:rsidRPr="009061A9">
        <w:rPr>
          <w:rFonts w:cs="Times New Roman"/>
          <w:lang w:val="fr-CA"/>
        </w:rPr>
        <w:t>28</w:t>
      </w:r>
      <w:r w:rsidR="00BC0CDC">
        <w:rPr>
          <w:rFonts w:cs="Times New Roman"/>
          <w:lang w:val="fr-CA"/>
        </w:rPr>
        <w:t xml:space="preserve"> septembre</w:t>
      </w:r>
      <w:r w:rsidRPr="009061A9">
        <w:rPr>
          <w:rFonts w:cs="Times New Roman"/>
          <w:lang w:val="fr-CA"/>
        </w:rPr>
        <w:t xml:space="preserve"> 1955, </w:t>
      </w:r>
      <w:r>
        <w:rPr>
          <w:rFonts w:cs="Times New Roman"/>
          <w:lang w:val="fr-CA"/>
        </w:rPr>
        <w:t xml:space="preserve">478 R.T.N.U. 371, reproduit </w:t>
      </w:r>
      <w:r w:rsidRPr="009061A9">
        <w:rPr>
          <w:rFonts w:cs="Times New Roman"/>
          <w:lang w:val="fr-CA"/>
        </w:rPr>
        <w:t xml:space="preserve">à l’annexe III de la </w:t>
      </w:r>
      <w:r w:rsidRPr="009061A9">
        <w:rPr>
          <w:rFonts w:cs="Times New Roman"/>
          <w:i/>
          <w:lang w:val="fr-CA"/>
        </w:rPr>
        <w:t>Loi sur le transport aérien</w:t>
      </w:r>
      <w:r w:rsidRPr="009061A9">
        <w:rPr>
          <w:rFonts w:cs="Times New Roman"/>
          <w:lang w:val="fr-CA"/>
        </w:rPr>
        <w:t>)</w:t>
      </w:r>
      <w:r>
        <w:rPr>
          <w:rFonts w:cs="Times New Roman"/>
          <w:lang w:val="fr-CA"/>
        </w:rPr>
        <w:t xml:space="preserve">.  </w:t>
      </w:r>
      <w:r w:rsidRPr="009061A9">
        <w:rPr>
          <w:rFonts w:cs="Times New Roman"/>
          <w:lang w:val="fr-CA"/>
        </w:rPr>
        <w:t xml:space="preserve">Le </w:t>
      </w:r>
      <w:r w:rsidRPr="009061A9">
        <w:rPr>
          <w:rFonts w:cs="Times New Roman"/>
          <w:i/>
          <w:lang w:val="fr-CA"/>
        </w:rPr>
        <w:t xml:space="preserve">Protocole de Guatemala </w:t>
      </w:r>
      <w:r w:rsidRPr="009061A9">
        <w:rPr>
          <w:rFonts w:cs="Times New Roman"/>
          <w:lang w:val="fr-CA"/>
        </w:rPr>
        <w:t>de 1971 a</w:t>
      </w:r>
      <w:r>
        <w:rPr>
          <w:rFonts w:cs="Times New Roman"/>
          <w:lang w:val="fr-CA"/>
        </w:rPr>
        <w:t xml:space="preserve"> limité de manière </w:t>
      </w:r>
      <w:r w:rsidRPr="009061A9">
        <w:rPr>
          <w:rFonts w:cs="Times New Roman"/>
          <w:lang w:val="fr-CA"/>
        </w:rPr>
        <w:t>absolue la responsabilité des transporteurs à environ 100</w:t>
      </w:r>
      <w:r w:rsidR="006412AC">
        <w:rPr>
          <w:rFonts w:cs="Times New Roman"/>
          <w:lang w:val="fr-CA"/>
        </w:rPr>
        <w:t xml:space="preserve"> </w:t>
      </w:r>
      <w:r w:rsidRPr="009061A9">
        <w:rPr>
          <w:rFonts w:cs="Times New Roman"/>
          <w:lang w:val="fr-CA"/>
        </w:rPr>
        <w:t>000</w:t>
      </w:r>
      <w:r w:rsidR="006412AC">
        <w:rPr>
          <w:rFonts w:cs="Times New Roman"/>
          <w:lang w:val="fr-CA"/>
        </w:rPr>
        <w:t xml:space="preserve"> </w:t>
      </w:r>
      <w:r>
        <w:rPr>
          <w:rFonts w:cs="Times New Roman"/>
          <w:lang w:val="fr-CA"/>
        </w:rPr>
        <w:t>$</w:t>
      </w:r>
      <w:r w:rsidRPr="009061A9">
        <w:rPr>
          <w:rFonts w:cs="Times New Roman"/>
          <w:lang w:val="fr-CA"/>
        </w:rPr>
        <w:t>US, et a é</w:t>
      </w:r>
      <w:r>
        <w:rPr>
          <w:rFonts w:cs="Times New Roman"/>
          <w:lang w:val="fr-CA"/>
        </w:rPr>
        <w:t xml:space="preserve">tendu </w:t>
      </w:r>
      <w:r w:rsidRPr="009061A9">
        <w:rPr>
          <w:rFonts w:cs="Times New Roman"/>
          <w:lang w:val="fr-CA"/>
        </w:rPr>
        <w:t xml:space="preserve">les circonstances dans lesquelles les transporteurs pouvaient être tenus responsables en application de la </w:t>
      </w:r>
      <w:r w:rsidRPr="009061A9">
        <w:rPr>
          <w:rFonts w:cs="Times New Roman"/>
          <w:i/>
          <w:lang w:val="fr-CA"/>
        </w:rPr>
        <w:t>Convention de Varsovie</w:t>
      </w:r>
      <w:r w:rsidRPr="009061A9">
        <w:rPr>
          <w:rFonts w:cs="Times New Roman"/>
          <w:lang w:val="fr-CA"/>
        </w:rPr>
        <w:t xml:space="preserve"> (</w:t>
      </w:r>
      <w:r w:rsidRPr="009061A9">
        <w:rPr>
          <w:rFonts w:cs="Times New Roman"/>
          <w:i/>
          <w:iCs/>
          <w:lang w:val="fr-CA"/>
        </w:rPr>
        <w:t>Protocole portant modification de la Convention pour l</w:t>
      </w:r>
      <w:r>
        <w:rPr>
          <w:rFonts w:cs="Times New Roman"/>
          <w:i/>
          <w:iCs/>
          <w:lang w:val="fr-CA"/>
        </w:rPr>
        <w:t>’</w:t>
      </w:r>
      <w:r w:rsidRPr="009061A9">
        <w:rPr>
          <w:rFonts w:cs="Times New Roman"/>
          <w:i/>
          <w:iCs/>
          <w:lang w:val="fr-CA"/>
        </w:rPr>
        <w:t xml:space="preserve">unification de certaines </w:t>
      </w:r>
      <w:r w:rsidRPr="009061A9">
        <w:rPr>
          <w:rFonts w:cs="Times New Roman"/>
          <w:i/>
          <w:iCs/>
          <w:lang w:val="fr-CA"/>
        </w:rPr>
        <w:lastRenderedPageBreak/>
        <w:t>règles relatives au transport aérien international signée à Varsovie le 12 octobre 1929 amendée par le Protocole fait</w:t>
      </w:r>
      <w:r>
        <w:rPr>
          <w:rFonts w:cs="Times New Roman"/>
          <w:i/>
          <w:iCs/>
          <w:lang w:val="fr-CA"/>
        </w:rPr>
        <w:t xml:space="preserve"> à La Haye le 28</w:t>
      </w:r>
      <w:r w:rsidR="006412AC">
        <w:rPr>
          <w:rFonts w:cs="Times New Roman"/>
          <w:i/>
          <w:iCs/>
          <w:lang w:val="fr-CA"/>
        </w:rPr>
        <w:t xml:space="preserve"> </w:t>
      </w:r>
      <w:r w:rsidRPr="009061A9">
        <w:rPr>
          <w:rFonts w:cs="Times New Roman"/>
          <w:i/>
          <w:iCs/>
          <w:lang w:val="fr-CA"/>
        </w:rPr>
        <w:t>septembre 1955</w:t>
      </w:r>
      <w:r w:rsidRPr="009D688E">
        <w:rPr>
          <w:rFonts w:cs="Times New Roman"/>
          <w:iCs/>
          <w:lang w:val="fr-CA"/>
        </w:rPr>
        <w:t>,</w:t>
      </w:r>
      <w:r w:rsidRPr="00D50E4C">
        <w:rPr>
          <w:rFonts w:cs="Times New Roman"/>
          <w:iCs/>
          <w:lang w:val="fr-CA"/>
        </w:rPr>
        <w:t xml:space="preserve"> signé</w:t>
      </w:r>
      <w:r>
        <w:rPr>
          <w:rFonts w:cs="Times New Roman"/>
          <w:lang w:val="fr-CA"/>
        </w:rPr>
        <w:t xml:space="preserve"> à Guatemala le</w:t>
      </w:r>
      <w:r w:rsidRPr="009061A9">
        <w:rPr>
          <w:rFonts w:cs="Times New Roman"/>
          <w:lang w:val="fr-CA"/>
        </w:rPr>
        <w:t xml:space="preserve"> </w:t>
      </w:r>
      <w:r>
        <w:rPr>
          <w:rFonts w:cs="Times New Roman"/>
          <w:lang w:val="fr-CA"/>
        </w:rPr>
        <w:t>8</w:t>
      </w:r>
      <w:r w:rsidR="006412AC">
        <w:rPr>
          <w:rFonts w:cs="Times New Roman"/>
          <w:lang w:val="fr-CA"/>
        </w:rPr>
        <w:t xml:space="preserve"> </w:t>
      </w:r>
      <w:r w:rsidRPr="009061A9">
        <w:rPr>
          <w:rFonts w:cs="Times New Roman"/>
          <w:lang w:val="fr-CA"/>
        </w:rPr>
        <w:t>mars 1971</w:t>
      </w:r>
      <w:r>
        <w:rPr>
          <w:rFonts w:cs="Times New Roman"/>
          <w:lang w:val="fr-CA"/>
        </w:rPr>
        <w:t xml:space="preserve"> (</w:t>
      </w:r>
      <w:r w:rsidR="008456C5">
        <w:rPr>
          <w:rFonts w:cs="Times New Roman"/>
          <w:lang w:val="fr-CA"/>
        </w:rPr>
        <w:t>non</w:t>
      </w:r>
      <w:r>
        <w:rPr>
          <w:rFonts w:cs="Times New Roman"/>
          <w:lang w:val="fr-CA"/>
        </w:rPr>
        <w:t xml:space="preserve"> en vigueur)</w:t>
      </w:r>
      <w:r w:rsidRPr="009061A9">
        <w:rPr>
          <w:rFonts w:cs="Times New Roman"/>
          <w:lang w:val="fr-CA"/>
        </w:rPr>
        <w:t>)</w:t>
      </w:r>
      <w:r>
        <w:rPr>
          <w:rFonts w:cs="Times New Roman"/>
          <w:lang w:val="fr-CA"/>
        </w:rPr>
        <w:t xml:space="preserve">.  </w:t>
      </w:r>
      <w:r w:rsidRPr="009061A9">
        <w:rPr>
          <w:rFonts w:cs="Times New Roman"/>
          <w:lang w:val="fr-CA"/>
        </w:rPr>
        <w:t xml:space="preserve">La </w:t>
      </w:r>
      <w:r w:rsidRPr="009061A9">
        <w:rPr>
          <w:rFonts w:cs="Times New Roman"/>
          <w:i/>
          <w:lang w:val="fr-CA"/>
        </w:rPr>
        <w:t>Convention de Guadalajara</w:t>
      </w:r>
      <w:r w:rsidRPr="009061A9">
        <w:rPr>
          <w:rFonts w:cs="Times New Roman"/>
          <w:lang w:val="fr-CA"/>
        </w:rPr>
        <w:t xml:space="preserve"> de 1961 a élargi le régime de responsabilité de la </w:t>
      </w:r>
      <w:r w:rsidRPr="009061A9">
        <w:rPr>
          <w:rFonts w:cs="Times New Roman"/>
          <w:i/>
          <w:lang w:val="fr-CA"/>
        </w:rPr>
        <w:t>Convention de Varsovie</w:t>
      </w:r>
      <w:r w:rsidRPr="009061A9">
        <w:rPr>
          <w:rFonts w:cs="Times New Roman"/>
          <w:lang w:val="fr-CA"/>
        </w:rPr>
        <w:t xml:space="preserve"> </w:t>
      </w:r>
      <w:r>
        <w:rPr>
          <w:rFonts w:cs="Times New Roman"/>
          <w:lang w:val="fr-CA"/>
        </w:rPr>
        <w:t xml:space="preserve">pour qu’il protège </w:t>
      </w:r>
      <w:r w:rsidRPr="009061A9">
        <w:rPr>
          <w:rFonts w:cs="Times New Roman"/>
          <w:lang w:val="fr-CA"/>
        </w:rPr>
        <w:t>à la fois le transporteur contract</w:t>
      </w:r>
      <w:r>
        <w:rPr>
          <w:rFonts w:cs="Times New Roman"/>
          <w:lang w:val="fr-CA"/>
        </w:rPr>
        <w:t>uel</w:t>
      </w:r>
      <w:r w:rsidRPr="009061A9">
        <w:rPr>
          <w:rFonts w:cs="Times New Roman"/>
          <w:lang w:val="fr-CA"/>
        </w:rPr>
        <w:t xml:space="preserve"> </w:t>
      </w:r>
      <w:r w:rsidRPr="009061A9">
        <w:rPr>
          <w:rFonts w:cs="Times New Roman"/>
          <w:i/>
          <w:lang w:val="fr-CA"/>
        </w:rPr>
        <w:t xml:space="preserve">et </w:t>
      </w:r>
      <w:r w:rsidRPr="009061A9">
        <w:rPr>
          <w:rFonts w:cs="Times New Roman"/>
          <w:lang w:val="fr-CA"/>
        </w:rPr>
        <w:t>le transporteur qui a effectivement fourni le service (</w:t>
      </w:r>
      <w:r w:rsidRPr="009061A9">
        <w:rPr>
          <w:rFonts w:cs="Times New Roman"/>
          <w:i/>
          <w:iCs/>
          <w:lang w:val="fr-CA"/>
        </w:rPr>
        <w:t>Convention</w:t>
      </w:r>
      <w:r w:rsidR="003734C3">
        <w:rPr>
          <w:rFonts w:cs="Times New Roman"/>
          <w:i/>
          <w:iCs/>
          <w:lang w:val="fr-CA"/>
        </w:rPr>
        <w:t>,</w:t>
      </w:r>
      <w:r w:rsidRPr="009061A9">
        <w:rPr>
          <w:rFonts w:cs="Times New Roman"/>
          <w:i/>
          <w:iCs/>
          <w:lang w:val="fr-CA"/>
        </w:rPr>
        <w:t xml:space="preserve"> complémentaire à la Convention de Varsovie, pour l</w:t>
      </w:r>
      <w:r>
        <w:rPr>
          <w:rFonts w:cs="Times New Roman"/>
          <w:i/>
          <w:iCs/>
          <w:lang w:val="fr-CA"/>
        </w:rPr>
        <w:t>’</w:t>
      </w:r>
      <w:r w:rsidRPr="009061A9">
        <w:rPr>
          <w:rFonts w:cs="Times New Roman"/>
          <w:i/>
          <w:iCs/>
          <w:lang w:val="fr-CA"/>
        </w:rPr>
        <w:t>unification de certaines règles relatives au transport aérien international effectué par une personne autre que le transporteur contractuel</w:t>
      </w:r>
      <w:r w:rsidRPr="009061A9">
        <w:rPr>
          <w:rFonts w:cs="Times New Roman"/>
          <w:lang w:val="fr-CA"/>
        </w:rPr>
        <w:t xml:space="preserve">, </w:t>
      </w:r>
      <w:r>
        <w:rPr>
          <w:rFonts w:cs="Times New Roman"/>
          <w:lang w:val="fr-CA"/>
        </w:rPr>
        <w:t xml:space="preserve">signée </w:t>
      </w:r>
      <w:r w:rsidRPr="009D688E">
        <w:rPr>
          <w:rFonts w:cs="Times New Roman"/>
          <w:lang w:val="fr-CA"/>
        </w:rPr>
        <w:t>à Guadalajara</w:t>
      </w:r>
      <w:r>
        <w:rPr>
          <w:rFonts w:cs="Times New Roman"/>
          <w:lang w:val="fr-CA"/>
        </w:rPr>
        <w:t xml:space="preserve"> le 18</w:t>
      </w:r>
      <w:r w:rsidR="006412AC">
        <w:rPr>
          <w:rFonts w:cs="Times New Roman"/>
          <w:lang w:val="fr-CA"/>
        </w:rPr>
        <w:t xml:space="preserve"> </w:t>
      </w:r>
      <w:r w:rsidRPr="009061A9">
        <w:rPr>
          <w:rFonts w:cs="Times New Roman"/>
          <w:lang w:val="fr-CA"/>
        </w:rPr>
        <w:t>septembre 1961</w:t>
      </w:r>
      <w:r>
        <w:rPr>
          <w:rFonts w:cs="Times New Roman"/>
          <w:lang w:val="fr-CA"/>
        </w:rPr>
        <w:t xml:space="preserve">, 500 R.T.N.U. 31, reproduite à l’annexe V de la </w:t>
      </w:r>
      <w:r>
        <w:rPr>
          <w:rFonts w:cs="Times New Roman"/>
          <w:i/>
          <w:lang w:val="fr-CA"/>
        </w:rPr>
        <w:t>Loi sur le transport aérien</w:t>
      </w:r>
      <w:r w:rsidRPr="009061A9">
        <w:rPr>
          <w:rFonts w:cs="Times New Roman"/>
          <w:lang w:val="fr-CA"/>
        </w:rPr>
        <w:t>)</w:t>
      </w:r>
      <w:r>
        <w:rPr>
          <w:rFonts w:cs="Times New Roman"/>
          <w:lang w:val="fr-CA"/>
        </w:rPr>
        <w:t xml:space="preserve">.  </w:t>
      </w:r>
      <w:r w:rsidRPr="009061A9">
        <w:rPr>
          <w:rFonts w:cs="Times New Roman"/>
          <w:lang w:val="fr-CA"/>
        </w:rPr>
        <w:t xml:space="preserve">En outre, le </w:t>
      </w:r>
      <w:r w:rsidRPr="009061A9">
        <w:rPr>
          <w:rFonts w:cs="Times New Roman"/>
          <w:i/>
          <w:lang w:val="fr-CA"/>
        </w:rPr>
        <w:t>Protocole</w:t>
      </w:r>
      <w:r w:rsidRPr="006C0FD2">
        <w:rPr>
          <w:rFonts w:eastAsia="Times New Roman" w:cs="Times New Roman"/>
          <w:i/>
          <w:szCs w:val="24"/>
          <w:lang w:val="fr-CA" w:eastAsia="en-CA"/>
        </w:rPr>
        <w:t xml:space="preserve"> </w:t>
      </w:r>
      <w:r w:rsidRPr="006C0FD2">
        <w:rPr>
          <w:rFonts w:cs="Times New Roman"/>
          <w:i/>
          <w:lang w:val="fr-CA"/>
        </w:rPr>
        <w:t xml:space="preserve">de Montréal </w:t>
      </w:r>
      <w:r w:rsidR="00863518">
        <w:rPr>
          <w:rFonts w:cs="Times New Roman"/>
          <w:i/>
          <w:lang w:val="fr-CA"/>
        </w:rPr>
        <w:t>N</w:t>
      </w:r>
      <w:r w:rsidRPr="006C0FD2">
        <w:rPr>
          <w:rFonts w:cs="Times New Roman"/>
          <w:i/>
          <w:vertAlign w:val="superscript"/>
          <w:lang w:val="fr-CA"/>
        </w:rPr>
        <w:t>o</w:t>
      </w:r>
      <w:r w:rsidR="006412AC">
        <w:rPr>
          <w:rFonts w:cs="Times New Roman"/>
          <w:i/>
          <w:lang w:val="fr-CA"/>
        </w:rPr>
        <w:t xml:space="preserve"> </w:t>
      </w:r>
      <w:r>
        <w:rPr>
          <w:rFonts w:cs="Times New Roman"/>
          <w:i/>
          <w:lang w:val="fr-CA"/>
        </w:rPr>
        <w:t>4</w:t>
      </w:r>
      <w:r w:rsidRPr="009061A9">
        <w:rPr>
          <w:rFonts w:cs="Times New Roman"/>
          <w:i/>
          <w:lang w:val="fr-CA"/>
        </w:rPr>
        <w:t xml:space="preserve"> </w:t>
      </w:r>
      <w:r w:rsidRPr="009061A9">
        <w:rPr>
          <w:rFonts w:cs="Times New Roman"/>
          <w:lang w:val="fr-CA"/>
        </w:rPr>
        <w:t>de 1999 a augmenté les limites de responsabilité à l’égard des marchandises (</w:t>
      </w:r>
      <w:r w:rsidRPr="009061A9">
        <w:rPr>
          <w:rFonts w:cs="Times New Roman"/>
          <w:i/>
          <w:lang w:val="fr-CA"/>
        </w:rPr>
        <w:t xml:space="preserve">Protocole de Montréal </w:t>
      </w:r>
      <w:r w:rsidR="00863518">
        <w:rPr>
          <w:rFonts w:cs="Times New Roman"/>
          <w:i/>
          <w:lang w:val="fr-CA"/>
        </w:rPr>
        <w:t>N</w:t>
      </w:r>
      <w:r w:rsidRPr="009061A9">
        <w:rPr>
          <w:rFonts w:cs="Times New Roman"/>
          <w:i/>
          <w:vertAlign w:val="superscript"/>
          <w:lang w:val="fr-CA"/>
        </w:rPr>
        <w:t>o</w:t>
      </w:r>
      <w:r w:rsidRPr="009061A9">
        <w:rPr>
          <w:rFonts w:cs="Times New Roman"/>
          <w:i/>
          <w:lang w:val="fr-CA"/>
        </w:rPr>
        <w:t xml:space="preserve"> 4 portant modification de la Convention pour l’unification de certaines règles relatives au transport aérien international</w:t>
      </w:r>
      <w:r>
        <w:rPr>
          <w:rFonts w:cs="Times New Roman"/>
          <w:lang w:val="fr-CA"/>
        </w:rPr>
        <w:t>, 25</w:t>
      </w:r>
      <w:r w:rsidR="006412AC">
        <w:rPr>
          <w:rFonts w:cs="Times New Roman"/>
          <w:lang w:val="fr-CA"/>
        </w:rPr>
        <w:t xml:space="preserve"> </w:t>
      </w:r>
      <w:r>
        <w:rPr>
          <w:rFonts w:cs="Times New Roman"/>
          <w:lang w:val="fr-CA"/>
        </w:rPr>
        <w:t xml:space="preserve">septembre 1975; </w:t>
      </w:r>
      <w:r w:rsidRPr="009061A9">
        <w:rPr>
          <w:rFonts w:cs="Times New Roman"/>
          <w:lang w:val="fr-CA"/>
        </w:rPr>
        <w:t xml:space="preserve">Dempsey et </w:t>
      </w:r>
      <w:proofErr w:type="spellStart"/>
      <w:r w:rsidRPr="009061A9">
        <w:rPr>
          <w:rFonts w:cs="Times New Roman"/>
          <w:lang w:val="fr-CA"/>
        </w:rPr>
        <w:t>Milde</w:t>
      </w:r>
      <w:proofErr w:type="spellEnd"/>
      <w:r w:rsidRPr="009061A9">
        <w:rPr>
          <w:rFonts w:cs="Times New Roman"/>
          <w:lang w:val="fr-CA"/>
        </w:rPr>
        <w:t xml:space="preserve">, </w:t>
      </w:r>
      <w:r>
        <w:rPr>
          <w:rFonts w:cs="Times New Roman"/>
          <w:lang w:val="fr-CA"/>
        </w:rPr>
        <w:t>p.</w:t>
      </w:r>
      <w:r w:rsidR="006412AC">
        <w:rPr>
          <w:rFonts w:cs="Times New Roman"/>
          <w:lang w:val="fr-CA"/>
        </w:rPr>
        <w:t xml:space="preserve"> </w:t>
      </w:r>
      <w:r w:rsidRPr="009061A9">
        <w:rPr>
          <w:rFonts w:cs="Times New Roman"/>
          <w:lang w:val="fr-CA"/>
        </w:rPr>
        <w:t>17</w:t>
      </w:r>
      <w:r w:rsidR="006412AC">
        <w:rPr>
          <w:rFonts w:cs="Times New Roman"/>
          <w:lang w:val="fr-CA"/>
        </w:rPr>
        <w:t>-</w:t>
      </w:r>
      <w:r>
        <w:rPr>
          <w:rFonts w:cs="Times New Roman"/>
          <w:lang w:val="fr-CA"/>
        </w:rPr>
        <w:t xml:space="preserve">41). </w:t>
      </w:r>
      <w:r w:rsidRPr="009061A9">
        <w:rPr>
          <w:rFonts w:cs="Times New Roman"/>
          <w:lang w:val="fr-CA"/>
        </w:rPr>
        <w:t xml:space="preserve">  </w:t>
      </w:r>
    </w:p>
    <w:p w:rsidR="00367456" w:rsidRPr="009061A9" w:rsidRDefault="00367456" w:rsidP="00A12DCE">
      <w:pPr>
        <w:pStyle w:val="ParaNoNdepar-AltN"/>
        <w:widowControl w:val="0"/>
        <w:rPr>
          <w:rFonts w:cs="Times New Roman"/>
          <w:lang w:val="fr-CA"/>
        </w:rPr>
      </w:pPr>
      <w:r w:rsidRPr="009061A9">
        <w:rPr>
          <w:rFonts w:cs="Times New Roman"/>
          <w:lang w:val="fr-CA"/>
        </w:rPr>
        <w:t>Même s</w:t>
      </w:r>
      <w:r>
        <w:rPr>
          <w:rFonts w:cs="Times New Roman"/>
          <w:lang w:val="fr-CA"/>
        </w:rPr>
        <w:t xml:space="preserve">i l’on reconnaissait </w:t>
      </w:r>
      <w:r w:rsidRPr="009061A9">
        <w:rPr>
          <w:rFonts w:cs="Times New Roman"/>
          <w:lang w:val="fr-CA"/>
        </w:rPr>
        <w:t xml:space="preserve">de plus en plus que </w:t>
      </w:r>
      <w:r>
        <w:rPr>
          <w:rFonts w:cs="Times New Roman"/>
          <w:lang w:val="fr-CA"/>
        </w:rPr>
        <w:t>les indemnités versées aux</w:t>
      </w:r>
      <w:r w:rsidRPr="009061A9">
        <w:rPr>
          <w:rFonts w:cs="Times New Roman"/>
          <w:lang w:val="fr-CA"/>
        </w:rPr>
        <w:t xml:space="preserve"> passagers étai</w:t>
      </w:r>
      <w:r>
        <w:rPr>
          <w:rFonts w:cs="Times New Roman"/>
          <w:lang w:val="fr-CA"/>
        </w:rPr>
        <w:t>en</w:t>
      </w:r>
      <w:r w:rsidRPr="009061A9">
        <w:rPr>
          <w:rFonts w:cs="Times New Roman"/>
          <w:lang w:val="fr-CA"/>
        </w:rPr>
        <w:t xml:space="preserve">t </w:t>
      </w:r>
      <w:r>
        <w:rPr>
          <w:rFonts w:cs="Times New Roman"/>
          <w:lang w:val="fr-CA"/>
        </w:rPr>
        <w:t>trop faibles</w:t>
      </w:r>
      <w:r w:rsidRPr="009061A9">
        <w:rPr>
          <w:rFonts w:cs="Times New Roman"/>
          <w:lang w:val="fr-CA"/>
        </w:rPr>
        <w:t>, la conclusion d’un instrument international unique accroissant les plafonds de responsabilité de</w:t>
      </w:r>
      <w:r>
        <w:rPr>
          <w:rFonts w:cs="Times New Roman"/>
          <w:lang w:val="fr-CA"/>
        </w:rPr>
        <w:t>s</w:t>
      </w:r>
      <w:r w:rsidRPr="009061A9">
        <w:rPr>
          <w:rFonts w:cs="Times New Roman"/>
          <w:lang w:val="fr-CA"/>
        </w:rPr>
        <w:t xml:space="preserve"> transporteurs </w:t>
      </w:r>
      <w:r>
        <w:rPr>
          <w:rFonts w:cs="Times New Roman"/>
          <w:lang w:val="fr-CA"/>
        </w:rPr>
        <w:t>se révélait</w:t>
      </w:r>
      <w:r w:rsidRPr="009061A9">
        <w:rPr>
          <w:rFonts w:cs="Times New Roman"/>
          <w:lang w:val="fr-CA"/>
        </w:rPr>
        <w:t xml:space="preserve"> hors d</w:t>
      </w:r>
      <w:r>
        <w:rPr>
          <w:rFonts w:cs="Times New Roman"/>
          <w:lang w:val="fr-CA"/>
        </w:rPr>
        <w:t xml:space="preserve">’atteinte.  </w:t>
      </w:r>
      <w:r w:rsidRPr="009061A9">
        <w:rPr>
          <w:rFonts w:cs="Times New Roman"/>
          <w:lang w:val="fr-CA"/>
        </w:rPr>
        <w:t xml:space="preserve">Craignant que cette réponse hétéroclite </w:t>
      </w:r>
      <w:r>
        <w:rPr>
          <w:rFonts w:cs="Times New Roman"/>
          <w:lang w:val="fr-CA"/>
        </w:rPr>
        <w:t xml:space="preserve">entraîne </w:t>
      </w:r>
      <w:r w:rsidRPr="009061A9">
        <w:rPr>
          <w:rFonts w:cs="Times New Roman"/>
          <w:lang w:val="fr-CA"/>
        </w:rPr>
        <w:t>la disparition d’un système unifié de droit aérien international, l’industrie a agi</w:t>
      </w:r>
      <w:r>
        <w:rPr>
          <w:rFonts w:cs="Times New Roman"/>
          <w:lang w:val="fr-CA"/>
        </w:rPr>
        <w:t xml:space="preserve">.  </w:t>
      </w:r>
      <w:r w:rsidRPr="009061A9">
        <w:rPr>
          <w:rFonts w:cs="Times New Roman"/>
          <w:lang w:val="fr-CA"/>
        </w:rPr>
        <w:t>L’</w:t>
      </w:r>
      <w:r w:rsidRPr="009061A9">
        <w:rPr>
          <w:rFonts w:cs="Times New Roman"/>
          <w:i/>
          <w:lang w:val="fr-CA"/>
        </w:rPr>
        <w:t>Accord de Montréal</w:t>
      </w:r>
      <w:r w:rsidRPr="009061A9">
        <w:rPr>
          <w:rFonts w:cs="Times New Roman"/>
          <w:lang w:val="fr-CA"/>
        </w:rPr>
        <w:t xml:space="preserve"> de 1966, un accord privé entre transporteurs aériens, a augmenté </w:t>
      </w:r>
      <w:r w:rsidRPr="00337170">
        <w:rPr>
          <w:rFonts w:cs="Times New Roman"/>
          <w:lang w:val="fr-CA"/>
        </w:rPr>
        <w:t>à un maximum de 75</w:t>
      </w:r>
      <w:r w:rsidR="006412AC">
        <w:rPr>
          <w:rFonts w:cs="Times New Roman"/>
          <w:lang w:val="fr-CA"/>
        </w:rPr>
        <w:t xml:space="preserve"> </w:t>
      </w:r>
      <w:r w:rsidRPr="00337170">
        <w:rPr>
          <w:rFonts w:cs="Times New Roman"/>
          <w:lang w:val="fr-CA"/>
        </w:rPr>
        <w:t>000</w:t>
      </w:r>
      <w:r w:rsidR="006412AC">
        <w:rPr>
          <w:rFonts w:cs="Times New Roman"/>
          <w:lang w:val="fr-CA"/>
        </w:rPr>
        <w:t xml:space="preserve"> </w:t>
      </w:r>
      <w:r>
        <w:rPr>
          <w:rFonts w:cs="Times New Roman"/>
          <w:lang w:val="fr-CA"/>
        </w:rPr>
        <w:t>$</w:t>
      </w:r>
      <w:r w:rsidRPr="00337170">
        <w:rPr>
          <w:rFonts w:cs="Times New Roman"/>
          <w:lang w:val="fr-CA"/>
        </w:rPr>
        <w:t xml:space="preserve">US </w:t>
      </w:r>
      <w:r w:rsidRPr="009061A9">
        <w:rPr>
          <w:rFonts w:cs="Times New Roman"/>
          <w:lang w:val="fr-CA"/>
        </w:rPr>
        <w:t xml:space="preserve">la responsabilité des transporteurs prévue dans la </w:t>
      </w:r>
      <w:r w:rsidRPr="009061A9">
        <w:rPr>
          <w:rFonts w:cs="Times New Roman"/>
          <w:i/>
          <w:lang w:val="fr-CA"/>
        </w:rPr>
        <w:t xml:space="preserve">Convention de Varsovie </w:t>
      </w:r>
      <w:r w:rsidRPr="009061A9">
        <w:rPr>
          <w:rFonts w:cs="Times New Roman"/>
          <w:lang w:val="fr-CA"/>
        </w:rPr>
        <w:t xml:space="preserve">au titre des </w:t>
      </w:r>
      <w:r>
        <w:rPr>
          <w:rFonts w:cs="Times New Roman"/>
          <w:lang w:val="fr-CA"/>
        </w:rPr>
        <w:t>lésion</w:t>
      </w:r>
      <w:r w:rsidRPr="009061A9">
        <w:rPr>
          <w:rFonts w:cs="Times New Roman"/>
          <w:lang w:val="fr-CA"/>
        </w:rPr>
        <w:t xml:space="preserve">s corporelles subies pendant le transport </w:t>
      </w:r>
      <w:r>
        <w:rPr>
          <w:rFonts w:cs="Times New Roman"/>
          <w:lang w:val="fr-CA"/>
        </w:rPr>
        <w:t xml:space="preserve">au départ ou à </w:t>
      </w:r>
      <w:r w:rsidRPr="009061A9">
        <w:rPr>
          <w:rFonts w:cs="Times New Roman"/>
          <w:lang w:val="fr-CA"/>
        </w:rPr>
        <w:t>destination des</w:t>
      </w:r>
      <w:r w:rsidR="006412AC">
        <w:rPr>
          <w:rFonts w:cs="Times New Roman"/>
          <w:lang w:val="fr-CA"/>
        </w:rPr>
        <w:t xml:space="preserve"> </w:t>
      </w:r>
      <w:r w:rsidRPr="009061A9">
        <w:rPr>
          <w:rFonts w:cs="Times New Roman"/>
          <w:lang w:val="fr-CA"/>
        </w:rPr>
        <w:t>États</w:t>
      </w:r>
      <w:r w:rsidR="006412AC">
        <w:rPr>
          <w:rFonts w:cs="Times New Roman"/>
          <w:lang w:val="fr-CA"/>
        </w:rPr>
        <w:t>-</w:t>
      </w:r>
      <w:r w:rsidRPr="009061A9">
        <w:rPr>
          <w:rFonts w:cs="Times New Roman"/>
          <w:lang w:val="fr-CA"/>
        </w:rPr>
        <w:t>Unis ou pendant le transport transitant</w:t>
      </w:r>
      <w:r w:rsidR="006412AC">
        <w:rPr>
          <w:rFonts w:cs="Times New Roman"/>
          <w:lang w:val="fr-CA"/>
        </w:rPr>
        <w:t xml:space="preserve"> </w:t>
      </w:r>
      <w:r w:rsidRPr="009061A9">
        <w:rPr>
          <w:rFonts w:cs="Times New Roman"/>
          <w:lang w:val="fr-CA"/>
        </w:rPr>
        <w:t>par ce pays (</w:t>
      </w:r>
      <w:r w:rsidRPr="009061A9">
        <w:rPr>
          <w:rFonts w:cs="Times New Roman"/>
          <w:i/>
          <w:lang w:val="fr-CA"/>
        </w:rPr>
        <w:t xml:space="preserve">Agreement </w:t>
      </w:r>
      <w:proofErr w:type="spellStart"/>
      <w:r w:rsidRPr="009061A9">
        <w:rPr>
          <w:rFonts w:cs="Times New Roman"/>
          <w:i/>
          <w:lang w:val="fr-CA"/>
        </w:rPr>
        <w:t>Relating</w:t>
      </w:r>
      <w:proofErr w:type="spellEnd"/>
      <w:r w:rsidRPr="009061A9">
        <w:rPr>
          <w:rFonts w:cs="Times New Roman"/>
          <w:i/>
          <w:lang w:val="fr-CA"/>
        </w:rPr>
        <w:t xml:space="preserve"> to </w:t>
      </w:r>
      <w:proofErr w:type="spellStart"/>
      <w:r w:rsidRPr="009061A9">
        <w:rPr>
          <w:rFonts w:cs="Times New Roman"/>
          <w:i/>
          <w:lang w:val="fr-CA"/>
        </w:rPr>
        <w:t>Liability</w:t>
      </w:r>
      <w:proofErr w:type="spellEnd"/>
      <w:r w:rsidRPr="009061A9">
        <w:rPr>
          <w:rFonts w:cs="Times New Roman"/>
          <w:i/>
          <w:lang w:val="fr-CA"/>
        </w:rPr>
        <w:t xml:space="preserve"> Limitations of the </w:t>
      </w:r>
      <w:proofErr w:type="spellStart"/>
      <w:r w:rsidRPr="009061A9">
        <w:rPr>
          <w:rFonts w:cs="Times New Roman"/>
          <w:i/>
          <w:lang w:val="fr-CA"/>
        </w:rPr>
        <w:t>Warsaw</w:t>
      </w:r>
      <w:proofErr w:type="spellEnd"/>
      <w:r w:rsidRPr="009061A9">
        <w:rPr>
          <w:rFonts w:cs="Times New Roman"/>
          <w:i/>
          <w:lang w:val="fr-CA"/>
        </w:rPr>
        <w:t xml:space="preserve"> Convention and the Hague Protocol</w:t>
      </w:r>
      <w:r w:rsidRPr="009061A9">
        <w:rPr>
          <w:rFonts w:cs="Times New Roman"/>
          <w:lang w:val="fr-CA"/>
        </w:rPr>
        <w:t>, 13 mai 1966)</w:t>
      </w:r>
      <w:r>
        <w:rPr>
          <w:rFonts w:cs="Times New Roman"/>
          <w:lang w:val="fr-CA"/>
        </w:rPr>
        <w:t xml:space="preserve">.  </w:t>
      </w:r>
      <w:r w:rsidRPr="009061A9">
        <w:rPr>
          <w:rFonts w:cs="Times New Roman"/>
          <w:lang w:val="fr-CA"/>
        </w:rPr>
        <w:t xml:space="preserve">En </w:t>
      </w:r>
      <w:r w:rsidRPr="009061A9">
        <w:rPr>
          <w:rFonts w:cs="Times New Roman"/>
          <w:lang w:val="fr-CA"/>
        </w:rPr>
        <w:lastRenderedPageBreak/>
        <w:t xml:space="preserve">1974, certains transporteurs européens et japonais ont convenu d’augmenter par leurs tarifs la responsabilité à l’égard des passagers prévue dans la </w:t>
      </w:r>
      <w:r w:rsidRPr="009061A9">
        <w:rPr>
          <w:rFonts w:cs="Times New Roman"/>
          <w:i/>
          <w:lang w:val="fr-CA"/>
        </w:rPr>
        <w:t>Convention de Varsovie</w:t>
      </w:r>
      <w:r w:rsidRPr="009061A9">
        <w:rPr>
          <w:rFonts w:cs="Times New Roman"/>
          <w:lang w:val="fr-CA"/>
        </w:rPr>
        <w:t xml:space="preserve"> jusqu’à concurrence de 58</w:t>
      </w:r>
      <w:r w:rsidR="006412AC">
        <w:rPr>
          <w:rFonts w:cs="Times New Roman"/>
          <w:lang w:val="fr-CA"/>
        </w:rPr>
        <w:t xml:space="preserve"> </w:t>
      </w:r>
      <w:r w:rsidRPr="009061A9">
        <w:rPr>
          <w:rFonts w:cs="Times New Roman"/>
          <w:lang w:val="fr-CA"/>
        </w:rPr>
        <w:t>000</w:t>
      </w:r>
      <w:r w:rsidR="006412AC">
        <w:rPr>
          <w:rFonts w:cs="Times New Roman"/>
          <w:lang w:val="fr-CA"/>
        </w:rPr>
        <w:t xml:space="preserve"> </w:t>
      </w:r>
      <w:r>
        <w:rPr>
          <w:rFonts w:cs="Times New Roman"/>
          <w:lang w:val="fr-CA"/>
        </w:rPr>
        <w:t>$</w:t>
      </w:r>
      <w:r w:rsidRPr="009061A9">
        <w:rPr>
          <w:rFonts w:cs="Times New Roman"/>
          <w:lang w:val="fr-CA"/>
        </w:rPr>
        <w:t>, puis jusqu’à 100</w:t>
      </w:r>
      <w:r w:rsidR="006412AC">
        <w:rPr>
          <w:rFonts w:cs="Times New Roman"/>
          <w:lang w:val="fr-CA"/>
        </w:rPr>
        <w:t xml:space="preserve"> </w:t>
      </w:r>
      <w:r w:rsidRPr="009061A9">
        <w:rPr>
          <w:rFonts w:cs="Times New Roman"/>
          <w:lang w:val="fr-CA"/>
        </w:rPr>
        <w:t>000</w:t>
      </w:r>
      <w:r w:rsidR="006412AC">
        <w:rPr>
          <w:rFonts w:cs="Times New Roman"/>
          <w:lang w:val="fr-CA"/>
        </w:rPr>
        <w:t xml:space="preserve"> </w:t>
      </w:r>
      <w:r>
        <w:rPr>
          <w:rFonts w:cs="Times New Roman"/>
          <w:lang w:val="fr-CA"/>
        </w:rPr>
        <w:t>$</w:t>
      </w:r>
      <w:r w:rsidRPr="009061A9">
        <w:rPr>
          <w:rFonts w:cs="Times New Roman"/>
          <w:lang w:val="fr-CA"/>
        </w:rPr>
        <w:t xml:space="preserve"> (l’accord de Malte)</w:t>
      </w:r>
      <w:r>
        <w:rPr>
          <w:rFonts w:cs="Times New Roman"/>
          <w:lang w:val="fr-CA"/>
        </w:rPr>
        <w:t xml:space="preserve"> (voir Dempsey et </w:t>
      </w:r>
      <w:proofErr w:type="spellStart"/>
      <w:r>
        <w:rPr>
          <w:rFonts w:cs="Times New Roman"/>
          <w:lang w:val="fr-CA"/>
        </w:rPr>
        <w:t>Milde</w:t>
      </w:r>
      <w:proofErr w:type="spellEnd"/>
      <w:r>
        <w:rPr>
          <w:rFonts w:cs="Times New Roman"/>
          <w:lang w:val="fr-CA"/>
        </w:rPr>
        <w:t>, p.</w:t>
      </w:r>
      <w:r w:rsidR="006412AC">
        <w:rPr>
          <w:rFonts w:cs="Times New Roman"/>
          <w:lang w:val="fr-CA"/>
        </w:rPr>
        <w:t xml:space="preserve"> </w:t>
      </w:r>
      <w:r>
        <w:rPr>
          <w:rFonts w:cs="Times New Roman"/>
          <w:lang w:val="fr-CA"/>
        </w:rPr>
        <w:t>29</w:t>
      </w:r>
      <w:r w:rsidR="006412AC">
        <w:rPr>
          <w:rFonts w:cs="Times New Roman"/>
          <w:lang w:val="fr-CA"/>
        </w:rPr>
        <w:t>-</w:t>
      </w:r>
      <w:r>
        <w:rPr>
          <w:rFonts w:cs="Times New Roman"/>
          <w:lang w:val="fr-CA"/>
        </w:rPr>
        <w:t>31).</w:t>
      </w:r>
      <w:r w:rsidRPr="009061A9">
        <w:rPr>
          <w:rFonts w:cs="Times New Roman"/>
          <w:lang w:val="fr-CA"/>
        </w:rPr>
        <w:t xml:space="preserve"> </w:t>
      </w:r>
    </w:p>
    <w:p w:rsidR="00367456" w:rsidRPr="009061A9" w:rsidRDefault="00367456" w:rsidP="00A12DCE">
      <w:pPr>
        <w:pStyle w:val="ParaNoNdepar-AltN"/>
        <w:widowControl w:val="0"/>
        <w:rPr>
          <w:rFonts w:cs="Times New Roman"/>
          <w:lang w:val="fr-CA"/>
        </w:rPr>
      </w:pPr>
      <w:r w:rsidRPr="009061A9">
        <w:rPr>
          <w:rFonts w:cs="Times New Roman"/>
          <w:lang w:val="fr-CA"/>
        </w:rPr>
        <w:t>En 1992, les transporteurs japonais ont effectivement convenu d’un régime de responsabilité</w:t>
      </w:r>
      <w:r>
        <w:rPr>
          <w:rFonts w:cs="Times New Roman"/>
          <w:lang w:val="fr-CA"/>
        </w:rPr>
        <w:t xml:space="preserve"> stricte pour les lésion</w:t>
      </w:r>
      <w:r w:rsidRPr="009061A9">
        <w:rPr>
          <w:rFonts w:cs="Times New Roman"/>
          <w:lang w:val="fr-CA"/>
        </w:rPr>
        <w:t xml:space="preserve">s subies par un passager jusqu’à concurrence d’une limite initiale supérieure à celle établie dans la </w:t>
      </w:r>
      <w:r w:rsidRPr="009061A9">
        <w:rPr>
          <w:rFonts w:cs="Times New Roman"/>
          <w:i/>
          <w:lang w:val="fr-CA"/>
        </w:rPr>
        <w:t>Convention de Varsovie</w:t>
      </w:r>
      <w:r w:rsidRPr="009061A9">
        <w:rPr>
          <w:rFonts w:cs="Times New Roman"/>
          <w:lang w:val="fr-CA"/>
        </w:rPr>
        <w:t>, et d’un [</w:t>
      </w:r>
      <w:r w:rsidRPr="009061A9">
        <w:rPr>
          <w:rFonts w:cs="Times New Roman"/>
          <w:smallCaps/>
          <w:lang w:val="fr-CA"/>
        </w:rPr>
        <w:t>traduction</w:t>
      </w:r>
      <w:r w:rsidRPr="009061A9">
        <w:rPr>
          <w:rFonts w:cs="Times New Roman"/>
          <w:lang w:val="fr-CA"/>
        </w:rPr>
        <w:t xml:space="preserve">] </w:t>
      </w:r>
      <w:r w:rsidR="006412AC">
        <w:rPr>
          <w:rFonts w:cs="Times New Roman"/>
          <w:lang w:val="fr-CA"/>
        </w:rPr>
        <w:t>« </w:t>
      </w:r>
      <w:r w:rsidRPr="009061A9">
        <w:rPr>
          <w:rFonts w:cs="Times New Roman"/>
          <w:lang w:val="fr-CA"/>
        </w:rPr>
        <w:t>régime fondé sur</w:t>
      </w:r>
      <w:r w:rsidR="006412AC">
        <w:rPr>
          <w:rFonts w:cs="Times New Roman"/>
          <w:lang w:val="fr-CA"/>
        </w:rPr>
        <w:t xml:space="preserve"> </w:t>
      </w:r>
      <w:r w:rsidRPr="009061A9">
        <w:rPr>
          <w:rFonts w:cs="Times New Roman"/>
          <w:lang w:val="fr-CA"/>
        </w:rPr>
        <w:t>la</w:t>
      </w:r>
      <w:r w:rsidR="006412AC">
        <w:rPr>
          <w:rFonts w:cs="Times New Roman"/>
          <w:lang w:val="fr-CA"/>
        </w:rPr>
        <w:t xml:space="preserve"> </w:t>
      </w:r>
      <w:r w:rsidRPr="009061A9">
        <w:rPr>
          <w:rFonts w:cs="Times New Roman"/>
          <w:lang w:val="fr-CA"/>
        </w:rPr>
        <w:t>faute avec</w:t>
      </w:r>
      <w:r w:rsidR="006412AC">
        <w:rPr>
          <w:rFonts w:cs="Times New Roman"/>
          <w:lang w:val="fr-CA"/>
        </w:rPr>
        <w:t xml:space="preserve"> </w:t>
      </w:r>
      <w:r w:rsidRPr="009061A9">
        <w:rPr>
          <w:rFonts w:cs="Times New Roman"/>
          <w:lang w:val="fr-CA"/>
        </w:rPr>
        <w:t>inversion</w:t>
      </w:r>
      <w:r w:rsidR="006412AC">
        <w:rPr>
          <w:rFonts w:cs="Times New Roman"/>
          <w:lang w:val="fr-CA"/>
        </w:rPr>
        <w:t xml:space="preserve"> </w:t>
      </w:r>
      <w:r w:rsidRPr="009061A9">
        <w:rPr>
          <w:rFonts w:cs="Times New Roman"/>
          <w:lang w:val="fr-CA"/>
        </w:rPr>
        <w:t>d</w:t>
      </w:r>
      <w:r>
        <w:rPr>
          <w:rFonts w:cs="Times New Roman"/>
          <w:lang w:val="fr-CA"/>
        </w:rPr>
        <w:t>u fardeau</w:t>
      </w:r>
      <w:r w:rsidRPr="009061A9">
        <w:rPr>
          <w:rFonts w:cs="Times New Roman"/>
          <w:lang w:val="fr-CA"/>
        </w:rPr>
        <w:t xml:space="preserve"> de</w:t>
      </w:r>
      <w:r w:rsidR="006412AC">
        <w:rPr>
          <w:rFonts w:cs="Times New Roman"/>
          <w:lang w:val="fr-CA"/>
        </w:rPr>
        <w:t xml:space="preserve"> </w:t>
      </w:r>
      <w:r w:rsidRPr="009061A9">
        <w:rPr>
          <w:rFonts w:cs="Times New Roman"/>
          <w:lang w:val="fr-CA"/>
        </w:rPr>
        <w:t>la</w:t>
      </w:r>
      <w:r w:rsidR="006412AC">
        <w:rPr>
          <w:rFonts w:cs="Times New Roman"/>
          <w:lang w:val="fr-CA"/>
        </w:rPr>
        <w:t xml:space="preserve"> </w:t>
      </w:r>
      <w:r w:rsidRPr="009061A9">
        <w:rPr>
          <w:rFonts w:cs="Times New Roman"/>
          <w:lang w:val="fr-CA"/>
        </w:rPr>
        <w:t>preuve</w:t>
      </w:r>
      <w:r w:rsidR="006412AC">
        <w:rPr>
          <w:rFonts w:cs="Times New Roman"/>
          <w:lang w:val="fr-CA"/>
        </w:rPr>
        <w:t> »</w:t>
      </w:r>
      <w:r w:rsidRPr="009061A9">
        <w:rPr>
          <w:rFonts w:cs="Times New Roman"/>
          <w:lang w:val="fr-CA"/>
        </w:rPr>
        <w:t xml:space="preserve"> qui s’appliquerait par la suite, sans limite</w:t>
      </w:r>
      <w:r>
        <w:rPr>
          <w:rFonts w:cs="Times New Roman"/>
          <w:lang w:val="fr-CA"/>
        </w:rPr>
        <w:t>s</w:t>
      </w:r>
      <w:r w:rsidRPr="009061A9">
        <w:rPr>
          <w:rFonts w:cs="Times New Roman"/>
          <w:lang w:val="fr-CA"/>
        </w:rPr>
        <w:t xml:space="preserve"> (l’Initiative japonaise)</w:t>
      </w:r>
      <w:r>
        <w:rPr>
          <w:rFonts w:cs="Times New Roman"/>
          <w:lang w:val="fr-CA"/>
        </w:rPr>
        <w:t xml:space="preserve"> (Dempsey et </w:t>
      </w:r>
      <w:proofErr w:type="spellStart"/>
      <w:r>
        <w:rPr>
          <w:rFonts w:cs="Times New Roman"/>
          <w:lang w:val="fr-CA"/>
        </w:rPr>
        <w:t>Milde</w:t>
      </w:r>
      <w:proofErr w:type="spellEnd"/>
      <w:r>
        <w:rPr>
          <w:rFonts w:cs="Times New Roman"/>
          <w:lang w:val="fr-CA"/>
        </w:rPr>
        <w:t>, p.</w:t>
      </w:r>
      <w:r w:rsidR="006412AC">
        <w:rPr>
          <w:rFonts w:cs="Times New Roman"/>
          <w:lang w:val="fr-CA"/>
        </w:rPr>
        <w:t xml:space="preserve"> </w:t>
      </w:r>
      <w:r>
        <w:rPr>
          <w:rFonts w:cs="Times New Roman"/>
          <w:lang w:val="fr-CA"/>
        </w:rPr>
        <w:t xml:space="preserve">32).  </w:t>
      </w:r>
      <w:r w:rsidRPr="009061A9">
        <w:rPr>
          <w:rFonts w:cs="Times New Roman"/>
          <w:lang w:val="fr-CA"/>
        </w:rPr>
        <w:t>En 1995, l’Association du transport aérien international</w:t>
      </w:r>
      <w:r>
        <w:rPr>
          <w:rFonts w:cs="Times New Roman"/>
          <w:lang w:val="fr-CA"/>
        </w:rPr>
        <w:t xml:space="preserve"> (IATA</w:t>
      </w:r>
      <w:r w:rsidRPr="009061A9">
        <w:rPr>
          <w:rFonts w:cs="Times New Roman"/>
          <w:lang w:val="fr-CA"/>
        </w:rPr>
        <w:t>), l’association commerciale des transporteurs aériens du monde, a entériné un accord entre transporteurs qui revoyait les limites de responsabilité [</w:t>
      </w:r>
      <w:r w:rsidRPr="009061A9">
        <w:rPr>
          <w:rFonts w:cs="Times New Roman"/>
          <w:smallCaps/>
          <w:lang w:val="fr-CA"/>
        </w:rPr>
        <w:t>traduction</w:t>
      </w:r>
      <w:r w:rsidRPr="009061A9">
        <w:rPr>
          <w:rFonts w:cs="Times New Roman"/>
          <w:lang w:val="fr-CA"/>
        </w:rPr>
        <w:t xml:space="preserve">] </w:t>
      </w:r>
      <w:r w:rsidR="006412AC">
        <w:rPr>
          <w:rFonts w:cs="Times New Roman"/>
          <w:lang w:val="fr-CA"/>
        </w:rPr>
        <w:t>« </w:t>
      </w:r>
      <w:r w:rsidRPr="009061A9">
        <w:rPr>
          <w:rFonts w:cs="Times New Roman"/>
          <w:lang w:val="fr-CA"/>
        </w:rPr>
        <w:t>tout à fait inadéquates</w:t>
      </w:r>
      <w:r w:rsidR="006412AC">
        <w:rPr>
          <w:rFonts w:cs="Times New Roman"/>
          <w:lang w:val="fr-CA"/>
        </w:rPr>
        <w:t> »</w:t>
      </w:r>
      <w:r w:rsidRPr="009061A9">
        <w:rPr>
          <w:rFonts w:cs="Times New Roman"/>
          <w:lang w:val="fr-CA"/>
        </w:rPr>
        <w:t xml:space="preserve"> établies par la </w:t>
      </w:r>
      <w:r w:rsidRPr="009061A9">
        <w:rPr>
          <w:rFonts w:cs="Times New Roman"/>
          <w:i/>
          <w:lang w:val="fr-CA"/>
        </w:rPr>
        <w:t>Convention de Varsovie</w:t>
      </w:r>
      <w:r w:rsidRPr="009061A9">
        <w:rPr>
          <w:rFonts w:cs="Times New Roman"/>
          <w:lang w:val="fr-CA"/>
        </w:rPr>
        <w:t xml:space="preserve"> et a adopté un régime à deux volets</w:t>
      </w:r>
      <w:r>
        <w:rPr>
          <w:rFonts w:cs="Times New Roman"/>
          <w:lang w:val="fr-CA"/>
        </w:rPr>
        <w:t>, fondé sur la faute,</w:t>
      </w:r>
      <w:r w:rsidRPr="009061A9">
        <w:rPr>
          <w:rFonts w:cs="Times New Roman"/>
          <w:lang w:val="fr-CA"/>
        </w:rPr>
        <w:t xml:space="preserve"> de responsabilité stricte, puis de responsabilité présumée</w:t>
      </w:r>
      <w:r>
        <w:rPr>
          <w:rFonts w:cs="Times New Roman"/>
          <w:lang w:val="fr-CA"/>
        </w:rPr>
        <w:t xml:space="preserve"> </w:t>
      </w:r>
      <w:r w:rsidRPr="009061A9">
        <w:rPr>
          <w:rFonts w:cs="Times New Roman"/>
          <w:lang w:val="fr-CA"/>
        </w:rPr>
        <w:t>(</w:t>
      </w:r>
      <w:r w:rsidRPr="009061A9">
        <w:rPr>
          <w:rFonts w:cs="Times New Roman"/>
          <w:bCs/>
          <w:i/>
          <w:lang w:val="fr-CA"/>
        </w:rPr>
        <w:t>Accord</w:t>
      </w:r>
      <w:r>
        <w:rPr>
          <w:rFonts w:cs="Times New Roman"/>
          <w:bCs/>
          <w:i/>
          <w:lang w:val="fr-CA"/>
        </w:rPr>
        <w:t xml:space="preserve"> </w:t>
      </w:r>
      <w:r w:rsidRPr="009061A9">
        <w:rPr>
          <w:rFonts w:cs="Times New Roman"/>
          <w:bCs/>
          <w:i/>
          <w:lang w:val="fr-CA"/>
        </w:rPr>
        <w:t>entre transporteurs aériens relatif à la responsabilité envers les passagers</w:t>
      </w:r>
      <w:r>
        <w:rPr>
          <w:rFonts w:cs="Times New Roman"/>
          <w:bCs/>
          <w:i/>
          <w:lang w:val="fr-CA"/>
        </w:rPr>
        <w:t xml:space="preserve"> </w:t>
      </w:r>
      <w:r w:rsidRPr="007271CE">
        <w:rPr>
          <w:rFonts w:cs="Times New Roman"/>
          <w:bCs/>
          <w:lang w:val="fr-CA"/>
        </w:rPr>
        <w:t>de l’IATA</w:t>
      </w:r>
      <w:r w:rsidRPr="009061A9">
        <w:rPr>
          <w:rFonts w:cs="Times New Roman"/>
          <w:lang w:val="fr-CA"/>
        </w:rPr>
        <w:t>, préambule</w:t>
      </w:r>
      <w:r>
        <w:rPr>
          <w:rFonts w:cs="Times New Roman"/>
          <w:lang w:val="fr-CA"/>
        </w:rPr>
        <w:t xml:space="preserve">; Dempsey et </w:t>
      </w:r>
      <w:proofErr w:type="spellStart"/>
      <w:r>
        <w:rPr>
          <w:rFonts w:cs="Times New Roman"/>
          <w:lang w:val="fr-CA"/>
        </w:rPr>
        <w:t>Milde</w:t>
      </w:r>
      <w:proofErr w:type="spellEnd"/>
      <w:r>
        <w:rPr>
          <w:rFonts w:cs="Times New Roman"/>
          <w:lang w:val="fr-CA"/>
        </w:rPr>
        <w:t>, p.</w:t>
      </w:r>
      <w:r w:rsidR="006412AC">
        <w:rPr>
          <w:rFonts w:cs="Times New Roman"/>
          <w:lang w:val="fr-CA"/>
        </w:rPr>
        <w:t xml:space="preserve"> </w:t>
      </w:r>
      <w:r>
        <w:rPr>
          <w:rFonts w:cs="Times New Roman"/>
          <w:lang w:val="fr-CA"/>
        </w:rPr>
        <w:t>417</w:t>
      </w:r>
      <w:r w:rsidRPr="009061A9">
        <w:rPr>
          <w:rFonts w:cs="Times New Roman"/>
          <w:lang w:val="fr-CA"/>
        </w:rPr>
        <w:t>)</w:t>
      </w:r>
      <w:r>
        <w:rPr>
          <w:rFonts w:cs="Times New Roman"/>
          <w:lang w:val="fr-CA"/>
        </w:rPr>
        <w:t xml:space="preserve">.  </w:t>
      </w:r>
      <w:r w:rsidRPr="009061A9">
        <w:rPr>
          <w:rFonts w:cs="Times New Roman"/>
          <w:lang w:val="fr-CA"/>
        </w:rPr>
        <w:t>Les transporteurs signataires de l’</w:t>
      </w:r>
      <w:r w:rsidRPr="009061A9">
        <w:rPr>
          <w:rFonts w:cs="Times New Roman"/>
          <w:i/>
          <w:lang w:val="fr-CA"/>
        </w:rPr>
        <w:t xml:space="preserve">Accord entre transporteurs </w:t>
      </w:r>
      <w:r w:rsidRPr="009D688E">
        <w:rPr>
          <w:rFonts w:cs="Times New Roman"/>
          <w:i/>
          <w:lang w:val="fr-CA"/>
        </w:rPr>
        <w:t>de l’IATA</w:t>
      </w:r>
      <w:r>
        <w:rPr>
          <w:rFonts w:cs="Times New Roman"/>
          <w:lang w:val="fr-CA"/>
        </w:rPr>
        <w:t xml:space="preserve"> </w:t>
      </w:r>
      <w:r w:rsidRPr="009061A9">
        <w:rPr>
          <w:rFonts w:cs="Times New Roman"/>
          <w:lang w:val="fr-CA"/>
        </w:rPr>
        <w:t>ont décidé [</w:t>
      </w:r>
      <w:r w:rsidRPr="009061A9">
        <w:rPr>
          <w:rFonts w:cs="Times New Roman"/>
          <w:smallCaps/>
          <w:lang w:val="fr-CA"/>
        </w:rPr>
        <w:t>traduction</w:t>
      </w:r>
      <w:r w:rsidRPr="009061A9">
        <w:rPr>
          <w:rFonts w:cs="Times New Roman"/>
          <w:lang w:val="fr-CA"/>
        </w:rPr>
        <w:t xml:space="preserve">] </w:t>
      </w:r>
      <w:r w:rsidR="006412AC">
        <w:rPr>
          <w:rFonts w:cs="Times New Roman"/>
          <w:lang w:val="fr-CA"/>
        </w:rPr>
        <w:t>« </w:t>
      </w:r>
      <w:r w:rsidR="007271CE">
        <w:rPr>
          <w:rFonts w:cs="Times New Roman"/>
          <w:lang w:val="fr-CA"/>
        </w:rPr>
        <w:t>[</w:t>
      </w:r>
      <w:r w:rsidRPr="009061A9">
        <w:rPr>
          <w:rFonts w:cs="Times New Roman"/>
          <w:lang w:val="fr-CA"/>
        </w:rPr>
        <w:t>d</w:t>
      </w:r>
      <w:r w:rsidR="007271CE">
        <w:rPr>
          <w:rFonts w:cs="Times New Roman"/>
          <w:lang w:val="fr-CA"/>
        </w:rPr>
        <w:t>]</w:t>
      </w:r>
      <w:r w:rsidRPr="009061A9">
        <w:rPr>
          <w:rFonts w:cs="Times New Roman"/>
          <w:lang w:val="fr-CA"/>
        </w:rPr>
        <w:t>’agir afin de renoncer à la limite de responsabilité à l’égard des dommages</w:t>
      </w:r>
      <w:r w:rsidR="006412AC">
        <w:rPr>
          <w:rFonts w:cs="Times New Roman"/>
          <w:lang w:val="fr-CA"/>
        </w:rPr>
        <w:t>-</w:t>
      </w:r>
      <w:r w:rsidRPr="009061A9">
        <w:rPr>
          <w:rFonts w:cs="Times New Roman"/>
          <w:lang w:val="fr-CA"/>
        </w:rPr>
        <w:t xml:space="preserve">intérêts compensatoires recouvrables prévue au </w:t>
      </w:r>
      <w:r>
        <w:rPr>
          <w:rFonts w:cs="Times New Roman"/>
          <w:lang w:val="fr-CA"/>
        </w:rPr>
        <w:t>paragraphe</w:t>
      </w:r>
      <w:r w:rsidR="006412AC">
        <w:rPr>
          <w:rFonts w:cs="Times New Roman"/>
          <w:lang w:val="fr-CA"/>
        </w:rPr>
        <w:t xml:space="preserve"> </w:t>
      </w:r>
      <w:r w:rsidRPr="009061A9">
        <w:rPr>
          <w:rFonts w:cs="Times New Roman"/>
          <w:lang w:val="fr-CA"/>
        </w:rPr>
        <w:t xml:space="preserve">22(1) de la </w:t>
      </w:r>
      <w:r w:rsidRPr="009D688E">
        <w:rPr>
          <w:rFonts w:cs="Times New Roman"/>
          <w:lang w:val="fr-CA"/>
        </w:rPr>
        <w:t>Convention de Varsovie</w:t>
      </w:r>
      <w:r w:rsidRPr="009061A9">
        <w:rPr>
          <w:rFonts w:cs="Times New Roman"/>
          <w:lang w:val="fr-CA"/>
        </w:rPr>
        <w:t xml:space="preserve"> relativement aux recours en cas de mort, de blessure ou de toute autre lésion corporelle subie par un passager [</w:t>
      </w:r>
      <w:r w:rsidR="00A12DCE">
        <w:rPr>
          <w:rFonts w:cs="Times New Roman"/>
          <w:lang w:val="fr-CA"/>
        </w:rPr>
        <w:t>. . .</w:t>
      </w:r>
      <w:r w:rsidRPr="009061A9">
        <w:rPr>
          <w:rFonts w:cs="Times New Roman"/>
          <w:lang w:val="fr-CA"/>
        </w:rPr>
        <w:t>] pour que les dommages</w:t>
      </w:r>
      <w:r w:rsidR="006412AC">
        <w:rPr>
          <w:rFonts w:cs="Times New Roman"/>
          <w:lang w:val="fr-CA"/>
        </w:rPr>
        <w:t>-</w:t>
      </w:r>
      <w:r w:rsidRPr="009061A9">
        <w:rPr>
          <w:rFonts w:cs="Times New Roman"/>
          <w:lang w:val="fr-CA"/>
        </w:rPr>
        <w:t xml:space="preserve">intérêts compensatoires recouvrables puissent être </w:t>
      </w:r>
      <w:r>
        <w:rPr>
          <w:rFonts w:cs="Times New Roman"/>
          <w:lang w:val="fr-CA"/>
        </w:rPr>
        <w:t xml:space="preserve">fixés </w:t>
      </w:r>
      <w:r w:rsidRPr="009061A9">
        <w:rPr>
          <w:rFonts w:cs="Times New Roman"/>
          <w:lang w:val="fr-CA"/>
        </w:rPr>
        <w:t>et accordés en fonction du droit du domicile du passager</w:t>
      </w:r>
      <w:r w:rsidR="006412AC">
        <w:rPr>
          <w:rFonts w:cs="Times New Roman"/>
          <w:lang w:val="fr-CA"/>
        </w:rPr>
        <w:t> »</w:t>
      </w:r>
      <w:r w:rsidRPr="009061A9">
        <w:rPr>
          <w:rFonts w:cs="Times New Roman"/>
          <w:lang w:val="fr-CA"/>
        </w:rPr>
        <w:t xml:space="preserve"> (</w:t>
      </w:r>
      <w:r>
        <w:rPr>
          <w:rFonts w:cs="Times New Roman"/>
          <w:lang w:val="fr-CA"/>
        </w:rPr>
        <w:t xml:space="preserve">article 1; voir </w:t>
      </w:r>
      <w:r w:rsidRPr="009061A9">
        <w:rPr>
          <w:rFonts w:cs="Times New Roman"/>
          <w:lang w:val="fr-CA"/>
        </w:rPr>
        <w:t xml:space="preserve">Dempsey, </w:t>
      </w:r>
      <w:r>
        <w:rPr>
          <w:rFonts w:cs="Times New Roman"/>
          <w:lang w:val="fr-CA"/>
        </w:rPr>
        <w:t>p.</w:t>
      </w:r>
      <w:r w:rsidR="006412AC">
        <w:rPr>
          <w:rFonts w:cs="Times New Roman"/>
          <w:lang w:val="fr-CA"/>
        </w:rPr>
        <w:t xml:space="preserve"> </w:t>
      </w:r>
      <w:r w:rsidRPr="009061A9">
        <w:rPr>
          <w:rFonts w:cs="Times New Roman"/>
          <w:lang w:val="fr-CA"/>
        </w:rPr>
        <w:t>332</w:t>
      </w:r>
      <w:r w:rsidR="006412AC">
        <w:rPr>
          <w:rFonts w:cs="Times New Roman"/>
          <w:lang w:val="fr-CA"/>
        </w:rPr>
        <w:t>-</w:t>
      </w:r>
      <w:r w:rsidRPr="009061A9">
        <w:rPr>
          <w:rFonts w:cs="Times New Roman"/>
          <w:lang w:val="fr-CA"/>
        </w:rPr>
        <w:t xml:space="preserve">334; Dempsey et </w:t>
      </w:r>
      <w:proofErr w:type="spellStart"/>
      <w:r w:rsidRPr="009061A9">
        <w:rPr>
          <w:rFonts w:cs="Times New Roman"/>
          <w:lang w:val="fr-CA"/>
        </w:rPr>
        <w:lastRenderedPageBreak/>
        <w:t>Milde</w:t>
      </w:r>
      <w:proofErr w:type="spellEnd"/>
      <w:r w:rsidRPr="009061A9">
        <w:rPr>
          <w:rFonts w:cs="Times New Roman"/>
          <w:lang w:val="fr-CA"/>
        </w:rPr>
        <w:t xml:space="preserve">, </w:t>
      </w:r>
      <w:r>
        <w:rPr>
          <w:rFonts w:cs="Times New Roman"/>
          <w:lang w:val="fr-CA"/>
        </w:rPr>
        <w:t>p.</w:t>
      </w:r>
      <w:r w:rsidR="006412AC">
        <w:rPr>
          <w:rFonts w:cs="Times New Roman"/>
          <w:lang w:val="fr-CA"/>
        </w:rPr>
        <w:t xml:space="preserve"> </w:t>
      </w:r>
      <w:r>
        <w:rPr>
          <w:rFonts w:cs="Times New Roman"/>
          <w:lang w:val="fr-CA"/>
        </w:rPr>
        <w:t>32</w:t>
      </w:r>
      <w:r w:rsidR="006412AC">
        <w:rPr>
          <w:rFonts w:cs="Times New Roman"/>
          <w:lang w:val="fr-CA"/>
        </w:rPr>
        <w:t>-</w:t>
      </w:r>
      <w:r w:rsidRPr="009061A9">
        <w:rPr>
          <w:rFonts w:cs="Times New Roman"/>
          <w:lang w:val="fr-CA"/>
        </w:rPr>
        <w:t>35</w:t>
      </w:r>
      <w:r>
        <w:rPr>
          <w:rFonts w:cs="Times New Roman"/>
          <w:lang w:val="fr-CA"/>
        </w:rPr>
        <w:t xml:space="preserve"> et</w:t>
      </w:r>
      <w:r w:rsidRPr="009061A9">
        <w:rPr>
          <w:rFonts w:cs="Times New Roman"/>
          <w:lang w:val="fr-CA"/>
        </w:rPr>
        <w:t xml:space="preserve"> 417). </w:t>
      </w:r>
    </w:p>
    <w:p w:rsidR="00367456" w:rsidRPr="009061A9" w:rsidRDefault="00367456" w:rsidP="00A12DCE">
      <w:pPr>
        <w:pStyle w:val="ParaNoNdepar-AltN"/>
        <w:widowControl w:val="0"/>
        <w:rPr>
          <w:rFonts w:cs="Times New Roman"/>
          <w:lang w:val="fr-CA"/>
        </w:rPr>
      </w:pPr>
      <w:r w:rsidRPr="009061A9">
        <w:rPr>
          <w:rFonts w:cs="Times New Roman"/>
          <w:lang w:val="fr-CA"/>
        </w:rPr>
        <w:t xml:space="preserve">Ayant été </w:t>
      </w:r>
      <w:r w:rsidR="006412AC">
        <w:rPr>
          <w:rFonts w:cs="Times New Roman"/>
          <w:lang w:val="fr-CA"/>
        </w:rPr>
        <w:t>« </w:t>
      </w:r>
      <w:r w:rsidRPr="009061A9">
        <w:rPr>
          <w:rFonts w:cs="Times New Roman"/>
          <w:lang w:val="fr-CA"/>
        </w:rPr>
        <w:t>pris de court</w:t>
      </w:r>
      <w:r w:rsidR="006412AC">
        <w:rPr>
          <w:rFonts w:cs="Times New Roman"/>
          <w:lang w:val="fr-CA"/>
        </w:rPr>
        <w:t> »</w:t>
      </w:r>
      <w:r w:rsidRPr="009061A9">
        <w:rPr>
          <w:rFonts w:cs="Times New Roman"/>
          <w:lang w:val="fr-CA"/>
        </w:rPr>
        <w:t xml:space="preserve"> par les initiatives de l’industrie</w:t>
      </w:r>
      <w:r>
        <w:rPr>
          <w:rFonts w:cs="Times New Roman"/>
          <w:lang w:val="fr-CA"/>
        </w:rPr>
        <w:t xml:space="preserve"> en vue de </w:t>
      </w:r>
      <w:r w:rsidRPr="009061A9">
        <w:rPr>
          <w:rFonts w:cs="Times New Roman"/>
          <w:lang w:val="fr-CA"/>
        </w:rPr>
        <w:t>s’attaquer aux plafonds</w:t>
      </w:r>
      <w:r>
        <w:rPr>
          <w:rFonts w:cs="Times New Roman"/>
          <w:lang w:val="fr-CA"/>
        </w:rPr>
        <w:t xml:space="preserve"> peu élevés</w:t>
      </w:r>
      <w:r w:rsidRPr="009061A9">
        <w:rPr>
          <w:rFonts w:cs="Times New Roman"/>
          <w:lang w:val="fr-CA"/>
        </w:rPr>
        <w:t xml:space="preserve"> de responsabilité des transporteurs, les États ont entrepris de mettre à jour la </w:t>
      </w:r>
      <w:r w:rsidRPr="009061A9">
        <w:rPr>
          <w:rFonts w:cs="Times New Roman"/>
          <w:i/>
          <w:lang w:val="fr-CA"/>
        </w:rPr>
        <w:t>Convention de Varsovie</w:t>
      </w:r>
      <w:r w:rsidRPr="009061A9">
        <w:rPr>
          <w:rFonts w:cs="Times New Roman"/>
          <w:lang w:val="fr-CA"/>
        </w:rPr>
        <w:t xml:space="preserve"> (Dempsey, </w:t>
      </w:r>
      <w:r>
        <w:rPr>
          <w:rFonts w:cs="Times New Roman"/>
          <w:lang w:val="fr-CA"/>
        </w:rPr>
        <w:t>p.</w:t>
      </w:r>
      <w:r w:rsidR="006412AC">
        <w:rPr>
          <w:rFonts w:cs="Times New Roman"/>
          <w:lang w:val="fr-CA"/>
        </w:rPr>
        <w:t xml:space="preserve"> </w:t>
      </w:r>
      <w:r w:rsidRPr="009061A9">
        <w:rPr>
          <w:rFonts w:cs="Times New Roman"/>
          <w:lang w:val="fr-CA"/>
        </w:rPr>
        <w:t xml:space="preserve">336; Dempsey et </w:t>
      </w:r>
      <w:proofErr w:type="spellStart"/>
      <w:r w:rsidRPr="009061A9">
        <w:rPr>
          <w:rFonts w:cs="Times New Roman"/>
          <w:lang w:val="fr-CA"/>
        </w:rPr>
        <w:t>Milde</w:t>
      </w:r>
      <w:proofErr w:type="spellEnd"/>
      <w:r w:rsidRPr="009061A9">
        <w:rPr>
          <w:rFonts w:cs="Times New Roman"/>
          <w:lang w:val="fr-CA"/>
        </w:rPr>
        <w:t xml:space="preserve">, </w:t>
      </w:r>
      <w:r>
        <w:rPr>
          <w:rFonts w:cs="Times New Roman"/>
          <w:lang w:val="fr-CA"/>
        </w:rPr>
        <w:t>p.</w:t>
      </w:r>
      <w:r w:rsidR="006412AC">
        <w:rPr>
          <w:rFonts w:cs="Times New Roman"/>
          <w:lang w:val="fr-CA"/>
        </w:rPr>
        <w:t xml:space="preserve"> </w:t>
      </w:r>
      <w:r w:rsidRPr="009061A9">
        <w:rPr>
          <w:rFonts w:cs="Times New Roman"/>
          <w:lang w:val="fr-CA"/>
        </w:rPr>
        <w:t>36</w:t>
      </w:r>
      <w:r w:rsidR="006412AC">
        <w:rPr>
          <w:rFonts w:cs="Times New Roman"/>
          <w:lang w:val="fr-CA"/>
        </w:rPr>
        <w:t>-</w:t>
      </w:r>
      <w:r w:rsidRPr="009061A9">
        <w:rPr>
          <w:rFonts w:cs="Times New Roman"/>
          <w:lang w:val="fr-CA"/>
        </w:rPr>
        <w:t>38)</w:t>
      </w:r>
      <w:r>
        <w:rPr>
          <w:rFonts w:cs="Times New Roman"/>
          <w:lang w:val="fr-CA"/>
        </w:rPr>
        <w:t>.  C’est p</w:t>
      </w:r>
      <w:r w:rsidRPr="009061A9">
        <w:rPr>
          <w:rFonts w:cs="Times New Roman"/>
          <w:lang w:val="fr-CA"/>
        </w:rPr>
        <w:t xml:space="preserve">ar </w:t>
      </w:r>
      <w:r>
        <w:rPr>
          <w:rFonts w:cs="Times New Roman"/>
          <w:lang w:val="fr-CA"/>
        </w:rPr>
        <w:t>la voie</w:t>
      </w:r>
      <w:r w:rsidRPr="009061A9">
        <w:rPr>
          <w:rFonts w:cs="Times New Roman"/>
          <w:lang w:val="fr-CA"/>
        </w:rPr>
        <w:t xml:space="preserve"> de l’Organisation de l’aviation civile internationale</w:t>
      </w:r>
      <w:r>
        <w:rPr>
          <w:rFonts w:cs="Times New Roman"/>
          <w:lang w:val="fr-CA"/>
        </w:rPr>
        <w:t xml:space="preserve"> que</w:t>
      </w:r>
      <w:r w:rsidRPr="009061A9">
        <w:rPr>
          <w:rFonts w:cs="Times New Roman"/>
          <w:lang w:val="fr-CA"/>
        </w:rPr>
        <w:t xml:space="preserve"> la </w:t>
      </w:r>
      <w:r w:rsidRPr="009061A9">
        <w:rPr>
          <w:rFonts w:cs="Times New Roman"/>
          <w:i/>
          <w:lang w:val="fr-CA"/>
        </w:rPr>
        <w:t xml:space="preserve">Convention de Montréal </w:t>
      </w:r>
      <w:r w:rsidRPr="009061A9">
        <w:rPr>
          <w:rFonts w:cs="Times New Roman"/>
          <w:lang w:val="fr-CA"/>
        </w:rPr>
        <w:t xml:space="preserve">a vu le jour en 1999, adoptant les régimes de responsabilité à deux volets en cas de </w:t>
      </w:r>
      <w:r>
        <w:rPr>
          <w:rFonts w:cs="Times New Roman"/>
          <w:lang w:val="fr-CA"/>
        </w:rPr>
        <w:t>lésion</w:t>
      </w:r>
      <w:r w:rsidRPr="009061A9">
        <w:rPr>
          <w:rFonts w:cs="Times New Roman"/>
          <w:lang w:val="fr-CA"/>
        </w:rPr>
        <w:t xml:space="preserve"> ou de décès d</w:t>
      </w:r>
      <w:r>
        <w:rPr>
          <w:rFonts w:cs="Times New Roman"/>
          <w:lang w:val="fr-CA"/>
        </w:rPr>
        <w:t xml:space="preserve">’un </w:t>
      </w:r>
      <w:r w:rsidRPr="009061A9">
        <w:rPr>
          <w:rFonts w:cs="Times New Roman"/>
          <w:lang w:val="fr-CA"/>
        </w:rPr>
        <w:t>passager énoncés dans l’Initiative japonaise de 1992 et dans l’</w:t>
      </w:r>
      <w:r w:rsidRPr="009061A9">
        <w:rPr>
          <w:rFonts w:cs="Times New Roman"/>
          <w:i/>
          <w:lang w:val="fr-CA"/>
        </w:rPr>
        <w:t>Accord entre transporteurs</w:t>
      </w:r>
      <w:r w:rsidRPr="009061A9">
        <w:rPr>
          <w:rFonts w:cs="Times New Roman"/>
          <w:lang w:val="fr-CA"/>
        </w:rPr>
        <w:t xml:space="preserve"> </w:t>
      </w:r>
      <w:r w:rsidRPr="009D688E">
        <w:rPr>
          <w:rFonts w:cs="Times New Roman"/>
          <w:i/>
          <w:lang w:val="fr-CA"/>
        </w:rPr>
        <w:t xml:space="preserve">de l’IATA </w:t>
      </w:r>
      <w:r w:rsidRPr="009061A9">
        <w:rPr>
          <w:rFonts w:cs="Times New Roman"/>
          <w:lang w:val="fr-CA"/>
        </w:rPr>
        <w:t>conclu en 1995, ainsi qu’une limite initiale</w:t>
      </w:r>
      <w:r>
        <w:rPr>
          <w:rFonts w:cs="Times New Roman"/>
          <w:lang w:val="fr-CA"/>
        </w:rPr>
        <w:t xml:space="preserve"> d’indemnité </w:t>
      </w:r>
      <w:r w:rsidRPr="009061A9">
        <w:rPr>
          <w:rFonts w:cs="Times New Roman"/>
          <w:lang w:val="fr-CA"/>
        </w:rPr>
        <w:t>d’environ 150</w:t>
      </w:r>
      <w:r w:rsidR="006412AC">
        <w:rPr>
          <w:rFonts w:cs="Times New Roman"/>
          <w:lang w:val="fr-CA"/>
        </w:rPr>
        <w:t xml:space="preserve"> </w:t>
      </w:r>
      <w:r w:rsidRPr="009061A9">
        <w:rPr>
          <w:rFonts w:cs="Times New Roman"/>
          <w:lang w:val="fr-CA"/>
        </w:rPr>
        <w:t>000</w:t>
      </w:r>
      <w:r w:rsidR="006412AC">
        <w:rPr>
          <w:rFonts w:cs="Times New Roman"/>
          <w:lang w:val="fr-CA"/>
        </w:rPr>
        <w:t xml:space="preserve"> </w:t>
      </w:r>
      <w:r>
        <w:rPr>
          <w:rFonts w:cs="Times New Roman"/>
          <w:lang w:val="fr-CA"/>
        </w:rPr>
        <w:t xml:space="preserve">$US (Dempsey et </w:t>
      </w:r>
      <w:proofErr w:type="spellStart"/>
      <w:r>
        <w:rPr>
          <w:rFonts w:cs="Times New Roman"/>
          <w:lang w:val="fr-CA"/>
        </w:rPr>
        <w:t>Milde</w:t>
      </w:r>
      <w:proofErr w:type="spellEnd"/>
      <w:r>
        <w:rPr>
          <w:rFonts w:cs="Times New Roman"/>
          <w:lang w:val="fr-CA"/>
        </w:rPr>
        <w:t>, p.</w:t>
      </w:r>
      <w:r w:rsidR="006412AC">
        <w:rPr>
          <w:rFonts w:cs="Times New Roman"/>
          <w:lang w:val="fr-CA"/>
        </w:rPr>
        <w:t xml:space="preserve"> </w:t>
      </w:r>
      <w:r>
        <w:rPr>
          <w:rFonts w:cs="Times New Roman"/>
          <w:lang w:val="fr-CA"/>
        </w:rPr>
        <w:t>40</w:t>
      </w:r>
      <w:r w:rsidR="006412AC">
        <w:rPr>
          <w:rFonts w:cs="Times New Roman"/>
          <w:lang w:val="fr-CA"/>
        </w:rPr>
        <w:t>-</w:t>
      </w:r>
      <w:r>
        <w:rPr>
          <w:rFonts w:cs="Times New Roman"/>
          <w:lang w:val="fr-CA"/>
        </w:rPr>
        <w:t>41)</w:t>
      </w:r>
      <w:r w:rsidRPr="009061A9">
        <w:rPr>
          <w:rFonts w:cs="Times New Roman"/>
          <w:lang w:val="fr-CA"/>
        </w:rPr>
        <w:t>.</w:t>
      </w:r>
    </w:p>
    <w:p w:rsidR="00367456" w:rsidRPr="009061A9" w:rsidRDefault="00367456" w:rsidP="00A12DCE">
      <w:pPr>
        <w:pStyle w:val="ParaNoNdepar-AltN"/>
        <w:widowControl w:val="0"/>
        <w:rPr>
          <w:rFonts w:cs="Times New Roman"/>
          <w:lang w:val="fr-CA"/>
        </w:rPr>
      </w:pPr>
      <w:r w:rsidRPr="009061A9">
        <w:rPr>
          <w:rFonts w:cs="Times New Roman"/>
          <w:lang w:val="fr-CA"/>
        </w:rPr>
        <w:t xml:space="preserve">La </w:t>
      </w:r>
      <w:r w:rsidRPr="009061A9">
        <w:rPr>
          <w:rFonts w:cs="Times New Roman"/>
          <w:i/>
          <w:lang w:val="fr-CA"/>
        </w:rPr>
        <w:t>Convention de Montréal</w:t>
      </w:r>
      <w:r w:rsidRPr="009061A9">
        <w:rPr>
          <w:rFonts w:cs="Times New Roman"/>
          <w:lang w:val="fr-CA"/>
        </w:rPr>
        <w:t xml:space="preserve"> se voulait ainsi une solution de rechange au régime à la pièce qui visait à augmenter les limites de responsabilité établies par la </w:t>
      </w:r>
      <w:r w:rsidRPr="009061A9">
        <w:rPr>
          <w:rFonts w:cs="Times New Roman"/>
          <w:i/>
          <w:lang w:val="fr-CA"/>
        </w:rPr>
        <w:t>Convention de Varsovie</w:t>
      </w:r>
      <w:r w:rsidRPr="009061A9">
        <w:rPr>
          <w:rFonts w:cs="Times New Roman"/>
          <w:lang w:val="fr-CA"/>
        </w:rPr>
        <w:t xml:space="preserve"> de 1929</w:t>
      </w:r>
      <w:r>
        <w:rPr>
          <w:rFonts w:cs="Times New Roman"/>
          <w:lang w:val="fr-CA"/>
        </w:rPr>
        <w:t xml:space="preserve">.  </w:t>
      </w:r>
      <w:r w:rsidRPr="009061A9">
        <w:rPr>
          <w:rFonts w:cs="Times New Roman"/>
          <w:lang w:val="fr-CA"/>
        </w:rPr>
        <w:t xml:space="preserve">Les rédacteurs de la </w:t>
      </w:r>
      <w:r w:rsidRPr="009061A9">
        <w:rPr>
          <w:rFonts w:cs="Times New Roman"/>
          <w:i/>
          <w:lang w:val="fr-CA"/>
        </w:rPr>
        <w:t>Convention de Montréal</w:t>
      </w:r>
      <w:r w:rsidRPr="009061A9">
        <w:rPr>
          <w:rFonts w:cs="Times New Roman"/>
          <w:lang w:val="fr-CA"/>
        </w:rPr>
        <w:t xml:space="preserve"> ont maintenu un régime de responsabilité uniforme, semblable à celui de la </w:t>
      </w:r>
      <w:r w:rsidRPr="009061A9">
        <w:rPr>
          <w:rFonts w:cs="Times New Roman"/>
          <w:i/>
          <w:lang w:val="fr-CA"/>
        </w:rPr>
        <w:t>Convention de Varsovie</w:t>
      </w:r>
      <w:r w:rsidRPr="009061A9">
        <w:rPr>
          <w:rFonts w:cs="Times New Roman"/>
          <w:lang w:val="fr-CA"/>
        </w:rPr>
        <w:t xml:space="preserve">, mais alors que la </w:t>
      </w:r>
      <w:r w:rsidRPr="009061A9">
        <w:rPr>
          <w:rFonts w:cs="Times New Roman"/>
          <w:i/>
          <w:lang w:val="fr-CA"/>
        </w:rPr>
        <w:t xml:space="preserve">Convention de Varsovie </w:t>
      </w:r>
      <w:r w:rsidRPr="009061A9">
        <w:rPr>
          <w:rFonts w:cs="Times New Roman"/>
          <w:lang w:val="fr-CA"/>
        </w:rPr>
        <w:t xml:space="preserve">avait pour principal objectif de limiter la responsabilité des transporteurs afin de favoriser la croissance de l’industrie naissante de l’aviation civile, les États parties à la </w:t>
      </w:r>
      <w:r w:rsidRPr="009061A9">
        <w:rPr>
          <w:rFonts w:cs="Times New Roman"/>
          <w:i/>
          <w:lang w:val="fr-CA"/>
        </w:rPr>
        <w:t>Convention de Montréal</w:t>
      </w:r>
      <w:r w:rsidRPr="009061A9">
        <w:rPr>
          <w:rFonts w:cs="Times New Roman"/>
          <w:lang w:val="fr-CA"/>
        </w:rPr>
        <w:t xml:space="preserve"> </w:t>
      </w:r>
      <w:r>
        <w:rPr>
          <w:rFonts w:cs="Times New Roman"/>
          <w:lang w:val="fr-CA"/>
        </w:rPr>
        <w:t xml:space="preserve">se souciaient </w:t>
      </w:r>
      <w:r w:rsidRPr="009061A9">
        <w:rPr>
          <w:rFonts w:cs="Times New Roman"/>
          <w:lang w:val="fr-CA"/>
        </w:rPr>
        <w:t xml:space="preserve">davantage </w:t>
      </w:r>
      <w:r>
        <w:rPr>
          <w:rFonts w:cs="Times New Roman"/>
          <w:lang w:val="fr-CA"/>
        </w:rPr>
        <w:t xml:space="preserve">de </w:t>
      </w:r>
      <w:r w:rsidRPr="009061A9">
        <w:rPr>
          <w:rFonts w:cs="Times New Roman"/>
          <w:lang w:val="fr-CA"/>
        </w:rPr>
        <w:t>l’importance</w:t>
      </w:r>
      <w:r>
        <w:rPr>
          <w:rFonts w:cs="Times New Roman"/>
          <w:lang w:val="fr-CA"/>
        </w:rPr>
        <w:t xml:space="preserve"> d’</w:t>
      </w:r>
      <w:r w:rsidR="006412AC">
        <w:rPr>
          <w:rFonts w:cs="Times New Roman"/>
          <w:lang w:val="fr-CA"/>
        </w:rPr>
        <w:t>« </w:t>
      </w:r>
      <w:r w:rsidRPr="009061A9">
        <w:rPr>
          <w:rFonts w:cs="Times New Roman"/>
          <w:lang w:val="fr-CA"/>
        </w:rPr>
        <w:t>assurer la protection des intérêts des consommateurs dans le transport aérien international et</w:t>
      </w:r>
      <w:r>
        <w:rPr>
          <w:rFonts w:cs="Times New Roman"/>
          <w:lang w:val="fr-CA"/>
        </w:rPr>
        <w:t xml:space="preserve"> </w:t>
      </w:r>
      <w:r w:rsidRPr="0068062F">
        <w:rPr>
          <w:rFonts w:cs="Times New Roman"/>
          <w:lang w:val="fr-CA"/>
        </w:rPr>
        <w:t>[</w:t>
      </w:r>
      <w:r>
        <w:rPr>
          <w:rFonts w:cs="Times New Roman"/>
          <w:lang w:val="fr-CA"/>
        </w:rPr>
        <w:t>de]</w:t>
      </w:r>
      <w:r w:rsidRPr="009061A9">
        <w:rPr>
          <w:rFonts w:cs="Times New Roman"/>
          <w:lang w:val="fr-CA"/>
        </w:rPr>
        <w:t xml:space="preserve"> la nécessité </w:t>
      </w:r>
      <w:r>
        <w:rPr>
          <w:rFonts w:cs="Times New Roman"/>
          <w:lang w:val="fr-CA"/>
        </w:rPr>
        <w:t>d’</w:t>
      </w:r>
      <w:r w:rsidRPr="009061A9">
        <w:rPr>
          <w:rFonts w:cs="Times New Roman"/>
          <w:lang w:val="fr-CA"/>
        </w:rPr>
        <w:t>une indemnisation équitable fondée sur le principe de réparation</w:t>
      </w:r>
      <w:r w:rsidR="006412AC">
        <w:rPr>
          <w:rFonts w:cs="Times New Roman"/>
          <w:lang w:val="fr-CA"/>
        </w:rPr>
        <w:t> »</w:t>
      </w:r>
      <w:r w:rsidRPr="009061A9">
        <w:rPr>
          <w:rFonts w:cs="Times New Roman"/>
          <w:lang w:val="fr-CA"/>
        </w:rPr>
        <w:t xml:space="preserve"> (</w:t>
      </w:r>
      <w:r w:rsidRPr="009061A9">
        <w:rPr>
          <w:rFonts w:cs="Times New Roman"/>
          <w:i/>
          <w:lang w:val="fr-CA"/>
        </w:rPr>
        <w:t>Convention de Montréal</w:t>
      </w:r>
      <w:r w:rsidRPr="009061A9">
        <w:rPr>
          <w:rFonts w:cs="Times New Roman"/>
          <w:lang w:val="fr-CA"/>
        </w:rPr>
        <w:t xml:space="preserve">, préambule; </w:t>
      </w:r>
      <w:r w:rsidRPr="009061A9">
        <w:rPr>
          <w:rFonts w:cs="Times New Roman"/>
          <w:i/>
          <w:lang w:val="fr-CA"/>
        </w:rPr>
        <w:t>Ehrlich c. American Airlines</w:t>
      </w:r>
      <w:r>
        <w:rPr>
          <w:rFonts w:cs="Times New Roman"/>
          <w:i/>
          <w:lang w:val="fr-CA"/>
        </w:rPr>
        <w:t>, Inc.</w:t>
      </w:r>
      <w:r w:rsidRPr="009061A9">
        <w:rPr>
          <w:rFonts w:cs="Times New Roman"/>
          <w:lang w:val="fr-CA"/>
        </w:rPr>
        <w:t xml:space="preserve">, 360 F.3d 366 (2d </w:t>
      </w:r>
      <w:proofErr w:type="spellStart"/>
      <w:r w:rsidRPr="009061A9">
        <w:rPr>
          <w:rFonts w:cs="Times New Roman"/>
          <w:lang w:val="fr-CA"/>
        </w:rPr>
        <w:t>Cir</w:t>
      </w:r>
      <w:proofErr w:type="spellEnd"/>
      <w:r w:rsidRPr="009061A9">
        <w:rPr>
          <w:rFonts w:cs="Times New Roman"/>
          <w:lang w:val="fr-CA"/>
        </w:rPr>
        <w:t>.</w:t>
      </w:r>
      <w:r>
        <w:rPr>
          <w:rFonts w:cs="Times New Roman"/>
          <w:lang w:val="fr-CA"/>
        </w:rPr>
        <w:t xml:space="preserve"> 2004</w:t>
      </w:r>
      <w:r w:rsidRPr="009061A9">
        <w:rPr>
          <w:rFonts w:cs="Times New Roman"/>
          <w:lang w:val="fr-CA"/>
        </w:rPr>
        <w:t xml:space="preserve">), </w:t>
      </w:r>
      <w:r>
        <w:rPr>
          <w:rFonts w:cs="Times New Roman"/>
          <w:lang w:val="fr-CA"/>
        </w:rPr>
        <w:t>p.</w:t>
      </w:r>
      <w:r w:rsidR="006412AC">
        <w:rPr>
          <w:rFonts w:cs="Times New Roman"/>
          <w:lang w:val="fr-CA"/>
        </w:rPr>
        <w:t xml:space="preserve"> </w:t>
      </w:r>
      <w:r>
        <w:rPr>
          <w:rFonts w:cs="Times New Roman"/>
          <w:lang w:val="fr-CA"/>
        </w:rPr>
        <w:t>371 (note en bas de page</w:t>
      </w:r>
      <w:r w:rsidR="006412AC">
        <w:rPr>
          <w:rFonts w:cs="Times New Roman"/>
          <w:lang w:val="fr-CA"/>
        </w:rPr>
        <w:t xml:space="preserve"> </w:t>
      </w:r>
      <w:r w:rsidRPr="009061A9">
        <w:rPr>
          <w:rFonts w:cs="Times New Roman"/>
          <w:lang w:val="fr-CA"/>
        </w:rPr>
        <w:t>4</w:t>
      </w:r>
      <w:r>
        <w:rPr>
          <w:rFonts w:cs="Times New Roman"/>
          <w:lang w:val="fr-CA"/>
        </w:rPr>
        <w:t>))</w:t>
      </w:r>
      <w:r w:rsidRPr="009061A9">
        <w:rPr>
          <w:rFonts w:cs="Times New Roman"/>
          <w:lang w:val="fr-CA"/>
        </w:rPr>
        <w:t xml:space="preserve">. </w:t>
      </w:r>
    </w:p>
    <w:p w:rsidR="00367456" w:rsidRPr="009061A9" w:rsidRDefault="00367456" w:rsidP="00A12DCE">
      <w:pPr>
        <w:pStyle w:val="ParaNoNdepar-AltN"/>
        <w:widowControl w:val="0"/>
        <w:rPr>
          <w:rFonts w:cs="Times New Roman"/>
          <w:lang w:val="fr-CA"/>
        </w:rPr>
      </w:pPr>
      <w:r w:rsidRPr="009061A9">
        <w:rPr>
          <w:rFonts w:cs="Times New Roman"/>
          <w:lang w:val="fr-CA"/>
        </w:rPr>
        <w:lastRenderedPageBreak/>
        <w:t>Comme le montre</w:t>
      </w:r>
      <w:r>
        <w:rPr>
          <w:rFonts w:cs="Times New Roman"/>
          <w:lang w:val="fr-CA"/>
        </w:rPr>
        <w:t>nt</w:t>
      </w:r>
      <w:r w:rsidRPr="009061A9">
        <w:rPr>
          <w:rFonts w:cs="Times New Roman"/>
          <w:lang w:val="fr-CA"/>
        </w:rPr>
        <w:t xml:space="preserve"> ce</w:t>
      </w:r>
      <w:r>
        <w:rPr>
          <w:rFonts w:cs="Times New Roman"/>
          <w:lang w:val="fr-CA"/>
        </w:rPr>
        <w:t>s faits</w:t>
      </w:r>
      <w:r w:rsidRPr="009061A9">
        <w:rPr>
          <w:rFonts w:cs="Times New Roman"/>
          <w:lang w:val="fr-CA"/>
        </w:rPr>
        <w:t>, il est à la fois paradoxal et anormal</w:t>
      </w:r>
      <w:r>
        <w:rPr>
          <w:rFonts w:cs="Times New Roman"/>
          <w:lang w:val="fr-CA"/>
        </w:rPr>
        <w:t xml:space="preserve"> d’un point de vue historique de donner au changement de formulation entre </w:t>
      </w:r>
      <w:r w:rsidRPr="009061A9">
        <w:rPr>
          <w:rFonts w:cs="Times New Roman"/>
          <w:lang w:val="fr-CA"/>
        </w:rPr>
        <w:t>l’</w:t>
      </w:r>
      <w:r>
        <w:rPr>
          <w:rFonts w:cs="Times New Roman"/>
          <w:lang w:val="fr-CA"/>
        </w:rPr>
        <w:t>article</w:t>
      </w:r>
      <w:r w:rsidR="006412AC">
        <w:rPr>
          <w:rFonts w:cs="Times New Roman"/>
          <w:lang w:val="fr-CA"/>
        </w:rPr>
        <w:t xml:space="preserve"> </w:t>
      </w:r>
      <w:r w:rsidRPr="009061A9">
        <w:rPr>
          <w:rFonts w:cs="Times New Roman"/>
          <w:lang w:val="fr-CA"/>
        </w:rPr>
        <w:t xml:space="preserve">24 de la </w:t>
      </w:r>
      <w:r w:rsidRPr="009061A9">
        <w:rPr>
          <w:rFonts w:cs="Times New Roman"/>
          <w:i/>
          <w:lang w:val="fr-CA"/>
        </w:rPr>
        <w:t>Convention de Varsovie</w:t>
      </w:r>
      <w:r w:rsidRPr="009061A9">
        <w:rPr>
          <w:rFonts w:cs="Times New Roman"/>
          <w:lang w:val="fr-CA"/>
        </w:rPr>
        <w:t xml:space="preserve"> </w:t>
      </w:r>
      <w:r>
        <w:rPr>
          <w:rFonts w:cs="Times New Roman"/>
          <w:lang w:val="fr-CA"/>
        </w:rPr>
        <w:t>et l’article</w:t>
      </w:r>
      <w:r w:rsidR="006412AC">
        <w:rPr>
          <w:rFonts w:cs="Times New Roman"/>
          <w:lang w:val="fr-CA"/>
        </w:rPr>
        <w:t xml:space="preserve"> </w:t>
      </w:r>
      <w:r w:rsidRPr="009061A9">
        <w:rPr>
          <w:rFonts w:cs="Times New Roman"/>
          <w:lang w:val="fr-CA"/>
        </w:rPr>
        <w:t xml:space="preserve">29 de la </w:t>
      </w:r>
      <w:r w:rsidRPr="009061A9">
        <w:rPr>
          <w:rFonts w:cs="Times New Roman"/>
          <w:i/>
          <w:lang w:val="fr-CA"/>
        </w:rPr>
        <w:t>Convention de Montréal</w:t>
      </w:r>
      <w:r>
        <w:rPr>
          <w:rFonts w:cs="Times New Roman"/>
          <w:i/>
          <w:lang w:val="fr-CA"/>
        </w:rPr>
        <w:t xml:space="preserve"> </w:t>
      </w:r>
      <w:r>
        <w:rPr>
          <w:rFonts w:cs="Times New Roman"/>
          <w:lang w:val="fr-CA"/>
        </w:rPr>
        <w:t xml:space="preserve">une interprétation qui </w:t>
      </w:r>
      <w:r w:rsidRPr="009061A9">
        <w:rPr>
          <w:rFonts w:cs="Times New Roman"/>
          <w:lang w:val="fr-CA"/>
        </w:rPr>
        <w:t>a pour effet de réduire la protection accordée aux consommateurs et d’accroître celle accordée aux transporteurs</w:t>
      </w:r>
      <w:r>
        <w:rPr>
          <w:rFonts w:cs="Times New Roman"/>
          <w:lang w:val="fr-CA"/>
        </w:rPr>
        <w:t xml:space="preserve">.  Personne n’a prétendu à quelque moment que ce soit </w:t>
      </w:r>
      <w:r w:rsidRPr="009061A9">
        <w:rPr>
          <w:rFonts w:cs="Times New Roman"/>
          <w:lang w:val="fr-CA"/>
        </w:rPr>
        <w:t xml:space="preserve">que la nouvelle </w:t>
      </w:r>
      <w:r w:rsidRPr="009061A9">
        <w:rPr>
          <w:rFonts w:cs="Times New Roman"/>
          <w:i/>
          <w:lang w:val="fr-CA"/>
        </w:rPr>
        <w:t>Convention</w:t>
      </w:r>
      <w:r w:rsidRPr="009061A9">
        <w:rPr>
          <w:rFonts w:cs="Times New Roman"/>
          <w:lang w:val="fr-CA"/>
        </w:rPr>
        <w:t xml:space="preserve"> visait à </w:t>
      </w:r>
      <w:r w:rsidRPr="009061A9">
        <w:rPr>
          <w:rFonts w:cs="Times New Roman"/>
          <w:i/>
          <w:lang w:val="fr-CA"/>
        </w:rPr>
        <w:t>réduire</w:t>
      </w:r>
      <w:r w:rsidRPr="009061A9">
        <w:rPr>
          <w:rFonts w:cs="Times New Roman"/>
          <w:lang w:val="fr-CA"/>
        </w:rPr>
        <w:t xml:space="preserve"> la faculté des passagers de poursuivre les transporteurs.</w:t>
      </w:r>
    </w:p>
    <w:p w:rsidR="00367456" w:rsidRPr="009061A9" w:rsidRDefault="00367456" w:rsidP="00A12DCE">
      <w:pPr>
        <w:pStyle w:val="ParaNoNdepar-AltN"/>
        <w:widowControl w:val="0"/>
        <w:rPr>
          <w:rFonts w:cs="Times New Roman"/>
          <w:lang w:val="fr-CA"/>
        </w:rPr>
      </w:pPr>
      <w:r w:rsidRPr="009061A9">
        <w:rPr>
          <w:rFonts w:cs="Times New Roman"/>
          <w:lang w:val="fr-CA"/>
        </w:rPr>
        <w:t>En fait, rien n</w:t>
      </w:r>
      <w:r>
        <w:rPr>
          <w:rFonts w:cs="Times New Roman"/>
          <w:lang w:val="fr-CA"/>
        </w:rPr>
        <w:t xml:space="preserve">e prouve </w:t>
      </w:r>
      <w:r w:rsidRPr="009061A9">
        <w:rPr>
          <w:rFonts w:cs="Times New Roman"/>
          <w:lang w:val="fr-CA"/>
        </w:rPr>
        <w:t xml:space="preserve">que les États parties </w:t>
      </w:r>
      <w:proofErr w:type="gramStart"/>
      <w:r w:rsidRPr="009061A9">
        <w:rPr>
          <w:rFonts w:cs="Times New Roman"/>
          <w:lang w:val="fr-CA"/>
        </w:rPr>
        <w:t>entendaient</w:t>
      </w:r>
      <w:proofErr w:type="gramEnd"/>
      <w:r w:rsidRPr="009061A9">
        <w:rPr>
          <w:rFonts w:cs="Times New Roman"/>
          <w:lang w:val="fr-CA"/>
        </w:rPr>
        <w:t xml:space="preserve"> remplacer </w:t>
      </w:r>
      <w:r>
        <w:rPr>
          <w:rFonts w:cs="Times New Roman"/>
          <w:lang w:val="fr-CA"/>
        </w:rPr>
        <w:t>la portée exclusive, limitée</w:t>
      </w:r>
      <w:r w:rsidRPr="009061A9">
        <w:rPr>
          <w:rFonts w:cs="Times New Roman"/>
          <w:lang w:val="fr-CA"/>
        </w:rPr>
        <w:t xml:space="preserve"> à certains objets</w:t>
      </w:r>
      <w:r>
        <w:rPr>
          <w:rFonts w:cs="Times New Roman"/>
          <w:lang w:val="fr-CA"/>
        </w:rPr>
        <w:t>,</w:t>
      </w:r>
      <w:r w:rsidRPr="009061A9">
        <w:rPr>
          <w:rFonts w:cs="Times New Roman"/>
          <w:lang w:val="fr-CA"/>
        </w:rPr>
        <w:t xml:space="preserve"> </w:t>
      </w:r>
      <w:r>
        <w:rPr>
          <w:rFonts w:cs="Times New Roman"/>
          <w:lang w:val="fr-CA"/>
        </w:rPr>
        <w:t>de</w:t>
      </w:r>
      <w:r w:rsidRPr="009061A9">
        <w:rPr>
          <w:rFonts w:cs="Times New Roman"/>
          <w:lang w:val="fr-CA"/>
        </w:rPr>
        <w:t xml:space="preserve"> l’</w:t>
      </w:r>
      <w:r>
        <w:rPr>
          <w:rFonts w:cs="Times New Roman"/>
          <w:lang w:val="fr-CA"/>
        </w:rPr>
        <w:t>article</w:t>
      </w:r>
      <w:r w:rsidR="006412AC">
        <w:rPr>
          <w:rFonts w:cs="Times New Roman"/>
          <w:lang w:val="fr-CA"/>
        </w:rPr>
        <w:t xml:space="preserve"> </w:t>
      </w:r>
      <w:r w:rsidRPr="009061A9">
        <w:rPr>
          <w:rFonts w:cs="Times New Roman"/>
          <w:lang w:val="fr-CA"/>
        </w:rPr>
        <w:t xml:space="preserve">24 de la </w:t>
      </w:r>
      <w:r w:rsidRPr="009061A9">
        <w:rPr>
          <w:rFonts w:cs="Times New Roman"/>
          <w:i/>
          <w:lang w:val="fr-CA"/>
        </w:rPr>
        <w:t>Convention de Varsovie</w:t>
      </w:r>
      <w:r w:rsidRPr="009061A9">
        <w:rPr>
          <w:rFonts w:cs="Times New Roman"/>
          <w:lang w:val="fr-CA"/>
        </w:rPr>
        <w:t xml:space="preserve"> par une règle</w:t>
      </w:r>
      <w:r>
        <w:rPr>
          <w:rFonts w:cs="Times New Roman"/>
          <w:lang w:val="fr-CA"/>
        </w:rPr>
        <w:t xml:space="preserve"> </w:t>
      </w:r>
      <w:r w:rsidRPr="009061A9">
        <w:rPr>
          <w:rFonts w:cs="Times New Roman"/>
          <w:i/>
          <w:lang w:val="fr-CA"/>
        </w:rPr>
        <w:t>universelle</w:t>
      </w:r>
      <w:r w:rsidRPr="009061A9">
        <w:rPr>
          <w:rFonts w:cs="Times New Roman"/>
          <w:lang w:val="fr-CA"/>
        </w:rPr>
        <w:t xml:space="preserve"> </w:t>
      </w:r>
      <w:r>
        <w:rPr>
          <w:rFonts w:cs="Times New Roman"/>
          <w:lang w:val="fr-CA"/>
        </w:rPr>
        <w:t xml:space="preserve">d’exclusivité à </w:t>
      </w:r>
      <w:r w:rsidRPr="009061A9">
        <w:rPr>
          <w:rFonts w:cs="Times New Roman"/>
          <w:lang w:val="fr-CA"/>
        </w:rPr>
        <w:t>l’</w:t>
      </w:r>
      <w:r>
        <w:rPr>
          <w:rFonts w:cs="Times New Roman"/>
          <w:lang w:val="fr-CA"/>
        </w:rPr>
        <w:t>article</w:t>
      </w:r>
      <w:r w:rsidR="006412AC">
        <w:rPr>
          <w:rFonts w:cs="Times New Roman"/>
          <w:lang w:val="fr-CA"/>
        </w:rPr>
        <w:t xml:space="preserve"> </w:t>
      </w:r>
      <w:r w:rsidRPr="009061A9">
        <w:rPr>
          <w:rFonts w:cs="Times New Roman"/>
          <w:lang w:val="fr-CA"/>
        </w:rPr>
        <w:t xml:space="preserve">29 de la </w:t>
      </w:r>
      <w:r w:rsidRPr="009061A9">
        <w:rPr>
          <w:rFonts w:cs="Times New Roman"/>
          <w:i/>
          <w:lang w:val="fr-CA"/>
        </w:rPr>
        <w:t>Convention de Montré</w:t>
      </w:r>
      <w:r>
        <w:rPr>
          <w:rFonts w:cs="Times New Roman"/>
          <w:i/>
          <w:lang w:val="fr-CA"/>
        </w:rPr>
        <w:t xml:space="preserve">al.  </w:t>
      </w:r>
      <w:r w:rsidRPr="009061A9">
        <w:rPr>
          <w:rFonts w:cs="Times New Roman"/>
          <w:lang w:val="fr-CA"/>
        </w:rPr>
        <w:t xml:space="preserve">Le peu de preuve dont on dispose à l’égard des travaux préparatoires qui ont précédé l’adoption de la </w:t>
      </w:r>
      <w:r w:rsidRPr="009061A9">
        <w:rPr>
          <w:rFonts w:cs="Times New Roman"/>
          <w:i/>
          <w:lang w:val="fr-CA"/>
        </w:rPr>
        <w:t>Convention de Montréal</w:t>
      </w:r>
      <w:r w:rsidRPr="009061A9">
        <w:rPr>
          <w:rFonts w:cs="Times New Roman"/>
          <w:lang w:val="fr-CA"/>
        </w:rPr>
        <w:t xml:space="preserve"> </w:t>
      </w:r>
      <w:r>
        <w:rPr>
          <w:rFonts w:cs="Times New Roman"/>
          <w:lang w:val="fr-CA"/>
        </w:rPr>
        <w:t xml:space="preserve">tend à établir </w:t>
      </w:r>
      <w:r w:rsidRPr="009061A9">
        <w:rPr>
          <w:rFonts w:cs="Times New Roman"/>
          <w:lang w:val="fr-CA"/>
        </w:rPr>
        <w:t>le contraire</w:t>
      </w:r>
      <w:r>
        <w:rPr>
          <w:rFonts w:cs="Times New Roman"/>
          <w:lang w:val="fr-CA"/>
        </w:rPr>
        <w:t xml:space="preserve">.  </w:t>
      </w:r>
      <w:r w:rsidRPr="009061A9">
        <w:rPr>
          <w:rFonts w:cs="Times New Roman"/>
          <w:lang w:val="fr-CA"/>
        </w:rPr>
        <w:t>Comme l</w:t>
      </w:r>
      <w:r>
        <w:rPr>
          <w:rFonts w:cs="Times New Roman"/>
          <w:lang w:val="fr-CA"/>
        </w:rPr>
        <w:t xml:space="preserve">e soulignent MM. </w:t>
      </w:r>
      <w:r w:rsidRPr="009061A9">
        <w:rPr>
          <w:rFonts w:cs="Times New Roman"/>
          <w:lang w:val="fr-CA"/>
        </w:rPr>
        <w:t xml:space="preserve">Dempsey et </w:t>
      </w:r>
      <w:proofErr w:type="spellStart"/>
      <w:r w:rsidRPr="009061A9">
        <w:rPr>
          <w:rFonts w:cs="Times New Roman"/>
          <w:lang w:val="fr-CA"/>
        </w:rPr>
        <w:t>Milde</w:t>
      </w:r>
      <w:proofErr w:type="spellEnd"/>
      <w:r w:rsidRPr="009061A9">
        <w:rPr>
          <w:rFonts w:cs="Times New Roman"/>
          <w:lang w:val="fr-CA"/>
        </w:rPr>
        <w:t>, [</w:t>
      </w:r>
      <w:r w:rsidRPr="009061A9">
        <w:rPr>
          <w:rFonts w:cs="Times New Roman"/>
          <w:smallCaps/>
          <w:lang w:val="fr-CA"/>
        </w:rPr>
        <w:t>traduction</w:t>
      </w:r>
      <w:r w:rsidRPr="009061A9">
        <w:rPr>
          <w:rFonts w:cs="Times New Roman"/>
          <w:lang w:val="fr-CA"/>
        </w:rPr>
        <w:t xml:space="preserve">] </w:t>
      </w:r>
      <w:r w:rsidR="006412AC">
        <w:rPr>
          <w:rFonts w:cs="Times New Roman"/>
          <w:lang w:val="fr-CA"/>
        </w:rPr>
        <w:t>« </w:t>
      </w:r>
      <w:r w:rsidRPr="009061A9">
        <w:rPr>
          <w:rFonts w:cs="Times New Roman"/>
          <w:lang w:val="fr-CA"/>
        </w:rPr>
        <w:t>[un] examen de l’historique de la rédaction dans ce processus alambiqué indique plutôt que les rédacteurs n’ont pas eu l’ambition créative d’innover par de nouveaux concepts</w:t>
      </w:r>
      <w:r w:rsidR="006412AC">
        <w:rPr>
          <w:rFonts w:cs="Times New Roman"/>
          <w:lang w:val="fr-CA"/>
        </w:rPr>
        <w:t> »</w:t>
      </w:r>
      <w:r w:rsidRPr="009061A9">
        <w:rPr>
          <w:rFonts w:cs="Times New Roman"/>
          <w:lang w:val="fr-CA"/>
        </w:rPr>
        <w:t xml:space="preserve"> (</w:t>
      </w:r>
      <w:r>
        <w:rPr>
          <w:rFonts w:cs="Times New Roman"/>
          <w:lang w:val="fr-CA"/>
        </w:rPr>
        <w:t>p.</w:t>
      </w:r>
      <w:r w:rsidR="006412AC">
        <w:rPr>
          <w:rFonts w:cs="Times New Roman"/>
          <w:lang w:val="fr-CA"/>
        </w:rPr>
        <w:t xml:space="preserve"> </w:t>
      </w:r>
      <w:r w:rsidRPr="009061A9">
        <w:rPr>
          <w:rFonts w:cs="Times New Roman"/>
          <w:lang w:val="fr-CA"/>
        </w:rPr>
        <w:t>42).</w:t>
      </w:r>
    </w:p>
    <w:p w:rsidR="00367456" w:rsidRPr="009061A9" w:rsidRDefault="00367456" w:rsidP="00A12DCE">
      <w:pPr>
        <w:pStyle w:val="ParaNoNdepar-AltN"/>
        <w:widowControl w:val="0"/>
        <w:rPr>
          <w:rFonts w:cs="Times New Roman"/>
          <w:lang w:val="fr-CA"/>
        </w:rPr>
      </w:pPr>
      <w:r w:rsidRPr="009061A9">
        <w:rPr>
          <w:rFonts w:cs="Times New Roman"/>
          <w:lang w:val="fr-CA"/>
        </w:rPr>
        <w:t>Qui plus est, l’absence</w:t>
      </w:r>
      <w:r>
        <w:rPr>
          <w:rFonts w:cs="Times New Roman"/>
          <w:lang w:val="fr-CA"/>
        </w:rPr>
        <w:t xml:space="preserve">, </w:t>
      </w:r>
      <w:r w:rsidRPr="009061A9">
        <w:rPr>
          <w:rFonts w:cs="Times New Roman"/>
          <w:lang w:val="fr-CA"/>
        </w:rPr>
        <w:t>dans les procès</w:t>
      </w:r>
      <w:r w:rsidR="006412AC">
        <w:rPr>
          <w:rFonts w:cs="Times New Roman"/>
          <w:lang w:val="fr-CA"/>
        </w:rPr>
        <w:t>-</w:t>
      </w:r>
      <w:r w:rsidRPr="009061A9">
        <w:rPr>
          <w:rFonts w:cs="Times New Roman"/>
          <w:lang w:val="fr-CA"/>
        </w:rPr>
        <w:t>verbaux des travaux parlementaires</w:t>
      </w:r>
      <w:r>
        <w:rPr>
          <w:rFonts w:cs="Times New Roman"/>
          <w:lang w:val="fr-CA"/>
        </w:rPr>
        <w:t>,</w:t>
      </w:r>
      <w:r w:rsidRPr="009061A9">
        <w:rPr>
          <w:rFonts w:cs="Times New Roman"/>
          <w:lang w:val="fr-CA"/>
        </w:rPr>
        <w:t xml:space="preserve"> de toute mention </w:t>
      </w:r>
      <w:r>
        <w:rPr>
          <w:rFonts w:cs="Times New Roman"/>
          <w:lang w:val="fr-CA"/>
        </w:rPr>
        <w:t>des</w:t>
      </w:r>
      <w:r w:rsidRPr="009061A9">
        <w:rPr>
          <w:rFonts w:cs="Times New Roman"/>
          <w:lang w:val="fr-CA"/>
        </w:rPr>
        <w:t xml:space="preserve"> changements de formulation </w:t>
      </w:r>
      <w:r>
        <w:rPr>
          <w:rFonts w:cs="Times New Roman"/>
          <w:lang w:val="fr-CA"/>
        </w:rPr>
        <w:t>entre l’article</w:t>
      </w:r>
      <w:r w:rsidR="006412AC">
        <w:rPr>
          <w:rFonts w:cs="Times New Roman"/>
          <w:lang w:val="fr-CA"/>
        </w:rPr>
        <w:t xml:space="preserve"> </w:t>
      </w:r>
      <w:r w:rsidRPr="009061A9">
        <w:rPr>
          <w:rFonts w:cs="Times New Roman"/>
          <w:lang w:val="fr-CA"/>
        </w:rPr>
        <w:t>24</w:t>
      </w:r>
      <w:r>
        <w:rPr>
          <w:rFonts w:cs="Times New Roman"/>
          <w:lang w:val="fr-CA"/>
        </w:rPr>
        <w:t xml:space="preserve"> de la </w:t>
      </w:r>
      <w:r w:rsidRPr="008C01FA">
        <w:rPr>
          <w:rFonts w:cs="Times New Roman"/>
          <w:i/>
          <w:lang w:val="fr-CA"/>
        </w:rPr>
        <w:t>Convention de Varsovie</w:t>
      </w:r>
      <w:r w:rsidRPr="009061A9">
        <w:rPr>
          <w:rFonts w:cs="Times New Roman"/>
          <w:lang w:val="fr-CA"/>
        </w:rPr>
        <w:t xml:space="preserve"> </w:t>
      </w:r>
      <w:r>
        <w:rPr>
          <w:rFonts w:cs="Times New Roman"/>
          <w:lang w:val="fr-CA"/>
        </w:rPr>
        <w:t xml:space="preserve">et </w:t>
      </w:r>
      <w:r w:rsidRPr="009061A9">
        <w:rPr>
          <w:rFonts w:cs="Times New Roman"/>
          <w:lang w:val="fr-CA"/>
        </w:rPr>
        <w:t>l’</w:t>
      </w:r>
      <w:r>
        <w:rPr>
          <w:rFonts w:cs="Times New Roman"/>
          <w:lang w:val="fr-CA"/>
        </w:rPr>
        <w:t>article</w:t>
      </w:r>
      <w:r w:rsidR="006412AC">
        <w:rPr>
          <w:rFonts w:cs="Times New Roman"/>
          <w:lang w:val="fr-CA"/>
        </w:rPr>
        <w:t xml:space="preserve"> </w:t>
      </w:r>
      <w:r w:rsidRPr="009061A9">
        <w:rPr>
          <w:rFonts w:cs="Times New Roman"/>
          <w:lang w:val="fr-CA"/>
        </w:rPr>
        <w:t xml:space="preserve">29 </w:t>
      </w:r>
      <w:r>
        <w:rPr>
          <w:rFonts w:cs="Times New Roman"/>
          <w:lang w:val="fr-CA"/>
        </w:rPr>
        <w:t xml:space="preserve">de la </w:t>
      </w:r>
      <w:r w:rsidRPr="008C01FA">
        <w:rPr>
          <w:rFonts w:cs="Times New Roman"/>
          <w:i/>
          <w:lang w:val="fr-CA"/>
        </w:rPr>
        <w:t>Convention de Montréal</w:t>
      </w:r>
      <w:r>
        <w:rPr>
          <w:rFonts w:cs="Times New Roman"/>
          <w:lang w:val="fr-CA"/>
        </w:rPr>
        <w:t xml:space="preserve"> </w:t>
      </w:r>
      <w:r w:rsidRPr="009061A9">
        <w:rPr>
          <w:rFonts w:cs="Times New Roman"/>
          <w:lang w:val="fr-CA"/>
        </w:rPr>
        <w:t xml:space="preserve">me </w:t>
      </w:r>
      <w:proofErr w:type="gramStart"/>
      <w:r w:rsidRPr="009061A9">
        <w:rPr>
          <w:rFonts w:cs="Times New Roman"/>
          <w:lang w:val="fr-CA"/>
        </w:rPr>
        <w:t>paraît</w:t>
      </w:r>
      <w:proofErr w:type="gramEnd"/>
      <w:r w:rsidRPr="009061A9">
        <w:rPr>
          <w:rFonts w:cs="Times New Roman"/>
          <w:lang w:val="fr-CA"/>
        </w:rPr>
        <w:t xml:space="preserve"> révélatr</w:t>
      </w:r>
      <w:r>
        <w:rPr>
          <w:rFonts w:cs="Times New Roman"/>
          <w:lang w:val="fr-CA"/>
        </w:rPr>
        <w:t xml:space="preserve">ice.  </w:t>
      </w:r>
      <w:r w:rsidRPr="009061A9">
        <w:rPr>
          <w:rFonts w:cs="Times New Roman"/>
          <w:lang w:val="fr-CA"/>
        </w:rPr>
        <w:t xml:space="preserve">Les </w:t>
      </w:r>
      <w:r>
        <w:rPr>
          <w:rFonts w:cs="Times New Roman"/>
          <w:lang w:val="fr-CA"/>
        </w:rPr>
        <w:t>parrain</w:t>
      </w:r>
      <w:r w:rsidRPr="009061A9">
        <w:rPr>
          <w:rFonts w:cs="Times New Roman"/>
          <w:lang w:val="fr-CA"/>
        </w:rPr>
        <w:t xml:space="preserve">s du projet de loi de mise en œuvre de la </w:t>
      </w:r>
      <w:r w:rsidRPr="009061A9">
        <w:rPr>
          <w:rFonts w:cs="Times New Roman"/>
          <w:i/>
          <w:lang w:val="fr-CA"/>
        </w:rPr>
        <w:t>Convention</w:t>
      </w:r>
      <w:r w:rsidRPr="009061A9">
        <w:rPr>
          <w:rFonts w:cs="Times New Roman"/>
          <w:lang w:val="fr-CA"/>
        </w:rPr>
        <w:t xml:space="preserve"> n’ont jamais mentionné l’</w:t>
      </w:r>
      <w:r>
        <w:rPr>
          <w:rFonts w:cs="Times New Roman"/>
          <w:lang w:val="fr-CA"/>
        </w:rPr>
        <w:t>article</w:t>
      </w:r>
      <w:r w:rsidR="006412AC">
        <w:rPr>
          <w:rFonts w:cs="Times New Roman"/>
          <w:lang w:val="fr-CA"/>
        </w:rPr>
        <w:t xml:space="preserve"> </w:t>
      </w:r>
      <w:r w:rsidRPr="009061A9">
        <w:rPr>
          <w:rFonts w:cs="Times New Roman"/>
          <w:lang w:val="fr-CA"/>
        </w:rPr>
        <w:t>24 ou l’</w:t>
      </w:r>
      <w:r>
        <w:rPr>
          <w:rFonts w:cs="Times New Roman"/>
          <w:lang w:val="fr-CA"/>
        </w:rPr>
        <w:t>article</w:t>
      </w:r>
      <w:r w:rsidR="006412AC">
        <w:rPr>
          <w:rFonts w:cs="Times New Roman"/>
          <w:lang w:val="fr-CA"/>
        </w:rPr>
        <w:t xml:space="preserve"> </w:t>
      </w:r>
      <w:r w:rsidRPr="009061A9">
        <w:rPr>
          <w:rFonts w:cs="Times New Roman"/>
          <w:lang w:val="fr-CA"/>
        </w:rPr>
        <w:t xml:space="preserve">29 à la Chambre des communes ou au Sénat (discours de </w:t>
      </w:r>
      <w:r>
        <w:rPr>
          <w:rFonts w:cs="Times New Roman"/>
          <w:lang w:val="fr-CA"/>
        </w:rPr>
        <w:t xml:space="preserve">M. </w:t>
      </w:r>
      <w:r w:rsidRPr="009061A9">
        <w:rPr>
          <w:rFonts w:cs="Times New Roman"/>
          <w:lang w:val="fr-CA"/>
        </w:rPr>
        <w:t xml:space="preserve">André Harvey (secrétaire parlementaire du ministre des Transports), </w:t>
      </w:r>
      <w:r w:rsidRPr="009061A9">
        <w:rPr>
          <w:rFonts w:cs="Times New Roman"/>
          <w:lang w:val="fr-CA"/>
        </w:rPr>
        <w:lastRenderedPageBreak/>
        <w:t xml:space="preserve">ouvrant la deuxième lecture au Parlement du </w:t>
      </w:r>
      <w:r w:rsidR="007271CE">
        <w:rPr>
          <w:rFonts w:cs="Times New Roman"/>
          <w:lang w:val="fr-CA"/>
        </w:rPr>
        <w:t>p</w:t>
      </w:r>
      <w:r w:rsidRPr="007271CE">
        <w:rPr>
          <w:rFonts w:cs="Times New Roman"/>
          <w:lang w:val="fr-CA"/>
        </w:rPr>
        <w:t>rojet de loi S</w:t>
      </w:r>
      <w:r w:rsidR="006412AC" w:rsidRPr="007271CE">
        <w:rPr>
          <w:rFonts w:cs="Times New Roman"/>
          <w:lang w:val="fr-CA"/>
        </w:rPr>
        <w:t>-</w:t>
      </w:r>
      <w:r w:rsidRPr="007271CE">
        <w:rPr>
          <w:rFonts w:cs="Times New Roman"/>
          <w:lang w:val="fr-CA"/>
        </w:rPr>
        <w:t>33</w:t>
      </w:r>
      <w:r w:rsidR="007271CE" w:rsidRPr="007271CE">
        <w:rPr>
          <w:rFonts w:cs="Times New Roman"/>
          <w:lang w:val="fr-CA"/>
        </w:rPr>
        <w:t>,</w:t>
      </w:r>
      <w:r w:rsidRPr="007271CE">
        <w:rPr>
          <w:rFonts w:cs="Times New Roman"/>
          <w:lang w:val="fr-CA"/>
        </w:rPr>
        <w:t xml:space="preserve"> </w:t>
      </w:r>
      <w:r w:rsidRPr="009061A9">
        <w:rPr>
          <w:rFonts w:cs="Times New Roman"/>
          <w:i/>
          <w:lang w:val="fr-CA"/>
        </w:rPr>
        <w:t>Loi modifiant la Loi sur le transport aérien</w:t>
      </w:r>
      <w:r w:rsidRPr="009061A9">
        <w:rPr>
          <w:rFonts w:cs="Times New Roman"/>
          <w:lang w:val="fr-CA"/>
        </w:rPr>
        <w:t xml:space="preserve">, </w:t>
      </w:r>
      <w:r w:rsidRPr="00C32D34">
        <w:rPr>
          <w:rFonts w:cs="Times New Roman"/>
          <w:i/>
          <w:lang w:val="fr-CA"/>
        </w:rPr>
        <w:t>Débats de la Chambre des communes</w:t>
      </w:r>
      <w:r>
        <w:rPr>
          <w:rFonts w:cs="Times New Roman"/>
          <w:lang w:val="fr-CA"/>
        </w:rPr>
        <w:t>, vol.</w:t>
      </w:r>
      <w:r w:rsidR="006412AC">
        <w:rPr>
          <w:rFonts w:cs="Times New Roman"/>
          <w:lang w:val="fr-CA"/>
        </w:rPr>
        <w:t xml:space="preserve"> </w:t>
      </w:r>
      <w:r>
        <w:rPr>
          <w:rFonts w:cs="Times New Roman"/>
          <w:lang w:val="fr-CA"/>
        </w:rPr>
        <w:t>137, 1</w:t>
      </w:r>
      <w:r w:rsidRPr="00F54902">
        <w:rPr>
          <w:rFonts w:cs="Times New Roman"/>
          <w:vertAlign w:val="superscript"/>
          <w:lang w:val="fr-CA"/>
        </w:rPr>
        <w:t>re</w:t>
      </w:r>
      <w:r>
        <w:rPr>
          <w:rFonts w:cs="Times New Roman"/>
          <w:lang w:val="fr-CA"/>
        </w:rPr>
        <w:t xml:space="preserve"> </w:t>
      </w:r>
      <w:proofErr w:type="spellStart"/>
      <w:r>
        <w:rPr>
          <w:rFonts w:cs="Times New Roman"/>
          <w:lang w:val="fr-CA"/>
        </w:rPr>
        <w:t>sess</w:t>
      </w:r>
      <w:proofErr w:type="spellEnd"/>
      <w:r>
        <w:rPr>
          <w:rFonts w:cs="Times New Roman"/>
          <w:lang w:val="fr-CA"/>
        </w:rPr>
        <w:t>., 37</w:t>
      </w:r>
      <w:r w:rsidRPr="00F54902">
        <w:rPr>
          <w:rFonts w:cs="Times New Roman"/>
          <w:vertAlign w:val="superscript"/>
          <w:lang w:val="fr-CA"/>
        </w:rPr>
        <w:t>e</w:t>
      </w:r>
      <w:r w:rsidR="006412AC">
        <w:rPr>
          <w:rFonts w:cs="Times New Roman"/>
          <w:lang w:val="fr-CA"/>
        </w:rPr>
        <w:t xml:space="preserve"> </w:t>
      </w:r>
      <w:proofErr w:type="spellStart"/>
      <w:r>
        <w:rPr>
          <w:rFonts w:cs="Times New Roman"/>
          <w:lang w:val="fr-CA"/>
        </w:rPr>
        <w:t>lég</w:t>
      </w:r>
      <w:proofErr w:type="spellEnd"/>
      <w:r>
        <w:rPr>
          <w:rFonts w:cs="Times New Roman"/>
          <w:lang w:val="fr-CA"/>
        </w:rPr>
        <w:t>., 20</w:t>
      </w:r>
      <w:r w:rsidR="006412AC">
        <w:rPr>
          <w:rFonts w:cs="Times New Roman"/>
          <w:lang w:val="fr-CA"/>
        </w:rPr>
        <w:t xml:space="preserve"> </w:t>
      </w:r>
      <w:r w:rsidRPr="009061A9">
        <w:rPr>
          <w:rFonts w:cs="Times New Roman"/>
          <w:lang w:val="fr-CA"/>
        </w:rPr>
        <w:t>novembre 2001</w:t>
      </w:r>
      <w:r>
        <w:rPr>
          <w:rFonts w:cs="Times New Roman"/>
          <w:lang w:val="fr-CA"/>
        </w:rPr>
        <w:t>, p.</w:t>
      </w:r>
      <w:r w:rsidR="006412AC">
        <w:rPr>
          <w:rFonts w:cs="Times New Roman"/>
          <w:lang w:val="fr-CA"/>
        </w:rPr>
        <w:t xml:space="preserve"> </w:t>
      </w:r>
      <w:r w:rsidRPr="00FE1357">
        <w:rPr>
          <w:rFonts w:cs="Times New Roman"/>
          <w:lang w:val="fr-CA"/>
        </w:rPr>
        <w:t>7346</w:t>
      </w:r>
      <w:r w:rsidRPr="009061A9">
        <w:rPr>
          <w:rFonts w:cs="Times New Roman"/>
          <w:lang w:val="fr-CA"/>
        </w:rPr>
        <w:t xml:space="preserve">; voir aussi le discours de l’hon. Ross </w:t>
      </w:r>
      <w:proofErr w:type="spellStart"/>
      <w:r w:rsidRPr="009061A9">
        <w:rPr>
          <w:rFonts w:cs="Times New Roman"/>
          <w:lang w:val="fr-CA"/>
        </w:rPr>
        <w:t>Fitzpatrick</w:t>
      </w:r>
      <w:proofErr w:type="spellEnd"/>
      <w:r w:rsidRPr="009061A9">
        <w:rPr>
          <w:rFonts w:cs="Times New Roman"/>
          <w:lang w:val="fr-CA"/>
        </w:rPr>
        <w:t xml:space="preserve">, proposant la deuxième lecture au Sénat du </w:t>
      </w:r>
      <w:r w:rsidR="007271CE" w:rsidRPr="007271CE">
        <w:rPr>
          <w:rFonts w:cs="Times New Roman"/>
          <w:lang w:val="fr-CA"/>
        </w:rPr>
        <w:t>p</w:t>
      </w:r>
      <w:r w:rsidRPr="007271CE">
        <w:rPr>
          <w:rFonts w:cs="Times New Roman"/>
          <w:lang w:val="fr-CA"/>
        </w:rPr>
        <w:t>rojet de loi S</w:t>
      </w:r>
      <w:r w:rsidR="006412AC" w:rsidRPr="007271CE">
        <w:rPr>
          <w:rFonts w:cs="Times New Roman"/>
          <w:lang w:val="fr-CA"/>
        </w:rPr>
        <w:t>-</w:t>
      </w:r>
      <w:r w:rsidRPr="007271CE">
        <w:rPr>
          <w:rFonts w:cs="Times New Roman"/>
          <w:lang w:val="fr-CA"/>
        </w:rPr>
        <w:t>33</w:t>
      </w:r>
      <w:r w:rsidRPr="009061A9">
        <w:rPr>
          <w:rFonts w:cs="Times New Roman"/>
          <w:lang w:val="fr-CA"/>
        </w:rPr>
        <w:t xml:space="preserve">, </w:t>
      </w:r>
      <w:r w:rsidRPr="00BC4003">
        <w:rPr>
          <w:rFonts w:cs="Times New Roman"/>
          <w:i/>
          <w:lang w:val="fr-CA"/>
        </w:rPr>
        <w:t>Débats du Sénat</w:t>
      </w:r>
      <w:r>
        <w:rPr>
          <w:rFonts w:cs="Times New Roman"/>
          <w:lang w:val="fr-CA"/>
        </w:rPr>
        <w:t>, vol.</w:t>
      </w:r>
      <w:r w:rsidR="006412AC">
        <w:rPr>
          <w:rFonts w:cs="Times New Roman"/>
          <w:lang w:val="fr-CA"/>
        </w:rPr>
        <w:t xml:space="preserve"> </w:t>
      </w:r>
      <w:r>
        <w:rPr>
          <w:rFonts w:cs="Times New Roman"/>
          <w:lang w:val="fr-CA"/>
        </w:rPr>
        <w:t>139, 1</w:t>
      </w:r>
      <w:r w:rsidRPr="00F54902">
        <w:rPr>
          <w:rFonts w:cs="Times New Roman"/>
          <w:vertAlign w:val="superscript"/>
          <w:lang w:val="fr-CA"/>
        </w:rPr>
        <w:t>re</w:t>
      </w:r>
      <w:r>
        <w:rPr>
          <w:rFonts w:cs="Times New Roman"/>
          <w:lang w:val="fr-CA"/>
        </w:rPr>
        <w:t xml:space="preserve"> </w:t>
      </w:r>
      <w:proofErr w:type="spellStart"/>
      <w:proofErr w:type="gramStart"/>
      <w:r>
        <w:rPr>
          <w:rFonts w:cs="Times New Roman"/>
          <w:lang w:val="fr-CA"/>
        </w:rPr>
        <w:t>sess</w:t>
      </w:r>
      <w:proofErr w:type="spellEnd"/>
      <w:r>
        <w:rPr>
          <w:rFonts w:cs="Times New Roman"/>
          <w:lang w:val="fr-CA"/>
        </w:rPr>
        <w:t>.,</w:t>
      </w:r>
      <w:proofErr w:type="gramEnd"/>
      <w:r>
        <w:rPr>
          <w:rFonts w:cs="Times New Roman"/>
          <w:lang w:val="fr-CA"/>
        </w:rPr>
        <w:t xml:space="preserve"> 37</w:t>
      </w:r>
      <w:r w:rsidRPr="00F54902">
        <w:rPr>
          <w:rFonts w:cs="Times New Roman"/>
          <w:vertAlign w:val="superscript"/>
          <w:lang w:val="fr-CA"/>
        </w:rPr>
        <w:t>e</w:t>
      </w:r>
      <w:r>
        <w:rPr>
          <w:rFonts w:cs="Times New Roman"/>
          <w:lang w:val="fr-CA"/>
        </w:rPr>
        <w:t xml:space="preserve"> </w:t>
      </w:r>
      <w:proofErr w:type="spellStart"/>
      <w:r>
        <w:rPr>
          <w:rFonts w:cs="Times New Roman"/>
          <w:lang w:val="fr-CA"/>
        </w:rPr>
        <w:t>lég</w:t>
      </w:r>
      <w:proofErr w:type="spellEnd"/>
      <w:r>
        <w:rPr>
          <w:rFonts w:cs="Times New Roman"/>
          <w:lang w:val="fr-CA"/>
        </w:rPr>
        <w:t>., 2</w:t>
      </w:r>
      <w:r w:rsidR="006412AC">
        <w:rPr>
          <w:rFonts w:cs="Times New Roman"/>
          <w:lang w:val="fr-CA"/>
        </w:rPr>
        <w:t xml:space="preserve"> </w:t>
      </w:r>
      <w:r w:rsidRPr="009061A9">
        <w:rPr>
          <w:rFonts w:cs="Times New Roman"/>
          <w:lang w:val="fr-CA"/>
        </w:rPr>
        <w:t>octobre 2001</w:t>
      </w:r>
      <w:r>
        <w:rPr>
          <w:rFonts w:cs="Times New Roman"/>
          <w:lang w:val="fr-CA"/>
        </w:rPr>
        <w:t>, p.</w:t>
      </w:r>
      <w:r w:rsidR="006412AC">
        <w:rPr>
          <w:rFonts w:cs="Times New Roman"/>
          <w:lang w:val="fr-CA"/>
        </w:rPr>
        <w:t xml:space="preserve"> </w:t>
      </w:r>
      <w:r w:rsidRPr="00FE1357">
        <w:rPr>
          <w:rFonts w:cs="Times New Roman"/>
          <w:lang w:val="fr-CA"/>
        </w:rPr>
        <w:t>1346)</w:t>
      </w:r>
      <w:r>
        <w:rPr>
          <w:rFonts w:cs="Times New Roman"/>
          <w:lang w:val="fr-CA"/>
        </w:rPr>
        <w:t xml:space="preserve">.  Il en est de même des témoins ayant </w:t>
      </w:r>
      <w:r w:rsidRPr="009061A9">
        <w:rPr>
          <w:rFonts w:cs="Times New Roman"/>
          <w:lang w:val="fr-CA"/>
        </w:rPr>
        <w:t xml:space="preserve">comparu devant les comités de la Chambre des communes ou du Sénat qui ont examiné la mise en œuvre de la </w:t>
      </w:r>
      <w:r w:rsidRPr="009061A9">
        <w:rPr>
          <w:rFonts w:cs="Times New Roman"/>
          <w:i/>
          <w:lang w:val="fr-CA"/>
        </w:rPr>
        <w:t>Convention</w:t>
      </w:r>
      <w:r w:rsidRPr="009061A9">
        <w:rPr>
          <w:rFonts w:cs="Times New Roman"/>
          <w:lang w:val="fr-CA"/>
        </w:rPr>
        <w:t xml:space="preserve"> </w:t>
      </w:r>
      <w:r>
        <w:rPr>
          <w:rFonts w:cs="Times New Roman"/>
          <w:lang w:val="fr-CA"/>
        </w:rPr>
        <w:t xml:space="preserve">en droit </w:t>
      </w:r>
      <w:r w:rsidRPr="009061A9">
        <w:rPr>
          <w:rFonts w:cs="Times New Roman"/>
          <w:lang w:val="fr-CA"/>
        </w:rPr>
        <w:t>fédéral</w:t>
      </w:r>
      <w:r>
        <w:rPr>
          <w:rFonts w:cs="Times New Roman"/>
          <w:lang w:val="fr-CA"/>
        </w:rPr>
        <w:t xml:space="preserve"> </w:t>
      </w:r>
      <w:r w:rsidRPr="009061A9">
        <w:rPr>
          <w:rFonts w:cs="Times New Roman"/>
          <w:lang w:val="fr-CA"/>
        </w:rPr>
        <w:t xml:space="preserve">(transcription de la déclaration de M. </w:t>
      </w:r>
      <w:proofErr w:type="spellStart"/>
      <w:r w:rsidRPr="009061A9">
        <w:rPr>
          <w:rFonts w:cs="Times New Roman"/>
          <w:lang w:val="fr-CA"/>
        </w:rPr>
        <w:t>Vayzel</w:t>
      </w:r>
      <w:proofErr w:type="spellEnd"/>
      <w:r w:rsidRPr="009061A9">
        <w:rPr>
          <w:rFonts w:cs="Times New Roman"/>
          <w:lang w:val="fr-CA"/>
        </w:rPr>
        <w:t xml:space="preserve"> Lee (conseiller en politique</w:t>
      </w:r>
      <w:r w:rsidR="007271CE">
        <w:rPr>
          <w:rFonts w:cs="Times New Roman"/>
          <w:lang w:val="fr-CA"/>
        </w:rPr>
        <w:t>s</w:t>
      </w:r>
      <w:r w:rsidRPr="009061A9">
        <w:rPr>
          <w:rFonts w:cs="Times New Roman"/>
          <w:lang w:val="fr-CA"/>
        </w:rPr>
        <w:t xml:space="preserve">, </w:t>
      </w:r>
      <w:r>
        <w:rPr>
          <w:rFonts w:cs="Times New Roman"/>
          <w:lang w:val="fr-CA"/>
        </w:rPr>
        <w:t>Politique</w:t>
      </w:r>
      <w:r w:rsidR="007271CE">
        <w:rPr>
          <w:rFonts w:cs="Times New Roman"/>
          <w:lang w:val="fr-CA"/>
        </w:rPr>
        <w:t>s</w:t>
      </w:r>
      <w:r>
        <w:rPr>
          <w:rFonts w:cs="Times New Roman"/>
          <w:lang w:val="fr-CA"/>
        </w:rPr>
        <w:t xml:space="preserve"> du transport aérien</w:t>
      </w:r>
      <w:r w:rsidR="007271CE">
        <w:rPr>
          <w:rFonts w:cs="Times New Roman"/>
          <w:lang w:val="fr-CA"/>
        </w:rPr>
        <w:t xml:space="preserve"> intérieur</w:t>
      </w:r>
      <w:r>
        <w:rPr>
          <w:rFonts w:cs="Times New Roman"/>
          <w:lang w:val="fr-CA"/>
        </w:rPr>
        <w:t xml:space="preserve">, </w:t>
      </w:r>
      <w:r w:rsidRPr="009061A9">
        <w:rPr>
          <w:rFonts w:cs="Times New Roman"/>
          <w:lang w:val="fr-CA"/>
        </w:rPr>
        <w:t>ministère des Transports) au Comité permanent</w:t>
      </w:r>
      <w:r>
        <w:rPr>
          <w:rFonts w:cs="Times New Roman"/>
          <w:lang w:val="fr-CA"/>
        </w:rPr>
        <w:t xml:space="preserve"> </w:t>
      </w:r>
      <w:r w:rsidR="007271CE">
        <w:rPr>
          <w:rFonts w:cs="Times New Roman"/>
          <w:lang w:val="fr-CA"/>
        </w:rPr>
        <w:t>des T</w:t>
      </w:r>
      <w:r w:rsidRPr="009061A9">
        <w:rPr>
          <w:rFonts w:cs="Times New Roman"/>
          <w:lang w:val="fr-CA"/>
        </w:rPr>
        <w:t>ransports et</w:t>
      </w:r>
      <w:r w:rsidR="007271CE">
        <w:rPr>
          <w:rFonts w:cs="Times New Roman"/>
          <w:lang w:val="fr-CA"/>
        </w:rPr>
        <w:t xml:space="preserve"> d</w:t>
      </w:r>
      <w:r w:rsidRPr="009061A9">
        <w:rPr>
          <w:rFonts w:cs="Times New Roman"/>
          <w:lang w:val="fr-CA"/>
        </w:rPr>
        <w:t>es opérations gouvernementales</w:t>
      </w:r>
      <w:r w:rsidR="003734C3" w:rsidRPr="003734C3">
        <w:rPr>
          <w:rFonts w:cs="Times New Roman"/>
          <w:lang w:val="fr-CA"/>
        </w:rPr>
        <w:t xml:space="preserve"> </w:t>
      </w:r>
      <w:r w:rsidR="003734C3">
        <w:rPr>
          <w:rFonts w:cs="Times New Roman"/>
          <w:lang w:val="fr-CA"/>
        </w:rPr>
        <w:t>de la Chambre des communes</w:t>
      </w:r>
      <w:r w:rsidRPr="009061A9">
        <w:rPr>
          <w:rFonts w:cs="Times New Roman"/>
          <w:lang w:val="fr-CA"/>
        </w:rPr>
        <w:t>,</w:t>
      </w:r>
      <w:r>
        <w:rPr>
          <w:rFonts w:cs="Times New Roman"/>
          <w:lang w:val="fr-CA"/>
        </w:rPr>
        <w:t xml:space="preserve"> réunion n</w:t>
      </w:r>
      <w:r w:rsidRPr="00D37656">
        <w:rPr>
          <w:rFonts w:cs="Times New Roman"/>
          <w:vertAlign w:val="superscript"/>
          <w:lang w:val="fr-CA"/>
        </w:rPr>
        <w:t>o</w:t>
      </w:r>
      <w:r>
        <w:rPr>
          <w:rFonts w:cs="Times New Roman"/>
          <w:lang w:val="fr-CA"/>
        </w:rPr>
        <w:t xml:space="preserve"> 40 — Témoignages, 29</w:t>
      </w:r>
      <w:r w:rsidR="006412AC">
        <w:rPr>
          <w:rFonts w:cs="Times New Roman"/>
          <w:lang w:val="fr-CA"/>
        </w:rPr>
        <w:t xml:space="preserve"> </w:t>
      </w:r>
      <w:r w:rsidRPr="009061A9">
        <w:rPr>
          <w:rFonts w:cs="Times New Roman"/>
          <w:lang w:val="fr-CA"/>
        </w:rPr>
        <w:t>novembre 2001</w:t>
      </w:r>
      <w:r>
        <w:rPr>
          <w:rFonts w:cs="Times New Roman"/>
          <w:lang w:val="fr-CA"/>
        </w:rPr>
        <w:t xml:space="preserve"> (en ligne)</w:t>
      </w:r>
      <w:r w:rsidRPr="009061A9">
        <w:rPr>
          <w:rFonts w:cs="Times New Roman"/>
          <w:lang w:val="fr-CA"/>
        </w:rPr>
        <w:t xml:space="preserve">; </w:t>
      </w:r>
      <w:r w:rsidRPr="00BC4003">
        <w:rPr>
          <w:rFonts w:cs="Times New Roman"/>
          <w:i/>
          <w:lang w:val="fr-CA"/>
        </w:rPr>
        <w:t>Délibérations du Comité sénatorial permanent des Transports et des communications</w:t>
      </w:r>
      <w:r w:rsidRPr="009061A9">
        <w:rPr>
          <w:rFonts w:cs="Times New Roman"/>
          <w:lang w:val="fr-CA"/>
        </w:rPr>
        <w:t xml:space="preserve">, </w:t>
      </w:r>
      <w:r>
        <w:rPr>
          <w:rFonts w:cs="Times New Roman"/>
          <w:lang w:val="fr-CA"/>
        </w:rPr>
        <w:t>fascicule n</w:t>
      </w:r>
      <w:r w:rsidRPr="00FE1357">
        <w:rPr>
          <w:rFonts w:cs="Times New Roman"/>
          <w:vertAlign w:val="superscript"/>
          <w:lang w:val="fr-CA"/>
        </w:rPr>
        <w:t>o</w:t>
      </w:r>
      <w:r w:rsidR="006412AC">
        <w:rPr>
          <w:rFonts w:cs="Times New Roman"/>
          <w:lang w:val="fr-CA"/>
        </w:rPr>
        <w:t xml:space="preserve"> </w:t>
      </w:r>
      <w:r w:rsidR="007271CE">
        <w:rPr>
          <w:rFonts w:cs="Times New Roman"/>
          <w:lang w:val="fr-CA"/>
        </w:rPr>
        <w:t>15 —</w:t>
      </w:r>
      <w:r>
        <w:rPr>
          <w:rFonts w:cs="Times New Roman"/>
          <w:lang w:val="fr-CA"/>
        </w:rPr>
        <w:t xml:space="preserve"> Témoignages, 31</w:t>
      </w:r>
      <w:r w:rsidR="006412AC">
        <w:rPr>
          <w:rFonts w:cs="Times New Roman"/>
          <w:lang w:val="fr-CA"/>
        </w:rPr>
        <w:t xml:space="preserve"> </w:t>
      </w:r>
      <w:r w:rsidRPr="009061A9">
        <w:rPr>
          <w:rFonts w:cs="Times New Roman"/>
          <w:lang w:val="fr-CA"/>
        </w:rPr>
        <w:t>octobre 2001</w:t>
      </w:r>
      <w:r>
        <w:rPr>
          <w:rFonts w:cs="Times New Roman"/>
          <w:lang w:val="fr-CA"/>
        </w:rPr>
        <w:t xml:space="preserve"> (en ligne)</w:t>
      </w:r>
      <w:r w:rsidRPr="009061A9">
        <w:rPr>
          <w:rFonts w:cs="Times New Roman"/>
          <w:lang w:val="fr-CA"/>
        </w:rPr>
        <w:t xml:space="preserve">). </w:t>
      </w:r>
    </w:p>
    <w:p w:rsidR="00367456" w:rsidRPr="009061A9" w:rsidRDefault="00367456" w:rsidP="00A12DCE">
      <w:pPr>
        <w:pStyle w:val="ParaNoNdepar-AltN"/>
        <w:widowControl w:val="0"/>
        <w:rPr>
          <w:rFonts w:cs="Times New Roman"/>
          <w:lang w:val="fr-CA"/>
        </w:rPr>
      </w:pPr>
      <w:r w:rsidRPr="009061A9">
        <w:rPr>
          <w:rFonts w:cs="Times New Roman"/>
          <w:lang w:val="fr-CA"/>
        </w:rPr>
        <w:t>Si, comme on le prétend, le libellé de l’art</w:t>
      </w:r>
      <w:r>
        <w:rPr>
          <w:rFonts w:cs="Times New Roman"/>
          <w:lang w:val="fr-CA"/>
        </w:rPr>
        <w:t>icle</w:t>
      </w:r>
      <w:r w:rsidR="006412AC">
        <w:rPr>
          <w:rFonts w:cs="Times New Roman"/>
          <w:lang w:val="fr-CA"/>
        </w:rPr>
        <w:t xml:space="preserve"> </w:t>
      </w:r>
      <w:r w:rsidRPr="009061A9">
        <w:rPr>
          <w:rFonts w:cs="Times New Roman"/>
          <w:lang w:val="fr-CA"/>
        </w:rPr>
        <w:t xml:space="preserve">29 </w:t>
      </w:r>
      <w:r>
        <w:rPr>
          <w:rFonts w:cs="Times New Roman"/>
          <w:lang w:val="fr-CA"/>
        </w:rPr>
        <w:t xml:space="preserve">de la </w:t>
      </w:r>
      <w:r>
        <w:rPr>
          <w:rFonts w:cs="Times New Roman"/>
          <w:i/>
          <w:lang w:val="fr-CA"/>
        </w:rPr>
        <w:t xml:space="preserve">Convention de Montréal </w:t>
      </w:r>
      <w:r>
        <w:rPr>
          <w:rFonts w:cs="Times New Roman"/>
          <w:lang w:val="fr-CA"/>
        </w:rPr>
        <w:t>représente un changement par rapport au</w:t>
      </w:r>
      <w:r w:rsidRPr="009061A9">
        <w:rPr>
          <w:rFonts w:cs="Times New Roman"/>
          <w:lang w:val="fr-CA"/>
        </w:rPr>
        <w:t xml:space="preserve"> champ d’application de l’</w:t>
      </w:r>
      <w:r>
        <w:rPr>
          <w:rFonts w:cs="Times New Roman"/>
          <w:lang w:val="fr-CA"/>
        </w:rPr>
        <w:t>article</w:t>
      </w:r>
      <w:r w:rsidR="006412AC">
        <w:rPr>
          <w:rFonts w:cs="Times New Roman"/>
          <w:lang w:val="fr-CA"/>
        </w:rPr>
        <w:t xml:space="preserve"> </w:t>
      </w:r>
      <w:r w:rsidRPr="009061A9">
        <w:rPr>
          <w:rFonts w:cs="Times New Roman"/>
          <w:lang w:val="fr-CA"/>
        </w:rPr>
        <w:t xml:space="preserve">24 de la </w:t>
      </w:r>
      <w:r w:rsidRPr="009061A9">
        <w:rPr>
          <w:rFonts w:cs="Times New Roman"/>
          <w:i/>
          <w:lang w:val="fr-CA"/>
        </w:rPr>
        <w:t xml:space="preserve">Convention de Varsovie </w:t>
      </w:r>
      <w:r w:rsidRPr="009061A9">
        <w:rPr>
          <w:rFonts w:cs="Times New Roman"/>
          <w:lang w:val="fr-CA"/>
        </w:rPr>
        <w:t xml:space="preserve">en étendant la protection accordée aux transporteurs aériens à </w:t>
      </w:r>
      <w:r w:rsidRPr="009061A9">
        <w:rPr>
          <w:rFonts w:cs="Times New Roman"/>
          <w:i/>
          <w:lang w:val="fr-CA"/>
        </w:rPr>
        <w:t>toutes</w:t>
      </w:r>
      <w:r w:rsidRPr="009061A9">
        <w:rPr>
          <w:rFonts w:cs="Times New Roman"/>
          <w:lang w:val="fr-CA"/>
        </w:rPr>
        <w:t xml:space="preserve"> les actions en dommages</w:t>
      </w:r>
      <w:r w:rsidR="006412AC">
        <w:rPr>
          <w:rFonts w:cs="Times New Roman"/>
          <w:lang w:val="fr-CA"/>
        </w:rPr>
        <w:t>-</w:t>
      </w:r>
      <w:r w:rsidRPr="009061A9">
        <w:rPr>
          <w:rFonts w:cs="Times New Roman"/>
          <w:lang w:val="fr-CA"/>
        </w:rPr>
        <w:t>intérêts, ce silence est pour le moins surprenant</w:t>
      </w:r>
      <w:r>
        <w:rPr>
          <w:rFonts w:cs="Times New Roman"/>
          <w:lang w:val="fr-CA"/>
        </w:rPr>
        <w:t xml:space="preserve">.  </w:t>
      </w:r>
      <w:r w:rsidRPr="009061A9">
        <w:rPr>
          <w:rFonts w:cs="Times New Roman"/>
          <w:lang w:val="fr-CA"/>
        </w:rPr>
        <w:t>Les changements radicaux du droit tendent à susciter des réactions radicales</w:t>
      </w:r>
      <w:r>
        <w:rPr>
          <w:rFonts w:cs="Times New Roman"/>
          <w:lang w:val="fr-CA"/>
        </w:rPr>
        <w:t xml:space="preserve">.  </w:t>
      </w:r>
      <w:r w:rsidRPr="009061A9">
        <w:rPr>
          <w:rFonts w:cs="Times New Roman"/>
          <w:lang w:val="fr-CA"/>
        </w:rPr>
        <w:t>Or, c</w:t>
      </w:r>
      <w:r>
        <w:rPr>
          <w:rFonts w:cs="Times New Roman"/>
          <w:lang w:val="fr-CA"/>
        </w:rPr>
        <w:t xml:space="preserve">e changement, si changement il y a, n’en a </w:t>
      </w:r>
      <w:r w:rsidRPr="009061A9">
        <w:rPr>
          <w:rFonts w:cs="Times New Roman"/>
          <w:lang w:val="fr-CA"/>
        </w:rPr>
        <w:t>suscité aucune</w:t>
      </w:r>
      <w:r>
        <w:rPr>
          <w:rFonts w:cs="Times New Roman"/>
          <w:lang w:val="fr-CA"/>
        </w:rPr>
        <w:t xml:space="preserve">.  </w:t>
      </w:r>
      <w:r w:rsidRPr="009061A9">
        <w:rPr>
          <w:rFonts w:cs="Times New Roman"/>
          <w:lang w:val="fr-CA"/>
        </w:rPr>
        <w:t>Par conséquent, l’explication la plus plausible du silence est qu’il n’y a eu aucun changement du droit</w:t>
      </w:r>
      <w:r>
        <w:rPr>
          <w:rFonts w:cs="Times New Roman"/>
          <w:lang w:val="fr-CA"/>
        </w:rPr>
        <w:t xml:space="preserve">.  </w:t>
      </w:r>
      <w:r w:rsidRPr="009061A9">
        <w:rPr>
          <w:rFonts w:cs="Times New Roman"/>
          <w:lang w:val="fr-CA"/>
        </w:rPr>
        <w:t xml:space="preserve">En fait, il est difficile d’imaginer qu’une intrusion aussi </w:t>
      </w:r>
      <w:r>
        <w:rPr>
          <w:rFonts w:cs="Times New Roman"/>
          <w:lang w:val="fr-CA"/>
        </w:rPr>
        <w:t>d</w:t>
      </w:r>
      <w:r w:rsidRPr="009061A9">
        <w:rPr>
          <w:rFonts w:cs="Times New Roman"/>
          <w:lang w:val="fr-CA"/>
        </w:rPr>
        <w:t>ra</w:t>
      </w:r>
      <w:r>
        <w:rPr>
          <w:rFonts w:cs="Times New Roman"/>
          <w:lang w:val="fr-CA"/>
        </w:rPr>
        <w:t>conienne</w:t>
      </w:r>
      <w:r w:rsidRPr="009061A9">
        <w:rPr>
          <w:rFonts w:cs="Times New Roman"/>
          <w:lang w:val="fr-CA"/>
        </w:rPr>
        <w:t xml:space="preserve"> dans le droit </w:t>
      </w:r>
      <w:r>
        <w:rPr>
          <w:rFonts w:cs="Times New Roman"/>
          <w:lang w:val="fr-CA"/>
        </w:rPr>
        <w:t>nat</w:t>
      </w:r>
      <w:r w:rsidRPr="009061A9">
        <w:rPr>
          <w:rFonts w:cs="Times New Roman"/>
          <w:lang w:val="fr-CA"/>
        </w:rPr>
        <w:t>i</w:t>
      </w:r>
      <w:r>
        <w:rPr>
          <w:rFonts w:cs="Times New Roman"/>
          <w:lang w:val="fr-CA"/>
        </w:rPr>
        <w:t>o</w:t>
      </w:r>
      <w:r w:rsidRPr="009061A9">
        <w:rPr>
          <w:rFonts w:cs="Times New Roman"/>
          <w:lang w:val="fr-CA"/>
        </w:rPr>
        <w:t>n</w:t>
      </w:r>
      <w:r>
        <w:rPr>
          <w:rFonts w:cs="Times New Roman"/>
          <w:lang w:val="fr-CA"/>
        </w:rPr>
        <w:t>al</w:t>
      </w:r>
      <w:r w:rsidRPr="009061A9">
        <w:rPr>
          <w:rFonts w:cs="Times New Roman"/>
          <w:lang w:val="fr-CA"/>
        </w:rPr>
        <w:t xml:space="preserve"> puisse se faire sans texte explicite ou </w:t>
      </w:r>
      <w:r>
        <w:rPr>
          <w:rFonts w:cs="Times New Roman"/>
          <w:lang w:val="fr-CA"/>
        </w:rPr>
        <w:t xml:space="preserve">communication du </w:t>
      </w:r>
      <w:r w:rsidRPr="009061A9">
        <w:rPr>
          <w:rFonts w:cs="Times New Roman"/>
          <w:lang w:val="fr-CA"/>
        </w:rPr>
        <w:t>Parlement</w:t>
      </w:r>
      <w:r>
        <w:rPr>
          <w:rFonts w:cs="Times New Roman"/>
          <w:lang w:val="fr-CA"/>
        </w:rPr>
        <w:t xml:space="preserve">.  </w:t>
      </w:r>
      <w:r w:rsidRPr="009061A9">
        <w:rPr>
          <w:rFonts w:cs="Times New Roman"/>
          <w:lang w:val="fr-CA"/>
        </w:rPr>
        <w:t xml:space="preserve">Le silence à l’égard de telles conséquences </w:t>
      </w:r>
      <w:r>
        <w:rPr>
          <w:rFonts w:cs="Times New Roman"/>
          <w:lang w:val="fr-CA"/>
        </w:rPr>
        <w:t xml:space="preserve">tend à </w:t>
      </w:r>
      <w:r>
        <w:rPr>
          <w:rFonts w:cs="Times New Roman"/>
          <w:lang w:val="fr-CA"/>
        </w:rPr>
        <w:lastRenderedPageBreak/>
        <w:t xml:space="preserve">indiquer </w:t>
      </w:r>
      <w:r w:rsidRPr="009061A9">
        <w:rPr>
          <w:rFonts w:cs="Times New Roman"/>
          <w:lang w:val="fr-CA"/>
        </w:rPr>
        <w:t>que celles</w:t>
      </w:r>
      <w:r w:rsidR="006412AC">
        <w:rPr>
          <w:rFonts w:cs="Times New Roman"/>
          <w:lang w:val="fr-CA"/>
        </w:rPr>
        <w:t>-</w:t>
      </w:r>
      <w:r w:rsidRPr="009061A9">
        <w:rPr>
          <w:rFonts w:cs="Times New Roman"/>
          <w:lang w:val="fr-CA"/>
        </w:rPr>
        <w:t xml:space="preserve">ci n’étaient ni envisagées ni </w:t>
      </w:r>
      <w:r>
        <w:rPr>
          <w:rFonts w:cs="Times New Roman"/>
          <w:lang w:val="fr-CA"/>
        </w:rPr>
        <w:t>souhaitées</w:t>
      </w:r>
      <w:r w:rsidRPr="009061A9">
        <w:rPr>
          <w:rFonts w:cs="Times New Roman"/>
          <w:lang w:val="fr-CA"/>
        </w:rPr>
        <w:t xml:space="preserve">. </w:t>
      </w:r>
    </w:p>
    <w:p w:rsidR="00367456" w:rsidRDefault="00367456" w:rsidP="00A12DCE">
      <w:pPr>
        <w:pStyle w:val="ParaNoNdepar-AltN"/>
        <w:widowControl w:val="0"/>
        <w:rPr>
          <w:rFonts w:cs="Times New Roman"/>
          <w:lang w:val="fr-CA"/>
        </w:rPr>
      </w:pPr>
      <w:r w:rsidRPr="009061A9">
        <w:rPr>
          <w:rFonts w:cs="Times New Roman"/>
          <w:lang w:val="fr-CA"/>
        </w:rPr>
        <w:t xml:space="preserve">Enfin, il convient de noter que le </w:t>
      </w:r>
      <w:r>
        <w:rPr>
          <w:rFonts w:cs="Times New Roman"/>
          <w:lang w:val="fr-CA"/>
        </w:rPr>
        <w:t>paragraphe</w:t>
      </w:r>
      <w:r w:rsidR="006412AC">
        <w:rPr>
          <w:rFonts w:cs="Times New Roman"/>
          <w:lang w:val="fr-CA"/>
        </w:rPr>
        <w:t xml:space="preserve"> </w:t>
      </w:r>
      <w:r w:rsidRPr="009061A9">
        <w:rPr>
          <w:rFonts w:cs="Times New Roman"/>
          <w:lang w:val="fr-CA"/>
        </w:rPr>
        <w:t xml:space="preserve">3(4) de la </w:t>
      </w:r>
      <w:r w:rsidRPr="009061A9">
        <w:rPr>
          <w:rFonts w:cs="Times New Roman"/>
          <w:i/>
          <w:lang w:val="fr-CA"/>
        </w:rPr>
        <w:t xml:space="preserve">Convention de Montréal </w:t>
      </w:r>
      <w:r>
        <w:rPr>
          <w:rFonts w:cs="Times New Roman"/>
          <w:lang w:val="fr-CA"/>
        </w:rPr>
        <w:t xml:space="preserve">confirme lui </w:t>
      </w:r>
      <w:r w:rsidRPr="009061A9">
        <w:rPr>
          <w:rFonts w:cs="Times New Roman"/>
          <w:lang w:val="fr-CA"/>
        </w:rPr>
        <w:t xml:space="preserve">aussi une interprétation étroite </w:t>
      </w:r>
      <w:r>
        <w:rPr>
          <w:rFonts w:cs="Times New Roman"/>
          <w:lang w:val="fr-CA"/>
        </w:rPr>
        <w:t>de l’étendue</w:t>
      </w:r>
      <w:r w:rsidRPr="009061A9">
        <w:rPr>
          <w:rFonts w:cs="Times New Roman"/>
          <w:lang w:val="fr-CA"/>
        </w:rPr>
        <w:t xml:space="preserve"> des dema</w:t>
      </w:r>
      <w:r>
        <w:rPr>
          <w:rFonts w:cs="Times New Roman"/>
          <w:lang w:val="fr-CA"/>
        </w:rPr>
        <w:t>ndes régies par le T</w:t>
      </w:r>
      <w:r w:rsidRPr="009061A9">
        <w:rPr>
          <w:rFonts w:cs="Times New Roman"/>
          <w:lang w:val="fr-CA"/>
        </w:rPr>
        <w:t>raité</w:t>
      </w:r>
      <w:r>
        <w:rPr>
          <w:rFonts w:cs="Times New Roman"/>
          <w:lang w:val="fr-CA"/>
        </w:rPr>
        <w:t xml:space="preserve">.  </w:t>
      </w:r>
      <w:r w:rsidRPr="009061A9">
        <w:rPr>
          <w:rFonts w:cs="Times New Roman"/>
          <w:lang w:val="fr-CA"/>
        </w:rPr>
        <w:t xml:space="preserve">Cette disposition </w:t>
      </w:r>
      <w:r>
        <w:rPr>
          <w:rFonts w:cs="Times New Roman"/>
          <w:lang w:val="fr-CA"/>
        </w:rPr>
        <w:t xml:space="preserve">est rédigée </w:t>
      </w:r>
      <w:r w:rsidRPr="009061A9">
        <w:rPr>
          <w:rFonts w:cs="Times New Roman"/>
          <w:lang w:val="fr-CA"/>
        </w:rPr>
        <w:t>ainsi</w:t>
      </w:r>
      <w:r w:rsidR="006412AC">
        <w:rPr>
          <w:rFonts w:cs="Times New Roman"/>
          <w:lang w:val="fr-CA"/>
        </w:rPr>
        <w:t> :</w:t>
      </w:r>
    </w:p>
    <w:p w:rsidR="00367456" w:rsidRDefault="00367456" w:rsidP="00FB193E">
      <w:pPr>
        <w:pStyle w:val="Citation-AltC"/>
        <w:widowControl w:val="0"/>
        <w:spacing w:after="240"/>
        <w:ind w:left="1168" w:hanging="1168"/>
        <w:contextualSpacing w:val="0"/>
        <w:jc w:val="center"/>
        <w:rPr>
          <w:i/>
          <w:lang w:val="fr-CA"/>
        </w:rPr>
      </w:pPr>
      <w:r w:rsidRPr="009E23FC">
        <w:rPr>
          <w:i/>
          <w:smallCaps/>
          <w:lang w:val="fr-CA"/>
        </w:rPr>
        <w:t>Article 3</w:t>
      </w:r>
      <w:r w:rsidRPr="009061A9">
        <w:rPr>
          <w:i/>
          <w:lang w:val="fr-CA"/>
        </w:rPr>
        <w:t xml:space="preserve"> </w:t>
      </w:r>
      <w:r>
        <w:rPr>
          <w:i/>
          <w:lang w:val="fr-CA"/>
        </w:rPr>
        <w:t>—</w:t>
      </w:r>
      <w:r w:rsidRPr="009061A9">
        <w:rPr>
          <w:i/>
          <w:lang w:val="fr-CA"/>
        </w:rPr>
        <w:t xml:space="preserve"> </w:t>
      </w:r>
      <w:r w:rsidRPr="00CF5515">
        <w:rPr>
          <w:i/>
          <w:smallCaps/>
          <w:lang w:val="fr-CA"/>
        </w:rPr>
        <w:t>Passagers et bagages</w:t>
      </w:r>
    </w:p>
    <w:p w:rsidR="00367456" w:rsidRPr="009061A9" w:rsidRDefault="00367456" w:rsidP="00A12DCE">
      <w:pPr>
        <w:pStyle w:val="Citation-AltC"/>
        <w:widowControl w:val="0"/>
        <w:ind w:hanging="1166"/>
        <w:rPr>
          <w:lang w:val="fr-CA"/>
        </w:rPr>
      </w:pPr>
      <w:r>
        <w:rPr>
          <w:lang w:val="fr-CA"/>
        </w:rPr>
        <w:tab/>
      </w:r>
      <w:r w:rsidR="00FB193E">
        <w:rPr>
          <w:lang w:val="fr-CA"/>
        </w:rPr>
        <w:tab/>
      </w:r>
      <w:r>
        <w:rPr>
          <w:lang w:val="fr-CA"/>
        </w:rPr>
        <w:t>4.</w:t>
      </w:r>
      <w:r w:rsidR="006412AC">
        <w:rPr>
          <w:lang w:val="fr-CA"/>
        </w:rPr>
        <w:t xml:space="preserve">  </w:t>
      </w:r>
      <w:r w:rsidRPr="009061A9">
        <w:rPr>
          <w:lang w:val="fr-CA"/>
        </w:rPr>
        <w:t>Il sera donné au passager un avis écrit indiquant que, lorsque la présente convention s</w:t>
      </w:r>
      <w:r>
        <w:rPr>
          <w:lang w:val="fr-CA"/>
        </w:rPr>
        <w:t>’</w:t>
      </w:r>
      <w:r w:rsidRPr="009061A9">
        <w:rPr>
          <w:lang w:val="fr-CA"/>
        </w:rPr>
        <w:t xml:space="preserve">applique, elle régit la responsabilité des transporteurs </w:t>
      </w:r>
      <w:r w:rsidRPr="00CF5515">
        <w:rPr>
          <w:lang w:val="fr-CA"/>
        </w:rPr>
        <w:t>en cas de mort ou de lésion ainsi qu</w:t>
      </w:r>
      <w:r>
        <w:rPr>
          <w:lang w:val="fr-CA"/>
        </w:rPr>
        <w:t>’</w:t>
      </w:r>
      <w:r w:rsidRPr="00CF5515">
        <w:rPr>
          <w:lang w:val="fr-CA"/>
        </w:rPr>
        <w:t>en cas de destruction, de perte ou d</w:t>
      </w:r>
      <w:r>
        <w:rPr>
          <w:lang w:val="fr-CA"/>
        </w:rPr>
        <w:t>’</w:t>
      </w:r>
      <w:r w:rsidRPr="00CF5515">
        <w:rPr>
          <w:lang w:val="fr-CA"/>
        </w:rPr>
        <w:t>avarie des bagages, ou de retard.</w:t>
      </w:r>
    </w:p>
    <w:p w:rsidR="00367456" w:rsidRPr="009061A9" w:rsidRDefault="00367456" w:rsidP="00A12DCE">
      <w:pPr>
        <w:pStyle w:val="ParaNoNdepar-AltN"/>
        <w:widowControl w:val="0"/>
        <w:numPr>
          <w:ilvl w:val="0"/>
          <w:numId w:val="0"/>
        </w:numPr>
        <w:rPr>
          <w:rFonts w:cs="Times New Roman"/>
          <w:lang w:val="fr-CA"/>
        </w:rPr>
      </w:pPr>
      <w:r w:rsidRPr="009061A9">
        <w:rPr>
          <w:rFonts w:cs="Times New Roman"/>
          <w:lang w:val="fr-CA"/>
        </w:rPr>
        <w:t xml:space="preserve">Cette disposition énonce les renseignements que les passagers ont le droit de connaître au sujet de l’ensemble des limites de responsabilité visées par la </w:t>
      </w:r>
      <w:r w:rsidRPr="009061A9">
        <w:rPr>
          <w:rFonts w:cs="Times New Roman"/>
          <w:i/>
          <w:lang w:val="fr-CA"/>
        </w:rPr>
        <w:t>Convention</w:t>
      </w:r>
      <w:r w:rsidRPr="009061A9">
        <w:rPr>
          <w:rFonts w:cs="Times New Roman"/>
          <w:lang w:val="fr-CA"/>
        </w:rPr>
        <w:t xml:space="preserve">, à savoir </w:t>
      </w:r>
      <w:r w:rsidR="006412AC">
        <w:rPr>
          <w:rFonts w:cs="Times New Roman"/>
          <w:lang w:val="fr-CA"/>
        </w:rPr>
        <w:t>« </w:t>
      </w:r>
      <w:r w:rsidRPr="009061A9">
        <w:rPr>
          <w:rFonts w:cs="Times New Roman"/>
          <w:lang w:val="fr-CA"/>
        </w:rPr>
        <w:t>en ca</w:t>
      </w:r>
      <w:r>
        <w:rPr>
          <w:rFonts w:cs="Times New Roman"/>
          <w:lang w:val="fr-CA"/>
        </w:rPr>
        <w:t>s de mort ou de lésion ainsi qu’</w:t>
      </w:r>
      <w:r w:rsidRPr="009061A9">
        <w:rPr>
          <w:rFonts w:cs="Times New Roman"/>
          <w:lang w:val="fr-CA"/>
        </w:rPr>
        <w:t>en cas de destruction, de perte ou d</w:t>
      </w:r>
      <w:r>
        <w:rPr>
          <w:rFonts w:cs="Times New Roman"/>
          <w:lang w:val="fr-CA"/>
        </w:rPr>
        <w:t>’</w:t>
      </w:r>
      <w:r w:rsidRPr="009061A9">
        <w:rPr>
          <w:rFonts w:cs="Times New Roman"/>
          <w:lang w:val="fr-CA"/>
        </w:rPr>
        <w:t>avarie des bagages, ou de retard</w:t>
      </w:r>
      <w:r w:rsidR="006412AC">
        <w:rPr>
          <w:rFonts w:cs="Times New Roman"/>
          <w:lang w:val="fr-CA"/>
        </w:rPr>
        <w:t> »</w:t>
      </w:r>
      <w:r>
        <w:rPr>
          <w:rFonts w:cs="Times New Roman"/>
          <w:lang w:val="fr-CA"/>
        </w:rPr>
        <w:t xml:space="preserve">.  </w:t>
      </w:r>
      <w:r w:rsidRPr="009061A9">
        <w:rPr>
          <w:rFonts w:cs="Times New Roman"/>
          <w:lang w:val="fr-CA"/>
        </w:rPr>
        <w:t>L’article</w:t>
      </w:r>
      <w:r w:rsidR="006412AC">
        <w:rPr>
          <w:rFonts w:cs="Times New Roman"/>
          <w:lang w:val="fr-CA"/>
        </w:rPr>
        <w:t xml:space="preserve"> </w:t>
      </w:r>
      <w:r w:rsidRPr="009061A9">
        <w:rPr>
          <w:rFonts w:cs="Times New Roman"/>
          <w:lang w:val="fr-CA"/>
        </w:rPr>
        <w:t>29 doit,</w:t>
      </w:r>
      <w:r>
        <w:rPr>
          <w:rFonts w:cs="Times New Roman"/>
          <w:lang w:val="fr-CA"/>
        </w:rPr>
        <w:t xml:space="preserve"> il me semble</w:t>
      </w:r>
      <w:r w:rsidRPr="009061A9">
        <w:rPr>
          <w:rFonts w:cs="Times New Roman"/>
          <w:lang w:val="fr-CA"/>
        </w:rPr>
        <w:t>, être lu en harmonie avec cette disposition</w:t>
      </w:r>
      <w:r>
        <w:rPr>
          <w:rFonts w:cs="Times New Roman"/>
          <w:lang w:val="fr-CA"/>
        </w:rPr>
        <w:t xml:space="preserve">.  </w:t>
      </w:r>
      <w:r w:rsidRPr="009061A9">
        <w:rPr>
          <w:rFonts w:cs="Times New Roman"/>
          <w:lang w:val="fr-CA"/>
        </w:rPr>
        <w:t>Conclure plutôt que l’</w:t>
      </w:r>
      <w:r>
        <w:rPr>
          <w:rFonts w:cs="Times New Roman"/>
          <w:lang w:val="fr-CA"/>
        </w:rPr>
        <w:t>article</w:t>
      </w:r>
      <w:r w:rsidR="006412AC">
        <w:rPr>
          <w:rFonts w:cs="Times New Roman"/>
          <w:lang w:val="fr-CA"/>
        </w:rPr>
        <w:t xml:space="preserve"> </w:t>
      </w:r>
      <w:r w:rsidRPr="009061A9">
        <w:rPr>
          <w:rFonts w:cs="Times New Roman"/>
          <w:lang w:val="fr-CA"/>
        </w:rPr>
        <w:t>29</w:t>
      </w:r>
      <w:r>
        <w:rPr>
          <w:rFonts w:cs="Times New Roman"/>
          <w:lang w:val="fr-CA"/>
        </w:rPr>
        <w:t xml:space="preserve"> ajoute à </w:t>
      </w:r>
      <w:r w:rsidRPr="009061A9">
        <w:rPr>
          <w:rFonts w:cs="Times New Roman"/>
          <w:lang w:val="fr-CA"/>
        </w:rPr>
        <w:t xml:space="preserve">cette liste </w:t>
      </w:r>
      <w:r w:rsidRPr="009061A9">
        <w:rPr>
          <w:rFonts w:cs="Times New Roman"/>
          <w:i/>
          <w:lang w:val="fr-CA"/>
        </w:rPr>
        <w:t>toutes</w:t>
      </w:r>
      <w:r w:rsidRPr="009061A9">
        <w:rPr>
          <w:rFonts w:cs="Times New Roman"/>
          <w:lang w:val="fr-CA"/>
        </w:rPr>
        <w:t xml:space="preserve"> les </w:t>
      </w:r>
      <w:r>
        <w:rPr>
          <w:rFonts w:cs="Times New Roman"/>
          <w:lang w:val="fr-CA"/>
        </w:rPr>
        <w:t xml:space="preserve">réclamations pour préjudice subi pendant le </w:t>
      </w:r>
      <w:r w:rsidRPr="009061A9">
        <w:rPr>
          <w:rFonts w:cs="Times New Roman"/>
          <w:lang w:val="fr-CA"/>
        </w:rPr>
        <w:t xml:space="preserve">transport aérien international laisse entendre que la </w:t>
      </w:r>
      <w:r w:rsidRPr="009061A9">
        <w:rPr>
          <w:rFonts w:cs="Times New Roman"/>
          <w:i/>
          <w:lang w:val="fr-CA"/>
        </w:rPr>
        <w:t xml:space="preserve">Convention </w:t>
      </w:r>
      <w:r w:rsidRPr="009061A9">
        <w:rPr>
          <w:rFonts w:cs="Times New Roman"/>
          <w:lang w:val="fr-CA"/>
        </w:rPr>
        <w:t xml:space="preserve">vise à n’informer les passagers que de certains aspects de la responsabilité limitée du transporteur, sans les </w:t>
      </w:r>
      <w:r>
        <w:rPr>
          <w:rFonts w:cs="Times New Roman"/>
          <w:lang w:val="fr-CA"/>
        </w:rPr>
        <w:t xml:space="preserve">prévenir </w:t>
      </w:r>
      <w:r w:rsidRPr="009061A9">
        <w:rPr>
          <w:rFonts w:cs="Times New Roman"/>
          <w:lang w:val="fr-CA"/>
        </w:rPr>
        <w:t xml:space="preserve">que </w:t>
      </w:r>
      <w:r w:rsidRPr="002751A1">
        <w:rPr>
          <w:rFonts w:cs="Times New Roman"/>
          <w:lang w:val="fr-CA"/>
        </w:rPr>
        <w:t xml:space="preserve">toute </w:t>
      </w:r>
      <w:r w:rsidRPr="00CF5515">
        <w:rPr>
          <w:rFonts w:cs="Times New Roman"/>
          <w:lang w:val="fr-CA"/>
        </w:rPr>
        <w:t>autre action est purement et simplement irrecevable</w:t>
      </w:r>
      <w:r>
        <w:rPr>
          <w:rFonts w:cs="Times New Roman"/>
          <w:lang w:val="fr-CA"/>
        </w:rPr>
        <w:t>.  À mon sens, c</w:t>
      </w:r>
      <w:r w:rsidRPr="009061A9">
        <w:rPr>
          <w:rFonts w:cs="Times New Roman"/>
          <w:lang w:val="fr-CA"/>
        </w:rPr>
        <w:t>ela contredit</w:t>
      </w:r>
      <w:r>
        <w:rPr>
          <w:rFonts w:cs="Times New Roman"/>
          <w:lang w:val="fr-CA"/>
        </w:rPr>
        <w:t xml:space="preserve"> </w:t>
      </w:r>
      <w:r w:rsidRPr="009061A9">
        <w:rPr>
          <w:rFonts w:cs="Times New Roman"/>
          <w:lang w:val="fr-CA"/>
        </w:rPr>
        <w:t xml:space="preserve">l’objectif de protection du consommateur </w:t>
      </w:r>
      <w:r>
        <w:rPr>
          <w:rFonts w:cs="Times New Roman"/>
          <w:lang w:val="fr-CA"/>
        </w:rPr>
        <w:t xml:space="preserve">visé par </w:t>
      </w:r>
      <w:r w:rsidRPr="009061A9">
        <w:rPr>
          <w:rFonts w:cs="Times New Roman"/>
          <w:lang w:val="fr-CA"/>
        </w:rPr>
        <w:t xml:space="preserve">la </w:t>
      </w:r>
      <w:r w:rsidRPr="009061A9">
        <w:rPr>
          <w:rFonts w:cs="Times New Roman"/>
          <w:i/>
          <w:lang w:val="fr-CA"/>
        </w:rPr>
        <w:t>Convention</w:t>
      </w:r>
      <w:r w:rsidRPr="009061A9">
        <w:rPr>
          <w:rFonts w:cs="Times New Roman"/>
          <w:lang w:val="fr-CA"/>
        </w:rPr>
        <w:t xml:space="preserve"> en postulant que les États parties entendaient </w:t>
      </w:r>
      <w:r>
        <w:rPr>
          <w:rFonts w:cs="Times New Roman"/>
          <w:lang w:val="fr-CA"/>
        </w:rPr>
        <w:t xml:space="preserve">induire </w:t>
      </w:r>
      <w:r w:rsidRPr="009061A9">
        <w:rPr>
          <w:rFonts w:cs="Times New Roman"/>
          <w:lang w:val="fr-CA"/>
        </w:rPr>
        <w:t>les passagers</w:t>
      </w:r>
      <w:r>
        <w:rPr>
          <w:rFonts w:cs="Times New Roman"/>
          <w:lang w:val="fr-CA"/>
        </w:rPr>
        <w:t xml:space="preserve"> en erreur</w:t>
      </w:r>
      <w:r w:rsidRPr="009061A9">
        <w:rPr>
          <w:rFonts w:cs="Times New Roman"/>
          <w:lang w:val="fr-CA"/>
        </w:rPr>
        <w:t xml:space="preserve"> en leur donnant avis </w:t>
      </w:r>
      <w:r>
        <w:rPr>
          <w:rFonts w:cs="Times New Roman"/>
          <w:lang w:val="fr-CA"/>
        </w:rPr>
        <w:t>de</w:t>
      </w:r>
      <w:r w:rsidRPr="009061A9">
        <w:rPr>
          <w:rFonts w:cs="Times New Roman"/>
          <w:lang w:val="fr-CA"/>
        </w:rPr>
        <w:t xml:space="preserve"> certaines limites de</w:t>
      </w:r>
      <w:r>
        <w:rPr>
          <w:rFonts w:cs="Times New Roman"/>
          <w:lang w:val="fr-CA"/>
        </w:rPr>
        <w:t xml:space="preserve"> la</w:t>
      </w:r>
      <w:r w:rsidRPr="009061A9">
        <w:rPr>
          <w:rFonts w:cs="Times New Roman"/>
          <w:lang w:val="fr-CA"/>
        </w:rPr>
        <w:t xml:space="preserve"> responsabilité du transporteur, mais non pas</w:t>
      </w:r>
      <w:r>
        <w:rPr>
          <w:rFonts w:cs="Times New Roman"/>
          <w:lang w:val="fr-CA"/>
        </w:rPr>
        <w:t xml:space="preserve"> de </w:t>
      </w:r>
      <w:r w:rsidRPr="009061A9">
        <w:rPr>
          <w:rFonts w:cs="Times New Roman"/>
          <w:lang w:val="fr-CA"/>
        </w:rPr>
        <w:t>toutes</w:t>
      </w:r>
      <w:r>
        <w:rPr>
          <w:rFonts w:cs="Times New Roman"/>
          <w:lang w:val="fr-CA"/>
        </w:rPr>
        <w:t xml:space="preserve"> ces limites</w:t>
      </w:r>
      <w:r w:rsidRPr="009061A9">
        <w:rPr>
          <w:rFonts w:cs="Times New Roman"/>
          <w:lang w:val="fr-CA"/>
        </w:rPr>
        <w:t>.</w:t>
      </w:r>
    </w:p>
    <w:p w:rsidR="00367456" w:rsidRPr="009061A9" w:rsidRDefault="00367456" w:rsidP="00A12DCE">
      <w:pPr>
        <w:pStyle w:val="ParaNoNdepar-AltN"/>
        <w:widowControl w:val="0"/>
        <w:rPr>
          <w:rFonts w:cs="Times New Roman"/>
          <w:lang w:val="fr-CA"/>
        </w:rPr>
      </w:pPr>
      <w:r w:rsidRPr="009061A9">
        <w:rPr>
          <w:rFonts w:cs="Times New Roman"/>
          <w:lang w:val="fr-CA"/>
        </w:rPr>
        <w:lastRenderedPageBreak/>
        <w:t xml:space="preserve">Par conséquent, </w:t>
      </w:r>
      <w:r>
        <w:rPr>
          <w:rFonts w:cs="Times New Roman"/>
          <w:lang w:val="fr-CA"/>
        </w:rPr>
        <w:t xml:space="preserve">tout ce que fait </w:t>
      </w:r>
      <w:r w:rsidRPr="009061A9">
        <w:rPr>
          <w:rFonts w:cs="Times New Roman"/>
          <w:lang w:val="fr-CA"/>
        </w:rPr>
        <w:t>l’</w:t>
      </w:r>
      <w:r>
        <w:rPr>
          <w:rFonts w:cs="Times New Roman"/>
          <w:lang w:val="fr-CA"/>
        </w:rPr>
        <w:t>article</w:t>
      </w:r>
      <w:r w:rsidR="006412AC">
        <w:rPr>
          <w:rFonts w:cs="Times New Roman"/>
          <w:lang w:val="fr-CA"/>
        </w:rPr>
        <w:t xml:space="preserve"> </w:t>
      </w:r>
      <w:r w:rsidRPr="009061A9">
        <w:rPr>
          <w:rFonts w:cs="Times New Roman"/>
          <w:lang w:val="fr-CA"/>
        </w:rPr>
        <w:t>29</w:t>
      </w:r>
      <w:r>
        <w:rPr>
          <w:rFonts w:cs="Times New Roman"/>
          <w:lang w:val="fr-CA"/>
        </w:rPr>
        <w:t>, c’est de prescr</w:t>
      </w:r>
      <w:r w:rsidRPr="009061A9">
        <w:rPr>
          <w:rFonts w:cs="Times New Roman"/>
          <w:lang w:val="fr-CA"/>
        </w:rPr>
        <w:t xml:space="preserve">ire que la </w:t>
      </w:r>
      <w:r w:rsidRPr="009061A9">
        <w:rPr>
          <w:rFonts w:cs="Times New Roman"/>
          <w:i/>
          <w:lang w:val="fr-CA"/>
        </w:rPr>
        <w:t>Convention de Montréal</w:t>
      </w:r>
      <w:r w:rsidRPr="009061A9">
        <w:rPr>
          <w:rFonts w:cs="Times New Roman"/>
          <w:lang w:val="fr-CA"/>
        </w:rPr>
        <w:t xml:space="preserve"> </w:t>
      </w:r>
      <w:r>
        <w:rPr>
          <w:rFonts w:cs="Times New Roman"/>
          <w:lang w:val="fr-CA"/>
        </w:rPr>
        <w:t xml:space="preserve">ne </w:t>
      </w:r>
      <w:r w:rsidRPr="009061A9">
        <w:rPr>
          <w:rFonts w:cs="Times New Roman"/>
          <w:lang w:val="fr-CA"/>
        </w:rPr>
        <w:t>régit</w:t>
      </w:r>
      <w:r>
        <w:rPr>
          <w:rFonts w:cs="Times New Roman"/>
          <w:lang w:val="fr-CA"/>
        </w:rPr>
        <w:t xml:space="preserve"> à titre exclusif que </w:t>
      </w:r>
      <w:r w:rsidRPr="009061A9">
        <w:rPr>
          <w:rFonts w:cs="Times New Roman"/>
          <w:lang w:val="fr-CA"/>
        </w:rPr>
        <w:t>les actions intentées au titre d</w:t>
      </w:r>
      <w:r>
        <w:rPr>
          <w:rFonts w:cs="Times New Roman"/>
          <w:lang w:val="fr-CA"/>
        </w:rPr>
        <w:t xml:space="preserve">u préjudice </w:t>
      </w:r>
      <w:r w:rsidRPr="009061A9">
        <w:rPr>
          <w:rFonts w:cs="Times New Roman"/>
          <w:lang w:val="fr-CA"/>
        </w:rPr>
        <w:t xml:space="preserve">subi </w:t>
      </w:r>
      <w:r w:rsidR="006412AC">
        <w:rPr>
          <w:rFonts w:cs="Times New Roman"/>
          <w:lang w:val="fr-CA"/>
        </w:rPr>
        <w:t>« </w:t>
      </w:r>
      <w:r w:rsidRPr="002751A1">
        <w:rPr>
          <w:rFonts w:cs="Times New Roman"/>
          <w:lang w:val="fr-CA"/>
        </w:rPr>
        <w:t>[</w:t>
      </w:r>
      <w:r w:rsidRPr="009061A9">
        <w:rPr>
          <w:rFonts w:cs="Times New Roman"/>
          <w:lang w:val="fr-CA"/>
        </w:rPr>
        <w:t>d</w:t>
      </w:r>
      <w:r>
        <w:rPr>
          <w:rFonts w:cs="Times New Roman"/>
          <w:lang w:val="fr-CA"/>
        </w:rPr>
        <w:t>]</w:t>
      </w:r>
      <w:r w:rsidRPr="009061A9">
        <w:rPr>
          <w:rFonts w:cs="Times New Roman"/>
          <w:lang w:val="fr-CA"/>
        </w:rPr>
        <w:t>ans le transport de passagers, de bagages et de marchandises</w:t>
      </w:r>
      <w:r w:rsidR="006412AC">
        <w:rPr>
          <w:rFonts w:cs="Times New Roman"/>
          <w:lang w:val="fr-CA"/>
        </w:rPr>
        <w:t> »</w:t>
      </w:r>
      <w:r w:rsidRPr="009061A9">
        <w:rPr>
          <w:rFonts w:cs="Times New Roman"/>
          <w:lang w:val="fr-CA"/>
        </w:rPr>
        <w:t>, c’est</w:t>
      </w:r>
      <w:r w:rsidR="006412AC">
        <w:rPr>
          <w:rFonts w:cs="Times New Roman"/>
          <w:lang w:val="fr-CA"/>
        </w:rPr>
        <w:t>-</w:t>
      </w:r>
      <w:r w:rsidRPr="009061A9">
        <w:rPr>
          <w:rFonts w:cs="Times New Roman"/>
          <w:lang w:val="fr-CA"/>
        </w:rPr>
        <w:t>à</w:t>
      </w:r>
      <w:r w:rsidR="006412AC">
        <w:rPr>
          <w:rFonts w:cs="Times New Roman"/>
          <w:lang w:val="fr-CA"/>
        </w:rPr>
        <w:t>-</w:t>
      </w:r>
      <w:r w:rsidRPr="009061A9">
        <w:rPr>
          <w:rFonts w:cs="Times New Roman"/>
          <w:lang w:val="fr-CA"/>
        </w:rPr>
        <w:t>dire les actions visées par les a</w:t>
      </w:r>
      <w:r>
        <w:rPr>
          <w:rFonts w:cs="Times New Roman"/>
          <w:lang w:val="fr-CA"/>
        </w:rPr>
        <w:t>rticles</w:t>
      </w:r>
      <w:r w:rsidR="006412AC">
        <w:rPr>
          <w:rFonts w:cs="Times New Roman"/>
          <w:lang w:val="fr-CA"/>
        </w:rPr>
        <w:t xml:space="preserve"> </w:t>
      </w:r>
      <w:r w:rsidRPr="009061A9">
        <w:rPr>
          <w:rFonts w:cs="Times New Roman"/>
          <w:lang w:val="fr-CA"/>
        </w:rPr>
        <w:t xml:space="preserve">17, 18 et 19. </w:t>
      </w:r>
    </w:p>
    <w:p w:rsidR="00367456" w:rsidRPr="009061A9" w:rsidRDefault="00367456" w:rsidP="00A12DCE">
      <w:pPr>
        <w:pStyle w:val="ParaNoNdepar-AltN"/>
        <w:widowControl w:val="0"/>
        <w:rPr>
          <w:lang w:val="fr-CA"/>
        </w:rPr>
      </w:pPr>
      <w:r w:rsidRPr="009061A9">
        <w:rPr>
          <w:rFonts w:cs="Times New Roman"/>
          <w:bCs/>
          <w:lang w:val="fr-CA"/>
        </w:rPr>
        <w:t>Or, les Thibodeau réclament des dommages</w:t>
      </w:r>
      <w:r w:rsidR="006412AC">
        <w:rPr>
          <w:rFonts w:cs="Times New Roman"/>
          <w:bCs/>
          <w:lang w:val="fr-CA"/>
        </w:rPr>
        <w:t>-</w:t>
      </w:r>
      <w:r w:rsidRPr="009061A9">
        <w:rPr>
          <w:rFonts w:cs="Times New Roman"/>
          <w:bCs/>
          <w:lang w:val="fr-CA"/>
        </w:rPr>
        <w:t xml:space="preserve">intérêts pour les violations d’une loi qui concrétise des droits protégés par la Constitution.  </w:t>
      </w:r>
      <w:r w:rsidRPr="00CF5515">
        <w:rPr>
          <w:lang w:val="fr-CA"/>
        </w:rPr>
        <w:t>Notre</w:t>
      </w:r>
      <w:r w:rsidRPr="009061A9">
        <w:rPr>
          <w:lang w:val="fr-CA"/>
        </w:rPr>
        <w:t xml:space="preserve"> Cour a </w:t>
      </w:r>
      <w:r>
        <w:rPr>
          <w:lang w:val="fr-CA"/>
        </w:rPr>
        <w:t xml:space="preserve">jugé </w:t>
      </w:r>
      <w:r w:rsidRPr="009061A9">
        <w:rPr>
          <w:lang w:val="fr-CA"/>
        </w:rPr>
        <w:t>que les</w:t>
      </w:r>
      <w:r w:rsidRPr="009061A9">
        <w:rPr>
          <w:rFonts w:cs="Times New Roman"/>
          <w:lang w:val="fr-CA"/>
        </w:rPr>
        <w:t xml:space="preserve"> lois </w:t>
      </w:r>
      <w:r w:rsidR="006412AC">
        <w:rPr>
          <w:rFonts w:cs="Times New Roman"/>
          <w:lang w:val="fr-CA"/>
        </w:rPr>
        <w:t>« </w:t>
      </w:r>
      <w:r w:rsidRPr="009061A9">
        <w:rPr>
          <w:rFonts w:cs="Times New Roman"/>
          <w:lang w:val="fr-CA"/>
        </w:rPr>
        <w:t>visant à protéger les personnes contre toute discrimination acquièrent un statut quasi constitutionnel, qui leur donne préséance sur les lois ordinaires</w:t>
      </w:r>
      <w:r w:rsidR="006412AC">
        <w:rPr>
          <w:rFonts w:cs="Times New Roman"/>
          <w:lang w:val="fr-CA"/>
        </w:rPr>
        <w:t> »</w:t>
      </w:r>
      <w:r w:rsidRPr="009061A9">
        <w:rPr>
          <w:rFonts w:cs="Times New Roman"/>
          <w:lang w:val="fr-CA"/>
        </w:rPr>
        <w:t xml:space="preserve"> </w:t>
      </w:r>
      <w:r w:rsidRPr="00FB193E">
        <w:rPr>
          <w:rFonts w:cs="Times New Roman"/>
          <w:lang w:val="fr-CA"/>
        </w:rPr>
        <w:t>(</w:t>
      </w:r>
      <w:proofErr w:type="spellStart"/>
      <w:r w:rsidRPr="009061A9">
        <w:rPr>
          <w:rFonts w:cs="Times New Roman"/>
          <w:i/>
          <w:lang w:val="fr-CA"/>
        </w:rPr>
        <w:t>Dickason</w:t>
      </w:r>
      <w:proofErr w:type="spellEnd"/>
      <w:r w:rsidRPr="009061A9">
        <w:rPr>
          <w:rFonts w:cs="Times New Roman"/>
          <w:i/>
          <w:lang w:val="fr-CA"/>
        </w:rPr>
        <w:t xml:space="preserve"> c. Université de l’Alberta</w:t>
      </w:r>
      <w:r w:rsidRPr="009061A9">
        <w:rPr>
          <w:rFonts w:cs="Times New Roman"/>
          <w:lang w:val="fr-CA"/>
        </w:rPr>
        <w:t xml:space="preserve">, [1992] 2 R.C.S. 1103, </w:t>
      </w:r>
      <w:r>
        <w:rPr>
          <w:rFonts w:cs="Times New Roman"/>
          <w:lang w:val="fr-CA"/>
        </w:rPr>
        <w:t>p.</w:t>
      </w:r>
      <w:r w:rsidR="006412AC">
        <w:rPr>
          <w:rFonts w:cs="Times New Roman"/>
          <w:lang w:val="fr-CA"/>
        </w:rPr>
        <w:t xml:space="preserve"> </w:t>
      </w:r>
      <w:r w:rsidRPr="00C95426">
        <w:rPr>
          <w:rFonts w:cs="Times New Roman"/>
          <w:lang w:val="fr-CA"/>
        </w:rPr>
        <w:t>1154</w:t>
      </w:r>
      <w:r>
        <w:rPr>
          <w:rFonts w:cs="Times New Roman"/>
          <w:lang w:val="fr-CA"/>
        </w:rPr>
        <w:t>, la juge L’Heureux</w:t>
      </w:r>
      <w:r w:rsidR="006412AC">
        <w:rPr>
          <w:rFonts w:cs="Times New Roman"/>
          <w:lang w:val="fr-CA"/>
        </w:rPr>
        <w:t>-</w:t>
      </w:r>
      <w:proofErr w:type="spellStart"/>
      <w:r>
        <w:rPr>
          <w:rFonts w:cs="Times New Roman"/>
          <w:lang w:val="fr-CA"/>
        </w:rPr>
        <w:t>Dubé</w:t>
      </w:r>
      <w:proofErr w:type="spellEnd"/>
      <w:r>
        <w:rPr>
          <w:rFonts w:cs="Times New Roman"/>
          <w:lang w:val="fr-CA"/>
        </w:rPr>
        <w:t>, dissidente</w:t>
      </w:r>
      <w:r w:rsidRPr="009061A9">
        <w:rPr>
          <w:rFonts w:cs="Times New Roman"/>
          <w:lang w:val="fr-CA"/>
        </w:rPr>
        <w:t>;</w:t>
      </w:r>
      <w:r w:rsidRPr="009061A9">
        <w:rPr>
          <w:rFonts w:cs="Times New Roman"/>
          <w:i/>
          <w:lang w:val="fr-CA"/>
        </w:rPr>
        <w:t xml:space="preserve"> Winnipeg </w:t>
      </w:r>
      <w:proofErr w:type="spellStart"/>
      <w:r w:rsidRPr="009061A9">
        <w:rPr>
          <w:rFonts w:cs="Times New Roman"/>
          <w:i/>
          <w:lang w:val="fr-CA"/>
        </w:rPr>
        <w:t>School</w:t>
      </w:r>
      <w:proofErr w:type="spellEnd"/>
      <w:r w:rsidRPr="009061A9">
        <w:rPr>
          <w:rFonts w:cs="Times New Roman"/>
          <w:i/>
          <w:lang w:val="fr-CA"/>
        </w:rPr>
        <w:t xml:space="preserve"> Division </w:t>
      </w:r>
      <w:r>
        <w:rPr>
          <w:rFonts w:cs="Times New Roman"/>
          <w:i/>
          <w:lang w:val="fr-CA"/>
        </w:rPr>
        <w:t>No.</w:t>
      </w:r>
      <w:r w:rsidR="006412AC">
        <w:rPr>
          <w:rFonts w:cs="Times New Roman"/>
          <w:i/>
          <w:lang w:val="fr-CA"/>
        </w:rPr>
        <w:t xml:space="preserve"> </w:t>
      </w:r>
      <w:r w:rsidRPr="009061A9">
        <w:rPr>
          <w:rFonts w:cs="Times New Roman"/>
          <w:i/>
          <w:lang w:val="fr-CA"/>
        </w:rPr>
        <w:t>1 c. Craton</w:t>
      </w:r>
      <w:r w:rsidRPr="009061A9">
        <w:rPr>
          <w:rFonts w:cs="Times New Roman"/>
          <w:lang w:val="fr-CA"/>
        </w:rPr>
        <w:t xml:space="preserve">, [1985] 2 R.C.S. 150, </w:t>
      </w:r>
      <w:r>
        <w:rPr>
          <w:rFonts w:cs="Times New Roman"/>
          <w:lang w:val="fr-CA"/>
        </w:rPr>
        <w:t>p.</w:t>
      </w:r>
      <w:r w:rsidR="006412AC">
        <w:rPr>
          <w:rFonts w:cs="Times New Roman"/>
          <w:lang w:val="fr-CA"/>
        </w:rPr>
        <w:t xml:space="preserve"> </w:t>
      </w:r>
      <w:r>
        <w:rPr>
          <w:rFonts w:cs="Times New Roman"/>
          <w:lang w:val="fr-CA"/>
        </w:rPr>
        <w:t>156</w:t>
      </w:r>
      <w:r w:rsidRPr="009061A9">
        <w:rPr>
          <w:rFonts w:cs="Times New Roman"/>
          <w:lang w:val="fr-CA"/>
        </w:rPr>
        <w:t>)</w:t>
      </w:r>
      <w:r>
        <w:rPr>
          <w:rFonts w:cs="Times New Roman"/>
          <w:lang w:val="fr-CA"/>
        </w:rPr>
        <w:t xml:space="preserve">.  </w:t>
      </w:r>
      <w:r w:rsidRPr="009061A9">
        <w:rPr>
          <w:rFonts w:cs="Times New Roman"/>
          <w:bCs/>
          <w:lang w:val="fr-CA"/>
        </w:rPr>
        <w:t>Comme l</w:t>
      </w:r>
      <w:r>
        <w:rPr>
          <w:rFonts w:cs="Times New Roman"/>
          <w:bCs/>
          <w:lang w:val="fr-CA"/>
        </w:rPr>
        <w:t xml:space="preserve">’a précisé la Cour dans </w:t>
      </w:r>
      <w:r w:rsidRPr="009061A9">
        <w:rPr>
          <w:rFonts w:cs="Times New Roman"/>
          <w:i/>
          <w:lang w:val="fr-CA"/>
        </w:rPr>
        <w:t>Lavigne c. Canada (Commissariat aux langues officielles)</w:t>
      </w:r>
      <w:r w:rsidRPr="009061A9">
        <w:rPr>
          <w:rFonts w:cs="Times New Roman"/>
          <w:lang w:val="fr-CA"/>
        </w:rPr>
        <w:t>, [2002] 2 R.C.S</w:t>
      </w:r>
      <w:r w:rsidR="00FB193E">
        <w:rPr>
          <w:rFonts w:cs="Times New Roman"/>
          <w:lang w:val="fr-CA"/>
        </w:rPr>
        <w:t>.</w:t>
      </w:r>
      <w:r w:rsidRPr="009061A9">
        <w:rPr>
          <w:rFonts w:cs="Times New Roman"/>
          <w:lang w:val="fr-CA"/>
        </w:rPr>
        <w:t xml:space="preserve"> 773, </w:t>
      </w:r>
      <w:r>
        <w:rPr>
          <w:rFonts w:cs="Times New Roman"/>
          <w:lang w:val="fr-CA"/>
        </w:rPr>
        <w:t>par.</w:t>
      </w:r>
      <w:r w:rsidR="006412AC">
        <w:rPr>
          <w:rFonts w:cs="Times New Roman"/>
          <w:lang w:val="fr-CA"/>
        </w:rPr>
        <w:t xml:space="preserve"> </w:t>
      </w:r>
      <w:r w:rsidRPr="009061A9">
        <w:rPr>
          <w:rFonts w:cs="Times New Roman"/>
          <w:lang w:val="fr-CA"/>
        </w:rPr>
        <w:t>23</w:t>
      </w:r>
      <w:r>
        <w:rPr>
          <w:rFonts w:cs="Times New Roman"/>
          <w:lang w:val="fr-CA"/>
        </w:rPr>
        <w:t xml:space="preserve">, citant </w:t>
      </w:r>
      <w:r w:rsidRPr="009061A9">
        <w:rPr>
          <w:rFonts w:cs="Times New Roman"/>
          <w:i/>
          <w:lang w:val="fr-CA"/>
        </w:rPr>
        <w:t>Canada (Procureur général) c. Viola</w:t>
      </w:r>
      <w:r w:rsidRPr="009061A9">
        <w:rPr>
          <w:rFonts w:cs="Times New Roman"/>
          <w:lang w:val="fr-CA"/>
        </w:rPr>
        <w:t xml:space="preserve">, [1991] 1 C.F. 373 (C.A.), </w:t>
      </w:r>
      <w:r>
        <w:rPr>
          <w:rFonts w:cs="Times New Roman"/>
          <w:lang w:val="fr-CA"/>
        </w:rPr>
        <w:t>p.</w:t>
      </w:r>
      <w:r w:rsidR="006412AC">
        <w:rPr>
          <w:rFonts w:cs="Times New Roman"/>
          <w:lang w:val="fr-CA"/>
        </w:rPr>
        <w:t xml:space="preserve"> </w:t>
      </w:r>
      <w:r w:rsidRPr="009061A9">
        <w:rPr>
          <w:rFonts w:cs="Times New Roman"/>
          <w:lang w:val="fr-CA"/>
        </w:rPr>
        <w:t>386,</w:t>
      </w:r>
      <w:r w:rsidRPr="009061A9">
        <w:rPr>
          <w:rFonts w:cs="Times New Roman"/>
          <w:bCs/>
          <w:lang w:val="fr-CA"/>
        </w:rPr>
        <w:t xml:space="preserve"> la</w:t>
      </w:r>
      <w:r w:rsidRPr="009061A9">
        <w:rPr>
          <w:rFonts w:cs="Times New Roman"/>
          <w:bCs/>
          <w:i/>
          <w:lang w:val="fr-CA"/>
        </w:rPr>
        <w:t xml:space="preserve"> Loi sur les langues officielles</w:t>
      </w:r>
      <w:r w:rsidRPr="009061A9">
        <w:rPr>
          <w:rFonts w:cs="Times New Roman"/>
          <w:bCs/>
          <w:lang w:val="fr-CA"/>
        </w:rPr>
        <w:t xml:space="preserve"> jouit d’un statut privilégié parce qu’</w:t>
      </w:r>
      <w:r w:rsidR="006412AC">
        <w:rPr>
          <w:rFonts w:cs="Times New Roman"/>
          <w:bCs/>
          <w:lang w:val="fr-CA"/>
        </w:rPr>
        <w:t>« </w:t>
      </w:r>
      <w:r w:rsidRPr="009061A9">
        <w:rPr>
          <w:rFonts w:cs="Times New Roman"/>
          <w:bCs/>
          <w:lang w:val="fr-CA"/>
        </w:rPr>
        <w:t>[e]</w:t>
      </w:r>
      <w:proofErr w:type="spellStart"/>
      <w:r w:rsidRPr="009061A9">
        <w:rPr>
          <w:rFonts w:cs="Times New Roman"/>
          <w:bCs/>
          <w:lang w:val="fr-CA"/>
        </w:rPr>
        <w:t>lle</w:t>
      </w:r>
      <w:proofErr w:type="spellEnd"/>
      <w:r w:rsidRPr="009061A9">
        <w:rPr>
          <w:rFonts w:cs="Times New Roman"/>
          <w:bCs/>
          <w:lang w:val="fr-CA"/>
        </w:rPr>
        <w:t xml:space="preserve"> reflète à la fois la Constitution du pays et le compromis social et politique dont il est issu</w:t>
      </w:r>
      <w:r w:rsidR="006412AC">
        <w:rPr>
          <w:rFonts w:cs="Times New Roman"/>
          <w:bCs/>
          <w:lang w:val="fr-CA"/>
        </w:rPr>
        <w:t> »</w:t>
      </w:r>
      <w:r>
        <w:rPr>
          <w:rFonts w:cs="Times New Roman"/>
          <w:bCs/>
          <w:lang w:val="fr-CA"/>
        </w:rPr>
        <w:t xml:space="preserve">.  </w:t>
      </w:r>
      <w:r w:rsidRPr="009061A9">
        <w:rPr>
          <w:rFonts w:cs="Times New Roman"/>
          <w:bCs/>
          <w:lang w:val="fr-CA"/>
        </w:rPr>
        <w:t>La</w:t>
      </w:r>
      <w:r w:rsidRPr="009061A9">
        <w:rPr>
          <w:rFonts w:cs="Times New Roman"/>
          <w:bCs/>
          <w:i/>
          <w:lang w:val="fr-CA"/>
        </w:rPr>
        <w:t xml:space="preserve"> Loi</w:t>
      </w:r>
      <w:r>
        <w:rPr>
          <w:rFonts w:cs="Times New Roman"/>
          <w:bCs/>
          <w:i/>
          <w:lang w:val="fr-CA"/>
        </w:rPr>
        <w:t xml:space="preserve"> sur les langues officielles</w:t>
      </w:r>
      <w:r w:rsidRPr="009061A9">
        <w:rPr>
          <w:rFonts w:cs="Times New Roman"/>
          <w:bCs/>
          <w:i/>
          <w:lang w:val="fr-CA"/>
        </w:rPr>
        <w:t xml:space="preserve"> </w:t>
      </w:r>
      <w:r w:rsidRPr="009061A9">
        <w:rPr>
          <w:rFonts w:cs="Times New Roman"/>
          <w:bCs/>
          <w:lang w:val="fr-CA"/>
        </w:rPr>
        <w:t>s’</w:t>
      </w:r>
      <w:r>
        <w:rPr>
          <w:rFonts w:cs="Times New Roman"/>
          <w:bCs/>
          <w:lang w:val="fr-CA"/>
        </w:rPr>
        <w:t xml:space="preserve">accorde </w:t>
      </w:r>
      <w:r w:rsidRPr="009061A9">
        <w:rPr>
          <w:rFonts w:cs="Times New Roman"/>
          <w:bCs/>
          <w:lang w:val="fr-CA"/>
        </w:rPr>
        <w:t>donc de façon synergétique</w:t>
      </w:r>
      <w:r>
        <w:rPr>
          <w:rFonts w:cs="Times New Roman"/>
          <w:bCs/>
          <w:lang w:val="fr-CA"/>
        </w:rPr>
        <w:t xml:space="preserve"> </w:t>
      </w:r>
      <w:r w:rsidRPr="009061A9">
        <w:rPr>
          <w:rFonts w:cs="Times New Roman"/>
          <w:bCs/>
          <w:lang w:val="fr-CA"/>
        </w:rPr>
        <w:t>avec les</w:t>
      </w:r>
      <w:r>
        <w:rPr>
          <w:rFonts w:cs="Times New Roman"/>
          <w:bCs/>
          <w:lang w:val="fr-CA"/>
        </w:rPr>
        <w:t xml:space="preserve"> garanties </w:t>
      </w:r>
      <w:r w:rsidRPr="009061A9">
        <w:rPr>
          <w:rFonts w:cs="Times New Roman"/>
          <w:bCs/>
          <w:lang w:val="fr-CA"/>
        </w:rPr>
        <w:t xml:space="preserve"> linguistiques </w:t>
      </w:r>
      <w:r>
        <w:rPr>
          <w:rFonts w:cs="Times New Roman"/>
          <w:bCs/>
          <w:lang w:val="fr-CA"/>
        </w:rPr>
        <w:t xml:space="preserve">de </w:t>
      </w:r>
      <w:r w:rsidRPr="009061A9">
        <w:rPr>
          <w:rFonts w:cs="Times New Roman"/>
          <w:bCs/>
          <w:lang w:val="fr-CA"/>
        </w:rPr>
        <w:t xml:space="preserve">la </w:t>
      </w:r>
      <w:r w:rsidRPr="009061A9">
        <w:rPr>
          <w:rFonts w:cs="Times New Roman"/>
          <w:bCs/>
          <w:i/>
          <w:lang w:val="fr-CA"/>
        </w:rPr>
        <w:t>Charte</w:t>
      </w:r>
      <w:r>
        <w:rPr>
          <w:rFonts w:cs="Times New Roman"/>
          <w:bCs/>
          <w:i/>
          <w:lang w:val="fr-CA"/>
        </w:rPr>
        <w:t xml:space="preserve"> canadienne des droits et libertés</w:t>
      </w:r>
      <w:r w:rsidRPr="009061A9">
        <w:rPr>
          <w:rFonts w:cs="Times New Roman"/>
          <w:bCs/>
          <w:lang w:val="fr-CA"/>
        </w:rPr>
        <w:t xml:space="preserve">. </w:t>
      </w:r>
    </w:p>
    <w:p w:rsidR="00367456" w:rsidRPr="009061A9" w:rsidRDefault="00367456" w:rsidP="00A12DCE">
      <w:pPr>
        <w:pStyle w:val="ParaNoNdepar-AltN"/>
        <w:widowControl w:val="0"/>
        <w:rPr>
          <w:lang w:val="fr-CA"/>
        </w:rPr>
      </w:pPr>
      <w:r>
        <w:rPr>
          <w:lang w:val="fr-CA"/>
        </w:rPr>
        <w:t>Pourquoi cela importe</w:t>
      </w:r>
      <w:r w:rsidR="006412AC">
        <w:rPr>
          <w:lang w:val="fr-CA"/>
        </w:rPr>
        <w:t>-</w:t>
      </w:r>
      <w:r>
        <w:rPr>
          <w:lang w:val="fr-CA"/>
        </w:rPr>
        <w:t>t</w:t>
      </w:r>
      <w:r w:rsidR="006412AC">
        <w:rPr>
          <w:lang w:val="fr-CA"/>
        </w:rPr>
        <w:t>-</w:t>
      </w:r>
      <w:r>
        <w:rPr>
          <w:lang w:val="fr-CA"/>
        </w:rPr>
        <w:t xml:space="preserve">il? Parce que cela </w:t>
      </w:r>
      <w:r w:rsidRPr="009061A9">
        <w:rPr>
          <w:lang w:val="fr-CA"/>
        </w:rPr>
        <w:t>nous aide à</w:t>
      </w:r>
      <w:r>
        <w:rPr>
          <w:lang w:val="fr-CA"/>
        </w:rPr>
        <w:t xml:space="preserve"> déterminer l’issue</w:t>
      </w:r>
      <w:r w:rsidRPr="009061A9">
        <w:rPr>
          <w:lang w:val="fr-CA"/>
        </w:rPr>
        <w:t xml:space="preserve"> </w:t>
      </w:r>
      <w:r>
        <w:rPr>
          <w:lang w:val="fr-CA"/>
        </w:rPr>
        <w:t>de l’</w:t>
      </w:r>
      <w:r w:rsidRPr="009061A9">
        <w:rPr>
          <w:lang w:val="fr-CA"/>
        </w:rPr>
        <w:t>interprét</w:t>
      </w:r>
      <w:r>
        <w:rPr>
          <w:lang w:val="fr-CA"/>
        </w:rPr>
        <w:t xml:space="preserve">ation.  </w:t>
      </w:r>
      <w:r w:rsidRPr="009061A9">
        <w:rPr>
          <w:lang w:val="fr-CA"/>
        </w:rPr>
        <w:t>À mon avis, l’</w:t>
      </w:r>
      <w:r>
        <w:rPr>
          <w:lang w:val="fr-CA"/>
        </w:rPr>
        <w:t>article</w:t>
      </w:r>
      <w:r w:rsidR="006412AC">
        <w:rPr>
          <w:lang w:val="fr-CA"/>
        </w:rPr>
        <w:t xml:space="preserve"> </w:t>
      </w:r>
      <w:r w:rsidRPr="009061A9">
        <w:rPr>
          <w:lang w:val="fr-CA"/>
        </w:rPr>
        <w:t xml:space="preserve">29 de la </w:t>
      </w:r>
      <w:r w:rsidRPr="009061A9">
        <w:rPr>
          <w:i/>
          <w:lang w:val="fr-CA"/>
        </w:rPr>
        <w:t>Convention de Montréal</w:t>
      </w:r>
      <w:r w:rsidRPr="009061A9">
        <w:rPr>
          <w:lang w:val="fr-CA"/>
        </w:rPr>
        <w:t xml:space="preserve"> doit être interprété </w:t>
      </w:r>
      <w:r>
        <w:rPr>
          <w:lang w:val="fr-CA"/>
        </w:rPr>
        <w:t>dans le respect d</w:t>
      </w:r>
      <w:r w:rsidRPr="009061A9">
        <w:rPr>
          <w:lang w:val="fr-CA"/>
        </w:rPr>
        <w:t xml:space="preserve">es protections accordées aux droits fondamentaux, y compris les droits linguistiques, dans la législation nationale. </w:t>
      </w:r>
    </w:p>
    <w:p w:rsidR="00367456" w:rsidRPr="009061A9" w:rsidRDefault="00367456" w:rsidP="00A12DCE">
      <w:pPr>
        <w:pStyle w:val="ParaNoNdepar-AltN"/>
        <w:widowControl w:val="0"/>
        <w:rPr>
          <w:lang w:val="fr-CA"/>
        </w:rPr>
      </w:pPr>
      <w:r>
        <w:rPr>
          <w:lang w:val="fr-CA"/>
        </w:rPr>
        <w:lastRenderedPageBreak/>
        <w:t>Et c</w:t>
      </w:r>
      <w:r w:rsidRPr="009061A9">
        <w:rPr>
          <w:lang w:val="fr-CA"/>
        </w:rPr>
        <w:t>ette conclusion</w:t>
      </w:r>
      <w:r>
        <w:rPr>
          <w:lang w:val="fr-CA"/>
        </w:rPr>
        <w:t xml:space="preserve"> vaut pour </w:t>
      </w:r>
      <w:r w:rsidRPr="009061A9">
        <w:rPr>
          <w:lang w:val="fr-CA"/>
        </w:rPr>
        <w:t>l’objet et le but</w:t>
      </w:r>
      <w:r w:rsidR="006412AC">
        <w:rPr>
          <w:lang w:val="fr-CA"/>
        </w:rPr>
        <w:t xml:space="preserve"> </w:t>
      </w:r>
      <w:r w:rsidRPr="009061A9">
        <w:rPr>
          <w:lang w:val="fr-CA"/>
        </w:rPr>
        <w:t xml:space="preserve">de la </w:t>
      </w:r>
      <w:r w:rsidRPr="009061A9">
        <w:rPr>
          <w:i/>
          <w:lang w:val="fr-CA"/>
        </w:rPr>
        <w:t>Convention</w:t>
      </w:r>
      <w:r>
        <w:rPr>
          <w:lang w:val="fr-CA"/>
        </w:rPr>
        <w:t xml:space="preserve">.  On ne trouve </w:t>
      </w:r>
      <w:r w:rsidRPr="009061A9">
        <w:rPr>
          <w:lang w:val="fr-CA"/>
        </w:rPr>
        <w:t>dans les procès</w:t>
      </w:r>
      <w:r w:rsidR="006412AC">
        <w:rPr>
          <w:lang w:val="fr-CA"/>
        </w:rPr>
        <w:t>-</w:t>
      </w:r>
      <w:r w:rsidRPr="009061A9">
        <w:rPr>
          <w:lang w:val="fr-CA"/>
        </w:rPr>
        <w:t xml:space="preserve">verbaux des débats parlementaires ou dans l’historique législatif de la </w:t>
      </w:r>
      <w:r w:rsidRPr="009061A9">
        <w:rPr>
          <w:i/>
          <w:lang w:val="fr-CA"/>
        </w:rPr>
        <w:t>Convention</w:t>
      </w:r>
      <w:r w:rsidRPr="009061A9">
        <w:rPr>
          <w:lang w:val="fr-CA"/>
        </w:rPr>
        <w:t xml:space="preserve"> </w:t>
      </w:r>
      <w:r>
        <w:rPr>
          <w:lang w:val="fr-CA"/>
        </w:rPr>
        <w:t xml:space="preserve">aucun élément de preuve </w:t>
      </w:r>
      <w:r w:rsidRPr="009061A9">
        <w:rPr>
          <w:lang w:val="fr-CA"/>
        </w:rPr>
        <w:t xml:space="preserve">qui laisse entendre que le Canada, en tant qu’État partie, entendait mettre fin à la protection des droits linguistiques </w:t>
      </w:r>
      <w:r>
        <w:rPr>
          <w:lang w:val="fr-CA"/>
        </w:rPr>
        <w:t xml:space="preserve">au pays </w:t>
      </w:r>
      <w:r w:rsidRPr="009061A9">
        <w:rPr>
          <w:lang w:val="fr-CA"/>
        </w:rPr>
        <w:t xml:space="preserve">en ratifiant ou en mettant en œuvre la </w:t>
      </w:r>
      <w:r w:rsidRPr="009061A9">
        <w:rPr>
          <w:i/>
          <w:lang w:val="fr-CA"/>
        </w:rPr>
        <w:t>Convention de Montré</w:t>
      </w:r>
      <w:r>
        <w:rPr>
          <w:i/>
          <w:lang w:val="fr-CA"/>
        </w:rPr>
        <w:t xml:space="preserve">al.  </w:t>
      </w:r>
      <w:r w:rsidRPr="009061A9">
        <w:rPr>
          <w:rFonts w:cs="Times New Roman"/>
          <w:lang w:val="fr-CA"/>
        </w:rPr>
        <w:t xml:space="preserve">Compte tenu de l’importance des droits protégés par la </w:t>
      </w:r>
      <w:r w:rsidRPr="009061A9">
        <w:rPr>
          <w:rFonts w:cs="Times New Roman"/>
          <w:i/>
          <w:lang w:val="fr-CA"/>
        </w:rPr>
        <w:t>Loi sur les langues officielles</w:t>
      </w:r>
      <w:r w:rsidRPr="009061A9">
        <w:rPr>
          <w:rFonts w:cs="Times New Roman"/>
          <w:lang w:val="fr-CA"/>
        </w:rPr>
        <w:t xml:space="preserve"> et de leurs antécédents constitutionnels et historiques, </w:t>
      </w:r>
      <w:r w:rsidRPr="009061A9">
        <w:rPr>
          <w:lang w:val="fr-CA"/>
        </w:rPr>
        <w:t>il convient d</w:t>
      </w:r>
      <w:r>
        <w:rPr>
          <w:lang w:val="fr-CA"/>
        </w:rPr>
        <w:t xml:space="preserve">e donner à </w:t>
      </w:r>
      <w:r w:rsidRPr="009061A9">
        <w:rPr>
          <w:lang w:val="fr-CA"/>
        </w:rPr>
        <w:t xml:space="preserve">la </w:t>
      </w:r>
      <w:r w:rsidRPr="009061A9">
        <w:rPr>
          <w:i/>
          <w:lang w:val="fr-CA"/>
        </w:rPr>
        <w:t>Convention de Montréal</w:t>
      </w:r>
      <w:r>
        <w:rPr>
          <w:i/>
          <w:lang w:val="fr-CA"/>
        </w:rPr>
        <w:t xml:space="preserve"> </w:t>
      </w:r>
      <w:r w:rsidRPr="009061A9">
        <w:rPr>
          <w:lang w:val="fr-CA"/>
        </w:rPr>
        <w:t xml:space="preserve">une </w:t>
      </w:r>
      <w:r>
        <w:rPr>
          <w:lang w:val="fr-CA"/>
        </w:rPr>
        <w:t xml:space="preserve">interprétation </w:t>
      </w:r>
      <w:r w:rsidRPr="009061A9">
        <w:rPr>
          <w:lang w:val="fr-CA"/>
        </w:rPr>
        <w:t>qui respecte l’engagement explicite du Canada à l’égard de ces</w:t>
      </w:r>
      <w:r>
        <w:rPr>
          <w:lang w:val="fr-CA"/>
        </w:rPr>
        <w:t xml:space="preserve"> droits fondamentaux, plutôt qu’</w:t>
      </w:r>
      <w:r w:rsidRPr="009061A9">
        <w:rPr>
          <w:lang w:val="fr-CA"/>
        </w:rPr>
        <w:t xml:space="preserve">une </w:t>
      </w:r>
      <w:r>
        <w:rPr>
          <w:lang w:val="fr-CA"/>
        </w:rPr>
        <w:t xml:space="preserve">interprétation </w:t>
      </w:r>
      <w:r w:rsidRPr="009061A9">
        <w:rPr>
          <w:lang w:val="fr-CA"/>
        </w:rPr>
        <w:t>qui témoigne</w:t>
      </w:r>
      <w:r>
        <w:rPr>
          <w:lang w:val="fr-CA"/>
        </w:rPr>
        <w:t>rait</w:t>
      </w:r>
      <w:r w:rsidRPr="009061A9">
        <w:rPr>
          <w:lang w:val="fr-CA"/>
        </w:rPr>
        <w:t xml:space="preserve"> d</w:t>
      </w:r>
      <w:r>
        <w:rPr>
          <w:lang w:val="fr-CA"/>
        </w:rPr>
        <w:t>e l</w:t>
      </w:r>
      <w:r w:rsidRPr="009061A9">
        <w:rPr>
          <w:lang w:val="fr-CA"/>
        </w:rPr>
        <w:t>’intention d’y porter atteinte.</w:t>
      </w:r>
    </w:p>
    <w:p w:rsidR="00367456" w:rsidRPr="009061A9" w:rsidRDefault="00367456" w:rsidP="00A12DCE">
      <w:pPr>
        <w:pStyle w:val="ParaNoNdepar-AltN"/>
        <w:widowControl w:val="0"/>
        <w:rPr>
          <w:lang w:val="fr-CA"/>
        </w:rPr>
      </w:pPr>
      <w:r w:rsidRPr="009061A9">
        <w:rPr>
          <w:rFonts w:cs="Times New Roman"/>
          <w:lang w:val="fr-CA"/>
        </w:rPr>
        <w:t xml:space="preserve">Je suis consciente du débat jurisprudentiel </w:t>
      </w:r>
      <w:r>
        <w:rPr>
          <w:rFonts w:cs="Times New Roman"/>
          <w:lang w:val="fr-CA"/>
        </w:rPr>
        <w:t>entourant</w:t>
      </w:r>
      <w:r w:rsidRPr="009061A9">
        <w:rPr>
          <w:rFonts w:cs="Times New Roman"/>
          <w:lang w:val="fr-CA"/>
        </w:rPr>
        <w:t xml:space="preserve"> la portée du </w:t>
      </w:r>
      <w:r>
        <w:rPr>
          <w:rFonts w:cs="Times New Roman"/>
          <w:lang w:val="fr-CA"/>
        </w:rPr>
        <w:t>T</w:t>
      </w:r>
      <w:r w:rsidRPr="009061A9">
        <w:rPr>
          <w:rFonts w:cs="Times New Roman"/>
          <w:lang w:val="fr-CA"/>
        </w:rPr>
        <w:t>raité</w:t>
      </w:r>
      <w:r>
        <w:rPr>
          <w:rFonts w:cs="Times New Roman"/>
          <w:lang w:val="fr-CA"/>
        </w:rPr>
        <w:t xml:space="preserve">.  </w:t>
      </w:r>
      <w:r w:rsidRPr="009061A9">
        <w:rPr>
          <w:lang w:val="fr-CA"/>
        </w:rPr>
        <w:t xml:space="preserve">Certains tribunaux, comme dans </w:t>
      </w:r>
      <w:r w:rsidRPr="009061A9">
        <w:rPr>
          <w:i/>
          <w:lang w:val="fr-CA"/>
        </w:rPr>
        <w:t xml:space="preserve">Walker c. </w:t>
      </w:r>
      <w:proofErr w:type="spellStart"/>
      <w:r w:rsidRPr="009061A9">
        <w:rPr>
          <w:i/>
          <w:lang w:val="fr-CA"/>
        </w:rPr>
        <w:t>Eastern</w:t>
      </w:r>
      <w:proofErr w:type="spellEnd"/>
      <w:r w:rsidRPr="009061A9">
        <w:rPr>
          <w:i/>
          <w:lang w:val="fr-CA"/>
        </w:rPr>
        <w:t xml:space="preserve"> Air </w:t>
      </w:r>
      <w:proofErr w:type="spellStart"/>
      <w:r w:rsidRPr="009061A9">
        <w:rPr>
          <w:i/>
          <w:lang w:val="fr-CA"/>
        </w:rPr>
        <w:t>Lines</w:t>
      </w:r>
      <w:proofErr w:type="spellEnd"/>
      <w:r w:rsidRPr="009061A9">
        <w:rPr>
          <w:i/>
          <w:lang w:val="fr-CA"/>
        </w:rPr>
        <w:t>, Inc.</w:t>
      </w:r>
      <w:r w:rsidRPr="009061A9">
        <w:rPr>
          <w:lang w:val="fr-CA"/>
        </w:rPr>
        <w:t xml:space="preserve">, 785 </w:t>
      </w:r>
      <w:proofErr w:type="spellStart"/>
      <w:r w:rsidRPr="009061A9">
        <w:rPr>
          <w:lang w:val="fr-CA"/>
        </w:rPr>
        <w:t>F.Su</w:t>
      </w:r>
      <w:r>
        <w:rPr>
          <w:lang w:val="fr-CA"/>
        </w:rPr>
        <w:t>pp</w:t>
      </w:r>
      <w:proofErr w:type="spellEnd"/>
      <w:r>
        <w:rPr>
          <w:lang w:val="fr-CA"/>
        </w:rPr>
        <w:t>.</w:t>
      </w:r>
      <w:r w:rsidR="006412AC">
        <w:rPr>
          <w:lang w:val="fr-CA"/>
        </w:rPr>
        <w:t xml:space="preserve"> </w:t>
      </w:r>
      <w:r w:rsidRPr="009061A9">
        <w:rPr>
          <w:lang w:val="fr-CA"/>
        </w:rPr>
        <w:t>1168 (S.D.N.Y.</w:t>
      </w:r>
      <w:r>
        <w:rPr>
          <w:lang w:val="fr-CA"/>
        </w:rPr>
        <w:t xml:space="preserve"> 1992</w:t>
      </w:r>
      <w:r w:rsidRPr="009061A9">
        <w:rPr>
          <w:lang w:val="fr-CA"/>
        </w:rPr>
        <w:t>)</w:t>
      </w:r>
      <w:r>
        <w:rPr>
          <w:lang w:val="fr-CA"/>
        </w:rPr>
        <w:t>,</w:t>
      </w:r>
      <w:r w:rsidRPr="009061A9">
        <w:rPr>
          <w:lang w:val="fr-CA"/>
        </w:rPr>
        <w:t xml:space="preserve"> et dans </w:t>
      </w:r>
      <w:proofErr w:type="spellStart"/>
      <w:r w:rsidRPr="009061A9">
        <w:rPr>
          <w:i/>
          <w:lang w:val="fr-CA"/>
        </w:rPr>
        <w:t>Beaudet</w:t>
      </w:r>
      <w:proofErr w:type="spellEnd"/>
      <w:r w:rsidRPr="009061A9">
        <w:rPr>
          <w:i/>
          <w:lang w:val="fr-CA"/>
        </w:rPr>
        <w:t xml:space="preserve"> c. British Airways, PLC</w:t>
      </w:r>
      <w:r w:rsidRPr="009061A9">
        <w:rPr>
          <w:lang w:val="fr-CA"/>
        </w:rPr>
        <w:t xml:space="preserve">, 853 </w:t>
      </w:r>
      <w:proofErr w:type="spellStart"/>
      <w:r w:rsidRPr="009061A9">
        <w:rPr>
          <w:lang w:val="fr-CA"/>
        </w:rPr>
        <w:t>F.Su</w:t>
      </w:r>
      <w:r>
        <w:rPr>
          <w:lang w:val="fr-CA"/>
        </w:rPr>
        <w:t>pp</w:t>
      </w:r>
      <w:proofErr w:type="spellEnd"/>
      <w:r>
        <w:rPr>
          <w:lang w:val="fr-CA"/>
        </w:rPr>
        <w:t>.</w:t>
      </w:r>
      <w:r w:rsidR="006412AC">
        <w:rPr>
          <w:lang w:val="fr-CA"/>
        </w:rPr>
        <w:t xml:space="preserve"> </w:t>
      </w:r>
      <w:r w:rsidRPr="009061A9">
        <w:rPr>
          <w:lang w:val="fr-CA"/>
        </w:rPr>
        <w:t>1062 (N.D. Ill.</w:t>
      </w:r>
      <w:r>
        <w:rPr>
          <w:lang w:val="fr-CA"/>
        </w:rPr>
        <w:t xml:space="preserve"> 1994</w:t>
      </w:r>
      <w:r w:rsidRPr="009061A9">
        <w:rPr>
          <w:lang w:val="fr-CA"/>
        </w:rPr>
        <w:t>)</w:t>
      </w:r>
      <w:r w:rsidR="003734C3">
        <w:rPr>
          <w:lang w:val="fr-CA"/>
        </w:rPr>
        <w:t>,</w:t>
      </w:r>
      <w:r w:rsidRPr="009061A9">
        <w:rPr>
          <w:lang w:val="fr-CA"/>
        </w:rPr>
        <w:t xml:space="preserve"> ont présumé que </w:t>
      </w:r>
      <w:r>
        <w:rPr>
          <w:lang w:val="fr-CA"/>
        </w:rPr>
        <w:t>l’étendue</w:t>
      </w:r>
      <w:r w:rsidRPr="009061A9">
        <w:rPr>
          <w:lang w:val="fr-CA"/>
        </w:rPr>
        <w:t xml:space="preserve"> des actions </w:t>
      </w:r>
      <w:r>
        <w:rPr>
          <w:lang w:val="fr-CA"/>
        </w:rPr>
        <w:t>visé</w:t>
      </w:r>
      <w:r w:rsidRPr="009061A9">
        <w:rPr>
          <w:lang w:val="fr-CA"/>
        </w:rPr>
        <w:t>es était limitée</w:t>
      </w:r>
      <w:r>
        <w:rPr>
          <w:lang w:val="fr-CA"/>
        </w:rPr>
        <w:t xml:space="preserve">.  </w:t>
      </w:r>
      <w:r w:rsidRPr="004F0A87">
        <w:rPr>
          <w:lang w:val="fr-CA"/>
        </w:rPr>
        <w:t xml:space="preserve">D’autres, comme dans </w:t>
      </w:r>
      <w:proofErr w:type="spellStart"/>
      <w:r w:rsidRPr="004F0A87">
        <w:rPr>
          <w:i/>
          <w:lang w:val="fr-CA" w:eastAsia="en-CA"/>
        </w:rPr>
        <w:t>Sidhu</w:t>
      </w:r>
      <w:proofErr w:type="spellEnd"/>
      <w:r w:rsidRPr="004F0A87">
        <w:rPr>
          <w:i/>
          <w:lang w:val="fr-CA" w:eastAsia="en-CA"/>
        </w:rPr>
        <w:t xml:space="preserve"> c. British Airways Plc.</w:t>
      </w:r>
      <w:r w:rsidRPr="004F0A87">
        <w:rPr>
          <w:lang w:val="fr-CA" w:eastAsia="en-CA"/>
        </w:rPr>
        <w:t>, [1997] A.C. 430</w:t>
      </w:r>
      <w:r w:rsidR="00FB193E">
        <w:rPr>
          <w:lang w:val="fr-CA" w:eastAsia="en-CA"/>
        </w:rPr>
        <w:t xml:space="preserve"> (H.L.)</w:t>
      </w:r>
      <w:r w:rsidRPr="004F0A87">
        <w:rPr>
          <w:lang w:val="fr-CA" w:eastAsia="en-CA"/>
        </w:rPr>
        <w:t>,</w:t>
      </w:r>
      <w:r w:rsidRPr="004F0A87">
        <w:rPr>
          <w:lang w:val="fr-CA"/>
        </w:rPr>
        <w:t xml:space="preserve"> </w:t>
      </w:r>
      <w:proofErr w:type="spellStart"/>
      <w:r w:rsidRPr="004F0A87">
        <w:rPr>
          <w:bCs/>
          <w:i/>
          <w:lang w:val="fr-CA"/>
        </w:rPr>
        <w:t>Tseng</w:t>
      </w:r>
      <w:proofErr w:type="spellEnd"/>
      <w:r w:rsidRPr="004F0A87">
        <w:rPr>
          <w:rFonts w:cs="Times New Roman"/>
          <w:lang w:val="fr-CA"/>
        </w:rPr>
        <w:t xml:space="preserve">, </w:t>
      </w:r>
      <w:r w:rsidRPr="004F0A87">
        <w:rPr>
          <w:bCs/>
          <w:i/>
          <w:lang w:val="fr-CA"/>
        </w:rPr>
        <w:t>King c. American Airlines</w:t>
      </w:r>
      <w:r>
        <w:rPr>
          <w:bCs/>
          <w:i/>
          <w:lang w:val="fr-CA"/>
        </w:rPr>
        <w:t>,</w:t>
      </w:r>
      <w:r w:rsidRPr="004F0A87">
        <w:rPr>
          <w:bCs/>
          <w:i/>
          <w:lang w:val="fr-CA"/>
        </w:rPr>
        <w:t xml:space="preserve"> Inc.</w:t>
      </w:r>
      <w:r w:rsidRPr="004F0A87">
        <w:rPr>
          <w:bCs/>
          <w:lang w:val="fr-CA"/>
        </w:rPr>
        <w:t>, 284 F.3d 352 (2</w:t>
      </w:r>
      <w:r w:rsidRPr="007653DD">
        <w:rPr>
          <w:bCs/>
          <w:lang w:val="fr-CA"/>
        </w:rPr>
        <w:t>d</w:t>
      </w:r>
      <w:r w:rsidRPr="004F0A87">
        <w:rPr>
          <w:bCs/>
          <w:lang w:val="fr-CA"/>
        </w:rPr>
        <w:t xml:space="preserve"> </w:t>
      </w:r>
      <w:proofErr w:type="spellStart"/>
      <w:r w:rsidRPr="004F0A87">
        <w:rPr>
          <w:bCs/>
          <w:lang w:val="fr-CA"/>
        </w:rPr>
        <w:t>Cir</w:t>
      </w:r>
      <w:proofErr w:type="spellEnd"/>
      <w:r w:rsidRPr="004F0A87">
        <w:rPr>
          <w:bCs/>
          <w:lang w:val="fr-CA"/>
        </w:rPr>
        <w:t xml:space="preserve">. 2002), </w:t>
      </w:r>
      <w:r w:rsidRPr="004F0A87">
        <w:rPr>
          <w:bCs/>
          <w:i/>
          <w:lang w:val="fr-CA"/>
        </w:rPr>
        <w:t xml:space="preserve">In </w:t>
      </w:r>
      <w:proofErr w:type="spellStart"/>
      <w:r w:rsidRPr="004F0A87">
        <w:rPr>
          <w:bCs/>
          <w:i/>
          <w:lang w:val="fr-CA"/>
        </w:rPr>
        <w:t>re</w:t>
      </w:r>
      <w:proofErr w:type="spellEnd"/>
      <w:r w:rsidRPr="004F0A87">
        <w:rPr>
          <w:bCs/>
          <w:i/>
          <w:lang w:val="fr-CA"/>
        </w:rPr>
        <w:t xml:space="preserve"> </w:t>
      </w:r>
      <w:proofErr w:type="spellStart"/>
      <w:r w:rsidRPr="004F0A87">
        <w:rPr>
          <w:bCs/>
          <w:i/>
          <w:lang w:val="fr-CA"/>
        </w:rPr>
        <w:t>Deep</w:t>
      </w:r>
      <w:proofErr w:type="spellEnd"/>
      <w:r w:rsidRPr="004F0A87">
        <w:rPr>
          <w:bCs/>
          <w:i/>
          <w:lang w:val="fr-CA"/>
        </w:rPr>
        <w:t xml:space="preserve"> </w:t>
      </w:r>
      <w:proofErr w:type="spellStart"/>
      <w:r w:rsidRPr="004F0A87">
        <w:rPr>
          <w:bCs/>
          <w:i/>
          <w:lang w:val="fr-CA"/>
        </w:rPr>
        <w:t>Vein</w:t>
      </w:r>
      <w:proofErr w:type="spellEnd"/>
      <w:r w:rsidRPr="004F0A87">
        <w:rPr>
          <w:bCs/>
          <w:i/>
          <w:lang w:val="fr-CA"/>
        </w:rPr>
        <w:t xml:space="preserve"> </w:t>
      </w:r>
      <w:proofErr w:type="spellStart"/>
      <w:r w:rsidRPr="004F0A87">
        <w:rPr>
          <w:bCs/>
          <w:i/>
          <w:lang w:val="fr-CA"/>
        </w:rPr>
        <w:t>Thrombosis</w:t>
      </w:r>
      <w:proofErr w:type="spellEnd"/>
      <w:r w:rsidRPr="004F0A87">
        <w:rPr>
          <w:bCs/>
          <w:i/>
          <w:lang w:val="fr-CA"/>
        </w:rPr>
        <w:t xml:space="preserve"> and Air </w:t>
      </w:r>
      <w:proofErr w:type="spellStart"/>
      <w:r w:rsidRPr="004F0A87">
        <w:rPr>
          <w:bCs/>
          <w:i/>
          <w:lang w:val="fr-CA"/>
        </w:rPr>
        <w:t>Travel</w:t>
      </w:r>
      <w:proofErr w:type="spellEnd"/>
      <w:r w:rsidRPr="004F0A87">
        <w:rPr>
          <w:bCs/>
          <w:i/>
          <w:lang w:val="fr-CA"/>
        </w:rPr>
        <w:t xml:space="preserve"> Group </w:t>
      </w:r>
      <w:proofErr w:type="spellStart"/>
      <w:r w:rsidRPr="004F0A87">
        <w:rPr>
          <w:bCs/>
          <w:i/>
          <w:lang w:val="fr-CA"/>
        </w:rPr>
        <w:t>Litigation</w:t>
      </w:r>
      <w:proofErr w:type="spellEnd"/>
      <w:r w:rsidRPr="004F0A87">
        <w:rPr>
          <w:bCs/>
          <w:lang w:val="fr-CA"/>
        </w:rPr>
        <w:t xml:space="preserve">, [2005] UKHL 72, [2006] 1 A.C. 495, et </w:t>
      </w:r>
      <w:proofErr w:type="spellStart"/>
      <w:r w:rsidRPr="004F0A87">
        <w:rPr>
          <w:bCs/>
          <w:i/>
          <w:lang w:val="fr-CA"/>
        </w:rPr>
        <w:t>Stott</w:t>
      </w:r>
      <w:proofErr w:type="spellEnd"/>
      <w:r w:rsidRPr="004F0A87">
        <w:rPr>
          <w:bCs/>
          <w:i/>
          <w:lang w:val="fr-CA"/>
        </w:rPr>
        <w:t xml:space="preserve"> c. Thomas Cook Tour </w:t>
      </w:r>
      <w:proofErr w:type="spellStart"/>
      <w:r w:rsidRPr="004F0A87">
        <w:rPr>
          <w:bCs/>
          <w:i/>
          <w:lang w:val="fr-CA"/>
        </w:rPr>
        <w:t>Operators</w:t>
      </w:r>
      <w:proofErr w:type="spellEnd"/>
      <w:r w:rsidRPr="004F0A87">
        <w:rPr>
          <w:bCs/>
          <w:i/>
          <w:lang w:val="fr-CA"/>
        </w:rPr>
        <w:t xml:space="preserve"> Ltd.</w:t>
      </w:r>
      <w:r w:rsidRPr="004F0A87">
        <w:rPr>
          <w:bCs/>
          <w:lang w:val="fr-CA"/>
        </w:rPr>
        <w:t xml:space="preserve">, [2014] UKSC 15, [2014] 2 W.L.R. 521, </w:t>
      </w:r>
      <w:r>
        <w:rPr>
          <w:bCs/>
          <w:lang w:val="fr-CA"/>
        </w:rPr>
        <w:t xml:space="preserve">lui </w:t>
      </w:r>
      <w:r w:rsidRPr="009061A9">
        <w:rPr>
          <w:bCs/>
          <w:lang w:val="fr-CA"/>
        </w:rPr>
        <w:t>ont attribué un champ d’application sensiblement plus large</w:t>
      </w:r>
      <w:r>
        <w:rPr>
          <w:bCs/>
          <w:lang w:val="fr-CA"/>
        </w:rPr>
        <w:t xml:space="preserve">.  </w:t>
      </w:r>
      <w:r w:rsidRPr="009061A9">
        <w:rPr>
          <w:lang w:val="fr-CA"/>
        </w:rPr>
        <w:t xml:space="preserve">Toutefois, à mon avis, </w:t>
      </w:r>
      <w:r>
        <w:rPr>
          <w:lang w:val="fr-CA"/>
        </w:rPr>
        <w:t>cela équivaudrait à appliquer une règle d’interprétation des traités</w:t>
      </w:r>
      <w:r w:rsidRPr="009061A9">
        <w:rPr>
          <w:lang w:val="fr-CA"/>
        </w:rPr>
        <w:t xml:space="preserve"> aberrante et difficilement co</w:t>
      </w:r>
      <w:r>
        <w:rPr>
          <w:lang w:val="fr-CA"/>
        </w:rPr>
        <w:t xml:space="preserve">mpatible </w:t>
      </w:r>
      <w:r w:rsidRPr="009061A9">
        <w:rPr>
          <w:lang w:val="fr-CA"/>
        </w:rPr>
        <w:t xml:space="preserve">avec </w:t>
      </w:r>
      <w:r>
        <w:rPr>
          <w:lang w:val="fr-CA"/>
        </w:rPr>
        <w:t xml:space="preserve">la </w:t>
      </w:r>
      <w:r w:rsidR="006412AC">
        <w:rPr>
          <w:lang w:val="fr-CA"/>
        </w:rPr>
        <w:t>« </w:t>
      </w:r>
      <w:r w:rsidRPr="009061A9">
        <w:rPr>
          <w:lang w:val="fr-CA"/>
        </w:rPr>
        <w:t>bonne foi</w:t>
      </w:r>
      <w:r w:rsidR="006412AC">
        <w:rPr>
          <w:lang w:val="fr-CA"/>
        </w:rPr>
        <w:t> »</w:t>
      </w:r>
      <w:r w:rsidRPr="009061A9">
        <w:rPr>
          <w:lang w:val="fr-CA"/>
        </w:rPr>
        <w:t xml:space="preserve"> </w:t>
      </w:r>
      <w:r>
        <w:rPr>
          <w:lang w:val="fr-CA"/>
        </w:rPr>
        <w:t xml:space="preserve">exigée par </w:t>
      </w:r>
      <w:r w:rsidRPr="009061A9">
        <w:rPr>
          <w:lang w:val="fr-CA"/>
        </w:rPr>
        <w:t>l’</w:t>
      </w:r>
      <w:r>
        <w:rPr>
          <w:lang w:val="fr-CA"/>
        </w:rPr>
        <w:t>article</w:t>
      </w:r>
      <w:r w:rsidR="006412AC">
        <w:rPr>
          <w:lang w:val="fr-CA"/>
        </w:rPr>
        <w:t xml:space="preserve"> </w:t>
      </w:r>
      <w:r w:rsidRPr="009061A9">
        <w:rPr>
          <w:lang w:val="fr-CA"/>
        </w:rPr>
        <w:t xml:space="preserve">31 de la </w:t>
      </w:r>
      <w:r w:rsidRPr="009061A9">
        <w:rPr>
          <w:i/>
          <w:lang w:val="fr-CA"/>
        </w:rPr>
        <w:t>Convention de Vienne</w:t>
      </w:r>
      <w:r w:rsidRPr="009061A9">
        <w:rPr>
          <w:lang w:val="fr-CA"/>
        </w:rPr>
        <w:t xml:space="preserve"> </w:t>
      </w:r>
      <w:r>
        <w:rPr>
          <w:lang w:val="fr-CA"/>
        </w:rPr>
        <w:t xml:space="preserve">que </w:t>
      </w:r>
      <w:r w:rsidRPr="009061A9">
        <w:rPr>
          <w:lang w:val="fr-CA"/>
        </w:rPr>
        <w:t xml:space="preserve">de conclure qu’un traité </w:t>
      </w:r>
      <w:r>
        <w:rPr>
          <w:lang w:val="fr-CA"/>
        </w:rPr>
        <w:t xml:space="preserve">muet </w:t>
      </w:r>
      <w:r w:rsidRPr="009061A9">
        <w:rPr>
          <w:lang w:val="fr-CA"/>
        </w:rPr>
        <w:t xml:space="preserve">quant à son effet sur la législation nationale protégeant des droits fondamentaux, voire constitutionnels, puisse être </w:t>
      </w:r>
      <w:r w:rsidRPr="009061A9">
        <w:rPr>
          <w:lang w:val="fr-CA"/>
        </w:rPr>
        <w:lastRenderedPageBreak/>
        <w:t xml:space="preserve">interprété comme </w:t>
      </w:r>
      <w:r>
        <w:rPr>
          <w:lang w:val="fr-CA"/>
        </w:rPr>
        <w:t xml:space="preserve">réduisant au silence </w:t>
      </w:r>
      <w:r w:rsidRPr="009061A9">
        <w:rPr>
          <w:lang w:val="fr-CA"/>
        </w:rPr>
        <w:t>ces droits.</w:t>
      </w:r>
    </w:p>
    <w:p w:rsidR="00367456" w:rsidRPr="009061A9" w:rsidRDefault="00367456" w:rsidP="00A12DCE">
      <w:pPr>
        <w:pStyle w:val="ParaNoNdepar-AltN"/>
        <w:widowControl w:val="0"/>
        <w:rPr>
          <w:lang w:val="fr-CA"/>
        </w:rPr>
      </w:pPr>
      <w:r>
        <w:rPr>
          <w:lang w:val="fr-CA"/>
        </w:rPr>
        <w:t>Enfin, b</w:t>
      </w:r>
      <w:r w:rsidRPr="009061A9">
        <w:rPr>
          <w:lang w:val="fr-CA"/>
        </w:rPr>
        <w:t>ien que ce ne soit pas déterminant, nous ne pouvons pas</w:t>
      </w:r>
      <w:r>
        <w:rPr>
          <w:lang w:val="fr-CA"/>
        </w:rPr>
        <w:t xml:space="preserve"> négliger le </w:t>
      </w:r>
      <w:r w:rsidRPr="009061A9">
        <w:rPr>
          <w:lang w:val="fr-CA"/>
        </w:rPr>
        <w:t>fait que nous sommes en présence d’un traité commerci</w:t>
      </w:r>
      <w:r>
        <w:rPr>
          <w:lang w:val="fr-CA"/>
        </w:rPr>
        <w:t xml:space="preserve">al.  </w:t>
      </w:r>
      <w:r w:rsidRPr="009061A9">
        <w:rPr>
          <w:lang w:val="fr-CA"/>
        </w:rPr>
        <w:t>Notre Cour a souvent affirmé que le droit</w:t>
      </w:r>
      <w:r>
        <w:rPr>
          <w:lang w:val="fr-CA"/>
        </w:rPr>
        <w:t xml:space="preserve"> national </w:t>
      </w:r>
      <w:r w:rsidRPr="009061A9">
        <w:rPr>
          <w:lang w:val="fr-CA"/>
        </w:rPr>
        <w:t>d</w:t>
      </w:r>
      <w:r>
        <w:rPr>
          <w:lang w:val="fr-CA"/>
        </w:rPr>
        <w:t>eva</w:t>
      </w:r>
      <w:r w:rsidRPr="009061A9">
        <w:rPr>
          <w:lang w:val="fr-CA"/>
        </w:rPr>
        <w:t>it être interprété généreusement, en a</w:t>
      </w:r>
      <w:r>
        <w:rPr>
          <w:lang w:val="fr-CA"/>
        </w:rPr>
        <w:t>cco</w:t>
      </w:r>
      <w:r w:rsidRPr="009061A9">
        <w:rPr>
          <w:lang w:val="fr-CA"/>
        </w:rPr>
        <w:t>r</w:t>
      </w:r>
      <w:r>
        <w:rPr>
          <w:lang w:val="fr-CA"/>
        </w:rPr>
        <w:t>d</w:t>
      </w:r>
      <w:r w:rsidRPr="009061A9">
        <w:rPr>
          <w:lang w:val="fr-CA"/>
        </w:rPr>
        <w:t xml:space="preserve"> avec le droit international et ses valeurs en matière de droits de la personne</w:t>
      </w:r>
      <w:r>
        <w:rPr>
          <w:lang w:val="fr-CA"/>
        </w:rPr>
        <w:t xml:space="preserve">.  Elle </w:t>
      </w:r>
      <w:r w:rsidRPr="009061A9">
        <w:rPr>
          <w:lang w:val="fr-CA"/>
        </w:rPr>
        <w:t>n’a jamais dit que le droit international devait être interprété d</w:t>
      </w:r>
      <w:r>
        <w:rPr>
          <w:lang w:val="fr-CA"/>
        </w:rPr>
        <w:t xml:space="preserve">e </w:t>
      </w:r>
      <w:r w:rsidRPr="009061A9">
        <w:rPr>
          <w:lang w:val="fr-CA"/>
        </w:rPr>
        <w:t>façon</w:t>
      </w:r>
      <w:r>
        <w:rPr>
          <w:lang w:val="fr-CA"/>
        </w:rPr>
        <w:t xml:space="preserve"> à affaiblir </w:t>
      </w:r>
      <w:r w:rsidRPr="009061A9">
        <w:rPr>
          <w:lang w:val="fr-CA"/>
        </w:rPr>
        <w:t xml:space="preserve">les droits de la personne protégés par le droit </w:t>
      </w:r>
      <w:r>
        <w:rPr>
          <w:lang w:val="fr-CA"/>
        </w:rPr>
        <w:t>national.</w:t>
      </w:r>
      <w:r w:rsidR="006412AC">
        <w:rPr>
          <w:lang w:val="fr-CA"/>
        </w:rPr>
        <w:t xml:space="preserve"> </w:t>
      </w:r>
    </w:p>
    <w:p w:rsidR="00367456" w:rsidRPr="009061A9" w:rsidRDefault="00367456" w:rsidP="00A12DCE">
      <w:pPr>
        <w:pStyle w:val="ParaNoNdepar-AltN"/>
        <w:widowControl w:val="0"/>
        <w:rPr>
          <w:lang w:val="fr-CA"/>
        </w:rPr>
      </w:pPr>
      <w:r>
        <w:rPr>
          <w:lang w:val="fr-CA"/>
        </w:rPr>
        <w:t xml:space="preserve">Tout comme </w:t>
      </w:r>
      <w:r w:rsidRPr="009061A9">
        <w:rPr>
          <w:lang w:val="fr-CA"/>
        </w:rPr>
        <w:t xml:space="preserve">le Parlement n’est pas présumé légiférer en violation d’un traité, il ne saurait être présumé </w:t>
      </w:r>
      <w:r>
        <w:rPr>
          <w:lang w:val="fr-CA"/>
        </w:rPr>
        <w:t xml:space="preserve">mettre en œuvre </w:t>
      </w:r>
      <w:r w:rsidRPr="009061A9">
        <w:rPr>
          <w:lang w:val="fr-CA"/>
        </w:rPr>
        <w:t xml:space="preserve">des traités qui </w:t>
      </w:r>
      <w:r>
        <w:rPr>
          <w:lang w:val="fr-CA"/>
        </w:rPr>
        <w:t xml:space="preserve">éteignent </w:t>
      </w:r>
      <w:r w:rsidRPr="009061A9">
        <w:rPr>
          <w:lang w:val="fr-CA"/>
        </w:rPr>
        <w:t>des droits fondamentaux protégés par la législation nationale.</w:t>
      </w:r>
    </w:p>
    <w:p w:rsidR="00367456" w:rsidRPr="009061A9" w:rsidRDefault="00367456" w:rsidP="00A12DCE">
      <w:pPr>
        <w:pStyle w:val="ParaNoNdepar-AltN"/>
        <w:widowControl w:val="0"/>
        <w:rPr>
          <w:rFonts w:cs="Times New Roman"/>
          <w:lang w:val="fr-CA"/>
        </w:rPr>
      </w:pPr>
      <w:r w:rsidRPr="009061A9">
        <w:rPr>
          <w:rFonts w:cs="Times New Roman"/>
          <w:lang w:val="fr-CA"/>
        </w:rPr>
        <w:t>Par conséquent, compte tenu du sens de l’article</w:t>
      </w:r>
      <w:r w:rsidR="006412AC">
        <w:rPr>
          <w:rFonts w:cs="Times New Roman"/>
          <w:lang w:val="fr-CA"/>
        </w:rPr>
        <w:t xml:space="preserve"> </w:t>
      </w:r>
      <w:r w:rsidRPr="009061A9">
        <w:rPr>
          <w:rFonts w:cs="Times New Roman"/>
          <w:lang w:val="fr-CA"/>
        </w:rPr>
        <w:t>29, considéré dans son contexte et à la lumière de l’objet et du but</w:t>
      </w:r>
      <w:r w:rsidR="006412AC">
        <w:rPr>
          <w:rFonts w:cs="Times New Roman"/>
          <w:lang w:val="fr-CA"/>
        </w:rPr>
        <w:t xml:space="preserve"> </w:t>
      </w:r>
      <w:r w:rsidRPr="009061A9">
        <w:rPr>
          <w:rFonts w:cs="Times New Roman"/>
          <w:lang w:val="fr-CA"/>
        </w:rPr>
        <w:t>de la</w:t>
      </w:r>
      <w:r w:rsidRPr="009061A9">
        <w:rPr>
          <w:rFonts w:cs="Times New Roman"/>
          <w:i/>
          <w:lang w:val="fr-CA"/>
        </w:rPr>
        <w:t xml:space="preserve"> Convention de Montréal</w:t>
      </w:r>
      <w:r w:rsidRPr="009061A9">
        <w:rPr>
          <w:rFonts w:cs="Times New Roman"/>
          <w:lang w:val="fr-CA"/>
        </w:rPr>
        <w:t xml:space="preserve">, cette disposition </w:t>
      </w:r>
      <w:r>
        <w:rPr>
          <w:rFonts w:cs="Times New Roman"/>
          <w:lang w:val="fr-CA"/>
        </w:rPr>
        <w:t>ne s’applique de manière exclusive qu’à certains recours</w:t>
      </w:r>
      <w:r w:rsidRPr="009061A9">
        <w:rPr>
          <w:rFonts w:cs="Times New Roman"/>
          <w:lang w:val="fr-CA"/>
        </w:rPr>
        <w:t xml:space="preserve"> et doit être interprétée comme </w:t>
      </w:r>
      <w:r>
        <w:rPr>
          <w:rFonts w:cs="Times New Roman"/>
          <w:lang w:val="fr-CA"/>
        </w:rPr>
        <w:t xml:space="preserve">prescrivant </w:t>
      </w:r>
      <w:r w:rsidRPr="009061A9">
        <w:rPr>
          <w:rFonts w:cs="Times New Roman"/>
          <w:lang w:val="fr-CA"/>
        </w:rPr>
        <w:t xml:space="preserve">que la </w:t>
      </w:r>
      <w:r w:rsidRPr="009061A9">
        <w:rPr>
          <w:rFonts w:cs="Times New Roman"/>
          <w:i/>
          <w:lang w:val="fr-CA"/>
        </w:rPr>
        <w:t>Convention de Montréal</w:t>
      </w:r>
      <w:r w:rsidRPr="009061A9">
        <w:rPr>
          <w:rFonts w:cs="Times New Roman"/>
          <w:lang w:val="fr-CA"/>
        </w:rPr>
        <w:t xml:space="preserve"> ne régit que les actions intentées pour un </w:t>
      </w:r>
      <w:r>
        <w:rPr>
          <w:rFonts w:cs="Times New Roman"/>
          <w:lang w:val="fr-CA"/>
        </w:rPr>
        <w:t>dommage</w:t>
      </w:r>
      <w:r w:rsidRPr="009061A9">
        <w:rPr>
          <w:rFonts w:cs="Times New Roman"/>
          <w:lang w:val="fr-CA"/>
        </w:rPr>
        <w:t xml:space="preserve"> subi </w:t>
      </w:r>
      <w:r w:rsidR="006412AC">
        <w:rPr>
          <w:rFonts w:cs="Times New Roman"/>
          <w:lang w:val="fr-CA"/>
        </w:rPr>
        <w:t>« </w:t>
      </w:r>
      <w:r w:rsidRPr="001E366F">
        <w:rPr>
          <w:rFonts w:cs="Times New Roman"/>
          <w:lang w:val="fr-CA"/>
        </w:rPr>
        <w:t>[</w:t>
      </w:r>
      <w:r w:rsidRPr="009061A9">
        <w:rPr>
          <w:rFonts w:cs="Times New Roman"/>
          <w:lang w:val="fr-CA"/>
        </w:rPr>
        <w:t>d</w:t>
      </w:r>
      <w:r>
        <w:rPr>
          <w:rFonts w:cs="Times New Roman"/>
          <w:lang w:val="fr-CA"/>
        </w:rPr>
        <w:t>]</w:t>
      </w:r>
      <w:r w:rsidRPr="009061A9">
        <w:rPr>
          <w:rFonts w:cs="Times New Roman"/>
          <w:lang w:val="fr-CA"/>
        </w:rPr>
        <w:t>ans le transport de passagers, de bagages et de marchandises</w:t>
      </w:r>
      <w:r w:rsidR="006412AC">
        <w:rPr>
          <w:rFonts w:cs="Times New Roman"/>
          <w:lang w:val="fr-CA"/>
        </w:rPr>
        <w:t> »</w:t>
      </w:r>
      <w:r w:rsidRPr="009061A9">
        <w:rPr>
          <w:rFonts w:cs="Times New Roman"/>
          <w:lang w:val="fr-CA"/>
        </w:rPr>
        <w:t>, à savoir les actions visées par les a</w:t>
      </w:r>
      <w:r>
        <w:rPr>
          <w:rFonts w:cs="Times New Roman"/>
          <w:lang w:val="fr-CA"/>
        </w:rPr>
        <w:t>rticles</w:t>
      </w:r>
      <w:r w:rsidR="006412AC">
        <w:rPr>
          <w:rFonts w:cs="Times New Roman"/>
          <w:lang w:val="fr-CA"/>
        </w:rPr>
        <w:t xml:space="preserve"> </w:t>
      </w:r>
      <w:r w:rsidRPr="009061A9">
        <w:rPr>
          <w:rFonts w:cs="Times New Roman"/>
          <w:lang w:val="fr-CA"/>
        </w:rPr>
        <w:t>17, 18 et 19.</w:t>
      </w:r>
    </w:p>
    <w:p w:rsidR="00367456" w:rsidRPr="009061A9" w:rsidRDefault="00367456" w:rsidP="00A12DCE">
      <w:pPr>
        <w:pStyle w:val="ParaNoNdepar-AltN"/>
        <w:widowControl w:val="0"/>
        <w:rPr>
          <w:rFonts w:cs="Times New Roman"/>
          <w:lang w:val="fr-CA"/>
        </w:rPr>
      </w:pPr>
      <w:r w:rsidRPr="009061A9">
        <w:rPr>
          <w:rFonts w:cs="Times New Roman"/>
          <w:lang w:val="fr-CA"/>
        </w:rPr>
        <w:t>Il reste à déterminer si l’action en dommages</w:t>
      </w:r>
      <w:r w:rsidR="006412AC">
        <w:rPr>
          <w:rFonts w:cs="Times New Roman"/>
          <w:lang w:val="fr-CA"/>
        </w:rPr>
        <w:t>-</w:t>
      </w:r>
      <w:r w:rsidRPr="009061A9">
        <w:rPr>
          <w:rFonts w:cs="Times New Roman"/>
          <w:lang w:val="fr-CA"/>
        </w:rPr>
        <w:t>intérêts intentée par les Thibodeau est visée par ces articles.</w:t>
      </w:r>
    </w:p>
    <w:p w:rsidR="00367456" w:rsidRPr="009061A9" w:rsidRDefault="00367456" w:rsidP="00A12DCE">
      <w:pPr>
        <w:pStyle w:val="ParaNoNdepar-AltN"/>
        <w:widowControl w:val="0"/>
        <w:rPr>
          <w:rFonts w:cs="Times New Roman"/>
          <w:lang w:val="fr-CA"/>
        </w:rPr>
      </w:pPr>
      <w:r w:rsidRPr="009061A9">
        <w:rPr>
          <w:rFonts w:cs="Times New Roman"/>
          <w:lang w:val="fr-CA"/>
        </w:rPr>
        <w:t xml:space="preserve">Les </w:t>
      </w:r>
      <w:r>
        <w:rPr>
          <w:rFonts w:cs="Times New Roman"/>
          <w:lang w:val="fr-CA"/>
        </w:rPr>
        <w:t>paragraphes</w:t>
      </w:r>
      <w:r w:rsidR="006412AC">
        <w:rPr>
          <w:rFonts w:cs="Times New Roman"/>
          <w:lang w:val="fr-CA"/>
        </w:rPr>
        <w:t xml:space="preserve"> </w:t>
      </w:r>
      <w:r w:rsidRPr="009061A9">
        <w:rPr>
          <w:rFonts w:cs="Times New Roman"/>
          <w:lang w:val="fr-CA"/>
        </w:rPr>
        <w:t>17(2), (3) et (4)</w:t>
      </w:r>
      <w:r>
        <w:rPr>
          <w:rFonts w:cs="Times New Roman"/>
          <w:lang w:val="fr-CA"/>
        </w:rPr>
        <w:t xml:space="preserve"> ainsi que les articles</w:t>
      </w:r>
      <w:r w:rsidR="006412AC">
        <w:rPr>
          <w:rFonts w:cs="Times New Roman"/>
          <w:lang w:val="fr-CA"/>
        </w:rPr>
        <w:t xml:space="preserve"> </w:t>
      </w:r>
      <w:r w:rsidRPr="009061A9">
        <w:rPr>
          <w:rFonts w:cs="Times New Roman"/>
          <w:lang w:val="fr-CA"/>
        </w:rPr>
        <w:t xml:space="preserve">18 et 19 portent sur </w:t>
      </w:r>
      <w:r w:rsidRPr="009061A9">
        <w:rPr>
          <w:rFonts w:cs="Times New Roman"/>
          <w:lang w:val="fr-CA"/>
        </w:rPr>
        <w:lastRenderedPageBreak/>
        <w:t xml:space="preserve">les dommages subis </w:t>
      </w:r>
      <w:r>
        <w:rPr>
          <w:rFonts w:cs="Times New Roman"/>
          <w:lang w:val="fr-CA"/>
        </w:rPr>
        <w:t xml:space="preserve">à </w:t>
      </w:r>
      <w:r w:rsidRPr="009061A9">
        <w:rPr>
          <w:rFonts w:cs="Times New Roman"/>
          <w:lang w:val="fr-CA"/>
        </w:rPr>
        <w:t>l’égard des bagages, des marchandises et des retards</w:t>
      </w:r>
      <w:r>
        <w:rPr>
          <w:rFonts w:cs="Times New Roman"/>
          <w:lang w:val="fr-CA"/>
        </w:rPr>
        <w:t xml:space="preserve">.  </w:t>
      </w:r>
      <w:r w:rsidRPr="009061A9">
        <w:rPr>
          <w:rFonts w:cs="Times New Roman"/>
          <w:lang w:val="fr-CA"/>
        </w:rPr>
        <w:t xml:space="preserve">Par conséquent, la seule disposition de fond de la </w:t>
      </w:r>
      <w:r w:rsidRPr="009061A9">
        <w:rPr>
          <w:rFonts w:cs="Times New Roman"/>
          <w:i/>
          <w:lang w:val="fr-CA"/>
        </w:rPr>
        <w:t>Convention</w:t>
      </w:r>
      <w:r w:rsidRPr="009061A9">
        <w:rPr>
          <w:rFonts w:cs="Times New Roman"/>
          <w:lang w:val="fr-CA"/>
        </w:rPr>
        <w:t xml:space="preserve"> susceptible d</w:t>
      </w:r>
      <w:r>
        <w:rPr>
          <w:rFonts w:cs="Times New Roman"/>
          <w:lang w:val="fr-CA"/>
        </w:rPr>
        <w:t xml:space="preserve">e se rapporter </w:t>
      </w:r>
      <w:r w:rsidRPr="009061A9">
        <w:rPr>
          <w:rFonts w:cs="Times New Roman"/>
          <w:lang w:val="fr-CA"/>
        </w:rPr>
        <w:t xml:space="preserve">à l’action des Thibodeau est le </w:t>
      </w:r>
      <w:r>
        <w:rPr>
          <w:rFonts w:cs="Times New Roman"/>
          <w:lang w:val="fr-CA"/>
        </w:rPr>
        <w:t>paragraphe</w:t>
      </w:r>
      <w:r w:rsidR="006412AC">
        <w:rPr>
          <w:rFonts w:cs="Times New Roman"/>
          <w:lang w:val="fr-CA"/>
        </w:rPr>
        <w:t xml:space="preserve"> </w:t>
      </w:r>
      <w:r w:rsidRPr="009061A9">
        <w:rPr>
          <w:rFonts w:cs="Times New Roman"/>
          <w:lang w:val="fr-CA"/>
        </w:rPr>
        <w:t>17(1)</w:t>
      </w:r>
      <w:r>
        <w:rPr>
          <w:rFonts w:cs="Times New Roman"/>
          <w:lang w:val="fr-CA"/>
        </w:rPr>
        <w:t>, qui prévoit ce qui suit</w:t>
      </w:r>
      <w:r w:rsidR="006412AC">
        <w:rPr>
          <w:rFonts w:cs="Times New Roman"/>
          <w:lang w:val="fr-CA"/>
        </w:rPr>
        <w:t> :</w:t>
      </w:r>
    </w:p>
    <w:p w:rsidR="00367456" w:rsidRPr="00BB1A80" w:rsidRDefault="00367456" w:rsidP="00A12DCE">
      <w:pPr>
        <w:pStyle w:val="Citation-AltC"/>
        <w:widowControl w:val="0"/>
        <w:spacing w:after="240"/>
        <w:ind w:left="1168" w:hanging="1168"/>
        <w:contextualSpacing w:val="0"/>
        <w:jc w:val="center"/>
        <w:rPr>
          <w:i/>
          <w:smallCaps/>
          <w:lang w:val="fr-CA"/>
        </w:rPr>
      </w:pPr>
      <w:r>
        <w:rPr>
          <w:i/>
          <w:smallCaps/>
          <w:lang w:val="fr-CA"/>
        </w:rPr>
        <w:tab/>
      </w:r>
      <w:r w:rsidRPr="00BB1A80">
        <w:rPr>
          <w:i/>
          <w:smallCaps/>
          <w:lang w:val="fr-CA"/>
        </w:rPr>
        <w:t xml:space="preserve">Article 17 </w:t>
      </w:r>
      <w:r>
        <w:rPr>
          <w:i/>
          <w:smallCaps/>
          <w:lang w:val="fr-CA"/>
        </w:rPr>
        <w:t>—</w:t>
      </w:r>
      <w:r w:rsidRPr="00BB1A80">
        <w:rPr>
          <w:i/>
          <w:smallCaps/>
          <w:lang w:val="fr-CA"/>
        </w:rPr>
        <w:t xml:space="preserve"> Mort ou lésion subie par le passager</w:t>
      </w:r>
      <w:r>
        <w:rPr>
          <w:i/>
          <w:smallCaps/>
          <w:lang w:val="fr-CA"/>
        </w:rPr>
        <w:t xml:space="preserve"> — dommage causé aux bagages</w:t>
      </w:r>
    </w:p>
    <w:p w:rsidR="00367456" w:rsidRPr="009061A9" w:rsidRDefault="00367456" w:rsidP="00A12DCE">
      <w:pPr>
        <w:pStyle w:val="Citation-AltC"/>
        <w:widowControl w:val="0"/>
        <w:ind w:hanging="1166"/>
        <w:rPr>
          <w:lang w:val="fr-CA"/>
        </w:rPr>
      </w:pPr>
      <w:r>
        <w:rPr>
          <w:lang w:val="fr-CA"/>
        </w:rPr>
        <w:tab/>
      </w:r>
      <w:r>
        <w:rPr>
          <w:lang w:val="fr-CA"/>
        </w:rPr>
        <w:tab/>
        <w:t>1.</w:t>
      </w:r>
      <w:r w:rsidR="006412AC">
        <w:rPr>
          <w:lang w:val="fr-CA"/>
        </w:rPr>
        <w:t xml:space="preserve">  </w:t>
      </w:r>
      <w:r w:rsidRPr="009061A9">
        <w:rPr>
          <w:lang w:val="fr-CA"/>
        </w:rPr>
        <w:t>Le transporteur est responsable du préjudice survenu en cas de mort ou de lésion corporelle subie par un passager, par cela seul que l</w:t>
      </w:r>
      <w:r>
        <w:rPr>
          <w:lang w:val="fr-CA"/>
        </w:rPr>
        <w:t>’</w:t>
      </w:r>
      <w:r w:rsidRPr="009061A9">
        <w:rPr>
          <w:lang w:val="fr-CA"/>
        </w:rPr>
        <w:t>accident qui a causé la mort ou la lésion s</w:t>
      </w:r>
      <w:r>
        <w:rPr>
          <w:lang w:val="fr-CA"/>
        </w:rPr>
        <w:t>’</w:t>
      </w:r>
      <w:r w:rsidRPr="009061A9">
        <w:rPr>
          <w:lang w:val="fr-CA"/>
        </w:rPr>
        <w:t>est produit à bord de l</w:t>
      </w:r>
      <w:r>
        <w:rPr>
          <w:lang w:val="fr-CA"/>
        </w:rPr>
        <w:t>’</w:t>
      </w:r>
      <w:r w:rsidRPr="009061A9">
        <w:rPr>
          <w:lang w:val="fr-CA"/>
        </w:rPr>
        <w:t>aéronef ou au cours de toutes opérations d</w:t>
      </w:r>
      <w:r>
        <w:rPr>
          <w:lang w:val="fr-CA"/>
        </w:rPr>
        <w:t>’</w:t>
      </w:r>
      <w:r w:rsidRPr="009061A9">
        <w:rPr>
          <w:lang w:val="fr-CA"/>
        </w:rPr>
        <w:t>embarquement ou de débarquement.</w:t>
      </w:r>
    </w:p>
    <w:p w:rsidR="00367456" w:rsidRPr="009061A9" w:rsidRDefault="00367456" w:rsidP="00A12DCE">
      <w:pPr>
        <w:pStyle w:val="ParaNoNdepar-AltN"/>
        <w:widowControl w:val="0"/>
        <w:rPr>
          <w:rFonts w:cs="Times New Roman"/>
          <w:lang w:val="fr-CA"/>
        </w:rPr>
      </w:pPr>
      <w:r w:rsidRPr="009061A9">
        <w:rPr>
          <w:rFonts w:cs="Times New Roman"/>
          <w:lang w:val="fr-CA"/>
        </w:rPr>
        <w:t>Les juges majoritaires concluent que l</w:t>
      </w:r>
      <w:r>
        <w:rPr>
          <w:rFonts w:cs="Times New Roman"/>
          <w:lang w:val="fr-CA"/>
        </w:rPr>
        <w:t xml:space="preserve">a demande de </w:t>
      </w:r>
      <w:r w:rsidRPr="009061A9">
        <w:rPr>
          <w:rFonts w:cs="Times New Roman"/>
          <w:lang w:val="fr-CA"/>
        </w:rPr>
        <w:t>dommages</w:t>
      </w:r>
      <w:r w:rsidR="006412AC">
        <w:rPr>
          <w:rFonts w:cs="Times New Roman"/>
          <w:lang w:val="fr-CA"/>
        </w:rPr>
        <w:t>-</w:t>
      </w:r>
      <w:r w:rsidRPr="009061A9">
        <w:rPr>
          <w:rFonts w:cs="Times New Roman"/>
          <w:lang w:val="fr-CA"/>
        </w:rPr>
        <w:t xml:space="preserve">intérêts des Thibodeau </w:t>
      </w:r>
      <w:r>
        <w:rPr>
          <w:rFonts w:cs="Times New Roman"/>
          <w:lang w:val="fr-CA"/>
        </w:rPr>
        <w:t xml:space="preserve">se rapporte à </w:t>
      </w:r>
      <w:r w:rsidRPr="009061A9">
        <w:rPr>
          <w:rFonts w:cs="Times New Roman"/>
          <w:lang w:val="fr-CA"/>
        </w:rPr>
        <w:t xml:space="preserve">la situation visée par le </w:t>
      </w:r>
      <w:r>
        <w:rPr>
          <w:rFonts w:cs="Times New Roman"/>
          <w:lang w:val="fr-CA"/>
        </w:rPr>
        <w:t>paragraphe</w:t>
      </w:r>
      <w:r w:rsidR="006412AC">
        <w:rPr>
          <w:rFonts w:cs="Times New Roman"/>
          <w:lang w:val="fr-CA"/>
        </w:rPr>
        <w:t xml:space="preserve"> </w:t>
      </w:r>
      <w:r w:rsidRPr="009061A9">
        <w:rPr>
          <w:rFonts w:cs="Times New Roman"/>
          <w:lang w:val="fr-CA"/>
        </w:rPr>
        <w:t xml:space="preserve">17(1) parce que ces derniers ont subi la violation de leurs droits linguistiques </w:t>
      </w:r>
      <w:r w:rsidR="006412AC">
        <w:rPr>
          <w:rFonts w:cs="Times New Roman"/>
          <w:lang w:val="fr-CA"/>
        </w:rPr>
        <w:t>« </w:t>
      </w:r>
      <w:r w:rsidRPr="009061A9">
        <w:rPr>
          <w:rFonts w:cs="Times New Roman"/>
          <w:lang w:val="fr-CA"/>
        </w:rPr>
        <w:t>à bord de l</w:t>
      </w:r>
      <w:r>
        <w:rPr>
          <w:rFonts w:cs="Times New Roman"/>
          <w:lang w:val="fr-CA"/>
        </w:rPr>
        <w:t>’</w:t>
      </w:r>
      <w:r w:rsidRPr="009061A9">
        <w:rPr>
          <w:rFonts w:cs="Times New Roman"/>
          <w:lang w:val="fr-CA"/>
        </w:rPr>
        <w:t>aéronef</w:t>
      </w:r>
      <w:r w:rsidR="006412AC">
        <w:rPr>
          <w:rFonts w:cs="Times New Roman"/>
          <w:lang w:val="fr-CA"/>
        </w:rPr>
        <w:t> »</w:t>
      </w:r>
      <w:r w:rsidRPr="009061A9">
        <w:rPr>
          <w:rFonts w:cs="Times New Roman"/>
          <w:lang w:val="fr-CA"/>
        </w:rPr>
        <w:t xml:space="preserve"> (</w:t>
      </w:r>
      <w:r>
        <w:rPr>
          <w:rFonts w:cs="Times New Roman"/>
          <w:lang w:val="fr-CA"/>
        </w:rPr>
        <w:t>par.</w:t>
      </w:r>
      <w:r w:rsidR="006412AC">
        <w:rPr>
          <w:rFonts w:cs="Times New Roman"/>
          <w:lang w:val="fr-CA"/>
        </w:rPr>
        <w:t xml:space="preserve"> </w:t>
      </w:r>
      <w:r>
        <w:rPr>
          <w:rFonts w:cs="Times New Roman"/>
          <w:lang w:val="fr-CA"/>
        </w:rPr>
        <w:t>86</w:t>
      </w:r>
      <w:r w:rsidRPr="009061A9">
        <w:rPr>
          <w:rFonts w:cs="Times New Roman"/>
          <w:lang w:val="fr-CA"/>
        </w:rPr>
        <w:t>)</w:t>
      </w:r>
      <w:r>
        <w:rPr>
          <w:rFonts w:cs="Times New Roman"/>
          <w:lang w:val="fr-CA"/>
        </w:rPr>
        <w:t xml:space="preserve">.  </w:t>
      </w:r>
      <w:r w:rsidRPr="009061A9">
        <w:rPr>
          <w:rFonts w:cs="Times New Roman"/>
          <w:lang w:val="fr-CA"/>
        </w:rPr>
        <w:t xml:space="preserve">Il ressort clairement du texte du </w:t>
      </w:r>
      <w:r>
        <w:rPr>
          <w:rFonts w:cs="Times New Roman"/>
          <w:lang w:val="fr-CA"/>
        </w:rPr>
        <w:t>paragraphe</w:t>
      </w:r>
      <w:r w:rsidR="006412AC">
        <w:rPr>
          <w:rFonts w:cs="Times New Roman"/>
          <w:lang w:val="fr-CA"/>
        </w:rPr>
        <w:t xml:space="preserve"> </w:t>
      </w:r>
      <w:r w:rsidRPr="009061A9">
        <w:rPr>
          <w:rFonts w:cs="Times New Roman"/>
          <w:lang w:val="fr-CA"/>
        </w:rPr>
        <w:t>17(1) que la disposition ne s’applique pas à tous les</w:t>
      </w:r>
      <w:r>
        <w:rPr>
          <w:rFonts w:cs="Times New Roman"/>
          <w:lang w:val="fr-CA"/>
        </w:rPr>
        <w:t xml:space="preserve"> faits </w:t>
      </w:r>
      <w:r w:rsidRPr="009061A9">
        <w:rPr>
          <w:rFonts w:cs="Times New Roman"/>
          <w:lang w:val="fr-CA"/>
        </w:rPr>
        <w:t>qui se produisent à bord d’un aéronef ou pendant les opérations d’embarquement ou de débarquement</w:t>
      </w:r>
      <w:r>
        <w:rPr>
          <w:rFonts w:cs="Times New Roman"/>
          <w:lang w:val="fr-CA"/>
        </w:rPr>
        <w:t xml:space="preserve">.  </w:t>
      </w:r>
      <w:r w:rsidRPr="004A6645">
        <w:rPr>
          <w:rFonts w:cs="Times New Roman"/>
          <w:lang w:val="fr-CA"/>
        </w:rPr>
        <w:t xml:space="preserve">Le </w:t>
      </w:r>
      <w:r>
        <w:rPr>
          <w:rFonts w:cs="Times New Roman"/>
          <w:lang w:val="fr-CA"/>
        </w:rPr>
        <w:t>paragraphe</w:t>
      </w:r>
      <w:r w:rsidR="006412AC">
        <w:rPr>
          <w:rFonts w:cs="Times New Roman"/>
          <w:lang w:val="fr-CA"/>
        </w:rPr>
        <w:t xml:space="preserve"> </w:t>
      </w:r>
      <w:r w:rsidRPr="004A6645">
        <w:rPr>
          <w:rFonts w:cs="Times New Roman"/>
          <w:lang w:val="fr-CA"/>
        </w:rPr>
        <w:t>17(1) établit plutôt les conditions suivantes</w:t>
      </w:r>
      <w:r w:rsidR="006412AC">
        <w:rPr>
          <w:rFonts w:cs="Times New Roman"/>
          <w:lang w:val="fr-CA"/>
        </w:rPr>
        <w:t> :</w:t>
      </w:r>
      <w:r w:rsidRPr="004A6645">
        <w:rPr>
          <w:rFonts w:cs="Times New Roman"/>
          <w:lang w:val="fr-CA"/>
        </w:rPr>
        <w:t xml:space="preserve"> (1) il doit y avoir eu un accident (2) qui a causé (3) la mort ou une lésion corporelle (4) alors que le passager était à bord de l</w:t>
      </w:r>
      <w:r>
        <w:rPr>
          <w:rFonts w:cs="Times New Roman"/>
          <w:lang w:val="fr-CA"/>
        </w:rPr>
        <w:t>’</w:t>
      </w:r>
      <w:r w:rsidRPr="004A6645">
        <w:rPr>
          <w:rFonts w:cs="Times New Roman"/>
          <w:lang w:val="fr-CA"/>
        </w:rPr>
        <w:t>aéronef</w:t>
      </w:r>
      <w:r>
        <w:rPr>
          <w:rFonts w:cs="Times New Roman"/>
          <w:lang w:val="fr-CA"/>
        </w:rPr>
        <w:t>,</w:t>
      </w:r>
      <w:r w:rsidRPr="004A6645">
        <w:rPr>
          <w:rFonts w:cs="Times New Roman"/>
          <w:lang w:val="fr-CA"/>
        </w:rPr>
        <w:t xml:space="preserve"> ou</w:t>
      </w:r>
      <w:r>
        <w:rPr>
          <w:rFonts w:cs="Times New Roman"/>
          <w:lang w:val="fr-CA"/>
        </w:rPr>
        <w:t xml:space="preserve"> en train d’embarquer à bord de celui</w:t>
      </w:r>
      <w:r w:rsidR="006412AC">
        <w:rPr>
          <w:rFonts w:cs="Times New Roman"/>
          <w:lang w:val="fr-CA"/>
        </w:rPr>
        <w:t>-</w:t>
      </w:r>
      <w:r>
        <w:rPr>
          <w:rFonts w:cs="Times New Roman"/>
          <w:lang w:val="fr-CA"/>
        </w:rPr>
        <w:t xml:space="preserve">ci ou d’en débarquer </w:t>
      </w:r>
      <w:r w:rsidRPr="004A6645">
        <w:rPr>
          <w:rFonts w:cs="Times New Roman"/>
          <w:lang w:val="fr-CA"/>
        </w:rPr>
        <w:t>(Dempse</w:t>
      </w:r>
      <w:r w:rsidRPr="009061A9">
        <w:rPr>
          <w:rFonts w:cs="Times New Roman"/>
          <w:lang w:val="fr-CA"/>
        </w:rPr>
        <w:t xml:space="preserve">y et </w:t>
      </w:r>
      <w:proofErr w:type="spellStart"/>
      <w:r w:rsidRPr="009061A9">
        <w:rPr>
          <w:rFonts w:cs="Times New Roman"/>
          <w:lang w:val="fr-CA"/>
        </w:rPr>
        <w:t>Milde</w:t>
      </w:r>
      <w:proofErr w:type="spellEnd"/>
      <w:r w:rsidRPr="009061A9">
        <w:rPr>
          <w:rFonts w:cs="Times New Roman"/>
          <w:lang w:val="fr-CA"/>
        </w:rPr>
        <w:t xml:space="preserve">, </w:t>
      </w:r>
      <w:r>
        <w:rPr>
          <w:rFonts w:cs="Times New Roman"/>
          <w:lang w:val="fr-CA"/>
        </w:rPr>
        <w:t>p.</w:t>
      </w:r>
      <w:r w:rsidR="006412AC">
        <w:rPr>
          <w:rFonts w:cs="Times New Roman"/>
          <w:lang w:val="fr-CA"/>
        </w:rPr>
        <w:t xml:space="preserve"> </w:t>
      </w:r>
      <w:r w:rsidRPr="009061A9">
        <w:rPr>
          <w:rFonts w:cs="Times New Roman"/>
          <w:lang w:val="fr-CA"/>
        </w:rPr>
        <w:t xml:space="preserve">124; </w:t>
      </w:r>
      <w:proofErr w:type="spellStart"/>
      <w:r w:rsidRPr="009061A9">
        <w:rPr>
          <w:rFonts w:cs="Times New Roman"/>
          <w:i/>
          <w:lang w:val="fr-CA"/>
        </w:rPr>
        <w:t>Eastern</w:t>
      </w:r>
      <w:proofErr w:type="spellEnd"/>
      <w:r w:rsidRPr="009061A9">
        <w:rPr>
          <w:rFonts w:cs="Times New Roman"/>
          <w:i/>
          <w:lang w:val="fr-CA"/>
        </w:rPr>
        <w:t xml:space="preserve"> Airlines</w:t>
      </w:r>
      <w:r>
        <w:rPr>
          <w:rFonts w:cs="Times New Roman"/>
          <w:i/>
          <w:lang w:val="fr-CA"/>
        </w:rPr>
        <w:t>, Inc.</w:t>
      </w:r>
      <w:r w:rsidRPr="009061A9">
        <w:rPr>
          <w:rFonts w:cs="Times New Roman"/>
          <w:i/>
          <w:lang w:val="fr-CA"/>
        </w:rPr>
        <w:t xml:space="preserve"> c. Floyd</w:t>
      </w:r>
      <w:r w:rsidRPr="009061A9">
        <w:rPr>
          <w:rFonts w:cs="Times New Roman"/>
          <w:lang w:val="fr-CA"/>
        </w:rPr>
        <w:t>, 499 U.S. 530</w:t>
      </w:r>
      <w:r>
        <w:rPr>
          <w:rFonts w:cs="Times New Roman"/>
          <w:lang w:val="fr-CA"/>
        </w:rPr>
        <w:t xml:space="preserve"> (1991), </w:t>
      </w:r>
      <w:r w:rsidRPr="009E23FC">
        <w:rPr>
          <w:rFonts w:cs="Times New Roman"/>
          <w:lang w:val="fr-CA"/>
        </w:rPr>
        <w:t>p.</w:t>
      </w:r>
      <w:r w:rsidR="006412AC">
        <w:rPr>
          <w:rFonts w:cs="Times New Roman"/>
          <w:lang w:val="fr-CA"/>
        </w:rPr>
        <w:t xml:space="preserve"> </w:t>
      </w:r>
      <w:r w:rsidRPr="009E23FC">
        <w:rPr>
          <w:rFonts w:cs="Times New Roman"/>
          <w:lang w:val="fr-CA"/>
        </w:rPr>
        <w:t>535</w:t>
      </w:r>
      <w:r w:rsidR="006412AC">
        <w:rPr>
          <w:rFonts w:cs="Times New Roman"/>
          <w:lang w:val="fr-CA"/>
        </w:rPr>
        <w:t>-</w:t>
      </w:r>
      <w:r w:rsidRPr="009E23FC">
        <w:rPr>
          <w:rFonts w:cs="Times New Roman"/>
          <w:lang w:val="fr-CA"/>
        </w:rPr>
        <w:t>536).</w:t>
      </w:r>
    </w:p>
    <w:p w:rsidR="00367456" w:rsidRPr="009061A9" w:rsidRDefault="00367456" w:rsidP="00A12DCE">
      <w:pPr>
        <w:pStyle w:val="ParaNoNdepar-AltN"/>
        <w:widowControl w:val="0"/>
        <w:rPr>
          <w:rFonts w:cs="Times New Roman"/>
          <w:lang w:val="fr-CA"/>
        </w:rPr>
      </w:pPr>
      <w:r>
        <w:rPr>
          <w:rFonts w:cs="Times New Roman"/>
          <w:lang w:val="fr-CA"/>
        </w:rPr>
        <w:t>Personne n’a signalé d’</w:t>
      </w:r>
      <w:r w:rsidRPr="009061A9">
        <w:rPr>
          <w:rFonts w:cs="Times New Roman"/>
          <w:lang w:val="fr-CA"/>
        </w:rPr>
        <w:t>accident</w:t>
      </w:r>
      <w:r>
        <w:rPr>
          <w:rFonts w:cs="Times New Roman"/>
          <w:lang w:val="fr-CA"/>
        </w:rPr>
        <w:t xml:space="preserve">.  </w:t>
      </w:r>
      <w:r w:rsidRPr="009061A9">
        <w:rPr>
          <w:rFonts w:cs="Times New Roman"/>
          <w:lang w:val="fr-CA"/>
        </w:rPr>
        <w:t>À mon avis, ce fait est déterminant puisqu’il est question</w:t>
      </w:r>
      <w:r>
        <w:rPr>
          <w:rFonts w:cs="Times New Roman"/>
          <w:lang w:val="fr-CA"/>
        </w:rPr>
        <w:t>,</w:t>
      </w:r>
      <w:r w:rsidRPr="009061A9">
        <w:rPr>
          <w:rFonts w:cs="Times New Roman"/>
          <w:lang w:val="fr-CA"/>
        </w:rPr>
        <w:t xml:space="preserve"> au </w:t>
      </w:r>
      <w:r>
        <w:rPr>
          <w:rFonts w:cs="Times New Roman"/>
          <w:lang w:val="fr-CA"/>
        </w:rPr>
        <w:t>paragraphe</w:t>
      </w:r>
      <w:r w:rsidR="006412AC">
        <w:rPr>
          <w:rFonts w:cs="Times New Roman"/>
          <w:lang w:val="fr-CA"/>
        </w:rPr>
        <w:t xml:space="preserve"> </w:t>
      </w:r>
      <w:r w:rsidRPr="009061A9">
        <w:rPr>
          <w:rFonts w:cs="Times New Roman"/>
          <w:lang w:val="fr-CA"/>
        </w:rPr>
        <w:t>17(1)</w:t>
      </w:r>
      <w:r>
        <w:rPr>
          <w:rFonts w:cs="Times New Roman"/>
          <w:lang w:val="fr-CA"/>
        </w:rPr>
        <w:t>,</w:t>
      </w:r>
      <w:r w:rsidRPr="009061A9">
        <w:rPr>
          <w:rFonts w:cs="Times New Roman"/>
          <w:lang w:val="fr-CA"/>
        </w:rPr>
        <w:t xml:space="preserve"> </w:t>
      </w:r>
      <w:r>
        <w:rPr>
          <w:rFonts w:cs="Times New Roman"/>
          <w:lang w:val="fr-CA"/>
        </w:rPr>
        <w:t xml:space="preserve">de </w:t>
      </w:r>
      <w:r w:rsidR="006412AC">
        <w:rPr>
          <w:rFonts w:cs="Times New Roman"/>
          <w:lang w:val="fr-CA"/>
        </w:rPr>
        <w:t>« </w:t>
      </w:r>
      <w:r w:rsidRPr="009061A9">
        <w:rPr>
          <w:rFonts w:cs="Times New Roman"/>
          <w:lang w:val="fr-CA"/>
        </w:rPr>
        <w:t>mort ou de lésion corporelle</w:t>
      </w:r>
      <w:r w:rsidR="006412AC">
        <w:rPr>
          <w:rFonts w:cs="Times New Roman"/>
          <w:lang w:val="fr-CA"/>
        </w:rPr>
        <w:t> »</w:t>
      </w:r>
      <w:r w:rsidRPr="009061A9">
        <w:rPr>
          <w:rFonts w:cs="Times New Roman"/>
          <w:lang w:val="fr-CA"/>
        </w:rPr>
        <w:t xml:space="preserve"> causée par un accident</w:t>
      </w:r>
      <w:r>
        <w:rPr>
          <w:rFonts w:cs="Times New Roman"/>
          <w:lang w:val="fr-CA"/>
        </w:rPr>
        <w:t>.  L</w:t>
      </w:r>
      <w:r w:rsidRPr="009061A9">
        <w:rPr>
          <w:rFonts w:cs="Times New Roman"/>
          <w:lang w:val="fr-CA"/>
        </w:rPr>
        <w:t xml:space="preserve">e reste de la disposition est </w:t>
      </w:r>
      <w:r>
        <w:rPr>
          <w:rFonts w:cs="Times New Roman"/>
          <w:lang w:val="fr-CA"/>
        </w:rPr>
        <w:t xml:space="preserve">donc </w:t>
      </w:r>
      <w:r w:rsidRPr="009061A9">
        <w:rPr>
          <w:rFonts w:cs="Times New Roman"/>
          <w:lang w:val="fr-CA"/>
        </w:rPr>
        <w:t>redondant en l’espèce</w:t>
      </w:r>
      <w:r>
        <w:rPr>
          <w:rFonts w:cs="Times New Roman"/>
          <w:lang w:val="fr-CA"/>
        </w:rPr>
        <w:t xml:space="preserve">.  </w:t>
      </w:r>
      <w:r w:rsidRPr="009061A9">
        <w:rPr>
          <w:rFonts w:cs="Times New Roman"/>
          <w:lang w:val="fr-CA"/>
        </w:rPr>
        <w:t>Les Thibodeau n’ont pas subi de lésion corporelle</w:t>
      </w:r>
      <w:r>
        <w:rPr>
          <w:rFonts w:cs="Times New Roman"/>
          <w:lang w:val="fr-CA"/>
        </w:rPr>
        <w:t xml:space="preserve">.  </w:t>
      </w:r>
      <w:r w:rsidRPr="009061A9">
        <w:rPr>
          <w:rFonts w:cs="Times New Roman"/>
          <w:lang w:val="fr-CA"/>
        </w:rPr>
        <w:t>Le fait que la violation de</w:t>
      </w:r>
      <w:r>
        <w:rPr>
          <w:rFonts w:cs="Times New Roman"/>
          <w:lang w:val="fr-CA"/>
        </w:rPr>
        <w:t xml:space="preserve"> leur</w:t>
      </w:r>
      <w:r w:rsidRPr="009061A9">
        <w:rPr>
          <w:rFonts w:cs="Times New Roman"/>
          <w:lang w:val="fr-CA"/>
        </w:rPr>
        <w:t>s droi</w:t>
      </w:r>
      <w:r>
        <w:rPr>
          <w:rFonts w:cs="Times New Roman"/>
          <w:lang w:val="fr-CA"/>
        </w:rPr>
        <w:t xml:space="preserve">ts </w:t>
      </w:r>
      <w:r>
        <w:rPr>
          <w:rFonts w:cs="Times New Roman"/>
          <w:lang w:val="fr-CA"/>
        </w:rPr>
        <w:lastRenderedPageBreak/>
        <w:t xml:space="preserve">linguistiques soit survenue </w:t>
      </w:r>
      <w:r w:rsidR="006412AC">
        <w:rPr>
          <w:rFonts w:cs="Times New Roman"/>
          <w:lang w:val="fr-CA"/>
        </w:rPr>
        <w:t>« </w:t>
      </w:r>
      <w:r w:rsidRPr="009061A9">
        <w:rPr>
          <w:rFonts w:cs="Times New Roman"/>
          <w:lang w:val="fr-CA"/>
        </w:rPr>
        <w:t>à bord de l</w:t>
      </w:r>
      <w:r>
        <w:rPr>
          <w:rFonts w:cs="Times New Roman"/>
          <w:lang w:val="fr-CA"/>
        </w:rPr>
        <w:t>’</w:t>
      </w:r>
      <w:r w:rsidRPr="009061A9">
        <w:rPr>
          <w:rFonts w:cs="Times New Roman"/>
          <w:lang w:val="fr-CA"/>
        </w:rPr>
        <w:t>aéronef</w:t>
      </w:r>
      <w:r w:rsidR="006412AC">
        <w:rPr>
          <w:rFonts w:cs="Times New Roman"/>
          <w:lang w:val="fr-CA"/>
        </w:rPr>
        <w:t> »</w:t>
      </w:r>
      <w:r w:rsidRPr="009061A9">
        <w:rPr>
          <w:rFonts w:cs="Times New Roman"/>
          <w:lang w:val="fr-CA"/>
        </w:rPr>
        <w:t xml:space="preserve"> est sans importance</w:t>
      </w:r>
      <w:r>
        <w:rPr>
          <w:rFonts w:cs="Times New Roman"/>
          <w:lang w:val="fr-CA"/>
        </w:rPr>
        <w:t xml:space="preserve"> parce que </w:t>
      </w:r>
      <w:r w:rsidRPr="009061A9">
        <w:rPr>
          <w:rFonts w:cs="Times New Roman"/>
          <w:lang w:val="fr-CA"/>
        </w:rPr>
        <w:t xml:space="preserve">ces </w:t>
      </w:r>
      <w:r>
        <w:rPr>
          <w:rFonts w:cs="Times New Roman"/>
          <w:lang w:val="fr-CA"/>
        </w:rPr>
        <w:t>circonstances n</w:t>
      </w:r>
      <w:r w:rsidRPr="009061A9">
        <w:rPr>
          <w:rFonts w:cs="Times New Roman"/>
          <w:lang w:val="fr-CA"/>
        </w:rPr>
        <w:t>e sont pertinent</w:t>
      </w:r>
      <w:r>
        <w:rPr>
          <w:rFonts w:cs="Times New Roman"/>
          <w:lang w:val="fr-CA"/>
        </w:rPr>
        <w:t>e</w:t>
      </w:r>
      <w:r w:rsidRPr="009061A9">
        <w:rPr>
          <w:rFonts w:cs="Times New Roman"/>
          <w:lang w:val="fr-CA"/>
        </w:rPr>
        <w:t xml:space="preserve">s que s’il y a eu accident. </w:t>
      </w:r>
    </w:p>
    <w:p w:rsidR="00367456" w:rsidRPr="009061A9" w:rsidRDefault="00367456" w:rsidP="00A12DCE">
      <w:pPr>
        <w:pStyle w:val="ParaNoNdepar-AltN"/>
        <w:widowControl w:val="0"/>
        <w:rPr>
          <w:rFonts w:cs="Times New Roman"/>
          <w:lang w:val="fr-CA"/>
        </w:rPr>
      </w:pPr>
      <w:r w:rsidRPr="009061A9">
        <w:rPr>
          <w:rFonts w:cs="Times New Roman"/>
          <w:lang w:val="fr-CA"/>
        </w:rPr>
        <w:t xml:space="preserve">En conséquence, la </w:t>
      </w:r>
      <w:r w:rsidRPr="009061A9">
        <w:rPr>
          <w:rFonts w:cs="Times New Roman"/>
          <w:i/>
          <w:lang w:val="fr-CA"/>
        </w:rPr>
        <w:t>Convention de Montréal</w:t>
      </w:r>
      <w:r w:rsidRPr="009061A9">
        <w:rPr>
          <w:rFonts w:cs="Times New Roman"/>
          <w:lang w:val="fr-CA"/>
        </w:rPr>
        <w:t xml:space="preserve"> ne fait pas obstacle à</w:t>
      </w:r>
      <w:r>
        <w:rPr>
          <w:rFonts w:cs="Times New Roman"/>
          <w:lang w:val="fr-CA"/>
        </w:rPr>
        <w:t xml:space="preserve"> l’octroi de </w:t>
      </w:r>
      <w:r w:rsidRPr="009061A9">
        <w:rPr>
          <w:rFonts w:cs="Times New Roman"/>
          <w:lang w:val="fr-CA"/>
        </w:rPr>
        <w:t>dommages</w:t>
      </w:r>
      <w:r w:rsidR="006412AC">
        <w:rPr>
          <w:rFonts w:cs="Times New Roman"/>
          <w:lang w:val="fr-CA"/>
        </w:rPr>
        <w:t>-</w:t>
      </w:r>
      <w:r w:rsidRPr="009061A9">
        <w:rPr>
          <w:rFonts w:cs="Times New Roman"/>
          <w:lang w:val="fr-CA"/>
        </w:rPr>
        <w:t>intérêts pour violation des droits linguistiques pendant le transport aérien international.</w:t>
      </w:r>
    </w:p>
    <w:p w:rsidR="00367456" w:rsidRPr="009061A9" w:rsidRDefault="00367456" w:rsidP="00A12DCE">
      <w:pPr>
        <w:pStyle w:val="ParaNoNdepar-AltN"/>
        <w:widowControl w:val="0"/>
        <w:rPr>
          <w:rFonts w:cs="Times New Roman"/>
          <w:lang w:val="fr-CA"/>
        </w:rPr>
      </w:pPr>
      <w:r w:rsidRPr="009061A9">
        <w:rPr>
          <w:rFonts w:cs="Times New Roman"/>
          <w:lang w:val="fr-CA"/>
        </w:rPr>
        <w:t>Par conséquent, même si je ne suis pas convaincue qu’une ordonnance structurelle</w:t>
      </w:r>
      <w:r>
        <w:rPr>
          <w:rFonts w:cs="Times New Roman"/>
          <w:lang w:val="fr-CA"/>
        </w:rPr>
        <w:t xml:space="preserve"> était </w:t>
      </w:r>
      <w:r w:rsidRPr="009061A9">
        <w:rPr>
          <w:rFonts w:cs="Times New Roman"/>
          <w:lang w:val="fr-CA"/>
        </w:rPr>
        <w:t xml:space="preserve">justifiée </w:t>
      </w:r>
      <w:r>
        <w:rPr>
          <w:rFonts w:cs="Times New Roman"/>
          <w:lang w:val="fr-CA"/>
        </w:rPr>
        <w:t>da</w:t>
      </w:r>
      <w:r w:rsidRPr="009061A9">
        <w:rPr>
          <w:rFonts w:cs="Times New Roman"/>
          <w:lang w:val="fr-CA"/>
        </w:rPr>
        <w:t>n</w:t>
      </w:r>
      <w:r>
        <w:rPr>
          <w:rFonts w:cs="Times New Roman"/>
          <w:lang w:val="fr-CA"/>
        </w:rPr>
        <w:t>s les circonstances</w:t>
      </w:r>
      <w:r w:rsidRPr="009061A9">
        <w:rPr>
          <w:rFonts w:cs="Times New Roman"/>
          <w:lang w:val="fr-CA"/>
        </w:rPr>
        <w:t xml:space="preserve">, je suis d’avis d’accueillir </w:t>
      </w:r>
      <w:r>
        <w:rPr>
          <w:rFonts w:cs="Times New Roman"/>
          <w:lang w:val="fr-CA"/>
        </w:rPr>
        <w:t>les pourvois</w:t>
      </w:r>
      <w:r w:rsidRPr="009061A9">
        <w:rPr>
          <w:rFonts w:cs="Times New Roman"/>
          <w:lang w:val="fr-CA"/>
        </w:rPr>
        <w:t xml:space="preserve"> relativement</w:t>
      </w:r>
      <w:r>
        <w:rPr>
          <w:rFonts w:cs="Times New Roman"/>
          <w:lang w:val="fr-CA"/>
        </w:rPr>
        <w:t xml:space="preserve"> aux demandes de </w:t>
      </w:r>
      <w:r w:rsidRPr="009061A9">
        <w:rPr>
          <w:rFonts w:cs="Times New Roman"/>
          <w:lang w:val="fr-CA"/>
        </w:rPr>
        <w:t>dommages</w:t>
      </w:r>
      <w:r w:rsidR="006412AC">
        <w:rPr>
          <w:rFonts w:cs="Times New Roman"/>
          <w:lang w:val="fr-CA"/>
        </w:rPr>
        <w:t>-</w:t>
      </w:r>
      <w:r w:rsidRPr="009061A9">
        <w:rPr>
          <w:rFonts w:cs="Times New Roman"/>
          <w:lang w:val="fr-CA"/>
        </w:rPr>
        <w:t>intérêts et de rétablir les dommages</w:t>
      </w:r>
      <w:r w:rsidR="006412AC">
        <w:rPr>
          <w:rFonts w:cs="Times New Roman"/>
          <w:lang w:val="fr-CA"/>
        </w:rPr>
        <w:t>-</w:t>
      </w:r>
      <w:r w:rsidRPr="009061A9">
        <w:rPr>
          <w:rFonts w:cs="Times New Roman"/>
          <w:lang w:val="fr-CA"/>
        </w:rPr>
        <w:t>intérêts accordés par l</w:t>
      </w:r>
      <w:r>
        <w:rPr>
          <w:rFonts w:cs="Times New Roman"/>
          <w:lang w:val="fr-CA"/>
        </w:rPr>
        <w:t>a</w:t>
      </w:r>
      <w:r w:rsidRPr="009061A9">
        <w:rPr>
          <w:rFonts w:cs="Times New Roman"/>
          <w:lang w:val="fr-CA"/>
        </w:rPr>
        <w:t xml:space="preserve"> juge</w:t>
      </w:r>
      <w:r>
        <w:rPr>
          <w:rFonts w:cs="Times New Roman"/>
          <w:lang w:val="fr-CA"/>
        </w:rPr>
        <w:t xml:space="preserve"> saisie de la demande</w:t>
      </w:r>
      <w:r w:rsidRPr="009061A9">
        <w:rPr>
          <w:rFonts w:cs="Times New Roman"/>
          <w:lang w:val="fr-CA"/>
        </w:rPr>
        <w:t xml:space="preserve">. </w:t>
      </w:r>
    </w:p>
    <w:p w:rsidR="00367456" w:rsidRPr="005038AC" w:rsidRDefault="00367456" w:rsidP="00A12DCE">
      <w:pPr>
        <w:pStyle w:val="Title1LevelTitre1Niveau-AltL"/>
        <w:widowControl w:val="0"/>
        <w:numPr>
          <w:ilvl w:val="0"/>
          <w:numId w:val="0"/>
        </w:numPr>
        <w:spacing w:before="0" w:after="480"/>
        <w:jc w:val="center"/>
        <w:rPr>
          <w:b/>
          <w:u w:val="none"/>
          <w:lang w:val="fr-CA"/>
        </w:rPr>
      </w:pPr>
      <w:r w:rsidRPr="005038AC">
        <w:rPr>
          <w:b/>
          <w:u w:val="none"/>
          <w:lang w:val="fr-CA"/>
        </w:rPr>
        <w:t>ANNEXE</w:t>
      </w:r>
    </w:p>
    <w:p w:rsidR="00367456" w:rsidRPr="00BA78CD" w:rsidRDefault="00367456" w:rsidP="00BA78CD">
      <w:pPr>
        <w:widowControl w:val="0"/>
        <w:spacing w:after="480"/>
        <w:jc w:val="both"/>
        <w:rPr>
          <w:lang w:val="fr-CA"/>
        </w:rPr>
      </w:pPr>
      <w:r w:rsidRPr="00BA78CD">
        <w:rPr>
          <w:i/>
          <w:lang w:val="fr-CA"/>
        </w:rPr>
        <w:t>Convention pour l’unification de certaines règles relatives au transport aérien international</w:t>
      </w:r>
      <w:r w:rsidRPr="00BA78CD">
        <w:rPr>
          <w:lang w:val="fr-CA"/>
        </w:rPr>
        <w:t>, signée à Varsovie, le 12</w:t>
      </w:r>
      <w:r w:rsidR="006412AC" w:rsidRPr="00BA78CD">
        <w:rPr>
          <w:lang w:val="fr-CA"/>
        </w:rPr>
        <w:t xml:space="preserve"> </w:t>
      </w:r>
      <w:r w:rsidRPr="00BA78CD">
        <w:rPr>
          <w:lang w:val="fr-CA"/>
        </w:rPr>
        <w:t>octobre 1929, reproduite à l’annexe</w:t>
      </w:r>
      <w:r w:rsidR="006412AC" w:rsidRPr="00BA78CD">
        <w:rPr>
          <w:lang w:val="fr-CA"/>
        </w:rPr>
        <w:t xml:space="preserve"> </w:t>
      </w:r>
      <w:r w:rsidRPr="00BA78CD">
        <w:rPr>
          <w:lang w:val="fr-CA"/>
        </w:rPr>
        <w:t xml:space="preserve">I de la </w:t>
      </w:r>
      <w:r w:rsidRPr="00BA78CD">
        <w:rPr>
          <w:i/>
          <w:lang w:val="fr-CA"/>
        </w:rPr>
        <w:t>Loi sur le transport aérien</w:t>
      </w:r>
      <w:r w:rsidRPr="00BA78CD">
        <w:rPr>
          <w:lang w:val="fr-CA"/>
        </w:rPr>
        <w:t>, L.R.C. 1985, ch.</w:t>
      </w:r>
      <w:r w:rsidR="006412AC" w:rsidRPr="00BA78CD">
        <w:rPr>
          <w:lang w:val="fr-CA"/>
        </w:rPr>
        <w:t xml:space="preserve"> </w:t>
      </w:r>
      <w:r w:rsidRPr="00BA78CD">
        <w:rPr>
          <w:lang w:val="fr-CA"/>
        </w:rPr>
        <w:t>C</w:t>
      </w:r>
      <w:r w:rsidR="006412AC" w:rsidRPr="00BA78CD">
        <w:rPr>
          <w:lang w:val="fr-CA"/>
        </w:rPr>
        <w:t>-</w:t>
      </w:r>
      <w:r w:rsidRPr="00BA78CD">
        <w:rPr>
          <w:lang w:val="fr-CA"/>
        </w:rPr>
        <w:t>26</w:t>
      </w:r>
    </w:p>
    <w:p w:rsidR="00367456" w:rsidRDefault="00367456" w:rsidP="00BA78CD">
      <w:pPr>
        <w:tabs>
          <w:tab w:val="left" w:pos="1260"/>
          <w:tab w:val="left" w:pos="1800"/>
        </w:tabs>
        <w:spacing w:after="240"/>
        <w:ind w:left="720"/>
        <w:jc w:val="both"/>
        <w:rPr>
          <w:lang w:val="fr-CA"/>
        </w:rPr>
      </w:pPr>
      <w:r w:rsidRPr="005D2F31">
        <w:rPr>
          <w:lang w:val="fr-CA"/>
        </w:rPr>
        <w:tab/>
      </w:r>
      <w:r w:rsidRPr="00B75DCC">
        <w:rPr>
          <w:lang w:val="fr-CA"/>
        </w:rPr>
        <w:t>[Note</w:t>
      </w:r>
      <w:r w:rsidR="006412AC">
        <w:rPr>
          <w:lang w:val="fr-CA"/>
        </w:rPr>
        <w:t> :</w:t>
      </w:r>
      <w:r w:rsidRPr="00B75DCC">
        <w:rPr>
          <w:lang w:val="fr-CA"/>
        </w:rPr>
        <w:t xml:space="preserve"> Les </w:t>
      </w:r>
      <w:r w:rsidRPr="009813F5">
        <w:rPr>
          <w:lang w:val="fr-CA"/>
        </w:rPr>
        <w:t>dispositions</w:t>
      </w:r>
      <w:r w:rsidRPr="00B75DCC">
        <w:rPr>
          <w:lang w:val="fr-CA"/>
        </w:rPr>
        <w:t xml:space="preserve"> de la convention imprimées en italiques ont été supprimées et remplacées par les dispositions du protocole reproduit à l’annexe III, sauf dans le cas de l’alinéa (2) de l’article 20.]</w:t>
      </w:r>
    </w:p>
    <w:p w:rsidR="00BA78CD" w:rsidRDefault="00BA78CD" w:rsidP="00BA78CD">
      <w:pPr>
        <w:tabs>
          <w:tab w:val="left" w:pos="1260"/>
          <w:tab w:val="left" w:pos="1800"/>
        </w:tabs>
        <w:spacing w:after="240"/>
        <w:ind w:left="720"/>
        <w:jc w:val="center"/>
        <w:rPr>
          <w:lang w:val="fr-CA"/>
        </w:rPr>
      </w:pPr>
      <w:r>
        <w:rPr>
          <w:lang w:val="fr-CA"/>
        </w:rPr>
        <w:t>. . .</w:t>
      </w:r>
    </w:p>
    <w:p w:rsidR="00367456" w:rsidRPr="00130228" w:rsidRDefault="00367456" w:rsidP="00BA78CD">
      <w:pPr>
        <w:spacing w:after="240"/>
        <w:ind w:left="720"/>
        <w:jc w:val="center"/>
        <w:rPr>
          <w:i/>
          <w:lang w:val="fr-CA"/>
        </w:rPr>
      </w:pPr>
      <w:r w:rsidRPr="009813F5">
        <w:rPr>
          <w:i/>
          <w:smallCaps/>
          <w:lang w:val="fr-CA"/>
        </w:rPr>
        <w:t>Article</w:t>
      </w:r>
      <w:r w:rsidRPr="00130228">
        <w:rPr>
          <w:i/>
          <w:lang w:val="fr-CA"/>
        </w:rPr>
        <w:t xml:space="preserve"> 17</w:t>
      </w:r>
    </w:p>
    <w:p w:rsidR="00367456" w:rsidRDefault="00367456" w:rsidP="00BA78CD">
      <w:pPr>
        <w:tabs>
          <w:tab w:val="left" w:pos="1260"/>
          <w:tab w:val="left" w:pos="1800"/>
        </w:tabs>
        <w:spacing w:after="240"/>
        <w:ind w:left="720"/>
        <w:jc w:val="both"/>
        <w:rPr>
          <w:lang w:val="fr-CA"/>
        </w:rPr>
      </w:pPr>
      <w:r>
        <w:rPr>
          <w:lang w:val="fr-CA"/>
        </w:rPr>
        <w:tab/>
      </w:r>
      <w:r w:rsidRPr="00635936">
        <w:rPr>
          <w:lang w:val="fr-CA"/>
        </w:rPr>
        <w:t xml:space="preserve">Le transporteur est responsable du dommage survenu en cas de mort, de blessure ou de toute </w:t>
      </w:r>
      <w:r w:rsidRPr="009813F5">
        <w:rPr>
          <w:lang w:val="fr-CA"/>
        </w:rPr>
        <w:t>autre</w:t>
      </w:r>
      <w:r w:rsidRPr="00635936">
        <w:rPr>
          <w:lang w:val="fr-CA"/>
        </w:rPr>
        <w:t xml:space="preserve"> lésion corporelle subie par un voyageur lorsque l</w:t>
      </w:r>
      <w:r>
        <w:rPr>
          <w:lang w:val="fr-CA"/>
        </w:rPr>
        <w:t>’</w:t>
      </w:r>
      <w:r w:rsidRPr="00635936">
        <w:rPr>
          <w:lang w:val="fr-CA"/>
        </w:rPr>
        <w:t>accident qui a causé le dommage s</w:t>
      </w:r>
      <w:r>
        <w:rPr>
          <w:lang w:val="fr-CA"/>
        </w:rPr>
        <w:t>’</w:t>
      </w:r>
      <w:r w:rsidRPr="00635936">
        <w:rPr>
          <w:lang w:val="fr-CA"/>
        </w:rPr>
        <w:t>est produit à bord de l</w:t>
      </w:r>
      <w:r>
        <w:rPr>
          <w:lang w:val="fr-CA"/>
        </w:rPr>
        <w:t>’</w:t>
      </w:r>
      <w:r w:rsidRPr="00635936">
        <w:rPr>
          <w:lang w:val="fr-CA"/>
        </w:rPr>
        <w:t>aéronef ou au cours de toutes opérations d</w:t>
      </w:r>
      <w:r>
        <w:rPr>
          <w:lang w:val="fr-CA"/>
        </w:rPr>
        <w:t>’</w:t>
      </w:r>
      <w:r w:rsidRPr="00635936">
        <w:rPr>
          <w:lang w:val="fr-CA"/>
        </w:rPr>
        <w:t>embarquement et de débarquement.</w:t>
      </w:r>
    </w:p>
    <w:p w:rsidR="00367456" w:rsidRPr="00130228" w:rsidRDefault="00367456" w:rsidP="00BA78CD">
      <w:pPr>
        <w:spacing w:after="240"/>
        <w:ind w:left="720"/>
        <w:jc w:val="center"/>
        <w:rPr>
          <w:i/>
          <w:lang w:val="fr-CA"/>
        </w:rPr>
      </w:pPr>
      <w:r w:rsidRPr="009813F5">
        <w:rPr>
          <w:i/>
          <w:smallCaps/>
          <w:lang w:val="fr-CA"/>
        </w:rPr>
        <w:t>Article</w:t>
      </w:r>
      <w:r w:rsidRPr="00130228">
        <w:rPr>
          <w:i/>
          <w:lang w:val="fr-CA"/>
        </w:rPr>
        <w:t xml:space="preserve"> 18</w:t>
      </w:r>
    </w:p>
    <w:p w:rsidR="00367456" w:rsidRPr="00635936" w:rsidRDefault="00367456" w:rsidP="00BA78CD">
      <w:pPr>
        <w:tabs>
          <w:tab w:val="left" w:pos="1260"/>
          <w:tab w:val="left" w:pos="1800"/>
        </w:tabs>
        <w:spacing w:after="240"/>
        <w:ind w:left="720"/>
        <w:jc w:val="both"/>
        <w:rPr>
          <w:lang w:val="fr-CA"/>
        </w:rPr>
      </w:pPr>
      <w:r>
        <w:rPr>
          <w:lang w:val="fr-CA"/>
        </w:rPr>
        <w:lastRenderedPageBreak/>
        <w:tab/>
      </w:r>
      <w:r w:rsidRPr="00635936">
        <w:rPr>
          <w:lang w:val="fr-CA"/>
        </w:rPr>
        <w:t>(1)</w:t>
      </w:r>
      <w:r>
        <w:rPr>
          <w:lang w:val="fr-CA"/>
        </w:rPr>
        <w:tab/>
      </w:r>
      <w:r w:rsidRPr="00635936">
        <w:rPr>
          <w:lang w:val="fr-CA"/>
        </w:rPr>
        <w:t xml:space="preserve">Le </w:t>
      </w:r>
      <w:r w:rsidRPr="009813F5">
        <w:rPr>
          <w:lang w:val="fr-CA"/>
        </w:rPr>
        <w:t>transporteur</w:t>
      </w:r>
      <w:r w:rsidRPr="00635936">
        <w:rPr>
          <w:lang w:val="fr-CA"/>
        </w:rPr>
        <w:t xml:space="preserve"> est responsable du dommage survenu en cas de destruction, perte ou avarie de bagages enregistrés ou de marchandises lorsque l</w:t>
      </w:r>
      <w:r>
        <w:rPr>
          <w:lang w:val="fr-CA"/>
        </w:rPr>
        <w:t>’</w:t>
      </w:r>
      <w:r w:rsidRPr="00635936">
        <w:rPr>
          <w:lang w:val="fr-CA"/>
        </w:rPr>
        <w:t>événement qui a causé le dommage s</w:t>
      </w:r>
      <w:r>
        <w:rPr>
          <w:lang w:val="fr-CA"/>
        </w:rPr>
        <w:t>’</w:t>
      </w:r>
      <w:r w:rsidRPr="00635936">
        <w:rPr>
          <w:lang w:val="fr-CA"/>
        </w:rPr>
        <w:t>est produit pendant le transport aérien.</w:t>
      </w:r>
    </w:p>
    <w:p w:rsidR="00367456" w:rsidRPr="00635936" w:rsidRDefault="00367456" w:rsidP="00BA78CD">
      <w:pPr>
        <w:tabs>
          <w:tab w:val="left" w:pos="1260"/>
          <w:tab w:val="left" w:pos="1800"/>
        </w:tabs>
        <w:spacing w:after="240"/>
        <w:ind w:left="720"/>
        <w:jc w:val="both"/>
        <w:rPr>
          <w:lang w:val="fr-CA"/>
        </w:rPr>
      </w:pPr>
      <w:r>
        <w:rPr>
          <w:lang w:val="fr-CA"/>
        </w:rPr>
        <w:tab/>
        <w:t>(2)</w:t>
      </w:r>
      <w:r>
        <w:rPr>
          <w:lang w:val="fr-CA"/>
        </w:rPr>
        <w:tab/>
      </w:r>
      <w:r w:rsidRPr="00635936">
        <w:rPr>
          <w:lang w:val="fr-CA"/>
        </w:rPr>
        <w:t>Le transport aérien, au sens de l</w:t>
      </w:r>
      <w:r>
        <w:rPr>
          <w:lang w:val="fr-CA"/>
        </w:rPr>
        <w:t>’</w:t>
      </w:r>
      <w:r w:rsidRPr="00635936">
        <w:rPr>
          <w:lang w:val="fr-CA"/>
        </w:rPr>
        <w:t xml:space="preserve">alinéa précédent, comprend la période pendant laquelle </w:t>
      </w:r>
      <w:r w:rsidRPr="009813F5">
        <w:rPr>
          <w:lang w:val="fr-CA"/>
        </w:rPr>
        <w:t>les</w:t>
      </w:r>
      <w:r w:rsidRPr="00635936">
        <w:rPr>
          <w:lang w:val="fr-CA"/>
        </w:rPr>
        <w:t xml:space="preserve"> bagages ou marchandises se trouvent sous la garde du transporteur, que ce soit dans un aérodrome ou à bord d</w:t>
      </w:r>
      <w:r>
        <w:rPr>
          <w:lang w:val="fr-CA"/>
        </w:rPr>
        <w:t>’</w:t>
      </w:r>
      <w:r w:rsidRPr="00635936">
        <w:rPr>
          <w:lang w:val="fr-CA"/>
        </w:rPr>
        <w:t>un aéronef ou dans un lieu quelconque en cas d</w:t>
      </w:r>
      <w:r>
        <w:rPr>
          <w:lang w:val="fr-CA"/>
        </w:rPr>
        <w:t>’</w:t>
      </w:r>
      <w:r w:rsidRPr="00635936">
        <w:rPr>
          <w:lang w:val="fr-CA"/>
        </w:rPr>
        <w:t>atterrissage en dehors d</w:t>
      </w:r>
      <w:r>
        <w:rPr>
          <w:lang w:val="fr-CA"/>
        </w:rPr>
        <w:t>’</w:t>
      </w:r>
      <w:r w:rsidRPr="00635936">
        <w:rPr>
          <w:lang w:val="fr-CA"/>
        </w:rPr>
        <w:t>un aérodrome.</w:t>
      </w:r>
    </w:p>
    <w:p w:rsidR="00367456" w:rsidRDefault="00367456" w:rsidP="00BA78CD">
      <w:pPr>
        <w:tabs>
          <w:tab w:val="left" w:pos="1260"/>
          <w:tab w:val="left" w:pos="1800"/>
        </w:tabs>
        <w:spacing w:after="240"/>
        <w:ind w:left="720"/>
        <w:jc w:val="both"/>
        <w:rPr>
          <w:lang w:val="fr-CA"/>
        </w:rPr>
      </w:pPr>
      <w:r>
        <w:rPr>
          <w:lang w:val="fr-CA"/>
        </w:rPr>
        <w:tab/>
        <w:t>(3)</w:t>
      </w:r>
      <w:r>
        <w:rPr>
          <w:lang w:val="fr-CA"/>
        </w:rPr>
        <w:tab/>
      </w:r>
      <w:r w:rsidRPr="00635936">
        <w:rPr>
          <w:lang w:val="fr-CA"/>
        </w:rPr>
        <w:t xml:space="preserve">La </w:t>
      </w:r>
      <w:r w:rsidRPr="009813F5">
        <w:rPr>
          <w:lang w:val="fr-CA"/>
        </w:rPr>
        <w:t>période</w:t>
      </w:r>
      <w:r w:rsidRPr="00635936">
        <w:rPr>
          <w:lang w:val="fr-CA"/>
        </w:rPr>
        <w:t xml:space="preserve"> du transport aérien ne couvre aucun transport terrestre, maritime ou fluvial effectué en dehors d</w:t>
      </w:r>
      <w:r>
        <w:rPr>
          <w:lang w:val="fr-CA"/>
        </w:rPr>
        <w:t>’</w:t>
      </w:r>
      <w:r w:rsidRPr="00635936">
        <w:rPr>
          <w:lang w:val="fr-CA"/>
        </w:rPr>
        <w:t>un aérodrome. Toutefois lorsqu</w:t>
      </w:r>
      <w:r>
        <w:rPr>
          <w:lang w:val="fr-CA"/>
        </w:rPr>
        <w:t>’</w:t>
      </w:r>
      <w:r w:rsidRPr="00635936">
        <w:rPr>
          <w:lang w:val="fr-CA"/>
        </w:rPr>
        <w:t>un tel transport est effectué dans l</w:t>
      </w:r>
      <w:r>
        <w:rPr>
          <w:lang w:val="fr-CA"/>
        </w:rPr>
        <w:t>’</w:t>
      </w:r>
      <w:r w:rsidRPr="00635936">
        <w:rPr>
          <w:lang w:val="fr-CA"/>
        </w:rPr>
        <w:t>exécution du contrat de transport aérien en vue du chargement, de la livraison ou du transbordement, tout dommage est présumé, sauf preuve contraire, résulter d</w:t>
      </w:r>
      <w:r>
        <w:rPr>
          <w:lang w:val="fr-CA"/>
        </w:rPr>
        <w:t>’</w:t>
      </w:r>
      <w:r w:rsidRPr="00635936">
        <w:rPr>
          <w:lang w:val="fr-CA"/>
        </w:rPr>
        <w:t>un événement survenu pendant le transport aérien.</w:t>
      </w:r>
    </w:p>
    <w:p w:rsidR="00367456" w:rsidRPr="00130228" w:rsidRDefault="00367456" w:rsidP="00BA78CD">
      <w:pPr>
        <w:spacing w:after="240"/>
        <w:ind w:left="720"/>
        <w:jc w:val="center"/>
        <w:rPr>
          <w:i/>
          <w:lang w:val="fr-CA"/>
        </w:rPr>
      </w:pPr>
      <w:r w:rsidRPr="009813F5">
        <w:rPr>
          <w:i/>
          <w:smallCaps/>
          <w:lang w:val="fr-CA"/>
        </w:rPr>
        <w:t>Article</w:t>
      </w:r>
      <w:r w:rsidRPr="00130228">
        <w:rPr>
          <w:i/>
          <w:lang w:val="fr-CA"/>
        </w:rPr>
        <w:t xml:space="preserve"> 19</w:t>
      </w:r>
    </w:p>
    <w:p w:rsidR="00367456" w:rsidRDefault="00367456" w:rsidP="00BA78CD">
      <w:pPr>
        <w:tabs>
          <w:tab w:val="left" w:pos="1260"/>
          <w:tab w:val="left" w:pos="1800"/>
        </w:tabs>
        <w:spacing w:after="240"/>
        <w:ind w:left="720"/>
        <w:jc w:val="both"/>
        <w:rPr>
          <w:lang w:val="fr-CA"/>
        </w:rPr>
      </w:pPr>
      <w:r>
        <w:rPr>
          <w:lang w:val="fr-CA"/>
        </w:rPr>
        <w:tab/>
      </w:r>
      <w:r w:rsidRPr="00635936">
        <w:rPr>
          <w:lang w:val="fr-CA"/>
        </w:rPr>
        <w:t xml:space="preserve">Le transporteur </w:t>
      </w:r>
      <w:r w:rsidRPr="009813F5">
        <w:rPr>
          <w:lang w:val="fr-CA"/>
        </w:rPr>
        <w:t>est</w:t>
      </w:r>
      <w:r w:rsidRPr="00635936">
        <w:rPr>
          <w:lang w:val="fr-CA"/>
        </w:rPr>
        <w:t xml:space="preserve"> responsable du dommage résultant d</w:t>
      </w:r>
      <w:r>
        <w:rPr>
          <w:lang w:val="fr-CA"/>
        </w:rPr>
        <w:t>’</w:t>
      </w:r>
      <w:r w:rsidRPr="00635936">
        <w:rPr>
          <w:lang w:val="fr-CA"/>
        </w:rPr>
        <w:t>un retard dans le transport aérien de voyageurs, bagages ou marchandises.</w:t>
      </w:r>
    </w:p>
    <w:p w:rsidR="00367456" w:rsidRPr="00BB38B8" w:rsidRDefault="00367456" w:rsidP="00BA78CD">
      <w:pPr>
        <w:spacing w:after="240"/>
        <w:ind w:left="720"/>
        <w:jc w:val="center"/>
        <w:rPr>
          <w:i/>
          <w:smallCaps/>
          <w:lang w:val="fr-CA"/>
        </w:rPr>
      </w:pPr>
      <w:r w:rsidRPr="009813F5">
        <w:rPr>
          <w:i/>
          <w:smallCaps/>
          <w:lang w:val="fr-CA"/>
        </w:rPr>
        <w:t>Article</w:t>
      </w:r>
      <w:r w:rsidRPr="00BB38B8">
        <w:rPr>
          <w:i/>
          <w:smallCaps/>
          <w:lang w:val="fr-CA"/>
        </w:rPr>
        <w:t xml:space="preserve"> 20</w:t>
      </w:r>
    </w:p>
    <w:p w:rsidR="00367456" w:rsidRPr="00BB38B8" w:rsidRDefault="00367456" w:rsidP="00BA78CD">
      <w:pPr>
        <w:tabs>
          <w:tab w:val="left" w:pos="1260"/>
          <w:tab w:val="left" w:pos="1800"/>
        </w:tabs>
        <w:spacing w:after="240"/>
        <w:ind w:left="720"/>
        <w:jc w:val="both"/>
        <w:rPr>
          <w:lang w:val="fr-CA"/>
        </w:rPr>
      </w:pPr>
      <w:r w:rsidRPr="00BB38B8">
        <w:rPr>
          <w:lang w:val="fr-CA"/>
        </w:rPr>
        <w:tab/>
        <w:t>(1)</w:t>
      </w:r>
      <w:r w:rsidRPr="00BB38B8">
        <w:rPr>
          <w:lang w:val="fr-CA"/>
        </w:rPr>
        <w:tab/>
        <w:t xml:space="preserve">Le </w:t>
      </w:r>
      <w:r w:rsidRPr="009813F5">
        <w:rPr>
          <w:lang w:val="fr-CA"/>
        </w:rPr>
        <w:t>transporteur</w:t>
      </w:r>
      <w:r w:rsidRPr="00BB38B8">
        <w:rPr>
          <w:lang w:val="fr-CA"/>
        </w:rPr>
        <w:t xml:space="preserve"> n’est pas responsable s’il prouve que lui et ses préposés ont pris toutes les mesures nécessaires pour éviter le dommage ou qu’il leur était impossible de les </w:t>
      </w:r>
      <w:r w:rsidRPr="00C92F4A">
        <w:rPr>
          <w:lang w:val="fr-CA"/>
        </w:rPr>
        <w:t>prendre</w:t>
      </w:r>
      <w:r w:rsidRPr="00BB38B8">
        <w:rPr>
          <w:lang w:val="fr-CA"/>
        </w:rPr>
        <w:t>.</w:t>
      </w:r>
    </w:p>
    <w:p w:rsidR="00367456" w:rsidRPr="00BB38B8" w:rsidRDefault="00367456" w:rsidP="00BA78CD">
      <w:pPr>
        <w:tabs>
          <w:tab w:val="left" w:pos="1260"/>
          <w:tab w:val="left" w:pos="1800"/>
        </w:tabs>
        <w:spacing w:after="240"/>
        <w:ind w:left="720"/>
        <w:jc w:val="both"/>
        <w:rPr>
          <w:lang w:val="fr-CA"/>
        </w:rPr>
      </w:pPr>
      <w:r w:rsidRPr="00BB38B8">
        <w:rPr>
          <w:lang w:val="fr-CA"/>
        </w:rPr>
        <w:tab/>
        <w:t>(2)</w:t>
      </w:r>
      <w:r w:rsidRPr="00BB38B8">
        <w:rPr>
          <w:lang w:val="fr-CA"/>
        </w:rPr>
        <w:tab/>
      </w:r>
      <w:r w:rsidRPr="00BB38B8">
        <w:rPr>
          <w:i/>
          <w:lang w:val="fr-CA"/>
        </w:rPr>
        <w:t>Dans les transports de marchandises et de bagages, le transporteur n’est pas responsable, s’il prouve que le dommage provient d’une faute de pilotage, de conduite de l’aéronef ou de navigation, et que, à tous autres égards, lui et ses préposés ont pris toutes les mesures nécessaires pour éviter le dommage.</w:t>
      </w:r>
    </w:p>
    <w:p w:rsidR="00367456" w:rsidRPr="00BB38B8" w:rsidRDefault="00367456" w:rsidP="00BA78CD">
      <w:pPr>
        <w:spacing w:after="240"/>
        <w:ind w:left="720"/>
        <w:jc w:val="center"/>
        <w:rPr>
          <w:i/>
          <w:smallCaps/>
          <w:lang w:val="fr-CA"/>
        </w:rPr>
      </w:pPr>
      <w:r w:rsidRPr="009813F5">
        <w:rPr>
          <w:i/>
          <w:smallCaps/>
          <w:lang w:val="fr-CA"/>
        </w:rPr>
        <w:t>Article</w:t>
      </w:r>
      <w:r w:rsidRPr="00BB38B8">
        <w:rPr>
          <w:i/>
          <w:smallCaps/>
          <w:lang w:val="fr-CA"/>
        </w:rPr>
        <w:t xml:space="preserve"> 22</w:t>
      </w:r>
    </w:p>
    <w:p w:rsidR="00367456" w:rsidRPr="00BB38B8" w:rsidRDefault="00367456" w:rsidP="00BA78CD">
      <w:pPr>
        <w:tabs>
          <w:tab w:val="left" w:pos="1260"/>
          <w:tab w:val="left" w:pos="1800"/>
        </w:tabs>
        <w:spacing w:after="240"/>
        <w:ind w:left="720"/>
        <w:jc w:val="both"/>
        <w:rPr>
          <w:lang w:val="fr-CA"/>
        </w:rPr>
      </w:pPr>
      <w:r w:rsidRPr="00BB38B8">
        <w:rPr>
          <w:lang w:val="fr-CA"/>
        </w:rPr>
        <w:tab/>
        <w:t>(1)</w:t>
      </w:r>
      <w:r w:rsidRPr="00BB38B8">
        <w:rPr>
          <w:lang w:val="fr-CA"/>
        </w:rPr>
        <w:tab/>
      </w:r>
      <w:r w:rsidRPr="00BB38B8">
        <w:rPr>
          <w:i/>
          <w:lang w:val="fr-CA"/>
        </w:rPr>
        <w:t>Dans le transport des personnes, la responsabilité du transporteur envers chaque voyageur est limitée à la somme de cent vingt-cinq mille francs. Dans le cas où, d’après la loi du tribunal saisi, l’indemnité peut être fixée sous forme de rente, le capital de la rente ne peut dépasser cette limite. Toutefois par une convention spéciale avec le transporteur, le voyageur pourra fixer une limite de responsabilité plus élevée.</w:t>
      </w:r>
    </w:p>
    <w:p w:rsidR="00367456" w:rsidRPr="00BB38B8" w:rsidRDefault="00367456" w:rsidP="00BA78CD">
      <w:pPr>
        <w:tabs>
          <w:tab w:val="left" w:pos="1260"/>
          <w:tab w:val="left" w:pos="1800"/>
        </w:tabs>
        <w:spacing w:after="240"/>
        <w:ind w:left="720"/>
        <w:jc w:val="both"/>
        <w:rPr>
          <w:lang w:val="fr-CA"/>
        </w:rPr>
      </w:pPr>
      <w:r w:rsidRPr="00BB38B8">
        <w:rPr>
          <w:lang w:val="fr-CA"/>
        </w:rPr>
        <w:tab/>
        <w:t>(2)</w:t>
      </w:r>
      <w:r w:rsidRPr="00BB38B8">
        <w:rPr>
          <w:lang w:val="fr-CA"/>
        </w:rPr>
        <w:tab/>
      </w:r>
      <w:r w:rsidRPr="00BB38B8">
        <w:rPr>
          <w:i/>
          <w:lang w:val="fr-CA"/>
        </w:rPr>
        <w:t xml:space="preserve">Dans le transport de bagages enregistrés et de marchandises, la responsabilité du transporteur est limitée à la somme de deux cent cinquante francs par kilogramme, sauf déclaration spéciale d’intérêt à la livraison faite par l’expéditeur au moment de la remise du colis au transporteur et moyennant le paiement d’une taxe supplémentaire éventuelle. Dans ce cas, le transporteur sera tenu de payer jusqu’à concurrence de la somme déclarée, à </w:t>
      </w:r>
      <w:r w:rsidRPr="00BB38B8">
        <w:rPr>
          <w:i/>
          <w:lang w:val="fr-CA"/>
        </w:rPr>
        <w:lastRenderedPageBreak/>
        <w:t>moins qu’il ne prouve qu’elle est supérieure à l’intérêt réel de l’expéditeur à la livraison.</w:t>
      </w:r>
    </w:p>
    <w:p w:rsidR="00367456" w:rsidRPr="00BB38B8" w:rsidRDefault="00367456" w:rsidP="00BA78CD">
      <w:pPr>
        <w:tabs>
          <w:tab w:val="left" w:pos="1260"/>
          <w:tab w:val="left" w:pos="1800"/>
        </w:tabs>
        <w:spacing w:after="240"/>
        <w:ind w:left="720"/>
        <w:jc w:val="both"/>
        <w:rPr>
          <w:lang w:val="fr-CA"/>
        </w:rPr>
      </w:pPr>
      <w:r w:rsidRPr="00BB38B8">
        <w:rPr>
          <w:lang w:val="fr-CA"/>
        </w:rPr>
        <w:tab/>
        <w:t>(3)</w:t>
      </w:r>
      <w:r w:rsidRPr="00BB38B8">
        <w:rPr>
          <w:lang w:val="fr-CA"/>
        </w:rPr>
        <w:tab/>
      </w:r>
      <w:r w:rsidRPr="00BB38B8">
        <w:rPr>
          <w:i/>
          <w:lang w:val="fr-CA"/>
        </w:rPr>
        <w:t>En ce qui concerne les objets dont le voyageur conserve la garde, la responsabilité du transporteur est limitée à cinq mille francs par voyageur.</w:t>
      </w:r>
    </w:p>
    <w:p w:rsidR="00367456" w:rsidRPr="00BB38B8" w:rsidRDefault="00367456" w:rsidP="00BA78CD">
      <w:pPr>
        <w:tabs>
          <w:tab w:val="left" w:pos="1260"/>
          <w:tab w:val="left" w:pos="1800"/>
        </w:tabs>
        <w:spacing w:after="240"/>
        <w:ind w:left="720"/>
        <w:jc w:val="both"/>
        <w:rPr>
          <w:lang w:val="fr-CA"/>
        </w:rPr>
      </w:pPr>
      <w:r w:rsidRPr="00BB38B8">
        <w:rPr>
          <w:lang w:val="fr-CA"/>
        </w:rPr>
        <w:tab/>
        <w:t>(4)</w:t>
      </w:r>
      <w:r w:rsidRPr="00BB38B8">
        <w:rPr>
          <w:lang w:val="fr-CA"/>
        </w:rPr>
        <w:tab/>
      </w:r>
      <w:r w:rsidRPr="00BB38B8">
        <w:rPr>
          <w:i/>
          <w:lang w:val="fr-CA"/>
        </w:rPr>
        <w:t>Les sommes indiquées ci-dessus sont considérées comme se rapportant au franc français constitué par soixante-cinq et demi milligrammes d’or au titre de neuf cents millièmes de fin. Elles pourront être converties dans chaque monnaie nationale en chiffres ronds.</w:t>
      </w:r>
    </w:p>
    <w:p w:rsidR="00367456" w:rsidRPr="00BB38B8" w:rsidRDefault="00367456" w:rsidP="00AA709E">
      <w:pPr>
        <w:spacing w:after="240"/>
        <w:ind w:left="720"/>
        <w:jc w:val="center"/>
        <w:rPr>
          <w:i/>
          <w:smallCaps/>
          <w:lang w:val="fr-CA"/>
        </w:rPr>
      </w:pPr>
      <w:r w:rsidRPr="009813F5">
        <w:rPr>
          <w:i/>
          <w:smallCaps/>
          <w:lang w:val="fr-CA"/>
        </w:rPr>
        <w:t>Article</w:t>
      </w:r>
      <w:r w:rsidRPr="00BB38B8">
        <w:rPr>
          <w:i/>
          <w:smallCaps/>
          <w:lang w:val="fr-CA"/>
        </w:rPr>
        <w:t xml:space="preserve"> 23</w:t>
      </w:r>
    </w:p>
    <w:p w:rsidR="00367456" w:rsidRPr="00BB38B8" w:rsidRDefault="00367456" w:rsidP="00BA78CD">
      <w:pPr>
        <w:tabs>
          <w:tab w:val="left" w:pos="1260"/>
          <w:tab w:val="left" w:pos="1800"/>
        </w:tabs>
        <w:spacing w:after="240"/>
        <w:ind w:left="720"/>
        <w:jc w:val="both"/>
        <w:rPr>
          <w:lang w:val="fr-CA"/>
        </w:rPr>
      </w:pPr>
      <w:r w:rsidRPr="00BB38B8">
        <w:rPr>
          <w:lang w:val="fr-CA"/>
        </w:rPr>
        <w:tab/>
      </w:r>
      <w:r w:rsidRPr="009813F5">
        <w:rPr>
          <w:lang w:val="fr-CA"/>
        </w:rPr>
        <w:t>Toute</w:t>
      </w:r>
      <w:r w:rsidRPr="00BB38B8">
        <w:rPr>
          <w:lang w:val="fr-CA"/>
        </w:rPr>
        <w:t xml:space="preserve"> clause tendant à exonérer le transporteur de sa responsabilité ou à établir une limite inférieure à celle qui est fixée dans la présente Convention est nulle et de nul effet, mais la nullité de cette clause n’entraîne pas la nullité du contrat qui reste soumis aux dispositions de la présente Convention.</w:t>
      </w:r>
    </w:p>
    <w:p w:rsidR="00367456" w:rsidRPr="00BB38B8" w:rsidRDefault="00367456" w:rsidP="00BA78CD">
      <w:pPr>
        <w:tabs>
          <w:tab w:val="left" w:pos="1260"/>
          <w:tab w:val="left" w:pos="1800"/>
        </w:tabs>
        <w:spacing w:after="240"/>
        <w:ind w:left="720"/>
        <w:jc w:val="both"/>
        <w:rPr>
          <w:lang w:val="fr-CA"/>
        </w:rPr>
      </w:pPr>
      <w:r w:rsidRPr="00BB38B8">
        <w:rPr>
          <w:lang w:val="fr-CA"/>
        </w:rPr>
        <w:tab/>
        <w:t>[</w:t>
      </w:r>
      <w:r w:rsidRPr="009813F5">
        <w:rPr>
          <w:lang w:val="fr-CA"/>
        </w:rPr>
        <w:t>Note</w:t>
      </w:r>
      <w:r w:rsidR="006412AC">
        <w:rPr>
          <w:lang w:val="fr-CA"/>
        </w:rPr>
        <w:t> :</w:t>
      </w:r>
      <w:r w:rsidRPr="00BB38B8">
        <w:rPr>
          <w:lang w:val="fr-CA"/>
        </w:rPr>
        <w:t xml:space="preserve"> La disposition précédente est devenue l’alinéa (1) de l’article 23, auquel on a ajouté un alinéa (2), selon l’article XII du protocole reproduit à l’annexe III.]</w:t>
      </w:r>
    </w:p>
    <w:p w:rsidR="00367456" w:rsidRPr="005038AC" w:rsidRDefault="00367456" w:rsidP="00AA709E">
      <w:pPr>
        <w:spacing w:after="240"/>
        <w:ind w:left="720"/>
        <w:jc w:val="center"/>
        <w:rPr>
          <w:i/>
          <w:lang w:val="fr-CA"/>
        </w:rPr>
      </w:pPr>
      <w:r w:rsidRPr="009813F5">
        <w:rPr>
          <w:i/>
          <w:smallCaps/>
          <w:lang w:val="fr-CA"/>
        </w:rPr>
        <w:t>Article</w:t>
      </w:r>
      <w:r w:rsidRPr="00A80964">
        <w:rPr>
          <w:i/>
          <w:lang w:val="fr-CA"/>
        </w:rPr>
        <w:t xml:space="preserve"> 24</w:t>
      </w:r>
    </w:p>
    <w:p w:rsidR="00367456" w:rsidRPr="00635936" w:rsidRDefault="00367456" w:rsidP="00AA709E">
      <w:pPr>
        <w:tabs>
          <w:tab w:val="left" w:pos="1260"/>
          <w:tab w:val="left" w:pos="1800"/>
        </w:tabs>
        <w:spacing w:after="240"/>
        <w:ind w:left="720"/>
        <w:jc w:val="both"/>
        <w:rPr>
          <w:lang w:val="fr-CA"/>
        </w:rPr>
      </w:pPr>
      <w:r>
        <w:rPr>
          <w:lang w:val="fr-CA"/>
        </w:rPr>
        <w:tab/>
        <w:t>(1)</w:t>
      </w:r>
      <w:r>
        <w:rPr>
          <w:lang w:val="fr-CA"/>
        </w:rPr>
        <w:tab/>
      </w:r>
      <w:r w:rsidRPr="00635936">
        <w:rPr>
          <w:lang w:val="fr-CA"/>
        </w:rPr>
        <w:t>D</w:t>
      </w:r>
      <w:r>
        <w:rPr>
          <w:lang w:val="fr-CA"/>
        </w:rPr>
        <w:t>ans les cas prévus aux articles</w:t>
      </w:r>
      <w:r w:rsidR="006412AC">
        <w:rPr>
          <w:lang w:val="fr-CA"/>
        </w:rPr>
        <w:t xml:space="preserve"> </w:t>
      </w:r>
      <w:r w:rsidRPr="00635936">
        <w:rPr>
          <w:lang w:val="fr-CA"/>
        </w:rPr>
        <w:t>18 et 19 toute action en responsabilité, à quelque titre que ce soit, ne peut être exercée que dans les conditions et limites prévues par la présente Convention.</w:t>
      </w:r>
    </w:p>
    <w:p w:rsidR="00367456" w:rsidRPr="00A80964" w:rsidRDefault="00367456" w:rsidP="00AA709E">
      <w:pPr>
        <w:tabs>
          <w:tab w:val="left" w:pos="1260"/>
          <w:tab w:val="left" w:pos="1800"/>
        </w:tabs>
        <w:spacing w:after="240"/>
        <w:ind w:left="720"/>
        <w:jc w:val="both"/>
        <w:rPr>
          <w:lang w:val="fr-CA"/>
        </w:rPr>
      </w:pPr>
      <w:r>
        <w:rPr>
          <w:lang w:val="fr-CA"/>
        </w:rPr>
        <w:tab/>
        <w:t>(2)</w:t>
      </w:r>
      <w:r>
        <w:rPr>
          <w:lang w:val="fr-CA"/>
        </w:rPr>
        <w:tab/>
        <w:t>Dans les cas prévus à l’article</w:t>
      </w:r>
      <w:r w:rsidR="006412AC">
        <w:rPr>
          <w:lang w:val="fr-CA"/>
        </w:rPr>
        <w:t xml:space="preserve"> </w:t>
      </w:r>
      <w:r w:rsidRPr="00635936">
        <w:rPr>
          <w:lang w:val="fr-CA"/>
        </w:rPr>
        <w:t>17, s</w:t>
      </w:r>
      <w:r>
        <w:rPr>
          <w:lang w:val="fr-CA"/>
        </w:rPr>
        <w:t>’</w:t>
      </w:r>
      <w:r w:rsidRPr="00635936">
        <w:rPr>
          <w:lang w:val="fr-CA"/>
        </w:rPr>
        <w:t>appliquent également les dispositions de l</w:t>
      </w:r>
      <w:r>
        <w:rPr>
          <w:lang w:val="fr-CA"/>
        </w:rPr>
        <w:t>’</w:t>
      </w:r>
      <w:r w:rsidRPr="00635936">
        <w:rPr>
          <w:lang w:val="fr-CA"/>
        </w:rPr>
        <w:t xml:space="preserve">alinéa précédent, sans préjudice de la détermination des personnes qui ont le droit </w:t>
      </w:r>
      <w:r w:rsidRPr="00A80964">
        <w:rPr>
          <w:lang w:val="fr-CA"/>
        </w:rPr>
        <w:t>d</w:t>
      </w:r>
      <w:r>
        <w:rPr>
          <w:lang w:val="fr-CA"/>
        </w:rPr>
        <w:t>’</w:t>
      </w:r>
      <w:r w:rsidRPr="00A80964">
        <w:rPr>
          <w:lang w:val="fr-CA"/>
        </w:rPr>
        <w:t>agir et de leurs droits respectifs.</w:t>
      </w:r>
    </w:p>
    <w:p w:rsidR="00367456" w:rsidRPr="00BB38B8" w:rsidRDefault="00367456" w:rsidP="00AA709E">
      <w:pPr>
        <w:spacing w:after="240"/>
        <w:ind w:left="720"/>
        <w:jc w:val="center"/>
        <w:rPr>
          <w:i/>
          <w:smallCaps/>
          <w:lang w:val="fr-CA"/>
        </w:rPr>
      </w:pPr>
      <w:r w:rsidRPr="00BB38B8">
        <w:rPr>
          <w:i/>
          <w:smallCaps/>
          <w:lang w:val="fr-CA"/>
        </w:rPr>
        <w:t>Article 25</w:t>
      </w:r>
    </w:p>
    <w:p w:rsidR="00367456" w:rsidRPr="00BB38B8" w:rsidRDefault="00367456" w:rsidP="00AA709E">
      <w:pPr>
        <w:tabs>
          <w:tab w:val="left" w:pos="1260"/>
          <w:tab w:val="left" w:pos="1800"/>
        </w:tabs>
        <w:spacing w:after="240"/>
        <w:ind w:left="720"/>
        <w:jc w:val="both"/>
        <w:rPr>
          <w:lang w:val="fr-CA"/>
        </w:rPr>
      </w:pPr>
      <w:r w:rsidRPr="00BB38B8">
        <w:rPr>
          <w:lang w:val="fr-CA"/>
        </w:rPr>
        <w:tab/>
        <w:t>(1)</w:t>
      </w:r>
      <w:r w:rsidRPr="00BB38B8">
        <w:rPr>
          <w:lang w:val="fr-CA"/>
        </w:rPr>
        <w:tab/>
      </w:r>
      <w:r w:rsidRPr="00BB38B8">
        <w:rPr>
          <w:i/>
          <w:lang w:val="fr-CA"/>
        </w:rPr>
        <w:t>Le transporteur n’aura pas le droit de se prévaloir des dispositions de la présente Convention qui excluent ou limitent sa responsabilité, si le dommage provient de son dol ou d’une faute qui, d’après la loi du tribunal saisi, est considérée comme équivalente au dol.</w:t>
      </w:r>
    </w:p>
    <w:p w:rsidR="00367456" w:rsidRPr="00BB38B8" w:rsidRDefault="00367456" w:rsidP="00AA709E">
      <w:pPr>
        <w:tabs>
          <w:tab w:val="left" w:pos="1260"/>
          <w:tab w:val="left" w:pos="1800"/>
        </w:tabs>
        <w:spacing w:after="240"/>
        <w:ind w:left="720"/>
        <w:jc w:val="both"/>
        <w:rPr>
          <w:lang w:val="fr-CA"/>
        </w:rPr>
      </w:pPr>
      <w:r w:rsidRPr="00BB38B8">
        <w:rPr>
          <w:lang w:val="fr-CA"/>
        </w:rPr>
        <w:tab/>
        <w:t>(2)</w:t>
      </w:r>
      <w:r w:rsidRPr="00BB38B8">
        <w:rPr>
          <w:lang w:val="fr-CA"/>
        </w:rPr>
        <w:tab/>
      </w:r>
      <w:r w:rsidRPr="00BB38B8">
        <w:rPr>
          <w:i/>
          <w:lang w:val="fr-CA"/>
        </w:rPr>
        <w:t>Ce droit lui sera également refusé si le dommage a été causé dans les mêmes conditions par un de ses préposés agissant dans l’exercice de ses fonctions.</w:t>
      </w:r>
    </w:p>
    <w:p w:rsidR="00367456" w:rsidRPr="00BB38B8" w:rsidRDefault="00367456" w:rsidP="00AA709E">
      <w:pPr>
        <w:tabs>
          <w:tab w:val="left" w:pos="1260"/>
          <w:tab w:val="left" w:pos="1800"/>
        </w:tabs>
        <w:spacing w:after="720"/>
        <w:ind w:left="720"/>
        <w:jc w:val="both"/>
        <w:rPr>
          <w:lang w:val="fr-CA"/>
        </w:rPr>
      </w:pPr>
      <w:r w:rsidRPr="00BB38B8">
        <w:rPr>
          <w:lang w:val="fr-CA"/>
        </w:rPr>
        <w:tab/>
        <w:t>[Note</w:t>
      </w:r>
      <w:r w:rsidR="006412AC">
        <w:rPr>
          <w:lang w:val="fr-CA"/>
        </w:rPr>
        <w:t> :</w:t>
      </w:r>
      <w:r w:rsidRPr="00BB38B8">
        <w:rPr>
          <w:lang w:val="fr-CA"/>
        </w:rPr>
        <w:t xml:space="preserve"> Un nouvel article, l’article 25A, a été ajouté par l’article XIV du protocole reproduit à l’annexe III.]</w:t>
      </w:r>
    </w:p>
    <w:p w:rsidR="00367456" w:rsidRPr="00AA709E" w:rsidRDefault="00367456" w:rsidP="00AA709E">
      <w:pPr>
        <w:widowControl w:val="0"/>
        <w:spacing w:after="480"/>
        <w:jc w:val="both"/>
        <w:rPr>
          <w:lang w:val="fr-CA"/>
        </w:rPr>
      </w:pPr>
      <w:r w:rsidRPr="00AA709E">
        <w:rPr>
          <w:i/>
          <w:lang w:val="fr-CA"/>
        </w:rPr>
        <w:t xml:space="preserve">Convention pour l’unification de certaines règles relatives au transport aérien </w:t>
      </w:r>
      <w:r w:rsidRPr="00AA709E">
        <w:rPr>
          <w:i/>
          <w:lang w:val="fr-CA"/>
        </w:rPr>
        <w:lastRenderedPageBreak/>
        <w:t>international</w:t>
      </w:r>
      <w:r w:rsidRPr="00AA709E">
        <w:rPr>
          <w:lang w:val="fr-CA"/>
        </w:rPr>
        <w:t>, signée à Montréal, reproduite dans l’annexe</w:t>
      </w:r>
      <w:r w:rsidR="006412AC" w:rsidRPr="00AA709E">
        <w:rPr>
          <w:lang w:val="fr-CA"/>
        </w:rPr>
        <w:t xml:space="preserve"> </w:t>
      </w:r>
      <w:r w:rsidRPr="00AA709E">
        <w:rPr>
          <w:lang w:val="fr-CA"/>
        </w:rPr>
        <w:t xml:space="preserve">VI de la </w:t>
      </w:r>
      <w:r w:rsidRPr="00AA709E">
        <w:rPr>
          <w:i/>
          <w:lang w:val="fr-CA"/>
        </w:rPr>
        <w:t>Loi sur le transport aérien</w:t>
      </w:r>
      <w:r w:rsidRPr="00AA709E">
        <w:rPr>
          <w:lang w:val="fr-CA"/>
        </w:rPr>
        <w:t>, L.R.C. 1985, ch.</w:t>
      </w:r>
      <w:r w:rsidR="006412AC" w:rsidRPr="00AA709E">
        <w:rPr>
          <w:lang w:val="fr-CA"/>
        </w:rPr>
        <w:t xml:space="preserve"> </w:t>
      </w:r>
      <w:r w:rsidRPr="00AA709E">
        <w:rPr>
          <w:lang w:val="fr-CA"/>
        </w:rPr>
        <w:t>C</w:t>
      </w:r>
      <w:r w:rsidR="006412AC" w:rsidRPr="00AA709E">
        <w:rPr>
          <w:lang w:val="fr-CA"/>
        </w:rPr>
        <w:t>-</w:t>
      </w:r>
      <w:r w:rsidRPr="00AA709E">
        <w:rPr>
          <w:lang w:val="fr-CA"/>
        </w:rPr>
        <w:t>26</w:t>
      </w:r>
    </w:p>
    <w:p w:rsidR="00367456" w:rsidRPr="005038AC" w:rsidRDefault="00367456" w:rsidP="00AA709E">
      <w:pPr>
        <w:spacing w:after="240"/>
        <w:ind w:left="720"/>
        <w:jc w:val="center"/>
        <w:rPr>
          <w:i/>
          <w:lang w:val="fr-CA"/>
        </w:rPr>
      </w:pPr>
      <w:r w:rsidRPr="005038AC">
        <w:rPr>
          <w:i/>
          <w:lang w:val="fr-CA"/>
        </w:rPr>
        <w:t>A</w:t>
      </w:r>
      <w:r w:rsidRPr="005038AC">
        <w:rPr>
          <w:i/>
          <w:smallCaps/>
          <w:lang w:val="fr-CA"/>
        </w:rPr>
        <w:t>rticle</w:t>
      </w:r>
      <w:r w:rsidRPr="005038AC">
        <w:rPr>
          <w:i/>
          <w:lang w:val="fr-CA"/>
        </w:rPr>
        <w:t xml:space="preserve"> 17</w:t>
      </w:r>
      <w:r>
        <w:rPr>
          <w:i/>
          <w:lang w:val="fr-CA"/>
        </w:rPr>
        <w:t xml:space="preserve"> </w:t>
      </w:r>
      <w:r w:rsidRPr="005038AC">
        <w:rPr>
          <w:i/>
          <w:smallCaps/>
          <w:lang w:val="fr-CA"/>
        </w:rPr>
        <w:t>— Mort ou lésion subie par le passager — Dommage causé aux bagages</w:t>
      </w:r>
    </w:p>
    <w:p w:rsidR="00367456" w:rsidRPr="00635936" w:rsidRDefault="00367456" w:rsidP="00AA709E">
      <w:pPr>
        <w:tabs>
          <w:tab w:val="left" w:pos="1260"/>
          <w:tab w:val="left" w:pos="1800"/>
        </w:tabs>
        <w:spacing w:after="240"/>
        <w:ind w:left="720"/>
        <w:jc w:val="both"/>
        <w:rPr>
          <w:lang w:val="fr-CA"/>
        </w:rPr>
      </w:pPr>
      <w:r>
        <w:rPr>
          <w:lang w:val="fr-CA"/>
        </w:rPr>
        <w:tab/>
      </w:r>
      <w:r w:rsidRPr="00635936">
        <w:rPr>
          <w:lang w:val="fr-CA"/>
        </w:rPr>
        <w:t>1</w:t>
      </w:r>
      <w:r>
        <w:rPr>
          <w:lang w:val="fr-CA"/>
        </w:rPr>
        <w:t>.</w:t>
      </w:r>
      <w:r>
        <w:rPr>
          <w:lang w:val="fr-CA"/>
        </w:rPr>
        <w:tab/>
      </w:r>
      <w:r w:rsidRPr="00635936">
        <w:rPr>
          <w:lang w:val="fr-CA"/>
        </w:rPr>
        <w:t>Le transporteur est responsable du préjudice survenu en cas de mort ou de lésion corporelle subie par un passager, par cela seul que l</w:t>
      </w:r>
      <w:r>
        <w:rPr>
          <w:lang w:val="fr-CA"/>
        </w:rPr>
        <w:t>’</w:t>
      </w:r>
      <w:r w:rsidRPr="00635936">
        <w:rPr>
          <w:lang w:val="fr-CA"/>
        </w:rPr>
        <w:t>accident qui a causé la mort ou la lésion s</w:t>
      </w:r>
      <w:r>
        <w:rPr>
          <w:lang w:val="fr-CA"/>
        </w:rPr>
        <w:t>’</w:t>
      </w:r>
      <w:r w:rsidRPr="00635936">
        <w:rPr>
          <w:lang w:val="fr-CA"/>
        </w:rPr>
        <w:t>est produit à bord de l</w:t>
      </w:r>
      <w:r>
        <w:rPr>
          <w:lang w:val="fr-CA"/>
        </w:rPr>
        <w:t>’</w:t>
      </w:r>
      <w:r w:rsidRPr="00635936">
        <w:rPr>
          <w:lang w:val="fr-CA"/>
        </w:rPr>
        <w:t>aéronef ou au cours de toutes opérations d</w:t>
      </w:r>
      <w:r>
        <w:rPr>
          <w:lang w:val="fr-CA"/>
        </w:rPr>
        <w:t>’</w:t>
      </w:r>
      <w:r w:rsidRPr="00635936">
        <w:rPr>
          <w:lang w:val="fr-CA"/>
        </w:rPr>
        <w:t>embarquement ou de débarquement.</w:t>
      </w:r>
    </w:p>
    <w:p w:rsidR="00367456" w:rsidRPr="00635936" w:rsidRDefault="00367456" w:rsidP="00AA709E">
      <w:pPr>
        <w:tabs>
          <w:tab w:val="left" w:pos="1260"/>
          <w:tab w:val="left" w:pos="1800"/>
        </w:tabs>
        <w:spacing w:after="240"/>
        <w:ind w:left="720"/>
        <w:jc w:val="both"/>
        <w:rPr>
          <w:lang w:val="fr-CA"/>
        </w:rPr>
      </w:pPr>
      <w:r>
        <w:rPr>
          <w:lang w:val="fr-CA"/>
        </w:rPr>
        <w:tab/>
        <w:t>2.</w:t>
      </w:r>
      <w:r>
        <w:rPr>
          <w:lang w:val="fr-CA"/>
        </w:rPr>
        <w:tab/>
      </w:r>
      <w:r w:rsidRPr="00635936">
        <w:rPr>
          <w:lang w:val="fr-CA"/>
        </w:rPr>
        <w:t>Le transporteur est responsable du dommage survenu en cas de destruction, perte ou avarie de bagages enregistrés, par cela seul que le fait qui a causé la destruction, la perte ou l</w:t>
      </w:r>
      <w:r>
        <w:rPr>
          <w:lang w:val="fr-CA"/>
        </w:rPr>
        <w:t>’</w:t>
      </w:r>
      <w:r w:rsidRPr="00635936">
        <w:rPr>
          <w:lang w:val="fr-CA"/>
        </w:rPr>
        <w:t>avarie s</w:t>
      </w:r>
      <w:r>
        <w:rPr>
          <w:lang w:val="fr-CA"/>
        </w:rPr>
        <w:t>’</w:t>
      </w:r>
      <w:r w:rsidRPr="00635936">
        <w:rPr>
          <w:lang w:val="fr-CA"/>
        </w:rPr>
        <w:t>est produit à bord de l</w:t>
      </w:r>
      <w:r>
        <w:rPr>
          <w:lang w:val="fr-CA"/>
        </w:rPr>
        <w:t>’</w:t>
      </w:r>
      <w:r w:rsidRPr="00635936">
        <w:rPr>
          <w:lang w:val="fr-CA"/>
        </w:rPr>
        <w:t>aéronef ou au cours de toute période durant laquelle le transporteur avait la garde des bagages enregistrés.</w:t>
      </w:r>
      <w:r>
        <w:rPr>
          <w:lang w:val="fr-CA"/>
        </w:rPr>
        <w:t xml:space="preserve"> </w:t>
      </w:r>
      <w:r w:rsidRPr="00635936">
        <w:rPr>
          <w:lang w:val="fr-CA"/>
        </w:rPr>
        <w:t xml:space="preserve"> Toutefois, le transporteur n</w:t>
      </w:r>
      <w:r>
        <w:rPr>
          <w:lang w:val="fr-CA"/>
        </w:rPr>
        <w:t>’</w:t>
      </w:r>
      <w:r w:rsidRPr="00635936">
        <w:rPr>
          <w:lang w:val="fr-CA"/>
        </w:rPr>
        <w:t xml:space="preserve">est pas responsable si et dans la mesure où le dommage résulte de la nature ou du vice propre des bagages. </w:t>
      </w:r>
      <w:r>
        <w:rPr>
          <w:lang w:val="fr-CA"/>
        </w:rPr>
        <w:t xml:space="preserve"> </w:t>
      </w:r>
      <w:r w:rsidRPr="00635936">
        <w:rPr>
          <w:lang w:val="fr-CA"/>
        </w:rPr>
        <w:t>Dans le cas des bagages non enregistrés, notamment des effets personnels, le transporteur est responsable si le dommage résulte de sa faute ou de celle de ses préposés ou mandataires.</w:t>
      </w:r>
    </w:p>
    <w:p w:rsidR="00367456" w:rsidRPr="00635936" w:rsidRDefault="00367456" w:rsidP="00AA709E">
      <w:pPr>
        <w:tabs>
          <w:tab w:val="left" w:pos="1260"/>
          <w:tab w:val="left" w:pos="1800"/>
        </w:tabs>
        <w:spacing w:after="240"/>
        <w:ind w:left="720"/>
        <w:jc w:val="both"/>
        <w:rPr>
          <w:lang w:val="fr-CA"/>
        </w:rPr>
      </w:pPr>
      <w:r>
        <w:rPr>
          <w:lang w:val="fr-CA"/>
        </w:rPr>
        <w:tab/>
      </w:r>
      <w:r w:rsidRPr="00635936">
        <w:rPr>
          <w:lang w:val="fr-CA"/>
        </w:rPr>
        <w:t>3</w:t>
      </w:r>
      <w:r>
        <w:rPr>
          <w:lang w:val="fr-CA"/>
        </w:rPr>
        <w:t>.</w:t>
      </w:r>
      <w:r>
        <w:rPr>
          <w:lang w:val="fr-CA"/>
        </w:rPr>
        <w:tab/>
      </w:r>
      <w:r w:rsidR="003734C3">
        <w:rPr>
          <w:lang w:val="fr-CA"/>
        </w:rPr>
        <w:t>L</w:t>
      </w:r>
      <w:r w:rsidRPr="00635936">
        <w:rPr>
          <w:lang w:val="fr-CA"/>
        </w:rPr>
        <w:t>e transporteur admet la perte des bagages enregistrés ou si les bagages enregistrés ne sont pas arrivés à destination dans les vingt et un jours qui suivent la date à laquelle ils auraient dû arriver, le passager est autorisé à faire valoir contre le transporteur les droits qui découlent du contrat de transport.</w:t>
      </w:r>
    </w:p>
    <w:p w:rsidR="00367456" w:rsidRDefault="00367456" w:rsidP="00AA709E">
      <w:pPr>
        <w:tabs>
          <w:tab w:val="left" w:pos="1260"/>
          <w:tab w:val="left" w:pos="1800"/>
        </w:tabs>
        <w:spacing w:after="240"/>
        <w:ind w:left="720"/>
        <w:jc w:val="both"/>
        <w:rPr>
          <w:lang w:val="fr-CA"/>
        </w:rPr>
      </w:pPr>
      <w:r>
        <w:rPr>
          <w:lang w:val="fr-CA"/>
        </w:rPr>
        <w:tab/>
        <w:t>4.</w:t>
      </w:r>
      <w:r>
        <w:rPr>
          <w:lang w:val="fr-CA"/>
        </w:rPr>
        <w:tab/>
      </w:r>
      <w:r w:rsidRPr="00635936">
        <w:rPr>
          <w:lang w:val="fr-CA"/>
        </w:rPr>
        <w:t xml:space="preserve">Sous réserve de dispositions contraires, dans la présente convention le terme </w:t>
      </w:r>
      <w:r w:rsidR="006412AC">
        <w:rPr>
          <w:lang w:val="fr-CA"/>
        </w:rPr>
        <w:t>« </w:t>
      </w:r>
      <w:r w:rsidRPr="00635936">
        <w:rPr>
          <w:lang w:val="fr-CA"/>
        </w:rPr>
        <w:t>bagages</w:t>
      </w:r>
      <w:r w:rsidR="006412AC">
        <w:rPr>
          <w:lang w:val="fr-CA"/>
        </w:rPr>
        <w:t> »</w:t>
      </w:r>
      <w:r w:rsidRPr="00635936">
        <w:rPr>
          <w:lang w:val="fr-CA"/>
        </w:rPr>
        <w:t xml:space="preserve"> désigne les bagages enregistrés aussi bien que les bagages non enregistrés.</w:t>
      </w:r>
    </w:p>
    <w:p w:rsidR="00367456" w:rsidRPr="005038AC" w:rsidRDefault="00367456" w:rsidP="00AA709E">
      <w:pPr>
        <w:spacing w:after="240"/>
        <w:ind w:left="720"/>
        <w:jc w:val="center"/>
        <w:rPr>
          <w:i/>
          <w:smallCaps/>
          <w:lang w:val="fr-CA"/>
        </w:rPr>
      </w:pPr>
      <w:r w:rsidRPr="005038AC">
        <w:rPr>
          <w:i/>
          <w:smallCaps/>
          <w:lang w:val="fr-CA"/>
        </w:rPr>
        <w:t>Article</w:t>
      </w:r>
      <w:r w:rsidRPr="005038AC">
        <w:rPr>
          <w:i/>
          <w:lang w:val="fr-CA"/>
        </w:rPr>
        <w:t xml:space="preserve"> 18</w:t>
      </w:r>
      <w:r>
        <w:rPr>
          <w:i/>
          <w:smallCaps/>
          <w:lang w:val="fr-CA"/>
        </w:rPr>
        <w:t xml:space="preserve"> </w:t>
      </w:r>
      <w:r w:rsidRPr="005038AC">
        <w:rPr>
          <w:i/>
          <w:smallCaps/>
          <w:lang w:val="fr-CA"/>
        </w:rPr>
        <w:t>— Dommage causé à la marchandise</w:t>
      </w:r>
    </w:p>
    <w:p w:rsidR="00367456" w:rsidRPr="00635936" w:rsidRDefault="00367456" w:rsidP="00AA709E">
      <w:pPr>
        <w:tabs>
          <w:tab w:val="left" w:pos="1260"/>
          <w:tab w:val="left" w:pos="1800"/>
        </w:tabs>
        <w:spacing w:after="240"/>
        <w:ind w:left="720"/>
        <w:jc w:val="both"/>
        <w:rPr>
          <w:lang w:val="fr-CA"/>
        </w:rPr>
      </w:pPr>
      <w:r>
        <w:rPr>
          <w:lang w:val="fr-CA"/>
        </w:rPr>
        <w:tab/>
        <w:t>1.</w:t>
      </w:r>
      <w:r>
        <w:rPr>
          <w:lang w:val="fr-CA"/>
        </w:rPr>
        <w:tab/>
      </w:r>
      <w:r w:rsidRPr="00635936">
        <w:rPr>
          <w:lang w:val="fr-CA"/>
        </w:rPr>
        <w:t>Le transporteur est responsable du dommage survenu en cas de destruction, perte ou avarie de la marchandise par cela seul que le fait qui a causé le dommage s</w:t>
      </w:r>
      <w:r>
        <w:rPr>
          <w:lang w:val="fr-CA"/>
        </w:rPr>
        <w:t>’</w:t>
      </w:r>
      <w:r w:rsidRPr="00635936">
        <w:rPr>
          <w:lang w:val="fr-CA"/>
        </w:rPr>
        <w:t>est produit pendant le transport aérien.</w:t>
      </w:r>
    </w:p>
    <w:p w:rsidR="00367456" w:rsidRPr="00635936" w:rsidRDefault="00367456" w:rsidP="00AA709E">
      <w:pPr>
        <w:tabs>
          <w:tab w:val="left" w:pos="1260"/>
          <w:tab w:val="left" w:pos="1800"/>
        </w:tabs>
        <w:spacing w:after="240"/>
        <w:ind w:left="720"/>
        <w:jc w:val="both"/>
        <w:rPr>
          <w:lang w:val="fr-CA"/>
        </w:rPr>
      </w:pPr>
      <w:r>
        <w:rPr>
          <w:lang w:val="fr-CA"/>
        </w:rPr>
        <w:tab/>
      </w:r>
      <w:r w:rsidRPr="00635936">
        <w:rPr>
          <w:lang w:val="fr-CA"/>
        </w:rPr>
        <w:t>2</w:t>
      </w:r>
      <w:r>
        <w:rPr>
          <w:lang w:val="fr-CA"/>
        </w:rPr>
        <w:t>.</w:t>
      </w:r>
      <w:r>
        <w:rPr>
          <w:lang w:val="fr-CA"/>
        </w:rPr>
        <w:tab/>
      </w:r>
      <w:r w:rsidRPr="00635936">
        <w:rPr>
          <w:lang w:val="fr-CA"/>
        </w:rPr>
        <w:t>Toutefois, le transporteur n</w:t>
      </w:r>
      <w:r>
        <w:rPr>
          <w:lang w:val="fr-CA"/>
        </w:rPr>
        <w:t>’</w:t>
      </w:r>
      <w:r w:rsidRPr="00635936">
        <w:rPr>
          <w:lang w:val="fr-CA"/>
        </w:rPr>
        <w:t>est pas responsable s</w:t>
      </w:r>
      <w:r>
        <w:rPr>
          <w:lang w:val="fr-CA"/>
        </w:rPr>
        <w:t>’</w:t>
      </w:r>
      <w:r w:rsidRPr="00635936">
        <w:rPr>
          <w:lang w:val="fr-CA"/>
        </w:rPr>
        <w:t>il établit, et dans la mesure où il établit, que la destruction, la perte ou l</w:t>
      </w:r>
      <w:r>
        <w:rPr>
          <w:lang w:val="fr-CA"/>
        </w:rPr>
        <w:t>’</w:t>
      </w:r>
      <w:r w:rsidRPr="00635936">
        <w:rPr>
          <w:lang w:val="fr-CA"/>
        </w:rPr>
        <w:t>avarie de la marchandise résulte de l</w:t>
      </w:r>
      <w:r>
        <w:rPr>
          <w:lang w:val="fr-CA"/>
        </w:rPr>
        <w:t>’</w:t>
      </w:r>
      <w:r w:rsidRPr="00635936">
        <w:rPr>
          <w:lang w:val="fr-CA"/>
        </w:rPr>
        <w:t>un ou de plusieurs des faits suivants</w:t>
      </w:r>
      <w:r w:rsidR="006412AC">
        <w:rPr>
          <w:lang w:val="fr-CA"/>
        </w:rPr>
        <w:t> :</w:t>
      </w:r>
    </w:p>
    <w:p w:rsidR="00367456" w:rsidRPr="00635936" w:rsidRDefault="00367456" w:rsidP="00AA709E">
      <w:pPr>
        <w:tabs>
          <w:tab w:val="left" w:pos="1800"/>
        </w:tabs>
        <w:spacing w:after="240"/>
        <w:ind w:left="1267"/>
        <w:jc w:val="both"/>
        <w:rPr>
          <w:lang w:val="fr-CA"/>
        </w:rPr>
      </w:pPr>
      <w:r w:rsidRPr="0067469F">
        <w:rPr>
          <w:i/>
          <w:lang w:val="fr-CA"/>
        </w:rPr>
        <w:t>a</w:t>
      </w:r>
      <w:r>
        <w:rPr>
          <w:lang w:val="fr-CA"/>
        </w:rPr>
        <w:t>)</w:t>
      </w:r>
      <w:r>
        <w:rPr>
          <w:lang w:val="fr-CA"/>
        </w:rPr>
        <w:tab/>
      </w:r>
      <w:r w:rsidRPr="00635936">
        <w:rPr>
          <w:lang w:val="fr-CA"/>
        </w:rPr>
        <w:t>la nature ou le vice propre de la marchandise;</w:t>
      </w:r>
    </w:p>
    <w:p w:rsidR="00367456" w:rsidRPr="00635936" w:rsidRDefault="00367456" w:rsidP="00AA709E">
      <w:pPr>
        <w:tabs>
          <w:tab w:val="left" w:pos="1800"/>
        </w:tabs>
        <w:spacing w:after="240"/>
        <w:ind w:left="1267"/>
        <w:jc w:val="both"/>
        <w:rPr>
          <w:lang w:val="fr-CA"/>
        </w:rPr>
      </w:pPr>
      <w:r w:rsidRPr="0067469F">
        <w:rPr>
          <w:i/>
          <w:lang w:val="fr-CA"/>
        </w:rPr>
        <w:t>b</w:t>
      </w:r>
      <w:r>
        <w:rPr>
          <w:lang w:val="fr-CA"/>
        </w:rPr>
        <w:t>)</w:t>
      </w:r>
      <w:r>
        <w:rPr>
          <w:lang w:val="fr-CA"/>
        </w:rPr>
        <w:tab/>
      </w:r>
      <w:r w:rsidRPr="00635936">
        <w:rPr>
          <w:lang w:val="fr-CA"/>
        </w:rPr>
        <w:t>l</w:t>
      </w:r>
      <w:r>
        <w:rPr>
          <w:lang w:val="fr-CA"/>
        </w:rPr>
        <w:t>’</w:t>
      </w:r>
      <w:r w:rsidRPr="00635936">
        <w:rPr>
          <w:lang w:val="fr-CA"/>
        </w:rPr>
        <w:t>emballage défectueux de la marchandise par une personne autre que le transporteur ou ses préposés ou mandataires;</w:t>
      </w:r>
    </w:p>
    <w:p w:rsidR="00367456" w:rsidRPr="00635936" w:rsidRDefault="00367456" w:rsidP="00AA709E">
      <w:pPr>
        <w:tabs>
          <w:tab w:val="left" w:pos="1800"/>
        </w:tabs>
        <w:spacing w:after="240"/>
        <w:ind w:left="1267"/>
        <w:jc w:val="both"/>
        <w:rPr>
          <w:lang w:val="fr-CA"/>
        </w:rPr>
      </w:pPr>
      <w:r w:rsidRPr="0067469F">
        <w:rPr>
          <w:i/>
          <w:lang w:val="fr-CA"/>
        </w:rPr>
        <w:t>c</w:t>
      </w:r>
      <w:r w:rsidRPr="00635936">
        <w:rPr>
          <w:lang w:val="fr-CA"/>
        </w:rPr>
        <w:t>)</w:t>
      </w:r>
      <w:r>
        <w:rPr>
          <w:lang w:val="fr-CA"/>
        </w:rPr>
        <w:tab/>
      </w:r>
      <w:r w:rsidRPr="00635936">
        <w:rPr>
          <w:lang w:val="fr-CA"/>
        </w:rPr>
        <w:t xml:space="preserve">un fait de </w:t>
      </w:r>
      <w:r w:rsidRPr="009813F5">
        <w:rPr>
          <w:lang w:val="fr-CA"/>
        </w:rPr>
        <w:t>guerre</w:t>
      </w:r>
      <w:r w:rsidRPr="00635936">
        <w:rPr>
          <w:lang w:val="fr-CA"/>
        </w:rPr>
        <w:t xml:space="preserve"> ou un conflit armé;</w:t>
      </w:r>
    </w:p>
    <w:p w:rsidR="00367456" w:rsidRPr="00635936" w:rsidRDefault="00367456" w:rsidP="00AA709E">
      <w:pPr>
        <w:tabs>
          <w:tab w:val="left" w:pos="1800"/>
        </w:tabs>
        <w:spacing w:after="240"/>
        <w:ind w:left="1267"/>
        <w:jc w:val="both"/>
        <w:rPr>
          <w:lang w:val="fr-CA"/>
        </w:rPr>
      </w:pPr>
      <w:r w:rsidRPr="0067469F">
        <w:rPr>
          <w:i/>
          <w:lang w:val="fr-CA"/>
        </w:rPr>
        <w:lastRenderedPageBreak/>
        <w:t>d</w:t>
      </w:r>
      <w:r>
        <w:rPr>
          <w:lang w:val="fr-CA"/>
        </w:rPr>
        <w:t>)</w:t>
      </w:r>
      <w:r>
        <w:rPr>
          <w:lang w:val="fr-CA"/>
        </w:rPr>
        <w:tab/>
      </w:r>
      <w:r w:rsidRPr="00635936">
        <w:rPr>
          <w:lang w:val="fr-CA"/>
        </w:rPr>
        <w:t>un acte de l</w:t>
      </w:r>
      <w:r>
        <w:rPr>
          <w:lang w:val="fr-CA"/>
        </w:rPr>
        <w:t>’</w:t>
      </w:r>
      <w:r w:rsidRPr="00635936">
        <w:rPr>
          <w:lang w:val="fr-CA"/>
        </w:rPr>
        <w:t>autorité publique accompli en relation avec l</w:t>
      </w:r>
      <w:r>
        <w:rPr>
          <w:lang w:val="fr-CA"/>
        </w:rPr>
        <w:t>’</w:t>
      </w:r>
      <w:r w:rsidRPr="00635936">
        <w:rPr>
          <w:lang w:val="fr-CA"/>
        </w:rPr>
        <w:t>entrée, la sortie ou le transit de la marchandise.</w:t>
      </w:r>
    </w:p>
    <w:p w:rsidR="00367456" w:rsidRPr="00635936" w:rsidRDefault="00367456" w:rsidP="00AA709E">
      <w:pPr>
        <w:tabs>
          <w:tab w:val="left" w:pos="1260"/>
          <w:tab w:val="left" w:pos="1800"/>
        </w:tabs>
        <w:spacing w:after="240"/>
        <w:ind w:left="720"/>
        <w:jc w:val="both"/>
        <w:rPr>
          <w:lang w:val="fr-CA"/>
        </w:rPr>
      </w:pPr>
      <w:r>
        <w:rPr>
          <w:lang w:val="fr-CA"/>
        </w:rPr>
        <w:tab/>
        <w:t>3.</w:t>
      </w:r>
      <w:r>
        <w:rPr>
          <w:lang w:val="fr-CA"/>
        </w:rPr>
        <w:tab/>
      </w:r>
      <w:r w:rsidRPr="00635936">
        <w:rPr>
          <w:lang w:val="fr-CA"/>
        </w:rPr>
        <w:t>Le transport aérien, au sens du paragraphe 1 du présent article, comprend la période pendant laquelle la marchandise se trouve sous la garde du transporteur.</w:t>
      </w:r>
    </w:p>
    <w:p w:rsidR="00367456" w:rsidRDefault="00367456" w:rsidP="00AA709E">
      <w:pPr>
        <w:tabs>
          <w:tab w:val="left" w:pos="1260"/>
          <w:tab w:val="left" w:pos="1800"/>
        </w:tabs>
        <w:spacing w:after="240"/>
        <w:ind w:left="720"/>
        <w:jc w:val="both"/>
        <w:rPr>
          <w:lang w:val="fr-CA"/>
        </w:rPr>
      </w:pPr>
      <w:r>
        <w:rPr>
          <w:lang w:val="fr-CA"/>
        </w:rPr>
        <w:tab/>
        <w:t>4.</w:t>
      </w:r>
      <w:r>
        <w:rPr>
          <w:lang w:val="fr-CA"/>
        </w:rPr>
        <w:tab/>
      </w:r>
      <w:r w:rsidRPr="00635936">
        <w:rPr>
          <w:lang w:val="fr-CA"/>
        </w:rPr>
        <w:t>La période du transport aérien ne couvre aucun transport terrestre, maritime ou par voie d</w:t>
      </w:r>
      <w:r>
        <w:rPr>
          <w:lang w:val="fr-CA"/>
        </w:rPr>
        <w:t>’</w:t>
      </w:r>
      <w:r w:rsidRPr="00635936">
        <w:rPr>
          <w:lang w:val="fr-CA"/>
        </w:rPr>
        <w:t>eau intérieure effectué en dehors d</w:t>
      </w:r>
      <w:r>
        <w:rPr>
          <w:lang w:val="fr-CA"/>
        </w:rPr>
        <w:t>’</w:t>
      </w:r>
      <w:r w:rsidRPr="00635936">
        <w:rPr>
          <w:lang w:val="fr-CA"/>
        </w:rPr>
        <w:t>un aéroport. Toutefois, lorsqu</w:t>
      </w:r>
      <w:r>
        <w:rPr>
          <w:lang w:val="fr-CA"/>
        </w:rPr>
        <w:t>’</w:t>
      </w:r>
      <w:r w:rsidRPr="00635936">
        <w:rPr>
          <w:lang w:val="fr-CA"/>
        </w:rPr>
        <w:t>un tel transport est effectué dans l</w:t>
      </w:r>
      <w:r>
        <w:rPr>
          <w:lang w:val="fr-CA"/>
        </w:rPr>
        <w:t>’</w:t>
      </w:r>
      <w:r w:rsidRPr="00635936">
        <w:rPr>
          <w:lang w:val="fr-CA"/>
        </w:rPr>
        <w:t>exécution du contrat de transport aérien en vue du chargement, de la livraison ou du transbordement, tout dommage est présumé, sauf preuve du contraire, résulter d</w:t>
      </w:r>
      <w:r>
        <w:rPr>
          <w:lang w:val="fr-CA"/>
        </w:rPr>
        <w:t>’</w:t>
      </w:r>
      <w:r w:rsidRPr="00635936">
        <w:rPr>
          <w:lang w:val="fr-CA"/>
        </w:rPr>
        <w:t>un fait survenu pendant le transport aérien. Si, sans le consentement de l</w:t>
      </w:r>
      <w:r>
        <w:rPr>
          <w:lang w:val="fr-CA"/>
        </w:rPr>
        <w:t>’</w:t>
      </w:r>
      <w:r w:rsidRPr="00635936">
        <w:rPr>
          <w:lang w:val="fr-CA"/>
        </w:rPr>
        <w:t>expéditeur, le transporteur remplace en totalité ou en partie le transport convenu dans l</w:t>
      </w:r>
      <w:r>
        <w:rPr>
          <w:lang w:val="fr-CA"/>
        </w:rPr>
        <w:t>’</w:t>
      </w:r>
      <w:r w:rsidRPr="00635936">
        <w:rPr>
          <w:lang w:val="fr-CA"/>
        </w:rPr>
        <w:t>entente conclue entre les parties comme étant le transport par voie aérienne, par un autre mode de transport, ce transport par un autre mode sera considéré comme faisant partie de la période du transport aérien.</w:t>
      </w:r>
    </w:p>
    <w:p w:rsidR="00367456" w:rsidRPr="005038AC" w:rsidRDefault="00367456" w:rsidP="00AA709E">
      <w:pPr>
        <w:spacing w:after="240"/>
        <w:ind w:left="720"/>
        <w:jc w:val="center"/>
        <w:rPr>
          <w:i/>
          <w:smallCaps/>
          <w:lang w:val="fr-CA"/>
        </w:rPr>
      </w:pPr>
      <w:r w:rsidRPr="00AA709E">
        <w:rPr>
          <w:i/>
          <w:smallCaps/>
          <w:lang w:val="fr-CA"/>
        </w:rPr>
        <w:t>Article</w:t>
      </w:r>
      <w:r w:rsidRPr="005038AC">
        <w:rPr>
          <w:i/>
          <w:lang w:val="fr-CA"/>
        </w:rPr>
        <w:t xml:space="preserve"> 19</w:t>
      </w:r>
      <w:r>
        <w:rPr>
          <w:i/>
          <w:smallCaps/>
          <w:lang w:val="fr-CA"/>
        </w:rPr>
        <w:t xml:space="preserve"> </w:t>
      </w:r>
      <w:r w:rsidRPr="005038AC">
        <w:rPr>
          <w:i/>
          <w:smallCaps/>
          <w:lang w:val="fr-CA"/>
        </w:rPr>
        <w:t>— Retard</w:t>
      </w:r>
    </w:p>
    <w:p w:rsidR="00367456" w:rsidRDefault="00367456" w:rsidP="00AA709E">
      <w:pPr>
        <w:tabs>
          <w:tab w:val="left" w:pos="1260"/>
          <w:tab w:val="left" w:pos="1800"/>
        </w:tabs>
        <w:spacing w:after="240"/>
        <w:ind w:left="720"/>
        <w:jc w:val="both"/>
        <w:rPr>
          <w:lang w:val="fr-CA"/>
        </w:rPr>
      </w:pPr>
      <w:r>
        <w:rPr>
          <w:lang w:val="fr-CA"/>
        </w:rPr>
        <w:tab/>
      </w:r>
      <w:r w:rsidRPr="00635936">
        <w:rPr>
          <w:lang w:val="fr-CA"/>
        </w:rPr>
        <w:t>Le transporteur est responsable du dommage résultant d</w:t>
      </w:r>
      <w:r>
        <w:rPr>
          <w:lang w:val="fr-CA"/>
        </w:rPr>
        <w:t>’</w:t>
      </w:r>
      <w:r w:rsidRPr="00635936">
        <w:rPr>
          <w:lang w:val="fr-CA"/>
        </w:rPr>
        <w:t>un retard dans le transport aérien de passagers, de bagages ou de marchandises. Cependant, le transporteur n</w:t>
      </w:r>
      <w:r>
        <w:rPr>
          <w:lang w:val="fr-CA"/>
        </w:rPr>
        <w:t>’</w:t>
      </w:r>
      <w:r w:rsidRPr="00635936">
        <w:rPr>
          <w:lang w:val="fr-CA"/>
        </w:rPr>
        <w:t>est pas responsable du dommage causé par un retard s</w:t>
      </w:r>
      <w:r>
        <w:rPr>
          <w:lang w:val="fr-CA"/>
        </w:rPr>
        <w:t>’</w:t>
      </w:r>
      <w:r w:rsidRPr="00635936">
        <w:rPr>
          <w:lang w:val="fr-CA"/>
        </w:rPr>
        <w:t>il prouve que lui, ses préposés et mandataires ont pris toutes les mesures qui pouvaient raisonnablement s</w:t>
      </w:r>
      <w:r>
        <w:rPr>
          <w:lang w:val="fr-CA"/>
        </w:rPr>
        <w:t>’</w:t>
      </w:r>
      <w:r w:rsidRPr="00635936">
        <w:rPr>
          <w:lang w:val="fr-CA"/>
        </w:rPr>
        <w:t>imposer pour éviter le dommage, ou qu</w:t>
      </w:r>
      <w:r>
        <w:rPr>
          <w:lang w:val="fr-CA"/>
        </w:rPr>
        <w:t>’</w:t>
      </w:r>
      <w:r w:rsidRPr="00635936">
        <w:rPr>
          <w:lang w:val="fr-CA"/>
        </w:rPr>
        <w:t>il leur était impossible de les prendre.</w:t>
      </w:r>
    </w:p>
    <w:p w:rsidR="00367456" w:rsidRPr="00A80964" w:rsidRDefault="00367456" w:rsidP="00AA709E">
      <w:pPr>
        <w:spacing w:after="240"/>
        <w:ind w:left="720"/>
        <w:jc w:val="center"/>
        <w:rPr>
          <w:i/>
          <w:smallCaps/>
          <w:lang w:val="fr-CA"/>
        </w:rPr>
      </w:pPr>
      <w:r w:rsidRPr="005038AC">
        <w:rPr>
          <w:i/>
          <w:lang w:val="fr-CA"/>
        </w:rPr>
        <w:t>A</w:t>
      </w:r>
      <w:r w:rsidRPr="005038AC">
        <w:rPr>
          <w:i/>
          <w:smallCaps/>
          <w:lang w:val="fr-CA"/>
        </w:rPr>
        <w:t>rticle</w:t>
      </w:r>
      <w:r w:rsidRPr="005038AC">
        <w:rPr>
          <w:i/>
          <w:lang w:val="fr-CA"/>
        </w:rPr>
        <w:t xml:space="preserve"> 21</w:t>
      </w:r>
      <w:r>
        <w:rPr>
          <w:i/>
          <w:smallCaps/>
          <w:lang w:val="fr-CA"/>
        </w:rPr>
        <w:t xml:space="preserve"> </w:t>
      </w:r>
      <w:r w:rsidRPr="00A80964">
        <w:rPr>
          <w:i/>
          <w:smallCaps/>
          <w:lang w:val="fr-CA"/>
        </w:rPr>
        <w:t>— Indemnisation en cas de mort ou de lésion subie par le passager</w:t>
      </w:r>
    </w:p>
    <w:p w:rsidR="00367456" w:rsidRPr="00635936" w:rsidRDefault="00367456" w:rsidP="00AA709E">
      <w:pPr>
        <w:tabs>
          <w:tab w:val="left" w:pos="1260"/>
          <w:tab w:val="left" w:pos="1800"/>
        </w:tabs>
        <w:spacing w:after="240"/>
        <w:ind w:left="720"/>
        <w:jc w:val="both"/>
        <w:rPr>
          <w:lang w:val="fr-CA"/>
        </w:rPr>
      </w:pPr>
      <w:r>
        <w:rPr>
          <w:lang w:val="fr-CA"/>
        </w:rPr>
        <w:tab/>
        <w:t>1.</w:t>
      </w:r>
      <w:r>
        <w:rPr>
          <w:lang w:val="fr-CA"/>
        </w:rPr>
        <w:tab/>
      </w:r>
      <w:r w:rsidRPr="00635936">
        <w:rPr>
          <w:lang w:val="fr-CA"/>
        </w:rPr>
        <w:t>Pour les dommages visés au paragraphe 1 de l</w:t>
      </w:r>
      <w:r>
        <w:rPr>
          <w:lang w:val="fr-CA"/>
        </w:rPr>
        <w:t>’</w:t>
      </w:r>
      <w:r w:rsidRPr="00635936">
        <w:rPr>
          <w:lang w:val="fr-CA"/>
        </w:rPr>
        <w:t>article 17 et ne dépassant pas 100 000 droits de tirage spéciaux par passager, le transporteur ne peut exclure ou limiter sa responsabilité.</w:t>
      </w:r>
    </w:p>
    <w:p w:rsidR="00367456" w:rsidRPr="00635936" w:rsidRDefault="00367456" w:rsidP="00AA709E">
      <w:pPr>
        <w:tabs>
          <w:tab w:val="left" w:pos="1260"/>
          <w:tab w:val="left" w:pos="1800"/>
        </w:tabs>
        <w:spacing w:after="240"/>
        <w:ind w:left="720"/>
        <w:jc w:val="both"/>
        <w:rPr>
          <w:lang w:val="fr-CA"/>
        </w:rPr>
      </w:pPr>
      <w:r>
        <w:rPr>
          <w:lang w:val="fr-CA"/>
        </w:rPr>
        <w:tab/>
      </w:r>
      <w:r w:rsidRPr="00635936">
        <w:rPr>
          <w:lang w:val="fr-CA"/>
        </w:rPr>
        <w:t>2</w:t>
      </w:r>
      <w:r>
        <w:rPr>
          <w:lang w:val="fr-CA"/>
        </w:rPr>
        <w:t>.</w:t>
      </w:r>
      <w:r>
        <w:rPr>
          <w:lang w:val="fr-CA"/>
        </w:rPr>
        <w:tab/>
      </w:r>
      <w:r w:rsidRPr="00635936">
        <w:rPr>
          <w:lang w:val="fr-CA"/>
        </w:rPr>
        <w:t>Le transporteur n</w:t>
      </w:r>
      <w:r>
        <w:rPr>
          <w:lang w:val="fr-CA"/>
        </w:rPr>
        <w:t>’</w:t>
      </w:r>
      <w:r w:rsidRPr="00635936">
        <w:rPr>
          <w:lang w:val="fr-CA"/>
        </w:rPr>
        <w:t>est pas responsable des dommages visés au paragraphe 1 de l</w:t>
      </w:r>
      <w:r>
        <w:rPr>
          <w:lang w:val="fr-CA"/>
        </w:rPr>
        <w:t>’article</w:t>
      </w:r>
      <w:r w:rsidR="006412AC">
        <w:rPr>
          <w:lang w:val="fr-CA"/>
        </w:rPr>
        <w:t xml:space="preserve"> </w:t>
      </w:r>
      <w:r w:rsidRPr="00635936">
        <w:rPr>
          <w:lang w:val="fr-CA"/>
        </w:rPr>
        <w:t>17 dans la mesure où ils dépassent 100 000 droits de tirage spéciaux par passager, s</w:t>
      </w:r>
      <w:r>
        <w:rPr>
          <w:lang w:val="fr-CA"/>
        </w:rPr>
        <w:t>’</w:t>
      </w:r>
      <w:r w:rsidRPr="00635936">
        <w:rPr>
          <w:lang w:val="fr-CA"/>
        </w:rPr>
        <w:t>il prouve</w:t>
      </w:r>
      <w:r w:rsidR="006412AC">
        <w:rPr>
          <w:lang w:val="fr-CA"/>
        </w:rPr>
        <w:t> :</w:t>
      </w:r>
    </w:p>
    <w:p w:rsidR="00367456" w:rsidRPr="00635936" w:rsidRDefault="00367456" w:rsidP="00AA709E">
      <w:pPr>
        <w:tabs>
          <w:tab w:val="left" w:pos="1800"/>
        </w:tabs>
        <w:spacing w:after="240"/>
        <w:ind w:left="1260"/>
        <w:jc w:val="both"/>
        <w:rPr>
          <w:lang w:val="fr-CA"/>
        </w:rPr>
      </w:pPr>
      <w:r w:rsidRPr="0067469F">
        <w:rPr>
          <w:i/>
          <w:lang w:val="fr-CA"/>
        </w:rPr>
        <w:t>a</w:t>
      </w:r>
      <w:r w:rsidRPr="00635936">
        <w:rPr>
          <w:lang w:val="fr-CA"/>
        </w:rPr>
        <w:t>)</w:t>
      </w:r>
      <w:r>
        <w:rPr>
          <w:lang w:val="fr-CA"/>
        </w:rPr>
        <w:tab/>
      </w:r>
      <w:r w:rsidRPr="00635936">
        <w:rPr>
          <w:lang w:val="fr-CA"/>
        </w:rPr>
        <w:t>que le dommage n</w:t>
      </w:r>
      <w:r>
        <w:rPr>
          <w:lang w:val="fr-CA"/>
        </w:rPr>
        <w:t>’</w:t>
      </w:r>
      <w:r w:rsidRPr="00635936">
        <w:rPr>
          <w:lang w:val="fr-CA"/>
        </w:rPr>
        <w:t xml:space="preserve">est pas dû à la négligence ou à un autre acte ou omission </w:t>
      </w:r>
      <w:r w:rsidRPr="009813F5">
        <w:rPr>
          <w:lang w:val="fr-CA"/>
        </w:rPr>
        <w:t>préjudiciable</w:t>
      </w:r>
      <w:r w:rsidRPr="00635936">
        <w:rPr>
          <w:lang w:val="fr-CA"/>
        </w:rPr>
        <w:t xml:space="preserve"> du transporteur, de ses préposés ou de ses mandataires, ou</w:t>
      </w:r>
    </w:p>
    <w:p w:rsidR="00367456" w:rsidRDefault="00367456" w:rsidP="00AA709E">
      <w:pPr>
        <w:tabs>
          <w:tab w:val="left" w:pos="1800"/>
        </w:tabs>
        <w:spacing w:after="240"/>
        <w:ind w:left="1260"/>
        <w:jc w:val="both"/>
        <w:rPr>
          <w:lang w:val="fr-CA"/>
        </w:rPr>
      </w:pPr>
      <w:r w:rsidRPr="0067469F">
        <w:rPr>
          <w:i/>
          <w:lang w:val="fr-CA"/>
        </w:rPr>
        <w:t>b</w:t>
      </w:r>
      <w:r>
        <w:rPr>
          <w:lang w:val="fr-CA"/>
        </w:rPr>
        <w:t>)</w:t>
      </w:r>
      <w:r>
        <w:rPr>
          <w:lang w:val="fr-CA"/>
        </w:rPr>
        <w:tab/>
      </w:r>
      <w:r w:rsidRPr="00635936">
        <w:rPr>
          <w:lang w:val="fr-CA"/>
        </w:rPr>
        <w:t xml:space="preserve">que ces </w:t>
      </w:r>
      <w:r w:rsidRPr="009813F5">
        <w:rPr>
          <w:lang w:val="fr-CA"/>
        </w:rPr>
        <w:t>dommages résultent uniquement de la négligence ou d’un autre acte ou omissio</w:t>
      </w:r>
      <w:r w:rsidRPr="00635936">
        <w:rPr>
          <w:lang w:val="fr-CA"/>
        </w:rPr>
        <w:t>n préjudiciable d</w:t>
      </w:r>
      <w:r>
        <w:rPr>
          <w:lang w:val="fr-CA"/>
        </w:rPr>
        <w:t>’</w:t>
      </w:r>
      <w:r w:rsidRPr="00635936">
        <w:rPr>
          <w:lang w:val="fr-CA"/>
        </w:rPr>
        <w:t>un tiers.</w:t>
      </w:r>
    </w:p>
    <w:p w:rsidR="00367456" w:rsidRPr="00A80964" w:rsidRDefault="00367456" w:rsidP="00AA709E">
      <w:pPr>
        <w:spacing w:after="240"/>
        <w:ind w:left="720"/>
        <w:jc w:val="center"/>
        <w:rPr>
          <w:i/>
          <w:smallCaps/>
          <w:lang w:val="fr-CA"/>
        </w:rPr>
      </w:pPr>
      <w:r w:rsidRPr="005038AC">
        <w:rPr>
          <w:i/>
          <w:lang w:val="fr-CA"/>
        </w:rPr>
        <w:t>A</w:t>
      </w:r>
      <w:r w:rsidRPr="005038AC">
        <w:rPr>
          <w:i/>
          <w:smallCaps/>
          <w:lang w:val="fr-CA"/>
        </w:rPr>
        <w:t>rticle</w:t>
      </w:r>
      <w:r w:rsidRPr="005038AC">
        <w:rPr>
          <w:i/>
          <w:lang w:val="fr-CA"/>
        </w:rPr>
        <w:t xml:space="preserve"> 22</w:t>
      </w:r>
      <w:r>
        <w:rPr>
          <w:i/>
          <w:smallCaps/>
          <w:lang w:val="fr-CA"/>
        </w:rPr>
        <w:t xml:space="preserve"> </w:t>
      </w:r>
      <w:r w:rsidRPr="00A80964">
        <w:rPr>
          <w:i/>
          <w:smallCaps/>
          <w:lang w:val="fr-CA"/>
        </w:rPr>
        <w:t>— Limites de responsabilité relatives aux retards, aux bagages et aux marchandises</w:t>
      </w:r>
    </w:p>
    <w:p w:rsidR="00367456" w:rsidRPr="00635936" w:rsidRDefault="00367456" w:rsidP="00AA709E">
      <w:pPr>
        <w:tabs>
          <w:tab w:val="left" w:pos="1260"/>
          <w:tab w:val="left" w:pos="1800"/>
        </w:tabs>
        <w:spacing w:after="240"/>
        <w:ind w:left="720"/>
        <w:jc w:val="both"/>
        <w:rPr>
          <w:lang w:val="fr-CA"/>
        </w:rPr>
      </w:pPr>
      <w:r>
        <w:rPr>
          <w:b/>
          <w:lang w:val="fr-CA"/>
        </w:rPr>
        <w:lastRenderedPageBreak/>
        <w:tab/>
      </w:r>
      <w:r>
        <w:rPr>
          <w:lang w:val="fr-CA"/>
        </w:rPr>
        <w:t>1.</w:t>
      </w:r>
      <w:r>
        <w:rPr>
          <w:lang w:val="fr-CA"/>
        </w:rPr>
        <w:tab/>
      </w:r>
      <w:r w:rsidRPr="00635936">
        <w:rPr>
          <w:lang w:val="fr-CA"/>
        </w:rPr>
        <w:t>En cas de dommage subi par des passagers résultant d</w:t>
      </w:r>
      <w:r>
        <w:rPr>
          <w:lang w:val="fr-CA"/>
        </w:rPr>
        <w:t>’</w:t>
      </w:r>
      <w:r w:rsidRPr="00635936">
        <w:rPr>
          <w:lang w:val="fr-CA"/>
        </w:rPr>
        <w:t>un retard, aux termes de l</w:t>
      </w:r>
      <w:r>
        <w:rPr>
          <w:lang w:val="fr-CA"/>
        </w:rPr>
        <w:t>’</w:t>
      </w:r>
      <w:r w:rsidRPr="00635936">
        <w:rPr>
          <w:lang w:val="fr-CA"/>
        </w:rPr>
        <w:t>article 19, la responsabilité du transport</w:t>
      </w:r>
      <w:r w:rsidR="00AA709E">
        <w:rPr>
          <w:lang w:val="fr-CA"/>
        </w:rPr>
        <w:t>eur est limitée à la somme de 4 </w:t>
      </w:r>
      <w:r w:rsidRPr="00635936">
        <w:rPr>
          <w:lang w:val="fr-CA"/>
        </w:rPr>
        <w:t>150 droits de tirage spéciaux par passager.</w:t>
      </w:r>
    </w:p>
    <w:p w:rsidR="00367456" w:rsidRPr="00635936" w:rsidRDefault="00367456" w:rsidP="00AA709E">
      <w:pPr>
        <w:tabs>
          <w:tab w:val="left" w:pos="1260"/>
          <w:tab w:val="left" w:pos="1800"/>
        </w:tabs>
        <w:spacing w:after="240"/>
        <w:ind w:left="720"/>
        <w:jc w:val="both"/>
        <w:rPr>
          <w:lang w:val="fr-CA"/>
        </w:rPr>
      </w:pPr>
      <w:r>
        <w:rPr>
          <w:lang w:val="fr-CA"/>
        </w:rPr>
        <w:tab/>
      </w:r>
      <w:r w:rsidRPr="00635936">
        <w:rPr>
          <w:lang w:val="fr-CA"/>
        </w:rPr>
        <w:t>2</w:t>
      </w:r>
      <w:r>
        <w:rPr>
          <w:lang w:val="fr-CA"/>
        </w:rPr>
        <w:t>.</w:t>
      </w:r>
      <w:r>
        <w:rPr>
          <w:lang w:val="fr-CA"/>
        </w:rPr>
        <w:tab/>
      </w:r>
      <w:r w:rsidRPr="00635936">
        <w:rPr>
          <w:lang w:val="fr-CA"/>
        </w:rPr>
        <w:t>Dans le transport de bagages, la responsabilité du transporteur en cas de destruction, perte, avarie ou ret</w:t>
      </w:r>
      <w:r w:rsidR="00C32D34">
        <w:rPr>
          <w:lang w:val="fr-CA"/>
        </w:rPr>
        <w:t>ard est limitée à la somme de 1 </w:t>
      </w:r>
      <w:r w:rsidRPr="00635936">
        <w:rPr>
          <w:lang w:val="fr-CA"/>
        </w:rPr>
        <w:t>000 droits de tirage spéciaux par passager, sauf déclaration spéciale d</w:t>
      </w:r>
      <w:r>
        <w:rPr>
          <w:lang w:val="fr-CA"/>
        </w:rPr>
        <w:t>’</w:t>
      </w:r>
      <w:r w:rsidRPr="00635936">
        <w:rPr>
          <w:lang w:val="fr-CA"/>
        </w:rPr>
        <w:t>intérêt à la livraison faite par le passager au moment de la remise des bagages enregistrés au transporteur et moyennant le paiement éventuel d</w:t>
      </w:r>
      <w:r>
        <w:rPr>
          <w:lang w:val="fr-CA"/>
        </w:rPr>
        <w:t>’</w:t>
      </w:r>
      <w:r w:rsidRPr="00635936">
        <w:rPr>
          <w:lang w:val="fr-CA"/>
        </w:rPr>
        <w:t>une somme supplémentaire. Dans ce cas, le transporteur sera tenu de payer jusqu</w:t>
      </w:r>
      <w:r>
        <w:rPr>
          <w:lang w:val="fr-CA"/>
        </w:rPr>
        <w:t>’</w:t>
      </w:r>
      <w:r w:rsidRPr="00635936">
        <w:rPr>
          <w:lang w:val="fr-CA"/>
        </w:rPr>
        <w:t>à concurrence de la somme déclarée, à moins qu</w:t>
      </w:r>
      <w:r>
        <w:rPr>
          <w:lang w:val="fr-CA"/>
        </w:rPr>
        <w:t>’</w:t>
      </w:r>
      <w:r w:rsidRPr="00635936">
        <w:rPr>
          <w:lang w:val="fr-CA"/>
        </w:rPr>
        <w:t>il prouve qu</w:t>
      </w:r>
      <w:r>
        <w:rPr>
          <w:lang w:val="fr-CA"/>
        </w:rPr>
        <w:t>’</w:t>
      </w:r>
      <w:r w:rsidRPr="00635936">
        <w:rPr>
          <w:lang w:val="fr-CA"/>
        </w:rPr>
        <w:t>elle est supérieure à l</w:t>
      </w:r>
      <w:r>
        <w:rPr>
          <w:lang w:val="fr-CA"/>
        </w:rPr>
        <w:t>’</w:t>
      </w:r>
      <w:r w:rsidRPr="00635936">
        <w:rPr>
          <w:lang w:val="fr-CA"/>
        </w:rPr>
        <w:t>intérêt réel du passager à la livraison.</w:t>
      </w:r>
    </w:p>
    <w:p w:rsidR="00367456" w:rsidRPr="00635936" w:rsidRDefault="00367456" w:rsidP="00AA709E">
      <w:pPr>
        <w:tabs>
          <w:tab w:val="left" w:pos="1260"/>
          <w:tab w:val="left" w:pos="1800"/>
        </w:tabs>
        <w:spacing w:after="240"/>
        <w:ind w:left="720"/>
        <w:jc w:val="both"/>
        <w:rPr>
          <w:lang w:val="fr-CA"/>
        </w:rPr>
      </w:pPr>
      <w:r>
        <w:rPr>
          <w:lang w:val="fr-CA"/>
        </w:rPr>
        <w:tab/>
        <w:t>3.</w:t>
      </w:r>
      <w:r>
        <w:rPr>
          <w:lang w:val="fr-CA"/>
        </w:rPr>
        <w:tab/>
      </w:r>
      <w:r w:rsidRPr="00635936">
        <w:rPr>
          <w:lang w:val="fr-CA"/>
        </w:rPr>
        <w:t>Dans le transport de marchandises, la responsabilité du transporteur, en cas de destruction, de perte, d</w:t>
      </w:r>
      <w:r>
        <w:rPr>
          <w:lang w:val="fr-CA"/>
        </w:rPr>
        <w:t>’</w:t>
      </w:r>
      <w:r w:rsidRPr="00635936">
        <w:rPr>
          <w:lang w:val="fr-CA"/>
        </w:rPr>
        <w:t>avarie ou de retard, est limitée à la somme de 17 droits de tirage spéciaux par kilogramme, sauf déclaration spéciale d</w:t>
      </w:r>
      <w:r>
        <w:rPr>
          <w:lang w:val="fr-CA"/>
        </w:rPr>
        <w:t>’</w:t>
      </w:r>
      <w:r w:rsidRPr="00635936">
        <w:rPr>
          <w:lang w:val="fr-CA"/>
        </w:rPr>
        <w:t>intérêt à la livraison faite par l</w:t>
      </w:r>
      <w:r>
        <w:rPr>
          <w:lang w:val="fr-CA"/>
        </w:rPr>
        <w:t>’</w:t>
      </w:r>
      <w:r w:rsidRPr="00635936">
        <w:rPr>
          <w:lang w:val="fr-CA"/>
        </w:rPr>
        <w:t>expéditeur au moment de la remise du colis au transporteur et moyennant le paiement d</w:t>
      </w:r>
      <w:r>
        <w:rPr>
          <w:lang w:val="fr-CA"/>
        </w:rPr>
        <w:t>’</w:t>
      </w:r>
      <w:r w:rsidRPr="00635936">
        <w:rPr>
          <w:lang w:val="fr-CA"/>
        </w:rPr>
        <w:t>une somme supplémentaire éventuelle. Dans ce cas, le transporteur sera tenu de payer jusqu</w:t>
      </w:r>
      <w:r>
        <w:rPr>
          <w:lang w:val="fr-CA"/>
        </w:rPr>
        <w:t>’</w:t>
      </w:r>
      <w:r w:rsidRPr="00635936">
        <w:rPr>
          <w:lang w:val="fr-CA"/>
        </w:rPr>
        <w:t>à concurrence de la somme déclarée, à moins qu</w:t>
      </w:r>
      <w:r>
        <w:rPr>
          <w:lang w:val="fr-CA"/>
        </w:rPr>
        <w:t>’</w:t>
      </w:r>
      <w:r w:rsidRPr="00635936">
        <w:rPr>
          <w:lang w:val="fr-CA"/>
        </w:rPr>
        <w:t>il prouve qu</w:t>
      </w:r>
      <w:r>
        <w:rPr>
          <w:lang w:val="fr-CA"/>
        </w:rPr>
        <w:t>’</w:t>
      </w:r>
      <w:r w:rsidRPr="00635936">
        <w:rPr>
          <w:lang w:val="fr-CA"/>
        </w:rPr>
        <w:t>elle est supérieure à l</w:t>
      </w:r>
      <w:r>
        <w:rPr>
          <w:lang w:val="fr-CA"/>
        </w:rPr>
        <w:t>’</w:t>
      </w:r>
      <w:r w:rsidRPr="00635936">
        <w:rPr>
          <w:lang w:val="fr-CA"/>
        </w:rPr>
        <w:t>intérêt réel de l</w:t>
      </w:r>
      <w:r>
        <w:rPr>
          <w:lang w:val="fr-CA"/>
        </w:rPr>
        <w:t>’</w:t>
      </w:r>
      <w:r w:rsidRPr="00635936">
        <w:rPr>
          <w:lang w:val="fr-CA"/>
        </w:rPr>
        <w:t>expéditeur à la livraison.</w:t>
      </w:r>
    </w:p>
    <w:p w:rsidR="00367456" w:rsidRDefault="00367456" w:rsidP="00AA709E">
      <w:pPr>
        <w:tabs>
          <w:tab w:val="left" w:pos="1260"/>
          <w:tab w:val="left" w:pos="1800"/>
        </w:tabs>
        <w:spacing w:after="240"/>
        <w:ind w:left="720"/>
        <w:jc w:val="both"/>
        <w:rPr>
          <w:lang w:val="fr-CA"/>
        </w:rPr>
      </w:pPr>
      <w:r>
        <w:rPr>
          <w:lang w:val="fr-CA"/>
        </w:rPr>
        <w:tab/>
        <w:t>4.</w:t>
      </w:r>
      <w:r>
        <w:rPr>
          <w:lang w:val="fr-CA"/>
        </w:rPr>
        <w:tab/>
      </w:r>
      <w:r w:rsidRPr="00635936">
        <w:rPr>
          <w:lang w:val="fr-CA"/>
        </w:rPr>
        <w:t>En cas de destruction, de perte, d</w:t>
      </w:r>
      <w:r>
        <w:rPr>
          <w:lang w:val="fr-CA"/>
        </w:rPr>
        <w:t>’</w:t>
      </w:r>
      <w:r w:rsidRPr="00635936">
        <w:rPr>
          <w:lang w:val="fr-CA"/>
        </w:rPr>
        <w:t>avarie ou de retard d</w:t>
      </w:r>
      <w:r>
        <w:rPr>
          <w:lang w:val="fr-CA"/>
        </w:rPr>
        <w:t>’</w:t>
      </w:r>
      <w:r w:rsidRPr="00635936">
        <w:rPr>
          <w:lang w:val="fr-CA"/>
        </w:rPr>
        <w:t>une partie des marchandises, ou de tout objet qui y est contenu, seul le poids total du ou des colis dont il s</w:t>
      </w:r>
      <w:r>
        <w:rPr>
          <w:lang w:val="fr-CA"/>
        </w:rPr>
        <w:t>’</w:t>
      </w:r>
      <w:r w:rsidRPr="00635936">
        <w:rPr>
          <w:lang w:val="fr-CA"/>
        </w:rPr>
        <w:t>agit est pris en considération pour déterminer la limite de responsabilité du transporteur. Toutefois, lorsque la destruction, la perte, l</w:t>
      </w:r>
      <w:r>
        <w:rPr>
          <w:lang w:val="fr-CA"/>
        </w:rPr>
        <w:t>’</w:t>
      </w:r>
      <w:r w:rsidRPr="00635936">
        <w:rPr>
          <w:lang w:val="fr-CA"/>
        </w:rPr>
        <w:t>avarie ou le retard d</w:t>
      </w:r>
      <w:r>
        <w:rPr>
          <w:lang w:val="fr-CA"/>
        </w:rPr>
        <w:t>’</w:t>
      </w:r>
      <w:r w:rsidRPr="00635936">
        <w:rPr>
          <w:lang w:val="fr-CA"/>
        </w:rPr>
        <w:t>une partie des marchandises, ou d</w:t>
      </w:r>
      <w:r>
        <w:rPr>
          <w:lang w:val="fr-CA"/>
        </w:rPr>
        <w:t>’</w:t>
      </w:r>
      <w:r w:rsidRPr="00635936">
        <w:rPr>
          <w:lang w:val="fr-CA"/>
        </w:rPr>
        <w:t>un objet qui y est contenu, affecte la valeur d</w:t>
      </w:r>
      <w:r>
        <w:rPr>
          <w:lang w:val="fr-CA"/>
        </w:rPr>
        <w:t>’</w:t>
      </w:r>
      <w:r w:rsidRPr="00635936">
        <w:rPr>
          <w:lang w:val="fr-CA"/>
        </w:rPr>
        <w:t>autres colis couverts par la même lettre de transport aérien ou par le même récépissé ou, en l</w:t>
      </w:r>
      <w:r>
        <w:rPr>
          <w:lang w:val="fr-CA"/>
        </w:rPr>
        <w:t>’</w:t>
      </w:r>
      <w:r w:rsidRPr="00635936">
        <w:rPr>
          <w:lang w:val="fr-CA"/>
        </w:rPr>
        <w:t>absence de ces documents, par les mêmes indications consignées par les autres moyens visés à l</w:t>
      </w:r>
      <w:r>
        <w:rPr>
          <w:lang w:val="fr-CA"/>
        </w:rPr>
        <w:t>’</w:t>
      </w:r>
      <w:r w:rsidRPr="00635936">
        <w:rPr>
          <w:lang w:val="fr-CA"/>
        </w:rPr>
        <w:t>article 4, paragraphe 2, le poids total de ces colis doit être pris en considération pour déterminer la limite de responsabilité.</w:t>
      </w:r>
    </w:p>
    <w:p w:rsidR="00367456" w:rsidRPr="00635936" w:rsidRDefault="00367456" w:rsidP="00AA709E">
      <w:pPr>
        <w:tabs>
          <w:tab w:val="left" w:pos="1260"/>
          <w:tab w:val="left" w:pos="1800"/>
        </w:tabs>
        <w:spacing w:after="240"/>
        <w:ind w:left="720"/>
        <w:jc w:val="both"/>
        <w:rPr>
          <w:lang w:val="fr-CA"/>
        </w:rPr>
      </w:pPr>
      <w:r>
        <w:rPr>
          <w:lang w:val="fr-CA"/>
        </w:rPr>
        <w:tab/>
        <w:t>5.</w:t>
      </w:r>
      <w:r>
        <w:rPr>
          <w:lang w:val="fr-CA"/>
        </w:rPr>
        <w:tab/>
      </w:r>
      <w:r w:rsidRPr="00635936">
        <w:rPr>
          <w:lang w:val="fr-CA"/>
        </w:rPr>
        <w:t>Les dispositions des paragrap</w:t>
      </w:r>
      <w:r>
        <w:rPr>
          <w:lang w:val="fr-CA"/>
        </w:rPr>
        <w:t>hes</w:t>
      </w:r>
      <w:r w:rsidR="006412AC">
        <w:rPr>
          <w:lang w:val="fr-CA"/>
        </w:rPr>
        <w:t xml:space="preserve"> </w:t>
      </w:r>
      <w:r w:rsidRPr="00635936">
        <w:rPr>
          <w:lang w:val="fr-CA"/>
        </w:rPr>
        <w:t>1 et 2 du présent article ne s</w:t>
      </w:r>
      <w:r>
        <w:rPr>
          <w:lang w:val="fr-CA"/>
        </w:rPr>
        <w:t>’</w:t>
      </w:r>
      <w:r w:rsidRPr="00635936">
        <w:rPr>
          <w:lang w:val="fr-CA"/>
        </w:rPr>
        <w:t>appliquent pas s</w:t>
      </w:r>
      <w:r>
        <w:rPr>
          <w:lang w:val="fr-CA"/>
        </w:rPr>
        <w:t>’</w:t>
      </w:r>
      <w:r w:rsidRPr="00635936">
        <w:rPr>
          <w:lang w:val="fr-CA"/>
        </w:rPr>
        <w:t>il est prouvé que le dommage résulte d</w:t>
      </w:r>
      <w:r>
        <w:rPr>
          <w:lang w:val="fr-CA"/>
        </w:rPr>
        <w:t>’</w:t>
      </w:r>
      <w:r w:rsidRPr="00635936">
        <w:rPr>
          <w:lang w:val="fr-CA"/>
        </w:rPr>
        <w:t>un acte ou d</w:t>
      </w:r>
      <w:r>
        <w:rPr>
          <w:lang w:val="fr-CA"/>
        </w:rPr>
        <w:t>’</w:t>
      </w:r>
      <w:r w:rsidRPr="00635936">
        <w:rPr>
          <w:lang w:val="fr-CA"/>
        </w:rPr>
        <w:t>une omission du transporteur, de ses préposés ou de ses mandataires, fait soit avec l</w:t>
      </w:r>
      <w:r>
        <w:rPr>
          <w:lang w:val="fr-CA"/>
        </w:rPr>
        <w:t>’</w:t>
      </w:r>
      <w:r w:rsidRPr="00635936">
        <w:rPr>
          <w:lang w:val="fr-CA"/>
        </w:rPr>
        <w:t>intention de provoquer un dommage, soit témérairement et avec conscience qu</w:t>
      </w:r>
      <w:r>
        <w:rPr>
          <w:lang w:val="fr-CA"/>
        </w:rPr>
        <w:t>’</w:t>
      </w:r>
      <w:r w:rsidRPr="00635936">
        <w:rPr>
          <w:lang w:val="fr-CA"/>
        </w:rPr>
        <w:t>un dommage en résultera probablement, pour autant que, dans le cas d</w:t>
      </w:r>
      <w:r>
        <w:rPr>
          <w:lang w:val="fr-CA"/>
        </w:rPr>
        <w:t>’</w:t>
      </w:r>
      <w:r w:rsidRPr="00635936">
        <w:rPr>
          <w:lang w:val="fr-CA"/>
        </w:rPr>
        <w:t>un acte ou d</w:t>
      </w:r>
      <w:r>
        <w:rPr>
          <w:lang w:val="fr-CA"/>
        </w:rPr>
        <w:t>’</w:t>
      </w:r>
      <w:r w:rsidRPr="00635936">
        <w:rPr>
          <w:lang w:val="fr-CA"/>
        </w:rPr>
        <w:t>une omission de préposés ou de mandataires, la preuve soit également apportée que ceux</w:t>
      </w:r>
      <w:r w:rsidR="006412AC">
        <w:rPr>
          <w:lang w:val="fr-CA"/>
        </w:rPr>
        <w:t>-</w:t>
      </w:r>
      <w:r w:rsidRPr="00635936">
        <w:rPr>
          <w:lang w:val="fr-CA"/>
        </w:rPr>
        <w:t>ci ont agi dans l</w:t>
      </w:r>
      <w:r>
        <w:rPr>
          <w:lang w:val="fr-CA"/>
        </w:rPr>
        <w:t>’</w:t>
      </w:r>
      <w:r w:rsidRPr="00635936">
        <w:rPr>
          <w:lang w:val="fr-CA"/>
        </w:rPr>
        <w:t>exercice de leurs fonctions.</w:t>
      </w:r>
    </w:p>
    <w:p w:rsidR="00367456" w:rsidRPr="00A80964" w:rsidRDefault="00367456" w:rsidP="00AA709E">
      <w:pPr>
        <w:tabs>
          <w:tab w:val="left" w:pos="1260"/>
          <w:tab w:val="left" w:pos="1800"/>
        </w:tabs>
        <w:spacing w:after="240"/>
        <w:ind w:left="720"/>
        <w:jc w:val="both"/>
        <w:rPr>
          <w:lang w:val="fr-CA"/>
        </w:rPr>
      </w:pPr>
      <w:r>
        <w:rPr>
          <w:lang w:val="fr-CA"/>
        </w:rPr>
        <w:tab/>
        <w:t>6.</w:t>
      </w:r>
      <w:r>
        <w:rPr>
          <w:lang w:val="fr-CA"/>
        </w:rPr>
        <w:tab/>
      </w:r>
      <w:r w:rsidRPr="00635936">
        <w:rPr>
          <w:lang w:val="fr-CA"/>
        </w:rPr>
        <w:t>Les limites fixées par l</w:t>
      </w:r>
      <w:r>
        <w:rPr>
          <w:lang w:val="fr-CA"/>
        </w:rPr>
        <w:t>’</w:t>
      </w:r>
      <w:r w:rsidRPr="00635936">
        <w:rPr>
          <w:lang w:val="fr-CA"/>
        </w:rPr>
        <w:t>article</w:t>
      </w:r>
      <w:r w:rsidR="006412AC">
        <w:rPr>
          <w:lang w:val="fr-CA"/>
        </w:rPr>
        <w:t xml:space="preserve"> </w:t>
      </w:r>
      <w:r w:rsidRPr="00635936">
        <w:rPr>
          <w:lang w:val="fr-CA"/>
        </w:rPr>
        <w:t>21 et par le présent article n</w:t>
      </w:r>
      <w:r>
        <w:rPr>
          <w:lang w:val="fr-CA"/>
        </w:rPr>
        <w:t>’</w:t>
      </w:r>
      <w:r w:rsidRPr="00635936">
        <w:rPr>
          <w:lang w:val="fr-CA"/>
        </w:rPr>
        <w:t>ont pas pour effet d</w:t>
      </w:r>
      <w:r>
        <w:rPr>
          <w:lang w:val="fr-CA"/>
        </w:rPr>
        <w:t>’</w:t>
      </w:r>
      <w:r w:rsidRPr="00635936">
        <w:rPr>
          <w:lang w:val="fr-CA"/>
        </w:rPr>
        <w:t>enlever au tribunal la faculté d</w:t>
      </w:r>
      <w:r>
        <w:rPr>
          <w:lang w:val="fr-CA"/>
        </w:rPr>
        <w:t>’</w:t>
      </w:r>
      <w:r w:rsidRPr="00635936">
        <w:rPr>
          <w:lang w:val="fr-CA"/>
        </w:rPr>
        <w:t>allouer en outre, conformément à sa loi, une somme correspondant à tout ou partie des dépens et autres frais de procès exposés par le demandeur, intérêts compris.</w:t>
      </w:r>
      <w:r>
        <w:rPr>
          <w:lang w:val="fr-CA"/>
        </w:rPr>
        <w:t xml:space="preserve"> </w:t>
      </w:r>
      <w:r w:rsidRPr="00635936">
        <w:rPr>
          <w:lang w:val="fr-CA"/>
        </w:rPr>
        <w:t xml:space="preserve"> La disposition précédente ne s</w:t>
      </w:r>
      <w:r>
        <w:rPr>
          <w:lang w:val="fr-CA"/>
        </w:rPr>
        <w:t>’</w:t>
      </w:r>
      <w:r w:rsidRPr="00635936">
        <w:rPr>
          <w:lang w:val="fr-CA"/>
        </w:rPr>
        <w:t>applique pas lorsque le montant de l</w:t>
      </w:r>
      <w:r>
        <w:rPr>
          <w:lang w:val="fr-CA"/>
        </w:rPr>
        <w:t>’</w:t>
      </w:r>
      <w:r w:rsidRPr="00635936">
        <w:rPr>
          <w:lang w:val="fr-CA"/>
        </w:rPr>
        <w:t xml:space="preserve">indemnité allouée, non compris les dépens et autres frais de procès, ne dépasse pas la somme que le transporteur a </w:t>
      </w:r>
      <w:r w:rsidRPr="00635936">
        <w:rPr>
          <w:lang w:val="fr-CA"/>
        </w:rPr>
        <w:lastRenderedPageBreak/>
        <w:t>offerte par écrit au demandeur dans un délai de six mois à dater du fait qui a causé le dommage ou avant l</w:t>
      </w:r>
      <w:r>
        <w:rPr>
          <w:lang w:val="fr-CA"/>
        </w:rPr>
        <w:t>’</w:t>
      </w:r>
      <w:r w:rsidRPr="00635936">
        <w:rPr>
          <w:lang w:val="fr-CA"/>
        </w:rPr>
        <w:t xml:space="preserve">introduction de </w:t>
      </w:r>
      <w:r w:rsidRPr="00A80964">
        <w:rPr>
          <w:lang w:val="fr-CA"/>
        </w:rPr>
        <w:t>l</w:t>
      </w:r>
      <w:r>
        <w:rPr>
          <w:lang w:val="fr-CA"/>
        </w:rPr>
        <w:t>’</w:t>
      </w:r>
      <w:r w:rsidRPr="00A80964">
        <w:rPr>
          <w:lang w:val="fr-CA"/>
        </w:rPr>
        <w:t>instance si celle</w:t>
      </w:r>
      <w:r w:rsidR="006412AC">
        <w:rPr>
          <w:lang w:val="fr-CA"/>
        </w:rPr>
        <w:t>-</w:t>
      </w:r>
      <w:r w:rsidRPr="00A80964">
        <w:rPr>
          <w:lang w:val="fr-CA"/>
        </w:rPr>
        <w:t>ci est postérieure à ce délai.</w:t>
      </w:r>
    </w:p>
    <w:p w:rsidR="00367456" w:rsidRPr="00BB38B8" w:rsidRDefault="00367456" w:rsidP="00AA709E">
      <w:pPr>
        <w:spacing w:after="240"/>
        <w:ind w:left="720"/>
        <w:jc w:val="center"/>
        <w:rPr>
          <w:i/>
          <w:smallCaps/>
          <w:lang w:val="fr-CA"/>
        </w:rPr>
      </w:pPr>
      <w:r w:rsidRPr="00BB38B8">
        <w:rPr>
          <w:i/>
          <w:smallCaps/>
          <w:lang w:val="fr-CA"/>
        </w:rPr>
        <w:t>Article 26 — Nullité des dispositions contractuelles</w:t>
      </w:r>
    </w:p>
    <w:p w:rsidR="00367456" w:rsidRPr="00BB38B8" w:rsidRDefault="00367456" w:rsidP="00AA709E">
      <w:pPr>
        <w:tabs>
          <w:tab w:val="left" w:pos="1260"/>
          <w:tab w:val="left" w:pos="1800"/>
        </w:tabs>
        <w:spacing w:after="240"/>
        <w:ind w:left="720"/>
        <w:jc w:val="both"/>
        <w:rPr>
          <w:lang w:val="fr-CA"/>
        </w:rPr>
      </w:pPr>
      <w:r w:rsidRPr="00BB38B8">
        <w:rPr>
          <w:lang w:val="fr-CA"/>
        </w:rPr>
        <w:tab/>
        <w:t>Toute clause tendant à exonérer le transporteur de sa responsabilité ou à établir une limite inférieure à celle qui est fixée dans la présente convention est nulle et de nul effet, mais la nullité de cette clause n’entraîne pas la nullité du contrat qui reste soumis aux dispositions de la présente convention.</w:t>
      </w:r>
    </w:p>
    <w:p w:rsidR="00367456" w:rsidRPr="00A80964" w:rsidRDefault="00367456" w:rsidP="00AA709E">
      <w:pPr>
        <w:spacing w:after="240"/>
        <w:ind w:left="720"/>
        <w:jc w:val="center"/>
        <w:rPr>
          <w:i/>
          <w:smallCaps/>
          <w:lang w:val="fr-CA"/>
        </w:rPr>
      </w:pPr>
      <w:r w:rsidRPr="00A80964">
        <w:rPr>
          <w:i/>
          <w:smallCaps/>
          <w:lang w:val="fr-CA"/>
        </w:rPr>
        <w:t>Article</w:t>
      </w:r>
      <w:r w:rsidRPr="00A80964">
        <w:rPr>
          <w:i/>
          <w:lang w:val="fr-CA"/>
        </w:rPr>
        <w:t xml:space="preserve"> 29</w:t>
      </w:r>
      <w:r>
        <w:rPr>
          <w:i/>
          <w:smallCaps/>
          <w:lang w:val="fr-CA"/>
        </w:rPr>
        <w:t xml:space="preserve"> </w:t>
      </w:r>
      <w:r w:rsidRPr="00A80964">
        <w:rPr>
          <w:i/>
          <w:smallCaps/>
          <w:lang w:val="fr-CA"/>
        </w:rPr>
        <w:t>— Principe des recours</w:t>
      </w:r>
    </w:p>
    <w:p w:rsidR="00367456" w:rsidRPr="00A80964" w:rsidRDefault="00367456" w:rsidP="00AA709E">
      <w:pPr>
        <w:tabs>
          <w:tab w:val="left" w:pos="1260"/>
          <w:tab w:val="left" w:pos="1800"/>
        </w:tabs>
        <w:spacing w:after="240"/>
        <w:ind w:left="720"/>
        <w:jc w:val="both"/>
        <w:rPr>
          <w:lang w:val="fr-CA"/>
        </w:rPr>
      </w:pPr>
      <w:r>
        <w:rPr>
          <w:b/>
          <w:lang w:val="fr-CA"/>
        </w:rPr>
        <w:tab/>
      </w:r>
      <w:r w:rsidRPr="00635936">
        <w:rPr>
          <w:lang w:val="fr-CA"/>
        </w:rPr>
        <w:t>Dans le transport de passagers, de bagages et de marchandises, toute action en dommages</w:t>
      </w:r>
      <w:r w:rsidR="006412AC">
        <w:rPr>
          <w:lang w:val="fr-CA"/>
        </w:rPr>
        <w:t>-</w:t>
      </w:r>
      <w:r w:rsidRPr="00635936">
        <w:rPr>
          <w:lang w:val="fr-CA"/>
        </w:rPr>
        <w:t>intérêts, à quelque titre que ce soit, en vertu de la présente convention, en raison d</w:t>
      </w:r>
      <w:r>
        <w:rPr>
          <w:lang w:val="fr-CA"/>
        </w:rPr>
        <w:t>’</w:t>
      </w:r>
      <w:r w:rsidRPr="00635936">
        <w:rPr>
          <w:lang w:val="fr-CA"/>
        </w:rPr>
        <w:t>un contrat ou d</w:t>
      </w:r>
      <w:r>
        <w:rPr>
          <w:lang w:val="fr-CA"/>
        </w:rPr>
        <w:t>’</w:t>
      </w:r>
      <w:r w:rsidRPr="00635936">
        <w:rPr>
          <w:lang w:val="fr-CA"/>
        </w:rPr>
        <w:t>un acte illicite ou pour toute autre cause, ne peut être exercée que dans les conditions et limites de responsabilité prévues par la présente convention, sans préjudice de la détermination des personnes qui ont le droit d</w:t>
      </w:r>
      <w:r>
        <w:rPr>
          <w:lang w:val="fr-CA"/>
        </w:rPr>
        <w:t>’</w:t>
      </w:r>
      <w:r w:rsidRPr="00635936">
        <w:rPr>
          <w:lang w:val="fr-CA"/>
        </w:rPr>
        <w:t xml:space="preserve">agir et de leurs droits respectifs. Dans toute action de ce genre, on ne pourra pas obtenir de </w:t>
      </w:r>
      <w:r w:rsidRPr="00A80964">
        <w:rPr>
          <w:lang w:val="fr-CA"/>
        </w:rPr>
        <w:t>dommages</w:t>
      </w:r>
      <w:r w:rsidR="006412AC">
        <w:rPr>
          <w:lang w:val="fr-CA"/>
        </w:rPr>
        <w:t>-</w:t>
      </w:r>
      <w:r w:rsidRPr="00A80964">
        <w:rPr>
          <w:lang w:val="fr-CA"/>
        </w:rPr>
        <w:t>intérêts punitifs ou exemplaires ni de dommages à un titre autre que la réparation.</w:t>
      </w:r>
    </w:p>
    <w:p w:rsidR="00367456" w:rsidRPr="00BB38B8" w:rsidRDefault="00367456" w:rsidP="00AA709E">
      <w:pPr>
        <w:spacing w:after="240"/>
        <w:ind w:left="720"/>
        <w:jc w:val="center"/>
        <w:rPr>
          <w:i/>
          <w:smallCaps/>
          <w:lang w:val="fr-CA"/>
        </w:rPr>
      </w:pPr>
      <w:r w:rsidRPr="00BB38B8">
        <w:rPr>
          <w:i/>
          <w:smallCaps/>
          <w:lang w:val="fr-CA"/>
        </w:rPr>
        <w:t>Article 49 — Obligation d’application</w:t>
      </w:r>
    </w:p>
    <w:p w:rsidR="00367456" w:rsidRPr="00BB38B8" w:rsidRDefault="00367456" w:rsidP="00AA709E">
      <w:pPr>
        <w:tabs>
          <w:tab w:val="left" w:pos="1260"/>
          <w:tab w:val="left" w:pos="1800"/>
        </w:tabs>
        <w:spacing w:after="720"/>
        <w:ind w:left="720"/>
        <w:jc w:val="both"/>
        <w:rPr>
          <w:lang w:val="fr-CA"/>
        </w:rPr>
      </w:pPr>
      <w:r w:rsidRPr="00BB38B8">
        <w:rPr>
          <w:lang w:val="fr-CA"/>
        </w:rPr>
        <w:tab/>
        <w:t>Sont nulles et de nul effet toutes clauses du contrat de transport et toutes conventions particulières antérieures au dommage par lesquelles les parties dérogeraient aux règles de la présente convention soit par une détermination de la loi applicable, soit par une modification des règles de compétence.</w:t>
      </w:r>
    </w:p>
    <w:p w:rsidR="00367456" w:rsidRPr="00AA709E" w:rsidRDefault="00367456" w:rsidP="00AA709E">
      <w:pPr>
        <w:widowControl w:val="0"/>
        <w:spacing w:after="480"/>
        <w:rPr>
          <w:lang w:val="fr-CA"/>
        </w:rPr>
      </w:pPr>
      <w:r w:rsidRPr="00AA709E">
        <w:rPr>
          <w:i/>
          <w:lang w:val="fr-CA"/>
        </w:rPr>
        <w:t>Loi sur le transport aérien</w:t>
      </w:r>
      <w:r w:rsidRPr="00AA709E">
        <w:rPr>
          <w:lang w:val="fr-CA"/>
        </w:rPr>
        <w:t>, L.R.C. 1985, ch.</w:t>
      </w:r>
      <w:r w:rsidR="006412AC" w:rsidRPr="00AA709E">
        <w:rPr>
          <w:lang w:val="fr-CA"/>
        </w:rPr>
        <w:t xml:space="preserve"> </w:t>
      </w:r>
      <w:r w:rsidRPr="00AA709E">
        <w:rPr>
          <w:lang w:val="fr-CA"/>
        </w:rPr>
        <w:t>C</w:t>
      </w:r>
      <w:r w:rsidR="006412AC" w:rsidRPr="00AA709E">
        <w:rPr>
          <w:lang w:val="fr-CA"/>
        </w:rPr>
        <w:t>-</w:t>
      </w:r>
      <w:r w:rsidRPr="00AA709E">
        <w:rPr>
          <w:lang w:val="fr-CA"/>
        </w:rPr>
        <w:t>26</w:t>
      </w:r>
    </w:p>
    <w:p w:rsidR="00367456" w:rsidRPr="00BB38B8" w:rsidRDefault="00367456" w:rsidP="00AA709E">
      <w:pPr>
        <w:tabs>
          <w:tab w:val="left" w:pos="1260"/>
          <w:tab w:val="left" w:pos="1800"/>
        </w:tabs>
        <w:spacing w:after="240"/>
        <w:ind w:left="720"/>
        <w:jc w:val="both"/>
        <w:rPr>
          <w:lang w:val="fr-CA"/>
        </w:rPr>
      </w:pPr>
      <w:r w:rsidRPr="00997661">
        <w:rPr>
          <w:b/>
          <w:lang w:val="fr-CA"/>
        </w:rPr>
        <w:tab/>
      </w:r>
      <w:r w:rsidRPr="00BB38B8">
        <w:rPr>
          <w:b/>
          <w:lang w:val="fr-CA"/>
        </w:rPr>
        <w:t>2.</w:t>
      </w:r>
      <w:r w:rsidRPr="00BB38B8">
        <w:rPr>
          <w:lang w:val="fr-CA"/>
        </w:rPr>
        <w:t xml:space="preserve"> (1) Sous réserve des autres dispositions du présent article, les dispositions de la convention figurant à l’annexe I et celles de la convention figurant à l’annexe V, dans la mesure où elles se rapportent aux droits et responsabilités des personnes concernées par le transport aérien — notamment les transporteurs et leurs préposés, les voyageurs, les consignateurs et les consignataires —, ont force de loi au Canada relativement au transport aérien visé par ces dispositions, indépendamment de la nationalité de l’aéronef en cause.</w:t>
      </w:r>
    </w:p>
    <w:p w:rsidR="00367456" w:rsidRPr="00BB38B8" w:rsidRDefault="00367456" w:rsidP="00AA709E">
      <w:pPr>
        <w:tabs>
          <w:tab w:val="left" w:pos="1260"/>
          <w:tab w:val="left" w:pos="1800"/>
        </w:tabs>
        <w:spacing w:after="240"/>
        <w:ind w:left="720"/>
        <w:jc w:val="both"/>
        <w:rPr>
          <w:lang w:val="fr-CA"/>
        </w:rPr>
      </w:pPr>
      <w:r w:rsidRPr="00BB38B8">
        <w:rPr>
          <w:lang w:val="fr-CA"/>
        </w:rPr>
        <w:tab/>
        <w:t>(2)</w:t>
      </w:r>
      <w:r w:rsidRPr="00BB38B8">
        <w:rPr>
          <w:lang w:val="fr-CA"/>
        </w:rPr>
        <w:tab/>
        <w:t xml:space="preserve">Sous réserve des autres dispositions du présent article, les dispositions de la convention figurant à l’annexe I, modifiée soit par le protocole figurant à l’annexe III, soit par les protocoles figurant aux annexes III et IV, dans la mesure où elles se rapportent aux droits et responsabilités des personnes concernées par le transport aérien, ont force de loi au Canada </w:t>
      </w:r>
      <w:r w:rsidRPr="00BB38B8">
        <w:rPr>
          <w:lang w:val="fr-CA"/>
        </w:rPr>
        <w:lastRenderedPageBreak/>
        <w:t>relativement au transport aérien visé par ces dispositions, indépendamment de la nationalité de l’aéronef en cause.</w:t>
      </w:r>
    </w:p>
    <w:p w:rsidR="00367456" w:rsidRPr="00635936" w:rsidRDefault="00367456" w:rsidP="00AA709E">
      <w:pPr>
        <w:tabs>
          <w:tab w:val="left" w:pos="1260"/>
          <w:tab w:val="left" w:pos="1800"/>
        </w:tabs>
        <w:spacing w:after="240"/>
        <w:ind w:left="720"/>
        <w:jc w:val="both"/>
        <w:rPr>
          <w:lang w:val="fr-CA"/>
        </w:rPr>
      </w:pPr>
      <w:r>
        <w:rPr>
          <w:b/>
          <w:lang w:val="fr-CA"/>
        </w:rPr>
        <w:tab/>
      </w:r>
      <w:r>
        <w:rPr>
          <w:lang w:val="fr-CA"/>
        </w:rPr>
        <w:t>(2.1)</w:t>
      </w:r>
      <w:r>
        <w:rPr>
          <w:lang w:val="fr-CA"/>
        </w:rPr>
        <w:tab/>
      </w:r>
      <w:r w:rsidRPr="00635936">
        <w:rPr>
          <w:lang w:val="fr-CA"/>
        </w:rPr>
        <w:t>Sous réserve des autres dispositions du présent article, les dispositions de la convention figurant à l</w:t>
      </w:r>
      <w:r>
        <w:rPr>
          <w:lang w:val="fr-CA"/>
        </w:rPr>
        <w:t>’annexe</w:t>
      </w:r>
      <w:r w:rsidR="006412AC">
        <w:rPr>
          <w:lang w:val="fr-CA"/>
        </w:rPr>
        <w:t xml:space="preserve"> </w:t>
      </w:r>
      <w:r w:rsidRPr="00635936">
        <w:rPr>
          <w:lang w:val="fr-CA"/>
        </w:rPr>
        <w:t>VI, dans la mesure où elles se rapportent aux droits et responsabilités des personnes concernées par le transport aérien — notamment les transporteurs et leurs préposés, les voyageurs, les consignateurs et les consignataires —, ont force de loi au Canada relativement au transport aérien visé par ces dispositions, indépendamment de la nationalité de l</w:t>
      </w:r>
      <w:r>
        <w:rPr>
          <w:lang w:val="fr-CA"/>
        </w:rPr>
        <w:t>’</w:t>
      </w:r>
      <w:r w:rsidRPr="00635936">
        <w:rPr>
          <w:lang w:val="fr-CA"/>
        </w:rPr>
        <w:t>aéronef en cause.</w:t>
      </w:r>
    </w:p>
    <w:p w:rsidR="00367456" w:rsidRPr="00BB38B8" w:rsidRDefault="00367456" w:rsidP="00AA709E">
      <w:pPr>
        <w:tabs>
          <w:tab w:val="left" w:pos="1260"/>
          <w:tab w:val="left" w:pos="1800"/>
        </w:tabs>
        <w:spacing w:after="240"/>
        <w:ind w:left="720"/>
        <w:jc w:val="both"/>
        <w:rPr>
          <w:lang w:val="fr-CA"/>
        </w:rPr>
      </w:pPr>
      <w:r w:rsidRPr="00BB38B8">
        <w:rPr>
          <w:lang w:val="fr-CA"/>
        </w:rPr>
        <w:tab/>
        <w:t>(3)</w:t>
      </w:r>
      <w:r w:rsidRPr="00BB38B8">
        <w:rPr>
          <w:lang w:val="fr-CA"/>
        </w:rPr>
        <w:tab/>
        <w:t xml:space="preserve">Le gouverneur en conseil peut, par proclamation publiée dans la </w:t>
      </w:r>
      <w:r w:rsidRPr="00BB38B8">
        <w:rPr>
          <w:i/>
          <w:lang w:val="fr-CA"/>
        </w:rPr>
        <w:t>Gazette du Canada</w:t>
      </w:r>
      <w:r w:rsidRPr="00BB38B8">
        <w:rPr>
          <w:lang w:val="fr-CA"/>
        </w:rPr>
        <w:t>, attester l’identité des parties à une convention ou un protocole figurant en annexe de la présente loi, les territoires à l’égard desquels elles sont respectivement parties, la mesure dans laquelle elles se sont prévalues des dispositions du protocole additionnel de la convention figurant à l’annexe I, ainsi que l’identité des parties qui ont fait une déclaration en vertu du protocole figurant aux annexes III ou IV ou en vertu de la convention figurant à l’annexe VI.</w:t>
      </w:r>
    </w:p>
    <w:p w:rsidR="00367456" w:rsidRPr="00BB38B8" w:rsidRDefault="00367456" w:rsidP="00AA709E">
      <w:pPr>
        <w:tabs>
          <w:tab w:val="left" w:pos="1260"/>
          <w:tab w:val="left" w:pos="1800"/>
        </w:tabs>
        <w:spacing w:after="240"/>
        <w:ind w:left="720"/>
        <w:jc w:val="both"/>
        <w:rPr>
          <w:lang w:val="fr-CA"/>
        </w:rPr>
      </w:pPr>
      <w:r w:rsidRPr="00BB38B8">
        <w:rPr>
          <w:lang w:val="fr-CA"/>
        </w:rPr>
        <w:tab/>
        <w:t>(4)</w:t>
      </w:r>
      <w:r w:rsidRPr="00BB38B8">
        <w:rPr>
          <w:lang w:val="fr-CA"/>
        </w:rPr>
        <w:tab/>
        <w:t>Toute mention, à l’annexe I, du territoire d’une partie vaut mention des territoires sur lesquels elle exerce sa souveraineté, sa suzeraineté, son mandat ou son autorité et au nom desquels elle est partie.</w:t>
      </w:r>
    </w:p>
    <w:p w:rsidR="00367456" w:rsidRPr="00BB38B8" w:rsidRDefault="00367456" w:rsidP="00AA709E">
      <w:pPr>
        <w:tabs>
          <w:tab w:val="left" w:pos="1260"/>
          <w:tab w:val="left" w:pos="1800"/>
        </w:tabs>
        <w:spacing w:after="240"/>
        <w:ind w:left="720"/>
        <w:jc w:val="both"/>
        <w:rPr>
          <w:lang w:val="fr-CA"/>
        </w:rPr>
      </w:pPr>
      <w:r w:rsidRPr="00BB38B8">
        <w:rPr>
          <w:lang w:val="fr-CA"/>
        </w:rPr>
        <w:tab/>
        <w:t>(5)</w:t>
      </w:r>
      <w:r w:rsidRPr="00BB38B8">
        <w:rPr>
          <w:lang w:val="fr-CA"/>
        </w:rPr>
        <w:tab/>
        <w:t>L’article 17 de l’annexe I et l’article 17 de l’annexe VI, qui fixent la responsabilité d’un transporteur en cas de décès d’un passager, se substituent aux règles de droit pertinentes en vigueur au Canada. Les dispositions énoncées à l’annexe II sont exécutoires en ce qui concerne tant les personnes par qui et pour le compte desquelles réparation peut être obtenue au titre de la responsabilité ainsi imposée</w:t>
      </w:r>
      <w:r w:rsidR="00AA709E">
        <w:rPr>
          <w:lang w:val="fr-CA"/>
        </w:rPr>
        <w:t xml:space="preserve"> que les modalités de mise en œ</w:t>
      </w:r>
      <w:r w:rsidRPr="00BB38B8">
        <w:rPr>
          <w:lang w:val="fr-CA"/>
        </w:rPr>
        <w:t>uvre de celle-ci.</w:t>
      </w:r>
    </w:p>
    <w:p w:rsidR="00367456" w:rsidRPr="00BB38B8" w:rsidRDefault="00367456" w:rsidP="00AA709E">
      <w:pPr>
        <w:tabs>
          <w:tab w:val="left" w:pos="1260"/>
          <w:tab w:val="left" w:pos="1800"/>
        </w:tabs>
        <w:spacing w:after="240"/>
        <w:ind w:left="720"/>
        <w:jc w:val="both"/>
        <w:rPr>
          <w:lang w:val="fr-CA"/>
        </w:rPr>
      </w:pPr>
      <w:r w:rsidRPr="00BB38B8">
        <w:rPr>
          <w:lang w:val="fr-CA"/>
        </w:rPr>
        <w:tab/>
        <w:t>(6)</w:t>
      </w:r>
      <w:r w:rsidRPr="00BB38B8">
        <w:rPr>
          <w:lang w:val="fr-CA"/>
        </w:rPr>
        <w:tab/>
        <w:t>Les sommes mentionnées en francs à l’article 22 de l’annexe I sont, aux fins des actions intentées contre les transporteurs, converties en dollars canadiens au taux de change en vigueur le jour où le tribunal fixe le montant des dommages-intérêts à payer par le transporteur.</w:t>
      </w:r>
    </w:p>
    <w:p w:rsidR="00367456" w:rsidRPr="00BB38B8" w:rsidRDefault="00367456" w:rsidP="00AA709E">
      <w:pPr>
        <w:tabs>
          <w:tab w:val="left" w:pos="1260"/>
          <w:tab w:val="left" w:pos="1800"/>
        </w:tabs>
        <w:spacing w:after="240"/>
        <w:ind w:left="720"/>
        <w:jc w:val="both"/>
        <w:rPr>
          <w:lang w:val="fr-CA"/>
        </w:rPr>
      </w:pPr>
      <w:r w:rsidRPr="00BB38B8">
        <w:rPr>
          <w:lang w:val="fr-CA"/>
        </w:rPr>
        <w:tab/>
        <w:t>(7)</w:t>
      </w:r>
      <w:r w:rsidRPr="00BB38B8">
        <w:rPr>
          <w:lang w:val="fr-CA"/>
        </w:rPr>
        <w:tab/>
        <w:t>Pour l’application du paragraphe (6), l’équivalent, en dollars canadiens, des sommes exprimées en droits de tirage spéciaux ou en francs, aux termes de l’article 22 de la convention figurant à l’annexe I, est déterminé de la manière suivante</w:t>
      </w:r>
      <w:r w:rsidR="006412AC">
        <w:rPr>
          <w:lang w:val="fr-CA"/>
        </w:rPr>
        <w:t> :</w:t>
      </w:r>
    </w:p>
    <w:p w:rsidR="00367456" w:rsidRPr="00BB38B8" w:rsidRDefault="00367456" w:rsidP="00AA709E">
      <w:pPr>
        <w:tabs>
          <w:tab w:val="left" w:pos="1800"/>
        </w:tabs>
        <w:spacing w:after="240"/>
        <w:ind w:left="1260"/>
        <w:jc w:val="both"/>
        <w:rPr>
          <w:lang w:val="fr-CA"/>
        </w:rPr>
      </w:pPr>
      <w:r w:rsidRPr="00BB38B8">
        <w:rPr>
          <w:i/>
          <w:lang w:val="fr-CA"/>
        </w:rPr>
        <w:t>a</w:t>
      </w:r>
      <w:r w:rsidRPr="00BB38B8">
        <w:rPr>
          <w:lang w:val="fr-CA"/>
        </w:rPr>
        <w:t>) pour la conversion des francs en droits de tirage spéciaux, le taux de change est de 15,075 francs par droit de tirage spécial;</w:t>
      </w:r>
    </w:p>
    <w:p w:rsidR="00367456" w:rsidRPr="00BB38B8" w:rsidRDefault="00367456" w:rsidP="00AA709E">
      <w:pPr>
        <w:tabs>
          <w:tab w:val="left" w:pos="1800"/>
        </w:tabs>
        <w:spacing w:after="720"/>
        <w:ind w:left="1267"/>
        <w:jc w:val="both"/>
        <w:rPr>
          <w:lang w:val="fr-CA"/>
        </w:rPr>
      </w:pPr>
      <w:r w:rsidRPr="00BB38B8">
        <w:rPr>
          <w:i/>
          <w:lang w:val="fr-CA"/>
        </w:rPr>
        <w:t>b</w:t>
      </w:r>
      <w:r w:rsidRPr="00BB38B8">
        <w:rPr>
          <w:lang w:val="fr-CA"/>
        </w:rPr>
        <w:t>) pour la conversion des droits de tirage spéciaux en dollars canadiens, le taux de change sera celui établi par le Fonds monétaire international.</w:t>
      </w:r>
    </w:p>
    <w:p w:rsidR="00367456" w:rsidRPr="00AA709E" w:rsidRDefault="00367456" w:rsidP="00AA709E">
      <w:pPr>
        <w:widowControl w:val="0"/>
        <w:spacing w:after="480"/>
        <w:jc w:val="both"/>
        <w:rPr>
          <w:lang w:val="fr-CA"/>
        </w:rPr>
      </w:pPr>
      <w:r w:rsidRPr="00AA709E">
        <w:rPr>
          <w:i/>
          <w:lang w:val="fr-CA"/>
        </w:rPr>
        <w:lastRenderedPageBreak/>
        <w:t>Loi sur la participation publique au capital d’Air Canada</w:t>
      </w:r>
      <w:r w:rsidRPr="00AA709E">
        <w:rPr>
          <w:lang w:val="fr-CA"/>
        </w:rPr>
        <w:t>, L.R.C. 1985, ch.</w:t>
      </w:r>
      <w:r w:rsidR="006412AC" w:rsidRPr="00AA709E">
        <w:rPr>
          <w:lang w:val="fr-CA"/>
        </w:rPr>
        <w:t xml:space="preserve"> </w:t>
      </w:r>
      <w:r w:rsidRPr="00AA709E">
        <w:rPr>
          <w:lang w:val="fr-CA"/>
        </w:rPr>
        <w:t>35 (4</w:t>
      </w:r>
      <w:r w:rsidRPr="00AA709E">
        <w:rPr>
          <w:vertAlign w:val="superscript"/>
          <w:lang w:val="fr-CA"/>
        </w:rPr>
        <w:t>e</w:t>
      </w:r>
      <w:r w:rsidR="006412AC" w:rsidRPr="00AA709E">
        <w:rPr>
          <w:lang w:val="fr-CA"/>
        </w:rPr>
        <w:t xml:space="preserve"> </w:t>
      </w:r>
      <w:r w:rsidRPr="00AA709E">
        <w:rPr>
          <w:lang w:val="fr-CA"/>
        </w:rPr>
        <w:t>suppl.)</w:t>
      </w:r>
    </w:p>
    <w:p w:rsidR="00367456" w:rsidRPr="00635936" w:rsidRDefault="00367456" w:rsidP="00AA709E">
      <w:pPr>
        <w:tabs>
          <w:tab w:val="left" w:pos="1260"/>
          <w:tab w:val="left" w:pos="1800"/>
        </w:tabs>
        <w:spacing w:after="240"/>
        <w:ind w:left="720"/>
        <w:jc w:val="both"/>
        <w:rPr>
          <w:lang w:val="fr-CA"/>
        </w:rPr>
      </w:pPr>
      <w:r>
        <w:rPr>
          <w:b/>
          <w:lang w:val="fr-CA"/>
        </w:rPr>
        <w:tab/>
      </w:r>
      <w:r w:rsidRPr="00635936">
        <w:rPr>
          <w:b/>
          <w:lang w:val="fr-CA"/>
        </w:rPr>
        <w:t>10.</w:t>
      </w:r>
      <w:r>
        <w:rPr>
          <w:lang w:val="fr-CA"/>
        </w:rPr>
        <w:t xml:space="preserve"> (1)</w:t>
      </w:r>
      <w:r>
        <w:rPr>
          <w:lang w:val="fr-CA"/>
        </w:rPr>
        <w:tab/>
      </w:r>
      <w:r w:rsidRPr="00635936">
        <w:rPr>
          <w:lang w:val="fr-CA"/>
        </w:rPr>
        <w:t xml:space="preserve">La </w:t>
      </w:r>
      <w:r w:rsidRPr="00635936">
        <w:rPr>
          <w:i/>
          <w:lang w:val="fr-CA"/>
        </w:rPr>
        <w:t>Loi sur les langues officielles</w:t>
      </w:r>
      <w:r w:rsidRPr="00635936">
        <w:rPr>
          <w:lang w:val="fr-CA"/>
        </w:rPr>
        <w:t xml:space="preserve"> s</w:t>
      </w:r>
      <w:r>
        <w:rPr>
          <w:lang w:val="fr-CA"/>
        </w:rPr>
        <w:t>’</w:t>
      </w:r>
      <w:r w:rsidRPr="00635936">
        <w:rPr>
          <w:lang w:val="fr-CA"/>
        </w:rPr>
        <w:t>applique à la Société [Air Canada].</w:t>
      </w:r>
    </w:p>
    <w:p w:rsidR="00367456" w:rsidRDefault="00367456" w:rsidP="00AA709E">
      <w:pPr>
        <w:tabs>
          <w:tab w:val="left" w:pos="1260"/>
          <w:tab w:val="left" w:pos="1800"/>
        </w:tabs>
        <w:spacing w:after="240"/>
        <w:ind w:left="720"/>
        <w:jc w:val="both"/>
        <w:rPr>
          <w:lang w:val="fr-CA"/>
        </w:rPr>
      </w:pPr>
      <w:r>
        <w:rPr>
          <w:lang w:val="fr-CA"/>
        </w:rPr>
        <w:tab/>
        <w:t>(2)</w:t>
      </w:r>
      <w:r>
        <w:rPr>
          <w:lang w:val="fr-CA"/>
        </w:rPr>
        <w:tab/>
        <w:t>Sous réserve du paragraphe</w:t>
      </w:r>
      <w:r w:rsidR="006412AC">
        <w:rPr>
          <w:lang w:val="fr-CA"/>
        </w:rPr>
        <w:t xml:space="preserve"> </w:t>
      </w:r>
      <w:r w:rsidRPr="00635936">
        <w:rPr>
          <w:lang w:val="fr-CA"/>
        </w:rPr>
        <w:t>(5), la Société est tenue de veiller à ce que les services aériens, y compris les services connexes, offerts par ses filiales à leurs clients le soient, et à ce que ces clients puissent communiquer avec celles</w:t>
      </w:r>
      <w:r w:rsidR="006412AC">
        <w:rPr>
          <w:lang w:val="fr-CA"/>
        </w:rPr>
        <w:t>-</w:t>
      </w:r>
      <w:r w:rsidRPr="00635936">
        <w:rPr>
          <w:lang w:val="fr-CA"/>
        </w:rPr>
        <w:t>ci relativement à ces services, dans l</w:t>
      </w:r>
      <w:r>
        <w:rPr>
          <w:lang w:val="fr-CA"/>
        </w:rPr>
        <w:t>’</w:t>
      </w:r>
      <w:r w:rsidRPr="00635936">
        <w:rPr>
          <w:lang w:val="fr-CA"/>
        </w:rPr>
        <w:t>une ou l</w:t>
      </w:r>
      <w:r>
        <w:rPr>
          <w:lang w:val="fr-CA"/>
        </w:rPr>
        <w:t>’</w:t>
      </w:r>
      <w:r w:rsidRPr="00635936">
        <w:rPr>
          <w:lang w:val="fr-CA"/>
        </w:rPr>
        <w:t>autre des langues officielles dans le cas où, offrant elle</w:t>
      </w:r>
      <w:r w:rsidR="006412AC">
        <w:rPr>
          <w:lang w:val="fr-CA"/>
        </w:rPr>
        <w:t>-</w:t>
      </w:r>
      <w:r w:rsidRPr="00635936">
        <w:rPr>
          <w:lang w:val="fr-CA"/>
        </w:rPr>
        <w:t>même les services, elle sera</w:t>
      </w:r>
      <w:r>
        <w:rPr>
          <w:lang w:val="fr-CA"/>
        </w:rPr>
        <w:t>it tenue, au titre de la partie</w:t>
      </w:r>
      <w:r w:rsidR="006412AC">
        <w:rPr>
          <w:lang w:val="fr-CA"/>
        </w:rPr>
        <w:t xml:space="preserve"> </w:t>
      </w:r>
      <w:r w:rsidRPr="00635936">
        <w:rPr>
          <w:lang w:val="fr-CA"/>
        </w:rPr>
        <w:t xml:space="preserve">IV de la </w:t>
      </w:r>
      <w:r w:rsidRPr="00635936">
        <w:rPr>
          <w:i/>
          <w:lang w:val="fr-CA"/>
        </w:rPr>
        <w:t>Loi sur les langues officielles</w:t>
      </w:r>
      <w:r w:rsidRPr="00635936">
        <w:rPr>
          <w:lang w:val="fr-CA"/>
        </w:rPr>
        <w:t>, à une telle obligation.</w:t>
      </w:r>
    </w:p>
    <w:p w:rsidR="00367456" w:rsidRDefault="00A12DCE" w:rsidP="00AA709E">
      <w:pPr>
        <w:widowControl w:val="0"/>
        <w:tabs>
          <w:tab w:val="left" w:pos="709"/>
          <w:tab w:val="left" w:pos="1134"/>
        </w:tabs>
        <w:spacing w:after="720"/>
        <w:jc w:val="center"/>
        <w:rPr>
          <w:lang w:val="fr-CA"/>
        </w:rPr>
      </w:pPr>
      <w:r>
        <w:rPr>
          <w:lang w:val="fr-CA"/>
        </w:rPr>
        <w:t>. . .</w:t>
      </w:r>
    </w:p>
    <w:p w:rsidR="00367456" w:rsidRPr="00AA709E" w:rsidRDefault="00367456" w:rsidP="00AA709E">
      <w:pPr>
        <w:widowControl w:val="0"/>
        <w:spacing w:after="480"/>
        <w:jc w:val="both"/>
        <w:rPr>
          <w:lang w:val="fr-CA"/>
        </w:rPr>
      </w:pPr>
      <w:r w:rsidRPr="00AA709E">
        <w:rPr>
          <w:i/>
          <w:lang w:val="fr-CA"/>
        </w:rPr>
        <w:t>Loi sur les langues officielles</w:t>
      </w:r>
      <w:r w:rsidRPr="00AA709E">
        <w:rPr>
          <w:lang w:val="fr-CA"/>
        </w:rPr>
        <w:t>, L.R.C. 1985, ch.</w:t>
      </w:r>
      <w:r w:rsidR="006412AC" w:rsidRPr="00AA709E">
        <w:rPr>
          <w:lang w:val="fr-CA"/>
        </w:rPr>
        <w:t xml:space="preserve"> </w:t>
      </w:r>
      <w:r w:rsidRPr="00AA709E">
        <w:rPr>
          <w:lang w:val="fr-CA"/>
        </w:rPr>
        <w:t>31 (4</w:t>
      </w:r>
      <w:r w:rsidRPr="00AA709E">
        <w:rPr>
          <w:vertAlign w:val="superscript"/>
          <w:lang w:val="fr-CA"/>
        </w:rPr>
        <w:t>e</w:t>
      </w:r>
      <w:r w:rsidRPr="00AA709E">
        <w:rPr>
          <w:lang w:val="fr-CA"/>
        </w:rPr>
        <w:t xml:space="preserve"> suppl.)</w:t>
      </w:r>
    </w:p>
    <w:p w:rsidR="00367456" w:rsidRPr="00BB38B8" w:rsidRDefault="00367456" w:rsidP="00AA709E">
      <w:pPr>
        <w:tabs>
          <w:tab w:val="left" w:pos="1260"/>
          <w:tab w:val="left" w:pos="1800"/>
        </w:tabs>
        <w:spacing w:after="240"/>
        <w:ind w:left="720"/>
        <w:jc w:val="both"/>
        <w:rPr>
          <w:lang w:val="fr-CA"/>
        </w:rPr>
      </w:pPr>
      <w:r w:rsidRPr="00BB38B8">
        <w:rPr>
          <w:b/>
          <w:lang w:val="fr-CA"/>
        </w:rPr>
        <w:tab/>
        <w:t>2.</w:t>
      </w:r>
      <w:r w:rsidRPr="00BB38B8">
        <w:rPr>
          <w:lang w:val="fr-CA"/>
        </w:rPr>
        <w:tab/>
        <w:t>La présente loi a pour objet</w:t>
      </w:r>
      <w:r w:rsidR="006412AC">
        <w:rPr>
          <w:lang w:val="fr-CA"/>
        </w:rPr>
        <w:t> :</w:t>
      </w:r>
    </w:p>
    <w:p w:rsidR="00367456" w:rsidRPr="00BB38B8" w:rsidRDefault="00367456" w:rsidP="00AA709E">
      <w:pPr>
        <w:tabs>
          <w:tab w:val="left" w:pos="1800"/>
        </w:tabs>
        <w:spacing w:after="240"/>
        <w:ind w:left="1260"/>
        <w:jc w:val="both"/>
        <w:rPr>
          <w:lang w:val="fr-CA"/>
        </w:rPr>
      </w:pPr>
      <w:r w:rsidRPr="00BB38B8">
        <w:rPr>
          <w:i/>
          <w:lang w:val="fr-CA"/>
        </w:rPr>
        <w:t>a</w:t>
      </w:r>
      <w:r w:rsidRPr="00BB38B8">
        <w:rPr>
          <w:lang w:val="fr-CA"/>
        </w:rPr>
        <w:t>) d’assurer le respect du français et de l’anglais à titre de langues officielles du Canada, leur égalité de statut et l’égalité de droits et privilèges quant à leur usage dans les institutions fédérales, notamment en ce qui touche les débats et travaux du Parlement, les actes législatifs et autres, l’administration de la justice, les communications avec le public et la prestation des s</w:t>
      </w:r>
      <w:r w:rsidR="00AA709E">
        <w:rPr>
          <w:lang w:val="fr-CA"/>
        </w:rPr>
        <w:t>ervices, ainsi que la mise en œ</w:t>
      </w:r>
      <w:r w:rsidRPr="00BB38B8">
        <w:rPr>
          <w:lang w:val="fr-CA"/>
        </w:rPr>
        <w:t>uvre des objectifs de ces institutions;</w:t>
      </w:r>
    </w:p>
    <w:p w:rsidR="00367456" w:rsidRPr="00BB38B8" w:rsidRDefault="00367456" w:rsidP="00AA709E">
      <w:pPr>
        <w:tabs>
          <w:tab w:val="left" w:pos="1800"/>
        </w:tabs>
        <w:spacing w:after="240"/>
        <w:ind w:left="1260"/>
        <w:jc w:val="both"/>
        <w:rPr>
          <w:lang w:val="fr-CA"/>
        </w:rPr>
      </w:pPr>
      <w:r w:rsidRPr="00BB38B8">
        <w:rPr>
          <w:i/>
          <w:lang w:val="fr-CA"/>
        </w:rPr>
        <w:t>b</w:t>
      </w:r>
      <w:r w:rsidRPr="00BB38B8">
        <w:rPr>
          <w:lang w:val="fr-CA"/>
        </w:rPr>
        <w:t>) d’appuyer le développement des minorités francophones et anglophones et, d’une façon générale, de favoriser, au sein de la société canadienne, la progression vers l’égalité de statut et d’usage du français et de l’anglais;</w:t>
      </w:r>
    </w:p>
    <w:p w:rsidR="00367456" w:rsidRPr="00BB38B8" w:rsidRDefault="00367456" w:rsidP="00AA709E">
      <w:pPr>
        <w:tabs>
          <w:tab w:val="left" w:pos="1800"/>
        </w:tabs>
        <w:spacing w:after="240"/>
        <w:ind w:left="1260"/>
        <w:jc w:val="both"/>
        <w:rPr>
          <w:lang w:val="fr-CA"/>
        </w:rPr>
      </w:pPr>
      <w:r w:rsidRPr="00BB38B8">
        <w:rPr>
          <w:i/>
          <w:lang w:val="fr-CA"/>
        </w:rPr>
        <w:t>c</w:t>
      </w:r>
      <w:r w:rsidRPr="00BB38B8">
        <w:rPr>
          <w:lang w:val="fr-CA"/>
        </w:rPr>
        <w:t>) de préciser les pouvoirs et les obligations des institutions fédérales en matière de langues officielles.</w:t>
      </w:r>
    </w:p>
    <w:p w:rsidR="00367456" w:rsidRPr="00E27552" w:rsidRDefault="00367456" w:rsidP="00AA709E">
      <w:pPr>
        <w:tabs>
          <w:tab w:val="left" w:pos="1260"/>
          <w:tab w:val="left" w:pos="1800"/>
        </w:tabs>
        <w:spacing w:after="240"/>
        <w:ind w:left="720"/>
        <w:jc w:val="both"/>
        <w:rPr>
          <w:lang w:val="fr-CA"/>
        </w:rPr>
      </w:pPr>
      <w:r>
        <w:rPr>
          <w:b/>
          <w:lang w:val="fr-CA"/>
        </w:rPr>
        <w:tab/>
      </w:r>
      <w:r w:rsidRPr="00E27552">
        <w:rPr>
          <w:b/>
          <w:lang w:val="fr-CA"/>
        </w:rPr>
        <w:t>22.</w:t>
      </w:r>
      <w:r w:rsidRPr="00E27552">
        <w:rPr>
          <w:lang w:val="fr-CA"/>
        </w:rPr>
        <w:tab/>
        <w:t>Il incombe aux institutions fédérales de veiller à ce que le public puisse communiquer avec leur siège ou leur administration centrale, et en recevoir les services, dans l</w:t>
      </w:r>
      <w:r>
        <w:rPr>
          <w:lang w:val="fr-CA"/>
        </w:rPr>
        <w:t>’</w:t>
      </w:r>
      <w:r w:rsidRPr="00E27552">
        <w:rPr>
          <w:lang w:val="fr-CA"/>
        </w:rPr>
        <w:t>une ou l</w:t>
      </w:r>
      <w:r>
        <w:rPr>
          <w:lang w:val="fr-CA"/>
        </w:rPr>
        <w:t>’</w:t>
      </w:r>
      <w:r w:rsidRPr="00E27552">
        <w:rPr>
          <w:lang w:val="fr-CA"/>
        </w:rPr>
        <w:t>autre des langues officielles. Cette obligation vaut également pour leurs bureaux — auxquels sont assimilés, pour l</w:t>
      </w:r>
      <w:r>
        <w:rPr>
          <w:lang w:val="fr-CA"/>
        </w:rPr>
        <w:t>’</w:t>
      </w:r>
      <w:r w:rsidRPr="00E27552">
        <w:rPr>
          <w:lang w:val="fr-CA"/>
        </w:rPr>
        <w:t>application de la présente partie, tous autres lieux où ces institutions offrent des services — situés soit dans la région de la capitale nationale, soit là où, au Canada comme à l</w:t>
      </w:r>
      <w:r>
        <w:rPr>
          <w:lang w:val="fr-CA"/>
        </w:rPr>
        <w:t>’</w:t>
      </w:r>
      <w:r w:rsidRPr="00E27552">
        <w:rPr>
          <w:lang w:val="fr-CA"/>
        </w:rPr>
        <w:t>étranger, l</w:t>
      </w:r>
      <w:r>
        <w:rPr>
          <w:lang w:val="fr-CA"/>
        </w:rPr>
        <w:t>’</w:t>
      </w:r>
      <w:r w:rsidRPr="00E27552">
        <w:rPr>
          <w:lang w:val="fr-CA"/>
        </w:rPr>
        <w:t>emploi de cette langue fait l</w:t>
      </w:r>
      <w:r>
        <w:rPr>
          <w:lang w:val="fr-CA"/>
        </w:rPr>
        <w:t>’</w:t>
      </w:r>
      <w:r w:rsidRPr="00E27552">
        <w:rPr>
          <w:lang w:val="fr-CA"/>
        </w:rPr>
        <w:t>objet d</w:t>
      </w:r>
      <w:r>
        <w:rPr>
          <w:lang w:val="fr-CA"/>
        </w:rPr>
        <w:t>’</w:t>
      </w:r>
      <w:r w:rsidRPr="00E27552">
        <w:rPr>
          <w:lang w:val="fr-CA"/>
        </w:rPr>
        <w:t>une demande importante.</w:t>
      </w:r>
    </w:p>
    <w:p w:rsidR="00367456" w:rsidRPr="00BB38B8" w:rsidRDefault="00367456" w:rsidP="00AA709E">
      <w:pPr>
        <w:tabs>
          <w:tab w:val="left" w:pos="1260"/>
          <w:tab w:val="left" w:pos="1800"/>
        </w:tabs>
        <w:spacing w:after="240"/>
        <w:ind w:left="720"/>
        <w:jc w:val="both"/>
        <w:rPr>
          <w:lang w:val="fr-CA"/>
        </w:rPr>
      </w:pPr>
      <w:r w:rsidRPr="00BB38B8">
        <w:rPr>
          <w:b/>
          <w:lang w:val="fr-CA"/>
        </w:rPr>
        <w:tab/>
        <w:t>76.</w:t>
      </w:r>
      <w:r w:rsidRPr="00BB38B8">
        <w:rPr>
          <w:b/>
          <w:lang w:val="fr-CA"/>
        </w:rPr>
        <w:tab/>
      </w:r>
      <w:r w:rsidRPr="00BB38B8">
        <w:rPr>
          <w:lang w:val="fr-CA"/>
        </w:rPr>
        <w:t>Le tribunal visé à la présente partie est la Cour fédérale.</w:t>
      </w:r>
    </w:p>
    <w:p w:rsidR="00367456" w:rsidRPr="00BB38B8" w:rsidRDefault="00367456" w:rsidP="00AA709E">
      <w:pPr>
        <w:tabs>
          <w:tab w:val="left" w:pos="1260"/>
          <w:tab w:val="left" w:pos="1800"/>
        </w:tabs>
        <w:spacing w:after="240"/>
        <w:ind w:left="720"/>
        <w:jc w:val="both"/>
        <w:rPr>
          <w:lang w:val="fr-CA"/>
        </w:rPr>
      </w:pPr>
      <w:r w:rsidRPr="00E27552">
        <w:rPr>
          <w:b/>
          <w:lang w:val="fr-CA"/>
        </w:rPr>
        <w:lastRenderedPageBreak/>
        <w:tab/>
        <w:t>77.</w:t>
      </w:r>
      <w:r>
        <w:rPr>
          <w:b/>
          <w:lang w:val="fr-CA"/>
        </w:rPr>
        <w:t xml:space="preserve"> </w:t>
      </w:r>
      <w:r w:rsidRPr="00BB38B8">
        <w:rPr>
          <w:lang w:val="fr-CA"/>
        </w:rPr>
        <w:t>(1) Quiconque a saisi le commissaire d’une plainte visant une obligation ou un droit prévus aux articles 4 à 7 et 10 à 13 ou aux parties IV, V, ou VII, ou fondée sur l’article 91, peut former un recours devant le tribunal sous le régime de la présente partie.</w:t>
      </w:r>
    </w:p>
    <w:p w:rsidR="00367456" w:rsidRPr="00BB38B8" w:rsidRDefault="00A12DCE" w:rsidP="00A12DCE">
      <w:pPr>
        <w:widowControl w:val="0"/>
        <w:tabs>
          <w:tab w:val="left" w:pos="720"/>
          <w:tab w:val="left" w:pos="1170"/>
        </w:tabs>
        <w:spacing w:after="240"/>
        <w:jc w:val="center"/>
        <w:rPr>
          <w:lang w:val="fr-CA"/>
        </w:rPr>
      </w:pPr>
      <w:r>
        <w:rPr>
          <w:lang w:val="fr-CA"/>
        </w:rPr>
        <w:t>. . .</w:t>
      </w:r>
    </w:p>
    <w:p w:rsidR="00367456" w:rsidRDefault="00367456" w:rsidP="00AA709E">
      <w:pPr>
        <w:tabs>
          <w:tab w:val="left" w:pos="1260"/>
          <w:tab w:val="left" w:pos="1800"/>
        </w:tabs>
        <w:spacing w:after="240"/>
        <w:ind w:left="720"/>
        <w:jc w:val="both"/>
        <w:rPr>
          <w:lang w:val="fr-CA"/>
        </w:rPr>
      </w:pPr>
      <w:r w:rsidRPr="00E27552">
        <w:rPr>
          <w:lang w:val="fr-CA"/>
        </w:rPr>
        <w:tab/>
        <w:t>(4)</w:t>
      </w:r>
      <w:r w:rsidRPr="00E27552">
        <w:rPr>
          <w:lang w:val="fr-CA"/>
        </w:rPr>
        <w:tab/>
        <w:t>Le tribunal peut, s</w:t>
      </w:r>
      <w:r>
        <w:rPr>
          <w:lang w:val="fr-CA"/>
        </w:rPr>
        <w:t>’</w:t>
      </w:r>
      <w:r w:rsidRPr="00E27552">
        <w:rPr>
          <w:lang w:val="fr-CA"/>
        </w:rPr>
        <w:t>il estime qu</w:t>
      </w:r>
      <w:r>
        <w:rPr>
          <w:lang w:val="fr-CA"/>
        </w:rPr>
        <w:t>’</w:t>
      </w:r>
      <w:r w:rsidRPr="00E27552">
        <w:rPr>
          <w:lang w:val="fr-CA"/>
        </w:rPr>
        <w:t>une institution fédérale ne s</w:t>
      </w:r>
      <w:r>
        <w:rPr>
          <w:lang w:val="fr-CA"/>
        </w:rPr>
        <w:t>’</w:t>
      </w:r>
      <w:r w:rsidRPr="00E27552">
        <w:rPr>
          <w:lang w:val="fr-CA"/>
        </w:rPr>
        <w:t>est pas conformée à la présente loi, accorder la réparation qu</w:t>
      </w:r>
      <w:r>
        <w:rPr>
          <w:lang w:val="fr-CA"/>
        </w:rPr>
        <w:t>’</w:t>
      </w:r>
      <w:r w:rsidRPr="00E27552">
        <w:rPr>
          <w:lang w:val="fr-CA"/>
        </w:rPr>
        <w:t>il estime convenable et juste eu</w:t>
      </w:r>
      <w:r w:rsidRPr="00635936">
        <w:rPr>
          <w:lang w:val="fr-CA"/>
        </w:rPr>
        <w:t xml:space="preserve"> égard aux circonstances.</w:t>
      </w:r>
    </w:p>
    <w:p w:rsidR="00E77EA6" w:rsidRPr="00635936" w:rsidRDefault="00E77EA6" w:rsidP="00E77EA6">
      <w:pPr>
        <w:tabs>
          <w:tab w:val="left" w:pos="1260"/>
          <w:tab w:val="left" w:pos="1800"/>
        </w:tabs>
        <w:spacing w:after="240"/>
        <w:ind w:left="720"/>
        <w:jc w:val="center"/>
        <w:rPr>
          <w:lang w:val="fr-CA"/>
        </w:rPr>
      </w:pPr>
      <w:r>
        <w:rPr>
          <w:lang w:val="fr-CA"/>
        </w:rPr>
        <w:t>. . .</w:t>
      </w:r>
    </w:p>
    <w:p w:rsidR="00367456" w:rsidRPr="00BB38B8" w:rsidRDefault="00367456" w:rsidP="00AA709E">
      <w:pPr>
        <w:tabs>
          <w:tab w:val="left" w:pos="1260"/>
          <w:tab w:val="left" w:pos="1800"/>
        </w:tabs>
        <w:spacing w:after="240"/>
        <w:ind w:left="720"/>
        <w:jc w:val="both"/>
        <w:rPr>
          <w:lang w:val="fr-CA"/>
        </w:rPr>
      </w:pPr>
      <w:r w:rsidRPr="00BB38B8">
        <w:rPr>
          <w:b/>
          <w:lang w:val="fr-CA"/>
        </w:rPr>
        <w:tab/>
        <w:t>78.</w:t>
      </w:r>
      <w:r w:rsidRPr="00BB38B8">
        <w:rPr>
          <w:lang w:val="fr-CA"/>
        </w:rPr>
        <w:t xml:space="preserve"> (1) Le commissaire peut selon le cas</w:t>
      </w:r>
      <w:r w:rsidR="006412AC">
        <w:rPr>
          <w:lang w:val="fr-CA"/>
        </w:rPr>
        <w:t> :</w:t>
      </w:r>
    </w:p>
    <w:p w:rsidR="00367456" w:rsidRPr="00BB38B8" w:rsidRDefault="00367456" w:rsidP="00AA709E">
      <w:pPr>
        <w:tabs>
          <w:tab w:val="left" w:pos="1800"/>
        </w:tabs>
        <w:spacing w:after="240"/>
        <w:ind w:left="1260"/>
        <w:jc w:val="both"/>
        <w:rPr>
          <w:lang w:val="fr-CA"/>
        </w:rPr>
      </w:pPr>
      <w:proofErr w:type="gramStart"/>
      <w:r w:rsidRPr="00BB38B8">
        <w:rPr>
          <w:i/>
          <w:lang w:val="fr-CA"/>
        </w:rPr>
        <w:t>a</w:t>
      </w:r>
      <w:proofErr w:type="gramEnd"/>
      <w:r w:rsidRPr="00BB38B8">
        <w:rPr>
          <w:lang w:val="fr-CA"/>
        </w:rPr>
        <w:t>) exercer lui-même le recours, dans les soixante jours qui suivent la communication au plaignant des conclusions de l’enquête ou des recommandations visées au paragraphe 64(2) ou dans le délai supérieur accordé au titre du paragraphe 77(2), si le plaignant y consent;</w:t>
      </w:r>
    </w:p>
    <w:p w:rsidR="00367456" w:rsidRPr="0099431C" w:rsidRDefault="00367456" w:rsidP="00AA709E">
      <w:pPr>
        <w:tabs>
          <w:tab w:val="left" w:pos="1800"/>
        </w:tabs>
        <w:spacing w:after="240"/>
        <w:ind w:left="1260"/>
        <w:jc w:val="both"/>
        <w:rPr>
          <w:lang w:val="fr-CA"/>
        </w:rPr>
      </w:pPr>
      <w:r w:rsidRPr="0099431C">
        <w:rPr>
          <w:i/>
          <w:lang w:val="fr-CA"/>
        </w:rPr>
        <w:t>b</w:t>
      </w:r>
      <w:r w:rsidRPr="0099431C">
        <w:rPr>
          <w:lang w:val="fr-CA"/>
        </w:rPr>
        <w:t>) comparaître devant le tribunal pour le compte de l’auteur d’un recours;</w:t>
      </w:r>
    </w:p>
    <w:p w:rsidR="00367456" w:rsidRPr="0099431C" w:rsidRDefault="00367456" w:rsidP="00AA709E">
      <w:pPr>
        <w:tabs>
          <w:tab w:val="left" w:pos="1800"/>
        </w:tabs>
        <w:spacing w:after="240"/>
        <w:ind w:left="1260"/>
        <w:jc w:val="both"/>
        <w:rPr>
          <w:lang w:val="fr-CA"/>
        </w:rPr>
      </w:pPr>
      <w:r w:rsidRPr="0099431C">
        <w:rPr>
          <w:i/>
          <w:lang w:val="fr-CA"/>
        </w:rPr>
        <w:t>c</w:t>
      </w:r>
      <w:r w:rsidRPr="0099431C">
        <w:rPr>
          <w:lang w:val="fr-CA"/>
        </w:rPr>
        <w:t>) comparaître, avec l’autorisation du tribunal, comme partie à une instance engagée sur le fondement de la présente partie.</w:t>
      </w:r>
    </w:p>
    <w:p w:rsidR="00367456" w:rsidRPr="0099431C" w:rsidRDefault="00367456" w:rsidP="00AA709E">
      <w:pPr>
        <w:tabs>
          <w:tab w:val="left" w:pos="1260"/>
          <w:tab w:val="left" w:pos="1800"/>
        </w:tabs>
        <w:spacing w:after="240"/>
        <w:ind w:left="720"/>
        <w:jc w:val="both"/>
        <w:rPr>
          <w:lang w:val="fr-CA"/>
        </w:rPr>
      </w:pPr>
      <w:r w:rsidRPr="0099431C">
        <w:rPr>
          <w:lang w:val="fr-CA"/>
        </w:rPr>
        <w:tab/>
        <w:t>(2)</w:t>
      </w:r>
      <w:r w:rsidRPr="0099431C">
        <w:rPr>
          <w:lang w:val="fr-CA"/>
        </w:rPr>
        <w:tab/>
        <w:t>Dans le cas prévu à l’alinéa (1)</w:t>
      </w:r>
      <w:r w:rsidRPr="0099431C">
        <w:rPr>
          <w:i/>
          <w:lang w:val="fr-CA"/>
        </w:rPr>
        <w:t>a</w:t>
      </w:r>
      <w:r w:rsidRPr="0099431C">
        <w:rPr>
          <w:lang w:val="fr-CA"/>
        </w:rPr>
        <w:t>), le plaignant peut comparaître comme partie à l’instance.</w:t>
      </w:r>
    </w:p>
    <w:p w:rsidR="00367456" w:rsidRPr="0099431C" w:rsidRDefault="00367456" w:rsidP="00AA709E">
      <w:pPr>
        <w:tabs>
          <w:tab w:val="left" w:pos="1260"/>
          <w:tab w:val="left" w:pos="1800"/>
        </w:tabs>
        <w:spacing w:after="720"/>
        <w:ind w:left="720"/>
        <w:jc w:val="both"/>
        <w:rPr>
          <w:lang w:val="fr-CA"/>
        </w:rPr>
      </w:pPr>
      <w:r w:rsidRPr="0099431C">
        <w:rPr>
          <w:lang w:val="fr-CA"/>
        </w:rPr>
        <w:tab/>
        <w:t>(3)</w:t>
      </w:r>
      <w:r w:rsidRPr="0099431C">
        <w:rPr>
          <w:lang w:val="fr-CA"/>
        </w:rPr>
        <w:tab/>
        <w:t>Le présent article n’a pas pour effet de porter atteinte au pouvoir du commissaire de demander l’autorisation d’intervenir dans toute instance judiciaire relative au statut ou à l’usage du français ou de l’anglais.</w:t>
      </w:r>
    </w:p>
    <w:p w:rsidR="00367456" w:rsidRPr="00AA709E" w:rsidRDefault="00367456" w:rsidP="00AA709E">
      <w:pPr>
        <w:widowControl w:val="0"/>
        <w:spacing w:after="480"/>
        <w:jc w:val="both"/>
        <w:rPr>
          <w:i/>
          <w:lang w:val="fr-CA"/>
        </w:rPr>
      </w:pPr>
      <w:r w:rsidRPr="00AA709E">
        <w:rPr>
          <w:i/>
          <w:lang w:val="fr-CA"/>
        </w:rPr>
        <w:t>Charte canadienne des droits et libertés</w:t>
      </w:r>
    </w:p>
    <w:p w:rsidR="00367456" w:rsidRPr="0099431C" w:rsidRDefault="00367456" w:rsidP="00AA709E">
      <w:pPr>
        <w:tabs>
          <w:tab w:val="left" w:pos="1260"/>
          <w:tab w:val="left" w:pos="1800"/>
        </w:tabs>
        <w:spacing w:after="240"/>
        <w:ind w:left="720"/>
        <w:jc w:val="both"/>
        <w:rPr>
          <w:lang w:val="fr-CA"/>
        </w:rPr>
      </w:pPr>
      <w:r w:rsidRPr="0099431C">
        <w:rPr>
          <w:b/>
          <w:lang w:val="fr-CA"/>
        </w:rPr>
        <w:tab/>
        <w:t>16.</w:t>
      </w:r>
      <w:r w:rsidRPr="0099431C">
        <w:rPr>
          <w:lang w:val="fr-CA"/>
        </w:rPr>
        <w:t xml:space="preserve"> (1) Le français et l’anglais sont les langues officielles du Canada; ils ont un statut et des droits et privilèges égaux quant à leur usage dans les institutions du Parlement et du gouvernement du Canada.</w:t>
      </w:r>
    </w:p>
    <w:p w:rsidR="00367456" w:rsidRPr="0099431C" w:rsidRDefault="00367456" w:rsidP="00AA709E">
      <w:pPr>
        <w:tabs>
          <w:tab w:val="left" w:pos="1260"/>
          <w:tab w:val="left" w:pos="1800"/>
        </w:tabs>
        <w:spacing w:after="240"/>
        <w:ind w:left="720"/>
        <w:jc w:val="both"/>
        <w:rPr>
          <w:lang w:val="fr-CA"/>
        </w:rPr>
      </w:pPr>
      <w:r w:rsidRPr="0099431C">
        <w:rPr>
          <w:lang w:val="fr-CA"/>
        </w:rPr>
        <w:tab/>
        <w:t>(2)</w:t>
      </w:r>
      <w:r w:rsidRPr="0099431C">
        <w:rPr>
          <w:lang w:val="fr-CA"/>
        </w:rPr>
        <w:tab/>
        <w:t>Le français et l’anglais sont les langues officielles du Nouveau-Brunswick; ils ont un statut et des droits et privilèges égaux quant à leur usage dans les institutions de la Législature et du gouvernement du Nouveau-Brunswick.</w:t>
      </w:r>
    </w:p>
    <w:p w:rsidR="00367456" w:rsidRPr="0099431C" w:rsidRDefault="00367456" w:rsidP="00AA709E">
      <w:pPr>
        <w:tabs>
          <w:tab w:val="left" w:pos="1260"/>
          <w:tab w:val="left" w:pos="1800"/>
        </w:tabs>
        <w:spacing w:after="240"/>
        <w:ind w:left="720"/>
        <w:jc w:val="both"/>
        <w:rPr>
          <w:lang w:val="fr-CA"/>
        </w:rPr>
      </w:pPr>
      <w:r w:rsidRPr="0099431C">
        <w:rPr>
          <w:lang w:val="fr-CA"/>
        </w:rPr>
        <w:lastRenderedPageBreak/>
        <w:tab/>
        <w:t>(3)</w:t>
      </w:r>
      <w:r w:rsidRPr="0099431C">
        <w:rPr>
          <w:lang w:val="fr-CA"/>
        </w:rPr>
        <w:tab/>
        <w:t>La présente charte ne limite pas le pouvoir du Parlement et des législatures de favoriser la progression vers l’égalité de statut ou d’usage du français et de l’anglais.</w:t>
      </w:r>
    </w:p>
    <w:p w:rsidR="00367456" w:rsidRPr="0099431C" w:rsidRDefault="00367456" w:rsidP="00AA709E">
      <w:pPr>
        <w:tabs>
          <w:tab w:val="left" w:pos="1260"/>
          <w:tab w:val="left" w:pos="1800"/>
        </w:tabs>
        <w:spacing w:after="240"/>
        <w:ind w:left="720"/>
        <w:jc w:val="both"/>
        <w:rPr>
          <w:lang w:val="fr-CA"/>
        </w:rPr>
      </w:pPr>
      <w:r w:rsidRPr="0099431C">
        <w:rPr>
          <w:b/>
          <w:lang w:val="fr-CA"/>
        </w:rPr>
        <w:tab/>
        <w:t>24.</w:t>
      </w:r>
      <w:r w:rsidRPr="0099431C">
        <w:rPr>
          <w:lang w:val="fr-CA"/>
        </w:rPr>
        <w:t xml:space="preserve"> (1) Toute personne, victime de violation ou de négation des droits ou libertés qui lui sont garantis par la présente charte, peut s’adresser à un tribunal compétent pour obtenir la réparation que le tribunal estime convenable et juste eu égard aux circonstances.</w:t>
      </w:r>
    </w:p>
    <w:p w:rsidR="00367456" w:rsidRPr="0099431C" w:rsidRDefault="00A12DCE" w:rsidP="00AA709E">
      <w:pPr>
        <w:widowControl w:val="0"/>
        <w:spacing w:after="720"/>
        <w:ind w:left="720"/>
        <w:jc w:val="center"/>
        <w:rPr>
          <w:lang w:val="fr-CA"/>
        </w:rPr>
      </w:pPr>
      <w:r>
        <w:rPr>
          <w:lang w:val="fr-CA"/>
        </w:rPr>
        <w:t>. . .</w:t>
      </w:r>
    </w:p>
    <w:p w:rsidR="00367456" w:rsidRPr="00AA709E" w:rsidRDefault="00367456" w:rsidP="00AA709E">
      <w:pPr>
        <w:widowControl w:val="0"/>
        <w:spacing w:after="480"/>
        <w:jc w:val="both"/>
        <w:rPr>
          <w:lang w:val="fr-CA"/>
        </w:rPr>
      </w:pPr>
      <w:r w:rsidRPr="00AA709E">
        <w:rPr>
          <w:i/>
          <w:szCs w:val="24"/>
          <w:lang w:val="fr-CA"/>
        </w:rPr>
        <w:t>Convention de Vienne sur le droit des traités</w:t>
      </w:r>
      <w:r w:rsidRPr="00AA709E">
        <w:rPr>
          <w:szCs w:val="24"/>
          <w:lang w:val="fr-CA"/>
        </w:rPr>
        <w:t xml:space="preserve">, R.T. Can. 1980 </w:t>
      </w:r>
      <w:proofErr w:type="gramStart"/>
      <w:r w:rsidRPr="00AA709E">
        <w:rPr>
          <w:szCs w:val="24"/>
          <w:lang w:val="fr-CA"/>
        </w:rPr>
        <w:t>n</w:t>
      </w:r>
      <w:r w:rsidRPr="00AA709E">
        <w:rPr>
          <w:szCs w:val="24"/>
          <w:vertAlign w:val="superscript"/>
          <w:lang w:val="fr-CA"/>
        </w:rPr>
        <w:t>o</w:t>
      </w:r>
      <w:proofErr w:type="gramEnd"/>
      <w:r w:rsidR="006412AC" w:rsidRPr="00AA709E">
        <w:rPr>
          <w:szCs w:val="24"/>
          <w:lang w:val="fr-CA"/>
        </w:rPr>
        <w:t xml:space="preserve"> </w:t>
      </w:r>
      <w:r w:rsidRPr="00AA709E">
        <w:rPr>
          <w:szCs w:val="24"/>
          <w:lang w:val="fr-CA"/>
        </w:rPr>
        <w:t>37</w:t>
      </w:r>
    </w:p>
    <w:p w:rsidR="00AA709E" w:rsidRPr="00B74B00" w:rsidRDefault="00367456" w:rsidP="00AA709E">
      <w:pPr>
        <w:widowControl w:val="0"/>
        <w:spacing w:after="240"/>
        <w:ind w:left="720"/>
        <w:jc w:val="center"/>
        <w:rPr>
          <w:smallCaps/>
          <w:lang w:val="fr-CA"/>
        </w:rPr>
      </w:pPr>
      <w:r w:rsidRPr="00B74B00">
        <w:rPr>
          <w:smallCaps/>
          <w:lang w:val="fr-CA"/>
        </w:rPr>
        <w:t>Article 31</w:t>
      </w:r>
    </w:p>
    <w:p w:rsidR="00367456" w:rsidRPr="00AA709E" w:rsidRDefault="00367456" w:rsidP="00AA709E">
      <w:pPr>
        <w:widowControl w:val="0"/>
        <w:spacing w:after="240"/>
        <w:ind w:left="720"/>
        <w:jc w:val="center"/>
        <w:rPr>
          <w:i/>
          <w:lang w:val="fr-CA"/>
        </w:rPr>
      </w:pPr>
      <w:r w:rsidRPr="00AA709E">
        <w:rPr>
          <w:i/>
          <w:lang w:val="fr-CA"/>
        </w:rPr>
        <w:t>Règle générale d’interprétation</w:t>
      </w:r>
    </w:p>
    <w:p w:rsidR="00367456" w:rsidRPr="0099431C" w:rsidRDefault="00367456" w:rsidP="00B74B00">
      <w:pPr>
        <w:tabs>
          <w:tab w:val="left" w:pos="1260"/>
          <w:tab w:val="left" w:pos="1800"/>
        </w:tabs>
        <w:spacing w:after="240"/>
        <w:ind w:left="720"/>
        <w:jc w:val="both"/>
        <w:rPr>
          <w:lang w:val="fr-CA"/>
        </w:rPr>
      </w:pPr>
      <w:r w:rsidRPr="0099431C">
        <w:rPr>
          <w:lang w:val="fr-CA"/>
        </w:rPr>
        <w:tab/>
        <w:t>1.</w:t>
      </w:r>
      <w:r w:rsidRPr="0099431C">
        <w:rPr>
          <w:lang w:val="fr-CA"/>
        </w:rPr>
        <w:tab/>
        <w:t>Un traité doit être interprété de bonne foi suivant le sens ordinaire à attribuer aux termes du traité dans leur contexte et à la lumière de son objet et de son but.</w:t>
      </w:r>
    </w:p>
    <w:p w:rsidR="00367456" w:rsidRPr="0099431C" w:rsidRDefault="00367456" w:rsidP="00B74B00">
      <w:pPr>
        <w:tabs>
          <w:tab w:val="left" w:pos="1260"/>
          <w:tab w:val="left" w:pos="1800"/>
        </w:tabs>
        <w:spacing w:after="240"/>
        <w:ind w:left="720"/>
        <w:jc w:val="both"/>
        <w:rPr>
          <w:lang w:val="fr-CA"/>
        </w:rPr>
      </w:pPr>
      <w:r w:rsidRPr="0099431C">
        <w:rPr>
          <w:lang w:val="fr-CA"/>
        </w:rPr>
        <w:tab/>
        <w:t>2.</w:t>
      </w:r>
      <w:r w:rsidRPr="0099431C">
        <w:rPr>
          <w:lang w:val="fr-CA"/>
        </w:rPr>
        <w:tab/>
        <w:t>Aux fins de l’interprétation d’un traité, le contexte comprend, outre le texte, préambule et annexes inclus</w:t>
      </w:r>
      <w:r w:rsidR="006412AC">
        <w:rPr>
          <w:lang w:val="fr-CA"/>
        </w:rPr>
        <w:t> :</w:t>
      </w:r>
    </w:p>
    <w:p w:rsidR="00367456" w:rsidRPr="0099431C" w:rsidRDefault="00367456" w:rsidP="00B74B00">
      <w:pPr>
        <w:tabs>
          <w:tab w:val="left" w:pos="1800"/>
        </w:tabs>
        <w:spacing w:after="240"/>
        <w:ind w:left="1800" w:hanging="540"/>
        <w:jc w:val="both"/>
        <w:rPr>
          <w:lang w:val="fr-CA"/>
        </w:rPr>
      </w:pPr>
      <w:r w:rsidRPr="00B74B00">
        <w:rPr>
          <w:lang w:val="fr-CA"/>
        </w:rPr>
        <w:t>a</w:t>
      </w:r>
      <w:r w:rsidRPr="0099431C">
        <w:rPr>
          <w:lang w:val="fr-CA"/>
        </w:rPr>
        <w:t>)</w:t>
      </w:r>
      <w:r w:rsidRPr="0099431C">
        <w:rPr>
          <w:lang w:val="fr-CA"/>
        </w:rPr>
        <w:tab/>
        <w:t xml:space="preserve">tout </w:t>
      </w:r>
      <w:r w:rsidRPr="009813F5">
        <w:rPr>
          <w:lang w:val="fr-CA"/>
        </w:rPr>
        <w:t>accord</w:t>
      </w:r>
      <w:r w:rsidRPr="0099431C">
        <w:rPr>
          <w:lang w:val="fr-CA"/>
        </w:rPr>
        <w:t xml:space="preserve"> ayant rapport au traité et qui est intervenu entre toutes les parties à l’occasion de la conclusion du traité;</w:t>
      </w:r>
    </w:p>
    <w:p w:rsidR="00367456" w:rsidRPr="0099431C" w:rsidRDefault="00367456" w:rsidP="00B74B00">
      <w:pPr>
        <w:tabs>
          <w:tab w:val="left" w:pos="1800"/>
        </w:tabs>
        <w:spacing w:after="240"/>
        <w:ind w:left="1800" w:hanging="540"/>
        <w:jc w:val="both"/>
        <w:rPr>
          <w:lang w:val="fr-CA"/>
        </w:rPr>
      </w:pPr>
      <w:r w:rsidRPr="00B74B00">
        <w:rPr>
          <w:lang w:val="fr-CA"/>
        </w:rPr>
        <w:t>b</w:t>
      </w:r>
      <w:r w:rsidRPr="0099431C">
        <w:rPr>
          <w:lang w:val="fr-CA"/>
        </w:rPr>
        <w:t>)</w:t>
      </w:r>
      <w:r w:rsidRPr="0099431C">
        <w:rPr>
          <w:lang w:val="fr-CA"/>
        </w:rPr>
        <w:tab/>
        <w:t xml:space="preserve">tout instrument établi par une ou plusieurs parties à l’occasion de la conclusion du traité et accepté par les autres parties en tant </w:t>
      </w:r>
      <w:r w:rsidRPr="009813F5">
        <w:rPr>
          <w:lang w:val="fr-CA"/>
        </w:rPr>
        <w:t>qu’instrument</w:t>
      </w:r>
      <w:r w:rsidRPr="0099431C">
        <w:rPr>
          <w:lang w:val="fr-CA"/>
        </w:rPr>
        <w:t xml:space="preserve"> ayant </w:t>
      </w:r>
      <w:r w:rsidRPr="009813F5">
        <w:rPr>
          <w:lang w:val="fr-CA"/>
        </w:rPr>
        <w:t>rapport</w:t>
      </w:r>
      <w:r w:rsidRPr="0099431C">
        <w:rPr>
          <w:lang w:val="fr-CA"/>
        </w:rPr>
        <w:t xml:space="preserve"> au traité.</w:t>
      </w:r>
    </w:p>
    <w:p w:rsidR="00367456" w:rsidRPr="0099431C" w:rsidRDefault="00367456" w:rsidP="00B74B00">
      <w:pPr>
        <w:tabs>
          <w:tab w:val="left" w:pos="1260"/>
          <w:tab w:val="left" w:pos="1800"/>
        </w:tabs>
        <w:spacing w:after="240"/>
        <w:ind w:left="720"/>
        <w:jc w:val="both"/>
        <w:rPr>
          <w:lang w:val="fr-CA"/>
        </w:rPr>
      </w:pPr>
      <w:r w:rsidRPr="0099431C">
        <w:rPr>
          <w:lang w:val="fr-CA"/>
        </w:rPr>
        <w:tab/>
        <w:t>3.</w:t>
      </w:r>
      <w:r w:rsidRPr="0099431C">
        <w:rPr>
          <w:lang w:val="fr-CA"/>
        </w:rPr>
        <w:tab/>
        <w:t>Il sera tenu compte, en même temps que du contexte</w:t>
      </w:r>
      <w:r w:rsidR="006412AC">
        <w:rPr>
          <w:lang w:val="fr-CA"/>
        </w:rPr>
        <w:t> :</w:t>
      </w:r>
    </w:p>
    <w:p w:rsidR="00367456" w:rsidRPr="0099431C" w:rsidRDefault="00367456" w:rsidP="00B74B00">
      <w:pPr>
        <w:tabs>
          <w:tab w:val="left" w:pos="1800"/>
        </w:tabs>
        <w:spacing w:after="240"/>
        <w:ind w:left="1800" w:hanging="540"/>
        <w:jc w:val="both"/>
        <w:rPr>
          <w:lang w:val="fr-CA"/>
        </w:rPr>
      </w:pPr>
      <w:r w:rsidRPr="00B74B00">
        <w:rPr>
          <w:lang w:val="fr-CA"/>
        </w:rPr>
        <w:t>a</w:t>
      </w:r>
      <w:r w:rsidRPr="0099431C">
        <w:rPr>
          <w:lang w:val="fr-CA"/>
        </w:rPr>
        <w:t>)</w:t>
      </w:r>
      <w:r w:rsidRPr="0099431C">
        <w:rPr>
          <w:lang w:val="fr-CA"/>
        </w:rPr>
        <w:tab/>
        <w:t xml:space="preserve">de tout </w:t>
      </w:r>
      <w:r w:rsidRPr="009813F5">
        <w:rPr>
          <w:lang w:val="fr-CA"/>
        </w:rPr>
        <w:t>accord</w:t>
      </w:r>
      <w:r w:rsidRPr="0099431C">
        <w:rPr>
          <w:lang w:val="fr-CA"/>
        </w:rPr>
        <w:t xml:space="preserve"> ultérieur intervenu entre les parties au sujet de </w:t>
      </w:r>
      <w:r w:rsidRPr="009813F5">
        <w:rPr>
          <w:lang w:val="fr-CA"/>
        </w:rPr>
        <w:t>l’interprétation</w:t>
      </w:r>
      <w:r w:rsidRPr="0099431C">
        <w:rPr>
          <w:lang w:val="fr-CA"/>
        </w:rPr>
        <w:t xml:space="preserve"> du traité ou de l’application de ses dispositions;</w:t>
      </w:r>
    </w:p>
    <w:p w:rsidR="00367456" w:rsidRPr="0099431C" w:rsidRDefault="00367456" w:rsidP="00B74B00">
      <w:pPr>
        <w:tabs>
          <w:tab w:val="left" w:pos="1800"/>
        </w:tabs>
        <w:spacing w:after="240"/>
        <w:ind w:left="1800" w:hanging="540"/>
        <w:jc w:val="both"/>
        <w:rPr>
          <w:lang w:val="fr-CA"/>
        </w:rPr>
      </w:pPr>
      <w:r w:rsidRPr="00B74B00">
        <w:rPr>
          <w:lang w:val="fr-CA"/>
        </w:rPr>
        <w:t>b</w:t>
      </w:r>
      <w:r w:rsidRPr="0099431C">
        <w:rPr>
          <w:lang w:val="fr-CA"/>
        </w:rPr>
        <w:t>)</w:t>
      </w:r>
      <w:r w:rsidRPr="0099431C">
        <w:rPr>
          <w:lang w:val="fr-CA"/>
        </w:rPr>
        <w:tab/>
        <w:t>de toute pratique ultérieurement suivie dans l’application du traité par laquelle est établi l’accord des parties à l’égard de l’interprétation du traité;</w:t>
      </w:r>
    </w:p>
    <w:p w:rsidR="00367456" w:rsidRPr="0099431C" w:rsidRDefault="00367456" w:rsidP="00B74B00">
      <w:pPr>
        <w:tabs>
          <w:tab w:val="left" w:pos="1800"/>
        </w:tabs>
        <w:spacing w:after="240"/>
        <w:ind w:left="1800" w:hanging="540"/>
        <w:jc w:val="both"/>
        <w:rPr>
          <w:lang w:val="fr-CA"/>
        </w:rPr>
      </w:pPr>
      <w:r w:rsidRPr="00B74B00">
        <w:rPr>
          <w:lang w:val="fr-CA"/>
        </w:rPr>
        <w:t>c</w:t>
      </w:r>
      <w:r w:rsidRPr="0099431C">
        <w:rPr>
          <w:lang w:val="fr-CA"/>
        </w:rPr>
        <w:t>)</w:t>
      </w:r>
      <w:r w:rsidRPr="0099431C">
        <w:rPr>
          <w:lang w:val="fr-CA"/>
        </w:rPr>
        <w:tab/>
        <w:t xml:space="preserve">de toute </w:t>
      </w:r>
      <w:r w:rsidRPr="009813F5">
        <w:rPr>
          <w:lang w:val="fr-CA"/>
        </w:rPr>
        <w:t>règle</w:t>
      </w:r>
      <w:r w:rsidRPr="0099431C">
        <w:rPr>
          <w:lang w:val="fr-CA"/>
        </w:rPr>
        <w:t xml:space="preserve"> pertinente de droit international applicable dans les relations entre les parties.</w:t>
      </w:r>
    </w:p>
    <w:p w:rsidR="00367456" w:rsidRPr="0099431C" w:rsidRDefault="00367456" w:rsidP="00B74B00">
      <w:pPr>
        <w:tabs>
          <w:tab w:val="left" w:pos="1260"/>
          <w:tab w:val="left" w:pos="1800"/>
        </w:tabs>
        <w:spacing w:after="720"/>
        <w:ind w:left="720"/>
        <w:jc w:val="both"/>
        <w:rPr>
          <w:lang w:val="fr-CA"/>
        </w:rPr>
      </w:pPr>
      <w:r w:rsidRPr="0099431C">
        <w:rPr>
          <w:lang w:val="fr-CA"/>
        </w:rPr>
        <w:tab/>
        <w:t>4.</w:t>
      </w:r>
      <w:r w:rsidRPr="0099431C">
        <w:rPr>
          <w:lang w:val="fr-CA"/>
        </w:rPr>
        <w:tab/>
        <w:t>Un terme sera entendu dans un sens particulier s’il est établi que telle était l’intention des parties.</w:t>
      </w:r>
    </w:p>
    <w:p w:rsidR="004D7D95" w:rsidRPr="00874126" w:rsidRDefault="004D7D95" w:rsidP="00A12DCE">
      <w:pPr>
        <w:pStyle w:val="SCCNormalDoubleSpacing"/>
        <w:widowControl w:val="0"/>
        <w:spacing w:before="480" w:after="480"/>
        <w:rPr>
          <w:lang w:val="fr-CA"/>
        </w:rPr>
      </w:pPr>
      <w:r w:rsidRPr="00874126">
        <w:rPr>
          <w:lang w:val="fr-CA"/>
        </w:rPr>
        <w:lastRenderedPageBreak/>
        <w:tab/>
      </w:r>
      <w:r w:rsidR="00AA0D2A" w:rsidRPr="00874126">
        <w:rPr>
          <w:i/>
          <w:lang w:val="fr-CA"/>
        </w:rPr>
        <w:t>Pourvoi</w:t>
      </w:r>
      <w:r w:rsidR="00F27FFD" w:rsidRPr="00874126">
        <w:rPr>
          <w:i/>
          <w:lang w:val="fr-CA"/>
        </w:rPr>
        <w:t>s</w:t>
      </w:r>
      <w:r w:rsidR="00AA0D2A" w:rsidRPr="00874126">
        <w:rPr>
          <w:i/>
          <w:lang w:val="fr-CA"/>
        </w:rPr>
        <w:t xml:space="preserve"> </w:t>
      </w:r>
      <w:r w:rsidR="00D6512C">
        <w:rPr>
          <w:i/>
          <w:lang w:val="fr-CA"/>
        </w:rPr>
        <w:t>rejetés</w:t>
      </w:r>
      <w:r w:rsidR="007E7BA2">
        <w:rPr>
          <w:i/>
          <w:lang w:val="fr-CA"/>
        </w:rPr>
        <w:t>, les</w:t>
      </w:r>
      <w:r w:rsidR="00813448">
        <w:rPr>
          <w:i/>
          <w:lang w:val="fr-CA"/>
        </w:rPr>
        <w:t xml:space="preserve"> juge</w:t>
      </w:r>
      <w:r w:rsidR="007E7BA2">
        <w:rPr>
          <w:i/>
          <w:lang w:val="fr-CA"/>
        </w:rPr>
        <w:t>s</w:t>
      </w:r>
      <w:r w:rsidR="00813448">
        <w:rPr>
          <w:i/>
          <w:lang w:val="fr-CA"/>
        </w:rPr>
        <w:t xml:space="preserve"> </w:t>
      </w:r>
      <w:r w:rsidR="00813448" w:rsidRPr="00813448">
        <w:rPr>
          <w:smallCaps/>
          <w:lang w:val="fr-CA"/>
        </w:rPr>
        <w:t>Abella</w:t>
      </w:r>
      <w:r w:rsidR="00813448">
        <w:rPr>
          <w:i/>
          <w:lang w:val="fr-CA"/>
        </w:rPr>
        <w:t xml:space="preserve"> </w:t>
      </w:r>
      <w:r w:rsidR="007E7BA2">
        <w:rPr>
          <w:i/>
          <w:lang w:val="fr-CA"/>
        </w:rPr>
        <w:t xml:space="preserve">et </w:t>
      </w:r>
      <w:r w:rsidR="007E7BA2" w:rsidRPr="007E7BA2">
        <w:rPr>
          <w:smallCaps/>
          <w:lang w:val="fr-CA"/>
        </w:rPr>
        <w:t>Wagner</w:t>
      </w:r>
      <w:r w:rsidR="007E7BA2">
        <w:rPr>
          <w:i/>
          <w:lang w:val="fr-CA"/>
        </w:rPr>
        <w:t xml:space="preserve"> sont</w:t>
      </w:r>
      <w:r w:rsidR="00813448">
        <w:rPr>
          <w:i/>
          <w:lang w:val="fr-CA"/>
        </w:rPr>
        <w:t xml:space="preserve"> dissident</w:t>
      </w:r>
      <w:r w:rsidR="007E7BA2">
        <w:rPr>
          <w:i/>
          <w:lang w:val="fr-CA"/>
        </w:rPr>
        <w:t>s</w:t>
      </w:r>
      <w:r w:rsidR="00AA0D2A" w:rsidRPr="00874126">
        <w:rPr>
          <w:i/>
          <w:lang w:val="fr-CA"/>
        </w:rPr>
        <w:t>.</w:t>
      </w:r>
    </w:p>
    <w:p w:rsidR="00AA0D2A" w:rsidRPr="00874126" w:rsidRDefault="00AA0D2A" w:rsidP="00A12DCE">
      <w:pPr>
        <w:pStyle w:val="SCCLawFirm"/>
        <w:widowControl w:val="0"/>
        <w:spacing w:before="480" w:after="480"/>
        <w:rPr>
          <w:lang w:val="fr-CA"/>
        </w:rPr>
      </w:pPr>
      <w:r w:rsidRPr="00874126">
        <w:rPr>
          <w:lang w:val="fr-CA"/>
        </w:rPr>
        <w:tab/>
        <w:t>Procureurs des appelants Michel et Lynda Thibodeau</w:t>
      </w:r>
      <w:r w:rsidR="006412AC">
        <w:rPr>
          <w:lang w:val="fr-CA"/>
        </w:rPr>
        <w:t xml:space="preserve"> : </w:t>
      </w:r>
      <w:proofErr w:type="spellStart"/>
      <w:r w:rsidRPr="00874126">
        <w:rPr>
          <w:lang w:val="fr-CA"/>
        </w:rPr>
        <w:t>CazaSaikaley</w:t>
      </w:r>
      <w:proofErr w:type="spellEnd"/>
      <w:r w:rsidRPr="00874126">
        <w:rPr>
          <w:lang w:val="fr-CA"/>
        </w:rPr>
        <w:t>, Ottawa.</w:t>
      </w:r>
    </w:p>
    <w:p w:rsidR="00AA0D2A" w:rsidRPr="00874126" w:rsidRDefault="00AA0D2A" w:rsidP="00A12DCE">
      <w:pPr>
        <w:pStyle w:val="SCCLawFirm"/>
        <w:widowControl w:val="0"/>
        <w:spacing w:before="480" w:after="480"/>
        <w:rPr>
          <w:lang w:val="fr-CA"/>
        </w:rPr>
      </w:pPr>
      <w:r w:rsidRPr="00874126">
        <w:rPr>
          <w:lang w:val="fr-CA"/>
        </w:rPr>
        <w:tab/>
        <w:t>Procureur de l’appelant le Commissaire aux langues officielles du Canada</w:t>
      </w:r>
      <w:r w:rsidR="006412AC">
        <w:rPr>
          <w:lang w:val="fr-CA"/>
        </w:rPr>
        <w:t xml:space="preserve"> : </w:t>
      </w:r>
      <w:r w:rsidRPr="00874126">
        <w:rPr>
          <w:lang w:val="fr-CA"/>
        </w:rPr>
        <w:t>Commissariat aux langues officielles, Ottawa.</w:t>
      </w:r>
    </w:p>
    <w:p w:rsidR="00B31508" w:rsidRPr="00B31508" w:rsidRDefault="00AA0D2A" w:rsidP="00A12DCE">
      <w:pPr>
        <w:pStyle w:val="SCCLawFirm"/>
        <w:widowControl w:val="0"/>
        <w:rPr>
          <w:lang w:val="fr-CA"/>
        </w:rPr>
      </w:pPr>
      <w:r w:rsidRPr="00874126">
        <w:rPr>
          <w:lang w:val="fr-CA"/>
        </w:rPr>
        <w:tab/>
        <w:t>Procureurs de l’intimée</w:t>
      </w:r>
      <w:r w:rsidR="006412AC">
        <w:rPr>
          <w:lang w:val="fr-CA"/>
        </w:rPr>
        <w:t xml:space="preserve"> : </w:t>
      </w:r>
      <w:r w:rsidRPr="00874126">
        <w:rPr>
          <w:lang w:val="fr-CA"/>
        </w:rPr>
        <w:t xml:space="preserve">Air Canada, Dorval; Norton Rose </w:t>
      </w:r>
      <w:proofErr w:type="spellStart"/>
      <w:r w:rsidRPr="00874126">
        <w:rPr>
          <w:lang w:val="fr-CA"/>
        </w:rPr>
        <w:t>Fulbright</w:t>
      </w:r>
      <w:proofErr w:type="spellEnd"/>
      <w:r w:rsidRPr="00874126">
        <w:rPr>
          <w:lang w:val="fr-CA"/>
        </w:rPr>
        <w:t xml:space="preserve"> Canada, Montréal.</w:t>
      </w:r>
    </w:p>
    <w:sectPr w:rsidR="00B31508" w:rsidRPr="00B31508"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AF7" w:rsidRDefault="00CB3AF7">
      <w:r>
        <w:separator/>
      </w:r>
    </w:p>
  </w:endnote>
  <w:endnote w:type="continuationSeparator" w:id="0">
    <w:p w:rsidR="00CB3AF7" w:rsidRDefault="00CB3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AF7" w:rsidRDefault="00CB3AF7">
      <w:r>
        <w:separator/>
      </w:r>
    </w:p>
  </w:footnote>
  <w:footnote w:type="continuationSeparator" w:id="0">
    <w:p w:rsidR="00CB3AF7" w:rsidRDefault="00CB3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AF7" w:rsidRPr="00450352" w:rsidRDefault="00CB3AF7"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6B816DE"/>
    <w:multiLevelType w:val="hybridMultilevel"/>
    <w:tmpl w:val="B7D4D50C"/>
    <w:lvl w:ilvl="0" w:tplc="F4FE42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3130A"/>
    <w:multiLevelType w:val="multilevel"/>
    <w:tmpl w:val="376EC73E"/>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11143DB"/>
    <w:multiLevelType w:val="hybridMultilevel"/>
    <w:tmpl w:val="069E4CCE"/>
    <w:lvl w:ilvl="0" w:tplc="4FDC246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83EE8"/>
    <w:multiLevelType w:val="multilevel"/>
    <w:tmpl w:val="461CEFC6"/>
    <w:lvl w:ilvl="0">
      <w:start w:val="1"/>
      <w:numFmt w:val="decimal"/>
      <w:pStyle w:val="ParaNoNdepar-AltN"/>
      <w:lvlText w:val="[%1]"/>
      <w:lvlJc w:val="left"/>
      <w:pPr>
        <w:tabs>
          <w:tab w:val="num" w:pos="1512"/>
        </w:tabs>
        <w:ind w:left="36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9001A06"/>
    <w:multiLevelType w:val="hybridMultilevel"/>
    <w:tmpl w:val="4BAC82EC"/>
    <w:lvl w:ilvl="0" w:tplc="5FF21BCE">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22C4B60"/>
    <w:multiLevelType w:val="hybridMultilevel"/>
    <w:tmpl w:val="B52AC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5C95FC4"/>
    <w:multiLevelType w:val="hybridMultilevel"/>
    <w:tmpl w:val="534AC3B4"/>
    <w:lvl w:ilvl="0" w:tplc="38EAC66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7"/>
  </w:num>
  <w:num w:numId="2">
    <w:abstractNumId w:val="3"/>
  </w:num>
  <w:num w:numId="3">
    <w:abstractNumId w:val="12"/>
  </w:num>
  <w:num w:numId="4">
    <w:abstractNumId w:val="8"/>
  </w:num>
  <w:num w:numId="5">
    <w:abstractNumId w:val="11"/>
  </w:num>
  <w:num w:numId="6">
    <w:abstractNumId w:val="9"/>
  </w:num>
  <w:num w:numId="7">
    <w:abstractNumId w:val="1"/>
  </w:num>
  <w:num w:numId="8">
    <w:abstractNumId w:val="0"/>
  </w:num>
  <w:num w:numId="9">
    <w:abstractNumId w:val="4"/>
  </w:num>
  <w:num w:numId="10">
    <w:abstractNumId w:val="5"/>
  </w:num>
  <w:num w:numId="11">
    <w:abstractNumId w:val="2"/>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0465"/>
  </w:hdrShapeDefaults>
  <w:footnotePr>
    <w:footnote w:id="-1"/>
    <w:footnote w:id="0"/>
  </w:footnotePr>
  <w:endnotePr>
    <w:endnote w:id="-1"/>
    <w:endnote w:id="0"/>
  </w:endnotePr>
  <w:compat/>
  <w:rsids>
    <w:rsidRoot w:val="0031414C"/>
    <w:rsid w:val="00000ED4"/>
    <w:rsid w:val="00004B04"/>
    <w:rsid w:val="00016DF4"/>
    <w:rsid w:val="000174E1"/>
    <w:rsid w:val="00023FC7"/>
    <w:rsid w:val="00025198"/>
    <w:rsid w:val="00026D54"/>
    <w:rsid w:val="00030F86"/>
    <w:rsid w:val="00032320"/>
    <w:rsid w:val="0003355E"/>
    <w:rsid w:val="00034EE9"/>
    <w:rsid w:val="00042946"/>
    <w:rsid w:val="000467C0"/>
    <w:rsid w:val="0005160F"/>
    <w:rsid w:val="000522BC"/>
    <w:rsid w:val="00056937"/>
    <w:rsid w:val="000578A3"/>
    <w:rsid w:val="000648CC"/>
    <w:rsid w:val="00084AD4"/>
    <w:rsid w:val="00097842"/>
    <w:rsid w:val="000A24C6"/>
    <w:rsid w:val="000B0121"/>
    <w:rsid w:val="000B466F"/>
    <w:rsid w:val="000B78B7"/>
    <w:rsid w:val="000C3860"/>
    <w:rsid w:val="000C59B8"/>
    <w:rsid w:val="000C6AF0"/>
    <w:rsid w:val="000D0A77"/>
    <w:rsid w:val="000F0F57"/>
    <w:rsid w:val="000F2761"/>
    <w:rsid w:val="000F3BB5"/>
    <w:rsid w:val="000F4A89"/>
    <w:rsid w:val="000F4C40"/>
    <w:rsid w:val="000F6047"/>
    <w:rsid w:val="000F7993"/>
    <w:rsid w:val="001029B9"/>
    <w:rsid w:val="00104F33"/>
    <w:rsid w:val="00111DE2"/>
    <w:rsid w:val="00112133"/>
    <w:rsid w:val="00115EFF"/>
    <w:rsid w:val="00116A24"/>
    <w:rsid w:val="00116B38"/>
    <w:rsid w:val="00120F8F"/>
    <w:rsid w:val="001223F1"/>
    <w:rsid w:val="0013133B"/>
    <w:rsid w:val="001342AC"/>
    <w:rsid w:val="00135406"/>
    <w:rsid w:val="00135972"/>
    <w:rsid w:val="00140B11"/>
    <w:rsid w:val="001426A9"/>
    <w:rsid w:val="00154D7C"/>
    <w:rsid w:val="001570B0"/>
    <w:rsid w:val="001573B7"/>
    <w:rsid w:val="0015752C"/>
    <w:rsid w:val="00157737"/>
    <w:rsid w:val="00161F61"/>
    <w:rsid w:val="00165277"/>
    <w:rsid w:val="00167391"/>
    <w:rsid w:val="00170592"/>
    <w:rsid w:val="0017096E"/>
    <w:rsid w:val="001720F7"/>
    <w:rsid w:val="00175CA7"/>
    <w:rsid w:val="00190E6E"/>
    <w:rsid w:val="001928AD"/>
    <w:rsid w:val="00195D83"/>
    <w:rsid w:val="001A00C1"/>
    <w:rsid w:val="001A0F1E"/>
    <w:rsid w:val="001B33E0"/>
    <w:rsid w:val="001B4055"/>
    <w:rsid w:val="001B4573"/>
    <w:rsid w:val="001B4785"/>
    <w:rsid w:val="001B5559"/>
    <w:rsid w:val="001C53AB"/>
    <w:rsid w:val="001C7451"/>
    <w:rsid w:val="001C779F"/>
    <w:rsid w:val="001D2AC1"/>
    <w:rsid w:val="001D2F94"/>
    <w:rsid w:val="001D4E88"/>
    <w:rsid w:val="001E0CB9"/>
    <w:rsid w:val="001E37CA"/>
    <w:rsid w:val="00200AB6"/>
    <w:rsid w:val="00203535"/>
    <w:rsid w:val="00207935"/>
    <w:rsid w:val="002107F0"/>
    <w:rsid w:val="00220FC2"/>
    <w:rsid w:val="00221C00"/>
    <w:rsid w:val="002222F4"/>
    <w:rsid w:val="00222902"/>
    <w:rsid w:val="00224FC0"/>
    <w:rsid w:val="00225EA4"/>
    <w:rsid w:val="00226D4E"/>
    <w:rsid w:val="00226EAF"/>
    <w:rsid w:val="00227EC4"/>
    <w:rsid w:val="00230520"/>
    <w:rsid w:val="00231F3A"/>
    <w:rsid w:val="002406EE"/>
    <w:rsid w:val="00243EC8"/>
    <w:rsid w:val="0024423D"/>
    <w:rsid w:val="0026672A"/>
    <w:rsid w:val="00270D93"/>
    <w:rsid w:val="002745CC"/>
    <w:rsid w:val="002A1E81"/>
    <w:rsid w:val="002A4811"/>
    <w:rsid w:val="002B1879"/>
    <w:rsid w:val="002B5025"/>
    <w:rsid w:val="002B6FBE"/>
    <w:rsid w:val="002B7924"/>
    <w:rsid w:val="002C10A6"/>
    <w:rsid w:val="002C4C05"/>
    <w:rsid w:val="002D060C"/>
    <w:rsid w:val="002D1CDF"/>
    <w:rsid w:val="002D28C3"/>
    <w:rsid w:val="002D39A4"/>
    <w:rsid w:val="002E24A8"/>
    <w:rsid w:val="002E6705"/>
    <w:rsid w:val="002F3B65"/>
    <w:rsid w:val="0030329A"/>
    <w:rsid w:val="0030395F"/>
    <w:rsid w:val="0031086F"/>
    <w:rsid w:val="0031414C"/>
    <w:rsid w:val="00314E01"/>
    <w:rsid w:val="003153B9"/>
    <w:rsid w:val="0032002D"/>
    <w:rsid w:val="0032089D"/>
    <w:rsid w:val="003310DE"/>
    <w:rsid w:val="003323B0"/>
    <w:rsid w:val="00334240"/>
    <w:rsid w:val="00340685"/>
    <w:rsid w:val="00340A49"/>
    <w:rsid w:val="00346A74"/>
    <w:rsid w:val="003508B2"/>
    <w:rsid w:val="0035169A"/>
    <w:rsid w:val="0035259D"/>
    <w:rsid w:val="00356AD1"/>
    <w:rsid w:val="00361E7A"/>
    <w:rsid w:val="00364B18"/>
    <w:rsid w:val="00366C07"/>
    <w:rsid w:val="00367456"/>
    <w:rsid w:val="003734C3"/>
    <w:rsid w:val="003734FD"/>
    <w:rsid w:val="00391214"/>
    <w:rsid w:val="003A10FE"/>
    <w:rsid w:val="003A125D"/>
    <w:rsid w:val="003A4C70"/>
    <w:rsid w:val="003A78D1"/>
    <w:rsid w:val="003B215F"/>
    <w:rsid w:val="003C70B5"/>
    <w:rsid w:val="003C799C"/>
    <w:rsid w:val="003D0399"/>
    <w:rsid w:val="003D6323"/>
    <w:rsid w:val="003E1C71"/>
    <w:rsid w:val="003E1F4C"/>
    <w:rsid w:val="003E2AF0"/>
    <w:rsid w:val="003E6651"/>
    <w:rsid w:val="003F327B"/>
    <w:rsid w:val="00404E46"/>
    <w:rsid w:val="00405547"/>
    <w:rsid w:val="00406166"/>
    <w:rsid w:val="0040704B"/>
    <w:rsid w:val="00410A55"/>
    <w:rsid w:val="00411300"/>
    <w:rsid w:val="0041347D"/>
    <w:rsid w:val="00413F17"/>
    <w:rsid w:val="00415417"/>
    <w:rsid w:val="00416CFD"/>
    <w:rsid w:val="00422746"/>
    <w:rsid w:val="00424BA6"/>
    <w:rsid w:val="00426659"/>
    <w:rsid w:val="0043397F"/>
    <w:rsid w:val="00450352"/>
    <w:rsid w:val="00454BDB"/>
    <w:rsid w:val="00455D1C"/>
    <w:rsid w:val="00465132"/>
    <w:rsid w:val="00480C90"/>
    <w:rsid w:val="0048396F"/>
    <w:rsid w:val="00493C18"/>
    <w:rsid w:val="004A600C"/>
    <w:rsid w:val="004A6118"/>
    <w:rsid w:val="004A7BF0"/>
    <w:rsid w:val="004B4CD1"/>
    <w:rsid w:val="004C031B"/>
    <w:rsid w:val="004C478D"/>
    <w:rsid w:val="004C4B26"/>
    <w:rsid w:val="004D091B"/>
    <w:rsid w:val="004D3317"/>
    <w:rsid w:val="004D72F3"/>
    <w:rsid w:val="004D7D95"/>
    <w:rsid w:val="004E0271"/>
    <w:rsid w:val="004E2C26"/>
    <w:rsid w:val="004F3633"/>
    <w:rsid w:val="004F771D"/>
    <w:rsid w:val="005014C9"/>
    <w:rsid w:val="00510FE9"/>
    <w:rsid w:val="005125A8"/>
    <w:rsid w:val="00517549"/>
    <w:rsid w:val="00517FA6"/>
    <w:rsid w:val="00520ABC"/>
    <w:rsid w:val="00521AE8"/>
    <w:rsid w:val="00527180"/>
    <w:rsid w:val="0053396D"/>
    <w:rsid w:val="00542353"/>
    <w:rsid w:val="005423C8"/>
    <w:rsid w:val="00553AC6"/>
    <w:rsid w:val="00555291"/>
    <w:rsid w:val="00555523"/>
    <w:rsid w:val="00556995"/>
    <w:rsid w:val="00566AD1"/>
    <w:rsid w:val="00567627"/>
    <w:rsid w:val="0057128D"/>
    <w:rsid w:val="005752ED"/>
    <w:rsid w:val="005833D5"/>
    <w:rsid w:val="00583EDE"/>
    <w:rsid w:val="00585D66"/>
    <w:rsid w:val="00586764"/>
    <w:rsid w:val="00593C2D"/>
    <w:rsid w:val="005A3B40"/>
    <w:rsid w:val="005A6079"/>
    <w:rsid w:val="005C4EB3"/>
    <w:rsid w:val="005C6377"/>
    <w:rsid w:val="005D25E0"/>
    <w:rsid w:val="005E4698"/>
    <w:rsid w:val="005F4BF3"/>
    <w:rsid w:val="00600680"/>
    <w:rsid w:val="00603924"/>
    <w:rsid w:val="00610539"/>
    <w:rsid w:val="00613969"/>
    <w:rsid w:val="006155C1"/>
    <w:rsid w:val="00616E97"/>
    <w:rsid w:val="0062417E"/>
    <w:rsid w:val="00624934"/>
    <w:rsid w:val="00624B4D"/>
    <w:rsid w:val="00625C35"/>
    <w:rsid w:val="006412AC"/>
    <w:rsid w:val="0064727D"/>
    <w:rsid w:val="00647E49"/>
    <w:rsid w:val="00650FF1"/>
    <w:rsid w:val="00656313"/>
    <w:rsid w:val="006565F4"/>
    <w:rsid w:val="006572AE"/>
    <w:rsid w:val="006732A0"/>
    <w:rsid w:val="00682042"/>
    <w:rsid w:val="00684EEA"/>
    <w:rsid w:val="00691748"/>
    <w:rsid w:val="00695A9A"/>
    <w:rsid w:val="0069689B"/>
    <w:rsid w:val="006B5FF5"/>
    <w:rsid w:val="006B6F64"/>
    <w:rsid w:val="006B7DEE"/>
    <w:rsid w:val="006E06CD"/>
    <w:rsid w:val="006E4D2E"/>
    <w:rsid w:val="006F30AF"/>
    <w:rsid w:val="006F5578"/>
    <w:rsid w:val="007014AF"/>
    <w:rsid w:val="00701759"/>
    <w:rsid w:val="00705C15"/>
    <w:rsid w:val="00707C8F"/>
    <w:rsid w:val="007110F6"/>
    <w:rsid w:val="00711886"/>
    <w:rsid w:val="007208D1"/>
    <w:rsid w:val="00722C26"/>
    <w:rsid w:val="00723A77"/>
    <w:rsid w:val="007271CE"/>
    <w:rsid w:val="00734C0D"/>
    <w:rsid w:val="00740C35"/>
    <w:rsid w:val="0074427E"/>
    <w:rsid w:val="00744518"/>
    <w:rsid w:val="00747288"/>
    <w:rsid w:val="00747DD3"/>
    <w:rsid w:val="00750547"/>
    <w:rsid w:val="007549C8"/>
    <w:rsid w:val="00756359"/>
    <w:rsid w:val="00763AA9"/>
    <w:rsid w:val="00766D14"/>
    <w:rsid w:val="00767A0F"/>
    <w:rsid w:val="00774281"/>
    <w:rsid w:val="007774E6"/>
    <w:rsid w:val="0078399D"/>
    <w:rsid w:val="00791272"/>
    <w:rsid w:val="007A05F6"/>
    <w:rsid w:val="007A715F"/>
    <w:rsid w:val="007B081E"/>
    <w:rsid w:val="007B1A55"/>
    <w:rsid w:val="007B6F4A"/>
    <w:rsid w:val="007C5BAD"/>
    <w:rsid w:val="007D02C3"/>
    <w:rsid w:val="007D1BE6"/>
    <w:rsid w:val="007E1C47"/>
    <w:rsid w:val="007E337A"/>
    <w:rsid w:val="007E5C70"/>
    <w:rsid w:val="007E7BA2"/>
    <w:rsid w:val="007F2121"/>
    <w:rsid w:val="007F2FF5"/>
    <w:rsid w:val="007F3F08"/>
    <w:rsid w:val="007F77FA"/>
    <w:rsid w:val="00804CC6"/>
    <w:rsid w:val="00807C6A"/>
    <w:rsid w:val="00813448"/>
    <w:rsid w:val="00817190"/>
    <w:rsid w:val="0082131E"/>
    <w:rsid w:val="008260E2"/>
    <w:rsid w:val="008300E4"/>
    <w:rsid w:val="008322BD"/>
    <w:rsid w:val="00833930"/>
    <w:rsid w:val="00833970"/>
    <w:rsid w:val="00834F73"/>
    <w:rsid w:val="008414A6"/>
    <w:rsid w:val="008456C5"/>
    <w:rsid w:val="00850800"/>
    <w:rsid w:val="0085114D"/>
    <w:rsid w:val="00862A8A"/>
    <w:rsid w:val="00863518"/>
    <w:rsid w:val="00864C8A"/>
    <w:rsid w:val="00864CF8"/>
    <w:rsid w:val="00865389"/>
    <w:rsid w:val="00874126"/>
    <w:rsid w:val="00874914"/>
    <w:rsid w:val="00875800"/>
    <w:rsid w:val="00877322"/>
    <w:rsid w:val="00877598"/>
    <w:rsid w:val="00880A99"/>
    <w:rsid w:val="00882921"/>
    <w:rsid w:val="00891422"/>
    <w:rsid w:val="00892E1A"/>
    <w:rsid w:val="008A1049"/>
    <w:rsid w:val="008A5DC3"/>
    <w:rsid w:val="008A729B"/>
    <w:rsid w:val="008B660A"/>
    <w:rsid w:val="008C01DA"/>
    <w:rsid w:val="008C464D"/>
    <w:rsid w:val="008C4C0E"/>
    <w:rsid w:val="008C695A"/>
    <w:rsid w:val="008C796A"/>
    <w:rsid w:val="008D237D"/>
    <w:rsid w:val="008E4D87"/>
    <w:rsid w:val="008F2674"/>
    <w:rsid w:val="008F78E9"/>
    <w:rsid w:val="009040A9"/>
    <w:rsid w:val="00910BD9"/>
    <w:rsid w:val="009179F9"/>
    <w:rsid w:val="00917C7A"/>
    <w:rsid w:val="00925ABA"/>
    <w:rsid w:val="0093003F"/>
    <w:rsid w:val="009330F8"/>
    <w:rsid w:val="009331E9"/>
    <w:rsid w:val="00933E5E"/>
    <w:rsid w:val="00935218"/>
    <w:rsid w:val="00935A39"/>
    <w:rsid w:val="00937C52"/>
    <w:rsid w:val="009403F3"/>
    <w:rsid w:val="009463FD"/>
    <w:rsid w:val="00952377"/>
    <w:rsid w:val="009555B7"/>
    <w:rsid w:val="009567AA"/>
    <w:rsid w:val="009602C9"/>
    <w:rsid w:val="00963377"/>
    <w:rsid w:val="00965331"/>
    <w:rsid w:val="00967374"/>
    <w:rsid w:val="00977510"/>
    <w:rsid w:val="009813F5"/>
    <w:rsid w:val="00997F6A"/>
    <w:rsid w:val="009A343A"/>
    <w:rsid w:val="009B1987"/>
    <w:rsid w:val="009B2F23"/>
    <w:rsid w:val="009B57B3"/>
    <w:rsid w:val="009C13D6"/>
    <w:rsid w:val="009D2793"/>
    <w:rsid w:val="009D2920"/>
    <w:rsid w:val="009D5AEB"/>
    <w:rsid w:val="009D66F4"/>
    <w:rsid w:val="009D7D1C"/>
    <w:rsid w:val="009E1A77"/>
    <w:rsid w:val="009F0E33"/>
    <w:rsid w:val="009F0EA4"/>
    <w:rsid w:val="009F1863"/>
    <w:rsid w:val="009F3584"/>
    <w:rsid w:val="009F4425"/>
    <w:rsid w:val="00A05F8A"/>
    <w:rsid w:val="00A120DF"/>
    <w:rsid w:val="00A12DCE"/>
    <w:rsid w:val="00A143B0"/>
    <w:rsid w:val="00A149DF"/>
    <w:rsid w:val="00A15BF8"/>
    <w:rsid w:val="00A1755C"/>
    <w:rsid w:val="00A21B90"/>
    <w:rsid w:val="00A22AAC"/>
    <w:rsid w:val="00A25398"/>
    <w:rsid w:val="00A374D1"/>
    <w:rsid w:val="00A41805"/>
    <w:rsid w:val="00A45606"/>
    <w:rsid w:val="00A51882"/>
    <w:rsid w:val="00A52AFB"/>
    <w:rsid w:val="00A548CB"/>
    <w:rsid w:val="00A5521C"/>
    <w:rsid w:val="00A643E7"/>
    <w:rsid w:val="00A661DA"/>
    <w:rsid w:val="00A73C38"/>
    <w:rsid w:val="00A82A16"/>
    <w:rsid w:val="00A9442B"/>
    <w:rsid w:val="00A952B7"/>
    <w:rsid w:val="00A9608D"/>
    <w:rsid w:val="00A9705B"/>
    <w:rsid w:val="00AA0D2A"/>
    <w:rsid w:val="00AA3B5F"/>
    <w:rsid w:val="00AA6857"/>
    <w:rsid w:val="00AA709E"/>
    <w:rsid w:val="00AB0880"/>
    <w:rsid w:val="00AB1CCF"/>
    <w:rsid w:val="00AB3083"/>
    <w:rsid w:val="00AB670D"/>
    <w:rsid w:val="00AC484A"/>
    <w:rsid w:val="00AE44FD"/>
    <w:rsid w:val="00AE4E81"/>
    <w:rsid w:val="00AE6E13"/>
    <w:rsid w:val="00AF03C5"/>
    <w:rsid w:val="00AF08BC"/>
    <w:rsid w:val="00AF0BB3"/>
    <w:rsid w:val="00B000D8"/>
    <w:rsid w:val="00B00F75"/>
    <w:rsid w:val="00B07446"/>
    <w:rsid w:val="00B122C9"/>
    <w:rsid w:val="00B1297D"/>
    <w:rsid w:val="00B130E1"/>
    <w:rsid w:val="00B145B6"/>
    <w:rsid w:val="00B15819"/>
    <w:rsid w:val="00B23660"/>
    <w:rsid w:val="00B279EB"/>
    <w:rsid w:val="00B31508"/>
    <w:rsid w:val="00B32A92"/>
    <w:rsid w:val="00B35A6E"/>
    <w:rsid w:val="00B40BF0"/>
    <w:rsid w:val="00B50C81"/>
    <w:rsid w:val="00B557F8"/>
    <w:rsid w:val="00B71E16"/>
    <w:rsid w:val="00B73BB1"/>
    <w:rsid w:val="00B74B00"/>
    <w:rsid w:val="00B815FC"/>
    <w:rsid w:val="00B84C08"/>
    <w:rsid w:val="00B87265"/>
    <w:rsid w:val="00B90252"/>
    <w:rsid w:val="00B90779"/>
    <w:rsid w:val="00B90EF5"/>
    <w:rsid w:val="00B93FBC"/>
    <w:rsid w:val="00BA4F4B"/>
    <w:rsid w:val="00BA78CD"/>
    <w:rsid w:val="00BA7DA0"/>
    <w:rsid w:val="00BB206E"/>
    <w:rsid w:val="00BB2B36"/>
    <w:rsid w:val="00BB2EE4"/>
    <w:rsid w:val="00BB4C92"/>
    <w:rsid w:val="00BC0CDC"/>
    <w:rsid w:val="00BC2108"/>
    <w:rsid w:val="00BC28E8"/>
    <w:rsid w:val="00BD0E9E"/>
    <w:rsid w:val="00BD1BEC"/>
    <w:rsid w:val="00BD32FF"/>
    <w:rsid w:val="00BD4337"/>
    <w:rsid w:val="00BE3EA6"/>
    <w:rsid w:val="00BE4451"/>
    <w:rsid w:val="00BF04A5"/>
    <w:rsid w:val="00BF3E58"/>
    <w:rsid w:val="00BF6FE9"/>
    <w:rsid w:val="00C02092"/>
    <w:rsid w:val="00C05035"/>
    <w:rsid w:val="00C132C2"/>
    <w:rsid w:val="00C24D91"/>
    <w:rsid w:val="00C24DA3"/>
    <w:rsid w:val="00C26DB2"/>
    <w:rsid w:val="00C30831"/>
    <w:rsid w:val="00C32D34"/>
    <w:rsid w:val="00C4423E"/>
    <w:rsid w:val="00C53F14"/>
    <w:rsid w:val="00C600CF"/>
    <w:rsid w:val="00C6084F"/>
    <w:rsid w:val="00C60BA9"/>
    <w:rsid w:val="00C62A66"/>
    <w:rsid w:val="00C66359"/>
    <w:rsid w:val="00C6637A"/>
    <w:rsid w:val="00C71458"/>
    <w:rsid w:val="00C7247C"/>
    <w:rsid w:val="00C73EC3"/>
    <w:rsid w:val="00C77613"/>
    <w:rsid w:val="00C828E7"/>
    <w:rsid w:val="00C82EE3"/>
    <w:rsid w:val="00C83206"/>
    <w:rsid w:val="00C86719"/>
    <w:rsid w:val="00C921DD"/>
    <w:rsid w:val="00CA31D1"/>
    <w:rsid w:val="00CA6391"/>
    <w:rsid w:val="00CB2D7A"/>
    <w:rsid w:val="00CB3AF7"/>
    <w:rsid w:val="00CD381C"/>
    <w:rsid w:val="00CD7741"/>
    <w:rsid w:val="00CE036E"/>
    <w:rsid w:val="00CE3171"/>
    <w:rsid w:val="00CE582C"/>
    <w:rsid w:val="00CF1526"/>
    <w:rsid w:val="00CF1601"/>
    <w:rsid w:val="00CF191B"/>
    <w:rsid w:val="00D0172F"/>
    <w:rsid w:val="00D01E33"/>
    <w:rsid w:val="00D029D9"/>
    <w:rsid w:val="00D068A7"/>
    <w:rsid w:val="00D1327C"/>
    <w:rsid w:val="00D17476"/>
    <w:rsid w:val="00D17AE3"/>
    <w:rsid w:val="00D2370A"/>
    <w:rsid w:val="00D32086"/>
    <w:rsid w:val="00D36DA3"/>
    <w:rsid w:val="00D37A3F"/>
    <w:rsid w:val="00D4431D"/>
    <w:rsid w:val="00D4667A"/>
    <w:rsid w:val="00D50EF5"/>
    <w:rsid w:val="00D63A1C"/>
    <w:rsid w:val="00D6512C"/>
    <w:rsid w:val="00D71AEA"/>
    <w:rsid w:val="00D72AF1"/>
    <w:rsid w:val="00D7516F"/>
    <w:rsid w:val="00D801D9"/>
    <w:rsid w:val="00D95F8E"/>
    <w:rsid w:val="00DA0590"/>
    <w:rsid w:val="00DA2A39"/>
    <w:rsid w:val="00DA694C"/>
    <w:rsid w:val="00DB0DDE"/>
    <w:rsid w:val="00DB799A"/>
    <w:rsid w:val="00DC0C75"/>
    <w:rsid w:val="00DC1739"/>
    <w:rsid w:val="00DC1788"/>
    <w:rsid w:val="00DC3D6E"/>
    <w:rsid w:val="00DD1F0B"/>
    <w:rsid w:val="00DD6E04"/>
    <w:rsid w:val="00DE319C"/>
    <w:rsid w:val="00DE6C1F"/>
    <w:rsid w:val="00DF0CA8"/>
    <w:rsid w:val="00DF2B48"/>
    <w:rsid w:val="00DF49A7"/>
    <w:rsid w:val="00E021D2"/>
    <w:rsid w:val="00E07EE2"/>
    <w:rsid w:val="00E07FD1"/>
    <w:rsid w:val="00E158E0"/>
    <w:rsid w:val="00E221B4"/>
    <w:rsid w:val="00E24573"/>
    <w:rsid w:val="00E25E1E"/>
    <w:rsid w:val="00E27EE7"/>
    <w:rsid w:val="00E320BE"/>
    <w:rsid w:val="00E34779"/>
    <w:rsid w:val="00E35404"/>
    <w:rsid w:val="00E42CD4"/>
    <w:rsid w:val="00E45109"/>
    <w:rsid w:val="00E47B7A"/>
    <w:rsid w:val="00E56A44"/>
    <w:rsid w:val="00E60269"/>
    <w:rsid w:val="00E70048"/>
    <w:rsid w:val="00E7518E"/>
    <w:rsid w:val="00E77EA6"/>
    <w:rsid w:val="00E94212"/>
    <w:rsid w:val="00E95E37"/>
    <w:rsid w:val="00E97830"/>
    <w:rsid w:val="00EB4848"/>
    <w:rsid w:val="00ED3719"/>
    <w:rsid w:val="00EE0830"/>
    <w:rsid w:val="00EE391E"/>
    <w:rsid w:val="00EE6CB8"/>
    <w:rsid w:val="00EF0683"/>
    <w:rsid w:val="00EF442D"/>
    <w:rsid w:val="00F0070C"/>
    <w:rsid w:val="00F00EB7"/>
    <w:rsid w:val="00F07134"/>
    <w:rsid w:val="00F27640"/>
    <w:rsid w:val="00F27FFD"/>
    <w:rsid w:val="00F36AB6"/>
    <w:rsid w:val="00F37A09"/>
    <w:rsid w:val="00F409CE"/>
    <w:rsid w:val="00F41406"/>
    <w:rsid w:val="00F4194D"/>
    <w:rsid w:val="00F42CCB"/>
    <w:rsid w:val="00F4379D"/>
    <w:rsid w:val="00F45FCA"/>
    <w:rsid w:val="00F50D2D"/>
    <w:rsid w:val="00F54936"/>
    <w:rsid w:val="00F56C8B"/>
    <w:rsid w:val="00F62639"/>
    <w:rsid w:val="00F66810"/>
    <w:rsid w:val="00F70AD7"/>
    <w:rsid w:val="00F726F4"/>
    <w:rsid w:val="00F84DF4"/>
    <w:rsid w:val="00F85C97"/>
    <w:rsid w:val="00FA7F0A"/>
    <w:rsid w:val="00FB193E"/>
    <w:rsid w:val="00FB375F"/>
    <w:rsid w:val="00FB37D2"/>
    <w:rsid w:val="00FC042C"/>
    <w:rsid w:val="00FC0543"/>
    <w:rsid w:val="00FC4EFB"/>
    <w:rsid w:val="00FD068D"/>
    <w:rsid w:val="00FD4F28"/>
    <w:rsid w:val="00FE4A36"/>
    <w:rsid w:val="00FE6784"/>
    <w:rsid w:val="00FE71AF"/>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7456"/>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367456"/>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367456"/>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367456"/>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367456"/>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367456"/>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367456"/>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7B1A55"/>
    <w:pPr>
      <w:numPr>
        <w:numId w:val="1"/>
      </w:numPr>
      <w:tabs>
        <w:tab w:val="clear" w:pos="1512"/>
        <w:tab w:val="left" w:pos="1166"/>
      </w:tabs>
      <w:spacing w:before="480" w:after="480" w:line="480" w:lineRule="auto"/>
      <w:ind w:left="0"/>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367456"/>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367456"/>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367456"/>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367456"/>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367456"/>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367456"/>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367456"/>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367456"/>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367456"/>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locked/>
    <w:rsid w:val="00367456"/>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locked/>
    <w:rsid w:val="00367456"/>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locked/>
    <w:rsid w:val="00367456"/>
    <w:rPr>
      <w:b/>
      <w:sz w:val="24"/>
    </w:rPr>
  </w:style>
  <w:style w:type="table" w:styleId="TableGrid">
    <w:name w:val="Table Grid"/>
    <w:basedOn w:val="TableNormal"/>
    <w:uiPriority w:val="59"/>
    <w:rsid w:val="00367456"/>
    <w:rPr>
      <w:lang w:val="fr-CA" w:eastAsia="fr-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367456"/>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367456"/>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367456"/>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367456"/>
    <w:pPr>
      <w:numPr>
        <w:numId w:val="2"/>
      </w:numPr>
      <w:tabs>
        <w:tab w:val="left" w:pos="432"/>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67456"/>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367456"/>
    <w:pPr>
      <w:numPr>
        <w:ilvl w:val="2"/>
      </w:numPr>
      <w:tabs>
        <w:tab w:val="clear" w:pos="432"/>
      </w:tabs>
      <w:jc w:val="both"/>
    </w:pPr>
  </w:style>
  <w:style w:type="paragraph" w:customStyle="1" w:styleId="Title4LevelTitre4Niveau">
    <w:name w:val="Title 4 Level / Titre 4 Niveau"/>
    <w:basedOn w:val="Title3LevelTitre3Niveau"/>
    <w:next w:val="ParaNoNdepar-AltN"/>
    <w:uiPriority w:val="4"/>
    <w:qFormat/>
    <w:rsid w:val="00367456"/>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367456"/>
    <w:pPr>
      <w:numPr>
        <w:ilvl w:val="4"/>
      </w:numPr>
      <w:tabs>
        <w:tab w:val="clear" w:pos="432"/>
      </w:tabs>
      <w:jc w:val="both"/>
    </w:pPr>
  </w:style>
  <w:style w:type="paragraph" w:styleId="TOC1">
    <w:name w:val="toc 1"/>
    <w:basedOn w:val="Normal"/>
    <w:next w:val="Normal"/>
    <w:autoRedefine/>
    <w:uiPriority w:val="39"/>
    <w:rsid w:val="00367456"/>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rsid w:val="00367456"/>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rsid w:val="00367456"/>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rsid w:val="00367456"/>
    <w:pPr>
      <w:tabs>
        <w:tab w:val="left" w:pos="900"/>
        <w:tab w:val="right" w:leader="dot" w:pos="8270"/>
      </w:tabs>
      <w:spacing w:before="120" w:after="120"/>
      <w:ind w:left="900" w:hanging="450"/>
    </w:pPr>
    <w:rPr>
      <w:rFonts w:eastAsiaTheme="minorHAnsi" w:cstheme="minorBidi"/>
      <w:i/>
      <w:noProof/>
      <w:szCs w:val="22"/>
      <w:lang w:val="en-US" w:eastAsia="en-US" w:bidi="en-US"/>
    </w:rPr>
  </w:style>
  <w:style w:type="paragraph" w:styleId="TOC5">
    <w:name w:val="toc 5"/>
    <w:basedOn w:val="Normal"/>
    <w:next w:val="Normal"/>
    <w:autoRedefine/>
    <w:uiPriority w:val="39"/>
    <w:rsid w:val="00367456"/>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rsid w:val="00367456"/>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uiPriority w:val="59"/>
    <w:rsid w:val="00367456"/>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367456"/>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367456"/>
    <w:rPr>
      <w:sz w:val="16"/>
      <w:szCs w:val="16"/>
    </w:rPr>
  </w:style>
  <w:style w:type="paragraph" w:styleId="CommentText">
    <w:name w:val="annotation text"/>
    <w:basedOn w:val="Normal"/>
    <w:link w:val="CommentTextChar"/>
    <w:uiPriority w:val="99"/>
    <w:unhideWhenUsed/>
    <w:rsid w:val="00367456"/>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367456"/>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367456"/>
    <w:rPr>
      <w:b/>
      <w:bCs/>
    </w:rPr>
  </w:style>
  <w:style w:type="character" w:customStyle="1" w:styleId="CommentSubjectChar">
    <w:name w:val="Comment Subject Char"/>
    <w:basedOn w:val="CommentTextChar"/>
    <w:link w:val="CommentSubject"/>
    <w:uiPriority w:val="99"/>
    <w:semiHidden/>
    <w:rsid w:val="00367456"/>
    <w:rPr>
      <w:b/>
      <w:bCs/>
    </w:rPr>
  </w:style>
  <w:style w:type="character" w:styleId="Hyperlink">
    <w:name w:val="Hyperlink"/>
    <w:basedOn w:val="DefaultParagraphFont"/>
    <w:uiPriority w:val="99"/>
    <w:unhideWhenUsed/>
    <w:rsid w:val="00367456"/>
    <w:rPr>
      <w:color w:val="0000FF" w:themeColor="hyperlink"/>
      <w:u w:val="single"/>
    </w:rPr>
  </w:style>
  <w:style w:type="paragraph" w:styleId="NormalWeb">
    <w:name w:val="Normal (Web)"/>
    <w:basedOn w:val="Normal"/>
    <w:uiPriority w:val="99"/>
    <w:semiHidden/>
    <w:rsid w:val="00367456"/>
    <w:pPr>
      <w:spacing w:before="100" w:beforeAutospacing="1" w:after="100" w:afterAutospacing="1"/>
    </w:pPr>
    <w:rPr>
      <w:rFonts w:eastAsiaTheme="minorHAnsi" w:cstheme="minorBidi"/>
      <w:color w:val="000000"/>
      <w:szCs w:val="22"/>
      <w:lang w:val="en-US" w:eastAsia="en-US" w:bidi="en-US"/>
    </w:rPr>
  </w:style>
  <w:style w:type="paragraph" w:customStyle="1" w:styleId="Default">
    <w:name w:val="Default"/>
    <w:uiPriority w:val="99"/>
    <w:rsid w:val="00367456"/>
    <w:pPr>
      <w:autoSpaceDE w:val="0"/>
      <w:autoSpaceDN w:val="0"/>
      <w:adjustRightInd w:val="0"/>
    </w:pPr>
    <w:rPr>
      <w:color w:val="000000"/>
      <w:sz w:val="24"/>
      <w:szCs w:val="24"/>
    </w:rPr>
  </w:style>
  <w:style w:type="paragraph" w:styleId="Revision">
    <w:name w:val="Revision"/>
    <w:hidden/>
    <w:uiPriority w:val="99"/>
    <w:semiHidden/>
    <w:rsid w:val="00367456"/>
    <w:rPr>
      <w:rFonts w:eastAsiaTheme="minorHAnsi" w:cstheme="minorBidi"/>
      <w:sz w:val="24"/>
      <w:szCs w:val="22"/>
      <w:lang w:val="en-US" w:eastAsia="en-US" w:bidi="en-US"/>
    </w:rPr>
  </w:style>
  <w:style w:type="character" w:customStyle="1" w:styleId="scheduleheading">
    <w:name w:val="scheduleheading"/>
    <w:basedOn w:val="DefaultParagraphFont"/>
    <w:uiPriority w:val="99"/>
    <w:rsid w:val="00367456"/>
    <w:rPr>
      <w:rFonts w:cs="Times New Roman"/>
    </w:rPr>
  </w:style>
  <w:style w:type="paragraph" w:customStyle="1" w:styleId="indent-1-0">
    <w:name w:val="indent-1-0"/>
    <w:basedOn w:val="Normal"/>
    <w:uiPriority w:val="99"/>
    <w:rsid w:val="00367456"/>
    <w:pPr>
      <w:spacing w:before="100" w:beforeAutospacing="1" w:after="100" w:afterAutospacing="1"/>
    </w:pPr>
    <w:rPr>
      <w:rFonts w:eastAsiaTheme="minorHAnsi" w:cstheme="minorBidi"/>
      <w:szCs w:val="22"/>
      <w:lang w:val="en-US" w:eastAsia="en-US" w:bidi="en-US"/>
    </w:rPr>
  </w:style>
  <w:style w:type="paragraph" w:styleId="ListParagraph">
    <w:name w:val="List Paragraph"/>
    <w:basedOn w:val="Normal"/>
    <w:uiPriority w:val="34"/>
    <w:rsid w:val="00367456"/>
    <w:pPr>
      <w:ind w:left="720"/>
      <w:contextualSpacing/>
    </w:pPr>
    <w:rPr>
      <w:rFonts w:eastAsiaTheme="minorHAnsi" w:cstheme="minorBidi"/>
      <w:szCs w:val="22"/>
      <w:lang w:val="en-US" w:eastAsia="en-US" w:bidi="en-US"/>
    </w:rPr>
  </w:style>
  <w:style w:type="paragraph" w:customStyle="1" w:styleId="ParaLevel1">
    <w:name w:val="ParaLevel1"/>
    <w:basedOn w:val="Normal"/>
    <w:uiPriority w:val="99"/>
    <w:rsid w:val="00367456"/>
    <w:pPr>
      <w:numPr>
        <w:numId w:val="3"/>
      </w:numPr>
      <w:suppressAutoHyphens/>
      <w:spacing w:before="240" w:after="240"/>
      <w:jc w:val="both"/>
      <w:outlineLvl w:val="0"/>
    </w:pPr>
    <w:rPr>
      <w:rFonts w:eastAsiaTheme="minorHAnsi" w:cstheme="minorBidi"/>
      <w:lang w:val="en-GB" w:eastAsia="en-US" w:bidi="en-US"/>
    </w:rPr>
  </w:style>
  <w:style w:type="paragraph" w:customStyle="1" w:styleId="ParaLevel2">
    <w:name w:val="ParaLevel2"/>
    <w:basedOn w:val="Normal"/>
    <w:uiPriority w:val="99"/>
    <w:rsid w:val="00367456"/>
    <w:pPr>
      <w:numPr>
        <w:ilvl w:val="1"/>
        <w:numId w:val="3"/>
      </w:numPr>
      <w:suppressAutoHyphens/>
      <w:spacing w:before="240" w:after="240"/>
      <w:jc w:val="both"/>
      <w:outlineLvl w:val="1"/>
    </w:pPr>
    <w:rPr>
      <w:rFonts w:eastAsiaTheme="minorHAnsi" w:cstheme="minorBidi"/>
      <w:lang w:val="en-GB" w:eastAsia="en-US" w:bidi="en-US"/>
    </w:rPr>
  </w:style>
  <w:style w:type="paragraph" w:customStyle="1" w:styleId="ParaLevel3">
    <w:name w:val="ParaLevel3"/>
    <w:basedOn w:val="Normal"/>
    <w:uiPriority w:val="99"/>
    <w:rsid w:val="00367456"/>
    <w:pPr>
      <w:numPr>
        <w:ilvl w:val="2"/>
        <w:numId w:val="3"/>
      </w:numPr>
      <w:suppressAutoHyphens/>
      <w:spacing w:before="240" w:after="240"/>
      <w:jc w:val="both"/>
      <w:outlineLvl w:val="2"/>
    </w:pPr>
    <w:rPr>
      <w:rFonts w:eastAsiaTheme="minorHAnsi" w:cstheme="minorBidi"/>
      <w:lang w:val="en-GB" w:eastAsia="en-US" w:bidi="en-US"/>
    </w:rPr>
  </w:style>
  <w:style w:type="paragraph" w:customStyle="1" w:styleId="ParaLevel4">
    <w:name w:val="ParaLevel4"/>
    <w:basedOn w:val="Normal"/>
    <w:uiPriority w:val="99"/>
    <w:rsid w:val="00367456"/>
    <w:pPr>
      <w:numPr>
        <w:ilvl w:val="3"/>
        <w:numId w:val="3"/>
      </w:numPr>
      <w:tabs>
        <w:tab w:val="clear" w:pos="3207"/>
        <w:tab w:val="num" w:pos="2836"/>
      </w:tabs>
      <w:suppressAutoHyphens/>
      <w:spacing w:before="240" w:after="240"/>
      <w:jc w:val="both"/>
      <w:outlineLvl w:val="3"/>
    </w:pPr>
    <w:rPr>
      <w:rFonts w:eastAsiaTheme="minorHAnsi" w:cstheme="minorBidi"/>
      <w:lang w:val="en-GB" w:eastAsia="en-US" w:bidi="en-US"/>
    </w:rPr>
  </w:style>
  <w:style w:type="paragraph" w:customStyle="1" w:styleId="ParaLevel5">
    <w:name w:val="ParaLevel5"/>
    <w:basedOn w:val="Normal"/>
    <w:uiPriority w:val="99"/>
    <w:rsid w:val="00367456"/>
    <w:pPr>
      <w:numPr>
        <w:ilvl w:val="4"/>
        <w:numId w:val="3"/>
      </w:numPr>
      <w:suppressAutoHyphens/>
      <w:spacing w:before="240" w:after="240"/>
      <w:jc w:val="both"/>
      <w:outlineLvl w:val="4"/>
    </w:pPr>
    <w:rPr>
      <w:rFonts w:eastAsiaTheme="minorHAnsi" w:cstheme="minorBidi"/>
      <w:lang w:val="en-GB" w:eastAsia="en-US" w:bidi="en-US"/>
    </w:rPr>
  </w:style>
  <w:style w:type="paragraph" w:customStyle="1" w:styleId="ParaLevel6">
    <w:name w:val="ParaLevel6"/>
    <w:basedOn w:val="Normal"/>
    <w:uiPriority w:val="99"/>
    <w:rsid w:val="00367456"/>
    <w:pPr>
      <w:numPr>
        <w:ilvl w:val="5"/>
        <w:numId w:val="3"/>
      </w:numPr>
      <w:tabs>
        <w:tab w:val="clear" w:pos="4625"/>
        <w:tab w:val="num" w:pos="4254"/>
      </w:tabs>
      <w:suppressAutoHyphens/>
      <w:spacing w:before="240" w:after="240"/>
      <w:jc w:val="both"/>
      <w:outlineLvl w:val="5"/>
    </w:pPr>
    <w:rPr>
      <w:rFonts w:eastAsiaTheme="minorHAnsi" w:cstheme="minorBidi"/>
      <w:lang w:val="en-GB" w:eastAsia="en-US" w:bidi="en-US"/>
    </w:rPr>
  </w:style>
  <w:style w:type="paragraph" w:customStyle="1" w:styleId="ParaLevel7">
    <w:name w:val="ParaLevel7"/>
    <w:basedOn w:val="Normal"/>
    <w:uiPriority w:val="99"/>
    <w:rsid w:val="00367456"/>
    <w:pPr>
      <w:numPr>
        <w:ilvl w:val="6"/>
        <w:numId w:val="3"/>
      </w:numPr>
      <w:suppressAutoHyphens/>
      <w:spacing w:before="240" w:after="240"/>
      <w:jc w:val="both"/>
      <w:outlineLvl w:val="6"/>
    </w:pPr>
    <w:rPr>
      <w:rFonts w:eastAsiaTheme="minorHAnsi" w:cstheme="minorBidi"/>
      <w:lang w:val="en-GB" w:eastAsia="en-US" w:bidi="en-US"/>
    </w:rPr>
  </w:style>
  <w:style w:type="paragraph" w:customStyle="1" w:styleId="ParaLevel8">
    <w:name w:val="ParaLevel8"/>
    <w:basedOn w:val="Normal"/>
    <w:uiPriority w:val="99"/>
    <w:rsid w:val="00367456"/>
    <w:pPr>
      <w:numPr>
        <w:ilvl w:val="7"/>
        <w:numId w:val="3"/>
      </w:numPr>
      <w:tabs>
        <w:tab w:val="clear" w:pos="6043"/>
        <w:tab w:val="num" w:pos="5672"/>
      </w:tabs>
      <w:suppressAutoHyphens/>
      <w:spacing w:before="240" w:after="240"/>
      <w:jc w:val="both"/>
      <w:outlineLvl w:val="7"/>
    </w:pPr>
    <w:rPr>
      <w:rFonts w:eastAsiaTheme="minorHAnsi" w:cstheme="minorBidi"/>
      <w:lang w:val="en-GB" w:eastAsia="en-US" w:bidi="en-US"/>
    </w:rPr>
  </w:style>
  <w:style w:type="paragraph" w:customStyle="1" w:styleId="ParaLevel9">
    <w:name w:val="ParaLevel9"/>
    <w:basedOn w:val="Normal"/>
    <w:uiPriority w:val="99"/>
    <w:rsid w:val="00367456"/>
    <w:pPr>
      <w:numPr>
        <w:ilvl w:val="8"/>
        <w:numId w:val="3"/>
      </w:numPr>
      <w:suppressAutoHyphens/>
      <w:spacing w:before="240" w:after="240"/>
      <w:jc w:val="both"/>
      <w:outlineLvl w:val="8"/>
    </w:pPr>
    <w:rPr>
      <w:rFonts w:eastAsiaTheme="minorHAnsi" w:cstheme="minorBidi"/>
      <w:lang w:val="en-GB" w:eastAsia="en-US" w:bidi="en-US"/>
    </w:rPr>
  </w:style>
  <w:style w:type="paragraph" w:customStyle="1" w:styleId="c01pointnumerotealtn">
    <w:name w:val="c01pointnumerotealtn"/>
    <w:basedOn w:val="Normal"/>
    <w:uiPriority w:val="99"/>
    <w:rsid w:val="00367456"/>
    <w:pPr>
      <w:spacing w:before="100" w:beforeAutospacing="1" w:after="240"/>
      <w:ind w:left="567" w:hanging="539"/>
      <w:jc w:val="both"/>
    </w:pPr>
    <w:rPr>
      <w:rFonts w:eastAsiaTheme="minorHAnsi" w:cstheme="minorBidi"/>
      <w:szCs w:val="22"/>
      <w:lang w:val="en-US" w:eastAsia="en-US" w:bidi="en-US"/>
    </w:rPr>
  </w:style>
  <w:style w:type="paragraph" w:customStyle="1" w:styleId="paragraphe1">
    <w:name w:val="paragraphe1"/>
    <w:basedOn w:val="Normal"/>
    <w:uiPriority w:val="99"/>
    <w:rsid w:val="00367456"/>
    <w:pPr>
      <w:spacing w:before="120" w:after="120"/>
      <w:jc w:val="both"/>
    </w:pPr>
    <w:rPr>
      <w:rFonts w:ascii="Arial" w:eastAsiaTheme="minorHAnsi" w:hAnsi="Arial" w:cs="Arial"/>
      <w:szCs w:val="22"/>
      <w:lang w:val="en-US" w:eastAsia="en-US" w:bidi="en-US"/>
    </w:rPr>
  </w:style>
  <w:style w:type="character" w:styleId="FootnoteReference">
    <w:name w:val="footnote reference"/>
    <w:basedOn w:val="DefaultParagraphFont"/>
    <w:uiPriority w:val="99"/>
    <w:semiHidden/>
    <w:rsid w:val="00367456"/>
    <w:rPr>
      <w:rFonts w:cs="Times New Roman"/>
    </w:rPr>
  </w:style>
  <w:style w:type="character" w:styleId="Emphasis">
    <w:name w:val="Emphasis"/>
    <w:basedOn w:val="DefaultParagraphFont"/>
    <w:uiPriority w:val="20"/>
    <w:rsid w:val="00367456"/>
    <w:rPr>
      <w:i/>
      <w:iCs/>
    </w:rPr>
  </w:style>
  <w:style w:type="character" w:customStyle="1" w:styleId="canliisection1">
    <w:name w:val="canlii_section1"/>
    <w:basedOn w:val="DefaultParagraphFont"/>
    <w:uiPriority w:val="99"/>
    <w:rsid w:val="00367456"/>
    <w:rPr>
      <w:rFonts w:cs="Times New Roman"/>
      <w:color w:val="027ABB"/>
      <w:shd w:val="clear" w:color="auto" w:fill="F3F3F3"/>
    </w:rPr>
  </w:style>
  <w:style w:type="paragraph" w:customStyle="1" w:styleId="section">
    <w:name w:val="section"/>
    <w:basedOn w:val="Normal"/>
    <w:uiPriority w:val="99"/>
    <w:rsid w:val="00367456"/>
    <w:pPr>
      <w:spacing w:before="100" w:beforeAutospacing="1" w:after="100" w:afterAutospacing="1"/>
    </w:pPr>
    <w:rPr>
      <w:rFonts w:eastAsiaTheme="minorHAnsi" w:cstheme="minorBidi"/>
      <w:szCs w:val="22"/>
      <w:lang w:val="en-US" w:eastAsia="en-US" w:bidi="en-US"/>
    </w:rPr>
  </w:style>
  <w:style w:type="paragraph" w:customStyle="1" w:styleId="paragraph">
    <w:name w:val="paragraph"/>
    <w:basedOn w:val="Normal"/>
    <w:uiPriority w:val="99"/>
    <w:rsid w:val="00367456"/>
    <w:pPr>
      <w:spacing w:before="100" w:beforeAutospacing="1" w:after="100" w:afterAutospacing="1"/>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367456"/>
    <w:rPr>
      <w:smallCaps/>
      <w:sz w:val="24"/>
    </w:rPr>
  </w:style>
  <w:style w:type="paragraph" w:styleId="NoSpacing">
    <w:name w:val="No Spacing"/>
    <w:uiPriority w:val="1"/>
    <w:rsid w:val="00367456"/>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367456"/>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367456"/>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3674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367456"/>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367456"/>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367456"/>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367456"/>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367456"/>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367456"/>
    <w:rPr>
      <w:i/>
      <w:iCs/>
      <w:color w:val="808080" w:themeColor="text1" w:themeTint="7F"/>
    </w:rPr>
  </w:style>
  <w:style w:type="character" w:styleId="IntenseEmphasis">
    <w:name w:val="Intense Emphasis"/>
    <w:basedOn w:val="DefaultParagraphFont"/>
    <w:uiPriority w:val="21"/>
    <w:rsid w:val="00367456"/>
    <w:rPr>
      <w:b/>
      <w:bCs/>
      <w:i/>
      <w:iCs/>
      <w:color w:val="4F81BD" w:themeColor="accent1"/>
    </w:rPr>
  </w:style>
  <w:style w:type="character" w:styleId="SubtleReference">
    <w:name w:val="Subtle Reference"/>
    <w:basedOn w:val="DefaultParagraphFont"/>
    <w:uiPriority w:val="31"/>
    <w:rsid w:val="00367456"/>
    <w:rPr>
      <w:smallCaps/>
      <w:color w:val="C0504D" w:themeColor="accent2"/>
      <w:u w:val="single"/>
    </w:rPr>
  </w:style>
  <w:style w:type="character" w:styleId="IntenseReference">
    <w:name w:val="Intense Reference"/>
    <w:basedOn w:val="DefaultParagraphFont"/>
    <w:uiPriority w:val="32"/>
    <w:rsid w:val="00367456"/>
    <w:rPr>
      <w:b/>
      <w:bCs/>
      <w:smallCaps/>
      <w:color w:val="C0504D" w:themeColor="accent2"/>
      <w:spacing w:val="5"/>
      <w:u w:val="single"/>
    </w:rPr>
  </w:style>
  <w:style w:type="character" w:styleId="BookTitle">
    <w:name w:val="Book Title"/>
    <w:basedOn w:val="DefaultParagraphFont"/>
    <w:uiPriority w:val="33"/>
    <w:rsid w:val="00367456"/>
    <w:rPr>
      <w:b/>
      <w:bCs/>
      <w:smallCaps/>
      <w:spacing w:val="5"/>
    </w:rPr>
  </w:style>
  <w:style w:type="paragraph" w:styleId="FootnoteText">
    <w:name w:val="footnote text"/>
    <w:basedOn w:val="Normal"/>
    <w:link w:val="FootnoteTextChar"/>
    <w:uiPriority w:val="99"/>
    <w:semiHidden/>
    <w:unhideWhenUsed/>
    <w:rsid w:val="00367456"/>
    <w:rPr>
      <w:sz w:val="20"/>
    </w:rPr>
  </w:style>
  <w:style w:type="character" w:customStyle="1" w:styleId="FootnoteTextChar">
    <w:name w:val="Footnote Text Char"/>
    <w:basedOn w:val="DefaultParagraphFont"/>
    <w:link w:val="FootnoteText"/>
    <w:uiPriority w:val="99"/>
    <w:semiHidden/>
    <w:rsid w:val="00367456"/>
  </w:style>
  <w:style w:type="character" w:customStyle="1" w:styleId="decisia-reflex2-icon">
    <w:name w:val="decisia-reflex2-icon"/>
    <w:basedOn w:val="DefaultParagraphFont"/>
    <w:rsid w:val="00367456"/>
    <w:rPr>
      <w:strike w:val="0"/>
      <w:dstrike w:val="0"/>
      <w:sz w:val="19"/>
      <w:szCs w:val="19"/>
      <w:u w:val="none"/>
      <w:effect w:val="none"/>
    </w:rPr>
  </w:style>
  <w:style w:type="paragraph" w:customStyle="1" w:styleId="11">
    <w:name w:val="11"/>
    <w:basedOn w:val="Normal"/>
    <w:rsid w:val="00367456"/>
    <w:pPr>
      <w:autoSpaceDE w:val="0"/>
      <w:autoSpaceDN w:val="0"/>
      <w:ind w:hanging="720"/>
    </w:pPr>
    <w:rPr>
      <w:szCs w:val="24"/>
    </w:rPr>
  </w:style>
  <w:style w:type="character" w:customStyle="1" w:styleId="term110">
    <w:name w:val="term110"/>
    <w:basedOn w:val="DefaultParagraphFont"/>
    <w:rsid w:val="00367456"/>
    <w:rPr>
      <w:shd w:val="clear" w:color="auto" w:fill="F3BFFD"/>
    </w:rPr>
  </w:style>
  <w:style w:type="character" w:customStyle="1" w:styleId="term01">
    <w:name w:val="term01"/>
    <w:basedOn w:val="DefaultParagraphFont"/>
    <w:rsid w:val="00367456"/>
    <w:rPr>
      <w:shd w:val="clear" w:color="auto" w:fill="BFE8FD"/>
    </w:rPr>
  </w:style>
  <w:style w:type="character" w:customStyle="1" w:styleId="SCCLsocPartyRoleChar">
    <w:name w:val="SCC.Lsoc.PartyRole Char"/>
    <w:basedOn w:val="DefaultParagraphFont"/>
    <w:rsid w:val="00032320"/>
    <w:rPr>
      <w:lang w:val="fr-CA"/>
    </w:rPr>
  </w:style>
  <w:style w:type="paragraph" w:customStyle="1" w:styleId="SCCLsocPrefix">
    <w:name w:val="SCC.Lsoc.Prefix"/>
    <w:basedOn w:val="Normal"/>
    <w:next w:val="Normal"/>
    <w:link w:val="SCCLsocPrefixChar"/>
    <w:rsid w:val="00032320"/>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032320"/>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E74F6-82B2-476D-8608-101CB91D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32013</Words>
  <Characters>169784</Characters>
  <Application>Microsoft Office Word</Application>
  <DocSecurity>0</DocSecurity>
  <Lines>1414</Lines>
  <Paragraphs>402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201395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2014-11-04T16:46:00Z</dcterms:created>
  <dcterms:modified xsi:type="dcterms:W3CDTF">2015-03-06T14:02:00Z</dcterms:modified>
</cp:coreProperties>
</file>