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95" w:rsidRPr="00D37F52" w:rsidRDefault="000F5929" w:rsidP="00894691">
      <w:pPr>
        <w:spacing w:after="720"/>
        <w:jc w:val="both"/>
        <w:rPr>
          <w:lang w:val="fr-CA"/>
        </w:rPr>
      </w:pPr>
      <w:proofErr w:type="spellStart"/>
      <w:r w:rsidRPr="00440643">
        <w:rPr>
          <w:smallCaps/>
          <w:lang w:val="fr-CA"/>
        </w:rPr>
        <w:t>b</w:t>
      </w:r>
      <w:r w:rsidR="004D7D95" w:rsidRPr="00440643">
        <w:rPr>
          <w:smallCaps/>
          <w:lang w:val="fr-CA"/>
        </w:rPr>
        <w:t>hasin</w:t>
      </w:r>
      <w:proofErr w:type="spellEnd"/>
      <w:r w:rsidR="004D7D95" w:rsidRPr="00D37F52">
        <w:rPr>
          <w:lang w:val="fr-CA"/>
        </w:rPr>
        <w:t xml:space="preserve"> </w:t>
      </w:r>
      <w:r w:rsidR="004D7D95" w:rsidRPr="00D37F52">
        <w:rPr>
          <w:i/>
          <w:lang w:val="fr-CA"/>
        </w:rPr>
        <w:t>c.</w:t>
      </w:r>
      <w:r w:rsidR="004D7D95" w:rsidRPr="00D37F52">
        <w:rPr>
          <w:lang w:val="fr-CA"/>
        </w:rPr>
        <w:t xml:space="preserve"> </w:t>
      </w:r>
      <w:proofErr w:type="spellStart"/>
      <w:r w:rsidRPr="00440643">
        <w:rPr>
          <w:smallCaps/>
          <w:lang w:val="fr-CA"/>
        </w:rPr>
        <w:t>hr</w:t>
      </w:r>
      <w:r w:rsidR="004D7D95" w:rsidRPr="00440643">
        <w:rPr>
          <w:smallCaps/>
          <w:lang w:val="fr-CA"/>
        </w:rPr>
        <w:t>ynew</w:t>
      </w:r>
      <w:proofErr w:type="spellEnd"/>
    </w:p>
    <w:p w:rsidR="008A7D5F" w:rsidRPr="00D37F52" w:rsidRDefault="000F5929" w:rsidP="00894691">
      <w:pPr>
        <w:pStyle w:val="SCCLsocLastPartyInRole"/>
        <w:rPr>
          <w:lang w:val="fr-CA"/>
        </w:rPr>
      </w:pPr>
      <w:proofErr w:type="spellStart"/>
      <w:r w:rsidRPr="00D37F52">
        <w:rPr>
          <w:lang w:val="fr-CA"/>
        </w:rPr>
        <w:t>Harish</w:t>
      </w:r>
      <w:proofErr w:type="spellEnd"/>
      <w:r w:rsidRPr="00D37F52">
        <w:rPr>
          <w:lang w:val="fr-CA"/>
        </w:rPr>
        <w:t xml:space="preserve"> </w:t>
      </w:r>
      <w:proofErr w:type="spellStart"/>
      <w:r w:rsidRPr="00D37F52">
        <w:rPr>
          <w:lang w:val="fr-CA"/>
        </w:rPr>
        <w:t>Bhasin</w:t>
      </w:r>
      <w:proofErr w:type="spellEnd"/>
      <w:r w:rsidRPr="00D37F52">
        <w:rPr>
          <w:lang w:val="fr-CA"/>
        </w:rPr>
        <w:t xml:space="preserve">, faisant affaire sous le nom de </w:t>
      </w:r>
      <w:proofErr w:type="spellStart"/>
      <w:r w:rsidRPr="00D37F52">
        <w:rPr>
          <w:lang w:val="fr-CA"/>
        </w:rPr>
        <w:t>Bhasin</w:t>
      </w:r>
      <w:proofErr w:type="spellEnd"/>
      <w:r w:rsidRPr="00D37F52">
        <w:rPr>
          <w:lang w:val="fr-CA"/>
        </w:rPr>
        <w:t xml:space="preserve"> &amp; Associates</w:t>
      </w:r>
      <w:r w:rsidRPr="00D37F52">
        <w:rPr>
          <w:rStyle w:val="SCCLsocPartyRole"/>
          <w:lang w:val="fr-CA"/>
        </w:rPr>
        <w:tab/>
        <w:t>Appelant</w:t>
      </w:r>
    </w:p>
    <w:p w:rsidR="008A7D5F" w:rsidRPr="00D37F52" w:rsidRDefault="000F5929" w:rsidP="00894691">
      <w:pPr>
        <w:pStyle w:val="SCCLsocVersus"/>
        <w:rPr>
          <w:lang w:val="en-US"/>
        </w:rPr>
      </w:pPr>
      <w:proofErr w:type="gramStart"/>
      <w:r w:rsidRPr="00D37F52">
        <w:rPr>
          <w:lang w:val="en-US"/>
        </w:rPr>
        <w:t>c</w:t>
      </w:r>
      <w:proofErr w:type="gramEnd"/>
      <w:r w:rsidRPr="00D37F52">
        <w:rPr>
          <w:lang w:val="en-US"/>
        </w:rPr>
        <w:t>.</w:t>
      </w:r>
    </w:p>
    <w:p w:rsidR="008A7D5F" w:rsidRPr="00D37F52" w:rsidRDefault="000F5929" w:rsidP="00894691">
      <w:pPr>
        <w:pStyle w:val="SCCLsocParty"/>
        <w:rPr>
          <w:lang w:val="en-US"/>
        </w:rPr>
      </w:pPr>
      <w:r w:rsidRPr="00D37F52">
        <w:rPr>
          <w:lang w:val="en-US"/>
        </w:rPr>
        <w:t xml:space="preserve">Larry </w:t>
      </w:r>
      <w:proofErr w:type="spellStart"/>
      <w:r w:rsidRPr="00D37F52">
        <w:rPr>
          <w:lang w:val="en-US"/>
        </w:rPr>
        <w:t>Hrynew</w:t>
      </w:r>
      <w:proofErr w:type="spellEnd"/>
      <w:r w:rsidR="0066229F" w:rsidRPr="00D37F52">
        <w:rPr>
          <w:lang w:val="en-US"/>
        </w:rPr>
        <w:t xml:space="preserve"> </w:t>
      </w:r>
      <w:proofErr w:type="gramStart"/>
      <w:r w:rsidR="0066229F" w:rsidRPr="00D37F52">
        <w:rPr>
          <w:lang w:val="en-US"/>
        </w:rPr>
        <w:t>et</w:t>
      </w:r>
      <w:proofErr w:type="gramEnd"/>
    </w:p>
    <w:p w:rsidR="004371F3" w:rsidRPr="00D37F52" w:rsidRDefault="000F5929" w:rsidP="00894691">
      <w:pPr>
        <w:pStyle w:val="SCCLsocLastPartyInRole"/>
        <w:spacing w:after="0"/>
        <w:rPr>
          <w:lang w:val="en-US"/>
        </w:rPr>
      </w:pPr>
      <w:r w:rsidRPr="00D37F52">
        <w:rPr>
          <w:lang w:val="en-US"/>
        </w:rPr>
        <w:t>Heritage Education Funds Inc.</w:t>
      </w:r>
    </w:p>
    <w:p w:rsidR="004371F3" w:rsidRPr="00D37F52" w:rsidRDefault="000F5929" w:rsidP="00894691">
      <w:pPr>
        <w:pStyle w:val="SCCLsocLastPartyInRole"/>
        <w:spacing w:after="0"/>
        <w:rPr>
          <w:lang w:val="fr-CA"/>
        </w:rPr>
      </w:pPr>
      <w:r w:rsidRPr="00D37F52">
        <w:rPr>
          <w:lang w:val="fr-CA"/>
        </w:rPr>
        <w:t>(</w:t>
      </w:r>
      <w:proofErr w:type="gramStart"/>
      <w:r w:rsidRPr="00D37F52">
        <w:rPr>
          <w:lang w:val="fr-CA"/>
        </w:rPr>
        <w:t>a</w:t>
      </w:r>
      <w:r w:rsidR="008164C3" w:rsidRPr="00D37F52">
        <w:rPr>
          <w:lang w:val="fr-CA"/>
        </w:rPr>
        <w:t>uparavant</w:t>
      </w:r>
      <w:proofErr w:type="gramEnd"/>
      <w:r w:rsidRPr="00D37F52">
        <w:rPr>
          <w:lang w:val="fr-CA"/>
        </w:rPr>
        <w:t xml:space="preserve"> connue sous le nom d</w:t>
      </w:r>
      <w:r w:rsidR="007B39C2">
        <w:rPr>
          <w:lang w:val="fr-CA"/>
        </w:rPr>
        <w:t xml:space="preserve">e </w:t>
      </w:r>
      <w:proofErr w:type="spellStart"/>
      <w:r w:rsidRPr="00D37F52">
        <w:rPr>
          <w:lang w:val="fr-CA"/>
        </w:rPr>
        <w:t>Allianz</w:t>
      </w:r>
      <w:proofErr w:type="spellEnd"/>
      <w:r w:rsidRPr="00D37F52">
        <w:rPr>
          <w:lang w:val="fr-CA"/>
        </w:rPr>
        <w:t xml:space="preserve"> </w:t>
      </w:r>
      <w:proofErr w:type="spellStart"/>
      <w:r w:rsidRPr="00D37F52">
        <w:rPr>
          <w:lang w:val="fr-CA"/>
        </w:rPr>
        <w:t>Education</w:t>
      </w:r>
      <w:proofErr w:type="spellEnd"/>
      <w:r w:rsidRPr="00D37F52">
        <w:rPr>
          <w:lang w:val="fr-CA"/>
        </w:rPr>
        <w:t xml:space="preserve"> </w:t>
      </w:r>
      <w:proofErr w:type="spellStart"/>
      <w:r w:rsidRPr="00D37F52">
        <w:rPr>
          <w:lang w:val="fr-CA"/>
        </w:rPr>
        <w:t>Funds</w:t>
      </w:r>
      <w:proofErr w:type="spellEnd"/>
      <w:r w:rsidRPr="00D37F52">
        <w:rPr>
          <w:lang w:val="fr-CA"/>
        </w:rPr>
        <w:t xml:space="preserve"> Inc., </w:t>
      </w:r>
    </w:p>
    <w:p w:rsidR="008A7D5F" w:rsidRPr="00D37F52" w:rsidRDefault="008164C3" w:rsidP="00894691">
      <w:pPr>
        <w:pStyle w:val="SCCLsocLastPartyInRole"/>
        <w:rPr>
          <w:lang w:val="fr-CA"/>
        </w:rPr>
      </w:pPr>
      <w:proofErr w:type="gramStart"/>
      <w:r w:rsidRPr="00D37F52">
        <w:rPr>
          <w:lang w:val="fr-CA"/>
        </w:rPr>
        <w:t>auparavant</w:t>
      </w:r>
      <w:proofErr w:type="gramEnd"/>
      <w:r w:rsidR="000F5929" w:rsidRPr="00D37F52">
        <w:rPr>
          <w:lang w:val="fr-CA"/>
        </w:rPr>
        <w:t xml:space="preserve"> connue sous le nom de Canadian American Financial Cor</w:t>
      </w:r>
      <w:r w:rsidR="004371F3" w:rsidRPr="00D37F52">
        <w:rPr>
          <w:lang w:val="fr-CA"/>
        </w:rPr>
        <w:t>p.</w:t>
      </w:r>
      <w:r w:rsidR="00894691">
        <w:rPr>
          <w:lang w:val="fr-CA"/>
        </w:rPr>
        <w:t xml:space="preserve"> </w:t>
      </w:r>
      <w:r w:rsidR="000F5929" w:rsidRPr="00D37F52">
        <w:rPr>
          <w:lang w:val="fr-CA"/>
        </w:rPr>
        <w:t>(Canada) Limited)</w:t>
      </w:r>
      <w:r w:rsidR="000F5929" w:rsidRPr="00D37F52">
        <w:rPr>
          <w:rStyle w:val="SCCLsocPartyRole"/>
          <w:lang w:val="fr-CA"/>
        </w:rPr>
        <w:tab/>
        <w:t>Intimés</w:t>
      </w:r>
    </w:p>
    <w:p w:rsidR="004D7D95" w:rsidRPr="00D37F52" w:rsidRDefault="004D7D95" w:rsidP="00894691">
      <w:pPr>
        <w:spacing w:after="720"/>
        <w:jc w:val="both"/>
        <w:rPr>
          <w:b/>
          <w:lang w:val="fr-CA"/>
        </w:rPr>
      </w:pPr>
      <w:r w:rsidRPr="00D37F52">
        <w:rPr>
          <w:b/>
          <w:lang w:val="fr-CA"/>
        </w:rPr>
        <w:t>Répertorié</w:t>
      </w:r>
      <w:r w:rsidR="00894691">
        <w:rPr>
          <w:b/>
          <w:lang w:val="fr-CA"/>
        </w:rPr>
        <w:t xml:space="preserve"> : </w:t>
      </w:r>
      <w:proofErr w:type="spellStart"/>
      <w:r w:rsidRPr="00440643">
        <w:rPr>
          <w:b/>
          <w:lang w:val="fr-CA"/>
        </w:rPr>
        <w:t>Bhasin</w:t>
      </w:r>
      <w:proofErr w:type="spellEnd"/>
      <w:r w:rsidRPr="00D37F52">
        <w:rPr>
          <w:b/>
          <w:lang w:val="fr-CA"/>
        </w:rPr>
        <w:t xml:space="preserve"> </w:t>
      </w:r>
      <w:r w:rsidRPr="00D37F52">
        <w:rPr>
          <w:b/>
          <w:i/>
          <w:lang w:val="fr-CA"/>
        </w:rPr>
        <w:t>c.</w:t>
      </w:r>
      <w:r w:rsidRPr="00D37F52">
        <w:rPr>
          <w:b/>
          <w:lang w:val="fr-CA"/>
        </w:rPr>
        <w:t xml:space="preserve"> </w:t>
      </w:r>
      <w:proofErr w:type="spellStart"/>
      <w:r w:rsidRPr="00440643">
        <w:rPr>
          <w:b/>
          <w:lang w:val="fr-CA"/>
        </w:rPr>
        <w:t>Hrynew</w:t>
      </w:r>
      <w:proofErr w:type="spellEnd"/>
    </w:p>
    <w:p w:rsidR="004D7D95" w:rsidRPr="00D37F52" w:rsidRDefault="00F62639" w:rsidP="00894691">
      <w:pPr>
        <w:pStyle w:val="SCCSystemYear"/>
        <w:spacing w:after="720"/>
        <w:jc w:val="both"/>
        <w:rPr>
          <w:lang w:val="fr-CA"/>
        </w:rPr>
      </w:pPr>
      <w:r w:rsidRPr="00D37F52">
        <w:rPr>
          <w:lang w:val="fr-CA"/>
        </w:rPr>
        <w:t>2014</w:t>
      </w:r>
      <w:r w:rsidR="00DF40DB">
        <w:rPr>
          <w:lang w:val="fr-CA"/>
        </w:rPr>
        <w:t xml:space="preserve"> CSC</w:t>
      </w:r>
      <w:r w:rsidR="00894691">
        <w:rPr>
          <w:lang w:val="fr-CA"/>
        </w:rPr>
        <w:t xml:space="preserve"> </w:t>
      </w:r>
      <w:r w:rsidR="00DF40DB">
        <w:rPr>
          <w:lang w:val="fr-CA"/>
        </w:rPr>
        <w:t>71</w:t>
      </w:r>
    </w:p>
    <w:p w:rsidR="004D7D95" w:rsidRPr="00D37F52" w:rsidRDefault="004D7D95" w:rsidP="00894691">
      <w:pPr>
        <w:spacing w:after="720"/>
        <w:jc w:val="both"/>
        <w:rPr>
          <w:lang w:val="fr-CA"/>
        </w:rPr>
      </w:pPr>
      <w:r w:rsidRPr="00D37F52">
        <w:rPr>
          <w:lang w:val="fr-CA"/>
        </w:rPr>
        <w:t>N</w:t>
      </w:r>
      <w:r w:rsidRPr="00D37F52">
        <w:rPr>
          <w:vertAlign w:val="superscript"/>
          <w:lang w:val="fr-CA"/>
        </w:rPr>
        <w:t>o</w:t>
      </w:r>
      <w:r w:rsidRPr="00D37F52">
        <w:rPr>
          <w:lang w:val="fr-CA"/>
        </w:rPr>
        <w:t xml:space="preserve"> du greffe</w:t>
      </w:r>
      <w:r w:rsidR="00894691">
        <w:rPr>
          <w:lang w:val="fr-CA"/>
        </w:rPr>
        <w:t xml:space="preserve"> : </w:t>
      </w:r>
      <w:r w:rsidRPr="00D37F52">
        <w:rPr>
          <w:lang w:val="fr-CA"/>
        </w:rPr>
        <w:t>35380.</w:t>
      </w:r>
    </w:p>
    <w:p w:rsidR="004D7D95" w:rsidRPr="00D37F52" w:rsidRDefault="00F62639" w:rsidP="00894691">
      <w:pPr>
        <w:spacing w:after="720"/>
        <w:jc w:val="both"/>
        <w:rPr>
          <w:lang w:val="fr-CA"/>
        </w:rPr>
      </w:pPr>
      <w:r w:rsidRPr="00D37F52">
        <w:rPr>
          <w:lang w:val="fr-CA"/>
        </w:rPr>
        <w:t>2014</w:t>
      </w:r>
      <w:r w:rsidR="00894691">
        <w:rPr>
          <w:lang w:val="fr-CA"/>
        </w:rPr>
        <w:t xml:space="preserve"> : </w:t>
      </w:r>
      <w:r w:rsidRPr="00D37F52">
        <w:rPr>
          <w:lang w:val="fr-CA"/>
        </w:rPr>
        <w:t>12 février</w:t>
      </w:r>
      <w:r w:rsidR="004D7D95" w:rsidRPr="00D37F52">
        <w:rPr>
          <w:lang w:val="fr-CA"/>
        </w:rPr>
        <w:t xml:space="preserve">; </w:t>
      </w:r>
      <w:r w:rsidR="0066229F" w:rsidRPr="00D37F52">
        <w:rPr>
          <w:lang w:val="fr-CA"/>
        </w:rPr>
        <w:t>2014</w:t>
      </w:r>
      <w:r w:rsidR="00894691">
        <w:rPr>
          <w:lang w:val="fr-CA"/>
        </w:rPr>
        <w:t xml:space="preserve"> : </w:t>
      </w:r>
      <w:r w:rsidR="0094114E" w:rsidRPr="00D37F52">
        <w:rPr>
          <w:lang w:val="fr-CA"/>
        </w:rPr>
        <w:t>13</w:t>
      </w:r>
      <w:r w:rsidR="00894691">
        <w:rPr>
          <w:lang w:val="fr-CA"/>
        </w:rPr>
        <w:t xml:space="preserve"> </w:t>
      </w:r>
      <w:r w:rsidR="0094114E" w:rsidRPr="00D37F52">
        <w:rPr>
          <w:lang w:val="fr-CA"/>
        </w:rPr>
        <w:t>novembre</w:t>
      </w:r>
      <w:r w:rsidR="004D7D95" w:rsidRPr="00D37F52">
        <w:rPr>
          <w:lang w:val="fr-CA"/>
        </w:rPr>
        <w:t>.</w:t>
      </w:r>
    </w:p>
    <w:p w:rsidR="004D7D95" w:rsidRPr="00D37F52" w:rsidRDefault="004D7D95" w:rsidP="00894691">
      <w:pPr>
        <w:spacing w:after="720"/>
        <w:jc w:val="both"/>
        <w:rPr>
          <w:lang w:val="fr-CA"/>
        </w:rPr>
      </w:pPr>
      <w:r w:rsidRPr="00D37F52">
        <w:rPr>
          <w:lang w:val="fr-CA"/>
        </w:rPr>
        <w:t>Présents</w:t>
      </w:r>
      <w:r w:rsidR="00894691">
        <w:rPr>
          <w:lang w:val="fr-CA"/>
        </w:rPr>
        <w:t xml:space="preserve"> : </w:t>
      </w:r>
      <w:r w:rsidRPr="00D37F52">
        <w:rPr>
          <w:lang w:val="fr-CA"/>
        </w:rPr>
        <w:t xml:space="preserve">La juge en chef </w:t>
      </w:r>
      <w:proofErr w:type="spellStart"/>
      <w:r w:rsidRPr="00D37F52">
        <w:rPr>
          <w:lang w:val="fr-CA"/>
        </w:rPr>
        <w:t>McLachlin</w:t>
      </w:r>
      <w:proofErr w:type="spellEnd"/>
      <w:r w:rsidRPr="00D37F52">
        <w:rPr>
          <w:lang w:val="fr-CA"/>
        </w:rPr>
        <w:t xml:space="preserve"> et les juges </w:t>
      </w:r>
      <w:proofErr w:type="spellStart"/>
      <w:r w:rsidRPr="00D37F52">
        <w:rPr>
          <w:lang w:val="fr-CA"/>
        </w:rPr>
        <w:t>LeBel</w:t>
      </w:r>
      <w:proofErr w:type="spellEnd"/>
      <w:r w:rsidRPr="00D37F52">
        <w:rPr>
          <w:lang w:val="fr-CA"/>
        </w:rPr>
        <w:t xml:space="preserve">, Abella, </w:t>
      </w:r>
      <w:proofErr w:type="spellStart"/>
      <w:r w:rsidRPr="00D37F52">
        <w:rPr>
          <w:lang w:val="fr-CA"/>
        </w:rPr>
        <w:t>Rothstein</w:t>
      </w:r>
      <w:proofErr w:type="spellEnd"/>
      <w:r w:rsidRPr="00D37F52">
        <w:rPr>
          <w:lang w:val="fr-CA"/>
        </w:rPr>
        <w:t xml:space="preserve">, Cromwell, </w:t>
      </w:r>
      <w:proofErr w:type="spellStart"/>
      <w:r w:rsidRPr="00D37F52">
        <w:rPr>
          <w:lang w:val="fr-CA"/>
        </w:rPr>
        <w:t>Karakatsanis</w:t>
      </w:r>
      <w:proofErr w:type="spellEnd"/>
      <w:r w:rsidRPr="00D37F52">
        <w:rPr>
          <w:lang w:val="fr-CA"/>
        </w:rPr>
        <w:t xml:space="preserve"> et Wagner.</w:t>
      </w:r>
    </w:p>
    <w:p w:rsidR="004D7D95" w:rsidRPr="00D37F52" w:rsidRDefault="004D7D95" w:rsidP="00894691">
      <w:pPr>
        <w:spacing w:after="720"/>
        <w:jc w:val="both"/>
        <w:rPr>
          <w:smallCaps/>
          <w:lang w:val="fr-CA"/>
        </w:rPr>
      </w:pPr>
      <w:r w:rsidRPr="00D37F52">
        <w:rPr>
          <w:smallCaps/>
          <w:lang w:val="fr-CA"/>
        </w:rPr>
        <w:t>en appel de la cour</w:t>
      </w:r>
      <w:r w:rsidR="0066229F" w:rsidRPr="00D37F52">
        <w:rPr>
          <w:smallCaps/>
          <w:lang w:val="fr-CA"/>
        </w:rPr>
        <w:t xml:space="preserve"> d’appel de l’</w:t>
      </w:r>
      <w:proofErr w:type="spellStart"/>
      <w:r w:rsidR="0066229F" w:rsidRPr="00D37F52">
        <w:rPr>
          <w:smallCaps/>
          <w:lang w:val="fr-CA"/>
        </w:rPr>
        <w:t>alberta</w:t>
      </w:r>
      <w:proofErr w:type="spellEnd"/>
    </w:p>
    <w:p w:rsidR="00B432D2" w:rsidRPr="00D37F52" w:rsidRDefault="004D7D95" w:rsidP="00894691">
      <w:pPr>
        <w:pStyle w:val="SCCNormalDoubleSpacing"/>
        <w:spacing w:before="480" w:after="480"/>
        <w:rPr>
          <w:i/>
          <w:lang w:val="fr-CA"/>
        </w:rPr>
      </w:pPr>
      <w:r w:rsidRPr="00D37F52">
        <w:rPr>
          <w:lang w:val="fr-CA"/>
        </w:rPr>
        <w:tab/>
      </w:r>
      <w:r w:rsidR="008164C3" w:rsidRPr="00D37F52">
        <w:rPr>
          <w:i/>
          <w:lang w:val="fr-CA"/>
        </w:rPr>
        <w:t xml:space="preserve">Contrats </w:t>
      </w:r>
      <w:r w:rsidR="004F66F9" w:rsidRPr="00D37F52">
        <w:rPr>
          <w:i/>
          <w:lang w:val="fr-CA"/>
        </w:rPr>
        <w:t>—</w:t>
      </w:r>
      <w:r w:rsidR="008164C3" w:rsidRPr="00D37F52">
        <w:rPr>
          <w:i/>
          <w:lang w:val="fr-CA"/>
        </w:rPr>
        <w:t xml:space="preserve"> Violation </w:t>
      </w:r>
      <w:r w:rsidR="004F66F9" w:rsidRPr="00D37F52">
        <w:rPr>
          <w:i/>
          <w:lang w:val="fr-CA"/>
        </w:rPr>
        <w:t xml:space="preserve">— </w:t>
      </w:r>
      <w:r w:rsidR="008164C3" w:rsidRPr="00D37F52">
        <w:rPr>
          <w:i/>
          <w:lang w:val="fr-CA"/>
        </w:rPr>
        <w:t xml:space="preserve">Exécution </w:t>
      </w:r>
      <w:r w:rsidR="004F66F9" w:rsidRPr="00D37F52">
        <w:rPr>
          <w:i/>
          <w:lang w:val="fr-CA"/>
        </w:rPr>
        <w:t xml:space="preserve">— </w:t>
      </w:r>
      <w:r w:rsidR="008164C3" w:rsidRPr="00D37F52">
        <w:rPr>
          <w:i/>
          <w:lang w:val="fr-CA"/>
        </w:rPr>
        <w:t>Clause de non</w:t>
      </w:r>
      <w:r w:rsidR="00894691">
        <w:rPr>
          <w:i/>
          <w:lang w:val="fr-CA"/>
        </w:rPr>
        <w:t>-</w:t>
      </w:r>
      <w:r w:rsidR="008164C3" w:rsidRPr="00D37F52">
        <w:rPr>
          <w:i/>
          <w:lang w:val="fr-CA"/>
        </w:rPr>
        <w:t xml:space="preserve">renouvellement </w:t>
      </w:r>
      <w:r w:rsidR="004F66F9" w:rsidRPr="00D37F52">
        <w:rPr>
          <w:i/>
          <w:lang w:val="fr-CA"/>
        </w:rPr>
        <w:t xml:space="preserve">— </w:t>
      </w:r>
      <w:r w:rsidR="008164C3" w:rsidRPr="00D37F52">
        <w:rPr>
          <w:i/>
          <w:lang w:val="fr-CA"/>
        </w:rPr>
        <w:t xml:space="preserve">Obligation d’agir de bonne foi </w:t>
      </w:r>
      <w:r w:rsidR="004F66F9" w:rsidRPr="00D37F52">
        <w:rPr>
          <w:i/>
          <w:lang w:val="fr-CA"/>
        </w:rPr>
        <w:t xml:space="preserve">— </w:t>
      </w:r>
      <w:r w:rsidR="008164C3" w:rsidRPr="00D37F52">
        <w:rPr>
          <w:i/>
          <w:lang w:val="fr-CA"/>
        </w:rPr>
        <w:t xml:space="preserve">Obligation d’exécution honnête </w:t>
      </w:r>
      <w:r w:rsidR="004F66F9" w:rsidRPr="00D37F52">
        <w:rPr>
          <w:i/>
          <w:lang w:val="fr-CA"/>
        </w:rPr>
        <w:t xml:space="preserve">— </w:t>
      </w:r>
      <w:r w:rsidR="008164C3" w:rsidRPr="00D37F52">
        <w:rPr>
          <w:i/>
          <w:lang w:val="fr-CA"/>
        </w:rPr>
        <w:t xml:space="preserve">Entente régissant la relation entre la société et le détaillant prévoyant </w:t>
      </w:r>
      <w:r w:rsidR="008164C3" w:rsidRPr="00D37F52">
        <w:rPr>
          <w:i/>
          <w:noProof/>
          <w:lang w:val="fr-CA"/>
        </w:rPr>
        <w:t xml:space="preserve">le renouvellement </w:t>
      </w:r>
      <w:r w:rsidR="008164C3" w:rsidRPr="00D37F52">
        <w:rPr>
          <w:i/>
          <w:noProof/>
          <w:lang w:val="fr-CA"/>
        </w:rPr>
        <w:lastRenderedPageBreak/>
        <w:t>automatique du contrat à la fin de la période de trois ans, à moins qu’une partie donne à l’autre, par écrit, un préavis de non</w:t>
      </w:r>
      <w:r w:rsidR="00894691">
        <w:rPr>
          <w:i/>
          <w:noProof/>
          <w:lang w:val="fr-CA"/>
        </w:rPr>
        <w:t>-</w:t>
      </w:r>
      <w:r w:rsidR="008164C3" w:rsidRPr="00D37F52">
        <w:rPr>
          <w:i/>
          <w:noProof/>
          <w:lang w:val="fr-CA"/>
        </w:rPr>
        <w:t>renouvellement de six mois</w:t>
      </w:r>
      <w:r w:rsidR="008164C3" w:rsidRPr="00D37F52">
        <w:rPr>
          <w:i/>
          <w:lang w:val="fr-CA"/>
        </w:rPr>
        <w:t xml:space="preserve"> </w:t>
      </w:r>
      <w:r w:rsidR="004F66F9" w:rsidRPr="00D37F52">
        <w:rPr>
          <w:i/>
          <w:lang w:val="fr-CA"/>
        </w:rPr>
        <w:t xml:space="preserve">— </w:t>
      </w:r>
      <w:r w:rsidR="008164C3" w:rsidRPr="00D37F52">
        <w:rPr>
          <w:i/>
          <w:lang w:val="fr-CA"/>
        </w:rPr>
        <w:t xml:space="preserve">Décision de la société </w:t>
      </w:r>
      <w:r w:rsidR="008164C3" w:rsidRPr="00D37F52">
        <w:rPr>
          <w:i/>
          <w:noProof/>
          <w:lang w:val="fr-CA"/>
        </w:rPr>
        <w:t>de ne pas renouveler le contrat de concession</w:t>
      </w:r>
      <w:r w:rsidR="008164C3" w:rsidRPr="00D37F52">
        <w:rPr>
          <w:i/>
          <w:lang w:val="fr-CA"/>
        </w:rPr>
        <w:t xml:space="preserve"> </w:t>
      </w:r>
      <w:r w:rsidR="004F66F9" w:rsidRPr="00D37F52">
        <w:rPr>
          <w:i/>
          <w:lang w:val="fr-CA"/>
        </w:rPr>
        <w:t xml:space="preserve">— </w:t>
      </w:r>
      <w:r w:rsidR="008164C3" w:rsidRPr="00D37F52">
        <w:rPr>
          <w:i/>
          <w:lang w:val="fr-CA"/>
        </w:rPr>
        <w:t xml:space="preserve">Perte par le détaillant de la valeur de l’entreprise et de la </w:t>
      </w:r>
      <w:r w:rsidR="00B432D2" w:rsidRPr="00D37F52">
        <w:rPr>
          <w:i/>
          <w:noProof/>
          <w:lang w:val="fr-CA"/>
        </w:rPr>
        <w:t>majorité de ses représentants des ventes recrutés par</w:t>
      </w:r>
      <w:r w:rsidR="00B432D2" w:rsidRPr="00D37F52">
        <w:rPr>
          <w:i/>
          <w:lang w:val="fr-CA"/>
        </w:rPr>
        <w:t xml:space="preserve"> un concurrent </w:t>
      </w:r>
      <w:r w:rsidR="004F66F9" w:rsidRPr="00D37F52">
        <w:rPr>
          <w:i/>
          <w:lang w:val="fr-CA"/>
        </w:rPr>
        <w:t xml:space="preserve">— </w:t>
      </w:r>
      <w:r w:rsidR="00B432D2" w:rsidRPr="00D37F52">
        <w:rPr>
          <w:i/>
          <w:lang w:val="fr-CA"/>
        </w:rPr>
        <w:t xml:space="preserve">Poursuite du détaillant contre la société et le concurrent </w:t>
      </w:r>
      <w:r w:rsidR="004F66F9" w:rsidRPr="00D37F52">
        <w:rPr>
          <w:i/>
          <w:lang w:val="fr-CA"/>
        </w:rPr>
        <w:t xml:space="preserve">— </w:t>
      </w:r>
      <w:r w:rsidR="00B432D2" w:rsidRPr="00D37F52">
        <w:rPr>
          <w:i/>
          <w:lang w:val="fr-CA"/>
        </w:rPr>
        <w:t xml:space="preserve">La </w:t>
      </w:r>
      <w:proofErr w:type="spellStart"/>
      <w:r w:rsidR="00B432D2" w:rsidRPr="00D37F52">
        <w:rPr>
          <w:i/>
          <w:lang w:val="fr-CA"/>
        </w:rPr>
        <w:t>common</w:t>
      </w:r>
      <w:proofErr w:type="spellEnd"/>
      <w:r w:rsidR="00B432D2" w:rsidRPr="00D37F52">
        <w:rPr>
          <w:i/>
          <w:lang w:val="fr-CA"/>
        </w:rPr>
        <w:t xml:space="preserve"> </w:t>
      </w:r>
      <w:proofErr w:type="spellStart"/>
      <w:r w:rsidR="00B432D2" w:rsidRPr="00D37F52">
        <w:rPr>
          <w:i/>
          <w:lang w:val="fr-CA"/>
        </w:rPr>
        <w:t>law</w:t>
      </w:r>
      <w:proofErr w:type="spellEnd"/>
      <w:r w:rsidR="00B432D2" w:rsidRPr="00D37F52">
        <w:rPr>
          <w:i/>
          <w:lang w:val="fr-CA"/>
        </w:rPr>
        <w:t xml:space="preserve"> exige</w:t>
      </w:r>
      <w:r w:rsidR="00894691">
        <w:rPr>
          <w:i/>
          <w:lang w:val="fr-CA"/>
        </w:rPr>
        <w:t>-</w:t>
      </w:r>
      <w:r w:rsidR="00B432D2" w:rsidRPr="00D37F52">
        <w:rPr>
          <w:i/>
          <w:lang w:val="fr-CA"/>
        </w:rPr>
        <w:t>t</w:t>
      </w:r>
      <w:r w:rsidR="00894691">
        <w:rPr>
          <w:i/>
          <w:lang w:val="fr-CA"/>
        </w:rPr>
        <w:t>-</w:t>
      </w:r>
      <w:r w:rsidR="00B432D2" w:rsidRPr="00D37F52">
        <w:rPr>
          <w:i/>
          <w:lang w:val="fr-CA"/>
        </w:rPr>
        <w:t xml:space="preserve">elle une nouvelle obligation générale d’honnêteté applicable à l’exécution des contrats? </w:t>
      </w:r>
      <w:r w:rsidR="004F66F9" w:rsidRPr="00D37F52">
        <w:rPr>
          <w:i/>
          <w:lang w:val="fr-CA"/>
        </w:rPr>
        <w:t xml:space="preserve">— </w:t>
      </w:r>
      <w:r w:rsidR="00B432D2" w:rsidRPr="00D37F52">
        <w:rPr>
          <w:i/>
          <w:lang w:val="fr-CA"/>
        </w:rPr>
        <w:t>La société a</w:t>
      </w:r>
      <w:r w:rsidR="00894691">
        <w:rPr>
          <w:i/>
          <w:lang w:val="fr-CA"/>
        </w:rPr>
        <w:t>-</w:t>
      </w:r>
      <w:r w:rsidR="00B432D2" w:rsidRPr="00D37F52">
        <w:rPr>
          <w:i/>
          <w:lang w:val="fr-CA"/>
        </w:rPr>
        <w:t>t</w:t>
      </w:r>
      <w:r w:rsidR="00894691">
        <w:rPr>
          <w:i/>
          <w:lang w:val="fr-CA"/>
        </w:rPr>
        <w:t>-</w:t>
      </w:r>
      <w:r w:rsidR="00B432D2" w:rsidRPr="00D37F52">
        <w:rPr>
          <w:i/>
          <w:lang w:val="fr-CA"/>
        </w:rPr>
        <w:t>elle manqué à cette obligation?</w:t>
      </w:r>
    </w:p>
    <w:p w:rsidR="004D7D95" w:rsidRPr="00D37F52" w:rsidRDefault="00B432D2" w:rsidP="00894691">
      <w:pPr>
        <w:pStyle w:val="SCCNormalDoubleSpacing"/>
        <w:spacing w:before="480" w:after="480"/>
        <w:rPr>
          <w:lang w:val="fr-CA"/>
        </w:rPr>
      </w:pPr>
      <w:r w:rsidRPr="00D37F52">
        <w:rPr>
          <w:i/>
          <w:lang w:val="fr-CA"/>
        </w:rPr>
        <w:tab/>
        <w:t>Dommages</w:t>
      </w:r>
      <w:r w:rsidR="00894691">
        <w:rPr>
          <w:i/>
          <w:lang w:val="fr-CA"/>
        </w:rPr>
        <w:t>-</w:t>
      </w:r>
      <w:r w:rsidRPr="00D37F52">
        <w:rPr>
          <w:i/>
          <w:lang w:val="fr-CA"/>
        </w:rPr>
        <w:t xml:space="preserve">intérêts </w:t>
      </w:r>
      <w:r w:rsidR="004F66F9" w:rsidRPr="00D37F52">
        <w:rPr>
          <w:i/>
          <w:lang w:val="fr-CA"/>
        </w:rPr>
        <w:t xml:space="preserve">— </w:t>
      </w:r>
      <w:r w:rsidRPr="00D37F52">
        <w:rPr>
          <w:i/>
          <w:lang w:val="fr-CA"/>
        </w:rPr>
        <w:t xml:space="preserve">Quantum </w:t>
      </w:r>
      <w:r w:rsidR="004F66F9" w:rsidRPr="00D37F52">
        <w:rPr>
          <w:i/>
          <w:lang w:val="fr-CA"/>
        </w:rPr>
        <w:t xml:space="preserve">— </w:t>
      </w:r>
      <w:r w:rsidRPr="00D37F52">
        <w:rPr>
          <w:i/>
          <w:lang w:val="fr-CA"/>
        </w:rPr>
        <w:t xml:space="preserve">Contrats </w:t>
      </w:r>
      <w:r w:rsidR="004F66F9" w:rsidRPr="00D37F52">
        <w:rPr>
          <w:i/>
          <w:lang w:val="fr-CA"/>
        </w:rPr>
        <w:t xml:space="preserve">— </w:t>
      </w:r>
      <w:r w:rsidRPr="00D37F52">
        <w:rPr>
          <w:i/>
          <w:lang w:val="fr-CA"/>
        </w:rPr>
        <w:t xml:space="preserve">Violation </w:t>
      </w:r>
      <w:r w:rsidR="004F66F9" w:rsidRPr="00D37F52">
        <w:rPr>
          <w:i/>
          <w:lang w:val="fr-CA"/>
        </w:rPr>
        <w:t xml:space="preserve">— </w:t>
      </w:r>
      <w:r w:rsidRPr="00D37F52">
        <w:rPr>
          <w:i/>
          <w:lang w:val="fr-CA"/>
        </w:rPr>
        <w:t xml:space="preserve">Exécution </w:t>
      </w:r>
      <w:r w:rsidR="004F66F9" w:rsidRPr="00D37F52">
        <w:rPr>
          <w:i/>
          <w:lang w:val="fr-CA"/>
        </w:rPr>
        <w:t xml:space="preserve">— </w:t>
      </w:r>
      <w:r w:rsidRPr="00D37F52">
        <w:rPr>
          <w:i/>
          <w:lang w:val="fr-CA"/>
        </w:rPr>
        <w:t>Clause de non</w:t>
      </w:r>
      <w:r w:rsidR="00894691">
        <w:rPr>
          <w:i/>
          <w:lang w:val="fr-CA"/>
        </w:rPr>
        <w:t>-</w:t>
      </w:r>
      <w:r w:rsidRPr="00D37F52">
        <w:rPr>
          <w:i/>
          <w:lang w:val="fr-CA"/>
        </w:rPr>
        <w:t xml:space="preserve">renouvellement </w:t>
      </w:r>
      <w:r w:rsidR="004F66F9" w:rsidRPr="00D37F52">
        <w:rPr>
          <w:i/>
          <w:lang w:val="fr-CA"/>
        </w:rPr>
        <w:t xml:space="preserve">— </w:t>
      </w:r>
      <w:r w:rsidRPr="00D37F52">
        <w:rPr>
          <w:i/>
          <w:lang w:val="fr-CA"/>
        </w:rPr>
        <w:t xml:space="preserve">Obligation d’agir de bonne foi </w:t>
      </w:r>
      <w:r w:rsidR="004F66F9" w:rsidRPr="00D37F52">
        <w:rPr>
          <w:i/>
          <w:lang w:val="fr-CA"/>
        </w:rPr>
        <w:t xml:space="preserve">— </w:t>
      </w:r>
      <w:r w:rsidRPr="00D37F52">
        <w:rPr>
          <w:i/>
          <w:lang w:val="fr-CA"/>
        </w:rPr>
        <w:t xml:space="preserve">Obligation d’exécution honnête </w:t>
      </w:r>
      <w:r w:rsidR="004F66F9" w:rsidRPr="00D37F52">
        <w:rPr>
          <w:i/>
          <w:lang w:val="fr-CA"/>
        </w:rPr>
        <w:t xml:space="preserve">— </w:t>
      </w:r>
      <w:r w:rsidR="00D512EA" w:rsidRPr="00D37F52">
        <w:rPr>
          <w:i/>
          <w:lang w:val="fr-CA"/>
        </w:rPr>
        <w:t xml:space="preserve">Entente régissant la relation entre la société et le détaillant prévoyant </w:t>
      </w:r>
      <w:r w:rsidR="00D512EA" w:rsidRPr="00D37F52">
        <w:rPr>
          <w:i/>
          <w:noProof/>
          <w:lang w:val="fr-CA"/>
        </w:rPr>
        <w:t>le renouvellement automatique du contrat à la fin de la période de trois ans, à moins qu’une partie donne à l’autre, par écrit, un préavis de non</w:t>
      </w:r>
      <w:r w:rsidR="00894691">
        <w:rPr>
          <w:i/>
          <w:noProof/>
          <w:lang w:val="fr-CA"/>
        </w:rPr>
        <w:t>-</w:t>
      </w:r>
      <w:r w:rsidR="00D512EA" w:rsidRPr="00D37F52">
        <w:rPr>
          <w:i/>
          <w:noProof/>
          <w:lang w:val="fr-CA"/>
        </w:rPr>
        <w:t>renouvellement de six mois</w:t>
      </w:r>
      <w:r w:rsidR="00D512EA" w:rsidRPr="00D37F52">
        <w:rPr>
          <w:i/>
          <w:lang w:val="fr-CA"/>
        </w:rPr>
        <w:t xml:space="preserve"> </w:t>
      </w:r>
      <w:r w:rsidR="004F66F9" w:rsidRPr="00D37F52">
        <w:rPr>
          <w:i/>
          <w:lang w:val="fr-CA"/>
        </w:rPr>
        <w:t xml:space="preserve">— </w:t>
      </w:r>
      <w:r w:rsidR="00D512EA" w:rsidRPr="00D37F52">
        <w:rPr>
          <w:i/>
          <w:lang w:val="fr-CA"/>
        </w:rPr>
        <w:t xml:space="preserve">Décision de la société </w:t>
      </w:r>
      <w:r w:rsidR="00D512EA" w:rsidRPr="00D37F52">
        <w:rPr>
          <w:i/>
          <w:noProof/>
          <w:lang w:val="fr-CA"/>
        </w:rPr>
        <w:t>de ne pas renouveler le contrat de concession</w:t>
      </w:r>
      <w:r w:rsidR="00D512EA" w:rsidRPr="00D37F52">
        <w:rPr>
          <w:i/>
          <w:lang w:val="fr-CA"/>
        </w:rPr>
        <w:t xml:space="preserve"> </w:t>
      </w:r>
      <w:r w:rsidR="004F66F9" w:rsidRPr="00D37F52">
        <w:rPr>
          <w:i/>
          <w:lang w:val="fr-CA"/>
        </w:rPr>
        <w:t xml:space="preserve">— </w:t>
      </w:r>
      <w:r w:rsidR="00D512EA" w:rsidRPr="00D37F52">
        <w:rPr>
          <w:i/>
          <w:lang w:val="fr-CA"/>
        </w:rPr>
        <w:t xml:space="preserve">Perte par le détaillant de la valeur de l’entreprise et de la </w:t>
      </w:r>
      <w:r w:rsidR="00D512EA" w:rsidRPr="00D37F52">
        <w:rPr>
          <w:i/>
          <w:noProof/>
          <w:lang w:val="fr-CA"/>
        </w:rPr>
        <w:t>majorité de ses représentants des ventes recrutés par</w:t>
      </w:r>
      <w:r w:rsidR="00D512EA" w:rsidRPr="00D37F52">
        <w:rPr>
          <w:i/>
          <w:lang w:val="fr-CA"/>
        </w:rPr>
        <w:t xml:space="preserve"> un concurrent </w:t>
      </w:r>
      <w:r w:rsidR="004F66F9" w:rsidRPr="00D37F52">
        <w:rPr>
          <w:i/>
          <w:lang w:val="fr-CA"/>
        </w:rPr>
        <w:t xml:space="preserve">— </w:t>
      </w:r>
      <w:r w:rsidR="00D512EA" w:rsidRPr="00D37F52">
        <w:rPr>
          <w:i/>
          <w:lang w:val="fr-CA"/>
        </w:rPr>
        <w:t xml:space="preserve">Poursuite du détaillant contre la société et le concurrent </w:t>
      </w:r>
      <w:r w:rsidR="004F66F9" w:rsidRPr="00D37F52">
        <w:rPr>
          <w:i/>
          <w:lang w:val="fr-CA"/>
        </w:rPr>
        <w:t xml:space="preserve">— </w:t>
      </w:r>
      <w:r w:rsidR="000C3C98" w:rsidRPr="00D37F52">
        <w:rPr>
          <w:i/>
          <w:lang w:val="fr-CA"/>
        </w:rPr>
        <w:t>Quel est le montant approprié des dommages</w:t>
      </w:r>
      <w:r w:rsidR="00894691">
        <w:rPr>
          <w:i/>
          <w:lang w:val="fr-CA"/>
        </w:rPr>
        <w:t>-</w:t>
      </w:r>
      <w:r w:rsidR="000C3C98" w:rsidRPr="00D37F52">
        <w:rPr>
          <w:i/>
          <w:lang w:val="fr-CA"/>
        </w:rPr>
        <w:t>intérêts?</w:t>
      </w:r>
      <w:r w:rsidR="000C3C98" w:rsidRPr="00D37F52">
        <w:rPr>
          <w:lang w:val="fr-CA"/>
        </w:rPr>
        <w:t xml:space="preserve"> </w:t>
      </w:r>
    </w:p>
    <w:p w:rsidR="004D7D95" w:rsidRPr="00D37F52" w:rsidRDefault="004D7D95" w:rsidP="00894691">
      <w:pPr>
        <w:pStyle w:val="SCCNormalDoubleSpacing"/>
        <w:spacing w:before="480" w:after="480"/>
        <w:rPr>
          <w:noProof/>
          <w:lang w:val="fr-CA"/>
        </w:rPr>
      </w:pPr>
      <w:r w:rsidRPr="00D37F52">
        <w:rPr>
          <w:lang w:val="fr-CA"/>
        </w:rPr>
        <w:tab/>
      </w:r>
      <w:r w:rsidR="000C3C98" w:rsidRPr="00D37F52">
        <w:rPr>
          <w:lang w:val="fr-CA"/>
        </w:rPr>
        <w:t xml:space="preserve">C </w:t>
      </w:r>
      <w:r w:rsidR="000C3C98" w:rsidRPr="00D37F52">
        <w:rPr>
          <w:noProof/>
          <w:lang w:val="fr-CA"/>
        </w:rPr>
        <w:t>vend aux investisseurs des régimes d’épargne</w:t>
      </w:r>
      <w:r w:rsidR="00894691">
        <w:rPr>
          <w:noProof/>
          <w:lang w:val="fr-CA"/>
        </w:rPr>
        <w:t>-</w:t>
      </w:r>
      <w:r w:rsidR="000C3C98" w:rsidRPr="00D37F52">
        <w:rPr>
          <w:noProof/>
          <w:lang w:val="fr-CA"/>
        </w:rPr>
        <w:t xml:space="preserve">études par l’intermédiaire de détaillants, </w:t>
      </w:r>
      <w:r w:rsidR="000573F4" w:rsidRPr="00D37F52">
        <w:rPr>
          <w:noProof/>
          <w:lang w:val="fr-CA"/>
        </w:rPr>
        <w:t xml:space="preserve">comme B, </w:t>
      </w:r>
      <w:r w:rsidR="000C3C98" w:rsidRPr="00D37F52">
        <w:rPr>
          <w:noProof/>
          <w:lang w:val="fr-CA"/>
        </w:rPr>
        <w:t xml:space="preserve">appelés directeurs des souscriptions. </w:t>
      </w:r>
      <w:r w:rsidR="000C3C98" w:rsidRPr="00D37F52">
        <w:rPr>
          <w:lang w:val="fr-CA"/>
        </w:rPr>
        <w:t xml:space="preserve"> </w:t>
      </w:r>
      <w:r w:rsidR="000C3C98" w:rsidRPr="00D37F52">
        <w:rPr>
          <w:noProof/>
          <w:lang w:val="fr-CA"/>
        </w:rPr>
        <w:t>La relation entre C et B était régie par une entente relative au directeur des souscriptions qui est entrée en vigueur en</w:t>
      </w:r>
      <w:r w:rsidR="00894691">
        <w:rPr>
          <w:noProof/>
          <w:lang w:val="fr-CA"/>
        </w:rPr>
        <w:t xml:space="preserve"> </w:t>
      </w:r>
      <w:r w:rsidR="000C3C98" w:rsidRPr="00D37F52">
        <w:rPr>
          <w:noProof/>
          <w:lang w:val="fr-CA"/>
        </w:rPr>
        <w:t xml:space="preserve">1998.  La durée du contrat était de trois ans.  La disposition en cause en l’espèce prévoyait le renouvellement automatique du contrat à </w:t>
      </w:r>
      <w:r w:rsidR="000C3C98" w:rsidRPr="00D37F52">
        <w:rPr>
          <w:noProof/>
          <w:lang w:val="fr-CA"/>
        </w:rPr>
        <w:lastRenderedPageBreak/>
        <w:t>la fin de la période de trois ans, à moins qu’une partie donne à l’autre, par écrit, un préavis de non</w:t>
      </w:r>
      <w:r w:rsidR="00894691">
        <w:rPr>
          <w:noProof/>
          <w:lang w:val="fr-CA"/>
        </w:rPr>
        <w:t>-</w:t>
      </w:r>
      <w:r w:rsidR="000C3C98" w:rsidRPr="00D37F52">
        <w:rPr>
          <w:noProof/>
          <w:lang w:val="fr-CA"/>
        </w:rPr>
        <w:t>renouvellement de six mois.</w:t>
      </w:r>
    </w:p>
    <w:p w:rsidR="000C3C98" w:rsidRPr="00D37F52" w:rsidRDefault="000C3C98" w:rsidP="00894691">
      <w:pPr>
        <w:pStyle w:val="SCCNormalDoubleSpacing"/>
        <w:spacing w:before="480" w:after="480"/>
        <w:rPr>
          <w:noProof/>
          <w:lang w:val="fr-CA"/>
        </w:rPr>
      </w:pPr>
      <w:r w:rsidRPr="00D37F52">
        <w:rPr>
          <w:noProof/>
          <w:lang w:val="fr-CA"/>
        </w:rPr>
        <w:tab/>
        <w:t xml:space="preserve">H, lui aussi directeur des souscriptions, était un concurrent de B.  </w:t>
      </w:r>
      <w:r w:rsidR="003E687B" w:rsidRPr="00D37F52">
        <w:rPr>
          <w:noProof/>
          <w:lang w:val="fr-CA"/>
        </w:rPr>
        <w:t>H souhaitait s’approprier le créneau lucratif que B occupait sur le marché et avait à plusieurs reprises auparavant contacté B pour lui proposer de fusionner leurs agences.  Il avait aussi encouragé fortement C à imposer la fusion.  B avait refusé de participer à une telle fusion.  C a nommé H au poste d’agent commercial provincial (</w:t>
      </w:r>
      <w:r w:rsidR="00894691">
        <w:rPr>
          <w:noProof/>
          <w:lang w:val="fr-CA"/>
        </w:rPr>
        <w:t>« </w:t>
      </w:r>
      <w:r w:rsidR="003E687B" w:rsidRPr="00D37F52">
        <w:rPr>
          <w:noProof/>
          <w:lang w:val="fr-CA"/>
        </w:rPr>
        <w:t>ACP</w:t>
      </w:r>
      <w:r w:rsidR="00894691">
        <w:rPr>
          <w:noProof/>
          <w:lang w:val="fr-CA"/>
        </w:rPr>
        <w:t> »</w:t>
      </w:r>
      <w:r w:rsidR="003E687B" w:rsidRPr="00D37F52">
        <w:rPr>
          <w:noProof/>
          <w:lang w:val="fr-CA"/>
        </w:rPr>
        <w:t>)</w:t>
      </w:r>
      <w:r w:rsidR="008D530A" w:rsidRPr="00D37F52">
        <w:rPr>
          <w:noProof/>
          <w:lang w:val="fr-CA"/>
        </w:rPr>
        <w:t xml:space="preserve">, chargé de la vérification des activités de ses directeurs des souscriptions </w:t>
      </w:r>
      <w:r w:rsidR="003069F2">
        <w:rPr>
          <w:noProof/>
          <w:lang w:val="fr-CA"/>
        </w:rPr>
        <w:t>sur le</w:t>
      </w:r>
      <w:r w:rsidR="008D530A" w:rsidRPr="00D37F52">
        <w:rPr>
          <w:noProof/>
          <w:lang w:val="fr-CA"/>
        </w:rPr>
        <w:t xml:space="preserve"> plan du respect de la législation en matière de valeurs mobilières après que la Commission des valeurs mobilières de </w:t>
      </w:r>
      <w:r w:rsidR="003069F2">
        <w:rPr>
          <w:noProof/>
          <w:lang w:val="fr-CA"/>
        </w:rPr>
        <w:t>l’Alberta eu</w:t>
      </w:r>
      <w:r w:rsidR="008D530A" w:rsidRPr="00D37F52">
        <w:rPr>
          <w:noProof/>
          <w:lang w:val="fr-CA"/>
        </w:rPr>
        <w:t>t soulevé des questions au sujet de la conformité des activités des directeurs des souscriptions de C.  H devait effectuer des vérifications auprès des directeurs des souscriptions de C.  B s’est opposé à ce que H, un concurrent, examine ses dossiers d’entreprise confidentiels.</w:t>
      </w:r>
    </w:p>
    <w:p w:rsidR="004D7D95" w:rsidRPr="00D37F52" w:rsidRDefault="008D530A" w:rsidP="00894691">
      <w:pPr>
        <w:pStyle w:val="SCCNormalDoubleSpacing"/>
        <w:spacing w:before="480" w:after="480"/>
        <w:rPr>
          <w:noProof/>
          <w:lang w:val="fr-CA"/>
        </w:rPr>
      </w:pPr>
      <w:r w:rsidRPr="00D37F52">
        <w:rPr>
          <w:lang w:val="fr-CA"/>
        </w:rPr>
        <w:tab/>
      </w:r>
      <w:r w:rsidR="000573F4" w:rsidRPr="00D37F52">
        <w:rPr>
          <w:lang w:val="fr-CA"/>
        </w:rPr>
        <w:t>Au</w:t>
      </w:r>
      <w:r w:rsidR="00257A04" w:rsidRPr="00D37F52">
        <w:rPr>
          <w:lang w:val="fr-CA"/>
        </w:rPr>
        <w:t xml:space="preserve"> cours des discussions que C a eues </w:t>
      </w:r>
      <w:r w:rsidR="00257A04" w:rsidRPr="00D37F52">
        <w:rPr>
          <w:noProof/>
          <w:lang w:val="fr-CA"/>
        </w:rPr>
        <w:t xml:space="preserve">avec la Commission au sujet de la conformité, il était évident que C envisageait en Alberta </w:t>
      </w:r>
      <w:r w:rsidR="000573F4" w:rsidRPr="00D37F52">
        <w:rPr>
          <w:noProof/>
          <w:lang w:val="fr-CA"/>
        </w:rPr>
        <w:t xml:space="preserve">une restructuration de ses agences </w:t>
      </w:r>
      <w:r w:rsidR="00257A04" w:rsidRPr="00D37F52">
        <w:rPr>
          <w:noProof/>
          <w:lang w:val="fr-CA"/>
        </w:rPr>
        <w:t>qui touchait B.</w:t>
      </w:r>
      <w:r w:rsidR="004371F3" w:rsidRPr="00D37F52">
        <w:rPr>
          <w:noProof/>
          <w:lang w:val="fr-CA"/>
        </w:rPr>
        <w:t xml:space="preserve">  En juin </w:t>
      </w:r>
      <w:r w:rsidR="00257A04" w:rsidRPr="00D37F52">
        <w:rPr>
          <w:noProof/>
          <w:lang w:val="fr-CA"/>
        </w:rPr>
        <w:t xml:space="preserve">2000, C a présenté ses plans à la Commission selon lesquels il était prévu que B travaillerait pour l’agence de H.  B n’était au courant de rien.  </w:t>
      </w:r>
      <w:r w:rsidR="005B7918" w:rsidRPr="00D37F52">
        <w:rPr>
          <w:noProof/>
          <w:lang w:val="fr-CA"/>
        </w:rPr>
        <w:t>C a à maintes reprises induit B en erreur en lui disant que H, en sa qualité d’ACP, était tenu de traiter les renseignements de façon confidentielle.  C a aussi répondu de façon équivoque lorsque B a demandé en août</w:t>
      </w:r>
      <w:r w:rsidR="00894691">
        <w:rPr>
          <w:noProof/>
          <w:lang w:val="fr-CA"/>
        </w:rPr>
        <w:t xml:space="preserve"> </w:t>
      </w:r>
      <w:r w:rsidR="005B7918" w:rsidRPr="00D37F52">
        <w:rPr>
          <w:noProof/>
          <w:lang w:val="fr-CA"/>
        </w:rPr>
        <w:t xml:space="preserve">2000 si la fusion était un </w:t>
      </w:r>
      <w:r w:rsidR="00894691">
        <w:rPr>
          <w:noProof/>
          <w:lang w:val="fr-CA"/>
        </w:rPr>
        <w:t>« </w:t>
      </w:r>
      <w:r w:rsidR="005B7918" w:rsidRPr="00D37F52">
        <w:rPr>
          <w:noProof/>
          <w:lang w:val="fr-CA"/>
        </w:rPr>
        <w:t>fait accompli</w:t>
      </w:r>
      <w:r w:rsidR="00894691">
        <w:rPr>
          <w:noProof/>
          <w:lang w:val="fr-CA"/>
        </w:rPr>
        <w:t> »</w:t>
      </w:r>
      <w:r w:rsidR="005B7918" w:rsidRPr="00D37F52">
        <w:rPr>
          <w:noProof/>
          <w:lang w:val="fr-CA"/>
        </w:rPr>
        <w:t>.  Comme B refusait toujours de permettre à H de vérifier ses registres, C a menacé de résilier</w:t>
      </w:r>
      <w:r w:rsidR="004371F3" w:rsidRPr="00D37F52">
        <w:rPr>
          <w:noProof/>
          <w:lang w:val="fr-CA"/>
        </w:rPr>
        <w:t xml:space="preserve"> l’entente de </w:t>
      </w:r>
      <w:r w:rsidR="005B7918" w:rsidRPr="00D37F52">
        <w:rPr>
          <w:noProof/>
          <w:lang w:val="fr-CA"/>
        </w:rPr>
        <w:t>1998 et, en mai</w:t>
      </w:r>
      <w:r w:rsidR="004371F3" w:rsidRPr="00D37F52">
        <w:rPr>
          <w:noProof/>
          <w:lang w:val="fr-CA"/>
        </w:rPr>
        <w:t xml:space="preserve"> </w:t>
      </w:r>
      <w:r w:rsidR="005B7918" w:rsidRPr="00D37F52">
        <w:rPr>
          <w:noProof/>
          <w:lang w:val="fr-CA"/>
        </w:rPr>
        <w:t xml:space="preserve">2001, elle a donné à B </w:t>
      </w:r>
      <w:r w:rsidR="005B7918" w:rsidRPr="00D37F52">
        <w:rPr>
          <w:noProof/>
          <w:lang w:val="fr-CA"/>
        </w:rPr>
        <w:lastRenderedPageBreak/>
        <w:t>un préavis de non</w:t>
      </w:r>
      <w:r w:rsidR="00894691">
        <w:rPr>
          <w:noProof/>
          <w:lang w:val="fr-CA"/>
        </w:rPr>
        <w:t>-</w:t>
      </w:r>
      <w:r w:rsidR="005B7918" w:rsidRPr="00D37F52">
        <w:rPr>
          <w:noProof/>
          <w:lang w:val="fr-CA"/>
        </w:rPr>
        <w:t xml:space="preserve">renouvellement conformément à l’entente.  À l’échéance du contrat, l’entreprise de B a perdu </w:t>
      </w:r>
      <w:r w:rsidR="000573F4" w:rsidRPr="00D37F52">
        <w:rPr>
          <w:noProof/>
          <w:lang w:val="fr-CA"/>
        </w:rPr>
        <w:t xml:space="preserve">son effectif qui constituait </w:t>
      </w:r>
      <w:r w:rsidR="005B7918" w:rsidRPr="00D37F52">
        <w:rPr>
          <w:noProof/>
          <w:lang w:val="fr-CA"/>
        </w:rPr>
        <w:t xml:space="preserve">la valeur de </w:t>
      </w:r>
      <w:r w:rsidR="000573F4" w:rsidRPr="00D37F52">
        <w:rPr>
          <w:noProof/>
          <w:lang w:val="fr-CA"/>
        </w:rPr>
        <w:t xml:space="preserve">son </w:t>
      </w:r>
      <w:r w:rsidR="005B7918" w:rsidRPr="00D37F52">
        <w:rPr>
          <w:noProof/>
          <w:lang w:val="fr-CA"/>
        </w:rPr>
        <w:t>entreprise.  La majorité de ses représentants des ventes ont été recrutés par l’agence de H.</w:t>
      </w:r>
    </w:p>
    <w:p w:rsidR="005B7918" w:rsidRPr="00D37F52" w:rsidRDefault="005B7918" w:rsidP="00894691">
      <w:pPr>
        <w:pStyle w:val="SCCNormalDoubleSpacing"/>
        <w:spacing w:before="480" w:after="480"/>
        <w:rPr>
          <w:noProof/>
          <w:lang w:val="fr-CA"/>
        </w:rPr>
      </w:pPr>
      <w:r w:rsidRPr="00D37F52">
        <w:rPr>
          <w:noProof/>
          <w:lang w:val="fr-CA"/>
        </w:rPr>
        <w:tab/>
        <w:t>B a poursui</w:t>
      </w:r>
      <w:r w:rsidR="000573F4" w:rsidRPr="00D37F52">
        <w:rPr>
          <w:noProof/>
          <w:lang w:val="fr-CA"/>
        </w:rPr>
        <w:t>vi</w:t>
      </w:r>
      <w:r w:rsidRPr="00D37F52">
        <w:rPr>
          <w:noProof/>
          <w:lang w:val="fr-CA"/>
        </w:rPr>
        <w:t xml:space="preserve"> C et H.  La juge de première instance a conclu que C avait violé la condition implicite d’agir de bonne foi, que H avait intentionnellement incité à la rupture de contrat et que C et H avaient engagé leur responsabilité pour complot c</w:t>
      </w:r>
      <w:r w:rsidR="003069F2">
        <w:rPr>
          <w:noProof/>
          <w:lang w:val="fr-CA"/>
        </w:rPr>
        <w:t>ivil.  La C</w:t>
      </w:r>
      <w:r w:rsidRPr="00D37F52">
        <w:rPr>
          <w:noProof/>
          <w:lang w:val="fr-CA"/>
        </w:rPr>
        <w:t xml:space="preserve">our d’appel a </w:t>
      </w:r>
      <w:r w:rsidR="00522F7D" w:rsidRPr="00D37F52">
        <w:rPr>
          <w:noProof/>
          <w:lang w:val="fr-CA"/>
        </w:rPr>
        <w:t>accueilli l’appel et rejeté la poursuite de B.</w:t>
      </w:r>
    </w:p>
    <w:p w:rsidR="004D7D95" w:rsidRPr="00D37F52" w:rsidRDefault="004D7D95" w:rsidP="00894691">
      <w:pPr>
        <w:pStyle w:val="SCCNormalDoubleSpacing"/>
        <w:rPr>
          <w:lang w:val="fr-CA"/>
        </w:rPr>
      </w:pPr>
      <w:r w:rsidRPr="00D37F52">
        <w:rPr>
          <w:lang w:val="fr-CA"/>
        </w:rPr>
        <w:tab/>
      </w:r>
      <w:r w:rsidRPr="00D37F52">
        <w:rPr>
          <w:i/>
          <w:lang w:val="fr-CA"/>
        </w:rPr>
        <w:t>Arrêt</w:t>
      </w:r>
      <w:r w:rsidR="00894691">
        <w:rPr>
          <w:lang w:val="fr-CA"/>
        </w:rPr>
        <w:t> :</w:t>
      </w:r>
      <w:r w:rsidRPr="00D37F52">
        <w:rPr>
          <w:lang w:val="fr-CA"/>
        </w:rPr>
        <w:t xml:space="preserve"> Le pourvoi est</w:t>
      </w:r>
      <w:r w:rsidR="00522F7D" w:rsidRPr="00D37F52">
        <w:rPr>
          <w:lang w:val="fr-CA"/>
        </w:rPr>
        <w:t xml:space="preserve"> accueilli en ce qui concerne C et rejeté en ce qui concerne </w:t>
      </w:r>
      <w:r w:rsidR="000573F4" w:rsidRPr="00D37F52">
        <w:rPr>
          <w:lang w:val="fr-CA"/>
        </w:rPr>
        <w:t>H</w:t>
      </w:r>
      <w:r w:rsidR="00522F7D" w:rsidRPr="00D37F52">
        <w:rPr>
          <w:lang w:val="fr-CA"/>
        </w:rPr>
        <w:t>.  L’appréciation des dommages</w:t>
      </w:r>
      <w:r w:rsidR="00894691">
        <w:rPr>
          <w:lang w:val="fr-CA"/>
        </w:rPr>
        <w:t>-</w:t>
      </w:r>
      <w:r w:rsidR="00522F7D" w:rsidRPr="00D37F52">
        <w:rPr>
          <w:lang w:val="fr-CA"/>
        </w:rPr>
        <w:t>intérêts faite par la juge de première instance est modifiée et fixée à 87</w:t>
      </w:r>
      <w:r w:rsidR="00894691">
        <w:rPr>
          <w:lang w:val="fr-CA"/>
        </w:rPr>
        <w:t xml:space="preserve"> </w:t>
      </w:r>
      <w:r w:rsidR="00522F7D" w:rsidRPr="00D37F52">
        <w:rPr>
          <w:lang w:val="fr-CA"/>
        </w:rPr>
        <w:t>000</w:t>
      </w:r>
      <w:r w:rsidR="00894691">
        <w:rPr>
          <w:lang w:val="fr-CA"/>
        </w:rPr>
        <w:t xml:space="preserve"> </w:t>
      </w:r>
      <w:r w:rsidR="004371F3" w:rsidRPr="00D37F52">
        <w:rPr>
          <w:lang w:val="fr-CA"/>
        </w:rPr>
        <w:t>$</w:t>
      </w:r>
      <w:r w:rsidR="00522F7D" w:rsidRPr="00D37F52">
        <w:rPr>
          <w:lang w:val="fr-CA"/>
        </w:rPr>
        <w:t xml:space="preserve"> plus l’intérêt.</w:t>
      </w:r>
    </w:p>
    <w:p w:rsidR="004D7D95" w:rsidRPr="00D37F52" w:rsidRDefault="004D7D95" w:rsidP="00894691">
      <w:pPr>
        <w:pStyle w:val="SCCNormalDoubleSpacing"/>
        <w:spacing w:before="480" w:after="480"/>
        <w:rPr>
          <w:noProof/>
          <w:lang w:val="fr-CA"/>
        </w:rPr>
      </w:pPr>
      <w:r w:rsidRPr="00D37F52">
        <w:rPr>
          <w:lang w:val="fr-CA"/>
        </w:rPr>
        <w:tab/>
      </w:r>
      <w:r w:rsidR="00522F7D" w:rsidRPr="00D37F52">
        <w:rPr>
          <w:lang w:val="fr-CA"/>
        </w:rPr>
        <w:t xml:space="preserve">La </w:t>
      </w:r>
      <w:proofErr w:type="spellStart"/>
      <w:r w:rsidR="00522F7D" w:rsidRPr="00D37F52">
        <w:rPr>
          <w:lang w:val="fr-CA"/>
        </w:rPr>
        <w:t>common</w:t>
      </w:r>
      <w:proofErr w:type="spellEnd"/>
      <w:r w:rsidR="00522F7D" w:rsidRPr="00D37F52">
        <w:rPr>
          <w:lang w:val="fr-CA"/>
        </w:rPr>
        <w:t xml:space="preserve"> </w:t>
      </w:r>
      <w:proofErr w:type="spellStart"/>
      <w:r w:rsidR="00522F7D" w:rsidRPr="00D37F52">
        <w:rPr>
          <w:lang w:val="fr-CA"/>
        </w:rPr>
        <w:t>law</w:t>
      </w:r>
      <w:proofErr w:type="spellEnd"/>
      <w:r w:rsidR="00522F7D" w:rsidRPr="00D37F52">
        <w:rPr>
          <w:lang w:val="fr-CA"/>
        </w:rPr>
        <w:t xml:space="preserve"> au Canada en matière d’exécution de bonne foi des contrats est fragmentaire, incertaine et imprécise.  Il convient </w:t>
      </w:r>
      <w:r w:rsidR="00522F7D" w:rsidRPr="00D37F52">
        <w:rPr>
          <w:noProof/>
          <w:lang w:val="fr-CA"/>
        </w:rPr>
        <w:t>de prendre deux mesures progressives en vue de rendre la common law plus cohérente et équitable.  La première mesure consiste à reconnaître que l’exécution de bonne foi des contrats constitue un principe directeur général de la common law en matière de contrats qui sous</w:t>
      </w:r>
      <w:r w:rsidR="00894691">
        <w:rPr>
          <w:noProof/>
          <w:lang w:val="fr-CA"/>
        </w:rPr>
        <w:t>-</w:t>
      </w:r>
      <w:r w:rsidR="00522F7D" w:rsidRPr="00D37F52">
        <w:rPr>
          <w:noProof/>
          <w:lang w:val="fr-CA"/>
        </w:rPr>
        <w:t xml:space="preserve">tend et détermine les diverses règles où la common law, dans diverses situations et divers types de relations, reconnaît l’existence des obligations d’exécuter les contrats de bonne foi.  La deuxième mesure consiste à reconnaître, comme manifestation supplémentaire de ce principe directeur de bonne foi, l’existence d’une obligation en common law, applicable à tous les contrats, d’agir honnêtement dans </w:t>
      </w:r>
      <w:r w:rsidR="00522F7D" w:rsidRPr="00D37F52">
        <w:rPr>
          <w:noProof/>
          <w:lang w:val="fr-CA"/>
        </w:rPr>
        <w:lastRenderedPageBreak/>
        <w:t xml:space="preserve">l’exécution des obligations contractuelles.  </w:t>
      </w:r>
      <w:r w:rsidR="00216CD6" w:rsidRPr="00D37F52">
        <w:rPr>
          <w:noProof/>
          <w:lang w:val="fr-CA"/>
        </w:rPr>
        <w:t>L’adoption de ces deux mesures aura pour effet d’établir une obligation équitable, conforme aux attentes raisonnables des parties commerciales et suffisamment précise pour renforcer la stabilité commerciale plutôt que l’affaiblir.</w:t>
      </w:r>
    </w:p>
    <w:p w:rsidR="00216CD6" w:rsidRPr="00D37F52" w:rsidRDefault="00216CD6" w:rsidP="00894691">
      <w:pPr>
        <w:pStyle w:val="SCCNormalDoubleSpacing"/>
        <w:spacing w:before="480" w:after="480"/>
        <w:rPr>
          <w:lang w:val="fr-CA"/>
        </w:rPr>
      </w:pPr>
      <w:r w:rsidRPr="00D37F52">
        <w:rPr>
          <w:noProof/>
          <w:lang w:val="fr-CA"/>
        </w:rPr>
        <w:tab/>
        <w:t>I</w:t>
      </w:r>
      <w:r w:rsidRPr="00D37F52">
        <w:rPr>
          <w:lang w:val="fr-CA"/>
        </w:rPr>
        <w:t>l existe un principe directeur de bonne foi selon lequel les parties doivent, de façon générale, exécuter leurs obligations contractuelles de manière honnête et raisonnable, et non de façon abusive ou arbitraire.  Un principe directeur énonce en termes généraux une exigence de justice dont il est possible de tirer des règles de droit plus particulières.  Un principe directeur n’est donc pas une règle autonome, mais plutôt une norme qui sous</w:t>
      </w:r>
      <w:r w:rsidR="00894691">
        <w:rPr>
          <w:lang w:val="fr-CA"/>
        </w:rPr>
        <w:t>-</w:t>
      </w:r>
      <w:r w:rsidRPr="00D37F52">
        <w:rPr>
          <w:lang w:val="fr-CA"/>
        </w:rPr>
        <w:t>tend des règles de droit particulières, qui se manifeste dans ces règles et à laquelle on peut accorder plus ou moins d’importance selon chaque situation.  Il s’agit d’une norme qui aide à comprendre et à élaborer le droit de façon cohérente et rationnelle.</w:t>
      </w:r>
    </w:p>
    <w:p w:rsidR="00216CD6" w:rsidRPr="00D37F52" w:rsidRDefault="00216CD6" w:rsidP="00894691">
      <w:pPr>
        <w:pStyle w:val="SCCNormalDoubleSpacing"/>
        <w:spacing w:before="480" w:after="480"/>
        <w:rPr>
          <w:lang w:val="fr-CA"/>
        </w:rPr>
      </w:pPr>
      <w:r w:rsidRPr="00D37F52">
        <w:rPr>
          <w:lang w:val="fr-CA"/>
        </w:rPr>
        <w:tab/>
      </w:r>
      <w:r w:rsidR="002C5D85" w:rsidRPr="00D37F52">
        <w:rPr>
          <w:lang w:val="fr-CA"/>
        </w:rPr>
        <w:t xml:space="preserve">Le principe directeur de bonne foi montre bien que la partie contractante, lorsqu’elle exécute ses obligations contractuelles, devrait prendre en compte comme il se doit les intérêts légitimes de son partenaire contractuel.  Même si la </w:t>
      </w:r>
      <w:r w:rsidR="00894691">
        <w:rPr>
          <w:lang w:val="fr-CA"/>
        </w:rPr>
        <w:t>« </w:t>
      </w:r>
      <w:r w:rsidR="002C5D85" w:rsidRPr="00D37F52">
        <w:rPr>
          <w:lang w:val="fr-CA"/>
        </w:rPr>
        <w:t>prise en compte comme il se doit</w:t>
      </w:r>
      <w:r w:rsidR="00894691">
        <w:rPr>
          <w:lang w:val="fr-CA"/>
        </w:rPr>
        <w:t> »</w:t>
      </w:r>
      <w:r w:rsidR="002C5D85" w:rsidRPr="00D37F52">
        <w:rPr>
          <w:lang w:val="fr-CA"/>
        </w:rPr>
        <w:t xml:space="preserve"> des intérêts de l’autre partie variera en fonction du contexte de la relation contractuelle, elle n’oblige pas la partie à servir ces intérêts dans tous les cas.  Elle exige simplement que la partie ne cherche pas de mauvaise foi à nuire à ces intérêts.  Ce principe général présente des différences conceptuelles marquées par rapport aux obligations beaucoup plus rigoureuses du fiduciaire.  Contrairement aux obligations qui incombent au fiduciaire, l’exécution de bonne foi </w:t>
      </w:r>
      <w:r w:rsidR="002C5D85" w:rsidRPr="00D37F52">
        <w:rPr>
          <w:lang w:val="fr-CA"/>
        </w:rPr>
        <w:lastRenderedPageBreak/>
        <w:t>ne fait pas entrer en jeu les devoirs de loyauté envers l’autre partie contractante ou une obligation de veiller en priorité aux intérêts de l’autre partie contractante.</w:t>
      </w:r>
    </w:p>
    <w:p w:rsidR="002C5D85" w:rsidRPr="00D37F52" w:rsidRDefault="002C5D85" w:rsidP="00894691">
      <w:pPr>
        <w:pStyle w:val="SCCNormalDoubleSpacing"/>
        <w:rPr>
          <w:lang w:val="fr-CA"/>
        </w:rPr>
      </w:pPr>
      <w:r w:rsidRPr="00D37F52">
        <w:rPr>
          <w:lang w:val="fr-CA"/>
        </w:rPr>
        <w:tab/>
        <w:t>Ce principe directeur de bonne foi se manifeste par les règles existantes portant sur les types de situations et de relations dans lesquelles la loi exige, à certains égards, une exécution contractuelle honnête, franche ou raisonnable.  De façon générale, la notion de bonne foi ne sera pas retenue si elle ne cadre pas avec ces règles existantes.  Toutefois, cette liste n’est pas exhaustive.  L’application du principe directeur de bonne foi à des situations particulières devrait être élaborée lorsque les règles de droit existantes sont jugées insuffisantes et lorsque cette élaboration p</w:t>
      </w:r>
      <w:r w:rsidR="000573F4" w:rsidRPr="00D37F52">
        <w:rPr>
          <w:lang w:val="fr-CA"/>
        </w:rPr>
        <w:t>e</w:t>
      </w:r>
      <w:r w:rsidRPr="00D37F52">
        <w:rPr>
          <w:lang w:val="fr-CA"/>
        </w:rPr>
        <w:t xml:space="preserve">ut se faire graduellement d’une manière qui </w:t>
      </w:r>
      <w:r w:rsidR="002A54EF">
        <w:rPr>
          <w:lang w:val="fr-CA"/>
        </w:rPr>
        <w:t>est</w:t>
      </w:r>
      <w:r w:rsidRPr="00D37F52">
        <w:rPr>
          <w:lang w:val="fr-CA"/>
        </w:rPr>
        <w:t xml:space="preserve"> compatible avec la structure du droit des contrats en </w:t>
      </w:r>
      <w:proofErr w:type="spellStart"/>
      <w:r w:rsidRPr="00D37F52">
        <w:rPr>
          <w:lang w:val="fr-CA"/>
        </w:rPr>
        <w:t>common</w:t>
      </w:r>
      <w:proofErr w:type="spellEnd"/>
      <w:r w:rsidRPr="00D37F52">
        <w:rPr>
          <w:lang w:val="fr-CA"/>
        </w:rPr>
        <w:t xml:space="preserve"> </w:t>
      </w:r>
      <w:proofErr w:type="spellStart"/>
      <w:r w:rsidRPr="00D37F52">
        <w:rPr>
          <w:lang w:val="fr-CA"/>
        </w:rPr>
        <w:t>law</w:t>
      </w:r>
      <w:proofErr w:type="spellEnd"/>
      <w:r w:rsidRPr="00D37F52">
        <w:rPr>
          <w:lang w:val="fr-CA"/>
        </w:rPr>
        <w:t xml:space="preserve"> et qui reconna</w:t>
      </w:r>
      <w:r w:rsidR="002A54EF">
        <w:rPr>
          <w:lang w:val="fr-CA"/>
        </w:rPr>
        <w:t>ît</w:t>
      </w:r>
      <w:r w:rsidRPr="00D37F52">
        <w:rPr>
          <w:lang w:val="fr-CA"/>
        </w:rPr>
        <w:t xml:space="preserve"> toute son importance au choix personnel et à la stabilité dans les affaires commerciales. </w:t>
      </w:r>
    </w:p>
    <w:p w:rsidR="002C5D85" w:rsidRPr="00D37F52" w:rsidRDefault="002C5D85" w:rsidP="00894691">
      <w:pPr>
        <w:pStyle w:val="SCCNormalDoubleSpacing"/>
        <w:spacing w:before="480" w:after="480"/>
        <w:rPr>
          <w:lang w:val="fr-CA"/>
        </w:rPr>
      </w:pPr>
      <w:r w:rsidRPr="00D37F52">
        <w:rPr>
          <w:lang w:val="fr-CA"/>
        </w:rPr>
        <w:tab/>
        <w:t xml:space="preserve">Pour élaborer la doctrine de la bonne foi, il convient de retenir l’approche qui consiste à reconnaître un principe directeur prépondérant tout en acceptant que les règles de droit existantes serviront de guide principal pour préciser ultérieurement le droit.  Il est possible d’invoquer la bonne foi dans des contextes très divers, ce qui requiert une compréhension hautement contextuelle de ce qu’exige l’exécution d’une manière honnête et raisonnable de sorte qu’il soit tenu compte comme il se doit des intérêts légitimes des deux parties contractantes.  </w:t>
      </w:r>
    </w:p>
    <w:p w:rsidR="00585FC9" w:rsidRPr="00D37F52" w:rsidRDefault="00585FC9" w:rsidP="00894691">
      <w:pPr>
        <w:pStyle w:val="SCCNormalDoubleSpacing"/>
        <w:spacing w:before="480" w:after="480"/>
        <w:rPr>
          <w:lang w:val="fr-CA"/>
        </w:rPr>
      </w:pPr>
      <w:r w:rsidRPr="00D37F52">
        <w:rPr>
          <w:lang w:val="fr-CA"/>
        </w:rPr>
        <w:tab/>
        <w:t xml:space="preserve">Il convient d’appliquer le principe de la bonne foi d’une manière conforme aux engagements fondamentaux du droit des contrats en </w:t>
      </w:r>
      <w:proofErr w:type="spellStart"/>
      <w:r w:rsidRPr="00D37F52">
        <w:rPr>
          <w:lang w:val="fr-CA"/>
        </w:rPr>
        <w:t>common</w:t>
      </w:r>
      <w:proofErr w:type="spellEnd"/>
      <w:r w:rsidRPr="00D37F52">
        <w:rPr>
          <w:lang w:val="fr-CA"/>
        </w:rPr>
        <w:t xml:space="preserve"> </w:t>
      </w:r>
      <w:proofErr w:type="spellStart"/>
      <w:r w:rsidRPr="00D37F52">
        <w:rPr>
          <w:lang w:val="fr-CA"/>
        </w:rPr>
        <w:t>law</w:t>
      </w:r>
      <w:proofErr w:type="spellEnd"/>
      <w:r w:rsidRPr="00D37F52">
        <w:rPr>
          <w:lang w:val="fr-CA"/>
        </w:rPr>
        <w:t xml:space="preserve">, </w:t>
      </w:r>
      <w:r w:rsidRPr="00D37F52">
        <w:rPr>
          <w:lang w:val="fr-CA"/>
        </w:rPr>
        <w:lastRenderedPageBreak/>
        <w:t xml:space="preserve">lequel accorde généralement beaucoup de poids à la liberté des parties contractantes dans la poursuite de leur intérêt personnel.  En matière commerciale, une partie peut parfois causer une perte à une autre partie </w:t>
      </w:r>
      <w:r w:rsidR="004371F3" w:rsidRPr="00D37F52">
        <w:rPr>
          <w:lang w:val="fr-CA"/>
        </w:rPr>
        <w:t xml:space="preserve">— </w:t>
      </w:r>
      <w:r w:rsidRPr="00D37F52">
        <w:rPr>
          <w:lang w:val="fr-CA"/>
        </w:rPr>
        <w:t xml:space="preserve">même de façon intentionnelle </w:t>
      </w:r>
      <w:r w:rsidR="004371F3" w:rsidRPr="00D37F52">
        <w:rPr>
          <w:lang w:val="fr-CA"/>
        </w:rPr>
        <w:t xml:space="preserve">— </w:t>
      </w:r>
      <w:r w:rsidRPr="00D37F52">
        <w:rPr>
          <w:lang w:val="fr-CA"/>
        </w:rPr>
        <w:t>dans la poursuite légitime d’intérêts économiques personnels.  Agir de la sorte n’entre pas nécessairement en contradiction avec la bonne foi et, dans certains cas, les tribunaux ont encouragé les parties à adopter cette attitude au nom de l’efficience économique.  L’évolution du principe de la bonne foi doit éviter clairement de se transformer en une forme de moralisme judiciaire ponctuel ou en une justice au cas par cas.  Plus particulièrement, le principe directeur de bonne foi ne devrait pas servir de prétexte à un examen approfondi des intentions des parties contractantes.</w:t>
      </w:r>
    </w:p>
    <w:p w:rsidR="00585FC9" w:rsidRPr="00D37F52" w:rsidRDefault="00585FC9" w:rsidP="00894691">
      <w:pPr>
        <w:pStyle w:val="SCCNormalDoubleSpacing"/>
        <w:rPr>
          <w:lang w:val="fr-CA"/>
        </w:rPr>
      </w:pPr>
      <w:r w:rsidRPr="00D37F52">
        <w:rPr>
          <w:lang w:val="fr-CA"/>
        </w:rPr>
        <w:tab/>
        <w:t xml:space="preserve">Le reproche à l’égard de la conduite de C </w:t>
      </w:r>
      <w:r w:rsidR="000573F4" w:rsidRPr="00D37F52">
        <w:rPr>
          <w:lang w:val="fr-CA"/>
        </w:rPr>
        <w:t xml:space="preserve">en l’espèce </w:t>
      </w:r>
      <w:r w:rsidRPr="00D37F52">
        <w:rPr>
          <w:lang w:val="fr-CA"/>
        </w:rPr>
        <w:t xml:space="preserve">ne cadre dans aucune des situations ou des relations à l’égard desquelles les obligations de bonne foi ont trouvé application.  Il convient de reconnaître une nouvelle obligation en </w:t>
      </w:r>
      <w:proofErr w:type="spellStart"/>
      <w:r w:rsidRPr="00D37F52">
        <w:rPr>
          <w:lang w:val="fr-CA"/>
        </w:rPr>
        <w:t>common</w:t>
      </w:r>
      <w:proofErr w:type="spellEnd"/>
      <w:r w:rsidRPr="00D37F52">
        <w:rPr>
          <w:lang w:val="fr-CA"/>
        </w:rPr>
        <w:t xml:space="preserve"> </w:t>
      </w:r>
      <w:proofErr w:type="spellStart"/>
      <w:r w:rsidRPr="00D37F52">
        <w:rPr>
          <w:lang w:val="fr-CA"/>
        </w:rPr>
        <w:t>law</w:t>
      </w:r>
      <w:proofErr w:type="spellEnd"/>
      <w:r w:rsidRPr="00D37F52">
        <w:rPr>
          <w:lang w:val="fr-CA"/>
        </w:rPr>
        <w:t xml:space="preserve"> qui s’applique à tous les contrats en tant que manifestation du principe directeur général de bonne foi</w:t>
      </w:r>
      <w:r w:rsidR="00894691">
        <w:rPr>
          <w:lang w:val="fr-CA"/>
        </w:rPr>
        <w:t> :</w:t>
      </w:r>
      <w:r w:rsidRPr="00D37F52">
        <w:rPr>
          <w:lang w:val="fr-CA"/>
        </w:rPr>
        <w:t xml:space="preserve"> une obligation d’exécution honnête qui oblige les parties à faire preuve d’honnêteté l’une envers l’autre dans le cadre de l’exécution de leurs obligations contractuelles.</w:t>
      </w:r>
    </w:p>
    <w:p w:rsidR="00585FC9" w:rsidRPr="00D37F52" w:rsidRDefault="00585FC9" w:rsidP="00894691">
      <w:pPr>
        <w:pStyle w:val="SCCNormalDoubleSpacing"/>
        <w:spacing w:before="480" w:after="480"/>
        <w:rPr>
          <w:lang w:val="fr-CA"/>
        </w:rPr>
      </w:pPr>
      <w:r w:rsidRPr="00D37F52">
        <w:rPr>
          <w:lang w:val="fr-CA"/>
        </w:rPr>
        <w:tab/>
        <w:t xml:space="preserve">En vertu de cette nouvelle </w:t>
      </w:r>
      <w:r w:rsidR="00021B7D" w:rsidRPr="00D37F52">
        <w:rPr>
          <w:lang w:val="fr-CA"/>
        </w:rPr>
        <w:t xml:space="preserve">obligation générale d’honnêteté applicable à l’exécution des contrats, les parties ne doivent pas se mentir ni autrement s’induire intentionnellement en erreur au sujet de questions directement liées à l’exécution du contrat.  Cette obligation n’impose pas un devoir de loyauté ou de divulgation ni n’exige d’une partie qu’elle renonce à des avantages découlant du contrat; il s’agit </w:t>
      </w:r>
      <w:r w:rsidR="00021B7D" w:rsidRPr="00D37F52">
        <w:rPr>
          <w:lang w:val="fr-CA"/>
        </w:rPr>
        <w:lastRenderedPageBreak/>
        <w:t xml:space="preserve">d’une simple exigence faite à une partie de ne pas mentir à l’autre partie ni de la tromper au sujet de l’exécution de ses obligations contractuelles.  La reconnaissance d’une obligation d’exécution honnête découlant directement du principe directeur de bonne foi en </w:t>
      </w:r>
      <w:proofErr w:type="spellStart"/>
      <w:r w:rsidR="00021B7D" w:rsidRPr="00D37F52">
        <w:rPr>
          <w:lang w:val="fr-CA"/>
        </w:rPr>
        <w:t>common</w:t>
      </w:r>
      <w:proofErr w:type="spellEnd"/>
      <w:r w:rsidR="00021B7D" w:rsidRPr="00D37F52">
        <w:rPr>
          <w:lang w:val="fr-CA"/>
        </w:rPr>
        <w:t xml:space="preserve"> </w:t>
      </w:r>
      <w:proofErr w:type="spellStart"/>
      <w:r w:rsidR="00021B7D" w:rsidRPr="00D37F52">
        <w:rPr>
          <w:lang w:val="fr-CA"/>
        </w:rPr>
        <w:t>law</w:t>
      </w:r>
      <w:proofErr w:type="spellEnd"/>
      <w:r w:rsidR="00021B7D" w:rsidRPr="00D37F52">
        <w:rPr>
          <w:lang w:val="fr-CA"/>
        </w:rPr>
        <w:t xml:space="preserve"> se veut une étape modeste élaborée de façon progressive.  </w:t>
      </w:r>
    </w:p>
    <w:p w:rsidR="005569FA" w:rsidRPr="00D37F52" w:rsidRDefault="005569FA" w:rsidP="00894691">
      <w:pPr>
        <w:pStyle w:val="SCCNormalDoubleSpacing"/>
        <w:spacing w:before="480" w:after="480"/>
        <w:rPr>
          <w:lang w:val="fr-CA"/>
        </w:rPr>
      </w:pPr>
      <w:r w:rsidRPr="00D37F52">
        <w:rPr>
          <w:lang w:val="fr-CA"/>
        </w:rPr>
        <w:tab/>
        <w:t xml:space="preserve">Cette nouvelle obligation d’exécution honnête constitue une doctrine générale du droit des contrats imposant, à titre d’obligation contractuelle, une norme minimale d’honnêteté dans l’exécution des contrats.  Cette obligation trouve application sans égard aux intentions des parties et, en ce sens, elle est analogue aux notions reconnues en </w:t>
      </w:r>
      <w:proofErr w:type="spellStart"/>
      <w:r w:rsidRPr="00D37F52">
        <w:rPr>
          <w:i/>
          <w:lang w:val="fr-CA"/>
        </w:rPr>
        <w:t>equity</w:t>
      </w:r>
      <w:proofErr w:type="spellEnd"/>
      <w:r w:rsidRPr="00D37F52">
        <w:rPr>
          <w:lang w:val="fr-CA"/>
        </w:rPr>
        <w:t xml:space="preserve"> qui imposent, comme la doctrine relative aux contrats abusifs, des limites à la liberté contractuelle.  Toutefois, la teneur précise de l’exécution honnête variera selon le contexte, et les parties devraient, en certaines circonstances, être libres d’assouplir les exigences de la doctrine dès lors qu’elles en respectent les exigences minimales essentielles.  </w:t>
      </w:r>
    </w:p>
    <w:p w:rsidR="00821304" w:rsidRPr="00D37F52" w:rsidRDefault="00821304" w:rsidP="00894691">
      <w:pPr>
        <w:pStyle w:val="SCCNormalDoubleSpacing"/>
        <w:spacing w:before="480" w:after="480"/>
        <w:rPr>
          <w:lang w:val="fr-CA"/>
        </w:rPr>
      </w:pPr>
      <w:r w:rsidRPr="00D37F52">
        <w:rPr>
          <w:lang w:val="fr-CA"/>
        </w:rPr>
        <w:tab/>
        <w:t>L’obligation d’exécution honnête ne devrait pas être confondue avec l’obligation de divulgation ni avec celle de loyauté qui incombe au fiduciaire.  Une partie contractante n’est pas généralement tenue de subordonner ses intérêts à ceux de l’autre partie.  Les parties contractantes doivent toutefois pouvoir s’attendre à ce que leur partenaire contractant respecte une norme minimale d’honnêteté en ce qui a trait à l’exécution du contrat, de sorte que s’il n’est pas donné suite au contrat</w:t>
      </w:r>
      <w:r w:rsidR="005D700E">
        <w:rPr>
          <w:lang w:val="fr-CA"/>
        </w:rPr>
        <w:t>,</w:t>
      </w:r>
      <w:r w:rsidRPr="00D37F52">
        <w:rPr>
          <w:lang w:val="fr-CA"/>
        </w:rPr>
        <w:t xml:space="preserve"> elles auront l’assurance d’une possibilité raisonnable de protéger leurs intérêts.  </w:t>
      </w:r>
    </w:p>
    <w:p w:rsidR="00821304" w:rsidRPr="00D37F52" w:rsidRDefault="00821304" w:rsidP="00894691">
      <w:pPr>
        <w:pStyle w:val="SCCNormalDoubleSpacing"/>
        <w:spacing w:before="480" w:after="480"/>
        <w:rPr>
          <w:lang w:val="fr-CA"/>
        </w:rPr>
      </w:pPr>
      <w:r w:rsidRPr="00D37F52">
        <w:rPr>
          <w:lang w:val="fr-CA"/>
        </w:rPr>
        <w:lastRenderedPageBreak/>
        <w:tab/>
        <w:t xml:space="preserve">En l’espèce, </w:t>
      </w:r>
      <w:r w:rsidRPr="00D37F52">
        <w:rPr>
          <w:noProof/>
          <w:lang w:val="fr-CA"/>
        </w:rPr>
        <w:t xml:space="preserve">la juge de première instance n’a pas commis d’erreur donnant lieu à révision lorsqu’elle a tranché la question de la bonne foi.  C </w:t>
      </w:r>
      <w:r w:rsidRPr="00D37F52">
        <w:rPr>
          <w:lang w:val="fr-CA"/>
        </w:rPr>
        <w:t>a violé le contrat de</w:t>
      </w:r>
      <w:r w:rsidR="00894691">
        <w:rPr>
          <w:lang w:val="fr-CA"/>
        </w:rPr>
        <w:t xml:space="preserve"> </w:t>
      </w:r>
      <w:r w:rsidRPr="00D37F52">
        <w:rPr>
          <w:lang w:val="fr-CA"/>
        </w:rPr>
        <w:t xml:space="preserve">1998 lorsqu’elle n’a pas agi honnêtement </w:t>
      </w:r>
      <w:r w:rsidR="000573F4" w:rsidRPr="00D37F52">
        <w:rPr>
          <w:lang w:val="fr-CA"/>
        </w:rPr>
        <w:t>envers</w:t>
      </w:r>
      <w:r w:rsidRPr="00D37F52">
        <w:rPr>
          <w:lang w:val="fr-CA"/>
        </w:rPr>
        <w:t xml:space="preserve"> B en recourant à la clause de non</w:t>
      </w:r>
      <w:r w:rsidR="00894691">
        <w:rPr>
          <w:lang w:val="fr-CA"/>
        </w:rPr>
        <w:t>-</w:t>
      </w:r>
      <w:r w:rsidRPr="00D37F52">
        <w:rPr>
          <w:lang w:val="fr-CA"/>
        </w:rPr>
        <w:t>renouvellement.  La juge de première instance a conclu que C avait agi malhonnêtement envers B pendant la période précédant le recours à la clause de non</w:t>
      </w:r>
      <w:r w:rsidR="00894691">
        <w:rPr>
          <w:lang w:val="fr-CA"/>
        </w:rPr>
        <w:t>-</w:t>
      </w:r>
      <w:r w:rsidRPr="00D37F52">
        <w:rPr>
          <w:lang w:val="fr-CA"/>
        </w:rPr>
        <w:t>renouvellement, en raison de ses propres intentions et du rôle joué par H en sa qualité d’AC</w:t>
      </w:r>
      <w:r w:rsidR="00806392" w:rsidRPr="00D37F52">
        <w:rPr>
          <w:lang w:val="fr-CA"/>
        </w:rPr>
        <w:t xml:space="preserve">P. </w:t>
      </w:r>
      <w:r w:rsidRPr="00D37F52">
        <w:rPr>
          <w:lang w:val="fr-CA"/>
        </w:rPr>
        <w:t xml:space="preserve"> </w:t>
      </w:r>
      <w:r w:rsidR="000573F4" w:rsidRPr="00D37F52">
        <w:rPr>
          <w:lang w:val="fr-CA"/>
        </w:rPr>
        <w:t>L</w:t>
      </w:r>
      <w:r w:rsidRPr="00D37F52">
        <w:rPr>
          <w:lang w:val="fr-CA"/>
        </w:rPr>
        <w:t>es motifs détaillés</w:t>
      </w:r>
      <w:r w:rsidR="000573F4" w:rsidRPr="00D37F52">
        <w:rPr>
          <w:lang w:val="fr-CA"/>
        </w:rPr>
        <w:t xml:space="preserve"> de la juge</w:t>
      </w:r>
      <w:r w:rsidRPr="00D37F52">
        <w:rPr>
          <w:lang w:val="fr-CA"/>
        </w:rPr>
        <w:t xml:space="preserve"> étayent amplement cette conclusion générale.</w:t>
      </w:r>
    </w:p>
    <w:p w:rsidR="00821304" w:rsidRPr="00D37F52" w:rsidRDefault="00821304" w:rsidP="00894691">
      <w:pPr>
        <w:pStyle w:val="SCCNormalDoubleSpacing"/>
        <w:spacing w:before="480" w:after="480"/>
        <w:rPr>
          <w:lang w:val="fr-CA"/>
        </w:rPr>
      </w:pPr>
      <w:r w:rsidRPr="00D37F52">
        <w:rPr>
          <w:lang w:val="fr-CA"/>
        </w:rPr>
        <w:tab/>
      </w:r>
      <w:r w:rsidR="00B45FFE" w:rsidRPr="00D37F52">
        <w:rPr>
          <w:lang w:val="fr-CA"/>
        </w:rPr>
        <w:t>C est responsable de dommages</w:t>
      </w:r>
      <w:r w:rsidR="00894691">
        <w:rPr>
          <w:lang w:val="fr-CA"/>
        </w:rPr>
        <w:t>-</w:t>
      </w:r>
      <w:r w:rsidR="00B45FFE" w:rsidRPr="00D37F52">
        <w:rPr>
          <w:lang w:val="fr-CA"/>
        </w:rPr>
        <w:t xml:space="preserve">intérêts calculés en fonction de la situation financière dans laquelle se serait trouvé B si </w:t>
      </w:r>
      <w:r w:rsidR="000573F4" w:rsidRPr="00D37F52">
        <w:rPr>
          <w:lang w:val="fr-CA"/>
        </w:rPr>
        <w:t>C</w:t>
      </w:r>
      <w:r w:rsidR="00B45FFE" w:rsidRPr="00D37F52">
        <w:rPr>
          <w:lang w:val="fr-CA"/>
        </w:rPr>
        <w:t xml:space="preserve"> s’était acquittée de son obligation.  Bien que la juge de première instance n’ait pas évalué le montant des dommages</w:t>
      </w:r>
      <w:r w:rsidR="00894691">
        <w:rPr>
          <w:lang w:val="fr-CA"/>
        </w:rPr>
        <w:t>-</w:t>
      </w:r>
      <w:r w:rsidR="00B45FFE" w:rsidRPr="00D37F52">
        <w:rPr>
          <w:lang w:val="fr-CA"/>
        </w:rPr>
        <w:t>intérêts en fonction de ce critère, compte tenu des conclusions différentes qu’elle a tirées en ce qui a trait à la responsabilité, elle a tiré des conclusions qui permettent à notre Cour de le faire.  Ces conclusions permettent une évaluation des dommages</w:t>
      </w:r>
      <w:r w:rsidR="00894691">
        <w:rPr>
          <w:lang w:val="fr-CA"/>
        </w:rPr>
        <w:t>-</w:t>
      </w:r>
      <w:r w:rsidR="00B45FFE" w:rsidRPr="00D37F52">
        <w:rPr>
          <w:lang w:val="fr-CA"/>
        </w:rPr>
        <w:t>intérêts fondée sur le fait que, si C avait exécuté honnêtement le contrat, B aurait été en mesure de conserver la valeur de son entreprise plutôt que de s’en voir dépossédé au profit de H.  Il ressort clairement des conclusions de la juge de première instance ainsi que du dossier que la valeur de l’entreprise vers la date du non</w:t>
      </w:r>
      <w:r w:rsidR="00894691">
        <w:rPr>
          <w:lang w:val="fr-CA"/>
        </w:rPr>
        <w:t>-</w:t>
      </w:r>
      <w:r w:rsidR="00B45FFE" w:rsidRPr="00D37F52">
        <w:rPr>
          <w:lang w:val="fr-CA"/>
        </w:rPr>
        <w:t>renouvellement était de 87</w:t>
      </w:r>
      <w:r w:rsidR="00894691">
        <w:rPr>
          <w:lang w:val="fr-CA"/>
        </w:rPr>
        <w:t xml:space="preserve"> </w:t>
      </w:r>
      <w:r w:rsidR="00B45FFE" w:rsidRPr="00D37F52">
        <w:rPr>
          <w:lang w:val="fr-CA"/>
        </w:rPr>
        <w:t>000</w:t>
      </w:r>
      <w:r w:rsidR="00894691">
        <w:rPr>
          <w:lang w:val="fr-CA"/>
        </w:rPr>
        <w:t xml:space="preserve"> </w:t>
      </w:r>
      <w:r w:rsidR="004371F3" w:rsidRPr="00D37F52">
        <w:rPr>
          <w:lang w:val="fr-CA"/>
        </w:rPr>
        <w:t>$</w:t>
      </w:r>
      <w:r w:rsidR="00B45FFE" w:rsidRPr="00D37F52">
        <w:rPr>
          <w:lang w:val="fr-CA"/>
        </w:rPr>
        <w:t>.  B a droit à des dommages</w:t>
      </w:r>
      <w:r w:rsidR="00894691">
        <w:rPr>
          <w:lang w:val="fr-CA"/>
        </w:rPr>
        <w:t>-</w:t>
      </w:r>
      <w:r w:rsidR="00B45FFE" w:rsidRPr="00D37F52">
        <w:rPr>
          <w:lang w:val="fr-CA"/>
        </w:rPr>
        <w:t>intérêts de l’ordre de 87</w:t>
      </w:r>
      <w:r w:rsidR="005D700E">
        <w:rPr>
          <w:lang w:val="fr-CA"/>
        </w:rPr>
        <w:t> </w:t>
      </w:r>
      <w:r w:rsidR="00B45FFE" w:rsidRPr="00D37F52">
        <w:rPr>
          <w:lang w:val="fr-CA"/>
        </w:rPr>
        <w:t>000</w:t>
      </w:r>
      <w:r w:rsidR="00894691">
        <w:rPr>
          <w:lang w:val="fr-CA"/>
        </w:rPr>
        <w:t xml:space="preserve"> </w:t>
      </w:r>
      <w:r w:rsidR="004371F3" w:rsidRPr="00D37F52">
        <w:rPr>
          <w:lang w:val="fr-CA"/>
        </w:rPr>
        <w:t>$</w:t>
      </w:r>
      <w:r w:rsidR="00B45FFE" w:rsidRPr="00D37F52">
        <w:rPr>
          <w:lang w:val="fr-CA"/>
        </w:rPr>
        <w:t>.</w:t>
      </w:r>
      <w:r w:rsidR="005D700E">
        <w:rPr>
          <w:lang w:val="fr-CA"/>
        </w:rPr>
        <w:t xml:space="preserve">  La C</w:t>
      </w:r>
      <w:r w:rsidR="00A34E3E" w:rsidRPr="00D37F52">
        <w:rPr>
          <w:lang w:val="fr-CA"/>
        </w:rPr>
        <w:t xml:space="preserve">our d’appel a eu raison de ne retenir aucune responsabilité pour un délit d’incitation à </w:t>
      </w:r>
      <w:r w:rsidR="00A34E3E" w:rsidRPr="00D37F52">
        <w:rPr>
          <w:noProof/>
          <w:lang w:val="fr-CA"/>
        </w:rPr>
        <w:t>rupture</w:t>
      </w:r>
      <w:r w:rsidR="00A34E3E" w:rsidRPr="00D37F52">
        <w:rPr>
          <w:lang w:val="fr-CA"/>
        </w:rPr>
        <w:t xml:space="preserve"> de contrat ou de complot prévoyant le recours à des moyens illégaux.  Il s’ensuit donc que les demandes contre H ont été à juste titre rejetées.</w:t>
      </w:r>
    </w:p>
    <w:p w:rsidR="004D7D95" w:rsidRPr="00D37F52" w:rsidRDefault="004D7D95" w:rsidP="00894691">
      <w:pPr>
        <w:pStyle w:val="SCCNormalDoubleSpacing"/>
        <w:spacing w:after="720" w:line="240" w:lineRule="auto"/>
        <w:rPr>
          <w:b/>
          <w:lang w:val="fr-CA"/>
        </w:rPr>
      </w:pPr>
      <w:r w:rsidRPr="00D37F52">
        <w:rPr>
          <w:b/>
          <w:lang w:val="fr-CA"/>
        </w:rPr>
        <w:lastRenderedPageBreak/>
        <w:t>Jurisprudence</w:t>
      </w:r>
    </w:p>
    <w:p w:rsidR="002E6844" w:rsidRPr="00D37F52" w:rsidRDefault="004D7D95" w:rsidP="00894691">
      <w:pPr>
        <w:pStyle w:val="SCCNormalDoubleSpacing"/>
        <w:spacing w:after="480"/>
      </w:pPr>
      <w:r w:rsidRPr="00D37F52">
        <w:rPr>
          <w:lang w:val="fr-CA"/>
        </w:rPr>
        <w:tab/>
      </w:r>
      <w:r w:rsidRPr="00D37F52">
        <w:rPr>
          <w:b/>
          <w:lang w:val="fr-CA"/>
        </w:rPr>
        <w:t>Arrêts mentionnés</w:t>
      </w:r>
      <w:r w:rsidR="00894691">
        <w:rPr>
          <w:b/>
          <w:lang w:val="fr-CA"/>
        </w:rPr>
        <w:t> :</w:t>
      </w:r>
      <w:r w:rsidRPr="00D37F52">
        <w:rPr>
          <w:lang w:val="fr-CA"/>
        </w:rPr>
        <w:t xml:space="preserve"> </w:t>
      </w:r>
      <w:proofErr w:type="spellStart"/>
      <w:r w:rsidR="002E6844" w:rsidRPr="00D37F52">
        <w:rPr>
          <w:i/>
          <w:lang w:val="fr-CA"/>
        </w:rPr>
        <w:t>Aleyn</w:t>
      </w:r>
      <w:proofErr w:type="spellEnd"/>
      <w:r w:rsidR="002E6844" w:rsidRPr="00D37F52">
        <w:rPr>
          <w:i/>
          <w:lang w:val="fr-CA"/>
        </w:rPr>
        <w:t xml:space="preserve"> c. </w:t>
      </w:r>
      <w:proofErr w:type="spellStart"/>
      <w:r w:rsidR="002E6844" w:rsidRPr="00D37F52">
        <w:rPr>
          <w:i/>
          <w:lang w:val="fr-CA"/>
        </w:rPr>
        <w:t>Belchier</w:t>
      </w:r>
      <w:proofErr w:type="spellEnd"/>
      <w:r w:rsidR="002E6844" w:rsidRPr="00D37F52">
        <w:rPr>
          <w:lang w:val="fr-CA"/>
        </w:rPr>
        <w:t xml:space="preserve"> (1758), 1 </w:t>
      </w:r>
      <w:proofErr w:type="spellStart"/>
      <w:r w:rsidR="002E6844" w:rsidRPr="00D37F52">
        <w:rPr>
          <w:lang w:val="fr-CA"/>
        </w:rPr>
        <w:t>Eden</w:t>
      </w:r>
      <w:proofErr w:type="spellEnd"/>
      <w:r w:rsidR="002E6844" w:rsidRPr="00D37F52">
        <w:rPr>
          <w:lang w:val="fr-CA"/>
        </w:rPr>
        <w:t xml:space="preserve"> 132, 28 E.R. 634; </w:t>
      </w:r>
      <w:r w:rsidR="002E6844" w:rsidRPr="00D37F52">
        <w:rPr>
          <w:i/>
          <w:lang w:val="fr-CA"/>
        </w:rPr>
        <w:t>Mills c. Mills</w:t>
      </w:r>
      <w:r w:rsidR="002E6844" w:rsidRPr="00D37F52">
        <w:rPr>
          <w:lang w:val="fr-CA"/>
        </w:rPr>
        <w:t xml:space="preserve"> (1938), 60 C.L.R. 150; </w:t>
      </w:r>
      <w:proofErr w:type="spellStart"/>
      <w:r w:rsidR="002E6844" w:rsidRPr="00D37F52">
        <w:rPr>
          <w:i/>
          <w:lang w:val="fr-CA"/>
        </w:rPr>
        <w:t>Mellish</w:t>
      </w:r>
      <w:proofErr w:type="spellEnd"/>
      <w:r w:rsidR="002E6844" w:rsidRPr="00D37F52">
        <w:rPr>
          <w:i/>
          <w:lang w:val="fr-CA"/>
        </w:rPr>
        <w:t xml:space="preserve"> c. Motteux</w:t>
      </w:r>
      <w:r w:rsidR="002E6844" w:rsidRPr="00D37F52">
        <w:rPr>
          <w:lang w:val="fr-CA"/>
        </w:rPr>
        <w:t xml:space="preserve"> (1792), </w:t>
      </w:r>
      <w:proofErr w:type="spellStart"/>
      <w:r w:rsidR="002E6844" w:rsidRPr="00D37F52">
        <w:rPr>
          <w:lang w:val="fr-CA"/>
        </w:rPr>
        <w:t>Peake</w:t>
      </w:r>
      <w:proofErr w:type="spellEnd"/>
      <w:r w:rsidR="002E6844" w:rsidRPr="00D37F52">
        <w:rPr>
          <w:lang w:val="fr-CA"/>
        </w:rPr>
        <w:t xml:space="preserve"> 156, 170 E.R. 113; </w:t>
      </w:r>
      <w:r w:rsidR="002E6844" w:rsidRPr="00D37F52">
        <w:rPr>
          <w:i/>
          <w:lang w:val="fr-CA"/>
        </w:rPr>
        <w:t>Carter c. Boehm</w:t>
      </w:r>
      <w:r w:rsidR="002E6844" w:rsidRPr="00D37F52">
        <w:rPr>
          <w:lang w:val="fr-CA"/>
        </w:rPr>
        <w:t xml:space="preserve"> (1766), 3 </w:t>
      </w:r>
      <w:proofErr w:type="spellStart"/>
      <w:r w:rsidR="002E6844" w:rsidRPr="00D37F52">
        <w:rPr>
          <w:lang w:val="fr-CA"/>
        </w:rPr>
        <w:t>Burr</w:t>
      </w:r>
      <w:proofErr w:type="spellEnd"/>
      <w:r w:rsidR="002E6844" w:rsidRPr="00D37F52">
        <w:rPr>
          <w:lang w:val="fr-CA"/>
        </w:rPr>
        <w:t xml:space="preserve">. 1905, 97 E.R. 1162; </w:t>
      </w:r>
      <w:r w:rsidR="002E6844" w:rsidRPr="00D37F52">
        <w:rPr>
          <w:i/>
          <w:lang w:val="fr-CA"/>
        </w:rPr>
        <w:t xml:space="preserve">Herbert c. Mercantile </w:t>
      </w:r>
      <w:proofErr w:type="spellStart"/>
      <w:r w:rsidR="002E6844" w:rsidRPr="00D37F52">
        <w:rPr>
          <w:i/>
          <w:lang w:val="fr-CA"/>
        </w:rPr>
        <w:t>Fire</w:t>
      </w:r>
      <w:proofErr w:type="spellEnd"/>
      <w:r w:rsidR="002E6844" w:rsidRPr="00D37F52">
        <w:rPr>
          <w:i/>
          <w:lang w:val="fr-CA"/>
        </w:rPr>
        <w:t xml:space="preserve"> </w:t>
      </w:r>
      <w:proofErr w:type="spellStart"/>
      <w:r w:rsidR="002E6844" w:rsidRPr="00D37F52">
        <w:rPr>
          <w:i/>
          <w:lang w:val="fr-CA"/>
        </w:rPr>
        <w:t>Ins</w:t>
      </w:r>
      <w:proofErr w:type="spellEnd"/>
      <w:r w:rsidR="000561D6" w:rsidRPr="00D37F52">
        <w:rPr>
          <w:i/>
          <w:lang w:val="fr-CA"/>
        </w:rPr>
        <w:t>.</w:t>
      </w:r>
      <w:r w:rsidR="002E6844" w:rsidRPr="00D37F52">
        <w:rPr>
          <w:i/>
          <w:lang w:val="fr-CA"/>
        </w:rPr>
        <w:t xml:space="preserve"> Co.</w:t>
      </w:r>
      <w:r w:rsidR="002E6844" w:rsidRPr="00D37F52">
        <w:rPr>
          <w:lang w:val="fr-CA"/>
        </w:rPr>
        <w:t xml:space="preserve"> </w:t>
      </w:r>
      <w:r w:rsidR="002E6844" w:rsidRPr="00D37F52">
        <w:t>(1878), 43 U.C.</w:t>
      </w:r>
      <w:r w:rsidR="00D338DB" w:rsidRPr="00D37F52">
        <w:t>Q</w:t>
      </w:r>
      <w:r w:rsidR="002E6844" w:rsidRPr="00D37F52">
        <w:t>.</w:t>
      </w:r>
      <w:r w:rsidR="00D338DB" w:rsidRPr="00D37F52">
        <w:t>B.</w:t>
      </w:r>
      <w:r w:rsidR="002E6844" w:rsidRPr="00D37F52">
        <w:t xml:space="preserve"> 384; </w:t>
      </w:r>
      <w:r w:rsidR="002E6844" w:rsidRPr="00D37F52">
        <w:rPr>
          <w:i/>
        </w:rPr>
        <w:t xml:space="preserve">Gateway Realty Ltd. c. </w:t>
      </w:r>
      <w:proofErr w:type="spellStart"/>
      <w:r w:rsidR="002E6844" w:rsidRPr="00D37F52">
        <w:rPr>
          <w:i/>
        </w:rPr>
        <w:t>Arton</w:t>
      </w:r>
      <w:proofErr w:type="spellEnd"/>
      <w:r w:rsidR="002E6844" w:rsidRPr="00D37F52">
        <w:rPr>
          <w:i/>
        </w:rPr>
        <w:t xml:space="preserve"> Holdings Ltd.</w:t>
      </w:r>
      <w:r w:rsidR="002E6844" w:rsidRPr="00D37F52">
        <w:t xml:space="preserve"> (1991), 106 N.S.R. (2d) 180, conf. </w:t>
      </w:r>
      <w:proofErr w:type="gramStart"/>
      <w:r w:rsidR="002E6844" w:rsidRPr="00D37F52">
        <w:t>par</w:t>
      </w:r>
      <w:proofErr w:type="gramEnd"/>
      <w:r w:rsidR="002E6844" w:rsidRPr="00D37F52">
        <w:t xml:space="preserve"> (1992), 112 N.S.R. (2d) 180; </w:t>
      </w:r>
      <w:r w:rsidR="002E6844" w:rsidRPr="00D37F52">
        <w:rPr>
          <w:i/>
        </w:rPr>
        <w:t>McDonald’s Restaurant of Canada Ltd. c. British Columbia</w:t>
      </w:r>
      <w:r w:rsidR="002E6844" w:rsidRPr="00D37F52">
        <w:t xml:space="preserve"> (1997), 29 B.C.L.R. (3d) 303; </w:t>
      </w:r>
      <w:r w:rsidR="002E6844" w:rsidRPr="00D37F52">
        <w:rPr>
          <w:i/>
        </w:rPr>
        <w:t>Crawford c. Agricultural Development Board (N.B.)</w:t>
      </w:r>
      <w:r w:rsidR="002E6844" w:rsidRPr="00D37F52">
        <w:t xml:space="preserve"> (1997), 192 R.N.</w:t>
      </w:r>
      <w:r w:rsidR="00894691">
        <w:t>-</w:t>
      </w:r>
      <w:r w:rsidR="002E6844" w:rsidRPr="00D37F52">
        <w:t>B. (2</w:t>
      </w:r>
      <w:r w:rsidR="002E6844" w:rsidRPr="00D37F52">
        <w:rPr>
          <w:vertAlign w:val="superscript"/>
        </w:rPr>
        <w:t>e</w:t>
      </w:r>
      <w:r w:rsidR="002E6844" w:rsidRPr="00D37F52">
        <w:t xml:space="preserve">) 68; </w:t>
      </w:r>
      <w:r w:rsidR="002E6844" w:rsidRPr="00D37F52">
        <w:rPr>
          <w:i/>
        </w:rPr>
        <w:t>Transamerica Life Canada Inc. c. ING Canada Inc.</w:t>
      </w:r>
      <w:r w:rsidR="002E6844" w:rsidRPr="00D37F52">
        <w:t xml:space="preserve"> (2003), 68 O.R. (3d) 457; </w:t>
      </w:r>
      <w:r w:rsidR="000561D6" w:rsidRPr="00D37F52">
        <w:rPr>
          <w:i/>
        </w:rPr>
        <w:t>Mesa Operating Limited Partnership c. Amoco Canada Resources Ltd.</w:t>
      </w:r>
      <w:r w:rsidR="000561D6" w:rsidRPr="00D37F52">
        <w:t xml:space="preserve"> (1994), 149 A.R. 187</w:t>
      </w:r>
      <w:r w:rsidR="002E6844" w:rsidRPr="00D37F52">
        <w:t xml:space="preserve">; </w:t>
      </w:r>
      <w:r w:rsidR="002E6844" w:rsidRPr="00D37F52">
        <w:rPr>
          <w:i/>
        </w:rPr>
        <w:t xml:space="preserve">Barclays Bank PLC </w:t>
      </w:r>
      <w:r w:rsidR="00FA5B6D" w:rsidRPr="00D37F52">
        <w:rPr>
          <w:i/>
        </w:rPr>
        <w:t>c</w:t>
      </w:r>
      <w:r w:rsidR="002E6844" w:rsidRPr="00D37F52">
        <w:rPr>
          <w:i/>
        </w:rPr>
        <w:t>. Metcalfe &amp; Mansfield Alternative Investments VII Corp.</w:t>
      </w:r>
      <w:r w:rsidR="002E6844" w:rsidRPr="00D37F52">
        <w:t xml:space="preserve">, 2013 ONCA 494, 365 D.L.R. (4th) 15; </w:t>
      </w:r>
      <w:r w:rsidR="006E38BC" w:rsidRPr="00D37F52">
        <w:rPr>
          <w:i/>
        </w:rPr>
        <w:t xml:space="preserve">R. c. </w:t>
      </w:r>
      <w:proofErr w:type="spellStart"/>
      <w:r w:rsidR="006E38BC" w:rsidRPr="00D37F52">
        <w:rPr>
          <w:i/>
        </w:rPr>
        <w:t>Salituro</w:t>
      </w:r>
      <w:proofErr w:type="spellEnd"/>
      <w:r w:rsidR="006E38BC" w:rsidRPr="00D37F52">
        <w:t xml:space="preserve">, [1991] 3 R.C.S. 654; </w:t>
      </w:r>
      <w:r w:rsidR="002E6844" w:rsidRPr="00D37F52">
        <w:rPr>
          <w:i/>
        </w:rPr>
        <w:t>Bow Valley Husky (Bermuda) Ltd. c. Saint John Shipbuilding Ltd.</w:t>
      </w:r>
      <w:r w:rsidR="002E6844" w:rsidRPr="00D37F52">
        <w:t xml:space="preserve">, [1997] 3 R.C.S. 1210; </w:t>
      </w:r>
      <w:r w:rsidR="006E38BC" w:rsidRPr="00D37F52">
        <w:rPr>
          <w:i/>
        </w:rPr>
        <w:t xml:space="preserve">Watkins c. </w:t>
      </w:r>
      <w:proofErr w:type="spellStart"/>
      <w:r w:rsidR="006E38BC" w:rsidRPr="00D37F52">
        <w:rPr>
          <w:i/>
        </w:rPr>
        <w:t>Olafson</w:t>
      </w:r>
      <w:proofErr w:type="spellEnd"/>
      <w:r w:rsidR="006E38BC" w:rsidRPr="00D37F52">
        <w:t xml:space="preserve">, [1989] 2 R.C.S. 750; </w:t>
      </w:r>
      <w:r w:rsidR="002E6844" w:rsidRPr="00D37F52">
        <w:rPr>
          <w:i/>
        </w:rPr>
        <w:t xml:space="preserve">Hill c. </w:t>
      </w:r>
      <w:proofErr w:type="spellStart"/>
      <w:r w:rsidR="002E6844" w:rsidRPr="00D37F52">
        <w:rPr>
          <w:i/>
        </w:rPr>
        <w:t>Église</w:t>
      </w:r>
      <w:proofErr w:type="spellEnd"/>
      <w:r w:rsidR="002E6844" w:rsidRPr="00D37F52">
        <w:rPr>
          <w:i/>
        </w:rPr>
        <w:t xml:space="preserve"> de </w:t>
      </w:r>
      <w:proofErr w:type="spellStart"/>
      <w:r w:rsidR="002E6844" w:rsidRPr="00D37F52">
        <w:rPr>
          <w:i/>
        </w:rPr>
        <w:t>scientologie</w:t>
      </w:r>
      <w:proofErr w:type="spellEnd"/>
      <w:r w:rsidR="002E6844" w:rsidRPr="00D37F52">
        <w:rPr>
          <w:i/>
        </w:rPr>
        <w:t xml:space="preserve"> de Toronto</w:t>
      </w:r>
      <w:r w:rsidR="002E6844" w:rsidRPr="00D37F52">
        <w:t xml:space="preserve">, [1995] 2 R.C.S. 1130; </w:t>
      </w:r>
      <w:r w:rsidR="002E6844" w:rsidRPr="00D37F52">
        <w:rPr>
          <w:i/>
        </w:rPr>
        <w:t>S.D.G.M.R., section locale 558 c. Pepsi</w:t>
      </w:r>
      <w:r w:rsidR="00894691">
        <w:rPr>
          <w:i/>
        </w:rPr>
        <w:t>-</w:t>
      </w:r>
      <w:r w:rsidR="002E6844" w:rsidRPr="00D37F52">
        <w:rPr>
          <w:i/>
        </w:rPr>
        <w:t>Cola Canada Beverages (West) Ltd.</w:t>
      </w:r>
      <w:r w:rsidR="002E6844" w:rsidRPr="00D37F52">
        <w:t xml:space="preserve">, 2002 CSC 8, [2002] 1 R.C.S. 156; </w:t>
      </w:r>
      <w:proofErr w:type="spellStart"/>
      <w:r w:rsidR="002E6844" w:rsidRPr="00D37F52">
        <w:rPr>
          <w:i/>
        </w:rPr>
        <w:t>Colombie</w:t>
      </w:r>
      <w:r w:rsidR="00894691">
        <w:rPr>
          <w:i/>
        </w:rPr>
        <w:t>-</w:t>
      </w:r>
      <w:r w:rsidR="002E6844" w:rsidRPr="00D37F52">
        <w:rPr>
          <w:i/>
        </w:rPr>
        <w:t>Britannique</w:t>
      </w:r>
      <w:proofErr w:type="spellEnd"/>
      <w:r w:rsidR="002E6844" w:rsidRPr="00D37F52">
        <w:rPr>
          <w:i/>
        </w:rPr>
        <w:t xml:space="preserve"> c. Imperial Tobacco Canada </w:t>
      </w:r>
      <w:proofErr w:type="spellStart"/>
      <w:r w:rsidR="002E6844" w:rsidRPr="00D37F52">
        <w:rPr>
          <w:i/>
        </w:rPr>
        <w:t>Ltée</w:t>
      </w:r>
      <w:proofErr w:type="spellEnd"/>
      <w:r w:rsidR="002E6844" w:rsidRPr="00D37F52">
        <w:t xml:space="preserve">, 2005 CSC 49, [2005] 2 R.C.S. 473; </w:t>
      </w:r>
      <w:r w:rsidR="002E6844" w:rsidRPr="00D37F52">
        <w:rPr>
          <w:i/>
        </w:rPr>
        <w:t>Grant c. Torstar Corp.</w:t>
      </w:r>
      <w:r w:rsidR="002E6844" w:rsidRPr="00D37F52">
        <w:t xml:space="preserve">, 2009 CSC 61, [2009] 3 R.C.S. 640; </w:t>
      </w:r>
      <w:proofErr w:type="spellStart"/>
      <w:r w:rsidR="002E6844" w:rsidRPr="00D37F52">
        <w:rPr>
          <w:i/>
        </w:rPr>
        <w:t>Interfoto</w:t>
      </w:r>
      <w:proofErr w:type="spellEnd"/>
      <w:r w:rsidR="002E6844" w:rsidRPr="00D37F52">
        <w:rPr>
          <w:i/>
        </w:rPr>
        <w:t xml:space="preserve"> Picture Library Ltd. </w:t>
      </w:r>
      <w:r w:rsidR="00FA5B6D" w:rsidRPr="00D37F52">
        <w:rPr>
          <w:i/>
        </w:rPr>
        <w:t>c</w:t>
      </w:r>
      <w:r w:rsidR="002E6844" w:rsidRPr="00D37F52">
        <w:rPr>
          <w:i/>
        </w:rPr>
        <w:t>. Stiletto Visual Programmes Ltd.</w:t>
      </w:r>
      <w:r w:rsidR="002E6844" w:rsidRPr="00D37F52">
        <w:t xml:space="preserve">, [1989] 1 Q.B. 433; </w:t>
      </w:r>
      <w:r w:rsidR="002E6844" w:rsidRPr="00D37F52">
        <w:rPr>
          <w:i/>
        </w:rPr>
        <w:t xml:space="preserve">London Drugs Ltd. c. </w:t>
      </w:r>
      <w:proofErr w:type="spellStart"/>
      <w:r w:rsidR="002E6844" w:rsidRPr="00D37F52">
        <w:rPr>
          <w:i/>
        </w:rPr>
        <w:t>Kuehne</w:t>
      </w:r>
      <w:proofErr w:type="spellEnd"/>
      <w:r w:rsidR="002E6844" w:rsidRPr="00D37F52">
        <w:rPr>
          <w:i/>
        </w:rPr>
        <w:t xml:space="preserve"> &amp; Nagel International Ltd.</w:t>
      </w:r>
      <w:r w:rsidR="002E6844" w:rsidRPr="00D37F52">
        <w:t xml:space="preserve">, [1992] 3 R.C.S. 299; </w:t>
      </w:r>
      <w:proofErr w:type="spellStart"/>
      <w:r w:rsidR="002E6844" w:rsidRPr="00D37F52">
        <w:rPr>
          <w:i/>
        </w:rPr>
        <w:t>Machtinger</w:t>
      </w:r>
      <w:proofErr w:type="spellEnd"/>
      <w:r w:rsidR="002E6844" w:rsidRPr="00D37F52">
        <w:rPr>
          <w:i/>
        </w:rPr>
        <w:t xml:space="preserve"> c. HOJ Industries Ltd.</w:t>
      </w:r>
      <w:r w:rsidR="002E6844" w:rsidRPr="00D37F52">
        <w:t xml:space="preserve">, [1992] 1 R.C.S. 986; </w:t>
      </w:r>
      <w:r w:rsidR="002E6844" w:rsidRPr="00D37F52">
        <w:rPr>
          <w:i/>
        </w:rPr>
        <w:t xml:space="preserve">Schuler A.G. </w:t>
      </w:r>
      <w:r w:rsidR="00FA5B6D" w:rsidRPr="00D37F52">
        <w:rPr>
          <w:i/>
        </w:rPr>
        <w:t>c</w:t>
      </w:r>
      <w:r w:rsidR="002E6844" w:rsidRPr="00D37F52">
        <w:rPr>
          <w:i/>
        </w:rPr>
        <w:t xml:space="preserve">. </w:t>
      </w:r>
      <w:proofErr w:type="spellStart"/>
      <w:r w:rsidR="002E6844" w:rsidRPr="00D37F52">
        <w:rPr>
          <w:i/>
        </w:rPr>
        <w:t>Wickman</w:t>
      </w:r>
      <w:proofErr w:type="spellEnd"/>
      <w:r w:rsidR="002E6844" w:rsidRPr="00D37F52">
        <w:rPr>
          <w:i/>
        </w:rPr>
        <w:t xml:space="preserve"> Machine Tool Sales Ltd.</w:t>
      </w:r>
      <w:r w:rsidR="002E6844" w:rsidRPr="00D37F52">
        <w:t xml:space="preserve">, [1974] A.C. 235; </w:t>
      </w:r>
      <w:r w:rsidR="002E6844" w:rsidRPr="00D37F52">
        <w:rPr>
          <w:i/>
        </w:rPr>
        <w:t xml:space="preserve">CivicLife.com Inc. </w:t>
      </w:r>
      <w:r w:rsidR="00FA5B6D" w:rsidRPr="00D37F52">
        <w:rPr>
          <w:i/>
        </w:rPr>
        <w:t>c</w:t>
      </w:r>
      <w:r w:rsidR="002E6844" w:rsidRPr="00D37F52">
        <w:rPr>
          <w:i/>
        </w:rPr>
        <w:t>. Canada (Attorney General)</w:t>
      </w:r>
      <w:r w:rsidR="002E6844" w:rsidRPr="00D37F52">
        <w:t xml:space="preserve"> (2006), 215 O.A.C. 43; </w:t>
      </w:r>
      <w:r w:rsidR="002E6844" w:rsidRPr="00D37F52">
        <w:rPr>
          <w:i/>
        </w:rPr>
        <w:t>Dynamic Transport Ltd. c. O.K. Detailing Ltd.</w:t>
      </w:r>
      <w:r w:rsidR="002E6844" w:rsidRPr="00D37F52">
        <w:t xml:space="preserve">, [1978] 2 R.C.S. 1072; </w:t>
      </w:r>
      <w:r w:rsidR="002E6844" w:rsidRPr="00D37F52">
        <w:rPr>
          <w:i/>
        </w:rPr>
        <w:t xml:space="preserve">Mitsui &amp; Co. (Canada) Ltd. c. </w:t>
      </w:r>
      <w:proofErr w:type="spellStart"/>
      <w:r w:rsidR="002E6844" w:rsidRPr="00D37F52">
        <w:rPr>
          <w:i/>
        </w:rPr>
        <w:t>Banque</w:t>
      </w:r>
      <w:proofErr w:type="spellEnd"/>
      <w:r w:rsidR="002E6844" w:rsidRPr="00D37F52">
        <w:rPr>
          <w:i/>
        </w:rPr>
        <w:t xml:space="preserve"> </w:t>
      </w:r>
      <w:r w:rsidR="002E6844" w:rsidRPr="00D37F52">
        <w:rPr>
          <w:i/>
        </w:rPr>
        <w:lastRenderedPageBreak/>
        <w:t>Royale du Canada</w:t>
      </w:r>
      <w:r w:rsidR="002E6844" w:rsidRPr="00D37F52">
        <w:t xml:space="preserve">, [1995] 2 R.C.S. 187; </w:t>
      </w:r>
      <w:r w:rsidR="002E6844" w:rsidRPr="00D37F52">
        <w:rPr>
          <w:i/>
        </w:rPr>
        <w:t>Mason c. Freedman</w:t>
      </w:r>
      <w:r w:rsidR="002E6844" w:rsidRPr="00D37F52">
        <w:t xml:space="preserve">, [1958] R.C.S. 483; </w:t>
      </w:r>
      <w:r w:rsidR="002E6844" w:rsidRPr="00D37F52">
        <w:rPr>
          <w:i/>
        </w:rPr>
        <w:t xml:space="preserve">Honda Canada Inc. c. </w:t>
      </w:r>
      <w:proofErr w:type="spellStart"/>
      <w:r w:rsidR="002E6844" w:rsidRPr="00D37F52">
        <w:rPr>
          <w:i/>
        </w:rPr>
        <w:t>Keays</w:t>
      </w:r>
      <w:proofErr w:type="spellEnd"/>
      <w:r w:rsidR="002E6844" w:rsidRPr="00D37F52">
        <w:t xml:space="preserve">, 2008 CSC 39, [2008] 2 R.C.S. 362; </w:t>
      </w:r>
      <w:r w:rsidR="002E6844" w:rsidRPr="00D37F52">
        <w:rPr>
          <w:i/>
        </w:rPr>
        <w:t>Wallace c. United Grain Growers Ltd.</w:t>
      </w:r>
      <w:r w:rsidR="002E6844" w:rsidRPr="00D37F52">
        <w:t xml:space="preserve">, [1997] 3 R.C.S. 701; </w:t>
      </w:r>
      <w:proofErr w:type="spellStart"/>
      <w:r w:rsidR="002E6844" w:rsidRPr="00D37F52">
        <w:rPr>
          <w:i/>
        </w:rPr>
        <w:t>Fidler</w:t>
      </w:r>
      <w:proofErr w:type="spellEnd"/>
      <w:r w:rsidR="002E6844" w:rsidRPr="00D37F52">
        <w:rPr>
          <w:i/>
        </w:rPr>
        <w:t xml:space="preserve"> c. Sun Life du Canada, </w:t>
      </w:r>
      <w:proofErr w:type="spellStart"/>
      <w:r w:rsidR="002E6844" w:rsidRPr="00D37F52">
        <w:rPr>
          <w:i/>
        </w:rPr>
        <w:t>compagnie</w:t>
      </w:r>
      <w:proofErr w:type="spellEnd"/>
      <w:r w:rsidR="002E6844" w:rsidRPr="00D37F52">
        <w:rPr>
          <w:i/>
        </w:rPr>
        <w:t xml:space="preserve"> </w:t>
      </w:r>
      <w:proofErr w:type="spellStart"/>
      <w:r w:rsidR="002E6844" w:rsidRPr="00D37F52">
        <w:rPr>
          <w:i/>
        </w:rPr>
        <w:t>d’assurance</w:t>
      </w:r>
      <w:proofErr w:type="spellEnd"/>
      <w:r w:rsidR="00894691">
        <w:rPr>
          <w:i/>
        </w:rPr>
        <w:t>-</w:t>
      </w:r>
      <w:r w:rsidR="002E6844" w:rsidRPr="00D37F52">
        <w:rPr>
          <w:i/>
        </w:rPr>
        <w:t>vie</w:t>
      </w:r>
      <w:r w:rsidR="002E6844" w:rsidRPr="00D37F52">
        <w:t xml:space="preserve">, 2006 CSC 30, [2006] 2 R.C.S. 3; </w:t>
      </w:r>
      <w:r w:rsidR="002E6844" w:rsidRPr="00D37F52">
        <w:rPr>
          <w:i/>
        </w:rPr>
        <w:t xml:space="preserve">702535 Ontario Inc. </w:t>
      </w:r>
      <w:r w:rsidR="00FA5B6D" w:rsidRPr="00D37F52">
        <w:rPr>
          <w:i/>
        </w:rPr>
        <w:t>c</w:t>
      </w:r>
      <w:r w:rsidR="002E6844" w:rsidRPr="00D37F52">
        <w:rPr>
          <w:i/>
        </w:rPr>
        <w:t>. Lloyd’s London, Non</w:t>
      </w:r>
      <w:r w:rsidR="00894691">
        <w:rPr>
          <w:i/>
        </w:rPr>
        <w:t>-</w:t>
      </w:r>
      <w:r w:rsidR="002E6844" w:rsidRPr="00D37F52">
        <w:rPr>
          <w:i/>
        </w:rPr>
        <w:t>Marine Underwriters</w:t>
      </w:r>
      <w:r w:rsidR="002E6844" w:rsidRPr="00D37F52">
        <w:t xml:space="preserve"> (2000), 184 D.L.R. (4th) 687; </w:t>
      </w:r>
      <w:r w:rsidR="002E6844" w:rsidRPr="00D37F52">
        <w:rPr>
          <w:i/>
        </w:rPr>
        <w:t>Whiten c. Pilot Insurance Co.</w:t>
      </w:r>
      <w:r w:rsidR="002E6844" w:rsidRPr="00D37F52">
        <w:t xml:space="preserve">, 2002 CSC 18, [2002] 1 R.C.S. 595; </w:t>
      </w:r>
      <w:proofErr w:type="spellStart"/>
      <w:r w:rsidR="002E6844" w:rsidRPr="00D37F52">
        <w:rPr>
          <w:i/>
        </w:rPr>
        <w:t>Andrusiw</w:t>
      </w:r>
      <w:proofErr w:type="spellEnd"/>
      <w:r w:rsidR="002E6844" w:rsidRPr="00D37F52">
        <w:rPr>
          <w:i/>
        </w:rPr>
        <w:t xml:space="preserve"> </w:t>
      </w:r>
      <w:r w:rsidR="00FA5B6D" w:rsidRPr="00D37F52">
        <w:rPr>
          <w:i/>
        </w:rPr>
        <w:t>c</w:t>
      </w:r>
      <w:r w:rsidR="002E6844" w:rsidRPr="00D37F52">
        <w:rPr>
          <w:i/>
        </w:rPr>
        <w:t>. Aetna Life Insurance Co. of Canada</w:t>
      </w:r>
      <w:r w:rsidR="002E6844" w:rsidRPr="00D37F52">
        <w:t xml:space="preserve"> (2001), 289 A.R. 1; </w:t>
      </w:r>
      <w:r w:rsidR="002E6844" w:rsidRPr="00D37F52">
        <w:rPr>
          <w:i/>
        </w:rPr>
        <w:t>Martel Building Ltd. c. Canada</w:t>
      </w:r>
      <w:r w:rsidR="002E6844" w:rsidRPr="00D37F52">
        <w:t xml:space="preserve">, 2000 CSC 60, [2000] 2 R.C.S. 860; </w:t>
      </w:r>
      <w:r w:rsidR="002E6844" w:rsidRPr="00D37F52">
        <w:rPr>
          <w:i/>
        </w:rPr>
        <w:t xml:space="preserve">M.J.B. Enterprises Ltd. c. Construction de </w:t>
      </w:r>
      <w:proofErr w:type="spellStart"/>
      <w:r w:rsidR="002E6844" w:rsidRPr="00D37F52">
        <w:rPr>
          <w:i/>
        </w:rPr>
        <w:t>Défense</w:t>
      </w:r>
      <w:proofErr w:type="spellEnd"/>
      <w:r w:rsidR="002E6844" w:rsidRPr="00D37F52">
        <w:rPr>
          <w:i/>
        </w:rPr>
        <w:t xml:space="preserve"> (1951) </w:t>
      </w:r>
      <w:proofErr w:type="spellStart"/>
      <w:r w:rsidR="002E6844" w:rsidRPr="00D37F52">
        <w:rPr>
          <w:i/>
        </w:rPr>
        <w:t>Ltée</w:t>
      </w:r>
      <w:proofErr w:type="spellEnd"/>
      <w:r w:rsidR="002E6844" w:rsidRPr="00D37F52">
        <w:t xml:space="preserve">, [1999] 1 R.C.S. 619; </w:t>
      </w:r>
      <w:proofErr w:type="spellStart"/>
      <w:r w:rsidR="002E6844" w:rsidRPr="00D37F52">
        <w:rPr>
          <w:i/>
        </w:rPr>
        <w:t>Tercon</w:t>
      </w:r>
      <w:proofErr w:type="spellEnd"/>
      <w:r w:rsidR="002E6844" w:rsidRPr="00D37F52">
        <w:rPr>
          <w:i/>
        </w:rPr>
        <w:t xml:space="preserve"> Contractors Ltd. c. </w:t>
      </w:r>
      <w:proofErr w:type="spellStart"/>
      <w:r w:rsidR="002E6844" w:rsidRPr="00D37F52">
        <w:rPr>
          <w:i/>
        </w:rPr>
        <w:t>Colombie</w:t>
      </w:r>
      <w:r w:rsidR="00894691">
        <w:rPr>
          <w:i/>
        </w:rPr>
        <w:t>-</w:t>
      </w:r>
      <w:r w:rsidR="002E6844" w:rsidRPr="00D37F52">
        <w:rPr>
          <w:i/>
        </w:rPr>
        <w:t>Britannique</w:t>
      </w:r>
      <w:proofErr w:type="spellEnd"/>
      <w:r w:rsidR="002E6844" w:rsidRPr="00D37F52">
        <w:rPr>
          <w:i/>
        </w:rPr>
        <w:t xml:space="preserve"> (Transports et </w:t>
      </w:r>
      <w:proofErr w:type="spellStart"/>
      <w:r w:rsidR="002E6844" w:rsidRPr="00D37F52">
        <w:rPr>
          <w:i/>
        </w:rPr>
        <w:t>Voirie</w:t>
      </w:r>
      <w:proofErr w:type="spellEnd"/>
      <w:r w:rsidR="002E6844" w:rsidRPr="00D37F52">
        <w:rPr>
          <w:i/>
        </w:rPr>
        <w:t>)</w:t>
      </w:r>
      <w:r w:rsidR="002E6844" w:rsidRPr="00D37F52">
        <w:t xml:space="preserve">, 2010 CSC 4, [2010] 1 R.C.S. 69; </w:t>
      </w:r>
      <w:r w:rsidR="002E6844" w:rsidRPr="00D37F52">
        <w:rPr>
          <w:i/>
        </w:rPr>
        <w:t xml:space="preserve">Yam </w:t>
      </w:r>
      <w:proofErr w:type="spellStart"/>
      <w:r w:rsidR="002E6844" w:rsidRPr="00D37F52">
        <w:rPr>
          <w:i/>
        </w:rPr>
        <w:t>Seng</w:t>
      </w:r>
      <w:proofErr w:type="spellEnd"/>
      <w:r w:rsidR="002E6844" w:rsidRPr="00D37F52">
        <w:rPr>
          <w:i/>
        </w:rPr>
        <w:t xml:space="preserve"> Pte Ltd. </w:t>
      </w:r>
      <w:r w:rsidR="00FA5B6D" w:rsidRPr="00D37F52">
        <w:rPr>
          <w:i/>
        </w:rPr>
        <w:t>c</w:t>
      </w:r>
      <w:r w:rsidR="002E6844" w:rsidRPr="00D37F52">
        <w:rPr>
          <w:i/>
        </w:rPr>
        <w:t>. International Trade Corporation Ltd.</w:t>
      </w:r>
      <w:r w:rsidR="002E6844" w:rsidRPr="00D37F52">
        <w:t xml:space="preserve">, [2013] EWHC 111, [2013] 1 All E.R. (Comm.) 1321; </w:t>
      </w:r>
      <w:r w:rsidR="002E6844" w:rsidRPr="00D37F52">
        <w:rPr>
          <w:i/>
        </w:rPr>
        <w:t xml:space="preserve">Mid Essex Hospital Services NHS Trust </w:t>
      </w:r>
      <w:r w:rsidR="00FA5B6D" w:rsidRPr="00D37F52">
        <w:rPr>
          <w:i/>
        </w:rPr>
        <w:t>c</w:t>
      </w:r>
      <w:r w:rsidR="002E6844" w:rsidRPr="00D37F52">
        <w:rPr>
          <w:i/>
        </w:rPr>
        <w:t>. Compass Group UK and Ireland Ltd.</w:t>
      </w:r>
      <w:r w:rsidR="002E6844" w:rsidRPr="00D37F52">
        <w:t xml:space="preserve">, [2013] EWCA </w:t>
      </w:r>
      <w:proofErr w:type="spellStart"/>
      <w:r w:rsidR="002E6844" w:rsidRPr="00D37F52">
        <w:t>Civ</w:t>
      </w:r>
      <w:proofErr w:type="spellEnd"/>
      <w:r w:rsidR="002E6844" w:rsidRPr="00D37F52">
        <w:t xml:space="preserve"> 200 (BAILII); </w:t>
      </w:r>
      <w:proofErr w:type="spellStart"/>
      <w:r w:rsidR="00186980" w:rsidRPr="00D37F52">
        <w:rPr>
          <w:i/>
        </w:rPr>
        <w:t>Renard</w:t>
      </w:r>
      <w:proofErr w:type="spellEnd"/>
      <w:r w:rsidR="00186980" w:rsidRPr="00D37F52">
        <w:rPr>
          <w:i/>
        </w:rPr>
        <w:t xml:space="preserve"> Constructions (ME) Pty Ltd. c. Minister for Public Works</w:t>
      </w:r>
      <w:r w:rsidR="00186980" w:rsidRPr="00D37F52">
        <w:t xml:space="preserve"> (1992), 26 N</w:t>
      </w:r>
      <w:r w:rsidR="007009BA" w:rsidRPr="00D37F52">
        <w:t>.</w:t>
      </w:r>
      <w:r w:rsidR="00186980" w:rsidRPr="00D37F52">
        <w:t>S</w:t>
      </w:r>
      <w:r w:rsidR="007009BA" w:rsidRPr="00D37F52">
        <w:t>.</w:t>
      </w:r>
      <w:r w:rsidR="00186980" w:rsidRPr="00D37F52">
        <w:t>W</w:t>
      </w:r>
      <w:r w:rsidR="007009BA" w:rsidRPr="00D37F52">
        <w:t>.</w:t>
      </w:r>
      <w:r w:rsidR="00186980" w:rsidRPr="00D37F52">
        <w:t>L</w:t>
      </w:r>
      <w:r w:rsidR="007009BA" w:rsidRPr="00D37F52">
        <w:t>.</w:t>
      </w:r>
      <w:r w:rsidR="00186980" w:rsidRPr="00D37F52">
        <w:t>R</w:t>
      </w:r>
      <w:r w:rsidR="007009BA" w:rsidRPr="00D37F52">
        <w:t>.</w:t>
      </w:r>
      <w:r w:rsidR="00186980" w:rsidRPr="00D37F52">
        <w:t xml:space="preserve"> 234</w:t>
      </w:r>
      <w:r w:rsidR="002E6844" w:rsidRPr="00D37F52">
        <w:t xml:space="preserve">; </w:t>
      </w:r>
      <w:r w:rsidR="002E6844" w:rsidRPr="00D37F52">
        <w:rPr>
          <w:i/>
        </w:rPr>
        <w:t>Burger King Cor</w:t>
      </w:r>
      <w:r w:rsidR="004371F3" w:rsidRPr="00D37F52">
        <w:rPr>
          <w:i/>
        </w:rPr>
        <w:t>p</w:t>
      </w:r>
      <w:r w:rsidR="008E0763">
        <w:rPr>
          <w:i/>
        </w:rPr>
        <w:t>oration</w:t>
      </w:r>
      <w:r w:rsidR="00894691">
        <w:rPr>
          <w:i/>
        </w:rPr>
        <w:t xml:space="preserve"> </w:t>
      </w:r>
      <w:r w:rsidR="00FA5B6D" w:rsidRPr="00D37F52">
        <w:rPr>
          <w:i/>
        </w:rPr>
        <w:t>c</w:t>
      </w:r>
      <w:r w:rsidR="002E6844" w:rsidRPr="00D37F52">
        <w:rPr>
          <w:i/>
        </w:rPr>
        <w:t>. Hungry Jack’s Pty Ltd.</w:t>
      </w:r>
      <w:r w:rsidR="002E6844" w:rsidRPr="00D37F52">
        <w:t>, [2001] NSWCA 187</w:t>
      </w:r>
      <w:r w:rsidR="008E0763">
        <w:t xml:space="preserve">, 69 </w:t>
      </w:r>
      <w:r w:rsidR="008E0763" w:rsidRPr="00112703">
        <w:t>N.S.W.L.R.</w:t>
      </w:r>
      <w:r w:rsidR="008E0763">
        <w:t xml:space="preserve"> 558</w:t>
      </w:r>
      <w:r w:rsidR="002E6844" w:rsidRPr="00D37F52">
        <w:t xml:space="preserve">; </w:t>
      </w:r>
      <w:r w:rsidR="006513E0" w:rsidRPr="00D37F52">
        <w:rPr>
          <w:i/>
        </w:rPr>
        <w:t>R. c. Jones</w:t>
      </w:r>
      <w:r w:rsidR="006513E0" w:rsidRPr="00D37F52">
        <w:t xml:space="preserve">, [1994] 2 R.C.S. 229; </w:t>
      </w:r>
      <w:r w:rsidR="006513E0" w:rsidRPr="00D37F52">
        <w:rPr>
          <w:i/>
        </w:rPr>
        <w:t>R. c. Hart</w:t>
      </w:r>
      <w:r w:rsidR="006513E0" w:rsidRPr="00D37F52">
        <w:t>, 2014 CSC 52</w:t>
      </w:r>
      <w:r w:rsidR="00CB588A" w:rsidRPr="00D37F52">
        <w:t>, [2014] 2 R.C.S. 544</w:t>
      </w:r>
      <w:r w:rsidR="006513E0" w:rsidRPr="00D37F52">
        <w:t xml:space="preserve">; </w:t>
      </w:r>
      <w:r w:rsidR="002E6844" w:rsidRPr="00D37F52">
        <w:rPr>
          <w:i/>
        </w:rPr>
        <w:t>Peel (</w:t>
      </w:r>
      <w:proofErr w:type="spellStart"/>
      <w:r w:rsidR="002E6844" w:rsidRPr="00D37F52">
        <w:rPr>
          <w:i/>
        </w:rPr>
        <w:t>Municipalité</w:t>
      </w:r>
      <w:proofErr w:type="spellEnd"/>
      <w:r w:rsidR="002E6844" w:rsidRPr="00D37F52">
        <w:rPr>
          <w:i/>
        </w:rPr>
        <w:t xml:space="preserve"> </w:t>
      </w:r>
      <w:proofErr w:type="spellStart"/>
      <w:r w:rsidR="002E6844" w:rsidRPr="00D37F52">
        <w:rPr>
          <w:i/>
        </w:rPr>
        <w:t>régionale</w:t>
      </w:r>
      <w:proofErr w:type="spellEnd"/>
      <w:r w:rsidR="002E6844" w:rsidRPr="00D37F52">
        <w:rPr>
          <w:i/>
        </w:rPr>
        <w:t>) c. Canada</w:t>
      </w:r>
      <w:r w:rsidR="002E6844" w:rsidRPr="00D37F52">
        <w:t xml:space="preserve">, [1992] 3 R.C.S. 762; </w:t>
      </w:r>
      <w:r w:rsidR="002E6844" w:rsidRPr="00D37F52">
        <w:rPr>
          <w:i/>
        </w:rPr>
        <w:t>A.I. Enterprises Ltd. c. Bram Enterprises Ltd.</w:t>
      </w:r>
      <w:r w:rsidR="002E6844" w:rsidRPr="00D37F52">
        <w:t xml:space="preserve">, 2014 CSC 12, [2014] 1 R.C.S. 177; </w:t>
      </w:r>
      <w:proofErr w:type="spellStart"/>
      <w:r w:rsidR="002E6844" w:rsidRPr="00D37F52">
        <w:rPr>
          <w:i/>
        </w:rPr>
        <w:t>Banque</w:t>
      </w:r>
      <w:proofErr w:type="spellEnd"/>
      <w:r w:rsidR="002E6844" w:rsidRPr="00D37F52">
        <w:rPr>
          <w:i/>
        </w:rPr>
        <w:t xml:space="preserve"> </w:t>
      </w:r>
      <w:proofErr w:type="spellStart"/>
      <w:r w:rsidR="002E6844" w:rsidRPr="00D37F52">
        <w:rPr>
          <w:i/>
        </w:rPr>
        <w:t>d’Amérique</w:t>
      </w:r>
      <w:proofErr w:type="spellEnd"/>
      <w:r w:rsidR="002E6844" w:rsidRPr="00D37F52">
        <w:rPr>
          <w:i/>
        </w:rPr>
        <w:t xml:space="preserve"> du Canada c. </w:t>
      </w:r>
      <w:proofErr w:type="spellStart"/>
      <w:r w:rsidR="002E6844" w:rsidRPr="00D37F52">
        <w:rPr>
          <w:i/>
        </w:rPr>
        <w:t>Société</w:t>
      </w:r>
      <w:proofErr w:type="spellEnd"/>
      <w:r w:rsidR="002E6844" w:rsidRPr="00D37F52">
        <w:rPr>
          <w:i/>
        </w:rPr>
        <w:t xml:space="preserve"> de </w:t>
      </w:r>
      <w:proofErr w:type="spellStart"/>
      <w:r w:rsidR="002E6844" w:rsidRPr="00D37F52">
        <w:rPr>
          <w:i/>
        </w:rPr>
        <w:t>Fiducie</w:t>
      </w:r>
      <w:proofErr w:type="spellEnd"/>
      <w:r w:rsidR="002E6844" w:rsidRPr="00D37F52">
        <w:rPr>
          <w:i/>
        </w:rPr>
        <w:t xml:space="preserve"> </w:t>
      </w:r>
      <w:proofErr w:type="spellStart"/>
      <w:r w:rsidR="002E6844" w:rsidRPr="00D37F52">
        <w:rPr>
          <w:i/>
        </w:rPr>
        <w:t>Mutuelle</w:t>
      </w:r>
      <w:proofErr w:type="spellEnd"/>
      <w:r w:rsidR="002E6844" w:rsidRPr="00D37F52">
        <w:t xml:space="preserve">, 2002 CSC 43, [2002] 2 R.C.S. 601; </w:t>
      </w:r>
      <w:r w:rsidR="002E6844" w:rsidRPr="00D37F52">
        <w:rPr>
          <w:i/>
        </w:rPr>
        <w:t xml:space="preserve">Greenberg </w:t>
      </w:r>
      <w:r w:rsidR="00FA5B6D" w:rsidRPr="00D37F52">
        <w:rPr>
          <w:i/>
        </w:rPr>
        <w:t>c</w:t>
      </w:r>
      <w:r w:rsidR="002E6844" w:rsidRPr="00D37F52">
        <w:rPr>
          <w:i/>
        </w:rPr>
        <w:t xml:space="preserve">. </w:t>
      </w:r>
      <w:proofErr w:type="spellStart"/>
      <w:r w:rsidR="002E6844" w:rsidRPr="00D37F52">
        <w:rPr>
          <w:i/>
        </w:rPr>
        <w:t>Meffert</w:t>
      </w:r>
      <w:proofErr w:type="spellEnd"/>
      <w:r w:rsidR="002E6844" w:rsidRPr="00D37F52">
        <w:t xml:space="preserve"> (1985), 50 O.R. (2d) 755; </w:t>
      </w:r>
      <w:proofErr w:type="spellStart"/>
      <w:r w:rsidR="002E6844" w:rsidRPr="00D37F52">
        <w:rPr>
          <w:i/>
        </w:rPr>
        <w:t>Shelanu</w:t>
      </w:r>
      <w:proofErr w:type="spellEnd"/>
      <w:r w:rsidR="002E6844" w:rsidRPr="00D37F52">
        <w:rPr>
          <w:i/>
        </w:rPr>
        <w:t xml:space="preserve"> Inc. </w:t>
      </w:r>
      <w:r w:rsidR="00FA5B6D" w:rsidRPr="00D37F52">
        <w:rPr>
          <w:i/>
        </w:rPr>
        <w:t>c</w:t>
      </w:r>
      <w:r w:rsidR="002E6844" w:rsidRPr="00D37F52">
        <w:rPr>
          <w:i/>
        </w:rPr>
        <w:t>. Print Three Franchising Cor</w:t>
      </w:r>
      <w:r w:rsidR="004371F3" w:rsidRPr="00D37F52">
        <w:rPr>
          <w:i/>
        </w:rPr>
        <w:t>p.</w:t>
      </w:r>
      <w:r w:rsidR="00806392" w:rsidRPr="00D37F52">
        <w:rPr>
          <w:i/>
        </w:rPr>
        <w:t xml:space="preserve"> </w:t>
      </w:r>
      <w:r w:rsidR="002E6844" w:rsidRPr="00D37F52">
        <w:t xml:space="preserve">(2003), 64 O.R. (3d) 533; </w:t>
      </w:r>
      <w:r w:rsidR="002E6844" w:rsidRPr="00D37F52">
        <w:rPr>
          <w:i/>
        </w:rPr>
        <w:t xml:space="preserve">GEC Marconi Systems Pty Ltd. </w:t>
      </w:r>
      <w:r w:rsidR="00FA5B6D" w:rsidRPr="00D37F52">
        <w:rPr>
          <w:i/>
        </w:rPr>
        <w:t>c</w:t>
      </w:r>
      <w:r w:rsidR="002E6844" w:rsidRPr="00D37F52">
        <w:rPr>
          <w:i/>
        </w:rPr>
        <w:t>. BHP Information Technology Pty Ltd.</w:t>
      </w:r>
      <w:r w:rsidR="002E6844" w:rsidRPr="00D37F52">
        <w:t>, [2003] FCA 50 (</w:t>
      </w:r>
      <w:proofErr w:type="spellStart"/>
      <w:r w:rsidR="002E6844" w:rsidRPr="00D37F52">
        <w:t>AustLII</w:t>
      </w:r>
      <w:proofErr w:type="spellEnd"/>
      <w:r w:rsidR="002E6844" w:rsidRPr="00D37F52">
        <w:t xml:space="preserve">); </w:t>
      </w:r>
      <w:proofErr w:type="spellStart"/>
      <w:r w:rsidR="002E6844" w:rsidRPr="00D37F52">
        <w:rPr>
          <w:i/>
        </w:rPr>
        <w:t>Banque</w:t>
      </w:r>
      <w:proofErr w:type="spellEnd"/>
      <w:r w:rsidR="002E6844" w:rsidRPr="00D37F52">
        <w:rPr>
          <w:i/>
        </w:rPr>
        <w:t xml:space="preserve"> de Montréal c. </w:t>
      </w:r>
      <w:proofErr w:type="spellStart"/>
      <w:r w:rsidR="002E6844" w:rsidRPr="00D37F52">
        <w:rPr>
          <w:i/>
        </w:rPr>
        <w:t>Kuet</w:t>
      </w:r>
      <w:proofErr w:type="spellEnd"/>
      <w:r w:rsidR="002E6844" w:rsidRPr="00D37F52">
        <w:rPr>
          <w:i/>
        </w:rPr>
        <w:t xml:space="preserve"> Leong Ng</w:t>
      </w:r>
      <w:r w:rsidR="002E6844" w:rsidRPr="00D37F52">
        <w:t xml:space="preserve">, [1989] 2 R.C.S. 429; </w:t>
      </w:r>
      <w:proofErr w:type="spellStart"/>
      <w:r w:rsidR="002E6844" w:rsidRPr="00D37F52">
        <w:rPr>
          <w:i/>
        </w:rPr>
        <w:t>Kirke</w:t>
      </w:r>
      <w:proofErr w:type="spellEnd"/>
      <w:r w:rsidR="002E6844" w:rsidRPr="00D37F52">
        <w:rPr>
          <w:i/>
        </w:rPr>
        <w:t xml:space="preserve"> La </w:t>
      </w:r>
      <w:proofErr w:type="spellStart"/>
      <w:r w:rsidR="002E6844" w:rsidRPr="00D37F52">
        <w:rPr>
          <w:i/>
        </w:rPr>
        <w:t>Shelle</w:t>
      </w:r>
      <w:proofErr w:type="spellEnd"/>
      <w:r w:rsidR="002E6844" w:rsidRPr="00D37F52">
        <w:rPr>
          <w:i/>
        </w:rPr>
        <w:t xml:space="preserve"> Co. </w:t>
      </w:r>
      <w:r w:rsidR="00FA5B6D" w:rsidRPr="00D37F52">
        <w:rPr>
          <w:i/>
        </w:rPr>
        <w:t>c</w:t>
      </w:r>
      <w:r w:rsidR="002E6844" w:rsidRPr="00D37F52">
        <w:rPr>
          <w:i/>
        </w:rPr>
        <w:t>. Armstrong Co.</w:t>
      </w:r>
      <w:r w:rsidR="002E6844" w:rsidRPr="00D37F52">
        <w:t xml:space="preserve">, 263 N.Y. 79 (1933); </w:t>
      </w:r>
      <w:proofErr w:type="spellStart"/>
      <w:r w:rsidR="002E6844" w:rsidRPr="00D37F52">
        <w:rPr>
          <w:i/>
        </w:rPr>
        <w:t>Banque</w:t>
      </w:r>
      <w:proofErr w:type="spellEnd"/>
      <w:r w:rsidR="002E6844" w:rsidRPr="00D37F52">
        <w:rPr>
          <w:i/>
        </w:rPr>
        <w:t xml:space="preserve"> </w:t>
      </w:r>
      <w:proofErr w:type="spellStart"/>
      <w:r w:rsidR="002E6844" w:rsidRPr="00D37F52">
        <w:rPr>
          <w:i/>
        </w:rPr>
        <w:t>Nationale</w:t>
      </w:r>
      <w:proofErr w:type="spellEnd"/>
      <w:r w:rsidR="002E6844" w:rsidRPr="00D37F52">
        <w:rPr>
          <w:i/>
        </w:rPr>
        <w:t xml:space="preserve"> du Canada c. </w:t>
      </w:r>
      <w:proofErr w:type="spellStart"/>
      <w:r w:rsidR="002E6844" w:rsidRPr="00D37F52">
        <w:rPr>
          <w:i/>
        </w:rPr>
        <w:t>Soucisse</w:t>
      </w:r>
      <w:proofErr w:type="spellEnd"/>
      <w:r w:rsidR="002E6844" w:rsidRPr="00D37F52">
        <w:t xml:space="preserve">, [1981] 2 R.C.S. 339; </w:t>
      </w:r>
      <w:proofErr w:type="spellStart"/>
      <w:r w:rsidR="002E6844" w:rsidRPr="00D37F52">
        <w:rPr>
          <w:i/>
        </w:rPr>
        <w:t>Houle</w:t>
      </w:r>
      <w:proofErr w:type="spellEnd"/>
      <w:r w:rsidR="002E6844" w:rsidRPr="00D37F52">
        <w:rPr>
          <w:i/>
        </w:rPr>
        <w:t xml:space="preserve"> c. </w:t>
      </w:r>
      <w:proofErr w:type="spellStart"/>
      <w:r w:rsidR="002E6844" w:rsidRPr="00D37F52">
        <w:rPr>
          <w:i/>
        </w:rPr>
        <w:t>Banque</w:t>
      </w:r>
      <w:proofErr w:type="spellEnd"/>
      <w:r w:rsidR="002E6844" w:rsidRPr="00D37F52">
        <w:rPr>
          <w:i/>
        </w:rPr>
        <w:t xml:space="preserve"> </w:t>
      </w:r>
      <w:proofErr w:type="spellStart"/>
      <w:r w:rsidR="002E6844" w:rsidRPr="00D37F52">
        <w:rPr>
          <w:i/>
        </w:rPr>
        <w:t>Canadienne</w:t>
      </w:r>
      <w:proofErr w:type="spellEnd"/>
      <w:r w:rsidR="002E6844" w:rsidRPr="00D37F52">
        <w:rPr>
          <w:i/>
        </w:rPr>
        <w:t xml:space="preserve"> </w:t>
      </w:r>
      <w:proofErr w:type="spellStart"/>
      <w:r w:rsidR="002E6844" w:rsidRPr="00D37F52">
        <w:rPr>
          <w:i/>
        </w:rPr>
        <w:t>Nationale</w:t>
      </w:r>
      <w:proofErr w:type="spellEnd"/>
      <w:r w:rsidR="002E6844" w:rsidRPr="00D37F52">
        <w:t xml:space="preserve">, [1990] 3 </w:t>
      </w:r>
      <w:r w:rsidR="002E6844" w:rsidRPr="00D37F52">
        <w:lastRenderedPageBreak/>
        <w:t xml:space="preserve">R.C.S. 122; </w:t>
      </w:r>
      <w:proofErr w:type="spellStart"/>
      <w:r w:rsidR="002E6844" w:rsidRPr="00D37F52">
        <w:rPr>
          <w:i/>
        </w:rPr>
        <w:t>Banque</w:t>
      </w:r>
      <w:proofErr w:type="spellEnd"/>
      <w:r w:rsidR="002E6844" w:rsidRPr="00D37F52">
        <w:rPr>
          <w:i/>
        </w:rPr>
        <w:t xml:space="preserve"> de Montréal c. Bail </w:t>
      </w:r>
      <w:proofErr w:type="spellStart"/>
      <w:r w:rsidR="002E6844" w:rsidRPr="00D37F52">
        <w:rPr>
          <w:i/>
        </w:rPr>
        <w:t>Ltée</w:t>
      </w:r>
      <w:proofErr w:type="spellEnd"/>
      <w:r w:rsidR="002E6844" w:rsidRPr="00D37F52">
        <w:t xml:space="preserve">, [1992] 2 R.C.S. 554; </w:t>
      </w:r>
      <w:r w:rsidR="002E6844" w:rsidRPr="00D37F52">
        <w:rPr>
          <w:i/>
        </w:rPr>
        <w:t xml:space="preserve">United Roasters, Inc. </w:t>
      </w:r>
      <w:r w:rsidR="00FA5B6D" w:rsidRPr="00D37F52">
        <w:rPr>
          <w:i/>
        </w:rPr>
        <w:t>c</w:t>
      </w:r>
      <w:r w:rsidR="002E6844" w:rsidRPr="00D37F52">
        <w:rPr>
          <w:i/>
        </w:rPr>
        <w:t>. Colgate</w:t>
      </w:r>
      <w:r w:rsidR="00894691">
        <w:rPr>
          <w:i/>
        </w:rPr>
        <w:t>-</w:t>
      </w:r>
      <w:r w:rsidR="002E6844" w:rsidRPr="00D37F52">
        <w:rPr>
          <w:i/>
        </w:rPr>
        <w:t>Palmolive Co.</w:t>
      </w:r>
      <w:r w:rsidR="002E6844" w:rsidRPr="00D37F52">
        <w:t xml:space="preserve">, 649 F.2d 985 (1981); </w:t>
      </w:r>
      <w:r w:rsidR="002E6844" w:rsidRPr="00D37F52">
        <w:rPr>
          <w:i/>
        </w:rPr>
        <w:t>Ryan c. Moore</w:t>
      </w:r>
      <w:r w:rsidR="002E6844" w:rsidRPr="00D37F52">
        <w:t xml:space="preserve">, 2005 CSC 38, [2005] 2 R.C.S. 53; </w:t>
      </w:r>
      <w:proofErr w:type="spellStart"/>
      <w:r w:rsidR="002E6844" w:rsidRPr="00D37F52">
        <w:rPr>
          <w:i/>
        </w:rPr>
        <w:t>Maracle</w:t>
      </w:r>
      <w:proofErr w:type="spellEnd"/>
      <w:r w:rsidR="002E6844" w:rsidRPr="00D37F52">
        <w:rPr>
          <w:i/>
        </w:rPr>
        <w:t xml:space="preserve"> c. Travellers Indemnity Co. of Canada</w:t>
      </w:r>
      <w:r w:rsidR="002E6844" w:rsidRPr="00D37F52">
        <w:t xml:space="preserve">, [1991] 2 R.C.S. 50; </w:t>
      </w:r>
      <w:proofErr w:type="spellStart"/>
      <w:r w:rsidR="002E6844" w:rsidRPr="00D37F52">
        <w:rPr>
          <w:i/>
        </w:rPr>
        <w:t>Parna</w:t>
      </w:r>
      <w:proofErr w:type="spellEnd"/>
      <w:r w:rsidR="002E6844" w:rsidRPr="00D37F52">
        <w:rPr>
          <w:i/>
        </w:rPr>
        <w:t xml:space="preserve"> c. G. &amp; S. Properties Ltd.</w:t>
      </w:r>
      <w:r w:rsidR="002E6844" w:rsidRPr="00D37F52">
        <w:t xml:space="preserve">, [1971] R.C.S. 306; </w:t>
      </w:r>
      <w:r w:rsidR="002E6844" w:rsidRPr="00D37F52">
        <w:rPr>
          <w:i/>
        </w:rPr>
        <w:t xml:space="preserve">Bruno Appliance and Furniture, Inc. c. </w:t>
      </w:r>
      <w:proofErr w:type="spellStart"/>
      <w:r w:rsidR="002E6844" w:rsidRPr="00D37F52">
        <w:rPr>
          <w:i/>
        </w:rPr>
        <w:t>Hryniak</w:t>
      </w:r>
      <w:proofErr w:type="spellEnd"/>
      <w:r w:rsidR="002E6844" w:rsidRPr="00D37F52">
        <w:t xml:space="preserve">, 2014 CSC 8, [2014] 1 R.C.S. 126; </w:t>
      </w:r>
      <w:proofErr w:type="spellStart"/>
      <w:r w:rsidR="002E6844" w:rsidRPr="00D37F52">
        <w:rPr>
          <w:i/>
        </w:rPr>
        <w:t>LeMesurier</w:t>
      </w:r>
      <w:proofErr w:type="spellEnd"/>
      <w:r w:rsidR="002E6844" w:rsidRPr="00D37F52">
        <w:rPr>
          <w:i/>
        </w:rPr>
        <w:t xml:space="preserve"> </w:t>
      </w:r>
      <w:r w:rsidR="00FA5B6D" w:rsidRPr="00D37F52">
        <w:rPr>
          <w:i/>
        </w:rPr>
        <w:t>c</w:t>
      </w:r>
      <w:r w:rsidR="002E6844" w:rsidRPr="00D37F52">
        <w:rPr>
          <w:i/>
        </w:rPr>
        <w:t>. Andrus</w:t>
      </w:r>
      <w:r w:rsidR="002E6844" w:rsidRPr="00D37F52">
        <w:t xml:space="preserve"> </w:t>
      </w:r>
      <w:r w:rsidR="005F4F43" w:rsidRPr="00D37F52">
        <w:t>(1986), 54 O.R. (2d) 1</w:t>
      </w:r>
      <w:r w:rsidR="002E6844" w:rsidRPr="00D37F52">
        <w:t xml:space="preserve">; </w:t>
      </w:r>
      <w:r w:rsidR="002E6844" w:rsidRPr="00D37F52">
        <w:rPr>
          <w:i/>
        </w:rPr>
        <w:t xml:space="preserve">Shell Oil Co. </w:t>
      </w:r>
      <w:r w:rsidR="00FA5B6D" w:rsidRPr="00D37F52">
        <w:rPr>
          <w:i/>
        </w:rPr>
        <w:t>c</w:t>
      </w:r>
      <w:r w:rsidR="002E6844" w:rsidRPr="00D37F52">
        <w:rPr>
          <w:i/>
        </w:rPr>
        <w:t xml:space="preserve">. </w:t>
      </w:r>
      <w:proofErr w:type="spellStart"/>
      <w:r w:rsidR="002E6844" w:rsidRPr="00D37F52">
        <w:rPr>
          <w:i/>
        </w:rPr>
        <w:t>Marinello</w:t>
      </w:r>
      <w:proofErr w:type="spellEnd"/>
      <w:r w:rsidR="002E6844" w:rsidRPr="00D37F52">
        <w:t xml:space="preserve">, 294 A.2d 253 (1972), </w:t>
      </w:r>
      <w:r w:rsidR="00FA5B6D" w:rsidRPr="00D37F52">
        <w:t>conf. par</w:t>
      </w:r>
      <w:r w:rsidR="002E6844" w:rsidRPr="00D37F52">
        <w:t xml:space="preserve"> 307 A.2d 598 (1973); </w:t>
      </w:r>
      <w:r w:rsidR="002E6844" w:rsidRPr="00D37F52">
        <w:rPr>
          <w:i/>
        </w:rPr>
        <w:t xml:space="preserve">Atlantic Richfield Co. </w:t>
      </w:r>
      <w:r w:rsidR="00FA5B6D" w:rsidRPr="00D37F52">
        <w:rPr>
          <w:i/>
        </w:rPr>
        <w:t>c</w:t>
      </w:r>
      <w:r w:rsidR="002E6844" w:rsidRPr="00D37F52">
        <w:rPr>
          <w:i/>
        </w:rPr>
        <w:t xml:space="preserve">. </w:t>
      </w:r>
      <w:proofErr w:type="spellStart"/>
      <w:r w:rsidR="002E6844" w:rsidRPr="00D37F52">
        <w:rPr>
          <w:i/>
        </w:rPr>
        <w:t>Razumic</w:t>
      </w:r>
      <w:proofErr w:type="spellEnd"/>
      <w:r w:rsidR="002E6844" w:rsidRPr="00D37F52">
        <w:t xml:space="preserve">, 390 A.2d 736 (1978); </w:t>
      </w:r>
      <w:r w:rsidR="002E6844" w:rsidRPr="00D37F52">
        <w:rPr>
          <w:i/>
        </w:rPr>
        <w:t xml:space="preserve">J.H. </w:t>
      </w:r>
      <w:proofErr w:type="spellStart"/>
      <w:r w:rsidR="002E6844" w:rsidRPr="00D37F52">
        <w:rPr>
          <w:i/>
        </w:rPr>
        <w:t>Westerbeke</w:t>
      </w:r>
      <w:proofErr w:type="spellEnd"/>
      <w:r w:rsidR="002E6844" w:rsidRPr="00D37F52">
        <w:rPr>
          <w:i/>
        </w:rPr>
        <w:t xml:space="preserve"> Cor</w:t>
      </w:r>
      <w:r w:rsidR="004371F3" w:rsidRPr="00D37F52">
        <w:rPr>
          <w:i/>
        </w:rPr>
        <w:t>p.</w:t>
      </w:r>
      <w:r w:rsidR="00894691">
        <w:rPr>
          <w:i/>
        </w:rPr>
        <w:t xml:space="preserve"> </w:t>
      </w:r>
      <w:r w:rsidR="00FA5B6D" w:rsidRPr="00D37F52">
        <w:rPr>
          <w:i/>
        </w:rPr>
        <w:t>c</w:t>
      </w:r>
      <w:r w:rsidR="002E6844" w:rsidRPr="00D37F52">
        <w:rPr>
          <w:i/>
        </w:rPr>
        <w:t xml:space="preserve">. </w:t>
      </w:r>
      <w:proofErr w:type="spellStart"/>
      <w:r w:rsidR="002E6844" w:rsidRPr="00D37F52">
        <w:rPr>
          <w:i/>
        </w:rPr>
        <w:t>Onan</w:t>
      </w:r>
      <w:proofErr w:type="spellEnd"/>
      <w:r w:rsidR="002E6844" w:rsidRPr="00D37F52">
        <w:rPr>
          <w:i/>
        </w:rPr>
        <w:t xml:space="preserve"> Corp.</w:t>
      </w:r>
      <w:r w:rsidR="002E6844" w:rsidRPr="00D37F52">
        <w:t xml:space="preserve">, 580 </w:t>
      </w:r>
      <w:proofErr w:type="spellStart"/>
      <w:r w:rsidR="002E6844" w:rsidRPr="00D37F52">
        <w:t>F.Su</w:t>
      </w:r>
      <w:r w:rsidR="004371F3" w:rsidRPr="00D37F52">
        <w:t>pp</w:t>
      </w:r>
      <w:proofErr w:type="spellEnd"/>
      <w:r w:rsidR="004371F3" w:rsidRPr="00D37F52">
        <w:t>.</w:t>
      </w:r>
      <w:r w:rsidR="00894691">
        <w:t xml:space="preserve"> </w:t>
      </w:r>
      <w:r w:rsidR="002E6844" w:rsidRPr="00D37F52">
        <w:t xml:space="preserve">1173 (1984); </w:t>
      </w:r>
      <w:r w:rsidR="002E6844" w:rsidRPr="00D37F52">
        <w:rPr>
          <w:i/>
        </w:rPr>
        <w:t>Pitney</w:t>
      </w:r>
      <w:r w:rsidR="00894691">
        <w:rPr>
          <w:i/>
        </w:rPr>
        <w:t>-</w:t>
      </w:r>
      <w:r w:rsidR="002E6844" w:rsidRPr="00D37F52">
        <w:rPr>
          <w:i/>
        </w:rPr>
        <w:t xml:space="preserve">Bowes, Inc. </w:t>
      </w:r>
      <w:r w:rsidR="00FA5B6D" w:rsidRPr="00D37F52">
        <w:rPr>
          <w:i/>
        </w:rPr>
        <w:t>c</w:t>
      </w:r>
      <w:r w:rsidR="002E6844" w:rsidRPr="00D37F52">
        <w:rPr>
          <w:i/>
        </w:rPr>
        <w:t xml:space="preserve">. </w:t>
      </w:r>
      <w:proofErr w:type="spellStart"/>
      <w:r w:rsidR="002E6844" w:rsidRPr="00D37F52">
        <w:rPr>
          <w:i/>
        </w:rPr>
        <w:t>Mestre</w:t>
      </w:r>
      <w:proofErr w:type="spellEnd"/>
      <w:r w:rsidR="002E6844" w:rsidRPr="00D37F52">
        <w:t xml:space="preserve">, 517 </w:t>
      </w:r>
      <w:proofErr w:type="spellStart"/>
      <w:r w:rsidR="002E6844" w:rsidRPr="00D37F52">
        <w:t>F.Su</w:t>
      </w:r>
      <w:r w:rsidR="004371F3" w:rsidRPr="00D37F52">
        <w:t>pp</w:t>
      </w:r>
      <w:proofErr w:type="spellEnd"/>
      <w:r w:rsidR="004371F3" w:rsidRPr="00D37F52">
        <w:t>.</w:t>
      </w:r>
      <w:r w:rsidR="00894691">
        <w:t xml:space="preserve"> </w:t>
      </w:r>
      <w:proofErr w:type="gramStart"/>
      <w:r w:rsidR="002E6844" w:rsidRPr="00D37F52">
        <w:t xml:space="preserve">52 (1981), </w:t>
      </w:r>
      <w:r w:rsidR="006908FF" w:rsidRPr="00D37F52">
        <w:t xml:space="preserve">cert. </w:t>
      </w:r>
      <w:proofErr w:type="spellStart"/>
      <w:r w:rsidR="006908FF" w:rsidRPr="00D37F52">
        <w:t>refusé</w:t>
      </w:r>
      <w:proofErr w:type="spellEnd"/>
      <w:r w:rsidR="006908FF" w:rsidRPr="00D37F52">
        <w:t xml:space="preserve">, </w:t>
      </w:r>
      <w:r w:rsidR="007E497E" w:rsidRPr="00D37F52">
        <w:t>464 U.S. 893 (1983)</w:t>
      </w:r>
      <w:r w:rsidR="002E6844" w:rsidRPr="00D37F52">
        <w:t xml:space="preserve">; </w:t>
      </w:r>
      <w:proofErr w:type="spellStart"/>
      <w:r w:rsidR="002E6844" w:rsidRPr="00D37F52">
        <w:rPr>
          <w:i/>
        </w:rPr>
        <w:t>Agribrands</w:t>
      </w:r>
      <w:proofErr w:type="spellEnd"/>
      <w:r w:rsidR="002E6844" w:rsidRPr="00D37F52">
        <w:rPr>
          <w:i/>
        </w:rPr>
        <w:t xml:space="preserve"> Purina Canada Inc. </w:t>
      </w:r>
      <w:r w:rsidR="00FA5B6D" w:rsidRPr="00D37F52">
        <w:rPr>
          <w:i/>
        </w:rPr>
        <w:t>c</w:t>
      </w:r>
      <w:r w:rsidR="002E6844" w:rsidRPr="00D37F52">
        <w:rPr>
          <w:i/>
        </w:rPr>
        <w:t xml:space="preserve">. </w:t>
      </w:r>
      <w:proofErr w:type="spellStart"/>
      <w:r w:rsidR="002E6844" w:rsidRPr="00D37F52">
        <w:rPr>
          <w:i/>
        </w:rPr>
        <w:t>Kasamekas</w:t>
      </w:r>
      <w:proofErr w:type="spellEnd"/>
      <w:r w:rsidR="002E6844" w:rsidRPr="00D37F52">
        <w:t>, 2011 ONCA 460, 106 O.R. (3d) 427.</w:t>
      </w:r>
      <w:proofErr w:type="gramEnd"/>
    </w:p>
    <w:p w:rsidR="004D7D95" w:rsidRPr="00D37F52" w:rsidRDefault="004D7D95" w:rsidP="00894691">
      <w:pPr>
        <w:pStyle w:val="SCCNormalDoubleSpacing"/>
        <w:spacing w:after="720" w:line="240" w:lineRule="auto"/>
        <w:rPr>
          <w:b/>
          <w:lang w:val="fr-CA"/>
        </w:rPr>
      </w:pPr>
      <w:r w:rsidRPr="00D37F52">
        <w:rPr>
          <w:b/>
          <w:lang w:val="fr-CA"/>
        </w:rPr>
        <w:t>Lois et règlements cités</w:t>
      </w:r>
    </w:p>
    <w:p w:rsidR="005315FF" w:rsidRPr="00D37F52" w:rsidRDefault="008E0763" w:rsidP="00894691">
      <w:pPr>
        <w:pStyle w:val="SCCNormalDoubleSpacing"/>
        <w:spacing w:after="240" w:line="240" w:lineRule="auto"/>
        <w:ind w:left="547" w:hanging="547"/>
        <w:rPr>
          <w:lang w:val="fr-CA"/>
        </w:rPr>
      </w:pPr>
      <w:r>
        <w:rPr>
          <w:i/>
          <w:lang w:val="fr-CA"/>
        </w:rPr>
        <w:t>Code civil du Bas-</w:t>
      </w:r>
      <w:r w:rsidR="005315FF" w:rsidRPr="00D37F52">
        <w:rPr>
          <w:i/>
          <w:lang w:val="fr-CA"/>
        </w:rPr>
        <w:t>Canada</w:t>
      </w:r>
      <w:r w:rsidR="005315FF" w:rsidRPr="00D37F52">
        <w:rPr>
          <w:lang w:val="fr-CA"/>
        </w:rPr>
        <w:t>.</w:t>
      </w:r>
    </w:p>
    <w:p w:rsidR="002F299F" w:rsidRPr="00D37F52" w:rsidRDefault="002F299F" w:rsidP="00894691">
      <w:pPr>
        <w:pStyle w:val="SCCNormalDoubleSpacing"/>
        <w:spacing w:after="240" w:line="240" w:lineRule="auto"/>
        <w:ind w:left="547" w:hanging="547"/>
        <w:rPr>
          <w:lang w:val="fr-CA"/>
        </w:rPr>
      </w:pPr>
      <w:r w:rsidRPr="00D37F52">
        <w:rPr>
          <w:i/>
          <w:lang w:val="fr-CA"/>
        </w:rPr>
        <w:t>Code civil du Québec</w:t>
      </w:r>
      <w:r w:rsidRPr="00D37F52">
        <w:rPr>
          <w:lang w:val="fr-CA"/>
        </w:rPr>
        <w:t xml:space="preserve">, </w:t>
      </w:r>
      <w:r w:rsidR="004371F3" w:rsidRPr="00D37F52">
        <w:rPr>
          <w:lang w:val="fr-CA"/>
        </w:rPr>
        <w:t>art.</w:t>
      </w:r>
      <w:r w:rsidR="00894691">
        <w:rPr>
          <w:lang w:val="fr-CA"/>
        </w:rPr>
        <w:t xml:space="preserve"> </w:t>
      </w:r>
      <w:r w:rsidRPr="00D37F52">
        <w:rPr>
          <w:lang w:val="fr-CA"/>
        </w:rPr>
        <w:t>6, 7, 1375.</w:t>
      </w:r>
    </w:p>
    <w:p w:rsidR="002F299F" w:rsidRPr="00D37F52" w:rsidRDefault="002F299F" w:rsidP="00894691">
      <w:pPr>
        <w:pStyle w:val="SCCNormalDoubleSpacing"/>
        <w:spacing w:after="240" w:line="240" w:lineRule="auto"/>
        <w:ind w:left="547" w:hanging="547"/>
      </w:pPr>
      <w:r w:rsidRPr="00D37F52">
        <w:rPr>
          <w:i/>
        </w:rPr>
        <w:t>Franchises Act</w:t>
      </w:r>
      <w:r w:rsidRPr="00D37F52">
        <w:t xml:space="preserve">, R.S.A. 2000, </w:t>
      </w:r>
      <w:proofErr w:type="spellStart"/>
      <w:r w:rsidR="004371F3" w:rsidRPr="00D37F52">
        <w:t>ch</w:t>
      </w:r>
      <w:proofErr w:type="spellEnd"/>
      <w:r w:rsidR="004371F3" w:rsidRPr="00D37F52">
        <w:t>.</w:t>
      </w:r>
      <w:r w:rsidR="00894691">
        <w:t xml:space="preserve"> </w:t>
      </w:r>
      <w:r w:rsidRPr="00D37F52">
        <w:t>F</w:t>
      </w:r>
      <w:r w:rsidR="00894691">
        <w:t>-</w:t>
      </w:r>
      <w:r w:rsidRPr="00D37F52">
        <w:t xml:space="preserve">23, </w:t>
      </w:r>
      <w:r w:rsidR="004371F3" w:rsidRPr="00D37F52">
        <w:t>art.</w:t>
      </w:r>
      <w:r w:rsidR="00894691">
        <w:t xml:space="preserve"> </w:t>
      </w:r>
      <w:r w:rsidRPr="00D37F52">
        <w:t>7.</w:t>
      </w:r>
    </w:p>
    <w:p w:rsidR="00F56DF1" w:rsidRPr="00D37F52" w:rsidRDefault="00F56DF1" w:rsidP="00894691">
      <w:pPr>
        <w:pStyle w:val="SCCNormalDoubleSpacing"/>
        <w:spacing w:after="240" w:line="240" w:lineRule="auto"/>
        <w:ind w:left="547" w:hanging="547"/>
      </w:pPr>
      <w:proofErr w:type="gramStart"/>
      <w:r w:rsidRPr="00D37F52">
        <w:rPr>
          <w:i/>
        </w:rPr>
        <w:t>Restatement (Second) of Contracts</w:t>
      </w:r>
      <w:r w:rsidRPr="00D37F52">
        <w:t>, §</w:t>
      </w:r>
      <w:r w:rsidR="00894691">
        <w:t xml:space="preserve"> </w:t>
      </w:r>
      <w:r w:rsidRPr="00D37F52">
        <w:t>205</w:t>
      </w:r>
      <w:r w:rsidR="00D15008">
        <w:t xml:space="preserve"> </w:t>
      </w:r>
      <w:r w:rsidR="00D15008" w:rsidRPr="00D37F52">
        <w:t>(1981)</w:t>
      </w:r>
      <w:r w:rsidRPr="00D37F52">
        <w:t>.</w:t>
      </w:r>
      <w:proofErr w:type="gramEnd"/>
    </w:p>
    <w:p w:rsidR="005315FF" w:rsidRPr="00D37F52" w:rsidRDefault="005315FF" w:rsidP="00894691">
      <w:pPr>
        <w:pStyle w:val="SCCNormalDoubleSpacing"/>
        <w:spacing w:after="720" w:line="240" w:lineRule="auto"/>
        <w:ind w:left="547" w:hanging="547"/>
      </w:pPr>
      <w:r w:rsidRPr="00D37F52">
        <w:rPr>
          <w:i/>
        </w:rPr>
        <w:t>Unif</w:t>
      </w:r>
      <w:r w:rsidR="00B852B4" w:rsidRPr="00D37F52">
        <w:rPr>
          <w:i/>
        </w:rPr>
        <w:t>orm</w:t>
      </w:r>
      <w:r w:rsidRPr="00D37F52">
        <w:rPr>
          <w:i/>
        </w:rPr>
        <w:t xml:space="preserve"> Commercial Code</w:t>
      </w:r>
      <w:r w:rsidRPr="00D37F52">
        <w:t>, §</w:t>
      </w:r>
      <w:r w:rsidR="008E0763" w:rsidRPr="00D37F52">
        <w:t>§</w:t>
      </w:r>
      <w:r w:rsidR="00894691">
        <w:t xml:space="preserve"> </w:t>
      </w:r>
      <w:r w:rsidR="00D338DB" w:rsidRPr="00D37F52">
        <w:t>1</w:t>
      </w:r>
      <w:r w:rsidR="00894691">
        <w:t>-</w:t>
      </w:r>
      <w:r w:rsidR="00D338DB" w:rsidRPr="00D37F52">
        <w:t>201(b</w:t>
      </w:r>
      <w:proofErr w:type="gramStart"/>
      <w:r w:rsidR="00D338DB" w:rsidRPr="00D37F52">
        <w:t>)(</w:t>
      </w:r>
      <w:proofErr w:type="gramEnd"/>
      <w:r w:rsidR="00D338DB" w:rsidRPr="00D37F52">
        <w:t xml:space="preserve">20) </w:t>
      </w:r>
      <w:r w:rsidR="00894691">
        <w:t>« </w:t>
      </w:r>
      <w:r w:rsidR="00D338DB" w:rsidRPr="00D37F52">
        <w:rPr>
          <w:i/>
        </w:rPr>
        <w:t>good faith</w:t>
      </w:r>
      <w:r w:rsidR="00894691">
        <w:t> »</w:t>
      </w:r>
      <w:r w:rsidR="00D338DB" w:rsidRPr="00D37F52">
        <w:t xml:space="preserve">, </w:t>
      </w:r>
      <w:r w:rsidR="00D7742A" w:rsidRPr="00D37F52">
        <w:t>1</w:t>
      </w:r>
      <w:r w:rsidR="00894691">
        <w:t>-</w:t>
      </w:r>
      <w:r w:rsidR="00D7742A" w:rsidRPr="00D37F52">
        <w:t xml:space="preserve">302, </w:t>
      </w:r>
      <w:r w:rsidRPr="00D37F52">
        <w:t>1</w:t>
      </w:r>
      <w:r w:rsidR="00894691">
        <w:t>-</w:t>
      </w:r>
      <w:r w:rsidRPr="00D37F52">
        <w:t>304</w:t>
      </w:r>
      <w:r w:rsidR="00D15008">
        <w:t xml:space="preserve"> </w:t>
      </w:r>
      <w:r w:rsidR="00D15008" w:rsidRPr="00D37F52">
        <w:t>(2012)</w:t>
      </w:r>
      <w:r w:rsidRPr="00D37F52">
        <w:t>.</w:t>
      </w:r>
    </w:p>
    <w:p w:rsidR="004D7D95" w:rsidRPr="00D37F52" w:rsidRDefault="004D7D95" w:rsidP="00894691">
      <w:pPr>
        <w:pStyle w:val="SCCNormalDoubleSpacing"/>
        <w:spacing w:after="720" w:line="240" w:lineRule="auto"/>
        <w:rPr>
          <w:b/>
          <w:lang w:val="fr-CA"/>
        </w:rPr>
      </w:pPr>
      <w:r w:rsidRPr="00D37F52">
        <w:rPr>
          <w:b/>
          <w:lang w:val="fr-CA"/>
        </w:rPr>
        <w:t>Doctrine et autres documents cités</w:t>
      </w:r>
    </w:p>
    <w:p w:rsidR="00713A98" w:rsidRPr="00D37F52" w:rsidRDefault="00713A98" w:rsidP="00894691">
      <w:pPr>
        <w:pStyle w:val="SCCNormalDoubleSpacing"/>
        <w:spacing w:before="240" w:after="240" w:line="240" w:lineRule="auto"/>
        <w:ind w:left="540" w:hanging="540"/>
      </w:pPr>
      <w:r w:rsidRPr="00D37F52">
        <w:rPr>
          <w:lang w:val="fr-CA"/>
        </w:rPr>
        <w:t>Baudouin, Jean</w:t>
      </w:r>
      <w:r w:rsidR="00894691">
        <w:rPr>
          <w:lang w:val="fr-CA"/>
        </w:rPr>
        <w:t>-</w:t>
      </w:r>
      <w:r w:rsidRPr="00D37F52">
        <w:rPr>
          <w:lang w:val="fr-CA"/>
        </w:rPr>
        <w:t>Louis, et Pierre</w:t>
      </w:r>
      <w:r w:rsidR="00894691">
        <w:rPr>
          <w:lang w:val="fr-CA"/>
        </w:rPr>
        <w:t>-</w:t>
      </w:r>
      <w:r w:rsidRPr="00D37F52">
        <w:rPr>
          <w:lang w:val="fr-CA"/>
        </w:rPr>
        <w:t xml:space="preserve">Gabriel </w:t>
      </w:r>
      <w:proofErr w:type="spellStart"/>
      <w:r w:rsidRPr="00D37F52">
        <w:rPr>
          <w:lang w:val="fr-CA"/>
        </w:rPr>
        <w:t>Jobin</w:t>
      </w:r>
      <w:proofErr w:type="spellEnd"/>
      <w:r w:rsidRPr="00D37F52">
        <w:rPr>
          <w:lang w:val="fr-CA"/>
        </w:rPr>
        <w:t xml:space="preserve">.  </w:t>
      </w:r>
      <w:r w:rsidRPr="00D37F52">
        <w:rPr>
          <w:i/>
          <w:lang w:val="fr-CA"/>
        </w:rPr>
        <w:t>Les obligations</w:t>
      </w:r>
      <w:r w:rsidRPr="00D37F52">
        <w:rPr>
          <w:lang w:val="fr-CA"/>
        </w:rPr>
        <w:t>, 7</w:t>
      </w:r>
      <w:r w:rsidRPr="00D37F52">
        <w:rPr>
          <w:vertAlign w:val="superscript"/>
          <w:lang w:val="fr-CA"/>
        </w:rPr>
        <w:t>e</w:t>
      </w:r>
      <w:r w:rsidRPr="00D37F52">
        <w:rPr>
          <w:lang w:val="fr-CA"/>
        </w:rPr>
        <w:t xml:space="preserve"> éd. par Pierre</w:t>
      </w:r>
      <w:r w:rsidR="00894691">
        <w:rPr>
          <w:lang w:val="fr-CA"/>
        </w:rPr>
        <w:t>-</w:t>
      </w:r>
      <w:r w:rsidRPr="00D37F52">
        <w:rPr>
          <w:lang w:val="fr-CA"/>
        </w:rPr>
        <w:t xml:space="preserve">Gabriel </w:t>
      </w:r>
      <w:proofErr w:type="spellStart"/>
      <w:r w:rsidRPr="00D37F52">
        <w:rPr>
          <w:lang w:val="fr-CA"/>
        </w:rPr>
        <w:t>Jobin</w:t>
      </w:r>
      <w:proofErr w:type="spellEnd"/>
      <w:r w:rsidRPr="00D37F52">
        <w:rPr>
          <w:lang w:val="fr-CA"/>
        </w:rPr>
        <w:t xml:space="preserve"> et Nathalie </w:t>
      </w:r>
      <w:proofErr w:type="spellStart"/>
      <w:r w:rsidRPr="00D37F52">
        <w:rPr>
          <w:lang w:val="fr-CA"/>
        </w:rPr>
        <w:t>Vézina</w:t>
      </w:r>
      <w:proofErr w:type="spellEnd"/>
      <w:r w:rsidRPr="00D37F52">
        <w:rPr>
          <w:lang w:val="fr-CA"/>
        </w:rPr>
        <w:t xml:space="preserve">.  </w:t>
      </w:r>
      <w:proofErr w:type="spellStart"/>
      <w:r w:rsidRPr="00D37F52">
        <w:t>Cowansville</w:t>
      </w:r>
      <w:proofErr w:type="spellEnd"/>
      <w:r w:rsidRPr="00D37F52">
        <w:t xml:space="preserve">, </w:t>
      </w:r>
      <w:proofErr w:type="spellStart"/>
      <w:r w:rsidRPr="00D37F52">
        <w:t>Qué</w:t>
      </w:r>
      <w:proofErr w:type="spellEnd"/>
      <w:r w:rsidRPr="00D37F52">
        <w:t>.</w:t>
      </w:r>
      <w:r w:rsidR="00894691">
        <w:t> :</w:t>
      </w:r>
      <w:r w:rsidRPr="00D37F52">
        <w:t xml:space="preserve"> </w:t>
      </w:r>
      <w:proofErr w:type="spellStart"/>
      <w:r w:rsidRPr="00D37F52">
        <w:t>Yvon</w:t>
      </w:r>
      <w:proofErr w:type="spellEnd"/>
      <w:r w:rsidRPr="00D37F52">
        <w:t xml:space="preserve"> </w:t>
      </w:r>
      <w:proofErr w:type="spellStart"/>
      <w:r w:rsidRPr="00D37F52">
        <w:t>Blais</w:t>
      </w:r>
      <w:proofErr w:type="spellEnd"/>
      <w:r w:rsidRPr="00D37F52">
        <w:t>, 2013.</w:t>
      </w:r>
    </w:p>
    <w:p w:rsidR="00713A98" w:rsidRPr="00D37F52" w:rsidRDefault="00713A98" w:rsidP="00894691">
      <w:pPr>
        <w:pStyle w:val="SCCNormalDoubleSpacing"/>
        <w:spacing w:before="240" w:after="240" w:line="240" w:lineRule="auto"/>
        <w:ind w:left="540" w:hanging="540"/>
      </w:pPr>
      <w:proofErr w:type="gramStart"/>
      <w:r w:rsidRPr="00D37F52">
        <w:t xml:space="preserve">Beale, Hugh, and Tony </w:t>
      </w:r>
      <w:proofErr w:type="spellStart"/>
      <w:r w:rsidRPr="00D37F52">
        <w:t>Dugdale</w:t>
      </w:r>
      <w:proofErr w:type="spellEnd"/>
      <w:r w:rsidRPr="00D37F52">
        <w:t>.</w:t>
      </w:r>
      <w:proofErr w:type="gramEnd"/>
      <w:r w:rsidRPr="00D37F52">
        <w:t xml:space="preserve"> </w:t>
      </w:r>
      <w:r w:rsidR="007C6845" w:rsidRPr="00D37F52">
        <w:t xml:space="preserve"> </w:t>
      </w:r>
      <w:r w:rsidR="00894691">
        <w:t>« </w:t>
      </w:r>
      <w:r w:rsidRPr="00D37F52">
        <w:t xml:space="preserve">Contracts Between </w:t>
      </w:r>
      <w:proofErr w:type="gramStart"/>
      <w:r w:rsidRPr="00D37F52">
        <w:t>Businessmen</w:t>
      </w:r>
      <w:r w:rsidR="00894691">
        <w:t> :</w:t>
      </w:r>
      <w:proofErr w:type="gramEnd"/>
      <w:r w:rsidRPr="00D37F52">
        <w:t xml:space="preserve"> Planning and the Use of Contractual Remedies</w:t>
      </w:r>
      <w:r w:rsidR="00894691">
        <w:t> »</w:t>
      </w:r>
      <w:r w:rsidRPr="00D37F52">
        <w:t xml:space="preserve"> (1975), 2 </w:t>
      </w:r>
      <w:r w:rsidRPr="00D37F52">
        <w:rPr>
          <w:i/>
        </w:rPr>
        <w:t>Brit. J. Law &amp; Soc.</w:t>
      </w:r>
      <w:r w:rsidRPr="00D37F52">
        <w:t xml:space="preserve"> 45.</w:t>
      </w:r>
    </w:p>
    <w:p w:rsidR="00713A98" w:rsidRPr="00D37F52" w:rsidRDefault="00713A98" w:rsidP="00894691">
      <w:pPr>
        <w:pStyle w:val="SCCNormalDoubleSpacing"/>
        <w:spacing w:before="240" w:after="240" w:line="240" w:lineRule="auto"/>
        <w:ind w:left="540" w:hanging="540"/>
      </w:pPr>
      <w:proofErr w:type="spellStart"/>
      <w:r w:rsidRPr="00D37F52">
        <w:lastRenderedPageBreak/>
        <w:t>Belobaba</w:t>
      </w:r>
      <w:proofErr w:type="spellEnd"/>
      <w:r w:rsidRPr="00D37F52">
        <w:t>, Edward</w:t>
      </w:r>
      <w:r w:rsidR="00894691">
        <w:t xml:space="preserve"> </w:t>
      </w:r>
      <w:r w:rsidR="004371F3" w:rsidRPr="00D37F52">
        <w:t>P.</w:t>
      </w:r>
      <w:r w:rsidR="00894691">
        <w:t xml:space="preserve"> </w:t>
      </w:r>
      <w:r w:rsidRPr="00D37F52">
        <w:t xml:space="preserve"> </w:t>
      </w:r>
      <w:r w:rsidR="00894691">
        <w:t>« </w:t>
      </w:r>
      <w:r w:rsidR="00E43C11" w:rsidRPr="00D37F52">
        <w:t>Good Faith i</w:t>
      </w:r>
      <w:r w:rsidRPr="00D37F52">
        <w:t>n Canadian Contract Law</w:t>
      </w:r>
      <w:r w:rsidR="00894691">
        <w:t> »</w:t>
      </w:r>
      <w:r w:rsidRPr="00D37F52">
        <w:t xml:space="preserve">, </w:t>
      </w:r>
      <w:r w:rsidR="00FF745C" w:rsidRPr="00D37F52">
        <w:t xml:space="preserve">in </w:t>
      </w:r>
      <w:r w:rsidR="00FF745C" w:rsidRPr="00D37F52">
        <w:rPr>
          <w:i/>
        </w:rPr>
        <w:t xml:space="preserve">Special Lectures of the Law Society of Upper Canada 1985 — </w:t>
      </w:r>
      <w:r w:rsidRPr="00D37F52">
        <w:rPr>
          <w:i/>
        </w:rPr>
        <w:t xml:space="preserve">Commercial </w:t>
      </w:r>
      <w:proofErr w:type="gramStart"/>
      <w:r w:rsidRPr="00D37F52">
        <w:rPr>
          <w:i/>
        </w:rPr>
        <w:t>Law</w:t>
      </w:r>
      <w:r w:rsidR="00894691" w:rsidRPr="00065394">
        <w:rPr>
          <w:i/>
        </w:rPr>
        <w:t> :</w:t>
      </w:r>
      <w:proofErr w:type="gramEnd"/>
      <w:r w:rsidRPr="00D37F52">
        <w:rPr>
          <w:i/>
        </w:rPr>
        <w:t xml:space="preserve"> Recent Developments and Emerging Trends</w:t>
      </w:r>
      <w:r w:rsidRPr="00D37F52">
        <w:t>.  Don Mills, Ont</w:t>
      </w:r>
      <w:proofErr w:type="gramStart"/>
      <w:r w:rsidRPr="00D37F52">
        <w:t>.</w:t>
      </w:r>
      <w:r w:rsidR="00894691">
        <w:t> :</w:t>
      </w:r>
      <w:proofErr w:type="gramEnd"/>
      <w:r w:rsidRPr="00D37F52">
        <w:t xml:space="preserve"> De Boo, 1985, 73.</w:t>
      </w:r>
    </w:p>
    <w:p w:rsidR="00713A98" w:rsidRPr="00D37F52" w:rsidRDefault="00713A98" w:rsidP="00894691">
      <w:pPr>
        <w:pStyle w:val="SCCNormalDoubleSpacing"/>
        <w:spacing w:before="240" w:after="240" w:line="240" w:lineRule="auto"/>
        <w:ind w:left="540" w:hanging="540"/>
      </w:pPr>
      <w:r w:rsidRPr="00D37F52">
        <w:t>Bridge, Michael</w:t>
      </w:r>
      <w:r w:rsidR="00894691">
        <w:t xml:space="preserve"> </w:t>
      </w:r>
      <w:r w:rsidRPr="00D37F52">
        <w:t xml:space="preserve">G.  </w:t>
      </w:r>
      <w:r w:rsidR="00894691">
        <w:t>« </w:t>
      </w:r>
      <w:r w:rsidRPr="00D37F52">
        <w:t>Does Anglo</w:t>
      </w:r>
      <w:r w:rsidR="00894691">
        <w:t>-</w:t>
      </w:r>
      <w:r w:rsidRPr="00D37F52">
        <w:t>Canadian Contract Law Need a Doctrine of Good Faith?</w:t>
      </w:r>
      <w:r w:rsidR="00894691">
        <w:t> »</w:t>
      </w:r>
      <w:r w:rsidRPr="00D37F52">
        <w:t xml:space="preserve"> (1984), 9 </w:t>
      </w:r>
      <w:r w:rsidR="007C6845" w:rsidRPr="00D37F52">
        <w:rPr>
          <w:i/>
        </w:rPr>
        <w:t xml:space="preserve">Rev. can. </w:t>
      </w:r>
      <w:proofErr w:type="gramStart"/>
      <w:r w:rsidR="007C6845" w:rsidRPr="00D37F52">
        <w:rPr>
          <w:i/>
        </w:rPr>
        <w:t>dr. comm</w:t>
      </w:r>
      <w:r w:rsidRPr="00D37F52">
        <w:rPr>
          <w:i/>
        </w:rPr>
        <w:t>.</w:t>
      </w:r>
      <w:r w:rsidRPr="00D37F52">
        <w:t xml:space="preserve"> 385.</w:t>
      </w:r>
      <w:proofErr w:type="gramEnd"/>
    </w:p>
    <w:p w:rsidR="00713A98" w:rsidRPr="00D37F52" w:rsidRDefault="00713A98" w:rsidP="00894691">
      <w:pPr>
        <w:pStyle w:val="SCCNormalDoubleSpacing"/>
        <w:spacing w:before="240" w:after="240" w:line="240" w:lineRule="auto"/>
        <w:ind w:left="540" w:hanging="540"/>
      </w:pPr>
      <w:r w:rsidRPr="00D37F52">
        <w:t>Burton, Steven</w:t>
      </w:r>
      <w:r w:rsidR="00894691">
        <w:t xml:space="preserve"> </w:t>
      </w:r>
      <w:r w:rsidRPr="00D37F52">
        <w:t xml:space="preserve">J.  </w:t>
      </w:r>
      <w:proofErr w:type="gramStart"/>
      <w:r w:rsidR="00894691">
        <w:t>« </w:t>
      </w:r>
      <w:r w:rsidRPr="00D37F52">
        <w:t>Breach of Contract and the Common Law Duty to Perform in Good Faith</w:t>
      </w:r>
      <w:r w:rsidR="00894691">
        <w:t> »</w:t>
      </w:r>
      <w:r w:rsidR="008E0763">
        <w:t xml:space="preserve"> (1981</w:t>
      </w:r>
      <w:r w:rsidRPr="00D37F52">
        <w:t xml:space="preserve">), 94 </w:t>
      </w:r>
      <w:proofErr w:type="spellStart"/>
      <w:r w:rsidRPr="00D37F52">
        <w:rPr>
          <w:i/>
        </w:rPr>
        <w:t>Harv</w:t>
      </w:r>
      <w:proofErr w:type="spellEnd"/>
      <w:r w:rsidRPr="00D37F52">
        <w:rPr>
          <w:i/>
        </w:rPr>
        <w:t>.</w:t>
      </w:r>
      <w:proofErr w:type="gramEnd"/>
      <w:r w:rsidRPr="00D37F52">
        <w:rPr>
          <w:i/>
        </w:rPr>
        <w:t xml:space="preserve"> L. Rev.</w:t>
      </w:r>
      <w:r w:rsidRPr="00D37F52">
        <w:t xml:space="preserve"> 369.</w:t>
      </w:r>
    </w:p>
    <w:p w:rsidR="00713A98" w:rsidRPr="00D37F52" w:rsidRDefault="00713A98" w:rsidP="00894691">
      <w:pPr>
        <w:pStyle w:val="SCCNormalDoubleSpacing"/>
        <w:spacing w:before="240" w:after="240" w:line="240" w:lineRule="auto"/>
        <w:ind w:left="540" w:hanging="540"/>
      </w:pPr>
      <w:r w:rsidRPr="00D37F52">
        <w:t xml:space="preserve">Campbell, David.  </w:t>
      </w:r>
      <w:proofErr w:type="gramStart"/>
      <w:r w:rsidR="00894691">
        <w:t>« </w:t>
      </w:r>
      <w:r w:rsidRPr="00D37F52">
        <w:t>Good Faith and the Ubiqui</w:t>
      </w:r>
      <w:r w:rsidR="007C6845" w:rsidRPr="00D37F52">
        <w:t>ty of the “Relational”</w:t>
      </w:r>
      <w:r w:rsidRPr="00D37F52">
        <w:t xml:space="preserve"> Contract</w:t>
      </w:r>
      <w:r w:rsidR="00894691">
        <w:t> »</w:t>
      </w:r>
      <w:r w:rsidRPr="00D37F52">
        <w:t xml:space="preserve"> (2014), 77 </w:t>
      </w:r>
      <w:r w:rsidRPr="00D37F52">
        <w:rPr>
          <w:i/>
        </w:rPr>
        <w:t>Mod.</w:t>
      </w:r>
      <w:proofErr w:type="gramEnd"/>
      <w:r w:rsidRPr="00D37F52">
        <w:rPr>
          <w:i/>
        </w:rPr>
        <w:t xml:space="preserve"> L. Rev.</w:t>
      </w:r>
      <w:r w:rsidRPr="00D37F52">
        <w:t xml:space="preserve"> 475.</w:t>
      </w:r>
    </w:p>
    <w:p w:rsidR="00713A98" w:rsidRPr="00D37F52" w:rsidRDefault="00713A98" w:rsidP="00894691">
      <w:pPr>
        <w:pStyle w:val="SCCNormalDoubleSpacing"/>
        <w:spacing w:before="240" w:after="240" w:line="240" w:lineRule="auto"/>
        <w:ind w:left="540" w:hanging="540"/>
      </w:pPr>
      <w:r w:rsidRPr="00D37F52">
        <w:rPr>
          <w:i/>
        </w:rPr>
        <w:t xml:space="preserve">Cheshire and </w:t>
      </w:r>
      <w:proofErr w:type="spellStart"/>
      <w:r w:rsidRPr="00D37F52">
        <w:rPr>
          <w:i/>
        </w:rPr>
        <w:t>Fifoot’s</w:t>
      </w:r>
      <w:proofErr w:type="spellEnd"/>
      <w:r w:rsidRPr="00D37F52">
        <w:rPr>
          <w:i/>
        </w:rPr>
        <w:t xml:space="preserve"> Law of Contract</w:t>
      </w:r>
      <w:r w:rsidRPr="00D37F52">
        <w:t>, 9th Australian ed., by N.</w:t>
      </w:r>
      <w:r w:rsidR="00894691">
        <w:t xml:space="preserve"> </w:t>
      </w:r>
      <w:r w:rsidRPr="00D37F52">
        <w:t xml:space="preserve">C. </w:t>
      </w:r>
      <w:proofErr w:type="spellStart"/>
      <w:r w:rsidRPr="00D37F52">
        <w:t>Seddon</w:t>
      </w:r>
      <w:proofErr w:type="spellEnd"/>
      <w:r w:rsidRPr="00D37F52">
        <w:t xml:space="preserve"> and M.</w:t>
      </w:r>
      <w:r w:rsidR="00894691">
        <w:t xml:space="preserve"> </w:t>
      </w:r>
      <w:r w:rsidR="004371F3" w:rsidRPr="00D37F52">
        <w:t>P.</w:t>
      </w:r>
      <w:r w:rsidR="00894691">
        <w:t xml:space="preserve"> </w:t>
      </w:r>
      <w:proofErr w:type="spellStart"/>
      <w:r w:rsidRPr="00D37F52">
        <w:t>Ellinghaus</w:t>
      </w:r>
      <w:proofErr w:type="spellEnd"/>
      <w:r w:rsidRPr="00D37F52">
        <w:t xml:space="preserve">.  </w:t>
      </w:r>
      <w:proofErr w:type="spellStart"/>
      <w:r w:rsidRPr="00D37F52">
        <w:t>Chatswood</w:t>
      </w:r>
      <w:proofErr w:type="spellEnd"/>
      <w:r w:rsidRPr="00D37F52">
        <w:t>, N.S.W</w:t>
      </w:r>
      <w:proofErr w:type="gramStart"/>
      <w:r w:rsidRPr="00D37F52">
        <w:t>.</w:t>
      </w:r>
      <w:r w:rsidR="00894691">
        <w:t> :</w:t>
      </w:r>
      <w:proofErr w:type="gramEnd"/>
      <w:r w:rsidRPr="00D37F52">
        <w:t xml:space="preserve"> LexisNexis </w:t>
      </w:r>
      <w:proofErr w:type="spellStart"/>
      <w:r w:rsidRPr="00D37F52">
        <w:t>Butterworths</w:t>
      </w:r>
      <w:proofErr w:type="spellEnd"/>
      <w:r w:rsidRPr="00D37F52">
        <w:t>, 2008.</w:t>
      </w:r>
    </w:p>
    <w:p w:rsidR="00713A98" w:rsidRPr="00D37F52" w:rsidRDefault="00713A98" w:rsidP="00894691">
      <w:pPr>
        <w:pStyle w:val="SCCNormalDoubleSpacing"/>
        <w:spacing w:before="240" w:after="240" w:line="240" w:lineRule="auto"/>
        <w:ind w:left="540" w:hanging="540"/>
      </w:pPr>
      <w:proofErr w:type="gramStart"/>
      <w:r w:rsidRPr="00D37F52">
        <w:rPr>
          <w:i/>
        </w:rPr>
        <w:t>Chitty on Contracts</w:t>
      </w:r>
      <w:r w:rsidRPr="00D37F52">
        <w:t xml:space="preserve">, 31st ed., </w:t>
      </w:r>
      <w:r w:rsidR="004371F3" w:rsidRPr="00D37F52">
        <w:t>vol.</w:t>
      </w:r>
      <w:proofErr w:type="gramEnd"/>
      <w:r w:rsidR="00894691">
        <w:t xml:space="preserve"> </w:t>
      </w:r>
      <w:r w:rsidRPr="00D37F52">
        <w:t xml:space="preserve">I, </w:t>
      </w:r>
      <w:r w:rsidRPr="00D37F52">
        <w:rPr>
          <w:i/>
        </w:rPr>
        <w:t>General Principles</w:t>
      </w:r>
      <w:r w:rsidRPr="00D37F52">
        <w:t>, by H.</w:t>
      </w:r>
      <w:r w:rsidR="00894691">
        <w:t xml:space="preserve"> </w:t>
      </w:r>
      <w:r w:rsidRPr="00D37F52">
        <w:t xml:space="preserve">G. Beale et al., </w:t>
      </w:r>
      <w:proofErr w:type="gramStart"/>
      <w:r w:rsidRPr="00D37F52">
        <w:t>eds</w:t>
      </w:r>
      <w:proofErr w:type="gramEnd"/>
      <w:r w:rsidRPr="00D37F52">
        <w:t xml:space="preserve">.  </w:t>
      </w:r>
      <w:proofErr w:type="gramStart"/>
      <w:r w:rsidRPr="00D37F52">
        <w:t>London</w:t>
      </w:r>
      <w:r w:rsidR="00894691">
        <w:t> :</w:t>
      </w:r>
      <w:proofErr w:type="gramEnd"/>
      <w:r w:rsidRPr="00D37F52">
        <w:t xml:space="preserve"> Sweet &amp; Maxwell, 2012.</w:t>
      </w:r>
    </w:p>
    <w:p w:rsidR="00713A98" w:rsidRPr="00D37F52" w:rsidRDefault="00713A98" w:rsidP="00894691">
      <w:pPr>
        <w:pStyle w:val="SCCNormalDoubleSpacing"/>
        <w:spacing w:before="240" w:after="240" w:line="240" w:lineRule="auto"/>
        <w:ind w:left="540" w:hanging="540"/>
      </w:pPr>
      <w:r w:rsidRPr="00D37F52">
        <w:t xml:space="preserve">Clark, Don.  </w:t>
      </w:r>
      <w:proofErr w:type="gramStart"/>
      <w:r w:rsidR="00894691">
        <w:t>« </w:t>
      </w:r>
      <w:r w:rsidRPr="00D37F52">
        <w:t>Some Recent Developments in the Canadian Law of Contracts</w:t>
      </w:r>
      <w:r w:rsidR="00894691">
        <w:t> »</w:t>
      </w:r>
      <w:r w:rsidRPr="00D37F52">
        <w:t xml:space="preserve"> (1993), 14 </w:t>
      </w:r>
      <w:r w:rsidRPr="00D37F52">
        <w:rPr>
          <w:i/>
        </w:rPr>
        <w:t>Advocates’ Q.</w:t>
      </w:r>
      <w:r w:rsidRPr="00D37F52">
        <w:t xml:space="preserve"> 435.</w:t>
      </w:r>
      <w:proofErr w:type="gramEnd"/>
    </w:p>
    <w:p w:rsidR="00713A98" w:rsidRPr="00D37F52" w:rsidRDefault="00713A98" w:rsidP="00894691">
      <w:pPr>
        <w:pStyle w:val="SCCNormalDoubleSpacing"/>
        <w:spacing w:before="240" w:after="240" w:line="240" w:lineRule="auto"/>
        <w:ind w:left="540" w:hanging="540"/>
      </w:pPr>
      <w:r w:rsidRPr="00D37F52">
        <w:t xml:space="preserve">Dixon, Bill.  </w:t>
      </w:r>
      <w:proofErr w:type="gramStart"/>
      <w:r w:rsidR="00894691">
        <w:t>« </w:t>
      </w:r>
      <w:r w:rsidR="00111484" w:rsidRPr="00D37F52">
        <w:t>Common law obligations of good faith in Australian commercial contracts — a relational recipe</w:t>
      </w:r>
      <w:r w:rsidR="00894691">
        <w:t> »</w:t>
      </w:r>
      <w:r w:rsidR="007C6845" w:rsidRPr="00D37F52">
        <w:t xml:space="preserve"> </w:t>
      </w:r>
      <w:r w:rsidRPr="00D37F52">
        <w:t>(2005), 3</w:t>
      </w:r>
      <w:r w:rsidR="00111484" w:rsidRPr="00D37F52">
        <w:t>3</w:t>
      </w:r>
      <w:r w:rsidRPr="00D37F52">
        <w:t xml:space="preserve"> </w:t>
      </w:r>
      <w:r w:rsidRPr="00D37F52">
        <w:rPr>
          <w:i/>
        </w:rPr>
        <w:t>A</w:t>
      </w:r>
      <w:r w:rsidR="00BC27D6" w:rsidRPr="00D37F52">
        <w:rPr>
          <w:i/>
        </w:rPr>
        <w:t>.</w:t>
      </w:r>
      <w:r w:rsidRPr="00D37F52">
        <w:rPr>
          <w:i/>
        </w:rPr>
        <w:t>B</w:t>
      </w:r>
      <w:r w:rsidR="00BC27D6" w:rsidRPr="00D37F52">
        <w:rPr>
          <w:i/>
        </w:rPr>
        <w:t>.</w:t>
      </w:r>
      <w:r w:rsidRPr="00D37F52">
        <w:rPr>
          <w:i/>
        </w:rPr>
        <w:t>L</w:t>
      </w:r>
      <w:r w:rsidR="00BC27D6" w:rsidRPr="00D37F52">
        <w:rPr>
          <w:i/>
        </w:rPr>
        <w:t>.</w:t>
      </w:r>
      <w:r w:rsidRPr="00D37F52">
        <w:rPr>
          <w:i/>
        </w:rPr>
        <w:t>R</w:t>
      </w:r>
      <w:r w:rsidR="00BC27D6" w:rsidRPr="00D37F52">
        <w:rPr>
          <w:i/>
        </w:rPr>
        <w:t>.</w:t>
      </w:r>
      <w:r w:rsidRPr="00D37F52">
        <w:t xml:space="preserve"> 87.</w:t>
      </w:r>
      <w:proofErr w:type="gramEnd"/>
    </w:p>
    <w:p w:rsidR="00BB3580" w:rsidRPr="00D37F52" w:rsidRDefault="00A538A9" w:rsidP="00894691">
      <w:pPr>
        <w:pStyle w:val="SCCNormalDoubleSpacing"/>
        <w:spacing w:before="240" w:after="240" w:line="240" w:lineRule="auto"/>
        <w:ind w:left="540" w:hanging="540"/>
      </w:pPr>
      <w:proofErr w:type="spellStart"/>
      <w:r w:rsidRPr="00D37F52">
        <w:t>Dworkin</w:t>
      </w:r>
      <w:proofErr w:type="spellEnd"/>
      <w:r w:rsidRPr="00D37F52">
        <w:t>, R.</w:t>
      </w:r>
      <w:r w:rsidR="00894691">
        <w:t xml:space="preserve"> </w:t>
      </w:r>
      <w:r w:rsidR="00BB3580" w:rsidRPr="00D37F52">
        <w:t xml:space="preserve">M.  </w:t>
      </w:r>
      <w:r w:rsidR="00894691">
        <w:t>« </w:t>
      </w:r>
      <w:r w:rsidR="00BB3580" w:rsidRPr="00D37F52">
        <w:t>Is Law a System of Rules?</w:t>
      </w:r>
      <w:r w:rsidR="00894691">
        <w:t> »</w:t>
      </w:r>
      <w:r w:rsidRPr="00D37F52">
        <w:t>, in R.</w:t>
      </w:r>
      <w:r w:rsidR="00894691">
        <w:t xml:space="preserve"> </w:t>
      </w:r>
      <w:r w:rsidR="00BB3580" w:rsidRPr="00D37F52">
        <w:t xml:space="preserve">M. </w:t>
      </w:r>
      <w:proofErr w:type="spellStart"/>
      <w:r w:rsidR="00BB3580" w:rsidRPr="00D37F52">
        <w:t>Dworkin</w:t>
      </w:r>
      <w:proofErr w:type="spellEnd"/>
      <w:r w:rsidR="00BB3580" w:rsidRPr="00D37F52">
        <w:t xml:space="preserve">, ed., </w:t>
      </w:r>
      <w:proofErr w:type="gramStart"/>
      <w:r w:rsidR="00BB3580" w:rsidRPr="00D37F52">
        <w:rPr>
          <w:i/>
        </w:rPr>
        <w:t>The</w:t>
      </w:r>
      <w:proofErr w:type="gramEnd"/>
      <w:r w:rsidR="00BB3580" w:rsidRPr="00D37F52">
        <w:rPr>
          <w:i/>
        </w:rPr>
        <w:t xml:space="preserve"> Philosophy of Law</w:t>
      </w:r>
      <w:r w:rsidR="00BB3580" w:rsidRPr="00D37F52">
        <w:t xml:space="preserve">.  </w:t>
      </w:r>
      <w:proofErr w:type="gramStart"/>
      <w:r w:rsidR="00BB3580" w:rsidRPr="00D37F52">
        <w:t>Oxford</w:t>
      </w:r>
      <w:r w:rsidR="00894691">
        <w:t> :</w:t>
      </w:r>
      <w:proofErr w:type="gramEnd"/>
      <w:r w:rsidR="00BB3580" w:rsidRPr="00D37F52">
        <w:t xml:space="preserve"> Oxford University Press, 1977, 38.</w:t>
      </w:r>
    </w:p>
    <w:p w:rsidR="00713A98" w:rsidRPr="00D37F52" w:rsidRDefault="00713A98" w:rsidP="00894691">
      <w:pPr>
        <w:pStyle w:val="SCCNormalDoubleSpacing"/>
        <w:spacing w:before="240" w:after="240" w:line="240" w:lineRule="auto"/>
        <w:ind w:left="540" w:hanging="540"/>
      </w:pPr>
      <w:r w:rsidRPr="00D37F52">
        <w:t>Farnsworth, E.</w:t>
      </w:r>
      <w:r w:rsidR="00894691">
        <w:t xml:space="preserve"> </w:t>
      </w:r>
      <w:r w:rsidRPr="00D37F52">
        <w:t xml:space="preserve">Allan.  </w:t>
      </w:r>
      <w:r w:rsidR="00894691">
        <w:t>« </w:t>
      </w:r>
      <w:r w:rsidRPr="00D37F52">
        <w:t xml:space="preserve">Good Faith Performance and Commercial Reasonableness </w:t>
      </w:r>
      <w:proofErr w:type="gramStart"/>
      <w:r w:rsidRPr="00D37F52">
        <w:t>Under</w:t>
      </w:r>
      <w:proofErr w:type="gramEnd"/>
      <w:r w:rsidRPr="00D37F52">
        <w:t xml:space="preserve"> the Uniform Commercial Code</w:t>
      </w:r>
      <w:r w:rsidR="00894691">
        <w:t> »</w:t>
      </w:r>
      <w:r w:rsidRPr="00D37F52">
        <w:t xml:space="preserve"> (1963), 30 </w:t>
      </w:r>
      <w:r w:rsidRPr="00D37F52">
        <w:rPr>
          <w:i/>
        </w:rPr>
        <w:t>U. Chicago L. Rev.</w:t>
      </w:r>
      <w:r w:rsidRPr="00D37F52">
        <w:t xml:space="preserve"> 666.</w:t>
      </w:r>
    </w:p>
    <w:p w:rsidR="00713A98" w:rsidRPr="00D37F52" w:rsidRDefault="00713A98" w:rsidP="00894691">
      <w:pPr>
        <w:pStyle w:val="SCCNormalDoubleSpacing"/>
        <w:spacing w:before="240" w:after="240" w:line="240" w:lineRule="auto"/>
        <w:ind w:left="540" w:hanging="540"/>
      </w:pPr>
      <w:proofErr w:type="spellStart"/>
      <w:r w:rsidRPr="00D37F52">
        <w:t>Fridman</w:t>
      </w:r>
      <w:proofErr w:type="spellEnd"/>
      <w:r w:rsidRPr="00D37F52">
        <w:t>, G.</w:t>
      </w:r>
      <w:r w:rsidR="00894691">
        <w:t xml:space="preserve"> </w:t>
      </w:r>
      <w:r w:rsidRPr="00D37F52">
        <w:t>H.</w:t>
      </w:r>
      <w:r w:rsidR="00894691">
        <w:t xml:space="preserve"> </w:t>
      </w:r>
      <w:r w:rsidRPr="00D37F52">
        <w:t xml:space="preserve">L.  </w:t>
      </w:r>
      <w:r w:rsidRPr="00D37F52">
        <w:rPr>
          <w:i/>
        </w:rPr>
        <w:t>The Law of Contract in Canada</w:t>
      </w:r>
      <w:r w:rsidRPr="00D37F52">
        <w:t xml:space="preserve">, 6th </w:t>
      </w:r>
      <w:proofErr w:type="gramStart"/>
      <w:r w:rsidRPr="00D37F52">
        <w:t>ed</w:t>
      </w:r>
      <w:proofErr w:type="gramEnd"/>
      <w:r w:rsidRPr="00D37F52">
        <w:t xml:space="preserve">.  </w:t>
      </w:r>
      <w:proofErr w:type="gramStart"/>
      <w:r w:rsidRPr="00D37F52">
        <w:t>Toronto</w:t>
      </w:r>
      <w:r w:rsidR="00894691">
        <w:t> :</w:t>
      </w:r>
      <w:proofErr w:type="gramEnd"/>
      <w:r w:rsidRPr="00D37F52">
        <w:t xml:space="preserve"> </w:t>
      </w:r>
      <w:proofErr w:type="spellStart"/>
      <w:r w:rsidRPr="00D37F52">
        <w:t>Carswell</w:t>
      </w:r>
      <w:proofErr w:type="spellEnd"/>
      <w:r w:rsidRPr="00D37F52">
        <w:t>, 2011.</w:t>
      </w:r>
    </w:p>
    <w:p w:rsidR="00713A98" w:rsidRPr="00D37F52" w:rsidRDefault="00713A98" w:rsidP="00894691">
      <w:pPr>
        <w:pStyle w:val="SCCNormalDoubleSpacing"/>
        <w:spacing w:before="240" w:after="240" w:line="240" w:lineRule="auto"/>
        <w:ind w:left="540" w:hanging="540"/>
      </w:pPr>
      <w:proofErr w:type="spellStart"/>
      <w:proofErr w:type="gramStart"/>
      <w:r w:rsidRPr="00D37F52">
        <w:t>Goldwasser</w:t>
      </w:r>
      <w:proofErr w:type="spellEnd"/>
      <w:r w:rsidRPr="00D37F52">
        <w:t>, V</w:t>
      </w:r>
      <w:r w:rsidR="00460FE7" w:rsidRPr="00D37F52">
        <w:t>ivien</w:t>
      </w:r>
      <w:r w:rsidRPr="00D37F52">
        <w:t>, and T</w:t>
      </w:r>
      <w:r w:rsidR="00460FE7" w:rsidRPr="00D37F52">
        <w:t>ony</w:t>
      </w:r>
      <w:r w:rsidRPr="00D37F52">
        <w:t xml:space="preserve"> </w:t>
      </w:r>
      <w:proofErr w:type="spellStart"/>
      <w:r w:rsidRPr="00D37F52">
        <w:t>Ciro</w:t>
      </w:r>
      <w:proofErr w:type="spellEnd"/>
      <w:r w:rsidRPr="00D37F52">
        <w:t>.</w:t>
      </w:r>
      <w:proofErr w:type="gramEnd"/>
      <w:r w:rsidRPr="00D37F52">
        <w:t xml:space="preserve">  </w:t>
      </w:r>
      <w:r w:rsidR="00894691">
        <w:t>« </w:t>
      </w:r>
      <w:r w:rsidRPr="00D37F52">
        <w:t>Standards of Behaviour in Commercial Contracting</w:t>
      </w:r>
      <w:r w:rsidR="00894691">
        <w:t> »</w:t>
      </w:r>
      <w:r w:rsidRPr="00D37F52">
        <w:t xml:space="preserve"> (2002), </w:t>
      </w:r>
      <w:proofErr w:type="gramStart"/>
      <w:r w:rsidRPr="00D37F52">
        <w:t xml:space="preserve">30 </w:t>
      </w:r>
      <w:r w:rsidRPr="00D37F52">
        <w:rPr>
          <w:i/>
        </w:rPr>
        <w:t>A</w:t>
      </w:r>
      <w:r w:rsidR="00BC27D6" w:rsidRPr="00D37F52">
        <w:rPr>
          <w:i/>
        </w:rPr>
        <w:t>.</w:t>
      </w:r>
      <w:r w:rsidRPr="00D37F52">
        <w:rPr>
          <w:i/>
        </w:rPr>
        <w:t>B</w:t>
      </w:r>
      <w:r w:rsidR="00BC27D6" w:rsidRPr="00D37F52">
        <w:rPr>
          <w:i/>
        </w:rPr>
        <w:t>.</w:t>
      </w:r>
      <w:r w:rsidRPr="00D37F52">
        <w:rPr>
          <w:i/>
        </w:rPr>
        <w:t>L</w:t>
      </w:r>
      <w:r w:rsidR="00BC27D6" w:rsidRPr="00D37F52">
        <w:rPr>
          <w:i/>
        </w:rPr>
        <w:t>.</w:t>
      </w:r>
      <w:r w:rsidRPr="00D37F52">
        <w:rPr>
          <w:i/>
        </w:rPr>
        <w:t>R</w:t>
      </w:r>
      <w:r w:rsidR="00BC27D6" w:rsidRPr="00D37F52">
        <w:rPr>
          <w:i/>
        </w:rPr>
        <w:t>.</w:t>
      </w:r>
      <w:r w:rsidRPr="00D37F52">
        <w:t xml:space="preserve"> 369</w:t>
      </w:r>
      <w:proofErr w:type="gramEnd"/>
      <w:r w:rsidRPr="00D37F52">
        <w:t>.</w:t>
      </w:r>
    </w:p>
    <w:p w:rsidR="00713A98" w:rsidRPr="00D37F52" w:rsidRDefault="00713A98" w:rsidP="00894691">
      <w:pPr>
        <w:pStyle w:val="SCCNormalDoubleSpacing"/>
        <w:spacing w:before="240" w:after="240" w:line="240" w:lineRule="auto"/>
        <w:ind w:left="540" w:hanging="540"/>
      </w:pPr>
      <w:proofErr w:type="gramStart"/>
      <w:r w:rsidRPr="00D37F52">
        <w:t>Grover, Warren.</w:t>
      </w:r>
      <w:proofErr w:type="gramEnd"/>
      <w:r w:rsidRPr="00D37F52">
        <w:t xml:space="preserve">  </w:t>
      </w:r>
      <w:r w:rsidR="00894691">
        <w:t>« </w:t>
      </w:r>
      <w:r w:rsidRPr="00D37F52">
        <w:t>A Solicitor Looks at Good Faith in Commercial Transactions</w:t>
      </w:r>
      <w:r w:rsidR="00894691">
        <w:t> »</w:t>
      </w:r>
      <w:r w:rsidRPr="00D37F52">
        <w:t xml:space="preserve">, </w:t>
      </w:r>
      <w:r w:rsidR="00FF745C" w:rsidRPr="00D37F52">
        <w:t xml:space="preserve">in </w:t>
      </w:r>
      <w:r w:rsidR="00FF745C" w:rsidRPr="00D37F52">
        <w:rPr>
          <w:i/>
        </w:rPr>
        <w:t xml:space="preserve">Special Lectures of the Law Society of Upper Canada 1985 — </w:t>
      </w:r>
      <w:r w:rsidRPr="00D37F52">
        <w:rPr>
          <w:i/>
        </w:rPr>
        <w:t xml:space="preserve">Commercial </w:t>
      </w:r>
      <w:proofErr w:type="gramStart"/>
      <w:r w:rsidRPr="00D37F52">
        <w:rPr>
          <w:i/>
        </w:rPr>
        <w:t>Law</w:t>
      </w:r>
      <w:r w:rsidR="00894691">
        <w:rPr>
          <w:i/>
        </w:rPr>
        <w:t> :</w:t>
      </w:r>
      <w:proofErr w:type="gramEnd"/>
      <w:r w:rsidRPr="00D37F52">
        <w:rPr>
          <w:i/>
        </w:rPr>
        <w:t xml:space="preserve"> Recent Developments and Emerging Trends</w:t>
      </w:r>
      <w:r w:rsidRPr="00D37F52">
        <w:t>.  Don Mills, Ont</w:t>
      </w:r>
      <w:proofErr w:type="gramStart"/>
      <w:r w:rsidRPr="00D37F52">
        <w:t>.</w:t>
      </w:r>
      <w:r w:rsidR="00894691">
        <w:t> :</w:t>
      </w:r>
      <w:proofErr w:type="gramEnd"/>
      <w:r w:rsidRPr="00D37F52">
        <w:t xml:space="preserve"> De Boo, 1985, 93.</w:t>
      </w:r>
    </w:p>
    <w:p w:rsidR="00713A98" w:rsidRPr="00D37F52" w:rsidRDefault="00713A98" w:rsidP="00894691">
      <w:pPr>
        <w:pStyle w:val="SCCNormalDoubleSpacing"/>
        <w:spacing w:before="240" w:after="240" w:line="240" w:lineRule="auto"/>
        <w:ind w:left="540" w:hanging="540"/>
      </w:pPr>
      <w:r w:rsidRPr="00D37F52">
        <w:t>Hall, Geoff</w:t>
      </w:r>
      <w:r w:rsidR="00894691">
        <w:t xml:space="preserve"> </w:t>
      </w:r>
      <w:r w:rsidRPr="00D37F52">
        <w:t xml:space="preserve">R.  </w:t>
      </w:r>
      <w:r w:rsidRPr="00D37F52">
        <w:rPr>
          <w:i/>
        </w:rPr>
        <w:t>Canadian Contractual Interpretation Law</w:t>
      </w:r>
      <w:r w:rsidRPr="00D37F52">
        <w:t xml:space="preserve">, 2nd </w:t>
      </w:r>
      <w:proofErr w:type="gramStart"/>
      <w:r w:rsidRPr="00D37F52">
        <w:t>ed</w:t>
      </w:r>
      <w:proofErr w:type="gramEnd"/>
      <w:r w:rsidRPr="00D37F52">
        <w:t>.  Markham, Ont</w:t>
      </w:r>
      <w:proofErr w:type="gramStart"/>
      <w:r w:rsidRPr="00D37F52">
        <w:t>.</w:t>
      </w:r>
      <w:r w:rsidR="00894691">
        <w:t> :</w:t>
      </w:r>
      <w:proofErr w:type="gramEnd"/>
      <w:r w:rsidRPr="00D37F52">
        <w:t xml:space="preserve"> LexisNexis, 2012.</w:t>
      </w:r>
    </w:p>
    <w:p w:rsidR="00713A98" w:rsidRPr="00D37F52" w:rsidRDefault="00713A98" w:rsidP="00894691">
      <w:pPr>
        <w:pStyle w:val="SCCNormalDoubleSpacing"/>
        <w:spacing w:before="240" w:after="240" w:line="240" w:lineRule="auto"/>
        <w:ind w:left="540" w:hanging="540"/>
      </w:pPr>
      <w:r w:rsidRPr="00D37F52">
        <w:t>Macaulay, Stew</w:t>
      </w:r>
      <w:r w:rsidR="004371F3" w:rsidRPr="00D37F52">
        <w:t>art.</w:t>
      </w:r>
      <w:r w:rsidR="00D02F1A" w:rsidRPr="00D37F52">
        <w:t xml:space="preserve"> </w:t>
      </w:r>
      <w:r w:rsidRPr="00D37F52">
        <w:t xml:space="preserve"> </w:t>
      </w:r>
      <w:r w:rsidR="00894691">
        <w:t>« </w:t>
      </w:r>
      <w:r w:rsidRPr="00D37F52">
        <w:t>An Empirical View of Contract</w:t>
      </w:r>
      <w:r w:rsidR="00894691">
        <w:t> »</w:t>
      </w:r>
      <w:r w:rsidRPr="00D37F52">
        <w:t xml:space="preserve">, [1985] </w:t>
      </w:r>
      <w:r w:rsidRPr="00D37F52">
        <w:rPr>
          <w:i/>
        </w:rPr>
        <w:t>Wis. L. Rev.</w:t>
      </w:r>
      <w:r w:rsidRPr="00D37F52">
        <w:t xml:space="preserve"> 465.</w:t>
      </w:r>
    </w:p>
    <w:p w:rsidR="00713A98" w:rsidRPr="00D37F52" w:rsidRDefault="00713A98" w:rsidP="00894691">
      <w:pPr>
        <w:pStyle w:val="SCCNormalDoubleSpacing"/>
        <w:spacing w:before="240" w:after="240" w:line="240" w:lineRule="auto"/>
        <w:ind w:left="540" w:hanging="540"/>
      </w:pPr>
      <w:r w:rsidRPr="00D37F52">
        <w:t>Macaulay, Stew</w:t>
      </w:r>
      <w:r w:rsidR="00D02F1A" w:rsidRPr="00D37F52">
        <w:t xml:space="preserve">art. </w:t>
      </w:r>
      <w:r w:rsidRPr="00D37F52">
        <w:t xml:space="preserve"> </w:t>
      </w:r>
      <w:r w:rsidR="00894691">
        <w:t>« </w:t>
      </w:r>
      <w:r w:rsidRPr="00D37F52">
        <w:t>Non</w:t>
      </w:r>
      <w:r w:rsidR="00894691">
        <w:t>-</w:t>
      </w:r>
      <w:r w:rsidRPr="00D37F52">
        <w:t xml:space="preserve">contractual Relations in </w:t>
      </w:r>
      <w:proofErr w:type="gramStart"/>
      <w:r w:rsidRPr="00D37F52">
        <w:t>Business</w:t>
      </w:r>
      <w:r w:rsidR="00894691">
        <w:t> :</w:t>
      </w:r>
      <w:proofErr w:type="gramEnd"/>
      <w:r w:rsidRPr="00D37F52">
        <w:t xml:space="preserve"> A Preliminary Study</w:t>
      </w:r>
      <w:r w:rsidR="00894691">
        <w:t> »</w:t>
      </w:r>
      <w:r w:rsidRPr="00D37F52">
        <w:t xml:space="preserve"> (1963), 28 </w:t>
      </w:r>
      <w:r w:rsidRPr="00D37F52">
        <w:rPr>
          <w:i/>
        </w:rPr>
        <w:t>Am. Soc. Rev.</w:t>
      </w:r>
      <w:r w:rsidRPr="00D37F52">
        <w:t xml:space="preserve"> 55.</w:t>
      </w:r>
    </w:p>
    <w:p w:rsidR="00741FAB" w:rsidRPr="00D37F52" w:rsidRDefault="00741FAB" w:rsidP="00894691">
      <w:pPr>
        <w:pStyle w:val="SCCNormalDoubleSpacing"/>
        <w:spacing w:before="240" w:after="240" w:line="240" w:lineRule="auto"/>
        <w:ind w:left="540" w:hanging="540"/>
      </w:pPr>
      <w:r w:rsidRPr="00D37F52">
        <w:lastRenderedPageBreak/>
        <w:t xml:space="preserve">MacDougall, Bruce.  </w:t>
      </w:r>
      <w:proofErr w:type="spellStart"/>
      <w:proofErr w:type="gramStart"/>
      <w:r w:rsidRPr="00D37F52">
        <w:rPr>
          <w:i/>
        </w:rPr>
        <w:t>Estoppel</w:t>
      </w:r>
      <w:proofErr w:type="spellEnd"/>
      <w:r w:rsidRPr="00D37F52">
        <w:t>.</w:t>
      </w:r>
      <w:proofErr w:type="gramEnd"/>
      <w:r w:rsidRPr="00D37F52">
        <w:t xml:space="preserve">  Markham, Ont</w:t>
      </w:r>
      <w:proofErr w:type="gramStart"/>
      <w:r w:rsidRPr="00D37F52">
        <w:t>.</w:t>
      </w:r>
      <w:r w:rsidR="00894691">
        <w:t> :</w:t>
      </w:r>
      <w:proofErr w:type="gramEnd"/>
      <w:r w:rsidRPr="00D37F52">
        <w:t xml:space="preserve"> LexisNexis, 2012.</w:t>
      </w:r>
    </w:p>
    <w:p w:rsidR="00713A98" w:rsidRPr="00D37F52" w:rsidRDefault="00713A98" w:rsidP="00894691">
      <w:pPr>
        <w:pStyle w:val="SCCNormalDoubleSpacing"/>
        <w:spacing w:before="240" w:after="240" w:line="240" w:lineRule="auto"/>
        <w:ind w:left="540" w:hanging="540"/>
      </w:pPr>
      <w:r w:rsidRPr="00D37F52">
        <w:t xml:space="preserve">Mason, Anthony.  </w:t>
      </w:r>
      <w:proofErr w:type="gramStart"/>
      <w:r w:rsidR="00894691">
        <w:t>« </w:t>
      </w:r>
      <w:r w:rsidRPr="00D37F52">
        <w:t>Contract, Good Faith and Equitable Standards in Fair Dealing</w:t>
      </w:r>
      <w:r w:rsidR="00894691">
        <w:t> »</w:t>
      </w:r>
      <w:r w:rsidRPr="00D37F52">
        <w:t xml:space="preserve"> (2000), 116 </w:t>
      </w:r>
      <w:r w:rsidRPr="00D37F52">
        <w:rPr>
          <w:i/>
        </w:rPr>
        <w:t>Law Q. Rev.</w:t>
      </w:r>
      <w:r w:rsidRPr="00D37F52">
        <w:t xml:space="preserve"> 66.</w:t>
      </w:r>
      <w:proofErr w:type="gramEnd"/>
    </w:p>
    <w:p w:rsidR="00713A98" w:rsidRPr="00D37F52" w:rsidRDefault="00713A98" w:rsidP="00894691">
      <w:pPr>
        <w:pStyle w:val="SCCNormalDoubleSpacing"/>
        <w:spacing w:before="240" w:after="240" w:line="240" w:lineRule="auto"/>
        <w:ind w:left="540" w:hanging="540"/>
      </w:pPr>
      <w:proofErr w:type="spellStart"/>
      <w:r w:rsidRPr="00D37F52">
        <w:t>McCamus</w:t>
      </w:r>
      <w:proofErr w:type="spellEnd"/>
      <w:r w:rsidRPr="00D37F52">
        <w:t>, John</w:t>
      </w:r>
      <w:r w:rsidR="00894691">
        <w:t xml:space="preserve"> </w:t>
      </w:r>
      <w:r w:rsidRPr="00D37F52">
        <w:t xml:space="preserve">D.  </w:t>
      </w:r>
      <w:r w:rsidRPr="00D37F52">
        <w:rPr>
          <w:i/>
        </w:rPr>
        <w:t>The Law of Contracts</w:t>
      </w:r>
      <w:r w:rsidRPr="00D37F52">
        <w:t xml:space="preserve">, 2nd </w:t>
      </w:r>
      <w:proofErr w:type="gramStart"/>
      <w:r w:rsidRPr="00D37F52">
        <w:t>ed</w:t>
      </w:r>
      <w:proofErr w:type="gramEnd"/>
      <w:r w:rsidRPr="00D37F52">
        <w:t xml:space="preserve">.  </w:t>
      </w:r>
      <w:proofErr w:type="gramStart"/>
      <w:r w:rsidRPr="00D37F52">
        <w:t>Toronto</w:t>
      </w:r>
      <w:r w:rsidR="00894691">
        <w:t> :</w:t>
      </w:r>
      <w:proofErr w:type="gramEnd"/>
      <w:r w:rsidRPr="00D37F52">
        <w:t xml:space="preserve"> Irwin Law, 2012.</w:t>
      </w:r>
    </w:p>
    <w:p w:rsidR="00D02F1A" w:rsidRPr="00D37F52" w:rsidRDefault="00D02F1A" w:rsidP="00894691">
      <w:pPr>
        <w:pStyle w:val="SCCNormalDoubleSpacing"/>
        <w:spacing w:before="240" w:after="240" w:line="240" w:lineRule="auto"/>
        <w:ind w:left="540" w:hanging="540"/>
      </w:pPr>
      <w:proofErr w:type="spellStart"/>
      <w:r w:rsidRPr="00D37F52">
        <w:t>McKendrick</w:t>
      </w:r>
      <w:proofErr w:type="spellEnd"/>
      <w:r w:rsidRPr="00D37F52">
        <w:t xml:space="preserve">, Ewan.  </w:t>
      </w:r>
      <w:r w:rsidRPr="00D37F52">
        <w:rPr>
          <w:i/>
        </w:rPr>
        <w:t>Contract Law</w:t>
      </w:r>
      <w:r w:rsidRPr="00D37F52">
        <w:t xml:space="preserve">, 9th </w:t>
      </w:r>
      <w:proofErr w:type="gramStart"/>
      <w:r w:rsidRPr="00D37F52">
        <w:t>ed</w:t>
      </w:r>
      <w:proofErr w:type="gramEnd"/>
      <w:r w:rsidRPr="00D37F52">
        <w:t xml:space="preserve">.  Basingstoke, </w:t>
      </w:r>
      <w:proofErr w:type="gramStart"/>
      <w:r w:rsidRPr="00D37F52">
        <w:t>England</w:t>
      </w:r>
      <w:r w:rsidR="00894691">
        <w:t> :</w:t>
      </w:r>
      <w:proofErr w:type="gramEnd"/>
      <w:r w:rsidRPr="00D37F52">
        <w:t xml:space="preserve"> Palgrave Macmillan, 2011.</w:t>
      </w:r>
    </w:p>
    <w:p w:rsidR="00713A98" w:rsidRPr="00D37F52" w:rsidRDefault="00713A98" w:rsidP="00894691">
      <w:pPr>
        <w:pStyle w:val="SCCNormalDoubleSpacing"/>
        <w:spacing w:before="240" w:after="240" w:line="240" w:lineRule="auto"/>
        <w:ind w:left="540" w:hanging="540"/>
      </w:pPr>
      <w:r w:rsidRPr="00D37F52">
        <w:t>McNeely, Anne</w:t>
      </w:r>
      <w:r w:rsidR="00894691">
        <w:t xml:space="preserve"> </w:t>
      </w:r>
      <w:r w:rsidRPr="00D37F52">
        <w:t xml:space="preserve">C.  </w:t>
      </w:r>
      <w:proofErr w:type="gramStart"/>
      <w:r w:rsidRPr="00D37F52">
        <w:rPr>
          <w:i/>
        </w:rPr>
        <w:t>Canadian Law of Competitive Bidding and Procurement</w:t>
      </w:r>
      <w:r w:rsidRPr="00D37F52">
        <w:t>.</w:t>
      </w:r>
      <w:proofErr w:type="gramEnd"/>
      <w:r w:rsidRPr="00D37F52">
        <w:t xml:space="preserve">  Aurora, Ont</w:t>
      </w:r>
      <w:proofErr w:type="gramStart"/>
      <w:r w:rsidRPr="00D37F52">
        <w:t>.</w:t>
      </w:r>
      <w:r w:rsidR="00894691">
        <w:t> :</w:t>
      </w:r>
      <w:proofErr w:type="gramEnd"/>
      <w:r w:rsidRPr="00D37F52">
        <w:t xml:space="preserve"> Canada Law Book, 2010.</w:t>
      </w:r>
    </w:p>
    <w:p w:rsidR="00713A98" w:rsidRPr="00D37F52" w:rsidRDefault="00713A98" w:rsidP="00894691">
      <w:pPr>
        <w:pStyle w:val="SCCNormalDoubleSpacing"/>
        <w:spacing w:before="240" w:after="240" w:line="240" w:lineRule="auto"/>
        <w:ind w:left="540" w:hanging="540"/>
      </w:pPr>
      <w:proofErr w:type="gramStart"/>
      <w:r w:rsidRPr="00D37F52">
        <w:t>Miller, Alan</w:t>
      </w:r>
      <w:r w:rsidR="00894691">
        <w:t xml:space="preserve"> </w:t>
      </w:r>
      <w:r w:rsidRPr="00D37F52">
        <w:t>D., and Ronen Perry.</w:t>
      </w:r>
      <w:proofErr w:type="gramEnd"/>
      <w:r w:rsidRPr="00D37F52">
        <w:t xml:space="preserve">  </w:t>
      </w:r>
      <w:proofErr w:type="gramStart"/>
      <w:r w:rsidR="00894691">
        <w:t>« </w:t>
      </w:r>
      <w:r w:rsidRPr="00D37F52">
        <w:t>Good Faith Performance</w:t>
      </w:r>
      <w:r w:rsidR="00894691">
        <w:t> »</w:t>
      </w:r>
      <w:r w:rsidRPr="00D37F52">
        <w:t xml:space="preserve"> (2013), 98 </w:t>
      </w:r>
      <w:r w:rsidRPr="00D37F52">
        <w:rPr>
          <w:i/>
        </w:rPr>
        <w:t>Iowa L. Rev.</w:t>
      </w:r>
      <w:r w:rsidRPr="00D37F52">
        <w:t xml:space="preserve"> 689.</w:t>
      </w:r>
      <w:proofErr w:type="gramEnd"/>
    </w:p>
    <w:p w:rsidR="00713A98" w:rsidRPr="00D37F52" w:rsidRDefault="00713A98" w:rsidP="00894691">
      <w:pPr>
        <w:pStyle w:val="SCCNormalDoubleSpacing"/>
        <w:spacing w:before="240" w:after="240" w:line="240" w:lineRule="auto"/>
        <w:ind w:left="540" w:hanging="540"/>
      </w:pPr>
      <w:r w:rsidRPr="00D37F52">
        <w:t xml:space="preserve">O’Byrne, Shannon Kathleen.  </w:t>
      </w:r>
      <w:r w:rsidR="00894691">
        <w:t>« </w:t>
      </w:r>
      <w:r w:rsidRPr="00D37F52">
        <w:t xml:space="preserve">Good Faith in Contractual </w:t>
      </w:r>
      <w:proofErr w:type="gramStart"/>
      <w:r w:rsidRPr="00D37F52">
        <w:t>Performance</w:t>
      </w:r>
      <w:r w:rsidR="00894691">
        <w:t> :</w:t>
      </w:r>
      <w:proofErr w:type="gramEnd"/>
      <w:r w:rsidRPr="00D37F52">
        <w:t xml:space="preserve"> Recent Developments</w:t>
      </w:r>
      <w:r w:rsidR="00894691">
        <w:t> »</w:t>
      </w:r>
      <w:r w:rsidRPr="00D37F52">
        <w:t xml:space="preserve"> (1995), 74 </w:t>
      </w:r>
      <w:r w:rsidR="007C6845" w:rsidRPr="00D37F52">
        <w:rPr>
          <w:i/>
        </w:rPr>
        <w:t>R. du B. can</w:t>
      </w:r>
      <w:r w:rsidRPr="00D37F52">
        <w:rPr>
          <w:i/>
        </w:rPr>
        <w:t>.</w:t>
      </w:r>
      <w:r w:rsidRPr="00D37F52">
        <w:t xml:space="preserve"> 70.</w:t>
      </w:r>
    </w:p>
    <w:p w:rsidR="00713A98" w:rsidRPr="00D37F52" w:rsidRDefault="00713A98" w:rsidP="00894691">
      <w:pPr>
        <w:pStyle w:val="SCCNormalDoubleSpacing"/>
        <w:spacing w:before="240" w:after="240" w:line="240" w:lineRule="auto"/>
        <w:ind w:left="540" w:hanging="540"/>
      </w:pPr>
      <w:r w:rsidRPr="00D37F52">
        <w:t xml:space="preserve">O’Byrne, Shannon Kathleen.  </w:t>
      </w:r>
      <w:r w:rsidR="00894691">
        <w:t>« </w:t>
      </w:r>
      <w:r w:rsidRPr="00D37F52">
        <w:t xml:space="preserve">The Implied Term of Good Faith and Fair </w:t>
      </w:r>
      <w:proofErr w:type="gramStart"/>
      <w:r w:rsidRPr="00D37F52">
        <w:t>Dealing</w:t>
      </w:r>
      <w:r w:rsidR="00894691">
        <w:t> :</w:t>
      </w:r>
      <w:proofErr w:type="gramEnd"/>
      <w:r w:rsidRPr="00D37F52">
        <w:t xml:space="preserve"> Recent Developments</w:t>
      </w:r>
      <w:r w:rsidR="00894691">
        <w:t> »</w:t>
      </w:r>
      <w:r w:rsidRPr="00D37F52">
        <w:t xml:space="preserve"> (2007), 86 </w:t>
      </w:r>
      <w:r w:rsidR="007C6845" w:rsidRPr="00D37F52">
        <w:rPr>
          <w:i/>
        </w:rPr>
        <w:t>R. du B. can</w:t>
      </w:r>
      <w:r w:rsidRPr="00D37F52">
        <w:rPr>
          <w:i/>
        </w:rPr>
        <w:t>.</w:t>
      </w:r>
      <w:r w:rsidRPr="00D37F52">
        <w:t xml:space="preserve"> 193.</w:t>
      </w:r>
    </w:p>
    <w:p w:rsidR="00713A98" w:rsidRPr="00D37F52" w:rsidRDefault="00E41477" w:rsidP="00894691">
      <w:pPr>
        <w:pStyle w:val="SCCNormalDoubleSpacing"/>
        <w:spacing w:before="240" w:after="240" w:line="240" w:lineRule="auto"/>
        <w:ind w:left="540" w:hanging="540"/>
        <w:rPr>
          <w:lang w:val="fr-CA"/>
        </w:rPr>
      </w:pPr>
      <w:r w:rsidRPr="00D37F52">
        <w:t>O’Connor, J.</w:t>
      </w:r>
      <w:r w:rsidR="00894691">
        <w:t xml:space="preserve"> </w:t>
      </w:r>
      <w:r w:rsidR="00713A98" w:rsidRPr="00D37F52">
        <w:t xml:space="preserve">F.  </w:t>
      </w:r>
      <w:proofErr w:type="gramStart"/>
      <w:r w:rsidR="00713A98" w:rsidRPr="00D37F52">
        <w:rPr>
          <w:i/>
        </w:rPr>
        <w:t>Good Faith in English Law</w:t>
      </w:r>
      <w:r w:rsidR="00713A98" w:rsidRPr="00D37F52">
        <w:t>.</w:t>
      </w:r>
      <w:proofErr w:type="gramEnd"/>
      <w:r w:rsidR="00713A98" w:rsidRPr="00D37F52">
        <w:t xml:space="preserve">  </w:t>
      </w:r>
      <w:proofErr w:type="spellStart"/>
      <w:r w:rsidR="00713A98" w:rsidRPr="00D37F52">
        <w:rPr>
          <w:lang w:val="fr-CA"/>
        </w:rPr>
        <w:t>Aldershot</w:t>
      </w:r>
      <w:proofErr w:type="spellEnd"/>
      <w:r w:rsidRPr="00D37F52">
        <w:rPr>
          <w:lang w:val="fr-CA"/>
        </w:rPr>
        <w:t xml:space="preserve">, </w:t>
      </w:r>
      <w:proofErr w:type="spellStart"/>
      <w:r w:rsidRPr="00D37F52">
        <w:rPr>
          <w:lang w:val="fr-CA"/>
        </w:rPr>
        <w:t>England</w:t>
      </w:r>
      <w:proofErr w:type="spellEnd"/>
      <w:r w:rsidR="00894691">
        <w:rPr>
          <w:lang w:val="fr-CA"/>
        </w:rPr>
        <w:t> :</w:t>
      </w:r>
      <w:r w:rsidR="00713A98" w:rsidRPr="00D37F52">
        <w:rPr>
          <w:lang w:val="fr-CA"/>
        </w:rPr>
        <w:t xml:space="preserve"> Dartmouth, 1990.</w:t>
      </w:r>
    </w:p>
    <w:p w:rsidR="007C6845" w:rsidRPr="00D37F52" w:rsidRDefault="007C6845" w:rsidP="00894691">
      <w:pPr>
        <w:pStyle w:val="SCCNormalDoubleSpacing"/>
        <w:spacing w:before="240" w:after="240" w:line="240" w:lineRule="auto"/>
        <w:ind w:left="540" w:hanging="540"/>
      </w:pPr>
      <w:r w:rsidRPr="00D37F52">
        <w:rPr>
          <w:lang w:val="fr-CA"/>
        </w:rPr>
        <w:t xml:space="preserve">Ontario.  Commission de réforme du droit.  </w:t>
      </w:r>
      <w:r w:rsidRPr="00D37F52">
        <w:rPr>
          <w:i/>
        </w:rPr>
        <w:t>Report on Amendment of the Law of Contract</w:t>
      </w:r>
      <w:r w:rsidRPr="00D37F52">
        <w:t xml:space="preserve">.  </w:t>
      </w:r>
      <w:proofErr w:type="gramStart"/>
      <w:r w:rsidRPr="00D37F52">
        <w:t>Toronto</w:t>
      </w:r>
      <w:r w:rsidR="00894691">
        <w:t> :</w:t>
      </w:r>
      <w:proofErr w:type="gramEnd"/>
      <w:r w:rsidRPr="00D37F52">
        <w:t xml:space="preserve"> </w:t>
      </w:r>
      <w:proofErr w:type="spellStart"/>
      <w:r w:rsidRPr="00D37F52">
        <w:t>Ministère</w:t>
      </w:r>
      <w:proofErr w:type="spellEnd"/>
      <w:r w:rsidRPr="00D37F52">
        <w:t xml:space="preserve"> du </w:t>
      </w:r>
      <w:proofErr w:type="spellStart"/>
      <w:r w:rsidRPr="00D37F52">
        <w:t>Procureur</w:t>
      </w:r>
      <w:proofErr w:type="spellEnd"/>
      <w:r w:rsidRPr="00D37F52">
        <w:t xml:space="preserve"> </w:t>
      </w:r>
      <w:proofErr w:type="spellStart"/>
      <w:r w:rsidRPr="00D37F52">
        <w:t>général</w:t>
      </w:r>
      <w:proofErr w:type="spellEnd"/>
      <w:r w:rsidRPr="00D37F52">
        <w:t>, 1987.</w:t>
      </w:r>
    </w:p>
    <w:p w:rsidR="00713A98" w:rsidRPr="00D37F52" w:rsidRDefault="00713A98" w:rsidP="00894691">
      <w:pPr>
        <w:pStyle w:val="SCCNormalDoubleSpacing"/>
        <w:spacing w:before="240" w:after="240" w:line="240" w:lineRule="auto"/>
        <w:ind w:left="540" w:hanging="540"/>
      </w:pPr>
      <w:proofErr w:type="spellStart"/>
      <w:r w:rsidRPr="00D37F52">
        <w:t>Peden</w:t>
      </w:r>
      <w:proofErr w:type="spellEnd"/>
      <w:r w:rsidRPr="00D37F52">
        <w:t xml:space="preserve">, Elisabeth.  </w:t>
      </w:r>
      <w:proofErr w:type="gramStart"/>
      <w:r w:rsidR="00894691">
        <w:t>« </w:t>
      </w:r>
      <w:r w:rsidRPr="00D37F52">
        <w:t>Good faith in the performance of contract law</w:t>
      </w:r>
      <w:r w:rsidR="00894691">
        <w:t> »</w:t>
      </w:r>
      <w:r w:rsidRPr="00D37F52">
        <w:t xml:space="preserve"> (2004), 42</w:t>
      </w:r>
      <w:r w:rsidR="008E0763">
        <w:t xml:space="preserve"> </w:t>
      </w:r>
      <w:r w:rsidRPr="00D37F52">
        <w:rPr>
          <w:i/>
        </w:rPr>
        <w:t>L</w:t>
      </w:r>
      <w:r w:rsidR="00BC27D6" w:rsidRPr="00D37F52">
        <w:rPr>
          <w:i/>
        </w:rPr>
        <w:t>.</w:t>
      </w:r>
      <w:r w:rsidRPr="00D37F52">
        <w:rPr>
          <w:i/>
        </w:rPr>
        <w:t>S</w:t>
      </w:r>
      <w:r w:rsidR="00BC27D6" w:rsidRPr="00D37F52">
        <w:rPr>
          <w:i/>
        </w:rPr>
        <w:t>.</w:t>
      </w:r>
      <w:r w:rsidRPr="00D37F52">
        <w:rPr>
          <w:i/>
        </w:rPr>
        <w:t>J</w:t>
      </w:r>
      <w:r w:rsidR="00BC27D6" w:rsidRPr="00D37F52">
        <w:rPr>
          <w:i/>
        </w:rPr>
        <w:t>.</w:t>
      </w:r>
      <w:r w:rsidRPr="00D37F52">
        <w:t xml:space="preserve"> 64.</w:t>
      </w:r>
      <w:proofErr w:type="gramEnd"/>
    </w:p>
    <w:p w:rsidR="00713A98" w:rsidRPr="00D37F52" w:rsidRDefault="00713A98" w:rsidP="00894691">
      <w:pPr>
        <w:pStyle w:val="SCCNormalDoubleSpacing"/>
        <w:spacing w:before="240" w:after="240" w:line="240" w:lineRule="auto"/>
        <w:ind w:left="540" w:hanging="540"/>
      </w:pPr>
      <w:proofErr w:type="spellStart"/>
      <w:r w:rsidRPr="00D37F52">
        <w:t>Peden</w:t>
      </w:r>
      <w:proofErr w:type="spellEnd"/>
      <w:r w:rsidRPr="00D37F52">
        <w:t xml:space="preserve">, Elisabeth.  </w:t>
      </w:r>
      <w:r w:rsidR="00894691">
        <w:t>« </w:t>
      </w:r>
      <w:r w:rsidRPr="00D37F52">
        <w:t xml:space="preserve">When Common Law Trumps </w:t>
      </w:r>
      <w:proofErr w:type="gramStart"/>
      <w:r w:rsidRPr="00D37F52">
        <w:t>Equity</w:t>
      </w:r>
      <w:r w:rsidR="00894691">
        <w:t> :</w:t>
      </w:r>
      <w:proofErr w:type="gramEnd"/>
      <w:r w:rsidRPr="00D37F52">
        <w:t xml:space="preserve"> the Rise of Good Faith and Reasonableness and the Demise of </w:t>
      </w:r>
      <w:proofErr w:type="spellStart"/>
      <w:r w:rsidRPr="00D37F52">
        <w:t>Unconscionability</w:t>
      </w:r>
      <w:proofErr w:type="spellEnd"/>
      <w:r w:rsidR="00894691">
        <w:t> »</w:t>
      </w:r>
      <w:r w:rsidRPr="00D37F52">
        <w:t xml:space="preserve"> (2005), 21 </w:t>
      </w:r>
      <w:r w:rsidRPr="00D37F52">
        <w:rPr>
          <w:i/>
        </w:rPr>
        <w:t>J</w:t>
      </w:r>
      <w:r w:rsidR="00BC27D6" w:rsidRPr="00D37F52">
        <w:rPr>
          <w:i/>
        </w:rPr>
        <w:t>.</w:t>
      </w:r>
      <w:r w:rsidRPr="00D37F52">
        <w:rPr>
          <w:i/>
        </w:rPr>
        <w:t>C</w:t>
      </w:r>
      <w:r w:rsidR="00BC27D6" w:rsidRPr="00D37F52">
        <w:rPr>
          <w:i/>
        </w:rPr>
        <w:t>.</w:t>
      </w:r>
      <w:r w:rsidRPr="00D37F52">
        <w:rPr>
          <w:i/>
        </w:rPr>
        <w:t>L</w:t>
      </w:r>
      <w:r w:rsidR="00BC27D6" w:rsidRPr="00D37F52">
        <w:rPr>
          <w:i/>
        </w:rPr>
        <w:t>.</w:t>
      </w:r>
      <w:r w:rsidRPr="00D37F52">
        <w:t xml:space="preserve"> 226.</w:t>
      </w:r>
    </w:p>
    <w:p w:rsidR="00BB3580" w:rsidRPr="00D37F52" w:rsidRDefault="00BB3580" w:rsidP="00894691">
      <w:pPr>
        <w:pStyle w:val="SCCNormalDoubleSpacing"/>
        <w:spacing w:before="240" w:after="240" w:line="240" w:lineRule="auto"/>
        <w:ind w:left="540" w:hanging="540"/>
      </w:pPr>
      <w:r w:rsidRPr="00D37F52">
        <w:rPr>
          <w:lang w:val="fr-CA"/>
        </w:rPr>
        <w:t>Pineau, J</w:t>
      </w:r>
      <w:r w:rsidR="00010FA3" w:rsidRPr="00D37F52">
        <w:rPr>
          <w:lang w:val="fr-CA"/>
        </w:rPr>
        <w:t>ean</w:t>
      </w:r>
      <w:r w:rsidRPr="00D37F52">
        <w:rPr>
          <w:lang w:val="fr-CA"/>
        </w:rPr>
        <w:t xml:space="preserve">.  </w:t>
      </w:r>
      <w:r w:rsidR="00894691">
        <w:rPr>
          <w:lang w:val="fr-CA"/>
        </w:rPr>
        <w:t>« </w:t>
      </w:r>
      <w:r w:rsidRPr="00D37F52">
        <w:rPr>
          <w:lang w:val="fr-CA"/>
        </w:rPr>
        <w:t>La discr</w:t>
      </w:r>
      <w:r w:rsidR="00010FA3" w:rsidRPr="00D37F52">
        <w:rPr>
          <w:lang w:val="fr-CA"/>
        </w:rPr>
        <w:t>é</w:t>
      </w:r>
      <w:r w:rsidRPr="00D37F52">
        <w:rPr>
          <w:lang w:val="fr-CA"/>
        </w:rPr>
        <w:t>tion judiciaire a</w:t>
      </w:r>
      <w:r w:rsidR="00894691">
        <w:rPr>
          <w:lang w:val="fr-CA"/>
        </w:rPr>
        <w:t>-</w:t>
      </w:r>
      <w:r w:rsidRPr="00D37F52">
        <w:rPr>
          <w:lang w:val="fr-CA"/>
        </w:rPr>
        <w:t>t</w:t>
      </w:r>
      <w:r w:rsidR="00894691">
        <w:rPr>
          <w:lang w:val="fr-CA"/>
        </w:rPr>
        <w:t>-</w:t>
      </w:r>
      <w:r w:rsidRPr="00D37F52">
        <w:rPr>
          <w:lang w:val="fr-CA"/>
        </w:rPr>
        <w:t>elle fait des ravages en matière contractuelle?</w:t>
      </w:r>
      <w:r w:rsidR="00894691">
        <w:rPr>
          <w:lang w:val="fr-CA"/>
        </w:rPr>
        <w:t> »</w:t>
      </w:r>
      <w:r w:rsidRPr="00D37F52">
        <w:rPr>
          <w:lang w:val="fr-CA"/>
        </w:rPr>
        <w:t xml:space="preserve">, </w:t>
      </w:r>
      <w:r w:rsidR="00010FA3" w:rsidRPr="00D37F52">
        <w:rPr>
          <w:lang w:val="fr-CA"/>
        </w:rPr>
        <w:t>dans Service de la formation permanente du</w:t>
      </w:r>
      <w:r w:rsidR="00010FA3" w:rsidRPr="00D37F52">
        <w:rPr>
          <w:i/>
          <w:lang w:val="fr-CA"/>
        </w:rPr>
        <w:t xml:space="preserve"> </w:t>
      </w:r>
      <w:r w:rsidR="00010FA3" w:rsidRPr="00D37F52">
        <w:rPr>
          <w:lang w:val="fr-CA"/>
        </w:rPr>
        <w:t xml:space="preserve">Barreau du Québec, </w:t>
      </w:r>
      <w:r w:rsidR="004371F3" w:rsidRPr="00D37F52">
        <w:rPr>
          <w:lang w:val="fr-CA"/>
        </w:rPr>
        <w:t>vol.</w:t>
      </w:r>
      <w:r w:rsidR="00894691">
        <w:rPr>
          <w:lang w:val="fr-CA"/>
        </w:rPr>
        <w:t xml:space="preserve"> </w:t>
      </w:r>
      <w:r w:rsidR="00010FA3" w:rsidRPr="00D37F52">
        <w:rPr>
          <w:lang w:val="fr-CA"/>
        </w:rPr>
        <w:t xml:space="preserve">113, </w:t>
      </w:r>
      <w:r w:rsidRPr="00D37F52">
        <w:rPr>
          <w:i/>
          <w:lang w:val="fr-CA"/>
        </w:rPr>
        <w:t>La réforme du Code civil, cinq ans plus tard</w:t>
      </w:r>
      <w:r w:rsidRPr="00D37F52">
        <w:rPr>
          <w:lang w:val="fr-CA"/>
        </w:rPr>
        <w:t xml:space="preserve">.  </w:t>
      </w:r>
      <w:proofErr w:type="spellStart"/>
      <w:r w:rsidRPr="00D37F52">
        <w:t>Cowansville</w:t>
      </w:r>
      <w:proofErr w:type="spellEnd"/>
      <w:r w:rsidRPr="00D37F52">
        <w:t xml:space="preserve">, </w:t>
      </w:r>
      <w:proofErr w:type="spellStart"/>
      <w:r w:rsidRPr="00D37F52">
        <w:t>Qué</w:t>
      </w:r>
      <w:proofErr w:type="spellEnd"/>
      <w:r w:rsidRPr="00D37F52">
        <w:t>.</w:t>
      </w:r>
      <w:r w:rsidR="00894691">
        <w:t> :</w:t>
      </w:r>
      <w:r w:rsidRPr="00D37F52">
        <w:t xml:space="preserve"> </w:t>
      </w:r>
      <w:proofErr w:type="spellStart"/>
      <w:r w:rsidRPr="00D37F52">
        <w:t>Yvon</w:t>
      </w:r>
      <w:proofErr w:type="spellEnd"/>
      <w:r w:rsidRPr="00D37F52">
        <w:t xml:space="preserve"> </w:t>
      </w:r>
      <w:proofErr w:type="spellStart"/>
      <w:r w:rsidRPr="00D37F52">
        <w:t>Blais</w:t>
      </w:r>
      <w:proofErr w:type="spellEnd"/>
      <w:r w:rsidRPr="00D37F52">
        <w:t>, 1998, 141.</w:t>
      </w:r>
    </w:p>
    <w:p w:rsidR="00713A98" w:rsidRPr="00D37F52" w:rsidRDefault="00713A98" w:rsidP="00894691">
      <w:pPr>
        <w:pStyle w:val="SCCNormalDoubleSpacing"/>
        <w:spacing w:before="240" w:after="240" w:line="240" w:lineRule="auto"/>
        <w:ind w:left="540" w:hanging="540"/>
      </w:pPr>
      <w:r w:rsidRPr="00D37F52">
        <w:t xml:space="preserve">Powell, Raphael.  </w:t>
      </w:r>
      <w:proofErr w:type="gramStart"/>
      <w:r w:rsidR="00894691">
        <w:t>« </w:t>
      </w:r>
      <w:r w:rsidRPr="00D37F52">
        <w:t>Good Faith in Contracts</w:t>
      </w:r>
      <w:r w:rsidR="00894691">
        <w:t> »</w:t>
      </w:r>
      <w:r w:rsidRPr="00D37F52">
        <w:t xml:space="preserve"> (1956), 9 </w:t>
      </w:r>
      <w:proofErr w:type="spellStart"/>
      <w:r w:rsidRPr="00D37F52">
        <w:rPr>
          <w:i/>
        </w:rPr>
        <w:t>Curr</w:t>
      </w:r>
      <w:proofErr w:type="spellEnd"/>
      <w:r w:rsidRPr="00D37F52">
        <w:rPr>
          <w:i/>
        </w:rPr>
        <w:t>.</w:t>
      </w:r>
      <w:proofErr w:type="gramEnd"/>
      <w:r w:rsidRPr="00D37F52">
        <w:rPr>
          <w:i/>
        </w:rPr>
        <w:t xml:space="preserve"> </w:t>
      </w:r>
      <w:proofErr w:type="gramStart"/>
      <w:r w:rsidRPr="00D37F52">
        <w:rPr>
          <w:i/>
        </w:rPr>
        <w:t>Legal Probs.</w:t>
      </w:r>
      <w:r w:rsidRPr="00D37F52">
        <w:t xml:space="preserve"> 16.</w:t>
      </w:r>
      <w:proofErr w:type="gramEnd"/>
    </w:p>
    <w:p w:rsidR="00713A98" w:rsidRPr="00D37F52" w:rsidRDefault="00713A98" w:rsidP="00894691">
      <w:pPr>
        <w:pStyle w:val="SCCNormalDoubleSpacing"/>
        <w:spacing w:before="240" w:after="240" w:line="240" w:lineRule="auto"/>
        <w:ind w:left="540" w:hanging="540"/>
      </w:pPr>
      <w:r w:rsidRPr="00D37F52">
        <w:t>Reiter, B.</w:t>
      </w:r>
      <w:r w:rsidR="00894691">
        <w:t xml:space="preserve"> </w:t>
      </w:r>
      <w:r w:rsidRPr="00D37F52">
        <w:t xml:space="preserve">J.  </w:t>
      </w:r>
      <w:proofErr w:type="gramStart"/>
      <w:r w:rsidR="00894691">
        <w:t>« </w:t>
      </w:r>
      <w:r w:rsidRPr="00D37F52">
        <w:t>Good Faith in Contracts</w:t>
      </w:r>
      <w:r w:rsidR="00894691">
        <w:t> »</w:t>
      </w:r>
      <w:r w:rsidRPr="00D37F52">
        <w:t xml:space="preserve"> (1983), 17 </w:t>
      </w:r>
      <w:r w:rsidRPr="00D37F52">
        <w:rPr>
          <w:i/>
        </w:rPr>
        <w:t>V</w:t>
      </w:r>
      <w:r w:rsidR="004371F3" w:rsidRPr="00D37F52">
        <w:rPr>
          <w:i/>
        </w:rPr>
        <w:t>al.</w:t>
      </w:r>
      <w:r w:rsidR="00894691">
        <w:rPr>
          <w:i/>
        </w:rPr>
        <w:t xml:space="preserve"> </w:t>
      </w:r>
      <w:r w:rsidRPr="00D37F52">
        <w:rPr>
          <w:i/>
        </w:rPr>
        <w:t>U.L. Rev.</w:t>
      </w:r>
      <w:r w:rsidRPr="00D37F52">
        <w:t xml:space="preserve"> 705.</w:t>
      </w:r>
      <w:proofErr w:type="gramEnd"/>
    </w:p>
    <w:p w:rsidR="00713A98" w:rsidRPr="00D37F52" w:rsidRDefault="00713A98" w:rsidP="00894691">
      <w:pPr>
        <w:pStyle w:val="SCCNormalDoubleSpacing"/>
        <w:spacing w:before="240" w:after="240" w:line="240" w:lineRule="auto"/>
        <w:ind w:left="540" w:hanging="540"/>
      </w:pPr>
      <w:proofErr w:type="spellStart"/>
      <w:r w:rsidRPr="00D37F52">
        <w:t>Steyn</w:t>
      </w:r>
      <w:proofErr w:type="spellEnd"/>
      <w:r w:rsidRPr="00D37F52">
        <w:t xml:space="preserve">, Johan.  </w:t>
      </w:r>
      <w:r w:rsidR="00894691">
        <w:t>« </w:t>
      </w:r>
      <w:r w:rsidRPr="00D37F52">
        <w:t xml:space="preserve">Contract </w:t>
      </w:r>
      <w:proofErr w:type="gramStart"/>
      <w:r w:rsidRPr="00D37F52">
        <w:t>Law</w:t>
      </w:r>
      <w:r w:rsidR="00894691">
        <w:t> :</w:t>
      </w:r>
      <w:proofErr w:type="gramEnd"/>
      <w:r w:rsidRPr="00D37F52">
        <w:t xml:space="preserve"> Fulfilling the Reasonable Expectations of Honest Men</w:t>
      </w:r>
      <w:r w:rsidR="00894691">
        <w:t> »</w:t>
      </w:r>
      <w:r w:rsidRPr="00D37F52">
        <w:t xml:space="preserve"> (1997), 113 </w:t>
      </w:r>
      <w:r w:rsidRPr="00D37F52">
        <w:rPr>
          <w:i/>
        </w:rPr>
        <w:t>Law Q. Rev.</w:t>
      </w:r>
      <w:r w:rsidRPr="00D37F52">
        <w:t xml:space="preserve"> 4</w:t>
      </w:r>
      <w:r w:rsidR="007C6845" w:rsidRPr="00D37F52">
        <w:t>33</w:t>
      </w:r>
      <w:r w:rsidRPr="00D37F52">
        <w:t>.</w:t>
      </w:r>
    </w:p>
    <w:p w:rsidR="00713A98" w:rsidRPr="00D37F52" w:rsidRDefault="00713A98" w:rsidP="00894691">
      <w:pPr>
        <w:pStyle w:val="SCCNormalDoubleSpacing"/>
        <w:spacing w:before="240" w:after="240" w:line="240" w:lineRule="auto"/>
        <w:ind w:left="540" w:hanging="540"/>
      </w:pPr>
      <w:r w:rsidRPr="00D37F52">
        <w:t>Summers, Robert</w:t>
      </w:r>
      <w:r w:rsidR="00894691">
        <w:t xml:space="preserve"> </w:t>
      </w:r>
      <w:r w:rsidRPr="00D37F52">
        <w:t xml:space="preserve">S.  </w:t>
      </w:r>
      <w:proofErr w:type="gramStart"/>
      <w:r w:rsidR="00894691">
        <w:t>« </w:t>
      </w:r>
      <w:r w:rsidRPr="00D37F52">
        <w:t>“Good Faith</w:t>
      </w:r>
      <w:r w:rsidR="007C6845" w:rsidRPr="00D37F52">
        <w:t>”</w:t>
      </w:r>
      <w:r w:rsidRPr="00D37F52">
        <w:t xml:space="preserve"> in General Contract Law and the Sales Provisions of the Uniform Commercial Code</w:t>
      </w:r>
      <w:r w:rsidR="00894691">
        <w:t> »</w:t>
      </w:r>
      <w:r w:rsidRPr="00D37F52">
        <w:t xml:space="preserve"> (1968), 54 </w:t>
      </w:r>
      <w:r w:rsidRPr="00D37F52">
        <w:rPr>
          <w:i/>
        </w:rPr>
        <w:t>Va. L. Rev.</w:t>
      </w:r>
      <w:r w:rsidRPr="00D37F52">
        <w:t xml:space="preserve"> 195.</w:t>
      </w:r>
      <w:proofErr w:type="gramEnd"/>
    </w:p>
    <w:p w:rsidR="00713A98" w:rsidRPr="00D37F52" w:rsidRDefault="00713A98" w:rsidP="00894691">
      <w:pPr>
        <w:pStyle w:val="SCCNormalDoubleSpacing"/>
        <w:spacing w:before="240" w:after="240" w:line="240" w:lineRule="auto"/>
        <w:ind w:left="540" w:hanging="540"/>
      </w:pPr>
      <w:proofErr w:type="gramStart"/>
      <w:r w:rsidRPr="00D37F52">
        <w:lastRenderedPageBreak/>
        <w:t xml:space="preserve">Swan, Angela, and </w:t>
      </w:r>
      <w:proofErr w:type="spellStart"/>
      <w:r w:rsidRPr="00D37F52">
        <w:t>Jakub</w:t>
      </w:r>
      <w:proofErr w:type="spellEnd"/>
      <w:r w:rsidRPr="00D37F52">
        <w:t xml:space="preserve"> </w:t>
      </w:r>
      <w:proofErr w:type="spellStart"/>
      <w:r w:rsidRPr="00D37F52">
        <w:t>Adamski</w:t>
      </w:r>
      <w:proofErr w:type="spellEnd"/>
      <w:r w:rsidRPr="00D37F52">
        <w:t>.</w:t>
      </w:r>
      <w:proofErr w:type="gramEnd"/>
      <w:r w:rsidRPr="00D37F52">
        <w:t xml:space="preserve">  </w:t>
      </w:r>
      <w:r w:rsidRPr="00D37F52">
        <w:rPr>
          <w:i/>
        </w:rPr>
        <w:t>Canadian Contract Law</w:t>
      </w:r>
      <w:r w:rsidRPr="00D37F52">
        <w:t xml:space="preserve">, 3rd </w:t>
      </w:r>
      <w:proofErr w:type="gramStart"/>
      <w:r w:rsidRPr="00D37F52">
        <w:t>ed</w:t>
      </w:r>
      <w:proofErr w:type="gramEnd"/>
      <w:r w:rsidRPr="00D37F52">
        <w:t>.  Markham, Ont</w:t>
      </w:r>
      <w:proofErr w:type="gramStart"/>
      <w:r w:rsidRPr="00D37F52">
        <w:t>.</w:t>
      </w:r>
      <w:r w:rsidR="00894691">
        <w:t> :</w:t>
      </w:r>
      <w:proofErr w:type="gramEnd"/>
      <w:r w:rsidRPr="00D37F52">
        <w:t xml:space="preserve"> LexisNexis, 2012.</w:t>
      </w:r>
    </w:p>
    <w:p w:rsidR="00713A98" w:rsidRPr="00D37F52" w:rsidRDefault="00713A98" w:rsidP="00894691">
      <w:pPr>
        <w:pStyle w:val="SCCNormalDoubleSpacing"/>
        <w:spacing w:before="240" w:after="240" w:line="240" w:lineRule="auto"/>
        <w:ind w:left="540" w:hanging="540"/>
      </w:pPr>
      <w:r w:rsidRPr="00D37F52">
        <w:t xml:space="preserve">Swan, John.  </w:t>
      </w:r>
      <w:r w:rsidR="00894691">
        <w:t>« </w:t>
      </w:r>
      <w:r w:rsidRPr="00D37F52">
        <w:t xml:space="preserve">Whither </w:t>
      </w:r>
      <w:proofErr w:type="gramStart"/>
      <w:r w:rsidRPr="00D37F52">
        <w:t>Contracts</w:t>
      </w:r>
      <w:r w:rsidR="00894691">
        <w:t> :</w:t>
      </w:r>
      <w:proofErr w:type="gramEnd"/>
      <w:r w:rsidRPr="00D37F52">
        <w:t xml:space="preserve"> A Retrospective and Prospective Overview</w:t>
      </w:r>
      <w:r w:rsidR="00894691">
        <w:t> »</w:t>
      </w:r>
      <w:r w:rsidRPr="00D37F52">
        <w:t xml:space="preserve">, </w:t>
      </w:r>
      <w:r w:rsidR="00FF745C" w:rsidRPr="00D37F52">
        <w:t xml:space="preserve">in </w:t>
      </w:r>
      <w:r w:rsidR="00FF745C" w:rsidRPr="00D37F52">
        <w:rPr>
          <w:i/>
        </w:rPr>
        <w:t xml:space="preserve">Special Lectures of the Law Society of Upper Canada 1984 — </w:t>
      </w:r>
      <w:r w:rsidRPr="00D37F52">
        <w:rPr>
          <w:i/>
        </w:rPr>
        <w:t>Law in Transition</w:t>
      </w:r>
      <w:r w:rsidR="00894691">
        <w:rPr>
          <w:i/>
        </w:rPr>
        <w:t> :</w:t>
      </w:r>
      <w:r w:rsidRPr="00D37F52">
        <w:rPr>
          <w:i/>
        </w:rPr>
        <w:t xml:space="preserve"> Contracts</w:t>
      </w:r>
      <w:r w:rsidRPr="00D37F52">
        <w:t>.  Don Mills, Ont</w:t>
      </w:r>
      <w:proofErr w:type="gramStart"/>
      <w:r w:rsidRPr="00D37F52">
        <w:t>.</w:t>
      </w:r>
      <w:r w:rsidR="00894691">
        <w:t> :</w:t>
      </w:r>
      <w:proofErr w:type="gramEnd"/>
      <w:r w:rsidRPr="00D37F52">
        <w:t xml:space="preserve"> De Boo, 1984, 125.</w:t>
      </w:r>
    </w:p>
    <w:p w:rsidR="00713A98" w:rsidRPr="00D37F52" w:rsidRDefault="00713A98" w:rsidP="00894691">
      <w:pPr>
        <w:pStyle w:val="SCCNormalDoubleSpacing"/>
        <w:spacing w:before="240" w:after="240" w:line="240" w:lineRule="auto"/>
        <w:ind w:left="540" w:hanging="540"/>
      </w:pPr>
      <w:proofErr w:type="spellStart"/>
      <w:r w:rsidRPr="00D37F52">
        <w:t>Waddams</w:t>
      </w:r>
      <w:proofErr w:type="spellEnd"/>
      <w:r w:rsidRPr="00D37F52">
        <w:t>, S.</w:t>
      </w:r>
      <w:r w:rsidR="00894691">
        <w:t xml:space="preserve"> </w:t>
      </w:r>
      <w:r w:rsidRPr="00D37F52">
        <w:t xml:space="preserve">M.  </w:t>
      </w:r>
      <w:proofErr w:type="gramStart"/>
      <w:r w:rsidR="00894691">
        <w:t>« </w:t>
      </w:r>
      <w:r w:rsidRPr="00D37F52">
        <w:t xml:space="preserve">Good Faith, </w:t>
      </w:r>
      <w:proofErr w:type="spellStart"/>
      <w:r w:rsidRPr="00D37F52">
        <w:t>Unconscionability</w:t>
      </w:r>
      <w:proofErr w:type="spellEnd"/>
      <w:r w:rsidRPr="00D37F52">
        <w:t xml:space="preserve"> and Reasonable Expectations</w:t>
      </w:r>
      <w:r w:rsidR="00894691">
        <w:t> »</w:t>
      </w:r>
      <w:r w:rsidRPr="00D37F52">
        <w:t xml:space="preserve"> (1995), 9 </w:t>
      </w:r>
      <w:r w:rsidRPr="00D37F52">
        <w:rPr>
          <w:i/>
        </w:rPr>
        <w:t>J</w:t>
      </w:r>
      <w:r w:rsidR="00BC27D6" w:rsidRPr="00D37F52">
        <w:rPr>
          <w:i/>
        </w:rPr>
        <w:t>.</w:t>
      </w:r>
      <w:r w:rsidRPr="00D37F52">
        <w:rPr>
          <w:i/>
        </w:rPr>
        <w:t>C</w:t>
      </w:r>
      <w:r w:rsidR="00BC27D6" w:rsidRPr="00D37F52">
        <w:rPr>
          <w:i/>
        </w:rPr>
        <w:t>.</w:t>
      </w:r>
      <w:r w:rsidRPr="00D37F52">
        <w:rPr>
          <w:i/>
        </w:rPr>
        <w:t>L</w:t>
      </w:r>
      <w:r w:rsidR="00BC27D6" w:rsidRPr="00D37F52">
        <w:rPr>
          <w:i/>
        </w:rPr>
        <w:t>.</w:t>
      </w:r>
      <w:r w:rsidRPr="00D37F52">
        <w:t xml:space="preserve"> 55.</w:t>
      </w:r>
      <w:proofErr w:type="gramEnd"/>
    </w:p>
    <w:p w:rsidR="00713A98" w:rsidRPr="00D37F52" w:rsidRDefault="00713A98" w:rsidP="00894691">
      <w:pPr>
        <w:pStyle w:val="SCCNormalDoubleSpacing"/>
        <w:spacing w:before="240" w:after="240" w:line="240" w:lineRule="auto"/>
        <w:ind w:left="540" w:hanging="540"/>
      </w:pPr>
      <w:proofErr w:type="spellStart"/>
      <w:r w:rsidRPr="00D37F52">
        <w:t>Waddams</w:t>
      </w:r>
      <w:proofErr w:type="spellEnd"/>
      <w:r w:rsidRPr="00D37F52">
        <w:t>, S.</w:t>
      </w:r>
      <w:r w:rsidR="00894691">
        <w:t xml:space="preserve"> </w:t>
      </w:r>
      <w:r w:rsidRPr="00D37F52">
        <w:t xml:space="preserve">M.  </w:t>
      </w:r>
      <w:r w:rsidRPr="00D37F52">
        <w:rPr>
          <w:i/>
        </w:rPr>
        <w:t>The Law of Contracts</w:t>
      </w:r>
      <w:r w:rsidRPr="00D37F52">
        <w:t xml:space="preserve">, 6th </w:t>
      </w:r>
      <w:proofErr w:type="gramStart"/>
      <w:r w:rsidRPr="00D37F52">
        <w:t>ed</w:t>
      </w:r>
      <w:proofErr w:type="gramEnd"/>
      <w:r w:rsidRPr="00D37F52">
        <w:t>.  Aurora, Ont</w:t>
      </w:r>
      <w:proofErr w:type="gramStart"/>
      <w:r w:rsidRPr="00D37F52">
        <w:t>.</w:t>
      </w:r>
      <w:r w:rsidR="00894691">
        <w:t> :</w:t>
      </w:r>
      <w:proofErr w:type="gramEnd"/>
      <w:r w:rsidRPr="00D37F52">
        <w:t xml:space="preserve"> Canada Law Book, 2010.</w:t>
      </w:r>
    </w:p>
    <w:p w:rsidR="00713A98" w:rsidRPr="00D37F52" w:rsidRDefault="00713A98" w:rsidP="00894691">
      <w:pPr>
        <w:pStyle w:val="SCCNormalDoubleSpacing"/>
        <w:spacing w:after="720" w:line="240" w:lineRule="auto"/>
        <w:ind w:left="547" w:hanging="547"/>
      </w:pPr>
      <w:r w:rsidRPr="00D37F52">
        <w:t xml:space="preserve">Yee, Woo Pei.  </w:t>
      </w:r>
      <w:r w:rsidR="00894691">
        <w:t>« </w:t>
      </w:r>
      <w:r w:rsidRPr="00D37F52">
        <w:t xml:space="preserve">Protecting Parties’ Reasonable </w:t>
      </w:r>
      <w:proofErr w:type="gramStart"/>
      <w:r w:rsidRPr="00D37F52">
        <w:t>Expectations</w:t>
      </w:r>
      <w:r w:rsidR="00894691">
        <w:t> :</w:t>
      </w:r>
      <w:proofErr w:type="gramEnd"/>
      <w:r w:rsidRPr="00D37F52">
        <w:t xml:space="preserve"> A General Principle of Good Faith</w:t>
      </w:r>
      <w:r w:rsidR="00894691">
        <w:t> »</w:t>
      </w:r>
      <w:r w:rsidRPr="00D37F52">
        <w:t xml:space="preserve"> (2001), 1 </w:t>
      </w:r>
      <w:r w:rsidRPr="00D37F52">
        <w:rPr>
          <w:i/>
        </w:rPr>
        <w:t>O</w:t>
      </w:r>
      <w:r w:rsidR="00BC27D6" w:rsidRPr="00D37F52">
        <w:rPr>
          <w:i/>
        </w:rPr>
        <w:t>.</w:t>
      </w:r>
      <w:r w:rsidRPr="00D37F52">
        <w:rPr>
          <w:i/>
        </w:rPr>
        <w:t>U</w:t>
      </w:r>
      <w:r w:rsidR="00BC27D6" w:rsidRPr="00D37F52">
        <w:rPr>
          <w:i/>
        </w:rPr>
        <w:t>.</w:t>
      </w:r>
      <w:r w:rsidRPr="00D37F52">
        <w:rPr>
          <w:i/>
        </w:rPr>
        <w:t>C</w:t>
      </w:r>
      <w:r w:rsidR="00BC27D6" w:rsidRPr="00D37F52">
        <w:rPr>
          <w:i/>
        </w:rPr>
        <w:t>.</w:t>
      </w:r>
      <w:r w:rsidRPr="00D37F52">
        <w:rPr>
          <w:i/>
        </w:rPr>
        <w:t>L</w:t>
      </w:r>
      <w:r w:rsidR="00BC27D6" w:rsidRPr="00D37F52">
        <w:rPr>
          <w:i/>
        </w:rPr>
        <w:t>.</w:t>
      </w:r>
      <w:r w:rsidRPr="00D37F52">
        <w:rPr>
          <w:i/>
        </w:rPr>
        <w:t>J</w:t>
      </w:r>
      <w:r w:rsidR="00BC27D6" w:rsidRPr="00D37F52">
        <w:rPr>
          <w:i/>
        </w:rPr>
        <w:t>.</w:t>
      </w:r>
      <w:r w:rsidRPr="00D37F52">
        <w:t xml:space="preserve"> 195.</w:t>
      </w:r>
    </w:p>
    <w:p w:rsidR="004D7D95" w:rsidRPr="00D37F52" w:rsidRDefault="0066229F" w:rsidP="00894691">
      <w:pPr>
        <w:pStyle w:val="SCCNormalDoubleSpacing"/>
        <w:spacing w:before="480" w:after="480"/>
        <w:rPr>
          <w:lang w:val="fr-CA"/>
        </w:rPr>
      </w:pPr>
      <w:r w:rsidRPr="00D37F52">
        <w:tab/>
      </w:r>
      <w:r w:rsidR="004D7D95" w:rsidRPr="00D37F52">
        <w:t xml:space="preserve">POURVOI </w:t>
      </w:r>
      <w:proofErr w:type="spellStart"/>
      <w:r w:rsidR="004D7D95" w:rsidRPr="00D37F52">
        <w:t>contre</w:t>
      </w:r>
      <w:proofErr w:type="spellEnd"/>
      <w:r w:rsidR="004D7D95" w:rsidRPr="00D37F52">
        <w:t xml:space="preserve"> un </w:t>
      </w:r>
      <w:proofErr w:type="spellStart"/>
      <w:r w:rsidR="004D7D95" w:rsidRPr="00D37F52">
        <w:t>arrêt</w:t>
      </w:r>
      <w:proofErr w:type="spellEnd"/>
      <w:r w:rsidR="004D7D95" w:rsidRPr="00D37F52">
        <w:t xml:space="preserve"> de la </w:t>
      </w:r>
      <w:proofErr w:type="spellStart"/>
      <w:r w:rsidR="004D7D95" w:rsidRPr="00D37F52">
        <w:t>Cour</w:t>
      </w:r>
      <w:proofErr w:type="spellEnd"/>
      <w:r w:rsidR="004D7D95" w:rsidRPr="00D37F52">
        <w:t xml:space="preserve"> </w:t>
      </w:r>
      <w:proofErr w:type="spellStart"/>
      <w:r w:rsidR="004D7D95" w:rsidRPr="00D37F52">
        <w:t>d</w:t>
      </w:r>
      <w:r w:rsidRPr="00D37F52">
        <w:t>’</w:t>
      </w:r>
      <w:r w:rsidR="004D7D95" w:rsidRPr="00D37F52">
        <w:t>appel</w:t>
      </w:r>
      <w:proofErr w:type="spellEnd"/>
      <w:r w:rsidR="004D7D95" w:rsidRPr="00D37F52">
        <w:t xml:space="preserve"> de </w:t>
      </w:r>
      <w:proofErr w:type="spellStart"/>
      <w:r w:rsidR="004D7D95" w:rsidRPr="00D37F52">
        <w:t>l</w:t>
      </w:r>
      <w:r w:rsidRPr="00D37F52">
        <w:t>’</w:t>
      </w:r>
      <w:r w:rsidR="004D7D95" w:rsidRPr="00D37F52">
        <w:t>Alberta</w:t>
      </w:r>
      <w:proofErr w:type="spellEnd"/>
      <w:r w:rsidRPr="00D37F52">
        <w:t xml:space="preserve"> (les </w:t>
      </w:r>
      <w:proofErr w:type="spellStart"/>
      <w:r w:rsidRPr="00D37F52">
        <w:t>juges</w:t>
      </w:r>
      <w:proofErr w:type="spellEnd"/>
      <w:r w:rsidRPr="00D37F52">
        <w:t xml:space="preserve"> </w:t>
      </w:r>
      <w:proofErr w:type="spellStart"/>
      <w:r w:rsidRPr="00D37F52">
        <w:t>Côté</w:t>
      </w:r>
      <w:proofErr w:type="spellEnd"/>
      <w:r w:rsidRPr="00D37F52">
        <w:t xml:space="preserve"> et </w:t>
      </w:r>
      <w:proofErr w:type="spellStart"/>
      <w:r w:rsidRPr="00D37F52">
        <w:t>Paperny</w:t>
      </w:r>
      <w:proofErr w:type="spellEnd"/>
      <w:r w:rsidRPr="00D37F52">
        <w:t xml:space="preserve"> et le </w:t>
      </w:r>
      <w:proofErr w:type="spellStart"/>
      <w:r w:rsidRPr="00D37F52">
        <w:t>juge</w:t>
      </w:r>
      <w:proofErr w:type="spellEnd"/>
      <w:r w:rsidRPr="00D37F52">
        <w:t xml:space="preserve"> </w:t>
      </w:r>
      <w:proofErr w:type="spellStart"/>
      <w:r w:rsidRPr="00D37F52">
        <w:t>Belzil</w:t>
      </w:r>
      <w:proofErr w:type="spellEnd"/>
      <w:r w:rsidRPr="00D37F52">
        <w:t xml:space="preserve"> (</w:t>
      </w:r>
      <w:r w:rsidRPr="00D37F52">
        <w:rPr>
          <w:i/>
        </w:rPr>
        <w:t>ad hoc</w:t>
      </w:r>
      <w:r w:rsidRPr="00D37F52">
        <w:t xml:space="preserve">)), 2013 ABCA 98, 84 Alta. L.R. (5th) 68, 544 A.R. 28, 567 W.A.C. 28, 362 D.L.R. (4th) 18, 12 B.L.R. (5th) 175, [2013] 11 W.W.R. 459, [2013] A.J. </w:t>
      </w:r>
      <w:r w:rsidR="004371F3" w:rsidRPr="00D37F52">
        <w:t>No.</w:t>
      </w:r>
      <w:r w:rsidR="00894691">
        <w:t xml:space="preserve"> </w:t>
      </w:r>
      <w:r w:rsidRPr="00D37F52">
        <w:t xml:space="preserve">395 (QL), 2013 </w:t>
      </w:r>
      <w:proofErr w:type="spellStart"/>
      <w:r w:rsidRPr="00D37F52">
        <w:t>CarswellAlta</w:t>
      </w:r>
      <w:proofErr w:type="spellEnd"/>
      <w:r w:rsidRPr="00D37F52">
        <w:t xml:space="preserve"> 822, </w:t>
      </w:r>
      <w:r w:rsidR="00CB1FF5" w:rsidRPr="00D37F52">
        <w:t xml:space="preserve">qui a </w:t>
      </w:r>
      <w:proofErr w:type="spellStart"/>
      <w:r w:rsidR="00CB1FF5" w:rsidRPr="00D37F52">
        <w:t>infirmé</w:t>
      </w:r>
      <w:proofErr w:type="spellEnd"/>
      <w:r w:rsidRPr="00D37F52">
        <w:t xml:space="preserve"> </w:t>
      </w:r>
      <w:proofErr w:type="spellStart"/>
      <w:r w:rsidRPr="00D37F52">
        <w:t>une</w:t>
      </w:r>
      <w:proofErr w:type="spellEnd"/>
      <w:r w:rsidRPr="00D37F52">
        <w:t xml:space="preserve"> </w:t>
      </w:r>
      <w:proofErr w:type="spellStart"/>
      <w:r w:rsidRPr="00D37F52">
        <w:t>décision</w:t>
      </w:r>
      <w:proofErr w:type="spellEnd"/>
      <w:r w:rsidRPr="00D37F52">
        <w:t xml:space="preserve"> de la </w:t>
      </w:r>
      <w:proofErr w:type="spellStart"/>
      <w:r w:rsidRPr="00D37F52">
        <w:t>juge</w:t>
      </w:r>
      <w:proofErr w:type="spellEnd"/>
      <w:r w:rsidRPr="00D37F52">
        <w:t xml:space="preserve"> Moen, 2011 ABQB 637, 526 A.R. 1, 96 B.L.R. (4th) 73, [2012] 9 W.W.R. 728, [2011] A.J. </w:t>
      </w:r>
      <w:r w:rsidR="004371F3" w:rsidRPr="00D37F52">
        <w:t>No.</w:t>
      </w:r>
      <w:r w:rsidR="00894691">
        <w:t xml:space="preserve"> </w:t>
      </w:r>
      <w:r w:rsidRPr="00D37F52">
        <w:t>1223</w:t>
      </w:r>
      <w:r w:rsidR="004A4ED6" w:rsidRPr="00D37F52">
        <w:t xml:space="preserve"> (QL)</w:t>
      </w:r>
      <w:r w:rsidRPr="00D37F52">
        <w:t xml:space="preserve">, 2011 </w:t>
      </w:r>
      <w:proofErr w:type="spellStart"/>
      <w:r w:rsidRPr="00D37F52">
        <w:t>CarswellAlta</w:t>
      </w:r>
      <w:proofErr w:type="spellEnd"/>
      <w:r w:rsidRPr="00D37F52">
        <w:t xml:space="preserve"> 1905.  </w:t>
      </w:r>
      <w:r w:rsidRPr="00D37F52">
        <w:rPr>
          <w:lang w:val="fr-CA"/>
        </w:rPr>
        <w:t xml:space="preserve">Pourvoi </w:t>
      </w:r>
      <w:r w:rsidR="00003065" w:rsidRPr="00D37F52">
        <w:rPr>
          <w:lang w:val="fr-CA"/>
        </w:rPr>
        <w:t>accueilli en partie</w:t>
      </w:r>
      <w:r w:rsidRPr="00D37F52">
        <w:rPr>
          <w:lang w:val="fr-CA"/>
        </w:rPr>
        <w:t>.</w:t>
      </w:r>
    </w:p>
    <w:p w:rsidR="008A7D5F" w:rsidRPr="00D37F52" w:rsidRDefault="000F5929" w:rsidP="00894691">
      <w:pPr>
        <w:pStyle w:val="SCCNormalDoubleSpacing"/>
        <w:spacing w:before="480" w:after="480"/>
        <w:rPr>
          <w:lang w:val="fr-CA"/>
        </w:rPr>
      </w:pPr>
      <w:r w:rsidRPr="00440643">
        <w:rPr>
          <w:i/>
          <w:lang w:val="fr-CA"/>
        </w:rPr>
        <w:tab/>
        <w:t xml:space="preserve">Neil </w:t>
      </w:r>
      <w:proofErr w:type="spellStart"/>
      <w:r w:rsidRPr="00440643">
        <w:rPr>
          <w:i/>
          <w:lang w:val="fr-CA"/>
        </w:rPr>
        <w:t>Finkelstein</w:t>
      </w:r>
      <w:proofErr w:type="spellEnd"/>
      <w:r w:rsidRPr="00D37F52">
        <w:rPr>
          <w:lang w:val="fr-CA"/>
        </w:rPr>
        <w:t xml:space="preserve">, </w:t>
      </w:r>
      <w:r w:rsidRPr="00440643">
        <w:rPr>
          <w:i/>
          <w:lang w:val="fr-CA"/>
        </w:rPr>
        <w:t xml:space="preserve">Brandon </w:t>
      </w:r>
      <w:proofErr w:type="spellStart"/>
      <w:r w:rsidRPr="00440643">
        <w:rPr>
          <w:i/>
          <w:lang w:val="fr-CA"/>
        </w:rPr>
        <w:t>Kain</w:t>
      </w:r>
      <w:proofErr w:type="spellEnd"/>
      <w:r w:rsidRPr="00C35148">
        <w:rPr>
          <w:lang w:val="fr-CA"/>
        </w:rPr>
        <w:t xml:space="preserve">, </w:t>
      </w:r>
      <w:r w:rsidRPr="00440643">
        <w:rPr>
          <w:i/>
          <w:lang w:val="fr-CA"/>
        </w:rPr>
        <w:t xml:space="preserve">John </w:t>
      </w:r>
      <w:proofErr w:type="spellStart"/>
      <w:r w:rsidRPr="00440643">
        <w:rPr>
          <w:i/>
          <w:lang w:val="fr-CA"/>
        </w:rPr>
        <w:t>McCamus</w:t>
      </w:r>
      <w:proofErr w:type="spellEnd"/>
      <w:r w:rsidRPr="00D37F52">
        <w:rPr>
          <w:lang w:val="fr-CA"/>
        </w:rPr>
        <w:t xml:space="preserve"> et </w:t>
      </w:r>
      <w:r w:rsidRPr="00440643">
        <w:rPr>
          <w:i/>
          <w:lang w:val="fr-CA"/>
        </w:rPr>
        <w:t>Stephen Moreau</w:t>
      </w:r>
      <w:r w:rsidRPr="00D37F52">
        <w:rPr>
          <w:lang w:val="fr-CA"/>
        </w:rPr>
        <w:t>, pour l</w:t>
      </w:r>
      <w:r w:rsidR="0066229F" w:rsidRPr="00D37F52">
        <w:rPr>
          <w:lang w:val="fr-CA"/>
        </w:rPr>
        <w:t>’</w:t>
      </w:r>
      <w:r w:rsidRPr="00D37F52">
        <w:rPr>
          <w:lang w:val="fr-CA"/>
        </w:rPr>
        <w:t>appelant.</w:t>
      </w:r>
    </w:p>
    <w:p w:rsidR="008A7D5F" w:rsidRPr="00D37F52" w:rsidRDefault="0066229F" w:rsidP="00894691">
      <w:pPr>
        <w:pStyle w:val="SCCNormalDoubleSpacing"/>
        <w:spacing w:before="480" w:after="480"/>
        <w:rPr>
          <w:lang w:val="fr-CA"/>
        </w:rPr>
      </w:pPr>
      <w:r w:rsidRPr="00440643">
        <w:rPr>
          <w:i/>
          <w:lang w:val="fr-CA"/>
        </w:rPr>
        <w:tab/>
        <w:t>Eli</w:t>
      </w:r>
      <w:r w:rsidR="00894691">
        <w:rPr>
          <w:i/>
          <w:lang w:val="fr-CA"/>
        </w:rPr>
        <w:t xml:space="preserve"> </w:t>
      </w:r>
      <w:r w:rsidRPr="00440643">
        <w:rPr>
          <w:i/>
          <w:lang w:val="fr-CA"/>
        </w:rPr>
        <w:t xml:space="preserve">S. </w:t>
      </w:r>
      <w:proofErr w:type="spellStart"/>
      <w:r w:rsidRPr="00440643">
        <w:rPr>
          <w:i/>
          <w:lang w:val="fr-CA"/>
        </w:rPr>
        <w:t>Lederman</w:t>
      </w:r>
      <w:proofErr w:type="spellEnd"/>
      <w:r w:rsidRPr="00D37F52">
        <w:rPr>
          <w:lang w:val="fr-CA"/>
        </w:rPr>
        <w:t xml:space="preserve">, </w:t>
      </w:r>
      <w:r w:rsidRPr="00440643">
        <w:rPr>
          <w:i/>
          <w:lang w:val="fr-CA"/>
        </w:rPr>
        <w:t xml:space="preserve">Jon </w:t>
      </w:r>
      <w:proofErr w:type="spellStart"/>
      <w:r w:rsidRPr="00440643">
        <w:rPr>
          <w:i/>
          <w:lang w:val="fr-CA"/>
        </w:rPr>
        <w:t>Laxer</w:t>
      </w:r>
      <w:proofErr w:type="spellEnd"/>
      <w:r w:rsidRPr="00D37F52">
        <w:rPr>
          <w:lang w:val="fr-CA"/>
        </w:rPr>
        <w:t xml:space="preserve"> et </w:t>
      </w:r>
      <w:proofErr w:type="spellStart"/>
      <w:r w:rsidRPr="00D37F52">
        <w:rPr>
          <w:i/>
          <w:lang w:val="fr-CA"/>
        </w:rPr>
        <w:t>Constanza</w:t>
      </w:r>
      <w:proofErr w:type="spellEnd"/>
      <w:r w:rsidRPr="00D37F52">
        <w:rPr>
          <w:i/>
          <w:lang w:val="fr-CA"/>
        </w:rPr>
        <w:t xml:space="preserve"> </w:t>
      </w:r>
      <w:proofErr w:type="spellStart"/>
      <w:r w:rsidRPr="00D37F52">
        <w:rPr>
          <w:i/>
          <w:lang w:val="fr-CA"/>
        </w:rPr>
        <w:t>Pauchulo</w:t>
      </w:r>
      <w:proofErr w:type="spellEnd"/>
      <w:r w:rsidRPr="00D37F52">
        <w:rPr>
          <w:lang w:val="fr-CA"/>
        </w:rPr>
        <w:t xml:space="preserve">, </w:t>
      </w:r>
      <w:r w:rsidR="000F5929" w:rsidRPr="00D37F52">
        <w:rPr>
          <w:lang w:val="fr-CA"/>
        </w:rPr>
        <w:t>pour l</w:t>
      </w:r>
      <w:r w:rsidRPr="00D37F52">
        <w:rPr>
          <w:lang w:val="fr-CA"/>
        </w:rPr>
        <w:t xml:space="preserve">es </w:t>
      </w:r>
      <w:r w:rsidR="000F5929" w:rsidRPr="00D37F52">
        <w:rPr>
          <w:lang w:val="fr-CA"/>
        </w:rPr>
        <w:t>intimé</w:t>
      </w:r>
      <w:r w:rsidRPr="00D37F52">
        <w:rPr>
          <w:lang w:val="fr-CA"/>
        </w:rPr>
        <w:t>s</w:t>
      </w:r>
      <w:r w:rsidR="000F5929" w:rsidRPr="00D37F52">
        <w:rPr>
          <w:lang w:val="fr-CA"/>
        </w:rPr>
        <w:t>.</w:t>
      </w:r>
    </w:p>
    <w:p w:rsidR="00142A2B" w:rsidRPr="008E0763" w:rsidRDefault="008E0763" w:rsidP="00894691">
      <w:pPr>
        <w:pStyle w:val="JudgeJuge"/>
        <w:spacing w:before="480"/>
        <w:rPr>
          <w:smallCaps w:val="0"/>
          <w:noProof/>
          <w:lang w:val="fr-CA"/>
        </w:rPr>
      </w:pPr>
      <w:r>
        <w:rPr>
          <w:noProof/>
          <w:lang w:val="fr-CA"/>
        </w:rPr>
        <w:tab/>
      </w:r>
      <w:r w:rsidRPr="008E0763">
        <w:rPr>
          <w:smallCaps w:val="0"/>
          <w:noProof/>
          <w:lang w:val="fr-CA"/>
        </w:rPr>
        <w:t>Vers</w:t>
      </w:r>
      <w:r>
        <w:rPr>
          <w:smallCaps w:val="0"/>
          <w:noProof/>
          <w:lang w:val="fr-CA"/>
        </w:rPr>
        <w:t>ion française du jugement de la Cour rendu par</w:t>
      </w:r>
    </w:p>
    <w:p w:rsidR="00142A2B" w:rsidRPr="00B37C27" w:rsidRDefault="00142A2B" w:rsidP="00894691">
      <w:pPr>
        <w:pStyle w:val="JudgeJuge"/>
        <w:spacing w:before="480"/>
        <w:rPr>
          <w:noProof/>
          <w:lang w:val="fr-CA"/>
        </w:rPr>
      </w:pPr>
      <w:r w:rsidRPr="00B37C27">
        <w:rPr>
          <w:noProof/>
          <w:lang w:val="fr-CA"/>
        </w:rPr>
        <w:tab/>
        <w:t xml:space="preserve">Le juge Cromwell — </w:t>
      </w:r>
    </w:p>
    <w:p w:rsidR="00142A2B" w:rsidRPr="00B37C27" w:rsidRDefault="00142A2B" w:rsidP="00894691">
      <w:pPr>
        <w:pStyle w:val="Title1LevelTitre1Niveau-AltL"/>
        <w:rPr>
          <w:rFonts w:cs="Times New Roman"/>
          <w:noProof/>
          <w:lang w:val="fr-CA"/>
        </w:rPr>
      </w:pPr>
      <w:r w:rsidRPr="00B37C27">
        <w:rPr>
          <w:rFonts w:cs="Times New Roman"/>
          <w:noProof/>
          <w:lang w:val="fr-CA"/>
        </w:rPr>
        <w:lastRenderedPageBreak/>
        <w:t>Introduction</w:t>
      </w:r>
    </w:p>
    <w:p w:rsidR="00142A2B" w:rsidRPr="00B37C27" w:rsidRDefault="00142A2B" w:rsidP="00894691">
      <w:pPr>
        <w:pStyle w:val="ParaNoNdepar-AltN"/>
        <w:rPr>
          <w:rFonts w:cs="Times New Roman"/>
          <w:noProof/>
          <w:lang w:val="fr-CA"/>
        </w:rPr>
      </w:pPr>
      <w:r w:rsidRPr="00B37C27">
        <w:rPr>
          <w:rFonts w:cs="Times New Roman"/>
          <w:noProof/>
          <w:lang w:val="fr-CA"/>
        </w:rPr>
        <w:t>Le présent pourvoi porte sur deux questions précises</w:t>
      </w:r>
      <w:r w:rsidR="00894691">
        <w:rPr>
          <w:rFonts w:cs="Times New Roman"/>
          <w:noProof/>
          <w:lang w:val="fr-CA"/>
        </w:rPr>
        <w:t> :</w:t>
      </w:r>
      <w:r w:rsidR="008E0763">
        <w:rPr>
          <w:rFonts w:cs="Times New Roman"/>
          <w:noProof/>
          <w:lang w:val="fr-CA"/>
        </w:rPr>
        <w:t xml:space="preserve"> L</w:t>
      </w:r>
      <w:r w:rsidRPr="00B37C27">
        <w:rPr>
          <w:rFonts w:cs="Times New Roman"/>
          <w:noProof/>
          <w:lang w:val="fr-CA"/>
        </w:rPr>
        <w:t>a common law canadienne impose</w:t>
      </w:r>
      <w:r w:rsidR="00894691">
        <w:rPr>
          <w:rFonts w:cs="Times New Roman"/>
          <w:noProof/>
          <w:lang w:val="fr-CA"/>
        </w:rPr>
        <w:t>-</w:t>
      </w:r>
      <w:r w:rsidRPr="00B37C27">
        <w:rPr>
          <w:rFonts w:cs="Times New Roman"/>
          <w:noProof/>
          <w:lang w:val="fr-CA"/>
        </w:rPr>
        <w:t>t</w:t>
      </w:r>
      <w:r w:rsidR="00894691">
        <w:rPr>
          <w:rFonts w:cs="Times New Roman"/>
          <w:noProof/>
          <w:lang w:val="fr-CA"/>
        </w:rPr>
        <w:t>-</w:t>
      </w:r>
      <w:r w:rsidRPr="00B37C27">
        <w:rPr>
          <w:rFonts w:cs="Times New Roman"/>
          <w:noProof/>
          <w:lang w:val="fr-CA"/>
        </w:rPr>
        <w:t>elle aux parties à un contrat une obligation d’honnêt</w:t>
      </w:r>
      <w:r w:rsidR="006C0CEE">
        <w:rPr>
          <w:rFonts w:cs="Times New Roman"/>
          <w:noProof/>
          <w:lang w:val="fr-CA"/>
        </w:rPr>
        <w:t>et</w:t>
      </w:r>
      <w:r w:rsidRPr="00B37C27">
        <w:rPr>
          <w:rFonts w:cs="Times New Roman"/>
          <w:noProof/>
          <w:lang w:val="fr-CA"/>
        </w:rPr>
        <w:t>é dans l’exécution du contrat?  Et dans l’affirmative, l’un ou l’autre des intimés a</w:t>
      </w:r>
      <w:r w:rsidR="00894691">
        <w:rPr>
          <w:rFonts w:cs="Times New Roman"/>
          <w:noProof/>
          <w:lang w:val="fr-CA"/>
        </w:rPr>
        <w:t>-</w:t>
      </w:r>
      <w:r w:rsidRPr="00B37C27">
        <w:rPr>
          <w:rFonts w:cs="Times New Roman"/>
          <w:noProof/>
          <w:lang w:val="fr-CA"/>
        </w:rPr>
        <w:t>t</w:t>
      </w:r>
      <w:r w:rsidR="00894691">
        <w:rPr>
          <w:rFonts w:cs="Times New Roman"/>
          <w:noProof/>
          <w:lang w:val="fr-CA"/>
        </w:rPr>
        <w:t>-</w:t>
      </w:r>
      <w:r w:rsidRPr="00B37C27">
        <w:rPr>
          <w:rFonts w:cs="Times New Roman"/>
          <w:noProof/>
          <w:lang w:val="fr-CA"/>
        </w:rPr>
        <w:t>il manqué à cette obligation?  Je suis d’avis de répondre aux deux questions par l’affirmative.  Conclure à l’existence d’une obligation d’honnêteté dans l’exécution des contrats fera en sorte de rendre le droit plus certain, plus juste</w:t>
      </w:r>
      <w:r w:rsidR="006C0CEE">
        <w:rPr>
          <w:rFonts w:cs="Times New Roman"/>
          <w:noProof/>
          <w:lang w:val="fr-CA"/>
        </w:rPr>
        <w:t>,</w:t>
      </w:r>
      <w:r w:rsidRPr="00B37C27">
        <w:rPr>
          <w:rFonts w:cs="Times New Roman"/>
          <w:noProof/>
          <w:lang w:val="fr-CA"/>
        </w:rPr>
        <w:t xml:space="preserve"> et lui permettra de mieux répondre aux attentes commerciales raisonnables.  Cela permettra également de faire justice à l’appelant, M.</w:t>
      </w:r>
      <w:r w:rsidR="00894691">
        <w:rPr>
          <w:rFonts w:cs="Times New Roman"/>
          <w:noProof/>
          <w:lang w:val="fr-CA"/>
        </w:rPr>
        <w:t xml:space="preserve"> </w:t>
      </w:r>
      <w:r w:rsidRPr="00B37C27">
        <w:rPr>
          <w:rFonts w:cs="Times New Roman"/>
          <w:noProof/>
          <w:lang w:val="fr-CA"/>
        </w:rPr>
        <w:t>Bhasin, qui a été induit en erreur et a en conséquence perdu la valeur de son entreprise.</w:t>
      </w:r>
    </w:p>
    <w:p w:rsidR="00142A2B" w:rsidRPr="00B37C27" w:rsidRDefault="00142A2B" w:rsidP="00894691">
      <w:pPr>
        <w:pStyle w:val="Title1LevelTitre1Niveau-AltL"/>
        <w:rPr>
          <w:rFonts w:cs="Times New Roman"/>
          <w:noProof/>
          <w:lang w:val="fr-CA"/>
        </w:rPr>
      </w:pPr>
      <w:r w:rsidRPr="00B37C27">
        <w:rPr>
          <w:rFonts w:cs="Times New Roman"/>
          <w:noProof/>
          <w:lang w:val="fr-CA"/>
        </w:rPr>
        <w:t>Faits et historique judiciaire</w:t>
      </w:r>
    </w:p>
    <w:p w:rsidR="00142A2B" w:rsidRPr="00B37C27" w:rsidRDefault="00142A2B" w:rsidP="00894691">
      <w:pPr>
        <w:pStyle w:val="Title2LevelTitre2Niveau"/>
        <w:numPr>
          <w:ilvl w:val="0"/>
          <w:numId w:val="0"/>
        </w:numPr>
        <w:rPr>
          <w:rFonts w:cs="Times New Roman"/>
          <w:noProof/>
          <w:lang w:val="fr-CA"/>
        </w:rPr>
      </w:pPr>
      <w:r w:rsidRPr="00B37C27">
        <w:rPr>
          <w:rFonts w:cs="Times New Roman"/>
          <w:noProof/>
          <w:lang w:val="fr-CA"/>
        </w:rPr>
        <w:t>Aperçu et questions en litige</w:t>
      </w:r>
    </w:p>
    <w:p w:rsidR="00142A2B" w:rsidRPr="00B37C27" w:rsidRDefault="00142A2B" w:rsidP="00894691">
      <w:pPr>
        <w:pStyle w:val="ParaNoNdepar-AltN"/>
        <w:rPr>
          <w:rFonts w:cs="Times New Roman"/>
          <w:noProof/>
          <w:lang w:val="fr-CA"/>
        </w:rPr>
      </w:pPr>
      <w:r w:rsidRPr="00B37C27">
        <w:rPr>
          <w:rFonts w:cs="Times New Roman"/>
          <w:noProof/>
          <w:lang w:val="fr-CA"/>
        </w:rPr>
        <w:t>L’appelant, M.</w:t>
      </w:r>
      <w:r w:rsidR="00894691">
        <w:rPr>
          <w:rFonts w:cs="Times New Roman"/>
          <w:noProof/>
          <w:lang w:val="fr-CA"/>
        </w:rPr>
        <w:t xml:space="preserve"> </w:t>
      </w:r>
      <w:r w:rsidRPr="00B37C27">
        <w:rPr>
          <w:rFonts w:cs="Times New Roman"/>
          <w:noProof/>
          <w:lang w:val="fr-CA"/>
        </w:rPr>
        <w:t xml:space="preserve">Bhasin, qui exploitait son entreprise, Bhasin </w:t>
      </w:r>
      <w:r w:rsidRPr="00B37C27">
        <w:rPr>
          <w:rFonts w:cs="Times New Roman"/>
          <w:lang w:val="fr-CA"/>
        </w:rPr>
        <w:t>&amp;</w:t>
      </w:r>
      <w:r w:rsidRPr="00B37C27">
        <w:rPr>
          <w:rFonts w:cs="Times New Roman"/>
          <w:noProof/>
          <w:lang w:val="fr-CA"/>
        </w:rPr>
        <w:t xml:space="preserve"> Associates, était directeur des souscriptions pour la société Canadian American Financial Corp.</w:t>
      </w:r>
      <w:r w:rsidR="00894691">
        <w:rPr>
          <w:rFonts w:cs="Times New Roman"/>
          <w:noProof/>
          <w:lang w:val="fr-CA"/>
        </w:rPr>
        <w:t xml:space="preserve"> </w:t>
      </w:r>
      <w:r w:rsidRPr="00B37C27">
        <w:rPr>
          <w:rFonts w:cs="Times New Roman"/>
          <w:noProof/>
          <w:lang w:val="fr-CA"/>
        </w:rPr>
        <w:t>(</w:t>
      </w:r>
      <w:r w:rsidR="00894691">
        <w:rPr>
          <w:rFonts w:cs="Times New Roman"/>
          <w:noProof/>
          <w:lang w:val="fr-CA"/>
        </w:rPr>
        <w:t>« </w:t>
      </w:r>
      <w:r w:rsidRPr="00B37C27">
        <w:rPr>
          <w:rFonts w:cs="Times New Roman"/>
          <w:noProof/>
          <w:lang w:val="fr-CA"/>
        </w:rPr>
        <w:t>Can</w:t>
      </w:r>
      <w:r w:rsidR="00894691">
        <w:rPr>
          <w:rFonts w:cs="Times New Roman"/>
          <w:noProof/>
          <w:lang w:val="fr-CA"/>
        </w:rPr>
        <w:t>-</w:t>
      </w:r>
      <w:r w:rsidRPr="00B37C27">
        <w:rPr>
          <w:rFonts w:cs="Times New Roman"/>
          <w:noProof/>
          <w:lang w:val="fr-CA"/>
        </w:rPr>
        <w:t>Am</w:t>
      </w:r>
      <w:r w:rsidR="00894691">
        <w:rPr>
          <w:rFonts w:cs="Times New Roman"/>
          <w:noProof/>
          <w:lang w:val="fr-CA"/>
        </w:rPr>
        <w:t> »</w:t>
      </w:r>
      <w:r w:rsidRPr="00B37C27">
        <w:rPr>
          <w:rFonts w:cs="Times New Roman"/>
          <w:noProof/>
          <w:lang w:val="fr-CA"/>
        </w:rPr>
        <w:t>) depuis 1989.  La relation entre M.</w:t>
      </w:r>
      <w:r w:rsidR="00894691">
        <w:rPr>
          <w:rFonts w:cs="Times New Roman"/>
          <w:noProof/>
          <w:lang w:val="fr-CA"/>
        </w:rPr>
        <w:t xml:space="preserve"> </w:t>
      </w:r>
      <w:r w:rsidRPr="00B37C27">
        <w:rPr>
          <w:rFonts w:cs="Times New Roman"/>
          <w:noProof/>
          <w:lang w:val="fr-CA"/>
        </w:rPr>
        <w:t>Bhasin et Can</w:t>
      </w:r>
      <w:r w:rsidR="00894691">
        <w:rPr>
          <w:rFonts w:cs="Times New Roman"/>
          <w:noProof/>
          <w:lang w:val="fr-CA"/>
        </w:rPr>
        <w:t>-</w:t>
      </w:r>
      <w:r w:rsidRPr="00B37C27">
        <w:rPr>
          <w:rFonts w:cs="Times New Roman"/>
          <w:noProof/>
          <w:lang w:val="fr-CA"/>
        </w:rPr>
        <w:t>Am s’est détériorée en</w:t>
      </w:r>
      <w:r w:rsidR="00894691">
        <w:rPr>
          <w:rFonts w:cs="Times New Roman"/>
          <w:noProof/>
          <w:lang w:val="fr-CA"/>
        </w:rPr>
        <w:t xml:space="preserve"> </w:t>
      </w:r>
      <w:r w:rsidRPr="00B37C27">
        <w:rPr>
          <w:rFonts w:cs="Times New Roman"/>
          <w:noProof/>
          <w:lang w:val="fr-CA"/>
        </w:rPr>
        <w:t>1999 et Can</w:t>
      </w:r>
      <w:r w:rsidR="00894691">
        <w:rPr>
          <w:rFonts w:cs="Times New Roman"/>
          <w:noProof/>
          <w:lang w:val="fr-CA"/>
        </w:rPr>
        <w:t>-</w:t>
      </w:r>
      <w:r w:rsidRPr="00B37C27">
        <w:rPr>
          <w:rFonts w:cs="Times New Roman"/>
          <w:noProof/>
          <w:lang w:val="fr-CA"/>
        </w:rPr>
        <w:t>Am a finalement décidé de ne pas renouveler le contrat de concession de M.</w:t>
      </w:r>
      <w:r w:rsidR="00894691">
        <w:rPr>
          <w:rFonts w:cs="Times New Roman"/>
          <w:noProof/>
          <w:lang w:val="fr-CA"/>
        </w:rPr>
        <w:t xml:space="preserve"> </w:t>
      </w:r>
      <w:r w:rsidRPr="00B37C27">
        <w:rPr>
          <w:rFonts w:cs="Times New Roman"/>
          <w:noProof/>
          <w:lang w:val="fr-CA"/>
        </w:rPr>
        <w:t>Bhasin, ce qui a entraîné le litige à l’origine du présent pourvoi.</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Can</w:t>
      </w:r>
      <w:r w:rsidR="00894691">
        <w:rPr>
          <w:rFonts w:cs="Times New Roman"/>
          <w:noProof/>
          <w:lang w:val="fr-CA"/>
        </w:rPr>
        <w:t>-</w:t>
      </w:r>
      <w:r w:rsidRPr="00B37C27">
        <w:rPr>
          <w:rFonts w:cs="Times New Roman"/>
          <w:noProof/>
          <w:lang w:val="fr-CA"/>
        </w:rPr>
        <w:t>Am vend aux investisseurs des régimes d’épargne</w:t>
      </w:r>
      <w:r w:rsidR="00894691">
        <w:rPr>
          <w:rFonts w:cs="Times New Roman"/>
          <w:noProof/>
          <w:lang w:val="fr-CA"/>
        </w:rPr>
        <w:t>-</w:t>
      </w:r>
      <w:r w:rsidRPr="00B37C27">
        <w:rPr>
          <w:rFonts w:cs="Times New Roman"/>
          <w:noProof/>
          <w:lang w:val="fr-CA"/>
        </w:rPr>
        <w:t>études (</w:t>
      </w:r>
      <w:r w:rsidR="00894691">
        <w:rPr>
          <w:rFonts w:cs="Times New Roman"/>
          <w:noProof/>
          <w:lang w:val="fr-CA"/>
        </w:rPr>
        <w:t>« </w:t>
      </w:r>
      <w:r w:rsidRPr="00B37C27">
        <w:rPr>
          <w:rFonts w:cs="Times New Roman"/>
          <w:noProof/>
          <w:lang w:val="fr-CA"/>
        </w:rPr>
        <w:t>REE</w:t>
      </w:r>
      <w:r w:rsidR="00894691">
        <w:rPr>
          <w:rFonts w:cs="Times New Roman"/>
          <w:noProof/>
          <w:lang w:val="fr-CA"/>
        </w:rPr>
        <w:t> »</w:t>
      </w:r>
      <w:r w:rsidRPr="00B37C27">
        <w:rPr>
          <w:rFonts w:cs="Times New Roman"/>
          <w:noProof/>
          <w:lang w:val="fr-CA"/>
        </w:rPr>
        <w:t>) par l’intermédiaire de détaillants, appelés directeurs des souscriptions, comme M.</w:t>
      </w:r>
      <w:r w:rsidR="00894691">
        <w:rPr>
          <w:rFonts w:cs="Times New Roman"/>
          <w:noProof/>
          <w:lang w:val="fr-CA"/>
        </w:rPr>
        <w:t xml:space="preserve"> </w:t>
      </w:r>
      <w:r w:rsidRPr="00B37C27">
        <w:rPr>
          <w:rFonts w:cs="Times New Roman"/>
          <w:noProof/>
          <w:lang w:val="fr-CA"/>
        </w:rPr>
        <w:t>Bhasin.  Can</w:t>
      </w:r>
      <w:r w:rsidR="00894691">
        <w:rPr>
          <w:rFonts w:cs="Times New Roman"/>
          <w:noProof/>
          <w:lang w:val="fr-CA"/>
        </w:rPr>
        <w:t>-</w:t>
      </w:r>
      <w:r w:rsidRPr="00B37C27">
        <w:rPr>
          <w:rFonts w:cs="Times New Roman"/>
          <w:noProof/>
          <w:lang w:val="fr-CA"/>
        </w:rPr>
        <w:t>Am verse à ces directeurs une rémunération et des primes pour la vente des REE.  Les directeurs des souscriptions sont en fait des propriétaires de petites entreprises dont la réussite dépend de leur capacité d’établir une force de vente.  Monsieur</w:t>
      </w:r>
      <w:r w:rsidR="00894691">
        <w:rPr>
          <w:rFonts w:cs="Times New Roman"/>
          <w:noProof/>
          <w:lang w:val="fr-CA"/>
        </w:rPr>
        <w:t xml:space="preserve"> </w:t>
      </w:r>
      <w:r w:rsidRPr="00B37C27">
        <w:rPr>
          <w:rFonts w:cs="Times New Roman"/>
          <w:noProof/>
          <w:lang w:val="fr-CA"/>
        </w:rPr>
        <w:t>Bhasin a mis environ 10</w:t>
      </w:r>
      <w:r w:rsidR="00894691">
        <w:rPr>
          <w:rFonts w:cs="Times New Roman"/>
          <w:noProof/>
          <w:lang w:val="fr-CA"/>
        </w:rPr>
        <w:t xml:space="preserve"> </w:t>
      </w:r>
      <w:r w:rsidRPr="00B37C27">
        <w:rPr>
          <w:rFonts w:cs="Times New Roman"/>
          <w:noProof/>
          <w:lang w:val="fr-CA"/>
        </w:rPr>
        <w:t>ans pour établir sa force de vente, mais son entreprise a prospéré et Can</w:t>
      </w:r>
      <w:r w:rsidR="00894691">
        <w:rPr>
          <w:rFonts w:cs="Times New Roman"/>
          <w:noProof/>
          <w:lang w:val="fr-CA"/>
        </w:rPr>
        <w:t>-</w:t>
      </w:r>
      <w:r w:rsidRPr="00B37C27">
        <w:rPr>
          <w:rFonts w:cs="Times New Roman"/>
          <w:noProof/>
          <w:lang w:val="fr-CA"/>
        </w:rPr>
        <w:t>Am lui a décerné de nombreux prix et récompenses pour souligner sa contribution comme l’un de ses meilleurs directeurs des souscriptions au Canada</w:t>
      </w:r>
      <w:r w:rsidR="00894691">
        <w:rPr>
          <w:rFonts w:cs="Times New Roman"/>
          <w:noProof/>
          <w:lang w:val="fr-CA"/>
        </w:rPr>
        <w:t> :</w:t>
      </w:r>
      <w:r w:rsidRPr="00B37C27">
        <w:rPr>
          <w:rFonts w:cs="Times New Roman"/>
          <w:noProof/>
          <w:lang w:val="fr-CA"/>
        </w:rPr>
        <w:t xml:space="preserve"> 2011 ABQB 637, 526 A.R. 1, par.</w:t>
      </w:r>
      <w:r w:rsidR="00894691">
        <w:rPr>
          <w:rFonts w:cs="Times New Roman"/>
          <w:noProof/>
          <w:lang w:val="fr-CA"/>
        </w:rPr>
        <w:t xml:space="preserve"> </w:t>
      </w:r>
      <w:r w:rsidRPr="00B37C27">
        <w:rPr>
          <w:rFonts w:cs="Times New Roman"/>
          <w:noProof/>
          <w:lang w:val="fr-CA"/>
        </w:rPr>
        <w:t xml:space="preserve">51, 238 et 474. </w:t>
      </w:r>
    </w:p>
    <w:p w:rsidR="00142A2B" w:rsidRPr="00B37C27" w:rsidRDefault="00142A2B" w:rsidP="00894691">
      <w:pPr>
        <w:pStyle w:val="ParaNoNdepar-AltN"/>
        <w:rPr>
          <w:rFonts w:cs="Times New Roman"/>
          <w:noProof/>
          <w:lang w:val="fr-CA"/>
        </w:rPr>
      </w:pPr>
      <w:r w:rsidRPr="00B37C27">
        <w:rPr>
          <w:rFonts w:cs="Times New Roman"/>
          <w:noProof/>
          <w:lang w:val="fr-CA"/>
        </w:rPr>
        <w:t>La relation entre Can</w:t>
      </w:r>
      <w:r w:rsidR="00894691">
        <w:rPr>
          <w:rFonts w:cs="Times New Roman"/>
          <w:noProof/>
          <w:lang w:val="fr-CA"/>
        </w:rPr>
        <w:t>-</w:t>
      </w:r>
      <w:r w:rsidRPr="00B37C27">
        <w:rPr>
          <w:rFonts w:cs="Times New Roman"/>
          <w:noProof/>
          <w:lang w:val="fr-CA"/>
        </w:rPr>
        <w:t>Am et M.</w:t>
      </w:r>
      <w:r w:rsidR="00894691">
        <w:rPr>
          <w:rFonts w:cs="Times New Roman"/>
          <w:noProof/>
          <w:lang w:val="fr-CA"/>
        </w:rPr>
        <w:t xml:space="preserve"> </w:t>
      </w:r>
      <w:r w:rsidRPr="00B37C27">
        <w:rPr>
          <w:rFonts w:cs="Times New Roman"/>
          <w:noProof/>
          <w:lang w:val="fr-CA"/>
        </w:rPr>
        <w:t>Bhasin était régie par une entente relative au directeur des souscriptions qui est entrée en vigueur en</w:t>
      </w:r>
      <w:r w:rsidR="00894691">
        <w:rPr>
          <w:rFonts w:cs="Times New Roman"/>
          <w:noProof/>
          <w:lang w:val="fr-CA"/>
        </w:rPr>
        <w:t xml:space="preserve"> </w:t>
      </w:r>
      <w:r w:rsidRPr="00B37C27">
        <w:rPr>
          <w:rFonts w:cs="Times New Roman"/>
          <w:noProof/>
          <w:lang w:val="fr-CA"/>
        </w:rPr>
        <w:t xml:space="preserve">1998.  (Cette entente avait remplacé </w:t>
      </w:r>
      <w:r w:rsidR="006C0CEE">
        <w:rPr>
          <w:rFonts w:cs="Times New Roman"/>
          <w:noProof/>
          <w:lang w:val="fr-CA"/>
        </w:rPr>
        <w:t>l’</w:t>
      </w:r>
      <w:r w:rsidRPr="00B37C27">
        <w:rPr>
          <w:rFonts w:cs="Times New Roman"/>
          <w:noProof/>
          <w:lang w:val="fr-CA"/>
        </w:rPr>
        <w:t xml:space="preserve">entente </w:t>
      </w:r>
      <w:r w:rsidR="006C0CEE">
        <w:rPr>
          <w:rFonts w:cs="Times New Roman"/>
          <w:noProof/>
          <w:lang w:val="fr-CA"/>
        </w:rPr>
        <w:t>initiale</w:t>
      </w:r>
      <w:r w:rsidRPr="00B37C27">
        <w:rPr>
          <w:rFonts w:cs="Times New Roman"/>
          <w:noProof/>
          <w:lang w:val="fr-CA"/>
        </w:rPr>
        <w:t xml:space="preserve"> conclue </w:t>
      </w:r>
      <w:r w:rsidR="006C0CEE">
        <w:rPr>
          <w:rFonts w:cs="Times New Roman"/>
          <w:noProof/>
          <w:lang w:val="fr-CA"/>
        </w:rPr>
        <w:t>en</w:t>
      </w:r>
      <w:r w:rsidR="00894691">
        <w:rPr>
          <w:rFonts w:cs="Times New Roman"/>
          <w:noProof/>
          <w:lang w:val="fr-CA"/>
        </w:rPr>
        <w:t xml:space="preserve"> </w:t>
      </w:r>
      <w:r w:rsidRPr="00B37C27">
        <w:rPr>
          <w:rFonts w:cs="Times New Roman"/>
          <w:noProof/>
          <w:lang w:val="fr-CA"/>
        </w:rPr>
        <w:t>1989 pour une période indéterminée.)  L’entente prenait la forme d’un contrat commercial de concession et non d’un contrat de franchise.  Elle ne prévoyait aucune redevance de franchise et n’était pas visée par l’obligation de négocier équitablement prévue à l’art.</w:t>
      </w:r>
      <w:r w:rsidR="00894691">
        <w:rPr>
          <w:rFonts w:cs="Times New Roman"/>
          <w:noProof/>
          <w:lang w:val="fr-CA"/>
        </w:rPr>
        <w:t xml:space="preserve"> </w:t>
      </w:r>
      <w:r w:rsidRPr="00B37C27">
        <w:rPr>
          <w:rFonts w:cs="Times New Roman"/>
          <w:noProof/>
          <w:lang w:val="fr-CA"/>
        </w:rPr>
        <w:t>7 de la</w:t>
      </w:r>
      <w:r w:rsidRPr="00B37C27">
        <w:rPr>
          <w:rFonts w:cs="Times New Roman"/>
          <w:i/>
          <w:noProof/>
          <w:lang w:val="fr-CA"/>
        </w:rPr>
        <w:t xml:space="preserve"> Franchises Act</w:t>
      </w:r>
      <w:r w:rsidRPr="00B37C27">
        <w:rPr>
          <w:rFonts w:cs="Times New Roman"/>
          <w:noProof/>
          <w:lang w:val="fr-CA"/>
        </w:rPr>
        <w:t>, R.S.A. 2000, ch.</w:t>
      </w:r>
      <w:r w:rsidR="00894691">
        <w:rPr>
          <w:rFonts w:cs="Times New Roman"/>
          <w:noProof/>
          <w:lang w:val="fr-CA"/>
        </w:rPr>
        <w:t xml:space="preserve"> </w:t>
      </w:r>
      <w:r w:rsidRPr="00B37C27">
        <w:rPr>
          <w:rFonts w:cs="Times New Roman"/>
          <w:noProof/>
          <w:lang w:val="fr-CA"/>
        </w:rPr>
        <w:t>F</w:t>
      </w:r>
      <w:r w:rsidR="00894691">
        <w:rPr>
          <w:rFonts w:cs="Times New Roman"/>
          <w:noProof/>
          <w:lang w:val="fr-CA"/>
        </w:rPr>
        <w:t>-</w:t>
      </w:r>
      <w:r w:rsidRPr="00B37C27">
        <w:rPr>
          <w:rFonts w:cs="Times New Roman"/>
          <w:noProof/>
          <w:lang w:val="fr-CA"/>
        </w:rPr>
        <w:t xml:space="preserve">23.  </w:t>
      </w:r>
    </w:p>
    <w:p w:rsidR="00142A2B" w:rsidRPr="00B37C27" w:rsidRDefault="00142A2B" w:rsidP="00894691">
      <w:pPr>
        <w:pStyle w:val="ParaNoNdepar-AltN"/>
        <w:rPr>
          <w:rFonts w:cs="Times New Roman"/>
          <w:noProof/>
          <w:lang w:val="fr-CA"/>
        </w:rPr>
      </w:pPr>
      <w:r w:rsidRPr="00B37C27">
        <w:rPr>
          <w:rFonts w:cs="Times New Roman"/>
          <w:noProof/>
          <w:lang w:val="fr-CA"/>
        </w:rPr>
        <w:t>Cela dit, sur certains aspects, l’entente de</w:t>
      </w:r>
      <w:r w:rsidR="00894691">
        <w:rPr>
          <w:rFonts w:cs="Times New Roman"/>
          <w:noProof/>
          <w:lang w:val="fr-CA"/>
        </w:rPr>
        <w:t xml:space="preserve"> </w:t>
      </w:r>
      <w:r w:rsidRPr="00B37C27">
        <w:rPr>
          <w:rFonts w:cs="Times New Roman"/>
          <w:noProof/>
          <w:lang w:val="fr-CA"/>
        </w:rPr>
        <w:t>1998 ressemblait aux dispositions figurant habituellement dans les contrats de franchise.  Monsieur</w:t>
      </w:r>
      <w:r w:rsidR="00894691">
        <w:rPr>
          <w:rFonts w:cs="Times New Roman"/>
          <w:noProof/>
          <w:lang w:val="fr-CA"/>
        </w:rPr>
        <w:t xml:space="preserve"> </w:t>
      </w:r>
      <w:r w:rsidRPr="00B37C27">
        <w:rPr>
          <w:rFonts w:cs="Times New Roman"/>
          <w:noProof/>
          <w:lang w:val="fr-CA"/>
        </w:rPr>
        <w:t>Bhasin était tenu de vendre exclusivement les produits de placement de Can</w:t>
      </w:r>
      <w:r w:rsidR="00894691">
        <w:rPr>
          <w:rFonts w:cs="Times New Roman"/>
          <w:noProof/>
          <w:lang w:val="fr-CA"/>
        </w:rPr>
        <w:t>-</w:t>
      </w:r>
      <w:r w:rsidRPr="00B37C27">
        <w:rPr>
          <w:rFonts w:cs="Times New Roman"/>
          <w:noProof/>
          <w:lang w:val="fr-CA"/>
        </w:rPr>
        <w:t>Am et avait envers celle</w:t>
      </w:r>
      <w:r w:rsidR="00894691">
        <w:rPr>
          <w:rFonts w:cs="Times New Roman"/>
          <w:noProof/>
          <w:lang w:val="fr-CA"/>
        </w:rPr>
        <w:t>-</w:t>
      </w:r>
      <w:r w:rsidRPr="00B37C27">
        <w:rPr>
          <w:rFonts w:cs="Times New Roman"/>
          <w:noProof/>
          <w:lang w:val="fr-CA"/>
        </w:rPr>
        <w:t>ci une obligation de fiduciaire.  Can</w:t>
      </w:r>
      <w:r w:rsidR="00894691">
        <w:rPr>
          <w:rFonts w:cs="Times New Roman"/>
          <w:noProof/>
          <w:lang w:val="fr-CA"/>
        </w:rPr>
        <w:t>-</w:t>
      </w:r>
      <w:r w:rsidRPr="00B37C27">
        <w:rPr>
          <w:rFonts w:cs="Times New Roman"/>
          <w:noProof/>
          <w:lang w:val="fr-CA"/>
        </w:rPr>
        <w:t>Am était propriétaire des listes de clients, était responsable de la stratégie de marque et adoptait des politiques centrales applicables à tous les directeurs des souscriptions</w:t>
      </w:r>
      <w:r w:rsidR="00894691">
        <w:rPr>
          <w:rFonts w:cs="Times New Roman"/>
          <w:noProof/>
          <w:lang w:val="fr-CA"/>
        </w:rPr>
        <w:t> :</w:t>
      </w:r>
      <w:r w:rsidRPr="00B37C27">
        <w:rPr>
          <w:rFonts w:cs="Times New Roman"/>
          <w:noProof/>
          <w:lang w:val="fr-CA"/>
        </w:rPr>
        <w:t xml:space="preserve"> voir les clauses 4.1, 5.2, 5.3 et</w:t>
      </w:r>
      <w:r w:rsidR="00894691">
        <w:rPr>
          <w:rFonts w:cs="Times New Roman"/>
          <w:noProof/>
          <w:lang w:val="fr-CA"/>
        </w:rPr>
        <w:t xml:space="preserve"> </w:t>
      </w:r>
      <w:r w:rsidRPr="00B37C27">
        <w:rPr>
          <w:rFonts w:cs="Times New Roman"/>
          <w:noProof/>
          <w:lang w:val="fr-CA"/>
        </w:rPr>
        <w:t xml:space="preserve">4.7.  </w:t>
      </w:r>
      <w:r w:rsidRPr="00B37C27">
        <w:rPr>
          <w:rFonts w:cs="Times New Roman"/>
          <w:noProof/>
          <w:lang w:val="fr-CA"/>
        </w:rPr>
        <w:lastRenderedPageBreak/>
        <w:t>Monsieur</w:t>
      </w:r>
      <w:r w:rsidR="00894691">
        <w:rPr>
          <w:rFonts w:cs="Times New Roman"/>
          <w:noProof/>
          <w:lang w:val="fr-CA"/>
        </w:rPr>
        <w:t xml:space="preserve"> </w:t>
      </w:r>
      <w:r w:rsidRPr="00B37C27">
        <w:rPr>
          <w:rFonts w:cs="Times New Roman"/>
          <w:noProof/>
          <w:lang w:val="fr-CA"/>
        </w:rPr>
        <w:t>Bhasin ne pouvait pas vendre, transférer ou fusionner ses activités sans le consentement de Can</w:t>
      </w:r>
      <w:r w:rsidR="00894691">
        <w:rPr>
          <w:rFonts w:cs="Times New Roman"/>
          <w:noProof/>
          <w:lang w:val="fr-CA"/>
        </w:rPr>
        <w:t>-</w:t>
      </w:r>
      <w:r w:rsidRPr="00B37C27">
        <w:rPr>
          <w:rFonts w:cs="Times New Roman"/>
          <w:noProof/>
          <w:lang w:val="fr-CA"/>
        </w:rPr>
        <w:t>Am, lequel ne devait pas être refusé sans motif valable</w:t>
      </w:r>
      <w:r w:rsidR="00894691">
        <w:rPr>
          <w:rFonts w:cs="Times New Roman"/>
          <w:noProof/>
          <w:lang w:val="fr-CA"/>
        </w:rPr>
        <w:t> :</w:t>
      </w:r>
      <w:r w:rsidRPr="00B37C27">
        <w:rPr>
          <w:rFonts w:cs="Times New Roman"/>
          <w:noProof/>
          <w:lang w:val="fr-CA"/>
        </w:rPr>
        <w:t xml:space="preserve"> voir les clauses 4.5 et</w:t>
      </w:r>
      <w:r w:rsidR="00894691">
        <w:rPr>
          <w:rFonts w:cs="Times New Roman"/>
          <w:noProof/>
          <w:lang w:val="fr-CA"/>
        </w:rPr>
        <w:t xml:space="preserve"> </w:t>
      </w:r>
      <w:r w:rsidRPr="00B37C27">
        <w:rPr>
          <w:rFonts w:cs="Times New Roman"/>
          <w:noProof/>
          <w:lang w:val="fr-CA"/>
        </w:rPr>
        <w:t xml:space="preserve">11.4.  </w:t>
      </w:r>
    </w:p>
    <w:p w:rsidR="00142A2B" w:rsidRPr="00B37C27" w:rsidRDefault="00142A2B" w:rsidP="00894691">
      <w:pPr>
        <w:pStyle w:val="ParaNoNdepar-AltN"/>
        <w:rPr>
          <w:rFonts w:cs="Times New Roman"/>
          <w:noProof/>
          <w:lang w:val="fr-CA"/>
        </w:rPr>
      </w:pPr>
      <w:r w:rsidRPr="00B37C27">
        <w:rPr>
          <w:rFonts w:cs="Times New Roman"/>
          <w:noProof/>
          <w:lang w:val="fr-CA"/>
        </w:rPr>
        <w:t>La durée du contrat était de trois ans.  Les clauses</w:t>
      </w:r>
      <w:r w:rsidR="00894691">
        <w:rPr>
          <w:rFonts w:cs="Times New Roman"/>
          <w:noProof/>
          <w:lang w:val="fr-CA"/>
        </w:rPr>
        <w:t xml:space="preserve"> </w:t>
      </w:r>
      <w:r w:rsidRPr="00B37C27">
        <w:rPr>
          <w:rFonts w:cs="Times New Roman"/>
          <w:noProof/>
          <w:lang w:val="fr-CA"/>
        </w:rPr>
        <w:t>8.3 et</w:t>
      </w:r>
      <w:r w:rsidR="00894691">
        <w:rPr>
          <w:rFonts w:cs="Times New Roman"/>
          <w:noProof/>
          <w:lang w:val="fr-CA"/>
        </w:rPr>
        <w:t xml:space="preserve"> </w:t>
      </w:r>
      <w:r w:rsidRPr="00B37C27">
        <w:rPr>
          <w:rFonts w:cs="Times New Roman"/>
          <w:noProof/>
          <w:lang w:val="fr-CA"/>
        </w:rPr>
        <w:t>8.4 permettaient sa résiliation à court préavis pour inconduite ou autre cause.  La clause</w:t>
      </w:r>
      <w:r w:rsidR="00894691">
        <w:rPr>
          <w:rFonts w:cs="Times New Roman"/>
          <w:noProof/>
          <w:lang w:val="fr-CA"/>
        </w:rPr>
        <w:t xml:space="preserve"> </w:t>
      </w:r>
      <w:r w:rsidRPr="00B37C27">
        <w:rPr>
          <w:rFonts w:cs="Times New Roman"/>
          <w:noProof/>
          <w:lang w:val="fr-CA"/>
        </w:rPr>
        <w:t xml:space="preserve">3.3 </w:t>
      </w:r>
      <w:r w:rsidR="00DC0EA7">
        <w:rPr>
          <w:rFonts w:cs="Times New Roman"/>
          <w:noProof/>
          <w:lang w:val="fr-CA"/>
        </w:rPr>
        <w:t>—</w:t>
      </w:r>
      <w:r w:rsidRPr="00B37C27">
        <w:rPr>
          <w:rFonts w:cs="Times New Roman"/>
          <w:noProof/>
          <w:lang w:val="fr-CA"/>
        </w:rPr>
        <w:t xml:space="preserve"> la disposition qui se trouve au cœur de la présente affaire ― prévoyait le renouvellement automatique du contrat à la fin de la période de trois ans, à moins qu’une partie donne à l’autre, par écrit, un préavis de non</w:t>
      </w:r>
      <w:r w:rsidR="00894691">
        <w:rPr>
          <w:rFonts w:cs="Times New Roman"/>
          <w:noProof/>
          <w:lang w:val="fr-CA"/>
        </w:rPr>
        <w:t>-</w:t>
      </w:r>
      <w:r w:rsidRPr="00B37C27">
        <w:rPr>
          <w:rFonts w:cs="Times New Roman"/>
          <w:noProof/>
          <w:lang w:val="fr-CA"/>
        </w:rPr>
        <w:t>renouvellement de six mois.</w:t>
      </w:r>
    </w:p>
    <w:p w:rsidR="00142A2B" w:rsidRPr="00B37C27" w:rsidRDefault="00142A2B" w:rsidP="00894691">
      <w:pPr>
        <w:pStyle w:val="ParaNoNdepar-AltN"/>
        <w:rPr>
          <w:rFonts w:cs="Times New Roman"/>
          <w:noProof/>
          <w:lang w:val="fr-CA"/>
        </w:rPr>
      </w:pPr>
      <w:r w:rsidRPr="00B37C27">
        <w:rPr>
          <w:rFonts w:cs="Times New Roman"/>
          <w:noProof/>
          <w:lang w:val="fr-CA"/>
        </w:rPr>
        <w:t>Monsieur</w:t>
      </w:r>
      <w:r w:rsidR="00894691">
        <w:rPr>
          <w:rFonts w:cs="Times New Roman"/>
          <w:noProof/>
          <w:lang w:val="fr-CA"/>
        </w:rPr>
        <w:t xml:space="preserve"> </w:t>
      </w:r>
      <w:r w:rsidRPr="00B37C27">
        <w:rPr>
          <w:rFonts w:cs="Times New Roman"/>
          <w:noProof/>
          <w:lang w:val="fr-CA"/>
        </w:rPr>
        <w:t>Hrynew, l’un des intimés, lui aussi directeur des souscriptions, était un concurrent de M.</w:t>
      </w:r>
      <w:r w:rsidR="00894691">
        <w:rPr>
          <w:rFonts w:cs="Times New Roman"/>
          <w:noProof/>
          <w:lang w:val="fr-CA"/>
        </w:rPr>
        <w:t xml:space="preserve"> </w:t>
      </w:r>
      <w:r w:rsidRPr="00B37C27">
        <w:rPr>
          <w:rFonts w:cs="Times New Roman"/>
          <w:noProof/>
          <w:lang w:val="fr-CA"/>
        </w:rPr>
        <w:t>Bhasin.  Il y avait beaucoup d’animosité entre les deux hommes</w:t>
      </w:r>
      <w:r w:rsidR="00894691">
        <w:rPr>
          <w:rFonts w:cs="Times New Roman"/>
          <w:noProof/>
          <w:lang w:val="fr-CA"/>
        </w:rPr>
        <w:t> :</w:t>
      </w:r>
      <w:r w:rsidRPr="00B37C27">
        <w:rPr>
          <w:rFonts w:cs="Times New Roman"/>
          <w:noProof/>
          <w:lang w:val="fr-CA"/>
        </w:rPr>
        <w:t xml:space="preserve"> motifs de première instance, par.</w:t>
      </w:r>
      <w:r w:rsidR="00894691">
        <w:rPr>
          <w:rFonts w:cs="Times New Roman"/>
          <w:noProof/>
          <w:lang w:val="fr-CA"/>
        </w:rPr>
        <w:t xml:space="preserve"> </w:t>
      </w:r>
      <w:r w:rsidRPr="00B37C27">
        <w:rPr>
          <w:rFonts w:cs="Times New Roman"/>
          <w:noProof/>
          <w:lang w:val="fr-CA"/>
        </w:rPr>
        <w:t>461.  En fait, la juge de première instance a conclu que M.</w:t>
      </w:r>
      <w:r w:rsidR="00894691">
        <w:rPr>
          <w:rFonts w:cs="Times New Roman"/>
          <w:noProof/>
          <w:lang w:val="fr-CA"/>
        </w:rPr>
        <w:t xml:space="preserve"> </w:t>
      </w:r>
      <w:r w:rsidRPr="00B37C27">
        <w:rPr>
          <w:rFonts w:cs="Times New Roman"/>
          <w:noProof/>
          <w:lang w:val="fr-CA"/>
        </w:rPr>
        <w:t>Hrynew exerçait des pressions sur Can</w:t>
      </w:r>
      <w:r w:rsidR="00894691">
        <w:rPr>
          <w:rFonts w:cs="Times New Roman"/>
          <w:noProof/>
          <w:lang w:val="fr-CA"/>
        </w:rPr>
        <w:t>-</w:t>
      </w:r>
      <w:r w:rsidRPr="00B37C27">
        <w:rPr>
          <w:rFonts w:cs="Times New Roman"/>
          <w:noProof/>
          <w:lang w:val="fr-CA"/>
        </w:rPr>
        <w:t>Am pour qu’elle ne renouvelle pas l’entente avec M.</w:t>
      </w:r>
      <w:r w:rsidR="00894691">
        <w:rPr>
          <w:rFonts w:cs="Times New Roman"/>
          <w:noProof/>
          <w:lang w:val="fr-CA"/>
        </w:rPr>
        <w:t xml:space="preserve"> </w:t>
      </w:r>
      <w:r w:rsidRPr="00B37C27">
        <w:rPr>
          <w:rFonts w:cs="Times New Roman"/>
          <w:noProof/>
          <w:lang w:val="fr-CA"/>
        </w:rPr>
        <w:t>Bhasin et que celle</w:t>
      </w:r>
      <w:r w:rsidR="00894691">
        <w:rPr>
          <w:rFonts w:cs="Times New Roman"/>
          <w:noProof/>
          <w:lang w:val="fr-CA"/>
        </w:rPr>
        <w:t>-</w:t>
      </w:r>
      <w:r w:rsidRPr="00B37C27">
        <w:rPr>
          <w:rFonts w:cs="Times New Roman"/>
          <w:noProof/>
          <w:lang w:val="fr-CA"/>
        </w:rPr>
        <w:t>ci a agi malhonnêtement envers M.</w:t>
      </w:r>
      <w:r w:rsidR="00894691">
        <w:rPr>
          <w:rFonts w:cs="Times New Roman"/>
          <w:noProof/>
          <w:lang w:val="fr-CA"/>
        </w:rPr>
        <w:t xml:space="preserve"> </w:t>
      </w:r>
      <w:r w:rsidRPr="00B37C27">
        <w:rPr>
          <w:rFonts w:cs="Times New Roman"/>
          <w:noProof/>
          <w:lang w:val="fr-CA"/>
        </w:rPr>
        <w:t>Bhasin et a finalement cédé à ces pressions.</w:t>
      </w:r>
    </w:p>
    <w:p w:rsidR="00142A2B" w:rsidRPr="00B37C27" w:rsidRDefault="00142A2B" w:rsidP="00894691">
      <w:pPr>
        <w:pStyle w:val="ParaNoNdepar-AltN"/>
        <w:rPr>
          <w:rFonts w:cs="Times New Roman"/>
          <w:noProof/>
          <w:lang w:val="fr-CA"/>
        </w:rPr>
      </w:pPr>
      <w:r w:rsidRPr="00B37C27">
        <w:rPr>
          <w:rFonts w:cs="Times New Roman"/>
          <w:noProof/>
          <w:lang w:val="fr-CA"/>
        </w:rPr>
        <w:t>Plusieurs années avant les événements en cause, lorsque M.</w:t>
      </w:r>
      <w:r w:rsidR="00894691">
        <w:rPr>
          <w:rFonts w:cs="Times New Roman"/>
          <w:noProof/>
          <w:lang w:val="fr-CA"/>
        </w:rPr>
        <w:t xml:space="preserve"> </w:t>
      </w:r>
      <w:r w:rsidRPr="00B37C27">
        <w:rPr>
          <w:rFonts w:cs="Times New Roman"/>
          <w:noProof/>
          <w:lang w:val="fr-CA"/>
        </w:rPr>
        <w:t>Hrynew a quitté l’un des concurrents de Can</w:t>
      </w:r>
      <w:r w:rsidR="00894691">
        <w:rPr>
          <w:rFonts w:cs="Times New Roman"/>
          <w:noProof/>
          <w:lang w:val="fr-CA"/>
        </w:rPr>
        <w:t>-</w:t>
      </w:r>
      <w:r w:rsidRPr="00B37C27">
        <w:rPr>
          <w:rFonts w:cs="Times New Roman"/>
          <w:noProof/>
          <w:lang w:val="fr-CA"/>
        </w:rPr>
        <w:t>Am pour se joindre à cette dernière, Can</w:t>
      </w:r>
      <w:r w:rsidR="00894691">
        <w:rPr>
          <w:rFonts w:cs="Times New Roman"/>
          <w:noProof/>
          <w:lang w:val="fr-CA"/>
        </w:rPr>
        <w:t>-</w:t>
      </w:r>
      <w:r w:rsidRPr="00B37C27">
        <w:rPr>
          <w:rFonts w:cs="Times New Roman"/>
          <w:noProof/>
          <w:lang w:val="fr-CA"/>
        </w:rPr>
        <w:t>Am lui a promis qu’il serait considéré en vue de fusions ultérieures et il a effectivement fusionné son entreprise avec d’autres agences à Calgary après s’être joint à Can</w:t>
      </w:r>
      <w:r w:rsidR="00894691">
        <w:rPr>
          <w:rFonts w:cs="Times New Roman"/>
          <w:noProof/>
          <w:lang w:val="fr-CA"/>
        </w:rPr>
        <w:t>-</w:t>
      </w:r>
      <w:r w:rsidRPr="00B37C27">
        <w:rPr>
          <w:rFonts w:cs="Times New Roman"/>
          <w:noProof/>
          <w:lang w:val="fr-CA"/>
        </w:rPr>
        <w:t>Am</w:t>
      </w:r>
      <w:r w:rsidR="00894691">
        <w:rPr>
          <w:rFonts w:cs="Times New Roman"/>
          <w:noProof/>
          <w:lang w:val="fr-CA"/>
        </w:rPr>
        <w:t> :</w:t>
      </w:r>
      <w:r w:rsidRPr="00B37C27">
        <w:rPr>
          <w:rFonts w:cs="Times New Roman"/>
          <w:noProof/>
          <w:lang w:val="fr-CA"/>
        </w:rPr>
        <w:t xml:space="preserve"> motifs de première instance, par.</w:t>
      </w:r>
      <w:r w:rsidR="00894691">
        <w:rPr>
          <w:rFonts w:cs="Times New Roman"/>
          <w:noProof/>
          <w:lang w:val="fr-CA"/>
        </w:rPr>
        <w:t xml:space="preserve"> </w:t>
      </w:r>
      <w:r w:rsidRPr="00B37C27">
        <w:rPr>
          <w:rFonts w:cs="Times New Roman"/>
          <w:noProof/>
          <w:lang w:val="fr-CA"/>
        </w:rPr>
        <w:t>238.  Il était en position de force face à la société Can</w:t>
      </w:r>
      <w:r w:rsidR="00894691">
        <w:rPr>
          <w:rFonts w:cs="Times New Roman"/>
          <w:noProof/>
          <w:lang w:val="fr-CA"/>
        </w:rPr>
        <w:t>-</w:t>
      </w:r>
      <w:r w:rsidRPr="00B37C27">
        <w:rPr>
          <w:rFonts w:cs="Times New Roman"/>
          <w:noProof/>
          <w:lang w:val="fr-CA"/>
        </w:rPr>
        <w:t xml:space="preserve">Am puisqu’il exploitait la plus grande agence en Alberta et qu’il entretenait de </w:t>
      </w:r>
      <w:r w:rsidRPr="00B37C27">
        <w:rPr>
          <w:rFonts w:cs="Times New Roman"/>
          <w:noProof/>
          <w:lang w:val="fr-CA"/>
        </w:rPr>
        <w:lastRenderedPageBreak/>
        <w:t>bonnes relations de travail avec la Commission des valeurs mobilières de l’Alberta</w:t>
      </w:r>
      <w:r w:rsidR="000D0105">
        <w:rPr>
          <w:rFonts w:cs="Times New Roman"/>
          <w:noProof/>
          <w:lang w:val="fr-CA"/>
        </w:rPr>
        <w:t>,</w:t>
      </w:r>
      <w:r w:rsidRPr="00B37C27">
        <w:rPr>
          <w:rFonts w:cs="Times New Roman"/>
          <w:noProof/>
          <w:lang w:val="fr-CA"/>
        </w:rPr>
        <w:t xml:space="preserve"> qui régissait les activités de Can</w:t>
      </w:r>
      <w:r w:rsidR="00894691">
        <w:rPr>
          <w:rFonts w:cs="Times New Roman"/>
          <w:noProof/>
          <w:lang w:val="fr-CA"/>
        </w:rPr>
        <w:t>-</w:t>
      </w:r>
      <w:r w:rsidRPr="00B37C27">
        <w:rPr>
          <w:rFonts w:cs="Times New Roman"/>
          <w:noProof/>
          <w:lang w:val="fr-CA"/>
        </w:rPr>
        <w:t>Am</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284.</w:t>
      </w:r>
    </w:p>
    <w:p w:rsidR="00142A2B" w:rsidRPr="00B37C27" w:rsidRDefault="00142A2B" w:rsidP="00894691">
      <w:pPr>
        <w:pStyle w:val="ParaNoNdepar-AltN"/>
        <w:rPr>
          <w:rFonts w:cs="Times New Roman"/>
          <w:noProof/>
          <w:lang w:val="fr-CA"/>
        </w:rPr>
      </w:pPr>
      <w:r w:rsidRPr="00B37C27">
        <w:rPr>
          <w:rFonts w:cs="Times New Roman"/>
          <w:noProof/>
          <w:lang w:val="fr-CA"/>
        </w:rPr>
        <w:t>Monsieur</w:t>
      </w:r>
      <w:r w:rsidR="00894691">
        <w:rPr>
          <w:rFonts w:cs="Times New Roman"/>
          <w:noProof/>
          <w:lang w:val="fr-CA"/>
        </w:rPr>
        <w:t xml:space="preserve"> </w:t>
      </w:r>
      <w:r w:rsidRPr="00B37C27">
        <w:rPr>
          <w:rFonts w:cs="Times New Roman"/>
          <w:noProof/>
          <w:lang w:val="fr-CA"/>
        </w:rPr>
        <w:t>Hrynew souhaitait s’approprier le créneau lucratif que M.</w:t>
      </w:r>
      <w:r w:rsidR="00894691">
        <w:rPr>
          <w:rFonts w:cs="Times New Roman"/>
          <w:noProof/>
          <w:lang w:val="fr-CA"/>
        </w:rPr>
        <w:t xml:space="preserve"> </w:t>
      </w:r>
      <w:r w:rsidRPr="00B37C27">
        <w:rPr>
          <w:rFonts w:cs="Times New Roman"/>
          <w:noProof/>
          <w:lang w:val="fr-CA"/>
        </w:rPr>
        <w:t>Bhasin occupait sur le marché et sur lequel il avait fondé son entreprise</w:t>
      </w:r>
      <w:r w:rsidR="00894691">
        <w:rPr>
          <w:rFonts w:cs="Times New Roman"/>
          <w:noProof/>
          <w:lang w:val="fr-CA"/>
        </w:rPr>
        <w:t> :</w:t>
      </w:r>
      <w:r w:rsidRPr="00B37C27">
        <w:rPr>
          <w:rFonts w:cs="Times New Roman"/>
          <w:noProof/>
          <w:lang w:val="fr-CA"/>
        </w:rPr>
        <w:t xml:space="preserve"> motifs de première instance, par.</w:t>
      </w:r>
      <w:r w:rsidR="00894691">
        <w:rPr>
          <w:rFonts w:cs="Times New Roman"/>
          <w:noProof/>
          <w:lang w:val="fr-CA"/>
        </w:rPr>
        <w:t xml:space="preserve"> </w:t>
      </w:r>
      <w:r w:rsidRPr="00B37C27">
        <w:rPr>
          <w:rFonts w:cs="Times New Roman"/>
          <w:noProof/>
          <w:lang w:val="fr-CA"/>
        </w:rPr>
        <w:t>303.  À plusieurs reprises, M.</w:t>
      </w:r>
      <w:r w:rsidR="00894691">
        <w:rPr>
          <w:rFonts w:cs="Times New Roman"/>
          <w:noProof/>
          <w:lang w:val="fr-CA"/>
        </w:rPr>
        <w:t xml:space="preserve"> </w:t>
      </w:r>
      <w:r w:rsidRPr="00B37C27">
        <w:rPr>
          <w:rFonts w:cs="Times New Roman"/>
          <w:noProof/>
          <w:lang w:val="fr-CA"/>
        </w:rPr>
        <w:t>Hrynew a personnellement contacté M.</w:t>
      </w:r>
      <w:r w:rsidR="00894691">
        <w:rPr>
          <w:rFonts w:cs="Times New Roman"/>
          <w:noProof/>
          <w:lang w:val="fr-CA"/>
        </w:rPr>
        <w:t xml:space="preserve"> </w:t>
      </w:r>
      <w:r w:rsidRPr="00B37C27">
        <w:rPr>
          <w:rFonts w:cs="Times New Roman"/>
          <w:noProof/>
          <w:lang w:val="fr-CA"/>
        </w:rPr>
        <w:t>Bhasin pour lui proposer de fusionner leurs agences</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238.  Il a aussi encouragé fortement Can</w:t>
      </w:r>
      <w:r w:rsidR="00894691">
        <w:rPr>
          <w:rFonts w:cs="Times New Roman"/>
          <w:noProof/>
          <w:lang w:val="fr-CA"/>
        </w:rPr>
        <w:t>-</w:t>
      </w:r>
      <w:r w:rsidRPr="00B37C27">
        <w:rPr>
          <w:rFonts w:cs="Times New Roman"/>
          <w:noProof/>
          <w:lang w:val="fr-CA"/>
        </w:rPr>
        <w:t xml:space="preserve">Am à imposer la fusion et a proféré des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menaces voilées</w:t>
      </w:r>
      <w:r w:rsidR="00894691">
        <w:rPr>
          <w:rFonts w:cs="Times New Roman"/>
          <w:noProof/>
          <w:lang w:val="fr-CA"/>
        </w:rPr>
        <w:t> »</w:t>
      </w:r>
      <w:r w:rsidRPr="00B37C27">
        <w:rPr>
          <w:rFonts w:cs="Times New Roman"/>
          <w:noProof/>
          <w:lang w:val="fr-CA"/>
        </w:rPr>
        <w:t xml:space="preserve"> de quitter Can</w:t>
      </w:r>
      <w:r w:rsidR="00894691">
        <w:rPr>
          <w:rFonts w:cs="Times New Roman"/>
          <w:noProof/>
          <w:lang w:val="fr-CA"/>
        </w:rPr>
        <w:t>-</w:t>
      </w:r>
      <w:r w:rsidRPr="00B37C27">
        <w:rPr>
          <w:rFonts w:cs="Times New Roman"/>
          <w:noProof/>
          <w:lang w:val="fr-CA"/>
        </w:rPr>
        <w:t>Am si la fusion n’aboutissait pas</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282; voir aussi par.</w:t>
      </w:r>
      <w:r w:rsidR="00894691">
        <w:rPr>
          <w:rFonts w:cs="Times New Roman"/>
          <w:noProof/>
          <w:lang w:val="fr-CA"/>
        </w:rPr>
        <w:t xml:space="preserve"> </w:t>
      </w:r>
      <w:r w:rsidRPr="00B37C27">
        <w:rPr>
          <w:rFonts w:cs="Times New Roman"/>
          <w:noProof/>
          <w:lang w:val="fr-CA"/>
        </w:rPr>
        <w:t xml:space="preserve">251 et 287.  La juge de première instance a estimé que la </w:t>
      </w:r>
      <w:r w:rsidR="00894691">
        <w:rPr>
          <w:rFonts w:cs="Times New Roman"/>
          <w:noProof/>
          <w:lang w:val="fr-CA"/>
        </w:rPr>
        <w:t>« </w:t>
      </w:r>
      <w:r w:rsidRPr="00B37C27">
        <w:rPr>
          <w:rFonts w:cs="Times New Roman"/>
          <w:noProof/>
          <w:lang w:val="fr-CA"/>
        </w:rPr>
        <w:t>fusion</w:t>
      </w:r>
      <w:r w:rsidR="00894691">
        <w:rPr>
          <w:rFonts w:cs="Times New Roman"/>
          <w:noProof/>
          <w:lang w:val="fr-CA"/>
        </w:rPr>
        <w:t> »</w:t>
      </w:r>
      <w:r w:rsidRPr="00B37C27">
        <w:rPr>
          <w:rFonts w:cs="Times New Roman"/>
          <w:noProof/>
          <w:lang w:val="fr-CA"/>
        </w:rPr>
        <w:t xml:space="preserve"> proposée était en fait une prise de contrôle hostile par M.</w:t>
      </w:r>
      <w:r w:rsidR="00894691">
        <w:rPr>
          <w:rFonts w:cs="Times New Roman"/>
          <w:noProof/>
          <w:lang w:val="fr-CA"/>
        </w:rPr>
        <w:t xml:space="preserve"> </w:t>
      </w:r>
      <w:r w:rsidRPr="00B37C27">
        <w:rPr>
          <w:rFonts w:cs="Times New Roman"/>
          <w:noProof/>
          <w:lang w:val="fr-CA"/>
        </w:rPr>
        <w:t>Hrynew de l’agence de M.</w:t>
      </w:r>
      <w:r w:rsidR="00894691">
        <w:rPr>
          <w:rFonts w:cs="Times New Roman"/>
          <w:noProof/>
          <w:lang w:val="fr-CA"/>
        </w:rPr>
        <w:t xml:space="preserve"> </w:t>
      </w:r>
      <w:r w:rsidRPr="00B37C27">
        <w:rPr>
          <w:rFonts w:cs="Times New Roman"/>
          <w:noProof/>
          <w:lang w:val="fr-CA"/>
        </w:rPr>
        <w:t>Bhasin</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240.  Monsieur</w:t>
      </w:r>
      <w:r w:rsidR="00894691">
        <w:rPr>
          <w:rFonts w:cs="Times New Roman"/>
          <w:noProof/>
          <w:lang w:val="fr-CA"/>
        </w:rPr>
        <w:t xml:space="preserve"> </w:t>
      </w:r>
      <w:r w:rsidRPr="00B37C27">
        <w:rPr>
          <w:rFonts w:cs="Times New Roman"/>
          <w:noProof/>
          <w:lang w:val="fr-CA"/>
        </w:rPr>
        <w:t>Bhasin a toujours refusé de participer à une telle fusion</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247.</w:t>
      </w:r>
    </w:p>
    <w:p w:rsidR="00142A2B" w:rsidRPr="00B37C27" w:rsidRDefault="00142A2B" w:rsidP="00894691">
      <w:pPr>
        <w:pStyle w:val="ParaNoNdepar-AltN"/>
        <w:rPr>
          <w:rFonts w:cs="Times New Roman"/>
          <w:noProof/>
          <w:lang w:val="fr-CA"/>
        </w:rPr>
      </w:pPr>
      <w:r w:rsidRPr="00B37C27">
        <w:rPr>
          <w:rFonts w:cs="Times New Roman"/>
          <w:noProof/>
          <w:lang w:val="fr-CA"/>
        </w:rPr>
        <w:t>La Commission des valeurs mobilières de l’Alberta a soulevé des questions au sujet de la conformité des activités des directeurs des souscriptions de Can</w:t>
      </w:r>
      <w:r w:rsidR="00894691">
        <w:rPr>
          <w:rFonts w:cs="Times New Roman"/>
          <w:noProof/>
          <w:lang w:val="fr-CA"/>
        </w:rPr>
        <w:t>-</w:t>
      </w:r>
      <w:r w:rsidRPr="00B37C27">
        <w:rPr>
          <w:rFonts w:cs="Times New Roman"/>
          <w:noProof/>
          <w:lang w:val="fr-CA"/>
        </w:rPr>
        <w:t>Am.  Vers la fin de l’année</w:t>
      </w:r>
      <w:r w:rsidR="00894691">
        <w:rPr>
          <w:rFonts w:cs="Times New Roman"/>
          <w:noProof/>
          <w:lang w:val="fr-CA"/>
        </w:rPr>
        <w:t xml:space="preserve"> </w:t>
      </w:r>
      <w:r w:rsidRPr="00B37C27">
        <w:rPr>
          <w:rFonts w:cs="Times New Roman"/>
          <w:noProof/>
          <w:lang w:val="fr-CA"/>
        </w:rPr>
        <w:t>1999, la Commission a demandé à Can</w:t>
      </w:r>
      <w:r w:rsidR="00894691">
        <w:rPr>
          <w:rFonts w:cs="Times New Roman"/>
          <w:noProof/>
          <w:lang w:val="fr-CA"/>
        </w:rPr>
        <w:t>-</w:t>
      </w:r>
      <w:r w:rsidRPr="00B37C27">
        <w:rPr>
          <w:rFonts w:cs="Times New Roman"/>
          <w:noProof/>
          <w:lang w:val="fr-CA"/>
        </w:rPr>
        <w:t>Am de charger un agent commercial provincial unique (</w:t>
      </w:r>
      <w:r w:rsidR="00894691">
        <w:rPr>
          <w:rFonts w:cs="Times New Roman"/>
          <w:noProof/>
          <w:lang w:val="fr-CA"/>
        </w:rPr>
        <w:t>« </w:t>
      </w:r>
      <w:r w:rsidRPr="00B37C27">
        <w:rPr>
          <w:rFonts w:cs="Times New Roman"/>
          <w:noProof/>
          <w:lang w:val="fr-CA"/>
        </w:rPr>
        <w:t>ACP</w:t>
      </w:r>
      <w:r w:rsidR="00894691">
        <w:rPr>
          <w:rFonts w:cs="Times New Roman"/>
          <w:noProof/>
          <w:lang w:val="fr-CA"/>
        </w:rPr>
        <w:t> »</w:t>
      </w:r>
      <w:r w:rsidRPr="00B37C27">
        <w:rPr>
          <w:rFonts w:cs="Times New Roman"/>
          <w:noProof/>
          <w:lang w:val="fr-CA"/>
        </w:rPr>
        <w:t xml:space="preserve">) de la vérification des activités de ses directeurs des souscriptions </w:t>
      </w:r>
      <w:r w:rsidR="000D0105">
        <w:rPr>
          <w:rFonts w:cs="Times New Roman"/>
          <w:noProof/>
          <w:lang w:val="fr-CA"/>
        </w:rPr>
        <w:t>sur le</w:t>
      </w:r>
      <w:r w:rsidRPr="00B37C27">
        <w:rPr>
          <w:rFonts w:cs="Times New Roman"/>
          <w:noProof/>
          <w:lang w:val="fr-CA"/>
        </w:rPr>
        <w:t xml:space="preserve"> plan du respect de la législation en matière de valeurs mobilières</w:t>
      </w:r>
      <w:r w:rsidR="00894691">
        <w:rPr>
          <w:rFonts w:cs="Times New Roman"/>
          <w:noProof/>
          <w:lang w:val="fr-CA"/>
        </w:rPr>
        <w:t> :</w:t>
      </w:r>
      <w:r w:rsidRPr="00B37C27">
        <w:rPr>
          <w:rFonts w:cs="Times New Roman"/>
          <w:noProof/>
          <w:lang w:val="fr-CA"/>
        </w:rPr>
        <w:t xml:space="preserve"> motifs de première instance, par.</w:t>
      </w:r>
      <w:r w:rsidR="00894691">
        <w:rPr>
          <w:rFonts w:cs="Times New Roman"/>
          <w:noProof/>
          <w:lang w:val="fr-CA"/>
        </w:rPr>
        <w:t xml:space="preserve"> </w:t>
      </w:r>
      <w:r w:rsidRPr="00B37C27">
        <w:rPr>
          <w:rFonts w:cs="Times New Roman"/>
          <w:noProof/>
          <w:lang w:val="fr-CA"/>
        </w:rPr>
        <w:t>149, 152 et 160.  En septembre de la même année, Can</w:t>
      </w:r>
      <w:r w:rsidR="00894691">
        <w:rPr>
          <w:rFonts w:cs="Times New Roman"/>
          <w:noProof/>
          <w:lang w:val="fr-CA"/>
        </w:rPr>
        <w:t>-</w:t>
      </w:r>
      <w:r w:rsidRPr="00B37C27">
        <w:rPr>
          <w:rFonts w:cs="Times New Roman"/>
          <w:noProof/>
          <w:lang w:val="fr-CA"/>
        </w:rPr>
        <w:t>Am a nommé M.</w:t>
      </w:r>
      <w:r w:rsidR="00894691">
        <w:rPr>
          <w:rFonts w:cs="Times New Roman"/>
          <w:noProof/>
          <w:lang w:val="fr-CA"/>
        </w:rPr>
        <w:t xml:space="preserve"> </w:t>
      </w:r>
      <w:r w:rsidRPr="00B37C27">
        <w:rPr>
          <w:rFonts w:cs="Times New Roman"/>
          <w:noProof/>
          <w:lang w:val="fr-CA"/>
        </w:rPr>
        <w:t>Hrynew à ce poste.  Il devait effectuer des vérifications auprès des directeurs des souscriptions de Can</w:t>
      </w:r>
      <w:r w:rsidR="00894691">
        <w:rPr>
          <w:rFonts w:cs="Times New Roman"/>
          <w:noProof/>
          <w:lang w:val="fr-CA"/>
        </w:rPr>
        <w:t>-</w:t>
      </w:r>
      <w:r w:rsidRPr="00B37C27">
        <w:rPr>
          <w:rFonts w:cs="Times New Roman"/>
          <w:noProof/>
          <w:lang w:val="fr-CA"/>
        </w:rPr>
        <w:t>Am.  Monsieur</w:t>
      </w:r>
      <w:r w:rsidR="00894691">
        <w:rPr>
          <w:rFonts w:cs="Times New Roman"/>
          <w:noProof/>
          <w:lang w:val="fr-CA"/>
        </w:rPr>
        <w:t xml:space="preserve"> </w:t>
      </w:r>
      <w:r w:rsidRPr="00B37C27">
        <w:rPr>
          <w:rFonts w:cs="Times New Roman"/>
          <w:noProof/>
          <w:lang w:val="fr-CA"/>
        </w:rPr>
        <w:t>Bhasin et M.</w:t>
      </w:r>
      <w:r w:rsidR="00894691">
        <w:rPr>
          <w:rFonts w:cs="Times New Roman"/>
          <w:noProof/>
          <w:lang w:val="fr-CA"/>
        </w:rPr>
        <w:t xml:space="preserve"> </w:t>
      </w:r>
      <w:r w:rsidRPr="00B37C27">
        <w:rPr>
          <w:rFonts w:cs="Times New Roman"/>
          <w:noProof/>
          <w:lang w:val="fr-CA"/>
        </w:rPr>
        <w:t xml:space="preserve">Hon, un autre directeur des souscriptions, se sont opposés à ce </w:t>
      </w:r>
      <w:r w:rsidRPr="00B37C27">
        <w:rPr>
          <w:rFonts w:cs="Times New Roman"/>
          <w:noProof/>
          <w:lang w:val="fr-CA"/>
        </w:rPr>
        <w:lastRenderedPageBreak/>
        <w:t>que M.</w:t>
      </w:r>
      <w:r w:rsidR="00894691">
        <w:rPr>
          <w:rFonts w:cs="Times New Roman"/>
          <w:noProof/>
          <w:lang w:val="fr-CA"/>
        </w:rPr>
        <w:t xml:space="preserve"> </w:t>
      </w:r>
      <w:r w:rsidRPr="00B37C27">
        <w:rPr>
          <w:rFonts w:cs="Times New Roman"/>
          <w:noProof/>
          <w:lang w:val="fr-CA"/>
        </w:rPr>
        <w:t>Hrynew, un concurrent, examine leurs dossiers d’entreprise confidentiels</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189</w:t>
      </w:r>
      <w:r w:rsidR="00894691">
        <w:rPr>
          <w:rFonts w:cs="Times New Roman"/>
          <w:noProof/>
          <w:lang w:val="fr-CA"/>
        </w:rPr>
        <w:t>-</w:t>
      </w:r>
      <w:r w:rsidRPr="00B37C27">
        <w:rPr>
          <w:rFonts w:cs="Times New Roman"/>
          <w:noProof/>
          <w:lang w:val="fr-CA"/>
        </w:rPr>
        <w:t xml:space="preserve">196.  </w:t>
      </w:r>
    </w:p>
    <w:p w:rsidR="00142A2B" w:rsidRPr="00B37C27" w:rsidRDefault="00142A2B" w:rsidP="00894691">
      <w:pPr>
        <w:pStyle w:val="ParaNoNdepar-AltN"/>
        <w:rPr>
          <w:rFonts w:cs="Times New Roman"/>
          <w:noProof/>
          <w:lang w:val="fr-CA"/>
        </w:rPr>
      </w:pPr>
      <w:r w:rsidRPr="00B37C27">
        <w:rPr>
          <w:rFonts w:cs="Times New Roman"/>
          <w:noProof/>
          <w:lang w:val="fr-CA"/>
        </w:rPr>
        <w:t>Can</w:t>
      </w:r>
      <w:r w:rsidR="00894691">
        <w:rPr>
          <w:rFonts w:cs="Times New Roman"/>
          <w:noProof/>
          <w:lang w:val="fr-CA"/>
        </w:rPr>
        <w:t>-</w:t>
      </w:r>
      <w:r w:rsidRPr="00B37C27">
        <w:rPr>
          <w:rFonts w:cs="Times New Roman"/>
          <w:noProof/>
          <w:lang w:val="fr-CA"/>
        </w:rPr>
        <w:t>Am a commencé à craindre que la Commission révoque son permis et, en 1999 et en 2000, a discuté à de nombreuses reprises avec la Commission au sujet de la conformité.  Il était évident, au cours de ces discussions, que Can</w:t>
      </w:r>
      <w:r w:rsidR="00894691">
        <w:rPr>
          <w:rFonts w:cs="Times New Roman"/>
          <w:noProof/>
          <w:lang w:val="fr-CA"/>
        </w:rPr>
        <w:t>-</w:t>
      </w:r>
      <w:r w:rsidRPr="00B37C27">
        <w:rPr>
          <w:rFonts w:cs="Times New Roman"/>
          <w:noProof/>
          <w:lang w:val="fr-CA"/>
        </w:rPr>
        <w:t>Am envisageait une restructuration de ses agences en Alberta qui touchait M.</w:t>
      </w:r>
      <w:r w:rsidR="00894691">
        <w:rPr>
          <w:rFonts w:cs="Times New Roman"/>
          <w:noProof/>
          <w:lang w:val="fr-CA"/>
        </w:rPr>
        <w:t xml:space="preserve"> </w:t>
      </w:r>
      <w:r w:rsidRPr="00B37C27">
        <w:rPr>
          <w:rFonts w:cs="Times New Roman"/>
          <w:noProof/>
          <w:lang w:val="fr-CA"/>
        </w:rPr>
        <w:t>Bhasin.  En juin 2000, Can</w:t>
      </w:r>
      <w:r w:rsidR="00894691">
        <w:rPr>
          <w:rFonts w:cs="Times New Roman"/>
          <w:noProof/>
          <w:lang w:val="fr-CA"/>
        </w:rPr>
        <w:t>-</w:t>
      </w:r>
      <w:r w:rsidRPr="00B37C27">
        <w:rPr>
          <w:rFonts w:cs="Times New Roman"/>
          <w:noProof/>
          <w:lang w:val="fr-CA"/>
        </w:rPr>
        <w:t>Am a présenté ses plans à la Commission selon lesquels il était prévu, entre autres choses, que M.</w:t>
      </w:r>
      <w:r w:rsidR="00894691">
        <w:rPr>
          <w:rFonts w:cs="Times New Roman"/>
          <w:noProof/>
          <w:lang w:val="fr-CA"/>
        </w:rPr>
        <w:t xml:space="preserve"> </w:t>
      </w:r>
      <w:r w:rsidRPr="00B37C27">
        <w:rPr>
          <w:rFonts w:cs="Times New Roman"/>
          <w:noProof/>
          <w:lang w:val="fr-CA"/>
        </w:rPr>
        <w:t>Bhasin travaillerait pour l’agence de M.</w:t>
      </w:r>
      <w:r w:rsidR="00894691">
        <w:rPr>
          <w:rFonts w:cs="Times New Roman"/>
          <w:noProof/>
          <w:lang w:val="fr-CA"/>
        </w:rPr>
        <w:t xml:space="preserve"> </w:t>
      </w:r>
      <w:r w:rsidRPr="00B37C27">
        <w:rPr>
          <w:rFonts w:cs="Times New Roman"/>
          <w:noProof/>
          <w:lang w:val="fr-CA"/>
        </w:rPr>
        <w:t>Hrynew.  La juge de première instance a conclu que ce plan était antérieur à juin 2000</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256.  Monsieur</w:t>
      </w:r>
      <w:r w:rsidR="00894691">
        <w:rPr>
          <w:rFonts w:cs="Times New Roman"/>
          <w:noProof/>
          <w:lang w:val="fr-CA"/>
        </w:rPr>
        <w:t xml:space="preserve"> </w:t>
      </w:r>
      <w:r w:rsidRPr="00B37C27">
        <w:rPr>
          <w:rFonts w:cs="Times New Roman"/>
          <w:noProof/>
          <w:lang w:val="fr-CA"/>
        </w:rPr>
        <w:t>Bhasin n’était au courant de rien</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243</w:t>
      </w:r>
      <w:r w:rsidR="00894691">
        <w:rPr>
          <w:rFonts w:cs="Times New Roman"/>
          <w:noProof/>
          <w:lang w:val="fr-CA"/>
        </w:rPr>
        <w:t>-</w:t>
      </w:r>
      <w:r w:rsidRPr="00B37C27">
        <w:rPr>
          <w:rFonts w:cs="Times New Roman"/>
          <w:noProof/>
          <w:lang w:val="fr-CA"/>
        </w:rPr>
        <w:t xml:space="preserve">246.  </w:t>
      </w:r>
    </w:p>
    <w:p w:rsidR="00142A2B" w:rsidRPr="00B37C27" w:rsidRDefault="00142A2B" w:rsidP="00894691">
      <w:pPr>
        <w:pStyle w:val="ParaNoNdepar-AltN"/>
        <w:rPr>
          <w:rFonts w:cs="Times New Roman"/>
          <w:noProof/>
          <w:lang w:val="fr-CA"/>
        </w:rPr>
      </w:pPr>
      <w:r w:rsidRPr="00B37C27">
        <w:rPr>
          <w:rFonts w:cs="Times New Roman"/>
          <w:noProof/>
          <w:lang w:val="fr-CA"/>
        </w:rPr>
        <w:t>En fait, Can</w:t>
      </w:r>
      <w:r w:rsidR="00894691">
        <w:rPr>
          <w:rFonts w:cs="Times New Roman"/>
          <w:noProof/>
          <w:lang w:val="fr-CA"/>
        </w:rPr>
        <w:t>-</w:t>
      </w:r>
      <w:r w:rsidRPr="00B37C27">
        <w:rPr>
          <w:rFonts w:cs="Times New Roman"/>
          <w:noProof/>
          <w:lang w:val="fr-CA"/>
        </w:rPr>
        <w:t>Am a à maintes reprises induit M.</w:t>
      </w:r>
      <w:r w:rsidR="00894691">
        <w:rPr>
          <w:rFonts w:cs="Times New Roman"/>
          <w:noProof/>
          <w:lang w:val="fr-CA"/>
        </w:rPr>
        <w:t xml:space="preserve"> </w:t>
      </w:r>
      <w:r w:rsidRPr="00B37C27">
        <w:rPr>
          <w:rFonts w:cs="Times New Roman"/>
          <w:noProof/>
          <w:lang w:val="fr-CA"/>
        </w:rPr>
        <w:t>Bhasin en erreur en lui disant que M.</w:t>
      </w:r>
      <w:r w:rsidR="00894691">
        <w:rPr>
          <w:rFonts w:cs="Times New Roman"/>
          <w:noProof/>
          <w:lang w:val="fr-CA"/>
        </w:rPr>
        <w:t xml:space="preserve"> </w:t>
      </w:r>
      <w:r w:rsidRPr="00B37C27">
        <w:rPr>
          <w:rFonts w:cs="Times New Roman"/>
          <w:noProof/>
          <w:lang w:val="fr-CA"/>
        </w:rPr>
        <w:t>Hrynew, en sa qualité d’ACP, était tenu de traiter les renseignements de façon confidentielle et que la Commission avait rejeté une proposition de retenir un ACP de l’extérieur; aucune de ces affirmations n’était exacte</w:t>
      </w:r>
      <w:r w:rsidR="00894691">
        <w:rPr>
          <w:rFonts w:cs="Times New Roman"/>
          <w:noProof/>
          <w:lang w:val="fr-CA"/>
        </w:rPr>
        <w:t> :</w:t>
      </w:r>
      <w:r w:rsidRPr="00B37C27">
        <w:rPr>
          <w:rFonts w:cs="Times New Roman"/>
          <w:noProof/>
          <w:lang w:val="fr-CA"/>
        </w:rPr>
        <w:t xml:space="preserve"> motifs de première instance, par.</w:t>
      </w:r>
      <w:r w:rsidR="00894691">
        <w:rPr>
          <w:rFonts w:cs="Times New Roman"/>
          <w:noProof/>
          <w:lang w:val="fr-CA"/>
        </w:rPr>
        <w:t xml:space="preserve"> </w:t>
      </w:r>
      <w:r w:rsidRPr="00B37C27">
        <w:rPr>
          <w:rFonts w:cs="Times New Roman"/>
          <w:noProof/>
          <w:lang w:val="fr-CA"/>
        </w:rPr>
        <w:t>195.  Can</w:t>
      </w:r>
      <w:r w:rsidR="00894691">
        <w:rPr>
          <w:rFonts w:cs="Times New Roman"/>
          <w:noProof/>
          <w:lang w:val="fr-CA"/>
        </w:rPr>
        <w:t>-</w:t>
      </w:r>
      <w:r w:rsidRPr="00B37C27">
        <w:rPr>
          <w:rFonts w:cs="Times New Roman"/>
          <w:noProof/>
          <w:lang w:val="fr-CA"/>
        </w:rPr>
        <w:t>Am a aussi répondu de façon équivoque lorsque M.</w:t>
      </w:r>
      <w:r w:rsidR="00894691">
        <w:rPr>
          <w:rFonts w:cs="Times New Roman"/>
          <w:noProof/>
          <w:lang w:val="fr-CA"/>
        </w:rPr>
        <w:t xml:space="preserve"> </w:t>
      </w:r>
      <w:r w:rsidRPr="00B37C27">
        <w:rPr>
          <w:rFonts w:cs="Times New Roman"/>
          <w:noProof/>
          <w:lang w:val="fr-CA"/>
        </w:rPr>
        <w:t xml:space="preserve">Bhasin a demandé en août 2000 si la fusion était un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fait accompli</w:t>
      </w:r>
      <w:r w:rsidR="00894691">
        <w:rPr>
          <w:rFonts w:cs="Times New Roman"/>
          <w:noProof/>
          <w:lang w:val="fr-CA"/>
        </w:rPr>
        <w:t> »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247.  Comme M.</w:t>
      </w:r>
      <w:r w:rsidR="00894691">
        <w:rPr>
          <w:rFonts w:cs="Times New Roman"/>
          <w:noProof/>
          <w:lang w:val="fr-CA"/>
        </w:rPr>
        <w:t xml:space="preserve"> </w:t>
      </w:r>
      <w:r w:rsidRPr="00B37C27">
        <w:rPr>
          <w:rFonts w:cs="Times New Roman"/>
          <w:noProof/>
          <w:lang w:val="fr-CA"/>
        </w:rPr>
        <w:t>Bhasin refusait toujours de permettre à M.</w:t>
      </w:r>
      <w:r w:rsidR="00894691">
        <w:rPr>
          <w:rFonts w:cs="Times New Roman"/>
          <w:noProof/>
          <w:lang w:val="fr-CA"/>
        </w:rPr>
        <w:t xml:space="preserve"> </w:t>
      </w:r>
      <w:r w:rsidRPr="00B37C27">
        <w:rPr>
          <w:rFonts w:cs="Times New Roman"/>
          <w:noProof/>
          <w:lang w:val="fr-CA"/>
        </w:rPr>
        <w:t>Hrynew de vérifier ses registres, Can</w:t>
      </w:r>
      <w:r w:rsidR="00894691">
        <w:rPr>
          <w:rFonts w:cs="Times New Roman"/>
          <w:noProof/>
          <w:lang w:val="fr-CA"/>
        </w:rPr>
        <w:t>-</w:t>
      </w:r>
      <w:r w:rsidRPr="00B37C27">
        <w:rPr>
          <w:rFonts w:cs="Times New Roman"/>
          <w:noProof/>
          <w:lang w:val="fr-CA"/>
        </w:rPr>
        <w:t>Am a menacé de résilier l’entente de 1998 et, en mai</w:t>
      </w:r>
      <w:r w:rsidR="00894691">
        <w:rPr>
          <w:rFonts w:cs="Times New Roman"/>
          <w:noProof/>
          <w:lang w:val="fr-CA"/>
        </w:rPr>
        <w:t xml:space="preserve"> </w:t>
      </w:r>
      <w:r w:rsidRPr="00B37C27">
        <w:rPr>
          <w:rFonts w:cs="Times New Roman"/>
          <w:noProof/>
          <w:lang w:val="fr-CA"/>
        </w:rPr>
        <w:t>2001, elle lui a donné un préavis de non</w:t>
      </w:r>
      <w:r w:rsidR="00894691">
        <w:rPr>
          <w:rFonts w:cs="Times New Roman"/>
          <w:noProof/>
          <w:lang w:val="fr-CA"/>
        </w:rPr>
        <w:t>-</w:t>
      </w:r>
      <w:r w:rsidRPr="00B37C27">
        <w:rPr>
          <w:rFonts w:cs="Times New Roman"/>
          <w:noProof/>
          <w:lang w:val="fr-CA"/>
        </w:rPr>
        <w:t>renouvellement conformément à l’entente</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207</w:t>
      </w:r>
      <w:r w:rsidR="00894691">
        <w:rPr>
          <w:rFonts w:cs="Times New Roman"/>
          <w:noProof/>
          <w:lang w:val="fr-CA"/>
        </w:rPr>
        <w:t>-</w:t>
      </w:r>
      <w:r w:rsidRPr="00B37C27">
        <w:rPr>
          <w:rFonts w:cs="Times New Roman"/>
          <w:noProof/>
          <w:lang w:val="fr-CA"/>
        </w:rPr>
        <w:t xml:space="preserve">211. </w:t>
      </w:r>
    </w:p>
    <w:p w:rsidR="00142A2B" w:rsidRPr="00B37C27" w:rsidRDefault="00142A2B" w:rsidP="00894691">
      <w:pPr>
        <w:pStyle w:val="ParaNoNdepar-AltN"/>
        <w:rPr>
          <w:rFonts w:cs="Times New Roman"/>
          <w:noProof/>
          <w:lang w:val="fr-CA"/>
        </w:rPr>
      </w:pPr>
      <w:r w:rsidRPr="00B37C27">
        <w:rPr>
          <w:rFonts w:cs="Times New Roman"/>
          <w:noProof/>
          <w:lang w:val="fr-CA"/>
        </w:rPr>
        <w:t>À l’échéance du contrat, l’entreprise de M.</w:t>
      </w:r>
      <w:r w:rsidR="00894691">
        <w:rPr>
          <w:rFonts w:cs="Times New Roman"/>
          <w:noProof/>
          <w:lang w:val="fr-CA"/>
        </w:rPr>
        <w:t xml:space="preserve"> </w:t>
      </w:r>
      <w:r w:rsidRPr="00B37C27">
        <w:rPr>
          <w:rFonts w:cs="Times New Roman"/>
          <w:noProof/>
          <w:lang w:val="fr-CA"/>
        </w:rPr>
        <w:t xml:space="preserve">Bhasin a perdu son effectif qui constituait la valeur de son entreprise.  La majorité de ses représentants des ventes </w:t>
      </w:r>
      <w:r w:rsidRPr="00B37C27">
        <w:rPr>
          <w:rFonts w:cs="Times New Roman"/>
          <w:noProof/>
          <w:lang w:val="fr-CA"/>
        </w:rPr>
        <w:lastRenderedPageBreak/>
        <w:t>ont été recrutés par l’agence de M.</w:t>
      </w:r>
      <w:r w:rsidR="00894691">
        <w:rPr>
          <w:rFonts w:cs="Times New Roman"/>
          <w:noProof/>
          <w:lang w:val="fr-CA"/>
        </w:rPr>
        <w:t xml:space="preserve"> </w:t>
      </w:r>
      <w:r w:rsidRPr="00B37C27">
        <w:rPr>
          <w:rFonts w:cs="Times New Roman"/>
          <w:noProof/>
          <w:lang w:val="fr-CA"/>
        </w:rPr>
        <w:t>Hrynew.  Monsieur</w:t>
      </w:r>
      <w:r w:rsidR="00894691">
        <w:rPr>
          <w:rFonts w:cs="Times New Roman"/>
          <w:noProof/>
          <w:lang w:val="fr-CA"/>
        </w:rPr>
        <w:t xml:space="preserve"> </w:t>
      </w:r>
      <w:r w:rsidRPr="00B37C27">
        <w:rPr>
          <w:rFonts w:cs="Times New Roman"/>
          <w:noProof/>
          <w:lang w:val="fr-CA"/>
        </w:rPr>
        <w:t>Bhasin a dû accepter un emploi à moindre salaire auprès de l’un des concurrents de Can</w:t>
      </w:r>
      <w:r w:rsidR="00894691">
        <w:rPr>
          <w:rFonts w:cs="Times New Roman"/>
          <w:noProof/>
          <w:lang w:val="fr-CA"/>
        </w:rPr>
        <w:t>-</w:t>
      </w:r>
      <w:r w:rsidRPr="00B37C27">
        <w:rPr>
          <w:rFonts w:cs="Times New Roman"/>
          <w:noProof/>
          <w:lang w:val="fr-CA"/>
        </w:rPr>
        <w:t>Am.</w:t>
      </w:r>
    </w:p>
    <w:p w:rsidR="00142A2B" w:rsidRPr="00B37C27" w:rsidRDefault="00142A2B" w:rsidP="00894691">
      <w:pPr>
        <w:pStyle w:val="ParaNoNdepar-AltN"/>
        <w:rPr>
          <w:rFonts w:cs="Times New Roman"/>
          <w:noProof/>
          <w:lang w:val="fr-CA"/>
        </w:rPr>
      </w:pPr>
      <w:r w:rsidRPr="00B37C27">
        <w:rPr>
          <w:rFonts w:cs="Times New Roman"/>
          <w:noProof/>
          <w:lang w:val="fr-CA"/>
        </w:rPr>
        <w:t>Monsieur Bhasin a intenté une poursuite contre Can</w:t>
      </w:r>
      <w:r w:rsidR="00894691">
        <w:rPr>
          <w:rFonts w:cs="Times New Roman"/>
          <w:noProof/>
          <w:lang w:val="fr-CA"/>
        </w:rPr>
        <w:t>-</w:t>
      </w:r>
      <w:r w:rsidRPr="00B37C27">
        <w:rPr>
          <w:rFonts w:cs="Times New Roman"/>
          <w:noProof/>
          <w:lang w:val="fr-CA"/>
        </w:rPr>
        <w:t>Am et M.</w:t>
      </w:r>
      <w:r w:rsidR="00894691">
        <w:rPr>
          <w:rFonts w:cs="Times New Roman"/>
          <w:noProof/>
          <w:lang w:val="fr-CA"/>
        </w:rPr>
        <w:t xml:space="preserve"> </w:t>
      </w:r>
      <w:r w:rsidRPr="00B37C27">
        <w:rPr>
          <w:rFonts w:cs="Times New Roman"/>
          <w:noProof/>
          <w:lang w:val="fr-CA"/>
        </w:rPr>
        <w:t>Hrynew.  La juge</w:t>
      </w:r>
      <w:r w:rsidR="00894691">
        <w:rPr>
          <w:rFonts w:cs="Times New Roman"/>
          <w:noProof/>
          <w:lang w:val="fr-CA"/>
        </w:rPr>
        <w:t xml:space="preserve"> </w:t>
      </w:r>
      <w:r w:rsidRPr="00B37C27">
        <w:rPr>
          <w:rFonts w:cs="Times New Roman"/>
          <w:noProof/>
          <w:lang w:val="fr-CA"/>
        </w:rPr>
        <w:t>Moen de la Cour du Banc de la Reine de l’Alberta a conclu que le contrat renfermait une clause implicite selon laquelle les décisions de renouveler ou non un contrat devaient être prises de bonne foi.  La cour a conclu que la société intimée avait violé la condition implicite d’agir de bonne foi, que M.</w:t>
      </w:r>
      <w:r w:rsidR="00894691">
        <w:rPr>
          <w:rFonts w:cs="Times New Roman"/>
          <w:noProof/>
          <w:lang w:val="fr-CA"/>
        </w:rPr>
        <w:t xml:space="preserve"> </w:t>
      </w:r>
      <w:r w:rsidRPr="00B37C27">
        <w:rPr>
          <w:rFonts w:cs="Times New Roman"/>
          <w:noProof/>
          <w:lang w:val="fr-CA"/>
        </w:rPr>
        <w:t>Hrynew avait intentionnellement incité à la rupture de contrat et que les intimés avaient engagé leur responsabilité pour complot civil.</w:t>
      </w:r>
    </w:p>
    <w:p w:rsidR="00142A2B" w:rsidRPr="00B37C27" w:rsidRDefault="00142A2B" w:rsidP="00894691">
      <w:pPr>
        <w:pStyle w:val="ParaNoNdepar-AltN"/>
        <w:rPr>
          <w:rFonts w:cs="Times New Roman"/>
          <w:noProof/>
          <w:lang w:val="fr-CA"/>
        </w:rPr>
      </w:pPr>
      <w:r w:rsidRPr="00B37C27">
        <w:rPr>
          <w:rFonts w:cs="Times New Roman"/>
          <w:noProof/>
          <w:lang w:val="fr-CA"/>
        </w:rPr>
        <w:t>La juge de première instance a conclu que Can</w:t>
      </w:r>
      <w:r w:rsidR="00894691">
        <w:rPr>
          <w:rFonts w:cs="Times New Roman"/>
          <w:noProof/>
          <w:lang w:val="fr-CA"/>
        </w:rPr>
        <w:t>-</w:t>
      </w:r>
      <w:r w:rsidRPr="00B37C27">
        <w:rPr>
          <w:rFonts w:cs="Times New Roman"/>
          <w:noProof/>
          <w:lang w:val="fr-CA"/>
        </w:rPr>
        <w:t>Am avait agi malhonnêtement envers M.</w:t>
      </w:r>
      <w:r w:rsidR="00894691">
        <w:rPr>
          <w:rFonts w:cs="Times New Roman"/>
          <w:noProof/>
          <w:lang w:val="fr-CA"/>
        </w:rPr>
        <w:t xml:space="preserve"> </w:t>
      </w:r>
      <w:r w:rsidRPr="00B37C27">
        <w:rPr>
          <w:rFonts w:cs="Times New Roman"/>
          <w:noProof/>
          <w:lang w:val="fr-CA"/>
        </w:rPr>
        <w:t>Bhasin tout au long des événements ayant mené au non</w:t>
      </w:r>
      <w:r w:rsidR="00894691">
        <w:rPr>
          <w:rFonts w:cs="Times New Roman"/>
          <w:noProof/>
          <w:lang w:val="fr-CA"/>
        </w:rPr>
        <w:t>-</w:t>
      </w:r>
      <w:r w:rsidRPr="00B37C27">
        <w:rPr>
          <w:rFonts w:cs="Times New Roman"/>
          <w:noProof/>
          <w:lang w:val="fr-CA"/>
        </w:rPr>
        <w:t>renouvellement du contrat</w:t>
      </w:r>
      <w:r w:rsidR="00894691">
        <w:rPr>
          <w:rFonts w:cs="Times New Roman"/>
          <w:noProof/>
          <w:lang w:val="fr-CA"/>
        </w:rPr>
        <w:t> :</w:t>
      </w:r>
      <w:r w:rsidRPr="00B37C27">
        <w:rPr>
          <w:rFonts w:cs="Times New Roman"/>
          <w:noProof/>
          <w:lang w:val="fr-CA"/>
        </w:rPr>
        <w:t xml:space="preserve"> la société l’avait induit en erreur quant à ses intentions au sujet de la fusion et quant au fait qu’elle avait déjà proposé la nouvelle structure organisationnelle à la Commission; elle ne lui a pas indiqué avoir déjà pris une décision définitive à cet égard, même s’il l’avait demandé; et elle ne l’avait pas informé qu’elle collaborait étroitement avec M.</w:t>
      </w:r>
      <w:r w:rsidR="00894691">
        <w:rPr>
          <w:rFonts w:cs="Times New Roman"/>
          <w:noProof/>
          <w:lang w:val="fr-CA"/>
        </w:rPr>
        <w:t xml:space="preserve"> </w:t>
      </w:r>
      <w:r w:rsidRPr="00B37C27">
        <w:rPr>
          <w:rFonts w:cs="Times New Roman"/>
          <w:noProof/>
          <w:lang w:val="fr-CA"/>
        </w:rPr>
        <w:t>Hrynew en vue d’introduire une nouvelle structure organisationnelle au sein de laquelle l’agence de M.</w:t>
      </w:r>
      <w:r w:rsidR="00894691">
        <w:rPr>
          <w:rFonts w:cs="Times New Roman"/>
          <w:noProof/>
          <w:lang w:val="fr-CA"/>
        </w:rPr>
        <w:t xml:space="preserve"> </w:t>
      </w:r>
      <w:r w:rsidRPr="00B37C27">
        <w:rPr>
          <w:rFonts w:cs="Times New Roman"/>
          <w:noProof/>
          <w:lang w:val="fr-CA"/>
        </w:rPr>
        <w:t>Hrynew occupait le premier rang en Alberta.  La juge de première instance a également conclu que si Can</w:t>
      </w:r>
      <w:r w:rsidR="00894691">
        <w:rPr>
          <w:rFonts w:cs="Times New Roman"/>
          <w:noProof/>
          <w:lang w:val="fr-CA"/>
        </w:rPr>
        <w:t>-</w:t>
      </w:r>
      <w:r w:rsidRPr="00B37C27">
        <w:rPr>
          <w:rFonts w:cs="Times New Roman"/>
          <w:noProof/>
          <w:lang w:val="fr-CA"/>
        </w:rPr>
        <w:t>Am avait agi honnêtement, M.</w:t>
      </w:r>
      <w:r w:rsidR="00894691">
        <w:rPr>
          <w:rFonts w:cs="Times New Roman"/>
          <w:noProof/>
          <w:lang w:val="fr-CA"/>
        </w:rPr>
        <w:t xml:space="preserve"> </w:t>
      </w:r>
      <w:r w:rsidRPr="00B37C27">
        <w:rPr>
          <w:rFonts w:cs="Times New Roman"/>
          <w:noProof/>
          <w:lang w:val="fr-CA"/>
        </w:rPr>
        <w:t xml:space="preserve">Bhasin aurait pu </w:t>
      </w:r>
      <w:r w:rsidRPr="00B37C27">
        <w:rPr>
          <w:rFonts w:cs="Times New Roman"/>
          <w:smallCaps/>
          <w:noProof/>
          <w:lang w:val="fr-CA"/>
        </w:rPr>
        <w:t xml:space="preserve">[traduction] </w:t>
      </w:r>
      <w:r w:rsidR="00894691">
        <w:rPr>
          <w:rFonts w:cs="Times New Roman"/>
          <w:noProof/>
          <w:lang w:val="fr-CA"/>
        </w:rPr>
        <w:t>« </w:t>
      </w:r>
      <w:r w:rsidRPr="00B37C27">
        <w:rPr>
          <w:rFonts w:cs="Times New Roman"/>
          <w:noProof/>
          <w:lang w:val="fr-CA"/>
        </w:rPr>
        <w:t>agir en conséquence afin de conserver la valeur de son agence</w:t>
      </w:r>
      <w:r w:rsidR="00894691">
        <w:rPr>
          <w:rFonts w:cs="Times New Roman"/>
          <w:noProof/>
          <w:lang w:val="fr-CA"/>
        </w:rPr>
        <w:t> »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258.</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La Cour d’appel de l’Alberta a accueilli l’appel des intimés et rejeté la poursuite de M.</w:t>
      </w:r>
      <w:r w:rsidR="00894691">
        <w:rPr>
          <w:rFonts w:cs="Times New Roman"/>
          <w:noProof/>
          <w:lang w:val="fr-CA"/>
        </w:rPr>
        <w:t xml:space="preserve"> </w:t>
      </w:r>
      <w:r w:rsidRPr="00B37C27">
        <w:rPr>
          <w:rFonts w:cs="Times New Roman"/>
          <w:noProof/>
          <w:lang w:val="fr-CA"/>
        </w:rPr>
        <w:t xml:space="preserve">Bhasin.  Elle a estimé que les actes de procédure de ce dernier étaient insuffisants et que la juge de première instance avait eu tort de conclure à l’existence d’une condition implicite d’agir de bonne foi dans le contexte d’un contrat non ambigu renfermant une clause du type </w:t>
      </w:r>
      <w:r w:rsidR="00894691">
        <w:rPr>
          <w:rFonts w:cs="Times New Roman"/>
          <w:noProof/>
          <w:lang w:val="fr-CA"/>
        </w:rPr>
        <w:t>« </w:t>
      </w:r>
      <w:r w:rsidRPr="00B37C27">
        <w:rPr>
          <w:rFonts w:cs="Times New Roman"/>
          <w:noProof/>
          <w:lang w:val="fr-CA"/>
        </w:rPr>
        <w:t>intégralité de l’entente</w:t>
      </w:r>
      <w:r w:rsidR="00894691">
        <w:rPr>
          <w:rFonts w:cs="Times New Roman"/>
          <w:noProof/>
          <w:lang w:val="fr-CA"/>
        </w:rPr>
        <w:t> » :</w:t>
      </w:r>
      <w:r w:rsidRPr="00B37C27">
        <w:rPr>
          <w:rFonts w:cs="Times New Roman"/>
          <w:noProof/>
          <w:lang w:val="fr-CA"/>
        </w:rPr>
        <w:t xml:space="preserve"> 2013 ABCA 98, 84 Alta. L.R. (5th) 68.</w:t>
      </w:r>
    </w:p>
    <w:p w:rsidR="00142A2B" w:rsidRPr="00B37C27" w:rsidRDefault="00142A2B" w:rsidP="00894691">
      <w:pPr>
        <w:pStyle w:val="ParaNoNdepar-AltN"/>
        <w:rPr>
          <w:rFonts w:cs="Times New Roman"/>
          <w:noProof/>
          <w:lang w:val="fr-CA"/>
        </w:rPr>
      </w:pPr>
      <w:r w:rsidRPr="00B37C27">
        <w:rPr>
          <w:rFonts w:cs="Times New Roman"/>
          <w:noProof/>
          <w:lang w:val="fr-CA"/>
        </w:rPr>
        <w:t>Le pourvoi soulève quatre questions</w:t>
      </w:r>
      <w:r w:rsidR="00894691">
        <w:rPr>
          <w:rFonts w:cs="Times New Roman"/>
          <w:noProof/>
          <w:lang w:val="fr-CA"/>
        </w:rPr>
        <w:t> :</w:t>
      </w:r>
    </w:p>
    <w:p w:rsidR="00142A2B" w:rsidRPr="00B37C27" w:rsidRDefault="00142A2B" w:rsidP="00A720F3">
      <w:pPr>
        <w:pStyle w:val="Citation-AltC"/>
        <w:spacing w:before="480" w:after="480" w:line="480" w:lineRule="auto"/>
        <w:ind w:left="1080" w:hanging="1080"/>
        <w:contextualSpacing w:val="0"/>
        <w:rPr>
          <w:i/>
          <w:noProof/>
          <w:lang w:val="fr-CA"/>
        </w:rPr>
      </w:pPr>
      <w:r w:rsidRPr="00B37C27">
        <w:rPr>
          <w:noProof/>
          <w:lang w:val="fr-CA"/>
        </w:rPr>
        <w:t>a)</w:t>
      </w:r>
      <w:r w:rsidRPr="00B37C27">
        <w:rPr>
          <w:noProof/>
          <w:lang w:val="fr-CA"/>
        </w:rPr>
        <w:tab/>
        <w:t>Monsieur</w:t>
      </w:r>
      <w:r w:rsidR="00894691">
        <w:rPr>
          <w:noProof/>
          <w:lang w:val="fr-CA"/>
        </w:rPr>
        <w:t xml:space="preserve"> </w:t>
      </w:r>
      <w:r w:rsidRPr="00B37C27">
        <w:rPr>
          <w:noProof/>
          <w:lang w:val="fr-CA"/>
        </w:rPr>
        <w:t>Bhasin a</w:t>
      </w:r>
      <w:r w:rsidR="00894691">
        <w:rPr>
          <w:noProof/>
          <w:lang w:val="fr-CA"/>
        </w:rPr>
        <w:t>-</w:t>
      </w:r>
      <w:r w:rsidRPr="00B37C27">
        <w:rPr>
          <w:noProof/>
          <w:lang w:val="fr-CA"/>
        </w:rPr>
        <w:t>t</w:t>
      </w:r>
      <w:r w:rsidR="00894691">
        <w:rPr>
          <w:noProof/>
          <w:lang w:val="fr-CA"/>
        </w:rPr>
        <w:t>-</w:t>
      </w:r>
      <w:r w:rsidRPr="00B37C27">
        <w:rPr>
          <w:noProof/>
          <w:lang w:val="fr-CA"/>
        </w:rPr>
        <w:t>il valablement plaidé le manquement à l’obligation d’agir de bonne foi?</w:t>
      </w:r>
    </w:p>
    <w:p w:rsidR="00142A2B" w:rsidRPr="00B37C27" w:rsidRDefault="00142A2B" w:rsidP="00A720F3">
      <w:pPr>
        <w:pStyle w:val="Citation-AltC"/>
        <w:spacing w:before="480" w:after="480" w:line="480" w:lineRule="auto"/>
        <w:ind w:left="1080" w:hanging="1080"/>
        <w:contextualSpacing w:val="0"/>
        <w:rPr>
          <w:i/>
          <w:noProof/>
          <w:lang w:val="fr-CA"/>
        </w:rPr>
      </w:pPr>
      <w:r w:rsidRPr="00B37C27">
        <w:rPr>
          <w:noProof/>
          <w:lang w:val="fr-CA"/>
        </w:rPr>
        <w:t>b)</w:t>
      </w:r>
      <w:r w:rsidRPr="00B37C27">
        <w:rPr>
          <w:noProof/>
          <w:lang w:val="fr-CA"/>
        </w:rPr>
        <w:tab/>
        <w:t>Can</w:t>
      </w:r>
      <w:r w:rsidR="00894691">
        <w:rPr>
          <w:noProof/>
          <w:lang w:val="fr-CA"/>
        </w:rPr>
        <w:t>-</w:t>
      </w:r>
      <w:r w:rsidRPr="00B37C27">
        <w:rPr>
          <w:noProof/>
          <w:lang w:val="fr-CA"/>
        </w:rPr>
        <w:t>Am avait</w:t>
      </w:r>
      <w:r w:rsidR="00894691">
        <w:rPr>
          <w:noProof/>
          <w:lang w:val="fr-CA"/>
        </w:rPr>
        <w:t>-</w:t>
      </w:r>
      <w:r w:rsidRPr="00B37C27">
        <w:rPr>
          <w:noProof/>
          <w:lang w:val="fr-CA"/>
        </w:rPr>
        <w:t>elle l’obligation d’agir de bonne foi envers M.</w:t>
      </w:r>
      <w:r w:rsidR="00894691">
        <w:rPr>
          <w:noProof/>
          <w:lang w:val="fr-CA"/>
        </w:rPr>
        <w:t xml:space="preserve"> </w:t>
      </w:r>
      <w:r w:rsidRPr="00B37C27">
        <w:rPr>
          <w:noProof/>
          <w:lang w:val="fr-CA"/>
        </w:rPr>
        <w:t>Bhasin?  Dans l’affirmative, a</w:t>
      </w:r>
      <w:r w:rsidR="00894691">
        <w:rPr>
          <w:noProof/>
          <w:lang w:val="fr-CA"/>
        </w:rPr>
        <w:t>-</w:t>
      </w:r>
      <w:r w:rsidRPr="00B37C27">
        <w:rPr>
          <w:noProof/>
          <w:lang w:val="fr-CA"/>
        </w:rPr>
        <w:t>t</w:t>
      </w:r>
      <w:r w:rsidR="00894691">
        <w:rPr>
          <w:noProof/>
          <w:lang w:val="fr-CA"/>
        </w:rPr>
        <w:t>-</w:t>
      </w:r>
      <w:r w:rsidRPr="00B37C27">
        <w:rPr>
          <w:noProof/>
          <w:lang w:val="fr-CA"/>
        </w:rPr>
        <w:t>elle manqué à cette obligation?</w:t>
      </w:r>
    </w:p>
    <w:p w:rsidR="00142A2B" w:rsidRPr="00B37C27" w:rsidRDefault="00142A2B" w:rsidP="00A720F3">
      <w:pPr>
        <w:pStyle w:val="Citation-AltC"/>
        <w:spacing w:before="480" w:after="480" w:line="480" w:lineRule="auto"/>
        <w:ind w:left="1080" w:hanging="1080"/>
        <w:contextualSpacing w:val="0"/>
        <w:rPr>
          <w:i/>
          <w:noProof/>
          <w:lang w:val="fr-CA"/>
        </w:rPr>
      </w:pPr>
      <w:r w:rsidRPr="00B37C27">
        <w:rPr>
          <w:noProof/>
          <w:lang w:val="fr-CA"/>
        </w:rPr>
        <w:t>c)</w:t>
      </w:r>
      <w:r w:rsidRPr="00B37C27">
        <w:rPr>
          <w:noProof/>
          <w:lang w:val="fr-CA"/>
        </w:rPr>
        <w:tab/>
        <w:t>Les intimés sont</w:t>
      </w:r>
      <w:r w:rsidR="00894691">
        <w:rPr>
          <w:noProof/>
          <w:lang w:val="fr-CA"/>
        </w:rPr>
        <w:t>-</w:t>
      </w:r>
      <w:r w:rsidRPr="00B37C27">
        <w:rPr>
          <w:noProof/>
          <w:lang w:val="fr-CA"/>
        </w:rPr>
        <w:t>ils responsables des délits d’incitation à rupture de contrat et de complot civil?</w:t>
      </w:r>
    </w:p>
    <w:p w:rsidR="00142A2B" w:rsidRPr="00B37C27" w:rsidRDefault="00142A2B" w:rsidP="00A720F3">
      <w:pPr>
        <w:pStyle w:val="Citation-AltC"/>
        <w:spacing w:before="480" w:after="480" w:line="480" w:lineRule="auto"/>
        <w:ind w:left="1080" w:hanging="1080"/>
        <w:contextualSpacing w:val="0"/>
        <w:rPr>
          <w:i/>
          <w:noProof/>
          <w:lang w:val="fr-CA"/>
        </w:rPr>
      </w:pPr>
      <w:r w:rsidRPr="00B37C27">
        <w:rPr>
          <w:noProof/>
          <w:lang w:val="fr-CA"/>
        </w:rPr>
        <w:t>d)</w:t>
      </w:r>
      <w:r w:rsidRPr="00B37C27">
        <w:rPr>
          <w:noProof/>
          <w:lang w:val="fr-CA"/>
        </w:rPr>
        <w:tab/>
        <w:t>S’il y a eu rupture du contrat, le montant des dommages</w:t>
      </w:r>
      <w:r w:rsidR="00894691">
        <w:rPr>
          <w:noProof/>
          <w:lang w:val="fr-CA"/>
        </w:rPr>
        <w:t>-</w:t>
      </w:r>
      <w:r w:rsidRPr="00B37C27">
        <w:rPr>
          <w:noProof/>
          <w:lang w:val="fr-CA"/>
        </w:rPr>
        <w:t>intérêts était</w:t>
      </w:r>
      <w:r w:rsidR="00894691">
        <w:rPr>
          <w:noProof/>
          <w:lang w:val="fr-CA"/>
        </w:rPr>
        <w:t>-</w:t>
      </w:r>
      <w:r w:rsidRPr="00B37C27">
        <w:rPr>
          <w:noProof/>
          <w:lang w:val="fr-CA"/>
        </w:rPr>
        <w:t xml:space="preserve">il approprié? </w:t>
      </w:r>
    </w:p>
    <w:p w:rsidR="00142A2B" w:rsidRPr="00B37C27" w:rsidRDefault="00142A2B" w:rsidP="00894691">
      <w:pPr>
        <w:pStyle w:val="Title1LevelTitre1Niveau-AltL"/>
        <w:rPr>
          <w:rFonts w:cs="Times New Roman"/>
          <w:noProof/>
          <w:lang w:val="fr-CA"/>
        </w:rPr>
      </w:pPr>
      <w:r w:rsidRPr="00B37C27">
        <w:rPr>
          <w:rFonts w:cs="Times New Roman"/>
          <w:noProof/>
          <w:lang w:val="fr-CA"/>
        </w:rPr>
        <w:t>Analyse</w:t>
      </w:r>
    </w:p>
    <w:p w:rsidR="00142A2B" w:rsidRPr="00B37C27" w:rsidRDefault="00142A2B" w:rsidP="00894691">
      <w:pPr>
        <w:pStyle w:val="Title2LevelTitre2Niveau"/>
        <w:rPr>
          <w:rFonts w:cs="Times New Roman"/>
          <w:noProof/>
          <w:lang w:val="fr-CA"/>
        </w:rPr>
      </w:pPr>
      <w:r w:rsidRPr="00B37C27">
        <w:rPr>
          <w:rFonts w:cs="Times New Roman"/>
          <w:noProof/>
          <w:lang w:val="fr-CA"/>
        </w:rPr>
        <w:t>Monsieur Bhasin a</w:t>
      </w:r>
      <w:r w:rsidR="00894691">
        <w:rPr>
          <w:rFonts w:cs="Times New Roman"/>
          <w:noProof/>
          <w:lang w:val="fr-CA"/>
        </w:rPr>
        <w:t>-</w:t>
      </w:r>
      <w:r w:rsidRPr="00B37C27">
        <w:rPr>
          <w:rFonts w:cs="Times New Roman"/>
          <w:noProof/>
          <w:lang w:val="fr-CA"/>
        </w:rPr>
        <w:t>t</w:t>
      </w:r>
      <w:r w:rsidR="00894691">
        <w:rPr>
          <w:rFonts w:cs="Times New Roman"/>
          <w:noProof/>
          <w:lang w:val="fr-CA"/>
        </w:rPr>
        <w:t>-</w:t>
      </w:r>
      <w:r w:rsidRPr="00B37C27">
        <w:rPr>
          <w:rFonts w:cs="Times New Roman"/>
          <w:noProof/>
          <w:lang w:val="fr-CA"/>
        </w:rPr>
        <w:t>il valablement plaidé le manquement à l’obligation d’agir de bonne foi?</w:t>
      </w:r>
    </w:p>
    <w:p w:rsidR="00142A2B" w:rsidRPr="00B37C27" w:rsidRDefault="00A720F3" w:rsidP="00894691">
      <w:pPr>
        <w:pStyle w:val="ParaNoNdepar-AltN"/>
        <w:rPr>
          <w:rFonts w:cs="Times New Roman"/>
          <w:noProof/>
          <w:lang w:val="fr-CA"/>
        </w:rPr>
      </w:pPr>
      <w:r>
        <w:rPr>
          <w:rFonts w:cs="Times New Roman"/>
          <w:noProof/>
          <w:lang w:val="fr-CA"/>
        </w:rPr>
        <w:lastRenderedPageBreak/>
        <w:t>Selon la C</w:t>
      </w:r>
      <w:r w:rsidR="00142A2B" w:rsidRPr="00B37C27">
        <w:rPr>
          <w:rFonts w:cs="Times New Roman"/>
          <w:noProof/>
          <w:lang w:val="fr-CA"/>
        </w:rPr>
        <w:t>our d’appel, M.</w:t>
      </w:r>
      <w:r w:rsidR="00894691">
        <w:rPr>
          <w:rFonts w:cs="Times New Roman"/>
          <w:noProof/>
          <w:lang w:val="fr-CA"/>
        </w:rPr>
        <w:t xml:space="preserve"> </w:t>
      </w:r>
      <w:r w:rsidR="00142A2B" w:rsidRPr="00B37C27">
        <w:rPr>
          <w:rFonts w:cs="Times New Roman"/>
          <w:noProof/>
          <w:lang w:val="fr-CA"/>
        </w:rPr>
        <w:t>Bhasin n’a pas valablement plaidé la question de la bonne foi et la juge de première instance a donc eu tort d’examiner cette question.  Monsieur Bhasin conteste cette conclusion, alors que les intimés l’appuient. Je suis d’accord avec M.</w:t>
      </w:r>
      <w:r w:rsidR="00894691">
        <w:rPr>
          <w:rFonts w:cs="Times New Roman"/>
          <w:noProof/>
          <w:lang w:val="fr-CA"/>
        </w:rPr>
        <w:t xml:space="preserve"> </w:t>
      </w:r>
      <w:r w:rsidR="00142A2B" w:rsidRPr="00B37C27">
        <w:rPr>
          <w:rFonts w:cs="Times New Roman"/>
          <w:noProof/>
          <w:lang w:val="fr-CA"/>
        </w:rPr>
        <w:t>Bhasin.</w:t>
      </w:r>
    </w:p>
    <w:p w:rsidR="00142A2B" w:rsidRPr="00B37C27" w:rsidRDefault="00142A2B" w:rsidP="00894691">
      <w:pPr>
        <w:pStyle w:val="ParaNoNdepar-AltN"/>
        <w:rPr>
          <w:rFonts w:cs="Times New Roman"/>
          <w:noProof/>
          <w:lang w:val="fr-CA"/>
        </w:rPr>
      </w:pPr>
      <w:r w:rsidRPr="00B37C27">
        <w:rPr>
          <w:rFonts w:cs="Times New Roman"/>
          <w:noProof/>
          <w:lang w:val="fr-CA"/>
        </w:rPr>
        <w:t>Les allégations formulées dans la déclaration soulèvent clairement la question du but illégitime et celle de la malhonnêteté.  Ces faits suffisent à mettre en cause la bonne foi de Can</w:t>
      </w:r>
      <w:r w:rsidR="00894691">
        <w:rPr>
          <w:rFonts w:cs="Times New Roman"/>
          <w:noProof/>
          <w:lang w:val="fr-CA"/>
        </w:rPr>
        <w:t>-</w:t>
      </w:r>
      <w:r w:rsidRPr="00B37C27">
        <w:rPr>
          <w:rFonts w:cs="Times New Roman"/>
          <w:noProof/>
          <w:lang w:val="fr-CA"/>
        </w:rPr>
        <w:t>Am.  La question de savoir si ces faits constituaient un manquement à l’obligation d’agir de bonne foi est une conclusion de droit qu’il n’est pas nécessaire de plaider séparément.  Les défendeurs n’ont pas demandé la radiation des actes de procédure ni n’ont demandé des précisions quant à l’allégation de non</w:t>
      </w:r>
      <w:r w:rsidR="00894691">
        <w:rPr>
          <w:rFonts w:cs="Times New Roman"/>
          <w:noProof/>
          <w:lang w:val="fr-CA"/>
        </w:rPr>
        <w:t>-</w:t>
      </w:r>
      <w:r w:rsidRPr="00B37C27">
        <w:rPr>
          <w:rFonts w:cs="Times New Roman"/>
          <w:noProof/>
          <w:lang w:val="fr-CA"/>
        </w:rPr>
        <w:t>renouvellement illicite formulée dans la déclaration.  La question de la bonne foi est demeurée au cœur du débat et a été examinée en détail lors d’un long procès</w:t>
      </w:r>
      <w:r w:rsidR="00894691">
        <w:rPr>
          <w:rFonts w:cs="Times New Roman"/>
          <w:noProof/>
          <w:lang w:val="fr-CA"/>
        </w:rPr>
        <w:t> :</w:t>
      </w:r>
      <w:r w:rsidRPr="00B37C27">
        <w:rPr>
          <w:rFonts w:cs="Times New Roman"/>
          <w:noProof/>
          <w:lang w:val="fr-CA"/>
        </w:rPr>
        <w:t xml:space="preserve"> m.a., par.</w:t>
      </w:r>
      <w:r w:rsidR="00894691">
        <w:rPr>
          <w:rFonts w:cs="Times New Roman"/>
          <w:noProof/>
          <w:lang w:val="fr-CA"/>
        </w:rPr>
        <w:t xml:space="preserve"> </w:t>
      </w:r>
      <w:r w:rsidRPr="00B37C27">
        <w:rPr>
          <w:rFonts w:cs="Times New Roman"/>
          <w:noProof/>
          <w:lang w:val="fr-CA"/>
        </w:rPr>
        <w:t>92</w:t>
      </w:r>
      <w:r w:rsidR="00894691">
        <w:rPr>
          <w:rFonts w:cs="Times New Roman"/>
          <w:noProof/>
          <w:lang w:val="fr-CA"/>
        </w:rPr>
        <w:t>-</w:t>
      </w:r>
      <w:r w:rsidRPr="00B37C27">
        <w:rPr>
          <w:rFonts w:cs="Times New Roman"/>
          <w:noProof/>
          <w:lang w:val="fr-CA"/>
        </w:rPr>
        <w:t>94.  Dans leurs observations écrites présentées au procès, les deux parties ont fait état de la question de la bonne foi et</w:t>
      </w:r>
      <w:r w:rsidR="00A720F3">
        <w:rPr>
          <w:rFonts w:cs="Times New Roman"/>
          <w:noProof/>
          <w:lang w:val="fr-CA"/>
        </w:rPr>
        <w:t>,</w:t>
      </w:r>
      <w:r w:rsidRPr="00B37C27">
        <w:rPr>
          <w:rFonts w:cs="Times New Roman"/>
          <w:noProof/>
          <w:lang w:val="fr-CA"/>
        </w:rPr>
        <w:t xml:space="preserve"> même dans ses observations préliminaires au procès, l’avocat de M.</w:t>
      </w:r>
      <w:r w:rsidR="00894691">
        <w:rPr>
          <w:rFonts w:cs="Times New Roman"/>
          <w:noProof/>
          <w:lang w:val="fr-CA"/>
        </w:rPr>
        <w:t xml:space="preserve"> </w:t>
      </w:r>
      <w:r w:rsidRPr="00B37C27">
        <w:rPr>
          <w:rFonts w:cs="Times New Roman"/>
          <w:noProof/>
          <w:lang w:val="fr-CA"/>
        </w:rPr>
        <w:t xml:space="preserve">Bhasin a soulevé cette question. </w:t>
      </w:r>
    </w:p>
    <w:p w:rsidR="00142A2B" w:rsidRPr="00B37C27" w:rsidRDefault="00142A2B" w:rsidP="00894691">
      <w:pPr>
        <w:pStyle w:val="ParaNoNdepar-AltN"/>
        <w:rPr>
          <w:rFonts w:cs="Times New Roman"/>
          <w:noProof/>
          <w:lang w:val="fr-CA"/>
        </w:rPr>
      </w:pPr>
      <w:r w:rsidRPr="00B37C27">
        <w:rPr>
          <w:rFonts w:cs="Times New Roman"/>
          <w:noProof/>
          <w:lang w:val="fr-CA"/>
        </w:rPr>
        <w:t>La juge de première instance a estimé que s’il y avait eu une lacune dans les actes de procédure, celle</w:t>
      </w:r>
      <w:r w:rsidR="00894691">
        <w:rPr>
          <w:rFonts w:cs="Times New Roman"/>
          <w:noProof/>
          <w:lang w:val="fr-CA"/>
        </w:rPr>
        <w:t>-</w:t>
      </w:r>
      <w:r w:rsidRPr="00B37C27">
        <w:rPr>
          <w:rFonts w:cs="Times New Roman"/>
          <w:noProof/>
          <w:lang w:val="fr-CA"/>
        </w:rPr>
        <w:t>ci n’avait pas porté préjudice aux intimés</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23 et 48.  La juge était la mieux placée pour formuler cette conclusion qui commande la déférence en appel.  La question de la bonne foi a fait l’objet d’un débat et d’un examen exhaustifs en cour d’appel et elle a été pleinement débattue au fond devant notre Cour.</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 xml:space="preserve">À mon avis, la juge de première instance n’a pas commis d’erreur donnant lieu à révision lorsqu’elle a tranché la question de la bonne foi et nous devrions nous prononcer sur le fond de cette question. </w:t>
      </w:r>
    </w:p>
    <w:p w:rsidR="00142A2B" w:rsidRPr="00B37C27" w:rsidRDefault="00142A2B" w:rsidP="00894691">
      <w:pPr>
        <w:pStyle w:val="Title2LevelTitre2Niveau"/>
        <w:rPr>
          <w:rFonts w:cs="Times New Roman"/>
          <w:noProof/>
          <w:lang w:val="fr-CA"/>
        </w:rPr>
      </w:pPr>
      <w:r w:rsidRPr="00B37C27">
        <w:rPr>
          <w:rFonts w:cs="Times New Roman"/>
          <w:noProof/>
          <w:lang w:val="fr-CA"/>
        </w:rPr>
        <w:t>Can</w:t>
      </w:r>
      <w:r w:rsidR="00894691">
        <w:rPr>
          <w:rFonts w:cs="Times New Roman"/>
          <w:noProof/>
          <w:lang w:val="fr-CA"/>
        </w:rPr>
        <w:t>-</w:t>
      </w:r>
      <w:r w:rsidRPr="00B37C27">
        <w:rPr>
          <w:rFonts w:cs="Times New Roman"/>
          <w:noProof/>
          <w:lang w:val="fr-CA"/>
        </w:rPr>
        <w:t>Am avait</w:t>
      </w:r>
      <w:r w:rsidR="00894691">
        <w:rPr>
          <w:rFonts w:cs="Times New Roman"/>
          <w:noProof/>
          <w:lang w:val="fr-CA"/>
        </w:rPr>
        <w:t>-</w:t>
      </w:r>
      <w:r w:rsidRPr="00B37C27">
        <w:rPr>
          <w:rFonts w:cs="Times New Roman"/>
          <w:noProof/>
          <w:lang w:val="fr-CA"/>
        </w:rPr>
        <w:t>elle l’obligation d’agir de bonne foi envers M.</w:t>
      </w:r>
      <w:r w:rsidR="00894691">
        <w:rPr>
          <w:rFonts w:cs="Times New Roman"/>
          <w:noProof/>
          <w:lang w:val="fr-CA"/>
        </w:rPr>
        <w:t xml:space="preserve"> </w:t>
      </w:r>
      <w:r w:rsidRPr="00B37C27">
        <w:rPr>
          <w:rFonts w:cs="Times New Roman"/>
          <w:noProof/>
          <w:lang w:val="fr-CA"/>
        </w:rPr>
        <w:t>Bhasin?</w:t>
      </w:r>
    </w:p>
    <w:p w:rsidR="00142A2B" w:rsidRPr="00B37C27" w:rsidRDefault="00142A2B" w:rsidP="00A720F3">
      <w:pPr>
        <w:pStyle w:val="Title3LevelTitre3Niveau"/>
        <w:tabs>
          <w:tab w:val="clear" w:pos="864"/>
          <w:tab w:val="num" w:pos="900"/>
        </w:tabs>
        <w:ind w:left="900"/>
        <w:rPr>
          <w:rFonts w:cs="Times New Roman"/>
          <w:noProof/>
          <w:lang w:val="fr-CA"/>
        </w:rPr>
      </w:pPr>
      <w:r w:rsidRPr="00B37C27">
        <w:rPr>
          <w:rFonts w:cs="Times New Roman"/>
          <w:noProof/>
          <w:lang w:val="fr-CA"/>
        </w:rPr>
        <w:t>Décisions et thèses des parties</w:t>
      </w:r>
    </w:p>
    <w:p w:rsidR="00142A2B" w:rsidRPr="00B37C27" w:rsidRDefault="00142A2B" w:rsidP="00A720F3">
      <w:pPr>
        <w:pStyle w:val="Title4LevelTitre4Niveau"/>
        <w:tabs>
          <w:tab w:val="clear" w:pos="1296"/>
          <w:tab w:val="num" w:pos="900"/>
        </w:tabs>
        <w:ind w:left="900" w:hanging="450"/>
        <w:rPr>
          <w:noProof/>
          <w:lang w:val="fr-CA"/>
        </w:rPr>
      </w:pPr>
      <w:r w:rsidRPr="00B37C27">
        <w:rPr>
          <w:noProof/>
          <w:lang w:val="fr-CA"/>
        </w:rPr>
        <w:t>Décisions</w:t>
      </w:r>
    </w:p>
    <w:p w:rsidR="00142A2B" w:rsidRPr="00B37C27" w:rsidRDefault="00142A2B" w:rsidP="00894691">
      <w:pPr>
        <w:pStyle w:val="ParaNoNdepar-AltN"/>
        <w:rPr>
          <w:rFonts w:cs="Times New Roman"/>
          <w:noProof/>
          <w:lang w:val="fr-CA"/>
        </w:rPr>
      </w:pPr>
      <w:r w:rsidRPr="00B37C27">
        <w:rPr>
          <w:rFonts w:cs="Times New Roman"/>
          <w:noProof/>
          <w:lang w:val="fr-CA"/>
        </w:rPr>
        <w:t>La juge de première instance a accepté la thèse de M.</w:t>
      </w:r>
      <w:r w:rsidR="00894691">
        <w:rPr>
          <w:rFonts w:cs="Times New Roman"/>
          <w:noProof/>
          <w:lang w:val="fr-CA"/>
        </w:rPr>
        <w:t xml:space="preserve"> </w:t>
      </w:r>
      <w:r w:rsidRPr="00B37C27">
        <w:rPr>
          <w:rFonts w:cs="Times New Roman"/>
          <w:noProof/>
          <w:lang w:val="fr-CA"/>
        </w:rPr>
        <w:t xml:space="preserve">Bhasin fondée sur l’existence d’une obligation d’agir de bonne foi en l’espèce et sur le manquement à cette obligation.  En résumé, la juge a fait le raisonnement qui suit. </w:t>
      </w:r>
    </w:p>
    <w:p w:rsidR="00142A2B" w:rsidRPr="00B37C27" w:rsidRDefault="00142A2B" w:rsidP="00894691">
      <w:pPr>
        <w:pStyle w:val="ParaNoNdepar-AltN"/>
        <w:rPr>
          <w:rFonts w:cs="Times New Roman"/>
          <w:noProof/>
          <w:lang w:val="fr-CA"/>
        </w:rPr>
      </w:pPr>
      <w:r w:rsidRPr="00B37C27">
        <w:rPr>
          <w:rFonts w:cs="Times New Roman"/>
          <w:noProof/>
          <w:lang w:val="fr-CA"/>
        </w:rPr>
        <w:t>Premièrement, la juge de première instance a décidé que l’entente conclue en 1998 exigeait en droit une exécution de bonne foi.  Selon la juge, l’entente conclue en 1998 n’appartenait à aucune des catégories établies de contrats, comme les contrats de travail, d’assurance et de franchise</w:t>
      </w:r>
      <w:r w:rsidR="00A720F3">
        <w:rPr>
          <w:rFonts w:cs="Times New Roman"/>
          <w:noProof/>
          <w:lang w:val="fr-CA"/>
        </w:rPr>
        <w:t>, qui selon la jurisprudence</w:t>
      </w:r>
      <w:r w:rsidRPr="00B37C27">
        <w:rPr>
          <w:rFonts w:cs="Times New Roman"/>
          <w:noProof/>
          <w:lang w:val="fr-CA"/>
        </w:rPr>
        <w:t xml:space="preserve"> exigent une exécution de bonne foi.  Elle a toutefois conclu que l’entente correspondait à un contrat de franchise ou de travail, et elle a ainsi déduit, par analogie avec les décisions en </w:t>
      </w:r>
      <w:r w:rsidR="007678EC">
        <w:rPr>
          <w:rFonts w:cs="Times New Roman"/>
          <w:noProof/>
          <w:lang w:val="fr-CA"/>
        </w:rPr>
        <w:t xml:space="preserve">la </w:t>
      </w:r>
      <w:r w:rsidRPr="00B37C27">
        <w:rPr>
          <w:rFonts w:cs="Times New Roman"/>
          <w:noProof/>
          <w:lang w:val="fr-CA"/>
        </w:rPr>
        <w:t>matière, l’existence en droit d’une condition d’exécution de bonne foi.  Dès le début, le contrat n’établissait pas un équilibre entre les parties; le directeur des souscriptions se trouvait dans une position de vulnérabilité inhérente et prévisible</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67</w:t>
      </w:r>
      <w:r w:rsidR="00894691">
        <w:rPr>
          <w:rFonts w:cs="Times New Roman"/>
          <w:noProof/>
          <w:lang w:val="fr-CA"/>
        </w:rPr>
        <w:t>-</w:t>
      </w:r>
      <w:r w:rsidRPr="00B37C27">
        <w:rPr>
          <w:rFonts w:cs="Times New Roman"/>
          <w:noProof/>
          <w:lang w:val="fr-CA"/>
        </w:rPr>
        <w:t xml:space="preserve">86. </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Deuxièmement, à titre subsidiaire, la juge de première instance a conclu que</w:t>
      </w:r>
      <w:r w:rsidR="00A720F3">
        <w:rPr>
          <w:rFonts w:cs="Times New Roman"/>
          <w:noProof/>
          <w:lang w:val="fr-CA"/>
        </w:rPr>
        <w:t>,</w:t>
      </w:r>
      <w:r w:rsidRPr="00B37C27">
        <w:rPr>
          <w:rFonts w:cs="Times New Roman"/>
          <w:noProof/>
          <w:lang w:val="fr-CA"/>
        </w:rPr>
        <w:t xml:space="preserve"> pour donner à l’entente une efficacité commerciale, une condition relative à l’exécution de bonne foi était implicite, compte tenu de l’intention des parties.  Selon la juge,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[a]u regard de la relation [</w:t>
      </w:r>
      <w:r w:rsidR="00894691">
        <w:rPr>
          <w:rFonts w:cs="Times New Roman"/>
          <w:noProof/>
          <w:lang w:val="fr-CA"/>
        </w:rPr>
        <w:t>. . .</w:t>
      </w:r>
      <w:r w:rsidRPr="00B37C27">
        <w:rPr>
          <w:rFonts w:cs="Times New Roman"/>
          <w:noProof/>
          <w:lang w:val="fr-CA"/>
        </w:rPr>
        <w:t>] dans son ensemble, il ressort clairement que les parties étaient tenues d’agir de bonne foi et qu’elles étaient liées par une obligation d’équité.  En d’autres termes, la bonne foi était nécessaire pour donner une efficacité commerciale à l’ensemble de l’entente de 1998</w:t>
      </w:r>
      <w:r w:rsidR="00894691">
        <w:rPr>
          <w:rFonts w:cs="Times New Roman"/>
          <w:noProof/>
          <w:lang w:val="fr-CA"/>
        </w:rPr>
        <w:t> »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 xml:space="preserve">101. </w:t>
      </w:r>
    </w:p>
    <w:p w:rsidR="00142A2B" w:rsidRPr="00B37C27" w:rsidRDefault="00142A2B" w:rsidP="00894691">
      <w:pPr>
        <w:pStyle w:val="ParaNoNdepar-AltN"/>
        <w:rPr>
          <w:rFonts w:cs="Times New Roman"/>
          <w:noProof/>
          <w:lang w:val="fr-CA"/>
        </w:rPr>
      </w:pPr>
      <w:r w:rsidRPr="00B37C27">
        <w:rPr>
          <w:rFonts w:cs="Times New Roman"/>
          <w:noProof/>
          <w:lang w:val="fr-CA"/>
        </w:rPr>
        <w:t>L’entente de</w:t>
      </w:r>
      <w:r w:rsidR="00894691">
        <w:rPr>
          <w:rFonts w:cs="Times New Roman"/>
          <w:noProof/>
          <w:lang w:val="fr-CA"/>
        </w:rPr>
        <w:t xml:space="preserve"> </w:t>
      </w:r>
      <w:r w:rsidRPr="00B37C27">
        <w:rPr>
          <w:rFonts w:cs="Times New Roman"/>
          <w:noProof/>
          <w:lang w:val="fr-CA"/>
        </w:rPr>
        <w:t xml:space="preserve">1998 renfermait une </w:t>
      </w:r>
      <w:r w:rsidR="00894691">
        <w:rPr>
          <w:rFonts w:cs="Times New Roman"/>
          <w:noProof/>
          <w:lang w:val="fr-CA"/>
        </w:rPr>
        <w:t>« </w:t>
      </w:r>
      <w:r w:rsidRPr="00B37C27">
        <w:rPr>
          <w:rFonts w:cs="Times New Roman"/>
          <w:noProof/>
          <w:lang w:val="fr-CA"/>
        </w:rPr>
        <w:t>clause d’intégralité de l’entente</w:t>
      </w:r>
      <w:r w:rsidR="00894691">
        <w:rPr>
          <w:rFonts w:cs="Times New Roman"/>
          <w:noProof/>
          <w:lang w:val="fr-CA"/>
        </w:rPr>
        <w:t> »</w:t>
      </w:r>
      <w:r w:rsidRPr="00B37C27">
        <w:rPr>
          <w:rFonts w:cs="Times New Roman"/>
          <w:noProof/>
          <w:lang w:val="fr-CA"/>
        </w:rPr>
        <w:t xml:space="preserve">, selon laquelle les parties n’avaient conclu aucune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entente expresse, implicite ou prévue par la loi, autre que celle qui est expressément prévue</w:t>
      </w:r>
      <w:r w:rsidR="00A720F3">
        <w:rPr>
          <w:rFonts w:cs="Times New Roman"/>
          <w:noProof/>
          <w:lang w:val="fr-CA"/>
        </w:rPr>
        <w:t> »</w:t>
      </w:r>
      <w:r w:rsidRPr="00B37C27">
        <w:rPr>
          <w:rFonts w:cs="Times New Roman"/>
          <w:noProof/>
          <w:lang w:val="fr-CA"/>
        </w:rPr>
        <w:t xml:space="preserve"> aux présentes</w:t>
      </w:r>
      <w:r w:rsidR="00894691">
        <w:rPr>
          <w:rFonts w:cs="Times New Roman"/>
          <w:noProof/>
          <w:lang w:val="fr-CA"/>
        </w:rPr>
        <w:t> :</w:t>
      </w:r>
      <w:r w:rsidRPr="00B37C27">
        <w:rPr>
          <w:rFonts w:cs="Times New Roman"/>
          <w:noProof/>
          <w:lang w:val="fr-CA"/>
        </w:rPr>
        <w:t xml:space="preserve"> clause</w:t>
      </w:r>
      <w:r w:rsidR="00894691">
        <w:rPr>
          <w:rFonts w:cs="Times New Roman"/>
          <w:noProof/>
          <w:lang w:val="fr-CA"/>
        </w:rPr>
        <w:t xml:space="preserve"> </w:t>
      </w:r>
      <w:r w:rsidRPr="00B37C27">
        <w:rPr>
          <w:rFonts w:cs="Times New Roman"/>
          <w:noProof/>
          <w:lang w:val="fr-CA"/>
        </w:rPr>
        <w:t>11.2.  Or, selon la juge de première instance, cette clause n’empêchait pas l’existence implicite d’une obligation d’agir de bonne foi.  La juge a expliqué que les parties ne peuvent pas invoquer des clauses d’exclusion pour se soustraire aux obligations contractuelles dans le cas d’une inégalité de pouvoir et que les tribunaux interdisent aux parties de se prévaloir des clauses d’intégralité de l’entente lorsqu’il serait injuste ou inéquitable de le faire</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116</w:t>
      </w:r>
      <w:r w:rsidR="00894691">
        <w:rPr>
          <w:rFonts w:cs="Times New Roman"/>
          <w:noProof/>
          <w:lang w:val="fr-CA"/>
        </w:rPr>
        <w:t>-</w:t>
      </w:r>
      <w:r w:rsidRPr="00B37C27">
        <w:rPr>
          <w:rFonts w:cs="Times New Roman"/>
          <w:noProof/>
          <w:lang w:val="fr-CA"/>
        </w:rPr>
        <w:t>118.</w:t>
      </w:r>
    </w:p>
    <w:p w:rsidR="00142A2B" w:rsidRPr="00B37C27" w:rsidRDefault="00142A2B" w:rsidP="00894691">
      <w:pPr>
        <w:pStyle w:val="ParaNoNdepar-AltN"/>
        <w:rPr>
          <w:rFonts w:cs="Times New Roman"/>
          <w:noProof/>
          <w:lang w:val="fr-CA"/>
        </w:rPr>
      </w:pPr>
      <w:r w:rsidRPr="00B37C27">
        <w:rPr>
          <w:rFonts w:cs="Times New Roman"/>
          <w:noProof/>
          <w:lang w:val="fr-CA"/>
        </w:rPr>
        <w:t>En qui concerne la question du manquement, la juge de première instance a conclu que Can</w:t>
      </w:r>
      <w:r w:rsidR="00894691">
        <w:rPr>
          <w:rFonts w:cs="Times New Roman"/>
          <w:noProof/>
          <w:lang w:val="fr-CA"/>
        </w:rPr>
        <w:t>-</w:t>
      </w:r>
      <w:r w:rsidRPr="00B37C27">
        <w:rPr>
          <w:rFonts w:cs="Times New Roman"/>
          <w:noProof/>
          <w:lang w:val="fr-CA"/>
        </w:rPr>
        <w:t>Am avait rompu l’entente, tout d’abord lorsqu’elle a exigé de M.</w:t>
      </w:r>
      <w:r w:rsidR="00894691">
        <w:rPr>
          <w:rFonts w:cs="Times New Roman"/>
          <w:noProof/>
          <w:lang w:val="fr-CA"/>
        </w:rPr>
        <w:t xml:space="preserve"> </w:t>
      </w:r>
      <w:r w:rsidRPr="00B37C27">
        <w:rPr>
          <w:rFonts w:cs="Times New Roman"/>
          <w:noProof/>
          <w:lang w:val="fr-CA"/>
        </w:rPr>
        <w:t>Bhasin qu’il laisse M.</w:t>
      </w:r>
      <w:r w:rsidR="00894691">
        <w:rPr>
          <w:rFonts w:cs="Times New Roman"/>
          <w:noProof/>
          <w:lang w:val="fr-CA"/>
        </w:rPr>
        <w:t xml:space="preserve"> </w:t>
      </w:r>
      <w:r w:rsidRPr="00B37C27">
        <w:rPr>
          <w:rFonts w:cs="Times New Roman"/>
          <w:noProof/>
          <w:lang w:val="fr-CA"/>
        </w:rPr>
        <w:t>Hrynew procéder à une vérification et qu’il permette à ce dernier l’accès à ses registres, et ensuite lorsqu’elle a appliqué la clause de non</w:t>
      </w:r>
      <w:r w:rsidR="00894691">
        <w:rPr>
          <w:rFonts w:cs="Times New Roman"/>
          <w:noProof/>
          <w:lang w:val="fr-CA"/>
        </w:rPr>
        <w:t>-</w:t>
      </w:r>
      <w:r w:rsidRPr="00B37C27">
        <w:rPr>
          <w:rFonts w:cs="Times New Roman"/>
          <w:noProof/>
          <w:lang w:val="fr-CA"/>
        </w:rPr>
        <w:t>renouvellement d’une façon malhonnête et trompeuse et dans un but illégitime.  La clause de non</w:t>
      </w:r>
      <w:r w:rsidR="00894691">
        <w:rPr>
          <w:rFonts w:cs="Times New Roman"/>
          <w:noProof/>
          <w:lang w:val="fr-CA"/>
        </w:rPr>
        <w:t>-</w:t>
      </w:r>
      <w:r w:rsidRPr="00B37C27">
        <w:rPr>
          <w:rFonts w:cs="Times New Roman"/>
          <w:noProof/>
          <w:lang w:val="fr-CA"/>
        </w:rPr>
        <w:t>renouvellement ne visait pas à permettre à Can</w:t>
      </w:r>
      <w:r w:rsidR="00894691">
        <w:rPr>
          <w:rFonts w:cs="Times New Roman"/>
          <w:noProof/>
          <w:lang w:val="fr-CA"/>
        </w:rPr>
        <w:t>-</w:t>
      </w:r>
      <w:r w:rsidRPr="00B37C27">
        <w:rPr>
          <w:rFonts w:cs="Times New Roman"/>
          <w:noProof/>
          <w:lang w:val="fr-CA"/>
        </w:rPr>
        <w:t xml:space="preserve">Am d’imposer la fusion </w:t>
      </w:r>
      <w:r w:rsidRPr="00B37C27">
        <w:rPr>
          <w:rFonts w:cs="Times New Roman"/>
          <w:noProof/>
          <w:lang w:val="fr-CA"/>
        </w:rPr>
        <w:lastRenderedPageBreak/>
        <w:t>des agences de M.</w:t>
      </w:r>
      <w:r w:rsidR="00894691">
        <w:rPr>
          <w:rFonts w:cs="Times New Roman"/>
          <w:noProof/>
          <w:lang w:val="fr-CA"/>
        </w:rPr>
        <w:t xml:space="preserve"> </w:t>
      </w:r>
      <w:r w:rsidRPr="00B37C27">
        <w:rPr>
          <w:rFonts w:cs="Times New Roman"/>
          <w:noProof/>
          <w:lang w:val="fr-CA"/>
        </w:rPr>
        <w:t>Bhasin et de M.</w:t>
      </w:r>
      <w:r w:rsidR="00894691">
        <w:rPr>
          <w:rFonts w:cs="Times New Roman"/>
          <w:noProof/>
          <w:lang w:val="fr-CA"/>
        </w:rPr>
        <w:t xml:space="preserve"> </w:t>
      </w:r>
      <w:r w:rsidRPr="00B37C27">
        <w:rPr>
          <w:rFonts w:cs="Times New Roman"/>
          <w:noProof/>
          <w:lang w:val="fr-CA"/>
        </w:rPr>
        <w:t>Hrynew, mais c’est exactement dans ce but que Can</w:t>
      </w:r>
      <w:r w:rsidR="00894691">
        <w:rPr>
          <w:rFonts w:cs="Times New Roman"/>
          <w:noProof/>
          <w:lang w:val="fr-CA"/>
        </w:rPr>
        <w:t>-</w:t>
      </w:r>
      <w:r w:rsidRPr="00B37C27">
        <w:rPr>
          <w:rFonts w:cs="Times New Roman"/>
          <w:noProof/>
          <w:lang w:val="fr-CA"/>
        </w:rPr>
        <w:t>Am a eu recours à cette clause</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261.  La juge a également conclu que les deux intimés avaient engagé leur responsabilité pour complot prévoyant le recours à des moyens illégaux et que M.</w:t>
      </w:r>
      <w:r w:rsidR="00894691">
        <w:rPr>
          <w:rFonts w:cs="Times New Roman"/>
          <w:noProof/>
          <w:lang w:val="fr-CA"/>
        </w:rPr>
        <w:t xml:space="preserve"> </w:t>
      </w:r>
      <w:r w:rsidRPr="00B37C27">
        <w:rPr>
          <w:rFonts w:cs="Times New Roman"/>
          <w:noProof/>
          <w:lang w:val="fr-CA"/>
        </w:rPr>
        <w:t>Hrynew était responsable d’avoir incité Can</w:t>
      </w:r>
      <w:r w:rsidR="00894691">
        <w:rPr>
          <w:rFonts w:cs="Times New Roman"/>
          <w:noProof/>
          <w:lang w:val="fr-CA"/>
        </w:rPr>
        <w:t>-</w:t>
      </w:r>
      <w:r w:rsidRPr="00B37C27">
        <w:rPr>
          <w:rFonts w:cs="Times New Roman"/>
          <w:noProof/>
          <w:lang w:val="fr-CA"/>
        </w:rPr>
        <w:t>Am à rompre le contrat qu’elle avait conclu avec M.</w:t>
      </w:r>
      <w:r w:rsidR="00894691">
        <w:rPr>
          <w:rFonts w:cs="Times New Roman"/>
          <w:noProof/>
          <w:lang w:val="fr-CA"/>
        </w:rPr>
        <w:t xml:space="preserve"> </w:t>
      </w:r>
      <w:r w:rsidRPr="00B37C27">
        <w:rPr>
          <w:rFonts w:cs="Times New Roman"/>
          <w:noProof/>
          <w:lang w:val="fr-CA"/>
        </w:rPr>
        <w:t>Bhasin.</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La </w:t>
      </w:r>
      <w:r w:rsidR="00A720F3">
        <w:rPr>
          <w:rFonts w:cs="Times New Roman"/>
          <w:noProof/>
          <w:lang w:val="fr-CA"/>
        </w:rPr>
        <w:t>C</w:t>
      </w:r>
      <w:r w:rsidRPr="00B37C27">
        <w:rPr>
          <w:rFonts w:cs="Times New Roman"/>
          <w:noProof/>
          <w:lang w:val="fr-CA"/>
        </w:rPr>
        <w:t>our d’appel a infirmé cette décision et a jugé que le contrat n’avait pas été rompu.  L’obligation d’agir de bonne foi intrinsèque aux contrats de travail ne saurait être étendue par analogie à d’autres types de contrat.  Quoi qu’il en soit, dans le contexte de l’emploi, l’obligation d’agir de bonne foi se limite à la façon dont le contrat est résilié et ne s’applique pas aux motifs justifiant le non</w:t>
      </w:r>
      <w:r w:rsidR="00894691">
        <w:rPr>
          <w:rFonts w:cs="Times New Roman"/>
          <w:noProof/>
          <w:lang w:val="fr-CA"/>
        </w:rPr>
        <w:t>-</w:t>
      </w:r>
      <w:r w:rsidRPr="00B37C27">
        <w:rPr>
          <w:rFonts w:cs="Times New Roman"/>
          <w:noProof/>
          <w:lang w:val="fr-CA"/>
        </w:rPr>
        <w:t>renouvellement</w:t>
      </w:r>
      <w:r w:rsidR="00894691">
        <w:rPr>
          <w:rFonts w:cs="Times New Roman"/>
          <w:noProof/>
          <w:lang w:val="fr-CA"/>
        </w:rPr>
        <w:t> :</w:t>
      </w:r>
      <w:r w:rsidR="00A720F3">
        <w:rPr>
          <w:rFonts w:cs="Times New Roman"/>
          <w:noProof/>
          <w:lang w:val="fr-CA"/>
        </w:rPr>
        <w:t xml:space="preserve"> motifs de la C</w:t>
      </w:r>
      <w:r w:rsidRPr="00B37C27">
        <w:rPr>
          <w:rFonts w:cs="Times New Roman"/>
          <w:noProof/>
          <w:lang w:val="fr-CA"/>
        </w:rPr>
        <w:t>our d’appel, par.</w:t>
      </w:r>
      <w:r w:rsidR="00894691">
        <w:rPr>
          <w:rFonts w:cs="Times New Roman"/>
          <w:noProof/>
          <w:lang w:val="fr-CA"/>
        </w:rPr>
        <w:t xml:space="preserve"> </w:t>
      </w:r>
      <w:r w:rsidRPr="00B37C27">
        <w:rPr>
          <w:rFonts w:cs="Times New Roman"/>
          <w:noProof/>
          <w:lang w:val="fr-CA"/>
        </w:rPr>
        <w:t>27 et 31.  Il ne s’agissait pas non plus d’une situation où l’on pouvait déduire l’existence d’une condition parce qu’elle était si évidente qu’il n’était pas jugé nécessaire de la mentionner ou qu’elle était nécessaire à l’exécution du contrat</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32.  Même s’il existait une obligation implicite d’agir de bonne foi en l’espèce, la conduite reprochée portait sur le non</w:t>
      </w:r>
      <w:r w:rsidR="00894691">
        <w:rPr>
          <w:rFonts w:cs="Times New Roman"/>
          <w:noProof/>
          <w:lang w:val="fr-CA"/>
        </w:rPr>
        <w:t>-</w:t>
      </w:r>
      <w:r w:rsidRPr="00B37C27">
        <w:rPr>
          <w:rFonts w:cs="Times New Roman"/>
          <w:noProof/>
          <w:lang w:val="fr-CA"/>
        </w:rPr>
        <w:t>renouvellement d’un contrat, qui a lieu à l’échéance, contrairement à une clause de résiliation</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 xml:space="preserve">31. </w:t>
      </w:r>
    </w:p>
    <w:p w:rsidR="00142A2B" w:rsidRPr="00B37C27" w:rsidRDefault="00A720F3" w:rsidP="00894691">
      <w:pPr>
        <w:pStyle w:val="ParaNoNdepar-AltN"/>
        <w:rPr>
          <w:rFonts w:cs="Times New Roman"/>
          <w:noProof/>
          <w:lang w:val="fr-CA"/>
        </w:rPr>
      </w:pPr>
      <w:r>
        <w:rPr>
          <w:rFonts w:cs="Times New Roman"/>
          <w:noProof/>
          <w:lang w:val="fr-CA"/>
        </w:rPr>
        <w:t>En outre, la C</w:t>
      </w:r>
      <w:r w:rsidR="00142A2B" w:rsidRPr="00B37C27">
        <w:rPr>
          <w:rFonts w:cs="Times New Roman"/>
          <w:noProof/>
          <w:lang w:val="fr-CA"/>
        </w:rPr>
        <w:t>our d’appel a conclu qu’il ne saurait y avoir de condition implicite dans le cas où celle</w:t>
      </w:r>
      <w:r w:rsidR="00894691">
        <w:rPr>
          <w:rFonts w:cs="Times New Roman"/>
          <w:noProof/>
          <w:lang w:val="fr-CA"/>
        </w:rPr>
        <w:t>-</w:t>
      </w:r>
      <w:r w:rsidR="00142A2B" w:rsidRPr="00B37C27">
        <w:rPr>
          <w:rFonts w:cs="Times New Roman"/>
          <w:noProof/>
          <w:lang w:val="fr-CA"/>
        </w:rPr>
        <w:t>ci va à l’encontre d’une condition expresse du contrat.  En l’espèce, les parties n’avaient pas l’intention de conclure un contrat perpétuel car elles avaient prévu une clause permettant à l’une ou l’autre partie de mettre fin au contrat avant l’échéance de chaque période de trois ans.  L’approche adoptée par la juge de première instance était incompatible avec la clause de non</w:t>
      </w:r>
      <w:r w:rsidR="00894691">
        <w:rPr>
          <w:rFonts w:cs="Times New Roman"/>
          <w:noProof/>
          <w:lang w:val="fr-CA"/>
        </w:rPr>
        <w:t>-</w:t>
      </w:r>
      <w:r w:rsidR="00142A2B" w:rsidRPr="00B37C27">
        <w:rPr>
          <w:rFonts w:cs="Times New Roman"/>
          <w:noProof/>
          <w:lang w:val="fr-CA"/>
        </w:rPr>
        <w:t xml:space="preserve">renouvellement du </w:t>
      </w:r>
      <w:r w:rsidR="00142A2B" w:rsidRPr="00B37C27">
        <w:rPr>
          <w:rFonts w:cs="Times New Roman"/>
          <w:noProof/>
          <w:lang w:val="fr-CA"/>
        </w:rPr>
        <w:lastRenderedPageBreak/>
        <w:t>contrat.  L’entente ne limitait aucunement les motifs permettant d’y mettre fin.  L’existence implicite d’une condition d’agir de bonne foi violait également la clause d’intégralité de l’entente.  La cour a conclu que la preuve des assurances données par Can</w:t>
      </w:r>
      <w:r w:rsidR="00894691">
        <w:rPr>
          <w:rFonts w:cs="Times New Roman"/>
          <w:noProof/>
          <w:lang w:val="fr-CA"/>
        </w:rPr>
        <w:t>-</w:t>
      </w:r>
      <w:r w:rsidR="00142A2B" w:rsidRPr="00B37C27">
        <w:rPr>
          <w:rFonts w:cs="Times New Roman"/>
          <w:noProof/>
          <w:lang w:val="fr-CA"/>
        </w:rPr>
        <w:t>Am quant à la façon dont serait exercé le pouvoir de ne pas renouveller l’entente contrevenait à la règle d’exclusion de la preuve testimoniale et n’aurait pas dû êtr</w:t>
      </w:r>
      <w:r>
        <w:rPr>
          <w:rFonts w:cs="Times New Roman"/>
          <w:noProof/>
          <w:lang w:val="fr-CA"/>
        </w:rPr>
        <w:t>e prise en compte.  Puisque la C</w:t>
      </w:r>
      <w:r w:rsidR="00142A2B" w:rsidRPr="00B37C27">
        <w:rPr>
          <w:rFonts w:cs="Times New Roman"/>
          <w:noProof/>
          <w:lang w:val="fr-CA"/>
        </w:rPr>
        <w:t>our d’appel a conclu à l’absence de rupture du contrat, il n’y avait plus aucun fondement pour étayer les allégations de complot prévoyant le recours à des moyens illégaux et d’incitation à rupture de contrat.</w:t>
      </w:r>
    </w:p>
    <w:p w:rsidR="00142A2B" w:rsidRPr="00B37C27" w:rsidRDefault="00142A2B" w:rsidP="00A720F3">
      <w:pPr>
        <w:pStyle w:val="Title4LevelTitre4Niveau"/>
        <w:tabs>
          <w:tab w:val="clear" w:pos="1296"/>
          <w:tab w:val="num" w:pos="900"/>
        </w:tabs>
        <w:ind w:left="900" w:hanging="450"/>
        <w:rPr>
          <w:rFonts w:cs="Times New Roman"/>
          <w:noProof/>
          <w:lang w:val="fr-CA"/>
        </w:rPr>
      </w:pPr>
      <w:r w:rsidRPr="00B37C27">
        <w:rPr>
          <w:rFonts w:cs="Times New Roman"/>
          <w:noProof/>
          <w:lang w:val="fr-CA"/>
        </w:rPr>
        <w:t>Positions des parties</w:t>
      </w:r>
    </w:p>
    <w:p w:rsidR="00142A2B" w:rsidRPr="00B37C27" w:rsidRDefault="00142A2B" w:rsidP="00894691">
      <w:pPr>
        <w:pStyle w:val="ParaNoNdepar-AltN"/>
        <w:tabs>
          <w:tab w:val="clear" w:pos="1152"/>
          <w:tab w:val="left" w:pos="1166"/>
        </w:tabs>
        <w:rPr>
          <w:rFonts w:cs="Times New Roman"/>
          <w:noProof/>
          <w:lang w:val="fr-CA"/>
        </w:rPr>
      </w:pPr>
      <w:r w:rsidRPr="00B37C27">
        <w:rPr>
          <w:rFonts w:cs="Times New Roman"/>
          <w:noProof/>
          <w:lang w:val="fr-CA"/>
        </w:rPr>
        <w:t>Dans le cadre du pourvoi, M.</w:t>
      </w:r>
      <w:r w:rsidR="00894691">
        <w:rPr>
          <w:rFonts w:cs="Times New Roman"/>
          <w:noProof/>
          <w:lang w:val="fr-CA"/>
        </w:rPr>
        <w:t xml:space="preserve"> </w:t>
      </w:r>
      <w:r w:rsidRPr="00B37C27">
        <w:rPr>
          <w:rFonts w:cs="Times New Roman"/>
          <w:noProof/>
          <w:lang w:val="fr-CA"/>
        </w:rPr>
        <w:t>Bhasin invoque deux thèses connexes.  Il soutient principalement que la Cour devrait reconnaître l’existence d’une obligation générale d’agir de bonne foi en matière contractuelle.  Cette obligation prend naissance lorsque l’entente confère au défendeur le pouvoir de compromettre unilatéralement un objectif contractuel légitime du demandeur et ne lui permet pas clairement d’exercer son pouvoir sans égard à cet objectif</w:t>
      </w:r>
      <w:r w:rsidR="00894691">
        <w:rPr>
          <w:rFonts w:cs="Times New Roman"/>
          <w:noProof/>
          <w:lang w:val="fr-CA"/>
        </w:rPr>
        <w:t> :</w:t>
      </w:r>
      <w:r w:rsidRPr="00B37C27">
        <w:rPr>
          <w:rFonts w:cs="Times New Roman"/>
          <w:noProof/>
          <w:lang w:val="fr-CA"/>
        </w:rPr>
        <w:t xml:space="preserve"> m.a., par.</w:t>
      </w:r>
      <w:r w:rsidR="00894691">
        <w:rPr>
          <w:rFonts w:cs="Times New Roman"/>
          <w:noProof/>
          <w:lang w:val="fr-CA"/>
        </w:rPr>
        <w:t xml:space="preserve"> </w:t>
      </w:r>
      <w:r w:rsidRPr="00B37C27">
        <w:rPr>
          <w:rFonts w:cs="Times New Roman"/>
          <w:noProof/>
          <w:lang w:val="fr-CA"/>
        </w:rPr>
        <w:t>51.  Cette obligation d’agir de bonne foi vise à empêcher toute conduite qui, tout en étant conforme aux termes d’un contrat, démontre la malhonnêteté de la partie qui l’adopte, sa mauvaise volonté, son motif illégitime ou de semblables dérogations aux attentes commerciales raisonnables.  Monsieur</w:t>
      </w:r>
      <w:r w:rsidR="00894691">
        <w:rPr>
          <w:rFonts w:cs="Times New Roman"/>
          <w:noProof/>
          <w:lang w:val="fr-CA"/>
        </w:rPr>
        <w:t xml:space="preserve"> </w:t>
      </w:r>
      <w:r w:rsidRPr="00B37C27">
        <w:rPr>
          <w:rFonts w:cs="Times New Roman"/>
          <w:noProof/>
          <w:lang w:val="fr-CA"/>
        </w:rPr>
        <w:t>Bhasin soutient que la common law canadienne se trouve de plus en plus isolée par rapport à celle d’autres ressorts qui confère un rôle accru à la notion de bonne foi en droit des contrats</w:t>
      </w:r>
      <w:r w:rsidR="00894691">
        <w:rPr>
          <w:rFonts w:cs="Times New Roman"/>
          <w:noProof/>
          <w:lang w:val="fr-CA"/>
        </w:rPr>
        <w:t> :</w:t>
      </w:r>
      <w:r w:rsidRPr="00B37C27">
        <w:rPr>
          <w:rFonts w:cs="Times New Roman"/>
          <w:noProof/>
          <w:lang w:val="fr-CA"/>
        </w:rPr>
        <w:t xml:space="preserve"> m.a., par.</w:t>
      </w:r>
      <w:r w:rsidR="00894691">
        <w:rPr>
          <w:rFonts w:cs="Times New Roman"/>
          <w:noProof/>
          <w:lang w:val="fr-CA"/>
        </w:rPr>
        <w:t xml:space="preserve"> </w:t>
      </w:r>
      <w:r w:rsidRPr="00B37C27">
        <w:rPr>
          <w:rFonts w:cs="Times New Roman"/>
          <w:noProof/>
          <w:lang w:val="fr-CA"/>
        </w:rPr>
        <w:t>27</w:t>
      </w:r>
      <w:r w:rsidR="00894691">
        <w:rPr>
          <w:rFonts w:cs="Times New Roman"/>
          <w:noProof/>
          <w:lang w:val="fr-CA"/>
        </w:rPr>
        <w:t>-</w:t>
      </w:r>
      <w:r w:rsidRPr="00B37C27">
        <w:rPr>
          <w:rFonts w:cs="Times New Roman"/>
          <w:noProof/>
          <w:lang w:val="fr-CA"/>
        </w:rPr>
        <w:t xml:space="preserve">32.  La reconnaissance d’une obligation générale d’agir de bonne foi ferait évoluer le </w:t>
      </w:r>
      <w:r w:rsidRPr="00B37C27">
        <w:rPr>
          <w:rFonts w:cs="Times New Roman"/>
          <w:noProof/>
          <w:lang w:val="fr-CA"/>
        </w:rPr>
        <w:lastRenderedPageBreak/>
        <w:t>droit, étant donné les nombreux cas particuliers qui donnent déjà lieu à une obligation d’agir de bonne foi.  Monsieur</w:t>
      </w:r>
      <w:r w:rsidR="00894691">
        <w:rPr>
          <w:rFonts w:cs="Times New Roman"/>
          <w:noProof/>
          <w:lang w:val="fr-CA"/>
        </w:rPr>
        <w:t xml:space="preserve"> </w:t>
      </w:r>
      <w:r w:rsidRPr="00B37C27">
        <w:rPr>
          <w:rFonts w:cs="Times New Roman"/>
          <w:noProof/>
          <w:lang w:val="fr-CA"/>
        </w:rPr>
        <w:t>Bhasin se fonde sur les conclusions de la juge de première instance portant que les intimés ont eu recours à mauvais escient et de façon malhonnête au droit de non</w:t>
      </w:r>
      <w:r w:rsidR="00894691">
        <w:rPr>
          <w:rFonts w:cs="Times New Roman"/>
          <w:noProof/>
          <w:lang w:val="fr-CA"/>
        </w:rPr>
        <w:t>-</w:t>
      </w:r>
      <w:r w:rsidRPr="00B37C27">
        <w:rPr>
          <w:rFonts w:cs="Times New Roman"/>
          <w:noProof/>
          <w:lang w:val="fr-CA"/>
        </w:rPr>
        <w:t>renouvellement afin de contraindre M.</w:t>
      </w:r>
      <w:r w:rsidR="00894691">
        <w:rPr>
          <w:rFonts w:cs="Times New Roman"/>
          <w:noProof/>
          <w:lang w:val="fr-CA"/>
        </w:rPr>
        <w:t xml:space="preserve"> </w:t>
      </w:r>
      <w:r w:rsidRPr="00B37C27">
        <w:rPr>
          <w:rFonts w:cs="Times New Roman"/>
          <w:noProof/>
          <w:lang w:val="fr-CA"/>
        </w:rPr>
        <w:t>Bhasin à fusionner son entreprise avec celle de son concurrent.  Monsieur</w:t>
      </w:r>
      <w:r w:rsidR="00894691">
        <w:rPr>
          <w:rFonts w:cs="Times New Roman"/>
          <w:noProof/>
          <w:lang w:val="fr-CA"/>
        </w:rPr>
        <w:t xml:space="preserve"> </w:t>
      </w:r>
      <w:r w:rsidRPr="00B37C27">
        <w:rPr>
          <w:rFonts w:cs="Times New Roman"/>
          <w:noProof/>
          <w:lang w:val="fr-CA"/>
        </w:rPr>
        <w:t>Bhasin soutient que les intimés n’avaient aucun motif légitime sur le plan commercial de ne pas renouveler le contrat.  Il ajoute que la clause d’intégralité de l’entente doit s’interpréter de façon restrictive et qu’elle doit comporter un libellé explicite pour écarter l’obligation d’agir de bonne foi</w:t>
      </w:r>
      <w:r w:rsidR="00894691">
        <w:rPr>
          <w:rFonts w:cs="Times New Roman"/>
          <w:noProof/>
          <w:lang w:val="fr-CA"/>
        </w:rPr>
        <w:t> :</w:t>
      </w:r>
      <w:r w:rsidRPr="00B37C27">
        <w:rPr>
          <w:rFonts w:cs="Times New Roman"/>
          <w:noProof/>
          <w:lang w:val="fr-CA"/>
        </w:rPr>
        <w:t xml:space="preserve"> m.a., par.</w:t>
      </w:r>
      <w:r w:rsidR="00894691">
        <w:rPr>
          <w:rFonts w:cs="Times New Roman"/>
          <w:noProof/>
          <w:lang w:val="fr-CA"/>
        </w:rPr>
        <w:t xml:space="preserve"> </w:t>
      </w:r>
      <w:r w:rsidRPr="00B37C27">
        <w:rPr>
          <w:rFonts w:cs="Times New Roman"/>
          <w:noProof/>
          <w:lang w:val="fr-CA"/>
        </w:rPr>
        <w:t>83.</w:t>
      </w:r>
    </w:p>
    <w:p w:rsidR="00142A2B" w:rsidRPr="00B37C27" w:rsidRDefault="00142A2B" w:rsidP="00894691">
      <w:pPr>
        <w:pStyle w:val="ParaNoNdepar-AltN"/>
        <w:tabs>
          <w:tab w:val="clear" w:pos="1152"/>
          <w:tab w:val="left" w:pos="1166"/>
        </w:tabs>
        <w:rPr>
          <w:rFonts w:cs="Times New Roman"/>
          <w:noProof/>
          <w:lang w:val="fr-CA"/>
        </w:rPr>
      </w:pPr>
      <w:r w:rsidRPr="00B37C27">
        <w:rPr>
          <w:rFonts w:cs="Times New Roman"/>
          <w:noProof/>
          <w:lang w:val="fr-CA"/>
        </w:rPr>
        <w:t>Selon la deuxième thèse que M.</w:t>
      </w:r>
      <w:r w:rsidR="00894691">
        <w:rPr>
          <w:rFonts w:cs="Times New Roman"/>
          <w:noProof/>
          <w:lang w:val="fr-CA"/>
        </w:rPr>
        <w:t xml:space="preserve"> </w:t>
      </w:r>
      <w:r w:rsidRPr="00B37C27">
        <w:rPr>
          <w:rFonts w:cs="Times New Roman"/>
          <w:noProof/>
          <w:lang w:val="fr-CA"/>
        </w:rPr>
        <w:t>Bhasin avance dans sa plaidoirie, la Cour devrait à tout le moins reconnaître l’existence d’une obligation d’exécuter honnêtement les obligations contractuelles</w:t>
      </w:r>
      <w:r w:rsidR="00894691">
        <w:rPr>
          <w:rFonts w:cs="Times New Roman"/>
          <w:noProof/>
          <w:lang w:val="fr-CA"/>
        </w:rPr>
        <w:t> :</w:t>
      </w:r>
      <w:r w:rsidRPr="00B37C27">
        <w:rPr>
          <w:rFonts w:cs="Times New Roman"/>
          <w:noProof/>
          <w:lang w:val="fr-CA"/>
        </w:rPr>
        <w:t xml:space="preserve"> transcription, p.</w:t>
      </w:r>
      <w:r w:rsidR="00894691">
        <w:rPr>
          <w:rFonts w:cs="Times New Roman"/>
          <w:noProof/>
          <w:lang w:val="fr-CA"/>
        </w:rPr>
        <w:t xml:space="preserve"> </w:t>
      </w:r>
      <w:r w:rsidRPr="00B37C27">
        <w:rPr>
          <w:rFonts w:cs="Times New Roman"/>
          <w:noProof/>
          <w:lang w:val="fr-CA"/>
        </w:rPr>
        <w:t>8, 10 et 24.  Monsieur</w:t>
      </w:r>
      <w:r w:rsidR="00894691">
        <w:rPr>
          <w:rFonts w:cs="Times New Roman"/>
          <w:noProof/>
          <w:lang w:val="fr-CA"/>
        </w:rPr>
        <w:t xml:space="preserve"> </w:t>
      </w:r>
      <w:r w:rsidRPr="00B37C27">
        <w:rPr>
          <w:rFonts w:cs="Times New Roman"/>
          <w:noProof/>
          <w:lang w:val="fr-CA"/>
        </w:rPr>
        <w:t>Bhasin s’appuie sur les conclusions de la juge de première instance selon lesquelles Can</w:t>
      </w:r>
      <w:r w:rsidR="00894691">
        <w:rPr>
          <w:rFonts w:cs="Times New Roman"/>
          <w:noProof/>
          <w:lang w:val="fr-CA"/>
        </w:rPr>
        <w:t>-</w:t>
      </w:r>
      <w:r w:rsidRPr="00B37C27">
        <w:rPr>
          <w:rFonts w:cs="Times New Roman"/>
          <w:noProof/>
          <w:lang w:val="fr-CA"/>
        </w:rPr>
        <w:t>Am a agi de façon malhonnête envers lui tout au long de la période ayant mené au non</w:t>
      </w:r>
      <w:r w:rsidR="00894691">
        <w:rPr>
          <w:rFonts w:cs="Times New Roman"/>
          <w:noProof/>
          <w:lang w:val="fr-CA"/>
        </w:rPr>
        <w:t>-</w:t>
      </w:r>
      <w:r w:rsidRPr="00B37C27">
        <w:rPr>
          <w:rFonts w:cs="Times New Roman"/>
          <w:noProof/>
          <w:lang w:val="fr-CA"/>
        </w:rPr>
        <w:t>renouvellement du contrat.  Can</w:t>
      </w:r>
      <w:r w:rsidR="00894691">
        <w:rPr>
          <w:rFonts w:cs="Times New Roman"/>
          <w:noProof/>
          <w:lang w:val="fr-CA"/>
        </w:rPr>
        <w:t>-</w:t>
      </w:r>
      <w:r w:rsidRPr="00B37C27">
        <w:rPr>
          <w:rFonts w:cs="Times New Roman"/>
          <w:noProof/>
          <w:lang w:val="fr-CA"/>
        </w:rPr>
        <w:t>Am lui a menti à plusieurs reprises quant à la nature des changements organisationnels exigés par la Commission des valeurs mobilières de l’Alberta, quant à la nature des vérifications que M.</w:t>
      </w:r>
      <w:r w:rsidR="00894691">
        <w:rPr>
          <w:rFonts w:cs="Times New Roman"/>
          <w:noProof/>
          <w:lang w:val="fr-CA"/>
        </w:rPr>
        <w:t xml:space="preserve"> </w:t>
      </w:r>
      <w:r w:rsidRPr="00B37C27">
        <w:rPr>
          <w:rFonts w:cs="Times New Roman"/>
          <w:noProof/>
          <w:lang w:val="fr-CA"/>
        </w:rPr>
        <w:t>Hrynew devait effectuer, et son intention de le forcer à quitter l’entreprise était malhonnête</w:t>
      </w:r>
      <w:r w:rsidR="00894691">
        <w:rPr>
          <w:rFonts w:cs="Times New Roman"/>
          <w:noProof/>
          <w:lang w:val="fr-CA"/>
        </w:rPr>
        <w:t> :</w:t>
      </w:r>
      <w:r w:rsidRPr="00B37C27">
        <w:rPr>
          <w:rFonts w:cs="Times New Roman"/>
          <w:noProof/>
          <w:lang w:val="fr-CA"/>
        </w:rPr>
        <w:t xml:space="preserve"> motifs de première instance, par.</w:t>
      </w:r>
      <w:r w:rsidR="00894691">
        <w:rPr>
          <w:rFonts w:cs="Times New Roman"/>
          <w:noProof/>
          <w:lang w:val="fr-CA"/>
        </w:rPr>
        <w:t xml:space="preserve"> </w:t>
      </w:r>
      <w:r w:rsidRPr="00B37C27">
        <w:rPr>
          <w:rFonts w:cs="Times New Roman"/>
          <w:noProof/>
          <w:lang w:val="fr-CA"/>
        </w:rPr>
        <w:t>195, 221, 246</w:t>
      </w:r>
      <w:r w:rsidR="00894691">
        <w:rPr>
          <w:rFonts w:cs="Times New Roman"/>
          <w:noProof/>
          <w:lang w:val="fr-CA"/>
        </w:rPr>
        <w:t>-</w:t>
      </w:r>
      <w:r w:rsidRPr="00B37C27">
        <w:rPr>
          <w:rFonts w:cs="Times New Roman"/>
          <w:noProof/>
          <w:lang w:val="fr-CA"/>
        </w:rPr>
        <w:t xml:space="preserve">247 et 267. </w:t>
      </w:r>
    </w:p>
    <w:p w:rsidR="00142A2B" w:rsidRPr="00B37C27" w:rsidRDefault="00142A2B" w:rsidP="00894691">
      <w:pPr>
        <w:pStyle w:val="ParaNoNdepar-AltN"/>
        <w:tabs>
          <w:tab w:val="clear" w:pos="1152"/>
          <w:tab w:val="left" w:pos="1166"/>
        </w:tabs>
        <w:rPr>
          <w:rFonts w:cs="Times New Roman"/>
          <w:noProof/>
          <w:lang w:val="fr-CA"/>
        </w:rPr>
      </w:pPr>
      <w:r w:rsidRPr="00B37C27">
        <w:rPr>
          <w:rFonts w:cs="Times New Roman"/>
          <w:noProof/>
          <w:lang w:val="fr-CA"/>
        </w:rPr>
        <w:t xml:space="preserve">Il n’est pas étonnant que les intimés aient une vision des faits fort différente. Ils reconnaissent que la notion de bonne foi joue un rôle dans le droit canadien des contrats, mais ils plaident que ce rôle est beaucoup moins important que </w:t>
      </w:r>
      <w:r w:rsidRPr="00B37C27">
        <w:rPr>
          <w:rFonts w:cs="Times New Roman"/>
          <w:noProof/>
          <w:lang w:val="fr-CA"/>
        </w:rPr>
        <w:lastRenderedPageBreak/>
        <w:t>ne le laisse entendre M.</w:t>
      </w:r>
      <w:r w:rsidR="00894691">
        <w:rPr>
          <w:rFonts w:cs="Times New Roman"/>
          <w:noProof/>
          <w:lang w:val="fr-CA"/>
        </w:rPr>
        <w:t xml:space="preserve"> </w:t>
      </w:r>
      <w:r w:rsidRPr="00B37C27">
        <w:rPr>
          <w:rFonts w:cs="Times New Roman"/>
          <w:noProof/>
          <w:lang w:val="fr-CA"/>
        </w:rPr>
        <w:t>Bhasin.  Les intimés affirment qu’une telle obligation ne prend naissance que dans le cas de certaines catégories de contrats, comme les contrats de travail et les contrats prévoyant des pouvoirs discrétionnaires</w:t>
      </w:r>
      <w:r w:rsidR="00894691">
        <w:rPr>
          <w:rFonts w:cs="Times New Roman"/>
          <w:noProof/>
          <w:lang w:val="fr-CA"/>
        </w:rPr>
        <w:t> :</w:t>
      </w:r>
      <w:r w:rsidRPr="00B37C27">
        <w:rPr>
          <w:rFonts w:cs="Times New Roman"/>
          <w:noProof/>
          <w:lang w:val="fr-CA"/>
        </w:rPr>
        <w:t xml:space="preserve"> m.i., par.</w:t>
      </w:r>
      <w:r w:rsidR="00894691">
        <w:rPr>
          <w:rFonts w:cs="Times New Roman"/>
          <w:noProof/>
          <w:lang w:val="fr-CA"/>
        </w:rPr>
        <w:t xml:space="preserve"> </w:t>
      </w:r>
      <w:r w:rsidRPr="00B37C27">
        <w:rPr>
          <w:rFonts w:cs="Times New Roman"/>
          <w:noProof/>
          <w:lang w:val="fr-CA"/>
        </w:rPr>
        <w:t>52.  Dans le contexte de l’emploi, cette obligation vise seulement la façon de résilier un contrat.  En l’espèce, le contrat a été négocié entre des parties commerciales auxquelles les considérations de principe sous</w:t>
      </w:r>
      <w:r w:rsidR="00894691">
        <w:rPr>
          <w:rFonts w:cs="Times New Roman"/>
          <w:noProof/>
          <w:lang w:val="fr-CA"/>
        </w:rPr>
        <w:t>-</w:t>
      </w:r>
      <w:r w:rsidRPr="00B37C27">
        <w:rPr>
          <w:rFonts w:cs="Times New Roman"/>
          <w:noProof/>
          <w:lang w:val="fr-CA"/>
        </w:rPr>
        <w:t>jacentes à la doctrine du droit du travail ne s’appliquent pas.  Monsieur</w:t>
      </w:r>
      <w:r w:rsidR="00894691">
        <w:rPr>
          <w:rFonts w:cs="Times New Roman"/>
          <w:noProof/>
          <w:lang w:val="fr-CA"/>
        </w:rPr>
        <w:t xml:space="preserve"> </w:t>
      </w:r>
      <w:r w:rsidRPr="00B37C27">
        <w:rPr>
          <w:rFonts w:cs="Times New Roman"/>
          <w:noProof/>
          <w:lang w:val="fr-CA"/>
        </w:rPr>
        <w:t>Bhasin invoque le droit à un contrat perpétuel, ou au moins à un contrat d’une durée indéterminée conclu avec les intimés.  Le contrat en l’espèce ne saurait être qualifié de discrétionnaire parce qu’il prévoyait simplement que l’une ou l’autre partie pouvait y mettre fin sur préavis de six mois.  Les intimés affirment que le libellé de la clause de non</w:t>
      </w:r>
      <w:r w:rsidR="00894691">
        <w:rPr>
          <w:rFonts w:cs="Times New Roman"/>
          <w:noProof/>
          <w:lang w:val="fr-CA"/>
        </w:rPr>
        <w:t>-</w:t>
      </w:r>
      <w:r w:rsidRPr="00B37C27">
        <w:rPr>
          <w:rFonts w:cs="Times New Roman"/>
          <w:noProof/>
          <w:lang w:val="fr-CA"/>
        </w:rPr>
        <w:t>renouvellement ne comporte aucune ambiguïté et qu’en conséquence, rien ne permet de supposer l’existence d’autres conditions ou d’invoquer une preuve extrinsèque des intentions des parties.  La clause d’intégralité de l’entente écartait expressément toute condition autre que celles figurant dans le contrat.</w:t>
      </w:r>
    </w:p>
    <w:p w:rsidR="00142A2B" w:rsidRPr="00B37C27" w:rsidRDefault="00142A2B" w:rsidP="00290175">
      <w:pPr>
        <w:pStyle w:val="Title3LevelTitre3Niveau"/>
        <w:tabs>
          <w:tab w:val="clear" w:pos="864"/>
          <w:tab w:val="num" w:pos="900"/>
        </w:tabs>
        <w:ind w:left="900"/>
        <w:rPr>
          <w:rFonts w:cs="Times New Roman"/>
          <w:noProof/>
          <w:lang w:val="fr-CA"/>
        </w:rPr>
      </w:pPr>
      <w:r w:rsidRPr="00B37C27">
        <w:rPr>
          <w:rFonts w:cs="Times New Roman"/>
          <w:noProof/>
          <w:lang w:val="fr-CA"/>
        </w:rPr>
        <w:t>Analyse</w:t>
      </w:r>
    </w:p>
    <w:p w:rsidR="00142A2B" w:rsidRPr="00B37C27" w:rsidRDefault="00142A2B" w:rsidP="00290175">
      <w:pPr>
        <w:pStyle w:val="Title4LevelTitre4Niveau"/>
        <w:tabs>
          <w:tab w:val="clear" w:pos="1296"/>
          <w:tab w:val="num" w:pos="900"/>
        </w:tabs>
        <w:ind w:left="900" w:hanging="450"/>
        <w:rPr>
          <w:rFonts w:cs="Times New Roman"/>
          <w:noProof/>
          <w:lang w:val="fr-CA"/>
        </w:rPr>
      </w:pPr>
      <w:r w:rsidRPr="00B37C27">
        <w:rPr>
          <w:rFonts w:cs="Times New Roman"/>
          <w:noProof/>
          <w:lang w:val="fr-CA"/>
        </w:rPr>
        <w:t>Aperçu</w:t>
      </w:r>
    </w:p>
    <w:p w:rsidR="00142A2B" w:rsidRPr="00B37C27" w:rsidRDefault="00142A2B" w:rsidP="00894691">
      <w:pPr>
        <w:pStyle w:val="ParaNoNdepar-AltN"/>
        <w:rPr>
          <w:rFonts w:cs="Times New Roman"/>
          <w:noProof/>
          <w:lang w:val="fr-CA"/>
        </w:rPr>
      </w:pPr>
      <w:r w:rsidRPr="00B37C27">
        <w:rPr>
          <w:rFonts w:cs="Times New Roman"/>
          <w:noProof/>
          <w:lang w:val="fr-CA"/>
        </w:rPr>
        <w:t>La notion de bonne foi est profondément enracinée dans le droit des contrats et elle imprègne un bon nombre de ses règles.  Néanmoins, la common law anglo</w:t>
      </w:r>
      <w:r w:rsidR="00894691">
        <w:rPr>
          <w:rFonts w:cs="Times New Roman"/>
          <w:noProof/>
          <w:lang w:val="fr-CA"/>
        </w:rPr>
        <w:t>-</w:t>
      </w:r>
      <w:r w:rsidRPr="00B37C27">
        <w:rPr>
          <w:rFonts w:cs="Times New Roman"/>
          <w:noProof/>
          <w:lang w:val="fr-CA"/>
        </w:rPr>
        <w:t xml:space="preserve">canadienne a refusé de reconnaître une théorie élargie et indépendante relative à l’exécution de bonne foi des contrats. Il en résulte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 xml:space="preserve">des règles de </w:t>
      </w:r>
      <w:r w:rsidRPr="00B37C27">
        <w:rPr>
          <w:rFonts w:cs="Times New Roman"/>
          <w:noProof/>
          <w:lang w:val="fr-CA"/>
        </w:rPr>
        <w:lastRenderedPageBreak/>
        <w:t>droit controversées et incohérentes</w:t>
      </w:r>
      <w:r w:rsidR="00894691">
        <w:rPr>
          <w:rFonts w:cs="Times New Roman"/>
          <w:noProof/>
          <w:lang w:val="fr-CA"/>
        </w:rPr>
        <w:t> »</w:t>
      </w:r>
      <w:r w:rsidRPr="00B37C27">
        <w:rPr>
          <w:rFonts w:cs="Times New Roman"/>
          <w:noProof/>
          <w:lang w:val="fr-CA"/>
        </w:rPr>
        <w:t xml:space="preserve"> élaborées de façon </w:t>
      </w:r>
      <w:r w:rsidR="00894691">
        <w:rPr>
          <w:rFonts w:cs="Times New Roman"/>
          <w:noProof/>
          <w:lang w:val="fr-CA"/>
        </w:rPr>
        <w:t>« </w:t>
      </w:r>
      <w:r w:rsidRPr="00B37C27">
        <w:rPr>
          <w:rFonts w:cs="Times New Roman"/>
          <w:noProof/>
          <w:lang w:val="fr-CA"/>
        </w:rPr>
        <w:t>fragmentaire</w:t>
      </w:r>
      <w:r w:rsidR="00894691">
        <w:rPr>
          <w:rFonts w:cs="Times New Roman"/>
          <w:noProof/>
          <w:lang w:val="fr-CA"/>
        </w:rPr>
        <w:t> »</w:t>
      </w:r>
      <w:r w:rsidRPr="00B37C27">
        <w:rPr>
          <w:rFonts w:cs="Times New Roman"/>
          <w:noProof/>
          <w:lang w:val="fr-CA"/>
        </w:rPr>
        <w:t xml:space="preserve"> et qui demeurent </w:t>
      </w:r>
      <w:r w:rsidR="00894691">
        <w:rPr>
          <w:rFonts w:cs="Times New Roman"/>
          <w:noProof/>
          <w:lang w:val="fr-CA"/>
        </w:rPr>
        <w:t>« </w:t>
      </w:r>
      <w:r w:rsidRPr="00B37C27">
        <w:rPr>
          <w:rFonts w:cs="Times New Roman"/>
          <w:noProof/>
          <w:lang w:val="fr-CA"/>
        </w:rPr>
        <w:t>difficiles à analyser</w:t>
      </w:r>
      <w:r w:rsidR="00894691">
        <w:rPr>
          <w:rFonts w:cs="Times New Roman"/>
          <w:noProof/>
          <w:lang w:val="fr-CA"/>
        </w:rPr>
        <w:t> » :</w:t>
      </w:r>
      <w:r w:rsidRPr="00B37C27">
        <w:rPr>
          <w:rFonts w:cs="Times New Roman"/>
          <w:noProof/>
          <w:lang w:val="fr-CA"/>
        </w:rPr>
        <w:t xml:space="preserve"> Commission de réforme du droit de l’Ontario (</w:t>
      </w:r>
      <w:r w:rsidR="00894691">
        <w:rPr>
          <w:rFonts w:cs="Times New Roman"/>
          <w:noProof/>
          <w:lang w:val="fr-CA"/>
        </w:rPr>
        <w:t>« </w:t>
      </w:r>
      <w:r w:rsidRPr="00B37C27">
        <w:rPr>
          <w:rFonts w:cs="Times New Roman"/>
          <w:noProof/>
          <w:lang w:val="fr-CA"/>
        </w:rPr>
        <w:t>CRDO</w:t>
      </w:r>
      <w:r w:rsidR="00894691">
        <w:rPr>
          <w:rFonts w:cs="Times New Roman"/>
          <w:noProof/>
          <w:lang w:val="fr-CA"/>
        </w:rPr>
        <w:t> »</w:t>
      </w:r>
      <w:r w:rsidRPr="00B37C27">
        <w:rPr>
          <w:rFonts w:cs="Times New Roman"/>
          <w:noProof/>
          <w:lang w:val="fr-CA"/>
        </w:rPr>
        <w:t xml:space="preserve">), </w:t>
      </w:r>
      <w:r w:rsidRPr="00B37C27">
        <w:rPr>
          <w:rFonts w:cs="Times New Roman"/>
          <w:i/>
          <w:noProof/>
          <w:lang w:val="fr-CA"/>
        </w:rPr>
        <w:t xml:space="preserve">Report on Amendment of the Law of Contract </w:t>
      </w:r>
      <w:r w:rsidRPr="00B37C27">
        <w:rPr>
          <w:rFonts w:cs="Times New Roman"/>
          <w:noProof/>
          <w:lang w:val="fr-CA"/>
        </w:rPr>
        <w:t>(1987), p.</w:t>
      </w:r>
      <w:r w:rsidR="00894691">
        <w:rPr>
          <w:rFonts w:cs="Times New Roman"/>
          <w:noProof/>
          <w:lang w:val="fr-CA"/>
        </w:rPr>
        <w:t xml:space="preserve"> </w:t>
      </w:r>
      <w:r w:rsidRPr="00B37C27">
        <w:rPr>
          <w:rFonts w:cs="Times New Roman"/>
          <w:noProof/>
          <w:lang w:val="fr-CA"/>
        </w:rPr>
        <w:t xml:space="preserve">169.  Cette approche est incompatible avec le droit civil du Québec et avec celui de la plupart des États américains et entraîne des résultats non conformes aux attentes raisonnables des parties commerciales. </w:t>
      </w:r>
    </w:p>
    <w:p w:rsidR="00142A2B" w:rsidRPr="00B37C27" w:rsidRDefault="00142A2B" w:rsidP="00894691">
      <w:pPr>
        <w:pStyle w:val="ParaNoNdepar-AltN"/>
        <w:rPr>
          <w:rFonts w:cs="Times New Roman"/>
          <w:noProof/>
          <w:lang w:val="fr-CA"/>
        </w:rPr>
      </w:pPr>
      <w:r w:rsidRPr="00B37C27">
        <w:rPr>
          <w:rFonts w:cs="Times New Roman"/>
          <w:noProof/>
          <w:lang w:val="fr-CA"/>
        </w:rPr>
        <w:t>À mon avis, le temps est venu de prendre deux mesures progressives en vue de rendre la common law moins incertaine et fragmentaire et plus cohérente et équitable.  La première mesure consiste à reconnaître que l’exécution de bonne foi des contrats constitue un principe directeur général de la common law en matière de contrats qui sous</w:t>
      </w:r>
      <w:r w:rsidR="00894691">
        <w:rPr>
          <w:rFonts w:cs="Times New Roman"/>
          <w:noProof/>
          <w:lang w:val="fr-CA"/>
        </w:rPr>
        <w:t>-</w:t>
      </w:r>
      <w:r w:rsidRPr="00B37C27">
        <w:rPr>
          <w:rFonts w:cs="Times New Roman"/>
          <w:noProof/>
          <w:lang w:val="fr-CA"/>
        </w:rPr>
        <w:t xml:space="preserve">tend et détermine les diverses règles où la common law, dans diverses situations et divers types de relations, reconnaît l’existence des obligations d’exécuter les contrats de bonne foi.  La deuxième mesure consiste à reconnaître, comme manifestation supplémentaire de ce principe directeur de bonne foi, l’existence d’une obligation en common law, applicable à tous les contrats, d’agir honnêtement dans l’exécution des obligations contractuelles.  </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J’estime que l’adoption de ces deux mesures s’accorde parfaitement avec la mission de la Cour de faire évoluer progressivement la common law au besoin.  Cet exercice aura pour effet d’établir une obligation équitable, conforme aux attentes raisonnables des parties commerciales et suffisamment précise pour renforcer la stabilité commerciale plutôt que l’affaiblir. </w:t>
      </w:r>
    </w:p>
    <w:p w:rsidR="00142A2B" w:rsidRPr="00B37C27" w:rsidRDefault="00142A2B" w:rsidP="00290175">
      <w:pPr>
        <w:pStyle w:val="Title4LevelTitre4Niveau"/>
        <w:tabs>
          <w:tab w:val="clear" w:pos="1296"/>
          <w:tab w:val="num" w:pos="900"/>
        </w:tabs>
        <w:ind w:left="900" w:hanging="450"/>
        <w:rPr>
          <w:rFonts w:cs="Times New Roman"/>
          <w:noProof/>
          <w:lang w:val="fr-CA"/>
        </w:rPr>
      </w:pPr>
      <w:r w:rsidRPr="00B37C27">
        <w:rPr>
          <w:rFonts w:cs="Times New Roman"/>
          <w:noProof/>
          <w:lang w:val="fr-CA"/>
        </w:rPr>
        <w:lastRenderedPageBreak/>
        <w:t>La bonne foi en tant que principe directeur général</w:t>
      </w:r>
    </w:p>
    <w:p w:rsidR="00142A2B" w:rsidRPr="00B37C27" w:rsidRDefault="00142A2B" w:rsidP="00290175">
      <w:pPr>
        <w:pStyle w:val="Title5LevelTitre5Niveau"/>
        <w:tabs>
          <w:tab w:val="num" w:pos="900"/>
        </w:tabs>
        <w:ind w:left="900" w:hanging="450"/>
        <w:rPr>
          <w:rFonts w:cs="Times New Roman"/>
          <w:noProof/>
          <w:lang w:val="fr-CA"/>
        </w:rPr>
      </w:pPr>
      <w:r w:rsidRPr="00B37C27">
        <w:rPr>
          <w:rFonts w:cs="Times New Roman"/>
          <w:noProof/>
          <w:lang w:val="fr-CA"/>
        </w:rPr>
        <w:t>Contexte</w:t>
      </w:r>
    </w:p>
    <w:p w:rsidR="00142A2B" w:rsidRPr="00290175" w:rsidRDefault="00142A2B" w:rsidP="00894691">
      <w:pPr>
        <w:pStyle w:val="ParaNoNdepar-AltN"/>
        <w:rPr>
          <w:rFonts w:cs="Times New Roman"/>
          <w:noProof/>
          <w:lang w:val="fr-CA"/>
        </w:rPr>
      </w:pPr>
      <w:r w:rsidRPr="00B37C27">
        <w:rPr>
          <w:rFonts w:cs="Times New Roman"/>
          <w:noProof/>
          <w:lang w:val="fr-CA"/>
        </w:rPr>
        <w:t xml:space="preserve">La doctrine de la bonne foi tire ses origines du droit romain et a été retenue dans le passé dans le droit anglais des contrats.  Par exemple, lord Northington écrivait ce qui suit dans l’arrêt </w:t>
      </w:r>
      <w:r w:rsidRPr="00B37C27">
        <w:rPr>
          <w:rFonts w:cs="Times New Roman"/>
          <w:i/>
          <w:noProof/>
          <w:lang w:val="fr-CA"/>
        </w:rPr>
        <w:t>Aleyn c. Belchier</w:t>
      </w:r>
      <w:r w:rsidRPr="00B37C27">
        <w:rPr>
          <w:rFonts w:cs="Times New Roman"/>
          <w:noProof/>
          <w:lang w:val="fr-CA"/>
        </w:rPr>
        <w:t xml:space="preserve"> (1758), 1 Eden 132, 28 E.R. 634, p.</w:t>
      </w:r>
      <w:r w:rsidR="00894691">
        <w:rPr>
          <w:rFonts w:cs="Times New Roman"/>
          <w:noProof/>
          <w:lang w:val="fr-CA"/>
        </w:rPr>
        <w:t xml:space="preserve"> </w:t>
      </w:r>
      <w:r w:rsidR="00D66537">
        <w:rPr>
          <w:rFonts w:cs="Times New Roman"/>
          <w:noProof/>
          <w:lang w:val="fr-CA"/>
        </w:rPr>
        <w:t>6</w:t>
      </w:r>
      <w:r w:rsidR="00290175">
        <w:rPr>
          <w:rFonts w:cs="Times New Roman"/>
          <w:noProof/>
          <w:lang w:val="fr-CA"/>
        </w:rPr>
        <w:t>37</w:t>
      </w:r>
      <w:r w:rsidRPr="00B37C27">
        <w:rPr>
          <w:rFonts w:cs="Times New Roman"/>
          <w:noProof/>
          <w:lang w:val="fr-CA"/>
        </w:rPr>
        <w:t xml:space="preserve">, cité dans </w:t>
      </w:r>
      <w:r w:rsidRPr="00B37C27">
        <w:rPr>
          <w:rFonts w:cs="Times New Roman"/>
          <w:i/>
          <w:noProof/>
          <w:lang w:val="fr-CA"/>
        </w:rPr>
        <w:t>Mills c. Mills</w:t>
      </w:r>
      <w:r w:rsidRPr="00B37C27">
        <w:rPr>
          <w:rFonts w:cs="Times New Roman"/>
          <w:noProof/>
          <w:lang w:val="fr-CA"/>
        </w:rPr>
        <w:t xml:space="preserve"> (1938), 60 C.L.R. 150 (H.C.A.), p.</w:t>
      </w:r>
      <w:r w:rsidR="00894691">
        <w:rPr>
          <w:rFonts w:cs="Times New Roman"/>
          <w:noProof/>
          <w:lang w:val="fr-CA"/>
        </w:rPr>
        <w:t xml:space="preserve"> </w:t>
      </w:r>
      <w:r w:rsidRPr="00B37C27">
        <w:rPr>
          <w:rFonts w:cs="Times New Roman"/>
          <w:noProof/>
          <w:lang w:val="fr-CA"/>
        </w:rPr>
        <w:t>185</w:t>
      </w:r>
      <w:r w:rsidR="00894691">
        <w:rPr>
          <w:rFonts w:cs="Times New Roman"/>
          <w:noProof/>
          <w:lang w:val="fr-CA"/>
        </w:rPr>
        <w:t> :</w:t>
      </w:r>
      <w:r w:rsidRPr="00B37C27">
        <w:rPr>
          <w:rFonts w:cs="Times New Roman"/>
          <w:noProof/>
          <w:lang w:val="fr-CA"/>
        </w:rPr>
        <w:t xml:space="preserve"> [</w:t>
      </w:r>
      <w:r w:rsidRPr="00B37C27">
        <w:rPr>
          <w:rFonts w:cs="Times New Roman"/>
          <w:smallCaps/>
          <w:noProof/>
          <w:lang w:val="fr-CA"/>
        </w:rPr>
        <w:t xml:space="preserve">traduction] </w:t>
      </w:r>
      <w:r w:rsidR="00894691">
        <w:rPr>
          <w:rFonts w:cs="Times New Roman"/>
          <w:noProof/>
          <w:lang w:val="fr-CA"/>
        </w:rPr>
        <w:t>« </w:t>
      </w:r>
      <w:r w:rsidR="00290175">
        <w:rPr>
          <w:rFonts w:cs="Times New Roman"/>
          <w:noProof/>
          <w:lang w:val="fr-CA"/>
        </w:rPr>
        <w:t>I</w:t>
      </w:r>
      <w:r w:rsidRPr="00B37C27">
        <w:rPr>
          <w:rFonts w:cs="Times New Roman"/>
          <w:noProof/>
          <w:lang w:val="fr-CA"/>
        </w:rPr>
        <w:t>l est on ne peut plus clairement établi qu’une personne en position d’autorité doit exercer son pouvoir d’agir de bonne foi dans le but visé, sinon ce pouvoir est corrompu et nul</w:t>
      </w:r>
      <w:r w:rsidR="00290175">
        <w:rPr>
          <w:rFonts w:cs="Times New Roman"/>
          <w:noProof/>
          <w:lang w:val="fr-CA"/>
        </w:rPr>
        <w:t>.</w:t>
      </w:r>
      <w:r w:rsidR="00894691">
        <w:rPr>
          <w:rFonts w:cs="Times New Roman"/>
          <w:noProof/>
          <w:lang w:val="fr-CA"/>
        </w:rPr>
        <w:t> »</w:t>
      </w:r>
      <w:r w:rsidRPr="00B37C27">
        <w:rPr>
          <w:rFonts w:cs="Times New Roman"/>
          <w:noProof/>
          <w:lang w:val="fr-CA"/>
        </w:rPr>
        <w:t xml:space="preserve">  Dans le même ordre d’idées, lord Kenyon écrivait ce qui suit dans l’arrêt </w:t>
      </w:r>
      <w:r w:rsidRPr="00B37C27">
        <w:rPr>
          <w:rFonts w:cs="Times New Roman"/>
          <w:i/>
          <w:noProof/>
          <w:lang w:val="fr-CA"/>
        </w:rPr>
        <w:t>Mellish c. Motteux</w:t>
      </w:r>
      <w:r w:rsidRPr="00B37C27">
        <w:rPr>
          <w:rFonts w:cs="Times New Roman"/>
          <w:noProof/>
          <w:lang w:val="fr-CA"/>
        </w:rPr>
        <w:t xml:space="preserve"> (1792), Peake 156, 170 E.R. 113</w:t>
      </w:r>
      <w:r w:rsidR="00894691">
        <w:rPr>
          <w:rFonts w:cs="Times New Roman"/>
          <w:noProof/>
          <w:lang w:val="fr-CA"/>
        </w:rPr>
        <w:t> :</w:t>
      </w:r>
      <w:r w:rsidRPr="00B37C27">
        <w:rPr>
          <w:rFonts w:cs="Times New Roman"/>
          <w:noProof/>
          <w:lang w:val="fr-CA"/>
        </w:rPr>
        <w:t xml:space="preserve"> [</w:t>
      </w:r>
      <w:r w:rsidRPr="00B37C27">
        <w:rPr>
          <w:rFonts w:cs="Times New Roman"/>
          <w:smallCaps/>
          <w:noProof/>
          <w:lang w:val="fr-CA"/>
        </w:rPr>
        <w:t xml:space="preserve">traduction] </w:t>
      </w:r>
      <w:r w:rsidR="00894691">
        <w:rPr>
          <w:rFonts w:cs="Times New Roman"/>
          <w:noProof/>
          <w:lang w:val="fr-CA"/>
        </w:rPr>
        <w:t>« </w:t>
      </w:r>
      <w:r w:rsidR="00290175">
        <w:rPr>
          <w:rFonts w:cs="Times New Roman"/>
          <w:noProof/>
          <w:lang w:val="fr-CA"/>
        </w:rPr>
        <w:t xml:space="preserve">. . . </w:t>
      </w:r>
      <w:r w:rsidRPr="00B37C27">
        <w:rPr>
          <w:rFonts w:cs="Times New Roman"/>
          <w:noProof/>
          <w:lang w:val="fr-CA"/>
        </w:rPr>
        <w:t>s’agissant de contrats de toutes sortes, il est d’une importance capitale que les cours de justice rendent l’honnêteté et la bonne foi obligatoires</w:t>
      </w:r>
      <w:r w:rsidR="00290175">
        <w:rPr>
          <w:rFonts w:cs="Times New Roman"/>
          <w:noProof/>
          <w:lang w:val="fr-CA"/>
        </w:rPr>
        <w:t> » (</w:t>
      </w:r>
      <w:r w:rsidRPr="00B37C27">
        <w:rPr>
          <w:rFonts w:cs="Times New Roman"/>
          <w:noProof/>
          <w:lang w:val="fr-CA"/>
        </w:rPr>
        <w:t>p.</w:t>
      </w:r>
      <w:r w:rsidR="00894691">
        <w:rPr>
          <w:rFonts w:cs="Times New Roman"/>
          <w:noProof/>
          <w:lang w:val="fr-CA"/>
        </w:rPr>
        <w:t xml:space="preserve"> </w:t>
      </w:r>
      <w:r w:rsidR="00290175">
        <w:rPr>
          <w:rFonts w:cs="Times New Roman"/>
          <w:noProof/>
          <w:lang w:val="fr-CA"/>
        </w:rPr>
        <w:t>113-114).</w:t>
      </w:r>
      <w:r w:rsidRPr="00B37C27">
        <w:rPr>
          <w:rFonts w:cs="Times New Roman"/>
          <w:noProof/>
          <w:lang w:val="fr-CA"/>
        </w:rPr>
        <w:t xml:space="preserve">  Dans l’arrêt </w:t>
      </w:r>
      <w:r w:rsidRPr="00B37C27">
        <w:rPr>
          <w:rFonts w:cs="Times New Roman"/>
          <w:i/>
          <w:noProof/>
          <w:lang w:val="fr-CA"/>
        </w:rPr>
        <w:t xml:space="preserve">Carter c. Boehm </w:t>
      </w:r>
      <w:r w:rsidRPr="00B37C27">
        <w:rPr>
          <w:rFonts w:cs="Times New Roman"/>
          <w:noProof/>
          <w:lang w:val="fr-CA"/>
        </w:rPr>
        <w:t>(1766), 3 Burr. 1905, 97 E.R. 1162, p.</w:t>
      </w:r>
      <w:r w:rsidR="00894691">
        <w:rPr>
          <w:rFonts w:cs="Times New Roman"/>
          <w:noProof/>
          <w:lang w:val="fr-CA"/>
        </w:rPr>
        <w:t xml:space="preserve"> </w:t>
      </w:r>
      <w:r w:rsidRPr="00B37C27">
        <w:rPr>
          <w:rFonts w:cs="Times New Roman"/>
          <w:noProof/>
          <w:lang w:val="fr-CA"/>
        </w:rPr>
        <w:t xml:space="preserve">1910, lord Mansfield affirmait que la bonne foi constitue un principe qui s’applique à tous les contrats; voir aussi </w:t>
      </w:r>
      <w:r w:rsidRPr="00B37C27">
        <w:rPr>
          <w:rFonts w:cs="Times New Roman"/>
          <w:i/>
          <w:noProof/>
          <w:lang w:val="fr-CA"/>
        </w:rPr>
        <w:t>Herbert c. Mercantile Fire Ins. Co.</w:t>
      </w:r>
      <w:r w:rsidRPr="00B37C27">
        <w:rPr>
          <w:rFonts w:cs="Times New Roman"/>
          <w:noProof/>
          <w:lang w:val="fr-CA"/>
        </w:rPr>
        <w:t xml:space="preserve"> </w:t>
      </w:r>
      <w:r w:rsidRPr="00B37C27">
        <w:rPr>
          <w:rFonts w:cs="Times New Roman"/>
          <w:noProof/>
        </w:rPr>
        <w:t>(1878), 43</w:t>
      </w:r>
      <w:r w:rsidR="00894691">
        <w:rPr>
          <w:rFonts w:cs="Times New Roman"/>
          <w:noProof/>
        </w:rPr>
        <w:t xml:space="preserve"> </w:t>
      </w:r>
      <w:r w:rsidRPr="00B37C27">
        <w:rPr>
          <w:rFonts w:cs="Times New Roman"/>
          <w:noProof/>
        </w:rPr>
        <w:t>U.C.Q.B. 384; R.</w:t>
      </w:r>
      <w:r w:rsidR="00894691">
        <w:rPr>
          <w:rFonts w:cs="Times New Roman"/>
          <w:noProof/>
        </w:rPr>
        <w:t xml:space="preserve"> </w:t>
      </w:r>
      <w:r w:rsidRPr="00B37C27">
        <w:rPr>
          <w:rFonts w:cs="Times New Roman"/>
          <w:noProof/>
        </w:rPr>
        <w:t xml:space="preserve">Powell, </w:t>
      </w:r>
      <w:r w:rsidR="00894691">
        <w:rPr>
          <w:rFonts w:cs="Times New Roman"/>
          <w:noProof/>
        </w:rPr>
        <w:t>« </w:t>
      </w:r>
      <w:r w:rsidRPr="00B37C27">
        <w:rPr>
          <w:rFonts w:cs="Times New Roman"/>
          <w:noProof/>
        </w:rPr>
        <w:t>Good Faith in Contracts</w:t>
      </w:r>
      <w:r w:rsidR="00894691">
        <w:rPr>
          <w:rFonts w:cs="Times New Roman"/>
          <w:noProof/>
        </w:rPr>
        <w:t> »</w:t>
      </w:r>
      <w:r w:rsidRPr="00B37C27">
        <w:rPr>
          <w:rFonts w:cs="Times New Roman"/>
          <w:noProof/>
        </w:rPr>
        <w:t xml:space="preserve"> (1956), 9 </w:t>
      </w:r>
      <w:r w:rsidRPr="00290175">
        <w:rPr>
          <w:rFonts w:cs="Times New Roman"/>
          <w:i/>
          <w:noProof/>
        </w:rPr>
        <w:t xml:space="preserve">Curr. </w:t>
      </w:r>
      <w:r w:rsidRPr="00290175">
        <w:rPr>
          <w:rFonts w:cs="Times New Roman"/>
          <w:i/>
          <w:noProof/>
          <w:lang w:val="fr-CA"/>
        </w:rPr>
        <w:t>Legal Probs</w:t>
      </w:r>
      <w:r w:rsidR="00290175" w:rsidRPr="00290175">
        <w:rPr>
          <w:rFonts w:cs="Times New Roman"/>
          <w:i/>
          <w:noProof/>
          <w:lang w:val="fr-CA"/>
        </w:rPr>
        <w:t>.</w:t>
      </w:r>
      <w:r w:rsidRPr="00290175">
        <w:rPr>
          <w:rFonts w:cs="Times New Roman"/>
          <w:noProof/>
          <w:lang w:val="fr-CA"/>
        </w:rPr>
        <w:t xml:space="preserve"> 16.</w:t>
      </w:r>
    </w:p>
    <w:p w:rsidR="00142A2B" w:rsidRPr="00B37C27" w:rsidRDefault="00142A2B" w:rsidP="00894691">
      <w:pPr>
        <w:pStyle w:val="ParaNoNdepar-AltN"/>
        <w:rPr>
          <w:rFonts w:cs="Times New Roman"/>
          <w:noProof/>
          <w:lang w:val="fr-CA"/>
        </w:rPr>
      </w:pPr>
      <w:r w:rsidRPr="00B37C27">
        <w:rPr>
          <w:rFonts w:cs="Times New Roman"/>
          <w:noProof/>
          <w:lang w:val="fr-CA"/>
        </w:rPr>
        <w:t>Or, la jurisprudence ultérieure a limité l’application de la plupart de ces énoncés généraux à des catégories de contrats et de relations spécifiques, par exemple les contrats d’assurance, ce qui rendait incertain le rôle du principe général de bonne foi dans le droit anglo</w:t>
      </w:r>
      <w:r w:rsidR="00894691">
        <w:rPr>
          <w:rFonts w:cs="Times New Roman"/>
          <w:noProof/>
          <w:lang w:val="fr-CA"/>
        </w:rPr>
        <w:t>-</w:t>
      </w:r>
      <w:r w:rsidRPr="00B37C27">
        <w:rPr>
          <w:rFonts w:cs="Times New Roman"/>
          <w:noProof/>
          <w:lang w:val="fr-CA"/>
        </w:rPr>
        <w:t>canadien moderne des contrats</w:t>
      </w:r>
      <w:r w:rsidR="00894691">
        <w:rPr>
          <w:rFonts w:cs="Times New Roman"/>
          <w:noProof/>
          <w:lang w:val="fr-CA"/>
        </w:rPr>
        <w:t> :</w:t>
      </w:r>
      <w:r w:rsidRPr="00B37C27">
        <w:rPr>
          <w:rFonts w:cs="Times New Roman"/>
          <w:noProof/>
          <w:lang w:val="fr-CA"/>
        </w:rPr>
        <w:t xml:space="preserve"> </w:t>
      </w:r>
      <w:r w:rsidRPr="00B37C27">
        <w:rPr>
          <w:rFonts w:cs="Times New Roman"/>
          <w:i/>
          <w:noProof/>
          <w:lang w:val="fr-CA"/>
        </w:rPr>
        <w:t>Chitty on Contracts</w:t>
      </w:r>
      <w:r w:rsidRPr="00B37C27">
        <w:rPr>
          <w:rFonts w:cs="Times New Roman"/>
          <w:noProof/>
          <w:lang w:val="fr-CA"/>
        </w:rPr>
        <w:t xml:space="preserve"> (31</w:t>
      </w:r>
      <w:r w:rsidRPr="00B37C27">
        <w:rPr>
          <w:rFonts w:cs="Times New Roman"/>
          <w:noProof/>
          <w:vertAlign w:val="superscript"/>
          <w:lang w:val="fr-CA"/>
        </w:rPr>
        <w:t>e</w:t>
      </w:r>
      <w:r w:rsidRPr="00B37C27">
        <w:rPr>
          <w:rFonts w:cs="Times New Roman"/>
          <w:noProof/>
          <w:lang w:val="fr-CA"/>
        </w:rPr>
        <w:t xml:space="preserve"> éd. 2012),</w:t>
      </w:r>
      <w:r w:rsidR="00290175">
        <w:rPr>
          <w:rFonts w:cs="Times New Roman"/>
          <w:noProof/>
          <w:lang w:val="fr-CA"/>
        </w:rPr>
        <w:t xml:space="preserve"> t. I, </w:t>
      </w:r>
      <w:r w:rsidR="00290175" w:rsidRPr="00290175">
        <w:rPr>
          <w:rFonts w:cs="Times New Roman"/>
          <w:i/>
          <w:noProof/>
          <w:lang w:val="fr-CA"/>
        </w:rPr>
        <w:t>General Principles</w:t>
      </w:r>
      <w:r w:rsidR="00290175">
        <w:rPr>
          <w:rFonts w:cs="Times New Roman"/>
          <w:noProof/>
          <w:lang w:val="fr-CA"/>
        </w:rPr>
        <w:t>,</w:t>
      </w:r>
      <w:r w:rsidRPr="00B37C27">
        <w:rPr>
          <w:rFonts w:cs="Times New Roman"/>
          <w:i/>
          <w:noProof/>
          <w:lang w:val="fr-CA"/>
        </w:rPr>
        <w:t xml:space="preserve"> </w:t>
      </w:r>
      <w:r w:rsidRPr="00B37C27">
        <w:rPr>
          <w:rFonts w:cs="Times New Roman"/>
          <w:noProof/>
          <w:lang w:val="fr-CA"/>
        </w:rPr>
        <w:t>par.</w:t>
      </w:r>
      <w:r w:rsidR="00894691">
        <w:rPr>
          <w:rFonts w:cs="Times New Roman"/>
          <w:noProof/>
          <w:lang w:val="fr-CA"/>
        </w:rPr>
        <w:t xml:space="preserve"> </w:t>
      </w:r>
      <w:r w:rsidRPr="00B37C27">
        <w:rPr>
          <w:rFonts w:cs="Times New Roman"/>
          <w:noProof/>
          <w:lang w:val="fr-CA"/>
        </w:rPr>
        <w:t>1</w:t>
      </w:r>
      <w:r w:rsidR="00894691">
        <w:rPr>
          <w:rFonts w:cs="Times New Roman"/>
          <w:noProof/>
          <w:lang w:val="fr-CA"/>
        </w:rPr>
        <w:t>-</w:t>
      </w:r>
      <w:r w:rsidRPr="00B37C27">
        <w:rPr>
          <w:rFonts w:cs="Times New Roman"/>
          <w:noProof/>
          <w:lang w:val="fr-CA"/>
        </w:rPr>
        <w:t>039; W.</w:t>
      </w:r>
      <w:r w:rsidR="00894691">
        <w:rPr>
          <w:rFonts w:cs="Times New Roman"/>
          <w:noProof/>
          <w:lang w:val="fr-CA"/>
        </w:rPr>
        <w:t xml:space="preserve"> </w:t>
      </w:r>
      <w:r w:rsidRPr="00B37C27">
        <w:rPr>
          <w:rFonts w:cs="Times New Roman"/>
          <w:noProof/>
          <w:lang w:val="fr-CA"/>
        </w:rPr>
        <w:t>P.</w:t>
      </w:r>
      <w:r w:rsidR="00894691">
        <w:rPr>
          <w:rFonts w:cs="Times New Roman"/>
          <w:noProof/>
          <w:lang w:val="fr-CA"/>
        </w:rPr>
        <w:t xml:space="preserve"> </w:t>
      </w:r>
      <w:r w:rsidRPr="00B37C27">
        <w:rPr>
          <w:rFonts w:cs="Times New Roman"/>
          <w:noProof/>
          <w:lang w:val="fr-CA"/>
        </w:rPr>
        <w:t xml:space="preserve">Yee, </w:t>
      </w:r>
      <w:r w:rsidR="00894691">
        <w:rPr>
          <w:rFonts w:cs="Times New Roman"/>
          <w:noProof/>
          <w:lang w:val="fr-CA"/>
        </w:rPr>
        <w:t>« </w:t>
      </w:r>
      <w:r w:rsidRPr="00B37C27">
        <w:rPr>
          <w:rFonts w:cs="Times New Roman"/>
          <w:noProof/>
          <w:lang w:val="fr-CA"/>
        </w:rPr>
        <w:t xml:space="preserve">Protecting Parties’ </w:t>
      </w:r>
      <w:r w:rsidRPr="00B37C27">
        <w:rPr>
          <w:rFonts w:cs="Times New Roman"/>
          <w:noProof/>
          <w:lang w:val="fr-CA"/>
        </w:rPr>
        <w:lastRenderedPageBreak/>
        <w:t>Reasonable Expectations</w:t>
      </w:r>
      <w:r w:rsidR="00894691">
        <w:rPr>
          <w:rFonts w:cs="Times New Roman"/>
          <w:noProof/>
          <w:lang w:val="fr-CA"/>
        </w:rPr>
        <w:t> :</w:t>
      </w:r>
      <w:r w:rsidRPr="00B37C27">
        <w:rPr>
          <w:rFonts w:cs="Times New Roman"/>
          <w:noProof/>
          <w:lang w:val="fr-CA"/>
        </w:rPr>
        <w:t xml:space="preserve"> A General Principle of Good Faith</w:t>
      </w:r>
      <w:r w:rsidR="00894691">
        <w:rPr>
          <w:rFonts w:cs="Times New Roman"/>
          <w:noProof/>
          <w:lang w:val="fr-CA"/>
        </w:rPr>
        <w:t> »</w:t>
      </w:r>
      <w:r w:rsidRPr="00B37C27">
        <w:rPr>
          <w:rFonts w:cs="Times New Roman"/>
          <w:noProof/>
          <w:lang w:val="fr-CA"/>
        </w:rPr>
        <w:t xml:space="preserve"> (2001), 1 </w:t>
      </w:r>
      <w:r w:rsidRPr="00B37C27">
        <w:rPr>
          <w:rFonts w:cs="Times New Roman"/>
          <w:i/>
          <w:noProof/>
          <w:lang w:val="fr-CA"/>
        </w:rPr>
        <w:t>O.U.C.L.J.</w:t>
      </w:r>
      <w:r w:rsidRPr="00B37C27">
        <w:rPr>
          <w:rFonts w:cs="Times New Roman"/>
          <w:noProof/>
          <w:lang w:val="fr-CA"/>
        </w:rPr>
        <w:t xml:space="preserve"> 195, p.</w:t>
      </w:r>
      <w:r w:rsidR="00894691">
        <w:rPr>
          <w:rFonts w:cs="Times New Roman"/>
          <w:noProof/>
          <w:lang w:val="fr-CA"/>
        </w:rPr>
        <w:t xml:space="preserve"> </w:t>
      </w:r>
      <w:r w:rsidRPr="00B37C27">
        <w:rPr>
          <w:rFonts w:cs="Times New Roman"/>
          <w:noProof/>
          <w:lang w:val="fr-CA"/>
        </w:rPr>
        <w:t>195; E.</w:t>
      </w:r>
      <w:r w:rsidR="00894691">
        <w:rPr>
          <w:rFonts w:cs="Times New Roman"/>
          <w:noProof/>
          <w:lang w:val="fr-CA"/>
        </w:rPr>
        <w:t xml:space="preserve"> </w:t>
      </w:r>
      <w:r w:rsidRPr="00B37C27">
        <w:rPr>
          <w:rFonts w:cs="Times New Roman"/>
          <w:noProof/>
          <w:lang w:val="fr-CA"/>
        </w:rPr>
        <w:t>P.</w:t>
      </w:r>
      <w:r w:rsidR="00894691">
        <w:rPr>
          <w:rFonts w:cs="Times New Roman"/>
          <w:noProof/>
          <w:lang w:val="fr-CA"/>
        </w:rPr>
        <w:t xml:space="preserve"> </w:t>
      </w:r>
      <w:r w:rsidRPr="00B37C27">
        <w:rPr>
          <w:rFonts w:cs="Times New Roman"/>
          <w:noProof/>
          <w:lang w:val="fr-CA"/>
        </w:rPr>
        <w:t xml:space="preserve">Belobaba, </w:t>
      </w:r>
      <w:r w:rsidR="00894691">
        <w:rPr>
          <w:rFonts w:cs="Times New Roman"/>
          <w:noProof/>
          <w:lang w:val="fr-CA"/>
        </w:rPr>
        <w:t>« </w:t>
      </w:r>
      <w:r w:rsidRPr="00B37C27">
        <w:rPr>
          <w:rFonts w:cs="Times New Roman"/>
          <w:noProof/>
          <w:lang w:val="fr-CA"/>
        </w:rPr>
        <w:t>Good Faith in Canadian Contract Law</w:t>
      </w:r>
      <w:r w:rsidR="00894691">
        <w:rPr>
          <w:rFonts w:cs="Times New Roman"/>
          <w:noProof/>
          <w:lang w:val="fr-CA"/>
        </w:rPr>
        <w:t> »</w:t>
      </w:r>
      <w:r w:rsidRPr="00B37C27">
        <w:rPr>
          <w:rFonts w:cs="Times New Roman"/>
          <w:noProof/>
          <w:lang w:val="fr-CA"/>
        </w:rPr>
        <w:t xml:space="preserve">, dans </w:t>
      </w:r>
      <w:r w:rsidRPr="00B37C27">
        <w:rPr>
          <w:rFonts w:cs="Times New Roman"/>
          <w:i/>
          <w:noProof/>
          <w:lang w:val="fr-CA"/>
        </w:rPr>
        <w:t>Special Lectures of the Law Society of Upper Canada 1985 — Commercial Law</w:t>
      </w:r>
      <w:r w:rsidR="00894691">
        <w:rPr>
          <w:rFonts w:cs="Times New Roman"/>
          <w:i/>
          <w:noProof/>
          <w:lang w:val="fr-CA"/>
        </w:rPr>
        <w:t> :</w:t>
      </w:r>
      <w:r w:rsidRPr="00B37C27">
        <w:rPr>
          <w:rFonts w:cs="Times New Roman"/>
          <w:i/>
          <w:noProof/>
          <w:lang w:val="fr-CA"/>
        </w:rPr>
        <w:t xml:space="preserve"> Recent Developments and Emerging Trends</w:t>
      </w:r>
      <w:r w:rsidRPr="00B37C27">
        <w:rPr>
          <w:rFonts w:cs="Times New Roman"/>
          <w:noProof/>
          <w:lang w:val="fr-CA"/>
        </w:rPr>
        <w:t xml:space="preserve"> (1985), 73, p.</w:t>
      </w:r>
      <w:r w:rsidR="00894691">
        <w:rPr>
          <w:rFonts w:cs="Times New Roman"/>
          <w:noProof/>
          <w:lang w:val="fr-CA"/>
        </w:rPr>
        <w:t xml:space="preserve"> </w:t>
      </w:r>
      <w:r w:rsidRPr="00B37C27">
        <w:rPr>
          <w:rFonts w:cs="Times New Roman"/>
          <w:noProof/>
          <w:lang w:val="fr-CA"/>
        </w:rPr>
        <w:t xml:space="preserve">75.  L’un des auteurs éminents en droit canadien des contrats est allé jusqu’à affirmer que les juges de common law tirent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une sorte de fierté dénaturée</w:t>
      </w:r>
      <w:r w:rsidR="00894691">
        <w:rPr>
          <w:rFonts w:cs="Times New Roman"/>
          <w:noProof/>
          <w:lang w:val="fr-CA"/>
        </w:rPr>
        <w:t> »</w:t>
      </w:r>
      <w:r w:rsidRPr="00B37C27">
        <w:rPr>
          <w:rFonts w:cs="Times New Roman"/>
          <w:noProof/>
          <w:lang w:val="fr-CA"/>
        </w:rPr>
        <w:t xml:space="preserve"> de l’absence de toute notion générale de bonne foi, comme si accepter cette notion </w:t>
      </w:r>
      <w:r w:rsidR="00894691">
        <w:rPr>
          <w:rFonts w:cs="Times New Roman"/>
          <w:noProof/>
          <w:lang w:val="fr-CA"/>
        </w:rPr>
        <w:t>« </w:t>
      </w:r>
      <w:r w:rsidRPr="00B37C27">
        <w:rPr>
          <w:rFonts w:cs="Times New Roman"/>
          <w:noProof/>
          <w:lang w:val="fr-CA"/>
        </w:rPr>
        <w:t>aurait pour effet d’admettre la présence d’une sorte de mal social embarrassant</w:t>
      </w:r>
      <w:r w:rsidR="00894691">
        <w:rPr>
          <w:rFonts w:cs="Times New Roman"/>
          <w:noProof/>
          <w:lang w:val="fr-CA"/>
        </w:rPr>
        <w:t> » :</w:t>
      </w:r>
      <w:r w:rsidRPr="00B37C27">
        <w:rPr>
          <w:rFonts w:cs="Times New Roman"/>
          <w:noProof/>
          <w:lang w:val="fr-CA"/>
        </w:rPr>
        <w:t xml:space="preserve"> J.</w:t>
      </w:r>
      <w:r w:rsidR="00894691">
        <w:rPr>
          <w:rFonts w:cs="Times New Roman"/>
          <w:noProof/>
          <w:lang w:val="fr-CA"/>
        </w:rPr>
        <w:t xml:space="preserve"> </w:t>
      </w:r>
      <w:r w:rsidRPr="00B37C27">
        <w:rPr>
          <w:rFonts w:cs="Times New Roman"/>
          <w:noProof/>
          <w:lang w:val="fr-CA"/>
        </w:rPr>
        <w:t xml:space="preserve">Swan, </w:t>
      </w:r>
      <w:r w:rsidR="00894691">
        <w:rPr>
          <w:rFonts w:cs="Times New Roman"/>
          <w:noProof/>
          <w:lang w:val="fr-CA"/>
        </w:rPr>
        <w:t>« </w:t>
      </w:r>
      <w:r w:rsidRPr="00B37C27">
        <w:rPr>
          <w:rFonts w:cs="Times New Roman"/>
          <w:noProof/>
          <w:lang w:val="fr-CA"/>
        </w:rPr>
        <w:t>Whither Contracts</w:t>
      </w:r>
      <w:r w:rsidR="00894691">
        <w:rPr>
          <w:rFonts w:cs="Times New Roman"/>
          <w:noProof/>
          <w:lang w:val="fr-CA"/>
        </w:rPr>
        <w:t> :</w:t>
      </w:r>
      <w:r w:rsidRPr="00B37C27">
        <w:rPr>
          <w:rFonts w:cs="Times New Roman"/>
          <w:noProof/>
          <w:lang w:val="fr-CA"/>
        </w:rPr>
        <w:t xml:space="preserve"> A Retrospective and Prospective Overview</w:t>
      </w:r>
      <w:r w:rsidR="00894691">
        <w:rPr>
          <w:rFonts w:cs="Times New Roman"/>
          <w:noProof/>
          <w:lang w:val="fr-CA"/>
        </w:rPr>
        <w:t> »</w:t>
      </w:r>
      <w:r w:rsidRPr="00B37C27">
        <w:rPr>
          <w:rFonts w:cs="Times New Roman"/>
          <w:noProof/>
          <w:lang w:val="fr-CA"/>
        </w:rPr>
        <w:t xml:space="preserve">, dans </w:t>
      </w:r>
      <w:r w:rsidRPr="00B37C27">
        <w:rPr>
          <w:rFonts w:cs="Times New Roman"/>
          <w:i/>
          <w:noProof/>
          <w:lang w:val="fr-CA"/>
        </w:rPr>
        <w:t>Special Lectures of the Law Society of Upper Canada 1984 — Law in Transition</w:t>
      </w:r>
      <w:r w:rsidR="00894691">
        <w:rPr>
          <w:rFonts w:cs="Times New Roman"/>
          <w:i/>
          <w:noProof/>
          <w:lang w:val="fr-CA"/>
        </w:rPr>
        <w:t> :</w:t>
      </w:r>
      <w:r w:rsidRPr="00B37C27">
        <w:rPr>
          <w:rFonts w:cs="Times New Roman"/>
          <w:i/>
          <w:noProof/>
          <w:lang w:val="fr-CA"/>
        </w:rPr>
        <w:t xml:space="preserve"> Contracts</w:t>
      </w:r>
      <w:r w:rsidRPr="00B37C27">
        <w:rPr>
          <w:rFonts w:cs="Times New Roman"/>
          <w:noProof/>
          <w:lang w:val="fr-CA"/>
        </w:rPr>
        <w:t xml:space="preserve"> (1984), 125, p.</w:t>
      </w:r>
      <w:r w:rsidR="00894691">
        <w:rPr>
          <w:rFonts w:cs="Times New Roman"/>
          <w:noProof/>
          <w:lang w:val="fr-CA"/>
        </w:rPr>
        <w:t xml:space="preserve"> </w:t>
      </w:r>
      <w:r w:rsidRPr="00B37C27">
        <w:rPr>
          <w:rFonts w:cs="Times New Roman"/>
          <w:noProof/>
          <w:lang w:val="fr-CA"/>
        </w:rPr>
        <w:t>148.</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Notre Cour n’a pas examiné la question de savoir s’il existe une obligation générale d’exécuter un contrat de bonne foi.  Toutefois, on débat depuis des décennies dans les autres cours et parmi les auteurs la question de savoir si l’exécution des contrats comporte ou devrait comporter une obligation d’agir de bonne foi générale ou </w:t>
      </w:r>
      <w:r w:rsidR="00894691">
        <w:rPr>
          <w:rFonts w:cs="Times New Roman"/>
          <w:noProof/>
          <w:lang w:val="fr-CA"/>
        </w:rPr>
        <w:t>« </w:t>
      </w:r>
      <w:r w:rsidRPr="00B37C27">
        <w:rPr>
          <w:rFonts w:cs="Times New Roman"/>
          <w:noProof/>
          <w:lang w:val="fr-CA"/>
        </w:rPr>
        <w:t>autonome</w:t>
      </w:r>
      <w:r w:rsidR="00894691">
        <w:rPr>
          <w:rFonts w:cs="Times New Roman"/>
          <w:noProof/>
          <w:lang w:val="fr-CA"/>
        </w:rPr>
        <w:t> »</w:t>
      </w:r>
      <w:r w:rsidRPr="00B37C27">
        <w:rPr>
          <w:rFonts w:cs="Times New Roman"/>
          <w:noProof/>
          <w:lang w:val="fr-CA"/>
        </w:rPr>
        <w:t xml:space="preserve">.  Les tribunaux canadiens sont arrivés à des conclusions différentes sur ce point. </w:t>
      </w:r>
    </w:p>
    <w:p w:rsidR="00142A2B" w:rsidRPr="00B37C27" w:rsidRDefault="00142A2B" w:rsidP="00894691">
      <w:pPr>
        <w:pStyle w:val="ParaNoNdepar-AltN"/>
        <w:rPr>
          <w:rFonts w:cs="Times New Roman"/>
          <w:noProof/>
          <w:lang w:val="fr-CA"/>
        </w:rPr>
      </w:pPr>
      <w:r w:rsidRPr="00B37C27">
        <w:rPr>
          <w:rFonts w:cs="Times New Roman"/>
          <w:noProof/>
          <w:lang w:val="fr-CA"/>
        </w:rPr>
        <w:t>Selon certains tribunaux, il existe une obligation générale d’agir de bonne foi</w:t>
      </w:r>
      <w:r w:rsidR="00894691">
        <w:rPr>
          <w:rFonts w:cs="Times New Roman"/>
          <w:noProof/>
          <w:lang w:val="fr-CA"/>
        </w:rPr>
        <w:t> :</w:t>
      </w:r>
      <w:r w:rsidRPr="00B37C27">
        <w:rPr>
          <w:rFonts w:cs="Times New Roman"/>
          <w:i/>
          <w:noProof/>
          <w:lang w:val="fr-CA"/>
        </w:rPr>
        <w:t xml:space="preserve"> Gateway Realty Ltd. c. Arton Holdings Ltd.</w:t>
      </w:r>
      <w:r w:rsidRPr="00B37C27">
        <w:rPr>
          <w:rFonts w:cs="Times New Roman"/>
          <w:noProof/>
          <w:lang w:val="fr-CA"/>
        </w:rPr>
        <w:t xml:space="preserve"> (1991), 106 N.S.R. (2d)</w:t>
      </w:r>
      <w:r w:rsidR="00290175">
        <w:rPr>
          <w:rFonts w:cs="Times New Roman"/>
          <w:noProof/>
          <w:lang w:val="fr-CA"/>
        </w:rPr>
        <w:t xml:space="preserve"> </w:t>
      </w:r>
      <w:r w:rsidRPr="00B37C27">
        <w:rPr>
          <w:rFonts w:cs="Times New Roman"/>
          <w:noProof/>
          <w:lang w:val="fr-CA"/>
        </w:rPr>
        <w:t>180 (C.S. (1</w:t>
      </w:r>
      <w:r w:rsidRPr="00B37C27">
        <w:rPr>
          <w:rFonts w:cs="Times New Roman"/>
          <w:noProof/>
          <w:vertAlign w:val="superscript"/>
          <w:lang w:val="fr-CA"/>
        </w:rPr>
        <w:t>re</w:t>
      </w:r>
      <w:r w:rsidR="00894691">
        <w:rPr>
          <w:rFonts w:cs="Times New Roman"/>
          <w:noProof/>
          <w:lang w:val="fr-CA"/>
        </w:rPr>
        <w:t xml:space="preserve"> </w:t>
      </w:r>
      <w:r w:rsidRPr="00B37C27">
        <w:rPr>
          <w:rFonts w:cs="Times New Roman"/>
          <w:noProof/>
          <w:lang w:val="fr-CA"/>
        </w:rPr>
        <w:t>inst.)), conf. pour des motifs plus restreints (1992), 112 N.S.R. (2d) 180 (C.S.</w:t>
      </w:r>
      <w:r w:rsidR="00290175">
        <w:rPr>
          <w:rFonts w:cs="Times New Roman"/>
          <w:noProof/>
          <w:lang w:val="fr-CA"/>
        </w:rPr>
        <w:t xml:space="preserve"> (div. d’appel</w:t>
      </w:r>
      <w:r w:rsidRPr="00B37C27">
        <w:rPr>
          <w:rFonts w:cs="Times New Roman"/>
          <w:noProof/>
          <w:lang w:val="fr-CA"/>
        </w:rPr>
        <w:t>));</w:t>
      </w:r>
      <w:r w:rsidRPr="00B37C27">
        <w:rPr>
          <w:rFonts w:cs="Times New Roman"/>
          <w:i/>
          <w:noProof/>
          <w:lang w:val="fr-CA"/>
        </w:rPr>
        <w:t xml:space="preserve"> McDonald’s Restaurant of Canada Ltd. c. British Columbia</w:t>
      </w:r>
      <w:r w:rsidRPr="00B37C27">
        <w:rPr>
          <w:rFonts w:cs="Times New Roman"/>
          <w:noProof/>
          <w:lang w:val="fr-CA"/>
        </w:rPr>
        <w:t xml:space="preserve"> (1997), 29 B.C.L.R. (3d) 303 (C.A.), par.</w:t>
      </w:r>
      <w:r w:rsidR="00894691">
        <w:rPr>
          <w:rFonts w:cs="Times New Roman"/>
          <w:noProof/>
          <w:lang w:val="fr-CA"/>
        </w:rPr>
        <w:t xml:space="preserve"> </w:t>
      </w:r>
      <w:r w:rsidRPr="00B37C27">
        <w:rPr>
          <w:rFonts w:cs="Times New Roman"/>
          <w:noProof/>
          <w:lang w:val="fr-CA"/>
        </w:rPr>
        <w:t>99;</w:t>
      </w:r>
      <w:r w:rsidRPr="00B37C27">
        <w:rPr>
          <w:rFonts w:cs="Times New Roman"/>
          <w:i/>
          <w:noProof/>
          <w:lang w:val="fr-CA"/>
        </w:rPr>
        <w:t xml:space="preserve"> </w:t>
      </w:r>
      <w:r w:rsidRPr="00B37C27">
        <w:rPr>
          <w:rFonts w:cs="Times New Roman"/>
          <w:i/>
          <w:lang w:val="fr-CA"/>
        </w:rPr>
        <w:t>Crawford c. Agricultural Development Board (N.B.)</w:t>
      </w:r>
      <w:r w:rsidRPr="00B37C27">
        <w:rPr>
          <w:rFonts w:cs="Times New Roman"/>
          <w:lang w:val="fr-CA"/>
        </w:rPr>
        <w:t xml:space="preserve"> (1997), 192 </w:t>
      </w:r>
      <w:r w:rsidR="00290175">
        <w:rPr>
          <w:rFonts w:cs="Times New Roman"/>
          <w:lang w:val="fr-CA"/>
        </w:rPr>
        <w:t>R.N.-B. (2</w:t>
      </w:r>
      <w:r w:rsidR="00290175" w:rsidRPr="00290175">
        <w:rPr>
          <w:rFonts w:cs="Times New Roman"/>
          <w:vertAlign w:val="superscript"/>
          <w:lang w:val="fr-CA"/>
        </w:rPr>
        <w:t>e</w:t>
      </w:r>
      <w:r w:rsidRPr="00B37C27">
        <w:rPr>
          <w:rFonts w:cs="Times New Roman"/>
          <w:lang w:val="fr-CA"/>
        </w:rPr>
        <w:t>) 68 (C.A.),</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7</w:t>
      </w:r>
      <w:r w:rsidR="00894691">
        <w:rPr>
          <w:rFonts w:cs="Times New Roman"/>
          <w:noProof/>
          <w:lang w:val="fr-CA"/>
        </w:rPr>
        <w:t>-</w:t>
      </w:r>
      <w:r w:rsidRPr="00B37C27">
        <w:rPr>
          <w:rFonts w:cs="Times New Roman"/>
          <w:noProof/>
          <w:lang w:val="fr-CA"/>
        </w:rPr>
        <w:t xml:space="preserve">8.  Ils estiment que la bonne foi joue </w:t>
      </w:r>
      <w:r w:rsidRPr="00B37C27">
        <w:rPr>
          <w:rFonts w:cs="Times New Roman"/>
          <w:noProof/>
          <w:lang w:val="fr-CA"/>
        </w:rPr>
        <w:lastRenderedPageBreak/>
        <w:t>un rôle important dans tous les contrats à titre de condition implicite qui établit des normes minimales en matière de comportement commercial acceptable.  Comme l’affirme le juge Kelly dans</w:t>
      </w:r>
      <w:r w:rsidRPr="00B37C27">
        <w:rPr>
          <w:rFonts w:cs="Times New Roman"/>
          <w:i/>
          <w:noProof/>
          <w:lang w:val="fr-CA"/>
        </w:rPr>
        <w:t xml:space="preserve"> Gateway Realty</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38</w:t>
      </w:r>
      <w:r w:rsidR="00894691">
        <w:rPr>
          <w:rFonts w:cs="Times New Roman"/>
          <w:noProof/>
          <w:lang w:val="fr-CA"/>
        </w:rPr>
        <w:t> :</w:t>
      </w:r>
    </w:p>
    <w:p w:rsidR="00142A2B" w:rsidRPr="00B37C27" w:rsidRDefault="00142A2B" w:rsidP="00894691">
      <w:pPr>
        <w:pStyle w:val="Citation-AltC"/>
        <w:tabs>
          <w:tab w:val="left" w:pos="1680"/>
          <w:tab w:val="left" w:pos="1800"/>
        </w:tabs>
        <w:ind w:hanging="1166"/>
        <w:contextualSpacing w:val="0"/>
        <w:rPr>
          <w:noProof/>
          <w:lang w:val="fr-CA"/>
        </w:rPr>
      </w:pPr>
      <w:r w:rsidRPr="00B37C27">
        <w:rPr>
          <w:smallCaps/>
          <w:noProof/>
          <w:lang w:val="fr-CA"/>
        </w:rPr>
        <w:tab/>
      </w:r>
      <w:r w:rsidRPr="00B37C27">
        <w:rPr>
          <w:smallCaps/>
          <w:noProof/>
          <w:lang w:val="fr-CA"/>
        </w:rPr>
        <w:tab/>
        <w:t>[traduction]</w:t>
      </w:r>
      <w:r w:rsidRPr="00B37C27">
        <w:rPr>
          <w:noProof/>
          <w:lang w:val="fr-CA"/>
        </w:rPr>
        <w:t xml:space="preserve">  Le droit exige que les parties à un contrat exercent honnêtement, équitablement et de bonne foi les droits que leur confère l’entente.  Il y a manquement à cette norme lorsqu’une partie agit de mauvaise foi dans l’exercice des droits qu’elle tire du contrat et dans l’exécution des obligations qu’il lui impose.  La </w:t>
      </w:r>
      <w:r w:rsidR="00894691">
        <w:rPr>
          <w:noProof/>
          <w:lang w:val="fr-CA"/>
        </w:rPr>
        <w:t>« </w:t>
      </w:r>
      <w:r w:rsidRPr="00B37C27">
        <w:rPr>
          <w:noProof/>
          <w:lang w:val="fr-CA"/>
        </w:rPr>
        <w:t>bonne foi</w:t>
      </w:r>
      <w:r w:rsidR="00894691">
        <w:rPr>
          <w:noProof/>
          <w:lang w:val="fr-CA"/>
        </w:rPr>
        <w:t> »</w:t>
      </w:r>
      <w:r w:rsidRPr="00B37C27">
        <w:rPr>
          <w:noProof/>
          <w:lang w:val="fr-CA"/>
        </w:rPr>
        <w:t xml:space="preserve"> est le critère qui dicte aux parties la manière dont elles devraient réaliser leurs objectifs contractuels communs.  Il y a inconduite lorsqu’une partie agit de </w:t>
      </w:r>
      <w:r w:rsidR="00894691">
        <w:rPr>
          <w:noProof/>
          <w:lang w:val="fr-CA"/>
        </w:rPr>
        <w:t>« </w:t>
      </w:r>
      <w:r w:rsidRPr="00B37C27">
        <w:rPr>
          <w:noProof/>
          <w:lang w:val="fr-CA"/>
        </w:rPr>
        <w:t>mauvaise foi</w:t>
      </w:r>
      <w:r w:rsidR="00894691">
        <w:rPr>
          <w:noProof/>
          <w:lang w:val="fr-CA"/>
        </w:rPr>
        <w:t> »</w:t>
      </w:r>
      <w:r w:rsidRPr="00B37C27">
        <w:rPr>
          <w:noProof/>
          <w:lang w:val="fr-CA"/>
        </w:rPr>
        <w:t>, soit à l’encontre des normes sociales d’honnêteté, de raisonnabilité ou d’équité.</w:t>
      </w:r>
    </w:p>
    <w:p w:rsidR="00142A2B" w:rsidRPr="00B37C27" w:rsidRDefault="00142A2B" w:rsidP="00894691">
      <w:pPr>
        <w:pStyle w:val="ParaNoNdepar-AltN"/>
        <w:rPr>
          <w:rFonts w:cs="Times New Roman"/>
          <w:noProof/>
          <w:lang w:val="fr-CA"/>
        </w:rPr>
      </w:pPr>
      <w:r w:rsidRPr="00B37C27">
        <w:rPr>
          <w:rFonts w:cs="Times New Roman"/>
          <w:noProof/>
          <w:lang w:val="fr-CA"/>
        </w:rPr>
        <w:t>D’autres tribunaux estiment qu’une telle obligation générale d’agir de bonne foi n’existe pas dans tous les contrats</w:t>
      </w:r>
      <w:r w:rsidR="00894691">
        <w:rPr>
          <w:rFonts w:cs="Times New Roman"/>
          <w:noProof/>
          <w:lang w:val="fr-CA"/>
        </w:rPr>
        <w:t> :</w:t>
      </w:r>
      <w:r w:rsidRPr="00B37C27">
        <w:rPr>
          <w:rFonts w:cs="Times New Roman"/>
          <w:i/>
          <w:noProof/>
          <w:lang w:val="fr-CA"/>
        </w:rPr>
        <w:t xml:space="preserve"> Transamerica Life Canada Inc. c. ING Canada Inc. </w:t>
      </w:r>
      <w:r w:rsidRPr="00290175">
        <w:rPr>
          <w:rFonts w:cs="Times New Roman"/>
          <w:noProof/>
          <w:lang w:val="en-US"/>
        </w:rPr>
        <w:t>(2003), 68 O.R. (3d) 457 (C.A.), par.</w:t>
      </w:r>
      <w:r w:rsidR="00894691" w:rsidRPr="00290175">
        <w:rPr>
          <w:rFonts w:cs="Times New Roman"/>
          <w:noProof/>
          <w:lang w:val="en-US"/>
        </w:rPr>
        <w:t xml:space="preserve"> </w:t>
      </w:r>
      <w:r w:rsidR="00290175" w:rsidRPr="00290175">
        <w:rPr>
          <w:rFonts w:cs="Times New Roman"/>
          <w:noProof/>
          <w:lang w:val="en-US"/>
        </w:rPr>
        <w:t>53-</w:t>
      </w:r>
      <w:r w:rsidRPr="00290175">
        <w:rPr>
          <w:rFonts w:cs="Times New Roman"/>
          <w:noProof/>
          <w:lang w:val="en-US"/>
        </w:rPr>
        <w:t>54;</w:t>
      </w:r>
      <w:r w:rsidRPr="00290175">
        <w:rPr>
          <w:rFonts w:cs="Times New Roman"/>
          <w:i/>
          <w:noProof/>
          <w:lang w:val="en-US"/>
        </w:rPr>
        <w:t xml:space="preserve"> Mesa Operating Limited Partnership c. Amoco Canada Resources Ltd.</w:t>
      </w:r>
      <w:r w:rsidRPr="00290175">
        <w:rPr>
          <w:rFonts w:cs="Times New Roman"/>
          <w:noProof/>
          <w:lang w:val="en-US"/>
        </w:rPr>
        <w:t xml:space="preserve"> (1994), 149 A.R. 187 (C.A.), par.</w:t>
      </w:r>
      <w:r w:rsidR="00894691" w:rsidRPr="00290175">
        <w:rPr>
          <w:rFonts w:cs="Times New Roman"/>
          <w:noProof/>
          <w:lang w:val="en-US"/>
        </w:rPr>
        <w:t xml:space="preserve"> </w:t>
      </w:r>
      <w:r w:rsidRPr="00290175">
        <w:rPr>
          <w:rFonts w:cs="Times New Roman"/>
          <w:noProof/>
          <w:lang w:val="en-US"/>
        </w:rPr>
        <w:t>15</w:t>
      </w:r>
      <w:r w:rsidR="00894691" w:rsidRPr="00290175">
        <w:rPr>
          <w:rFonts w:cs="Times New Roman"/>
          <w:noProof/>
          <w:lang w:val="en-US"/>
        </w:rPr>
        <w:t>-</w:t>
      </w:r>
      <w:r w:rsidRPr="00290175">
        <w:rPr>
          <w:rFonts w:cs="Times New Roman"/>
          <w:noProof/>
          <w:lang w:val="en-US"/>
        </w:rPr>
        <w:t>19,</w:t>
      </w:r>
      <w:r w:rsidRPr="00290175">
        <w:rPr>
          <w:rFonts w:cs="Times New Roman"/>
          <w:i/>
          <w:noProof/>
          <w:lang w:val="en-US"/>
        </w:rPr>
        <w:t xml:space="preserve"> </w:t>
      </w:r>
      <w:r w:rsidR="00290175">
        <w:rPr>
          <w:rFonts w:cs="Times New Roman"/>
          <w:noProof/>
          <w:lang w:val="en-US"/>
        </w:rPr>
        <w:t>le</w:t>
      </w:r>
      <w:r w:rsidRPr="00290175">
        <w:rPr>
          <w:rFonts w:cs="Times New Roman"/>
          <w:noProof/>
          <w:lang w:val="en-US"/>
        </w:rPr>
        <w:t xml:space="preserve"> juge</w:t>
      </w:r>
      <w:r w:rsidR="00894691" w:rsidRPr="00290175">
        <w:rPr>
          <w:rFonts w:cs="Times New Roman"/>
          <w:noProof/>
          <w:lang w:val="en-US"/>
        </w:rPr>
        <w:t xml:space="preserve"> </w:t>
      </w:r>
      <w:r w:rsidRPr="00290175">
        <w:rPr>
          <w:rFonts w:cs="Times New Roman"/>
          <w:noProof/>
          <w:lang w:val="en-US"/>
        </w:rPr>
        <w:t>Kerans,</w:t>
      </w:r>
      <w:r w:rsidRPr="00290175">
        <w:rPr>
          <w:rFonts w:cs="Times New Roman"/>
          <w:i/>
          <w:noProof/>
          <w:lang w:val="en-US"/>
        </w:rPr>
        <w:t xml:space="preserve"> </w:t>
      </w:r>
      <w:r w:rsidRPr="00290175">
        <w:rPr>
          <w:rFonts w:cs="Times New Roman"/>
          <w:noProof/>
          <w:lang w:val="en-US"/>
        </w:rPr>
        <w:t>exprimant des doutes;</w:t>
      </w:r>
      <w:r w:rsidRPr="00290175">
        <w:rPr>
          <w:rFonts w:cs="Times New Roman"/>
          <w:i/>
          <w:noProof/>
          <w:lang w:val="en-US"/>
        </w:rPr>
        <w:t xml:space="preserve"> Barclays Bank PLC c. Metcalfe </w:t>
      </w:r>
      <w:r w:rsidRPr="00290175">
        <w:rPr>
          <w:rFonts w:cs="Times New Roman"/>
          <w:i/>
          <w:lang w:val="en-US"/>
        </w:rPr>
        <w:t>&amp;</w:t>
      </w:r>
      <w:r w:rsidRPr="00290175">
        <w:rPr>
          <w:rFonts w:cs="Times New Roman"/>
          <w:i/>
          <w:noProof/>
          <w:lang w:val="en-US"/>
        </w:rPr>
        <w:t xml:space="preserve"> Mansfield Alternative Investments VII Corp.</w:t>
      </w:r>
      <w:r w:rsidRPr="00290175">
        <w:rPr>
          <w:rFonts w:cs="Times New Roman"/>
          <w:noProof/>
          <w:lang w:val="en-US"/>
        </w:rPr>
        <w:t>, 2013 ONCA 494, 365 D.L.R. (4th) 15, par.</w:t>
      </w:r>
      <w:r w:rsidR="00894691" w:rsidRPr="00290175">
        <w:rPr>
          <w:rFonts w:cs="Times New Roman"/>
          <w:noProof/>
          <w:lang w:val="en-US"/>
        </w:rPr>
        <w:t xml:space="preserve"> </w:t>
      </w:r>
      <w:r w:rsidRPr="00290175">
        <w:rPr>
          <w:rFonts w:cs="Times New Roman"/>
          <w:noProof/>
          <w:lang w:val="en-US"/>
        </w:rPr>
        <w:t>131; voir G.</w:t>
      </w:r>
      <w:r w:rsidR="00894691" w:rsidRPr="00290175">
        <w:rPr>
          <w:rFonts w:cs="Times New Roman"/>
          <w:noProof/>
          <w:lang w:val="en-US"/>
        </w:rPr>
        <w:t xml:space="preserve"> </w:t>
      </w:r>
      <w:r w:rsidRPr="00290175">
        <w:rPr>
          <w:rFonts w:cs="Times New Roman"/>
          <w:noProof/>
          <w:lang w:val="en-US"/>
        </w:rPr>
        <w:t>R.</w:t>
      </w:r>
      <w:r w:rsidR="00894691" w:rsidRPr="00290175">
        <w:rPr>
          <w:rFonts w:cs="Times New Roman"/>
          <w:noProof/>
          <w:lang w:val="en-US"/>
        </w:rPr>
        <w:t xml:space="preserve"> </w:t>
      </w:r>
      <w:r w:rsidRPr="00290175">
        <w:rPr>
          <w:rFonts w:cs="Times New Roman"/>
          <w:noProof/>
          <w:lang w:val="en-US"/>
        </w:rPr>
        <w:t>Hall,</w:t>
      </w:r>
      <w:r w:rsidRPr="00290175">
        <w:rPr>
          <w:rFonts w:cs="Times New Roman"/>
          <w:i/>
          <w:noProof/>
          <w:lang w:val="en-US"/>
        </w:rPr>
        <w:t xml:space="preserve"> Canadian Contractual Interpretation Law</w:t>
      </w:r>
      <w:r w:rsidRPr="00290175">
        <w:rPr>
          <w:rFonts w:cs="Times New Roman"/>
          <w:noProof/>
          <w:lang w:val="en-US"/>
        </w:rPr>
        <w:t xml:space="preserve"> (2</w:t>
      </w:r>
      <w:r w:rsidRPr="00290175">
        <w:rPr>
          <w:rFonts w:cs="Times New Roman"/>
          <w:noProof/>
          <w:vertAlign w:val="superscript"/>
          <w:lang w:val="en-US"/>
        </w:rPr>
        <w:t>e</w:t>
      </w:r>
      <w:r w:rsidRPr="00290175">
        <w:rPr>
          <w:rFonts w:cs="Times New Roman"/>
          <w:noProof/>
          <w:lang w:val="en-US"/>
        </w:rPr>
        <w:t xml:space="preserve"> éd. 2012), p.</w:t>
      </w:r>
      <w:r w:rsidR="00894691" w:rsidRPr="00290175">
        <w:rPr>
          <w:rFonts w:cs="Times New Roman"/>
          <w:noProof/>
          <w:lang w:val="en-US"/>
        </w:rPr>
        <w:t xml:space="preserve"> </w:t>
      </w:r>
      <w:r w:rsidRPr="00290175">
        <w:rPr>
          <w:rFonts w:cs="Times New Roman"/>
          <w:noProof/>
          <w:lang w:val="en-US"/>
        </w:rPr>
        <w:t>338</w:t>
      </w:r>
      <w:r w:rsidR="00894691" w:rsidRPr="00290175">
        <w:rPr>
          <w:rFonts w:cs="Times New Roman"/>
          <w:noProof/>
          <w:lang w:val="en-US"/>
        </w:rPr>
        <w:t>-</w:t>
      </w:r>
      <w:r w:rsidRPr="00290175">
        <w:rPr>
          <w:rFonts w:cs="Times New Roman"/>
          <w:noProof/>
          <w:lang w:val="en-US"/>
        </w:rPr>
        <w:t xml:space="preserve">346.  </w:t>
      </w:r>
      <w:r w:rsidRPr="00B37C27">
        <w:rPr>
          <w:rFonts w:cs="Times New Roman"/>
          <w:noProof/>
          <w:lang w:val="fr-CA"/>
        </w:rPr>
        <w:t>Ceux qui contestent l’existence de cette obligation générale ont admis que la bonne foi joue un rôle restreint dans certains contextes, mais ont estimé que la reconnaissance d’une obligation générale d’agir de bonne foi, qui permettrait aux tribunaux de modifier les conditions expresses d’un contrat, donnerait lieu à l’instabilité commerciale et porterait atteinte à la liberté contractuelle.</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 xml:space="preserve">Notre Cour doit faire progresser la common law de manière à suivre </w:t>
      </w:r>
      <w:r w:rsidR="00894691">
        <w:rPr>
          <w:rFonts w:cs="Times New Roman"/>
          <w:lang w:val="fr-CA"/>
        </w:rPr>
        <w:t>« </w:t>
      </w:r>
      <w:r w:rsidRPr="00B37C27">
        <w:rPr>
          <w:rFonts w:cs="Times New Roman"/>
          <w:lang w:val="fr-CA"/>
        </w:rPr>
        <w:t>l’évolution et le dynamisme de la société</w:t>
      </w:r>
      <w:r w:rsidR="00894691">
        <w:rPr>
          <w:rFonts w:cs="Times New Roman"/>
          <w:noProof/>
          <w:lang w:val="fr-CA"/>
        </w:rPr>
        <w:t> »</w:t>
      </w:r>
      <w:r w:rsidRPr="00B37C27">
        <w:rPr>
          <w:rFonts w:cs="Times New Roman"/>
          <w:noProof/>
          <w:lang w:val="fr-CA"/>
        </w:rPr>
        <w:t xml:space="preserve"> lorsqu’il est possible de le faire de manière progressive et </w:t>
      </w:r>
      <w:r w:rsidR="00894691">
        <w:rPr>
          <w:rFonts w:cs="Times New Roman"/>
          <w:noProof/>
          <w:lang w:val="fr-CA"/>
        </w:rPr>
        <w:t>« </w:t>
      </w:r>
      <w:r w:rsidRPr="00B37C27">
        <w:rPr>
          <w:rFonts w:cs="Times New Roman"/>
          <w:lang w:val="fr-CA"/>
        </w:rPr>
        <w:t>lorsqu’il n’est pas impossible d’évaluer</w:t>
      </w:r>
      <w:r w:rsidR="00894691">
        <w:rPr>
          <w:rFonts w:cs="Times New Roman"/>
          <w:lang w:val="fr-CA"/>
        </w:rPr>
        <w:t> »</w:t>
      </w:r>
      <w:r w:rsidRPr="00B37C27">
        <w:rPr>
          <w:rFonts w:cs="Times New Roman"/>
          <w:lang w:val="fr-CA"/>
        </w:rPr>
        <w:t xml:space="preserve"> les conséquences du changement</w:t>
      </w:r>
      <w:r w:rsidR="00894691">
        <w:rPr>
          <w:rFonts w:cs="Times New Roman"/>
          <w:lang w:val="fr-CA"/>
        </w:rPr>
        <w:t> :</w:t>
      </w:r>
      <w:r w:rsidRPr="00B37C27">
        <w:rPr>
          <w:rFonts w:cs="Times New Roman"/>
          <w:lang w:val="fr-CA"/>
        </w:rPr>
        <w:t xml:space="preserve"> </w:t>
      </w:r>
      <w:r w:rsidRPr="00B37C27">
        <w:rPr>
          <w:rFonts w:cs="Times New Roman"/>
          <w:i/>
          <w:lang w:val="fr-CA"/>
        </w:rPr>
        <w:t xml:space="preserve">R. c. </w:t>
      </w:r>
      <w:proofErr w:type="spellStart"/>
      <w:r w:rsidRPr="00B37C27">
        <w:rPr>
          <w:rFonts w:cs="Times New Roman"/>
          <w:i/>
          <w:lang w:val="fr-CA"/>
        </w:rPr>
        <w:t>Salituro</w:t>
      </w:r>
      <w:proofErr w:type="spellEnd"/>
      <w:r w:rsidRPr="00B37C27">
        <w:rPr>
          <w:rFonts w:cs="Times New Roman"/>
          <w:lang w:val="fr-CA"/>
        </w:rPr>
        <w:t>, [1991] 3 R.C.S. 654, p.</w:t>
      </w:r>
      <w:r w:rsidR="00894691">
        <w:rPr>
          <w:rFonts w:cs="Times New Roman"/>
          <w:lang w:val="fr-CA"/>
        </w:rPr>
        <w:t xml:space="preserve"> </w:t>
      </w:r>
      <w:r w:rsidRPr="00B37C27">
        <w:rPr>
          <w:rFonts w:cs="Times New Roman"/>
          <w:lang w:val="fr-CA"/>
        </w:rPr>
        <w:t xml:space="preserve">670; </w:t>
      </w:r>
      <w:r w:rsidRPr="00B37C27">
        <w:rPr>
          <w:rFonts w:cs="Times New Roman"/>
          <w:i/>
          <w:lang w:val="fr-CA"/>
        </w:rPr>
        <w:t xml:space="preserve">Bow </w:t>
      </w:r>
      <w:proofErr w:type="spellStart"/>
      <w:r w:rsidRPr="00B37C27">
        <w:rPr>
          <w:rFonts w:cs="Times New Roman"/>
          <w:i/>
          <w:lang w:val="fr-CA"/>
        </w:rPr>
        <w:t>Valley</w:t>
      </w:r>
      <w:proofErr w:type="spellEnd"/>
      <w:r w:rsidRPr="00B37C27">
        <w:rPr>
          <w:rFonts w:cs="Times New Roman"/>
          <w:i/>
          <w:lang w:val="fr-CA"/>
        </w:rPr>
        <w:t xml:space="preserve"> Husky (Bermuda) Ltd. c. Saint John </w:t>
      </w:r>
      <w:proofErr w:type="spellStart"/>
      <w:r w:rsidRPr="00B37C27">
        <w:rPr>
          <w:rFonts w:cs="Times New Roman"/>
          <w:i/>
          <w:lang w:val="fr-CA"/>
        </w:rPr>
        <w:t>Shipbuilding</w:t>
      </w:r>
      <w:proofErr w:type="spellEnd"/>
      <w:r w:rsidRPr="00B37C27">
        <w:rPr>
          <w:rFonts w:cs="Times New Roman"/>
          <w:i/>
          <w:lang w:val="fr-CA"/>
        </w:rPr>
        <w:t xml:space="preserve"> Ltd.</w:t>
      </w:r>
      <w:r w:rsidRPr="00B37C27">
        <w:rPr>
          <w:rFonts w:cs="Times New Roman"/>
          <w:lang w:val="fr-CA"/>
        </w:rPr>
        <w:t>, [1997] 3 R.C.S. 1210, par.</w:t>
      </w:r>
      <w:r w:rsidR="00894691">
        <w:rPr>
          <w:rFonts w:cs="Times New Roman"/>
          <w:lang w:val="fr-CA"/>
        </w:rPr>
        <w:t xml:space="preserve"> </w:t>
      </w:r>
      <w:r w:rsidRPr="00B37C27">
        <w:rPr>
          <w:rFonts w:cs="Times New Roman"/>
          <w:lang w:val="fr-CA"/>
        </w:rPr>
        <w:t xml:space="preserve">93; voir aussi </w:t>
      </w:r>
      <w:r w:rsidRPr="00B37C27">
        <w:rPr>
          <w:rFonts w:cs="Times New Roman"/>
          <w:i/>
          <w:lang w:val="fr-CA"/>
        </w:rPr>
        <w:t xml:space="preserve">Watkins c. </w:t>
      </w:r>
      <w:proofErr w:type="spellStart"/>
      <w:r w:rsidRPr="00B37C27">
        <w:rPr>
          <w:rFonts w:cs="Times New Roman"/>
          <w:i/>
          <w:lang w:val="fr-CA"/>
        </w:rPr>
        <w:t>Olafson</w:t>
      </w:r>
      <w:proofErr w:type="spellEnd"/>
      <w:r w:rsidRPr="00B37C27">
        <w:rPr>
          <w:rFonts w:cs="Times New Roman"/>
          <w:lang w:val="fr-CA"/>
        </w:rPr>
        <w:t>, [1989] 2 R.C.S. 750, p.</w:t>
      </w:r>
      <w:r w:rsidR="00894691">
        <w:rPr>
          <w:rFonts w:cs="Times New Roman"/>
          <w:lang w:val="fr-CA"/>
        </w:rPr>
        <w:t xml:space="preserve"> </w:t>
      </w:r>
      <w:r w:rsidRPr="00B37C27">
        <w:rPr>
          <w:rFonts w:cs="Times New Roman"/>
          <w:lang w:val="fr-CA"/>
        </w:rPr>
        <w:t>760</w:t>
      </w:r>
      <w:r w:rsidR="00894691">
        <w:rPr>
          <w:rFonts w:cs="Times New Roman"/>
          <w:lang w:val="fr-CA"/>
        </w:rPr>
        <w:t>-</w:t>
      </w:r>
      <w:r w:rsidRPr="00B37C27">
        <w:rPr>
          <w:rFonts w:cs="Times New Roman"/>
          <w:lang w:val="fr-CA"/>
        </w:rPr>
        <w:t xml:space="preserve">764; </w:t>
      </w:r>
      <w:r w:rsidRPr="00B37C27">
        <w:rPr>
          <w:rFonts w:cs="Times New Roman"/>
          <w:i/>
          <w:lang w:val="fr-CA"/>
        </w:rPr>
        <w:t>Hill c. Église de scientologie de Toronto</w:t>
      </w:r>
      <w:r w:rsidRPr="00B37C27">
        <w:rPr>
          <w:rFonts w:cs="Times New Roman"/>
          <w:lang w:val="fr-CA"/>
        </w:rPr>
        <w:t>, [1995] 2 R.C.S. 1130, par.</w:t>
      </w:r>
      <w:r w:rsidR="00894691">
        <w:rPr>
          <w:rFonts w:cs="Times New Roman"/>
          <w:lang w:val="fr-CA"/>
        </w:rPr>
        <w:t xml:space="preserve"> </w:t>
      </w:r>
      <w:r w:rsidRPr="00B37C27">
        <w:rPr>
          <w:rFonts w:cs="Times New Roman"/>
          <w:lang w:val="fr-CA"/>
        </w:rPr>
        <w:t xml:space="preserve">85; </w:t>
      </w:r>
      <w:r w:rsidRPr="00B37C27">
        <w:rPr>
          <w:rFonts w:cs="Times New Roman"/>
          <w:i/>
          <w:lang w:val="fr-CA"/>
        </w:rPr>
        <w:t>S.D.G.M.</w:t>
      </w:r>
      <w:r w:rsidR="00290175">
        <w:rPr>
          <w:rFonts w:cs="Times New Roman"/>
          <w:i/>
          <w:lang w:val="fr-CA"/>
        </w:rPr>
        <w:t>R., s</w:t>
      </w:r>
      <w:r w:rsidRPr="00B37C27">
        <w:rPr>
          <w:rFonts w:cs="Times New Roman"/>
          <w:i/>
          <w:lang w:val="fr-CA"/>
        </w:rPr>
        <w:t>ection locale 558 c. Pepsi</w:t>
      </w:r>
      <w:r w:rsidR="00894691">
        <w:rPr>
          <w:rFonts w:cs="Times New Roman"/>
          <w:i/>
          <w:lang w:val="fr-CA"/>
        </w:rPr>
        <w:t>-</w:t>
      </w:r>
      <w:r w:rsidRPr="00B37C27">
        <w:rPr>
          <w:rFonts w:cs="Times New Roman"/>
          <w:i/>
          <w:lang w:val="fr-CA"/>
        </w:rPr>
        <w:t xml:space="preserve">Cola Canada </w:t>
      </w:r>
      <w:proofErr w:type="spellStart"/>
      <w:r w:rsidRPr="00B37C27">
        <w:rPr>
          <w:rFonts w:cs="Times New Roman"/>
          <w:i/>
          <w:lang w:val="fr-CA"/>
        </w:rPr>
        <w:t>Beverages</w:t>
      </w:r>
      <w:proofErr w:type="spellEnd"/>
      <w:r w:rsidRPr="00B37C27">
        <w:rPr>
          <w:rFonts w:cs="Times New Roman"/>
          <w:i/>
          <w:lang w:val="fr-CA"/>
        </w:rPr>
        <w:t xml:space="preserve"> (West) Ltd.</w:t>
      </w:r>
      <w:r w:rsidRPr="00B37C27">
        <w:rPr>
          <w:rFonts w:cs="Times New Roman"/>
          <w:lang w:val="fr-CA"/>
        </w:rPr>
        <w:t xml:space="preserve">, 2002 CSC 8, [2002] 1 R.C.S. 156; </w:t>
      </w:r>
      <w:r w:rsidRPr="00B37C27">
        <w:rPr>
          <w:rFonts w:cs="Times New Roman"/>
          <w:i/>
          <w:lang w:val="fr-CA"/>
        </w:rPr>
        <w:t>Colombie</w:t>
      </w:r>
      <w:r w:rsidR="00894691">
        <w:rPr>
          <w:rFonts w:cs="Times New Roman"/>
          <w:i/>
          <w:lang w:val="fr-CA"/>
        </w:rPr>
        <w:t>-</w:t>
      </w:r>
      <w:r w:rsidRPr="00B37C27">
        <w:rPr>
          <w:rFonts w:cs="Times New Roman"/>
          <w:i/>
          <w:lang w:val="fr-CA"/>
        </w:rPr>
        <w:t xml:space="preserve">Britannique c. Imperial Tobacco Canada </w:t>
      </w:r>
      <w:proofErr w:type="spellStart"/>
      <w:r w:rsidRPr="00B37C27">
        <w:rPr>
          <w:rFonts w:cs="Times New Roman"/>
          <w:i/>
          <w:lang w:val="fr-CA"/>
        </w:rPr>
        <w:t>Ltée</w:t>
      </w:r>
      <w:proofErr w:type="spellEnd"/>
      <w:r w:rsidRPr="00B37C27">
        <w:rPr>
          <w:rFonts w:cs="Times New Roman"/>
          <w:lang w:val="fr-CA"/>
        </w:rPr>
        <w:t xml:space="preserve">, 2005 CSC 49, [2005] 2 R.C.S. 473; </w:t>
      </w:r>
      <w:r w:rsidRPr="00B37C27">
        <w:rPr>
          <w:rFonts w:cs="Times New Roman"/>
          <w:i/>
          <w:lang w:val="fr-CA"/>
        </w:rPr>
        <w:t xml:space="preserve">Grant c. </w:t>
      </w:r>
      <w:proofErr w:type="spellStart"/>
      <w:r w:rsidRPr="00B37C27">
        <w:rPr>
          <w:rFonts w:cs="Times New Roman"/>
          <w:i/>
          <w:lang w:val="fr-CA"/>
        </w:rPr>
        <w:t>Torstar</w:t>
      </w:r>
      <w:proofErr w:type="spellEnd"/>
      <w:r w:rsidRPr="00B37C27">
        <w:rPr>
          <w:rFonts w:cs="Times New Roman"/>
          <w:i/>
          <w:lang w:val="fr-CA"/>
        </w:rPr>
        <w:t xml:space="preserve"> Corp.</w:t>
      </w:r>
      <w:r w:rsidRPr="00B37C27">
        <w:rPr>
          <w:rFonts w:cs="Times New Roman"/>
          <w:lang w:val="fr-CA"/>
        </w:rPr>
        <w:t>, 2009 CSC 61, [2009] 3 R.C.S. 640, par.</w:t>
      </w:r>
      <w:r w:rsidR="00894691">
        <w:rPr>
          <w:rFonts w:cs="Times New Roman"/>
          <w:lang w:val="fr-CA"/>
        </w:rPr>
        <w:t xml:space="preserve"> </w:t>
      </w:r>
      <w:r w:rsidRPr="00B37C27">
        <w:rPr>
          <w:rFonts w:cs="Times New Roman"/>
          <w:lang w:val="fr-CA"/>
        </w:rPr>
        <w:t>46</w:t>
      </w:r>
      <w:r w:rsidRPr="00B37C27">
        <w:rPr>
          <w:rFonts w:cs="Times New Roman"/>
          <w:noProof/>
          <w:lang w:val="fr-CA"/>
        </w:rPr>
        <w:t xml:space="preserve">.  Cet exercice est d’autant plus opportun lorsque, comme en l’espèce, il s’agit </w:t>
      </w:r>
      <w:r w:rsidR="00350F10">
        <w:rPr>
          <w:rFonts w:cs="Times New Roman"/>
          <w:noProof/>
          <w:lang w:val="fr-CA"/>
        </w:rPr>
        <w:t xml:space="preserve">non </w:t>
      </w:r>
      <w:r w:rsidRPr="00B37C27">
        <w:rPr>
          <w:rFonts w:cs="Times New Roman"/>
          <w:noProof/>
          <w:lang w:val="fr-CA"/>
        </w:rPr>
        <w:t>pas d’écarter une règle bien établie, mais de réaliser une avancée permettant d’apporter une plus grande certitude et une meilleure cohérence à un domaine complexe et difficile de la common law.</w:t>
      </w:r>
    </w:p>
    <w:p w:rsidR="00142A2B" w:rsidRPr="00B37C27" w:rsidRDefault="00142A2B" w:rsidP="00894691">
      <w:pPr>
        <w:pStyle w:val="ParaNoNdepar-AltN"/>
        <w:rPr>
          <w:rFonts w:cs="Times New Roman"/>
          <w:noProof/>
          <w:lang w:val="fr-CA"/>
        </w:rPr>
      </w:pPr>
      <w:r w:rsidRPr="00B37C27">
        <w:rPr>
          <w:rFonts w:cs="Times New Roman"/>
          <w:noProof/>
          <w:lang w:val="fr-CA"/>
        </w:rPr>
        <w:t>À mon avis, les changements que je propose sont souhaitables pour plusieurs raisons.  Premièrement, la common law canadienne actuelle est incertaine.  Deuxièmement, l’approche actuelle relative à l’exécution de bonne foi manque de cohérence.  Troisièmement, le droit actuel ne tient pas compte des attentes raisonnables des parties commerciales, particulièrement celles d’au moins deux partenaires commerciaux importants des ressorts canadiens de common law — le Québec et les États</w:t>
      </w:r>
      <w:r w:rsidR="00894691">
        <w:rPr>
          <w:rFonts w:cs="Times New Roman"/>
          <w:noProof/>
          <w:lang w:val="fr-CA"/>
        </w:rPr>
        <w:t>-</w:t>
      </w:r>
      <w:r w:rsidRPr="00B37C27">
        <w:rPr>
          <w:rFonts w:cs="Times New Roman"/>
          <w:noProof/>
          <w:lang w:val="fr-CA"/>
        </w:rPr>
        <w:t>Unis</w:t>
      </w:r>
      <w:r w:rsidR="00894691">
        <w:rPr>
          <w:rFonts w:cs="Times New Roman"/>
          <w:noProof/>
          <w:lang w:val="fr-CA"/>
        </w:rPr>
        <w:t> :</w:t>
      </w:r>
      <w:r w:rsidRPr="00B37C27">
        <w:rPr>
          <w:rFonts w:cs="Times New Roman"/>
          <w:noProof/>
          <w:lang w:val="fr-CA"/>
        </w:rPr>
        <w:t xml:space="preserve"> voir, p.</w:t>
      </w:r>
      <w:r w:rsidR="00894691">
        <w:rPr>
          <w:rFonts w:cs="Times New Roman"/>
          <w:noProof/>
          <w:lang w:val="fr-CA"/>
        </w:rPr>
        <w:t xml:space="preserve"> </w:t>
      </w:r>
      <w:r w:rsidRPr="00B37C27">
        <w:rPr>
          <w:rFonts w:cs="Times New Roman"/>
          <w:noProof/>
          <w:lang w:val="fr-CA"/>
        </w:rPr>
        <w:t>ex., Hall, p.</w:t>
      </w:r>
      <w:r w:rsidR="00894691">
        <w:rPr>
          <w:rFonts w:cs="Times New Roman"/>
          <w:noProof/>
          <w:lang w:val="fr-CA"/>
        </w:rPr>
        <w:t xml:space="preserve"> </w:t>
      </w:r>
      <w:r w:rsidRPr="00B37C27">
        <w:rPr>
          <w:rFonts w:cs="Times New Roman"/>
          <w:noProof/>
          <w:lang w:val="fr-CA"/>
        </w:rPr>
        <w:t xml:space="preserve">347.  Les changements proposés n’auront pas pour effet de régler complètement ces problèmes, mais ils apporteront, </w:t>
      </w:r>
      <w:r w:rsidRPr="00B37C27">
        <w:rPr>
          <w:rFonts w:cs="Times New Roman"/>
          <w:noProof/>
          <w:lang w:val="fr-CA"/>
        </w:rPr>
        <w:lastRenderedPageBreak/>
        <w:t xml:space="preserve">dans une certaine mesure, l’uniformité et la prévisibilité au droit qu’ils rendront plus conforme aux attentes raisonnables des parties commerciales. </w:t>
      </w:r>
    </w:p>
    <w:p w:rsidR="00142A2B" w:rsidRPr="00B37C27" w:rsidRDefault="00142A2B" w:rsidP="00290175">
      <w:pPr>
        <w:pStyle w:val="Title5LevelTitre5Niveau"/>
        <w:tabs>
          <w:tab w:val="clear" w:pos="1728"/>
          <w:tab w:val="num" w:pos="900"/>
        </w:tabs>
        <w:ind w:left="900" w:hanging="450"/>
        <w:rPr>
          <w:rFonts w:cs="Times New Roman"/>
          <w:noProof/>
          <w:lang w:val="fr-CA"/>
        </w:rPr>
      </w:pPr>
      <w:r w:rsidRPr="00B37C27">
        <w:rPr>
          <w:rFonts w:cs="Times New Roman"/>
          <w:noProof/>
          <w:lang w:val="fr-CA"/>
        </w:rPr>
        <w:t>Examen de l’état actuel de la common law</w:t>
      </w:r>
    </w:p>
    <w:p w:rsidR="00142A2B" w:rsidRPr="00B37C27" w:rsidRDefault="00142A2B" w:rsidP="00894691">
      <w:pPr>
        <w:pStyle w:val="ParaNoNdepar-AltN"/>
        <w:rPr>
          <w:rFonts w:cs="Times New Roman"/>
          <w:noProof/>
          <w:lang w:val="fr-CA"/>
        </w:rPr>
      </w:pPr>
      <w:r w:rsidRPr="00B37C27">
        <w:rPr>
          <w:rFonts w:cs="Times New Roman"/>
          <w:noProof/>
          <w:lang w:val="fr-CA"/>
        </w:rPr>
        <w:t>La common law anglo</w:t>
      </w:r>
      <w:r w:rsidR="00894691">
        <w:rPr>
          <w:rFonts w:cs="Times New Roman"/>
          <w:noProof/>
          <w:lang w:val="fr-CA"/>
        </w:rPr>
        <w:t>-</w:t>
      </w:r>
      <w:r w:rsidRPr="00B37C27">
        <w:rPr>
          <w:rFonts w:cs="Times New Roman"/>
          <w:noProof/>
          <w:lang w:val="fr-CA"/>
        </w:rPr>
        <w:t>canadienne a élaboré de nombreuses règles et doctrines qui font appel à la notion de bonne foi dans les opérations contractuelles; il s’agit d’une notion qui se trouve à la base de bon nombre d’éléments du droit des contrats moderne</w:t>
      </w:r>
      <w:r w:rsidR="00894691">
        <w:rPr>
          <w:rFonts w:cs="Times New Roman"/>
          <w:noProof/>
          <w:lang w:val="fr-CA"/>
        </w:rPr>
        <w:t> :</w:t>
      </w:r>
      <w:r w:rsidRPr="00B37C27">
        <w:rPr>
          <w:rFonts w:cs="Times New Roman"/>
          <w:noProof/>
          <w:lang w:val="fr-CA"/>
        </w:rPr>
        <w:t xml:space="preserve"> S.</w:t>
      </w:r>
      <w:r w:rsidR="00894691">
        <w:rPr>
          <w:rFonts w:cs="Times New Roman"/>
          <w:noProof/>
          <w:lang w:val="fr-CA"/>
        </w:rPr>
        <w:t xml:space="preserve"> </w:t>
      </w:r>
      <w:r w:rsidRPr="00B37C27">
        <w:rPr>
          <w:rFonts w:cs="Times New Roman"/>
          <w:noProof/>
          <w:lang w:val="fr-CA"/>
        </w:rPr>
        <w:t xml:space="preserve">M. Waddams, </w:t>
      </w:r>
      <w:r w:rsidRPr="00B37C27">
        <w:rPr>
          <w:rFonts w:cs="Times New Roman"/>
          <w:i/>
          <w:noProof/>
          <w:lang w:val="fr-CA"/>
        </w:rPr>
        <w:t>The Law of Contracts</w:t>
      </w:r>
      <w:r w:rsidRPr="00B37C27">
        <w:rPr>
          <w:rFonts w:cs="Times New Roman"/>
          <w:noProof/>
          <w:lang w:val="fr-CA"/>
        </w:rPr>
        <w:t xml:space="preserve"> (6</w:t>
      </w:r>
      <w:r w:rsidRPr="00290175">
        <w:rPr>
          <w:rFonts w:cs="Times New Roman"/>
          <w:noProof/>
          <w:vertAlign w:val="superscript"/>
          <w:lang w:val="fr-CA"/>
        </w:rPr>
        <w:t>e</w:t>
      </w:r>
      <w:r w:rsidR="00894691">
        <w:rPr>
          <w:rFonts w:cs="Times New Roman"/>
          <w:noProof/>
          <w:lang w:val="fr-CA"/>
        </w:rPr>
        <w:t xml:space="preserve"> </w:t>
      </w:r>
      <w:r w:rsidRPr="00B37C27">
        <w:rPr>
          <w:rFonts w:cs="Times New Roman"/>
          <w:noProof/>
          <w:lang w:val="fr-CA"/>
        </w:rPr>
        <w:t>éd. 2010), par.</w:t>
      </w:r>
      <w:r w:rsidR="00894691">
        <w:rPr>
          <w:rFonts w:cs="Times New Roman"/>
          <w:noProof/>
          <w:lang w:val="fr-CA"/>
        </w:rPr>
        <w:t xml:space="preserve"> </w:t>
      </w:r>
      <w:r w:rsidRPr="00B37C27">
        <w:rPr>
          <w:rFonts w:cs="Times New Roman"/>
          <w:noProof/>
          <w:lang w:val="fr-CA"/>
        </w:rPr>
        <w:t>550; J.</w:t>
      </w:r>
      <w:r w:rsidR="00894691">
        <w:rPr>
          <w:rFonts w:cs="Times New Roman"/>
          <w:noProof/>
          <w:lang w:val="fr-CA"/>
        </w:rPr>
        <w:t xml:space="preserve"> </w:t>
      </w:r>
      <w:r w:rsidRPr="00B37C27">
        <w:rPr>
          <w:rFonts w:cs="Times New Roman"/>
          <w:noProof/>
          <w:lang w:val="fr-CA"/>
        </w:rPr>
        <w:t>D.</w:t>
      </w:r>
      <w:r w:rsidR="00894691">
        <w:rPr>
          <w:rFonts w:cs="Times New Roman"/>
          <w:noProof/>
          <w:lang w:val="fr-CA"/>
        </w:rPr>
        <w:t xml:space="preserve"> </w:t>
      </w:r>
      <w:r w:rsidRPr="00B37C27">
        <w:rPr>
          <w:rFonts w:cs="Times New Roman"/>
          <w:noProof/>
          <w:lang w:val="fr-CA"/>
        </w:rPr>
        <w:t xml:space="preserve">McCamus, </w:t>
      </w:r>
      <w:r w:rsidRPr="00B37C27">
        <w:rPr>
          <w:rFonts w:cs="Times New Roman"/>
          <w:i/>
          <w:noProof/>
          <w:lang w:val="fr-CA"/>
        </w:rPr>
        <w:t>The Law of Contracts</w:t>
      </w:r>
      <w:r w:rsidRPr="00B37C27">
        <w:rPr>
          <w:rFonts w:cs="Times New Roman"/>
          <w:noProof/>
          <w:lang w:val="fr-CA"/>
        </w:rPr>
        <w:t xml:space="preserve"> (2</w:t>
      </w:r>
      <w:r w:rsidRPr="00290175">
        <w:rPr>
          <w:rFonts w:cs="Times New Roman"/>
          <w:noProof/>
          <w:vertAlign w:val="superscript"/>
          <w:lang w:val="fr-CA"/>
        </w:rPr>
        <w:t>e</w:t>
      </w:r>
      <w:r w:rsidR="00894691">
        <w:rPr>
          <w:rFonts w:cs="Times New Roman"/>
          <w:noProof/>
          <w:lang w:val="fr-CA"/>
        </w:rPr>
        <w:t xml:space="preserve"> </w:t>
      </w:r>
      <w:r w:rsidRPr="00B37C27">
        <w:rPr>
          <w:rFonts w:cs="Times New Roman"/>
          <w:noProof/>
          <w:lang w:val="fr-CA"/>
        </w:rPr>
        <w:t>éd. 2012), p.</w:t>
      </w:r>
      <w:r w:rsidR="00894691">
        <w:rPr>
          <w:rFonts w:cs="Times New Roman"/>
          <w:noProof/>
          <w:lang w:val="fr-CA"/>
        </w:rPr>
        <w:t xml:space="preserve"> </w:t>
      </w:r>
      <w:r w:rsidRPr="00B37C27">
        <w:rPr>
          <w:rFonts w:cs="Times New Roman"/>
          <w:noProof/>
          <w:lang w:val="fr-CA"/>
        </w:rPr>
        <w:t>835</w:t>
      </w:r>
      <w:r w:rsidR="00894691">
        <w:rPr>
          <w:rFonts w:cs="Times New Roman"/>
          <w:noProof/>
          <w:lang w:val="fr-CA"/>
        </w:rPr>
        <w:t>-</w:t>
      </w:r>
      <w:r w:rsidRPr="00B37C27">
        <w:rPr>
          <w:rFonts w:cs="Times New Roman"/>
          <w:noProof/>
          <w:lang w:val="fr-CA"/>
        </w:rPr>
        <w:t>838; CRDO, p.</w:t>
      </w:r>
      <w:r w:rsidR="00894691">
        <w:rPr>
          <w:rFonts w:cs="Times New Roman"/>
          <w:noProof/>
          <w:lang w:val="fr-CA"/>
        </w:rPr>
        <w:t xml:space="preserve"> </w:t>
      </w:r>
      <w:r w:rsidRPr="00B37C27">
        <w:rPr>
          <w:rFonts w:cs="Times New Roman"/>
          <w:noProof/>
          <w:lang w:val="fr-CA"/>
        </w:rPr>
        <w:t>165; Belobaba, p.</w:t>
      </w:r>
      <w:r w:rsidR="00894691">
        <w:rPr>
          <w:rFonts w:cs="Times New Roman"/>
          <w:noProof/>
          <w:lang w:val="fr-CA"/>
        </w:rPr>
        <w:t xml:space="preserve"> </w:t>
      </w:r>
      <w:r w:rsidRPr="00B37C27">
        <w:rPr>
          <w:rFonts w:cs="Times New Roman"/>
          <w:noProof/>
          <w:lang w:val="fr-CA"/>
        </w:rPr>
        <w:t>75</w:t>
      </w:r>
      <w:r w:rsidR="00894691">
        <w:rPr>
          <w:rFonts w:cs="Times New Roman"/>
          <w:noProof/>
          <w:lang w:val="fr-CA"/>
        </w:rPr>
        <w:t>-</w:t>
      </w:r>
      <w:r w:rsidRPr="00B37C27">
        <w:rPr>
          <w:rFonts w:cs="Times New Roman"/>
          <w:noProof/>
          <w:lang w:val="fr-CA"/>
        </w:rPr>
        <w:t>76; J.</w:t>
      </w:r>
      <w:r w:rsidR="00894691">
        <w:rPr>
          <w:rFonts w:cs="Times New Roman"/>
          <w:noProof/>
          <w:lang w:val="fr-CA"/>
        </w:rPr>
        <w:t xml:space="preserve"> </w:t>
      </w:r>
      <w:r w:rsidRPr="00B37C27">
        <w:rPr>
          <w:rFonts w:cs="Times New Roman"/>
          <w:noProof/>
          <w:lang w:val="fr-CA"/>
        </w:rPr>
        <w:t>F.</w:t>
      </w:r>
      <w:r w:rsidR="00894691">
        <w:rPr>
          <w:rFonts w:cs="Times New Roman"/>
          <w:noProof/>
          <w:lang w:val="fr-CA"/>
        </w:rPr>
        <w:t xml:space="preserve"> </w:t>
      </w:r>
      <w:r w:rsidRPr="00B37C27">
        <w:rPr>
          <w:rFonts w:cs="Times New Roman"/>
          <w:noProof/>
          <w:lang w:val="fr-CA"/>
        </w:rPr>
        <w:t>O</w:t>
      </w:r>
      <w:r w:rsidR="00894691">
        <w:rPr>
          <w:rFonts w:cs="Times New Roman"/>
          <w:noProof/>
          <w:lang w:val="fr-CA"/>
        </w:rPr>
        <w:t>’</w:t>
      </w:r>
      <w:r w:rsidRPr="00B37C27">
        <w:rPr>
          <w:rFonts w:cs="Times New Roman"/>
          <w:noProof/>
          <w:lang w:val="fr-CA"/>
        </w:rPr>
        <w:t xml:space="preserve">Connor, </w:t>
      </w:r>
      <w:r w:rsidRPr="00B37C27">
        <w:rPr>
          <w:rFonts w:cs="Times New Roman"/>
          <w:i/>
          <w:noProof/>
          <w:lang w:val="fr-CA"/>
        </w:rPr>
        <w:t>Good Faith in English Law</w:t>
      </w:r>
      <w:r w:rsidRPr="00B37C27">
        <w:rPr>
          <w:rFonts w:cs="Times New Roman"/>
          <w:noProof/>
          <w:lang w:val="fr-CA"/>
        </w:rPr>
        <w:t xml:space="preserve"> (1990), p.</w:t>
      </w:r>
      <w:r w:rsidR="00894691">
        <w:rPr>
          <w:rFonts w:cs="Times New Roman"/>
          <w:noProof/>
          <w:lang w:val="fr-CA"/>
        </w:rPr>
        <w:t xml:space="preserve"> </w:t>
      </w:r>
      <w:r w:rsidRPr="00B37C27">
        <w:rPr>
          <w:rFonts w:cs="Times New Roman"/>
          <w:noProof/>
          <w:lang w:val="fr-CA"/>
        </w:rPr>
        <w:t>17</w:t>
      </w:r>
      <w:r w:rsidR="00894691">
        <w:rPr>
          <w:rFonts w:cs="Times New Roman"/>
          <w:noProof/>
          <w:lang w:val="fr-CA"/>
        </w:rPr>
        <w:t>-</w:t>
      </w:r>
      <w:r w:rsidRPr="00B37C27">
        <w:rPr>
          <w:rFonts w:cs="Times New Roman"/>
          <w:noProof/>
          <w:lang w:val="fr-CA"/>
        </w:rPr>
        <w:t>49; J.</w:t>
      </w:r>
      <w:r w:rsidR="00894691">
        <w:rPr>
          <w:rFonts w:cs="Times New Roman"/>
          <w:noProof/>
          <w:lang w:val="fr-CA"/>
        </w:rPr>
        <w:t xml:space="preserve"> </w:t>
      </w:r>
      <w:r w:rsidRPr="00B37C27">
        <w:rPr>
          <w:rFonts w:cs="Times New Roman"/>
          <w:noProof/>
          <w:lang w:val="fr-CA"/>
        </w:rPr>
        <w:t xml:space="preserve">Steyn, </w:t>
      </w:r>
      <w:r w:rsidR="00894691">
        <w:rPr>
          <w:rFonts w:cs="Times New Roman"/>
          <w:noProof/>
          <w:lang w:val="fr-CA"/>
        </w:rPr>
        <w:t>« </w:t>
      </w:r>
      <w:r w:rsidRPr="00B37C27">
        <w:rPr>
          <w:rFonts w:cs="Times New Roman"/>
          <w:noProof/>
          <w:lang w:val="fr-CA"/>
        </w:rPr>
        <w:t>Contract Law</w:t>
      </w:r>
      <w:r w:rsidR="00894691">
        <w:rPr>
          <w:rFonts w:cs="Times New Roman"/>
          <w:noProof/>
          <w:lang w:val="fr-CA"/>
        </w:rPr>
        <w:t> :</w:t>
      </w:r>
      <w:r w:rsidRPr="00B37C27">
        <w:rPr>
          <w:rFonts w:cs="Times New Roman"/>
          <w:noProof/>
          <w:lang w:val="fr-CA"/>
        </w:rPr>
        <w:t xml:space="preserve"> Fulfilling the Reasonable Expectations of Honest Men</w:t>
      </w:r>
      <w:r w:rsidR="00894691">
        <w:rPr>
          <w:rFonts w:cs="Times New Roman"/>
          <w:noProof/>
          <w:lang w:val="fr-CA"/>
        </w:rPr>
        <w:t> »</w:t>
      </w:r>
      <w:r w:rsidRPr="00B37C27">
        <w:rPr>
          <w:rFonts w:cs="Times New Roman"/>
          <w:noProof/>
          <w:lang w:val="fr-CA"/>
        </w:rPr>
        <w:t xml:space="preserve"> (1997), 113 </w:t>
      </w:r>
      <w:r w:rsidRPr="00B37C27">
        <w:rPr>
          <w:rFonts w:cs="Times New Roman"/>
          <w:i/>
          <w:noProof/>
          <w:lang w:val="fr-CA"/>
        </w:rPr>
        <w:t>Law Q. Rev</w:t>
      </w:r>
      <w:r w:rsidR="00290175">
        <w:rPr>
          <w:rFonts w:cs="Times New Roman"/>
          <w:i/>
          <w:noProof/>
          <w:lang w:val="fr-CA"/>
        </w:rPr>
        <w:t>.</w:t>
      </w:r>
      <w:r w:rsidRPr="00B37C27">
        <w:rPr>
          <w:rFonts w:cs="Times New Roman"/>
          <w:noProof/>
          <w:lang w:val="fr-CA"/>
        </w:rPr>
        <w:t xml:space="preserve"> 433.  On a dit de cette méthode, à juste titre, qu’elle a permis d’élaborer des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solutions ponctuelles à des problèmes manifestes</w:t>
      </w:r>
      <w:r w:rsidR="00894691">
        <w:rPr>
          <w:rFonts w:cs="Times New Roman"/>
          <w:noProof/>
          <w:lang w:val="fr-CA"/>
        </w:rPr>
        <w:t> » :</w:t>
      </w:r>
      <w:r w:rsidRPr="00B37C27">
        <w:rPr>
          <w:rFonts w:cs="Times New Roman"/>
          <w:noProof/>
          <w:lang w:val="fr-CA"/>
        </w:rPr>
        <w:t xml:space="preserve"> </w:t>
      </w:r>
      <w:r w:rsidRPr="00B37C27">
        <w:rPr>
          <w:rFonts w:cs="Times New Roman"/>
          <w:i/>
          <w:noProof/>
          <w:lang w:val="fr-CA"/>
        </w:rPr>
        <w:t>Interfoto Picture Library Ltd. c. Stiletto Visual Programmes Ltd.</w:t>
      </w:r>
      <w:r w:rsidRPr="00B37C27">
        <w:rPr>
          <w:rFonts w:cs="Times New Roman"/>
          <w:noProof/>
          <w:lang w:val="fr-CA"/>
        </w:rPr>
        <w:t>, [1989] 1 Q.B. 433 (C.A.), p.</w:t>
      </w:r>
      <w:r w:rsidR="00894691">
        <w:rPr>
          <w:rFonts w:cs="Times New Roman"/>
          <w:noProof/>
          <w:lang w:val="fr-CA"/>
        </w:rPr>
        <w:t xml:space="preserve"> </w:t>
      </w:r>
      <w:r w:rsidRPr="00B37C27">
        <w:rPr>
          <w:rFonts w:cs="Times New Roman"/>
          <w:noProof/>
          <w:lang w:val="fr-CA"/>
        </w:rPr>
        <w:t>439, le lord juge Bingham (plus tard lord juge en chef).  Ainsi, nous voyons, par exemple, que la notion de bonne foi a été appliquée à des catégories particulières de contrats, à des dispositions contractuelles particulières et à des relations contractuelles particulières.  Cette notion sous</w:t>
      </w:r>
      <w:r w:rsidR="00894691">
        <w:rPr>
          <w:rFonts w:cs="Times New Roman"/>
          <w:noProof/>
          <w:lang w:val="fr-CA"/>
        </w:rPr>
        <w:t>-</w:t>
      </w:r>
      <w:r w:rsidRPr="00B37C27">
        <w:rPr>
          <w:rFonts w:cs="Times New Roman"/>
          <w:noProof/>
          <w:lang w:val="fr-CA"/>
        </w:rPr>
        <w:t xml:space="preserve">tend également des doctrines qui traitent explicitement de l’équité dans les contrats, par exemple celle des contrats abusifs, et elle joue un rôle dans l’interprétation des clauses contractuelles et l’existence de conditions implicites.  Or, cette approche </w:t>
      </w:r>
      <w:r w:rsidR="00894691">
        <w:rPr>
          <w:rFonts w:cs="Times New Roman"/>
          <w:noProof/>
          <w:lang w:val="fr-CA"/>
        </w:rPr>
        <w:t>« </w:t>
      </w:r>
      <w:r w:rsidRPr="00B37C27">
        <w:rPr>
          <w:rFonts w:cs="Times New Roman"/>
          <w:noProof/>
          <w:lang w:val="fr-CA"/>
        </w:rPr>
        <w:t>ponctuelle</w:t>
      </w:r>
      <w:r w:rsidR="00894691">
        <w:rPr>
          <w:rFonts w:cs="Times New Roman"/>
          <w:noProof/>
          <w:lang w:val="fr-CA"/>
        </w:rPr>
        <w:t> »</w:t>
      </w:r>
      <w:r w:rsidRPr="00B37C27">
        <w:rPr>
          <w:rFonts w:cs="Times New Roman"/>
          <w:noProof/>
          <w:lang w:val="fr-CA"/>
        </w:rPr>
        <w:t xml:space="preserve"> pose problème car elle permet rarement d’appliquer à des problèmes similaires une analyse </w:t>
      </w:r>
      <w:r w:rsidRPr="00B37C27">
        <w:rPr>
          <w:rFonts w:cs="Times New Roman"/>
          <w:noProof/>
          <w:lang w:val="fr-CA"/>
        </w:rPr>
        <w:lastRenderedPageBreak/>
        <w:t>cohérente ou raisonnée.  Un bref survol de la situation actuelle de la notion de bonne foi démontre l’ampleur du problème.</w:t>
      </w:r>
    </w:p>
    <w:p w:rsidR="00142A2B" w:rsidRPr="00B37C27" w:rsidRDefault="00142A2B" w:rsidP="00894691">
      <w:pPr>
        <w:pStyle w:val="ParaNoNdepar-AltN"/>
        <w:rPr>
          <w:rFonts w:cs="Times New Roman"/>
          <w:noProof/>
        </w:rPr>
      </w:pPr>
      <w:r w:rsidRPr="00B37C27">
        <w:rPr>
          <w:rFonts w:cs="Times New Roman"/>
          <w:noProof/>
          <w:lang w:val="fr-CA"/>
        </w:rPr>
        <w:t xml:space="preserve">Les considérations de bonne foi ressortent des doctrines qui traitent expressément du caractère équitable des ententes contractuelles, comme celle des contrats abusifs.  </w:t>
      </w:r>
      <w:r w:rsidRPr="00B37C27">
        <w:rPr>
          <w:rFonts w:cs="Times New Roman"/>
          <w:noProof/>
        </w:rPr>
        <w:t>Cette doctrine repose sur des considérations d’équité, dans le but d’empêcher une partie contractante de tirer indûment avantage de l’autre partie</w:t>
      </w:r>
      <w:r w:rsidR="00894691">
        <w:rPr>
          <w:rFonts w:cs="Times New Roman"/>
          <w:noProof/>
        </w:rPr>
        <w:t> :</w:t>
      </w:r>
      <w:r w:rsidRPr="00B37C27">
        <w:rPr>
          <w:rFonts w:cs="Times New Roman"/>
          <w:noProof/>
        </w:rPr>
        <w:t xml:space="preserve"> G.</w:t>
      </w:r>
      <w:r w:rsidR="00894691">
        <w:rPr>
          <w:rFonts w:cs="Times New Roman"/>
          <w:noProof/>
        </w:rPr>
        <w:t xml:space="preserve"> </w:t>
      </w:r>
      <w:r w:rsidRPr="00B37C27">
        <w:rPr>
          <w:rFonts w:cs="Times New Roman"/>
          <w:noProof/>
        </w:rPr>
        <w:t>H.</w:t>
      </w:r>
      <w:r w:rsidR="00894691">
        <w:rPr>
          <w:rFonts w:cs="Times New Roman"/>
          <w:noProof/>
        </w:rPr>
        <w:t xml:space="preserve"> </w:t>
      </w:r>
      <w:r w:rsidRPr="00B37C27">
        <w:rPr>
          <w:rFonts w:cs="Times New Roman"/>
          <w:noProof/>
        </w:rPr>
        <w:t>L.</w:t>
      </w:r>
      <w:r w:rsidR="00894691">
        <w:rPr>
          <w:rFonts w:cs="Times New Roman"/>
          <w:noProof/>
        </w:rPr>
        <w:t xml:space="preserve"> </w:t>
      </w:r>
      <w:r w:rsidRPr="00B37C27">
        <w:rPr>
          <w:rFonts w:cs="Times New Roman"/>
          <w:noProof/>
        </w:rPr>
        <w:t xml:space="preserve">Fridman, </w:t>
      </w:r>
      <w:r w:rsidRPr="00B37C27">
        <w:rPr>
          <w:rFonts w:cs="Times New Roman"/>
          <w:i/>
          <w:noProof/>
        </w:rPr>
        <w:t>The Law of Contract in Canada</w:t>
      </w:r>
      <w:r w:rsidRPr="00B37C27">
        <w:rPr>
          <w:rFonts w:cs="Times New Roman"/>
          <w:noProof/>
        </w:rPr>
        <w:t xml:space="preserve"> (6</w:t>
      </w:r>
      <w:r w:rsidRPr="00290175">
        <w:rPr>
          <w:rFonts w:cs="Times New Roman"/>
          <w:noProof/>
          <w:vertAlign w:val="superscript"/>
        </w:rPr>
        <w:t>e</w:t>
      </w:r>
      <w:r w:rsidR="00894691" w:rsidRPr="00290175">
        <w:rPr>
          <w:rFonts w:cs="Times New Roman"/>
          <w:noProof/>
          <w:vertAlign w:val="superscript"/>
        </w:rPr>
        <w:t xml:space="preserve"> </w:t>
      </w:r>
      <w:r w:rsidRPr="00B37C27">
        <w:rPr>
          <w:rFonts w:cs="Times New Roman"/>
          <w:noProof/>
        </w:rPr>
        <w:t>éd. 2011), p.</w:t>
      </w:r>
      <w:r w:rsidR="00894691">
        <w:rPr>
          <w:rFonts w:cs="Times New Roman"/>
          <w:noProof/>
        </w:rPr>
        <w:t xml:space="preserve"> </w:t>
      </w:r>
      <w:r w:rsidRPr="00B37C27">
        <w:rPr>
          <w:rFonts w:cs="Times New Roman"/>
          <w:noProof/>
        </w:rPr>
        <w:t>329</w:t>
      </w:r>
      <w:r w:rsidR="00894691">
        <w:rPr>
          <w:rFonts w:cs="Times New Roman"/>
          <w:noProof/>
        </w:rPr>
        <w:t>-</w:t>
      </w:r>
      <w:r w:rsidRPr="00B37C27">
        <w:rPr>
          <w:rFonts w:cs="Times New Roman"/>
          <w:noProof/>
        </w:rPr>
        <w:t>330; E.</w:t>
      </w:r>
      <w:r w:rsidR="00894691">
        <w:rPr>
          <w:rFonts w:cs="Times New Roman"/>
          <w:noProof/>
        </w:rPr>
        <w:t xml:space="preserve"> </w:t>
      </w:r>
      <w:r w:rsidRPr="00B37C27">
        <w:rPr>
          <w:rFonts w:cs="Times New Roman"/>
          <w:noProof/>
        </w:rPr>
        <w:t xml:space="preserve">Peden, </w:t>
      </w:r>
      <w:r w:rsidR="00894691">
        <w:rPr>
          <w:rFonts w:cs="Times New Roman"/>
          <w:noProof/>
        </w:rPr>
        <w:t>« </w:t>
      </w:r>
      <w:r w:rsidRPr="00B37C27">
        <w:rPr>
          <w:rFonts w:cs="Times New Roman"/>
          <w:noProof/>
        </w:rPr>
        <w:t>When Common Law Trumps Equity</w:t>
      </w:r>
      <w:r w:rsidR="00894691">
        <w:rPr>
          <w:rFonts w:cs="Times New Roman"/>
          <w:noProof/>
        </w:rPr>
        <w:t> :</w:t>
      </w:r>
      <w:r w:rsidRPr="00B37C27">
        <w:rPr>
          <w:rFonts w:cs="Times New Roman"/>
          <w:noProof/>
        </w:rPr>
        <w:t xml:space="preserve"> the Rise of Good Faith and Reasonableness and the Demise of Unconscionability</w:t>
      </w:r>
      <w:r w:rsidR="00894691">
        <w:rPr>
          <w:rFonts w:cs="Times New Roman"/>
          <w:noProof/>
        </w:rPr>
        <w:t> »</w:t>
      </w:r>
      <w:r w:rsidRPr="00B37C27">
        <w:rPr>
          <w:rFonts w:cs="Times New Roman"/>
          <w:noProof/>
        </w:rPr>
        <w:t xml:space="preserve"> (2005), 21 </w:t>
      </w:r>
      <w:r w:rsidRPr="00B37C27">
        <w:rPr>
          <w:rFonts w:cs="Times New Roman"/>
          <w:i/>
          <w:noProof/>
        </w:rPr>
        <w:t>J.C.L.</w:t>
      </w:r>
      <w:r w:rsidRPr="00B37C27">
        <w:rPr>
          <w:rFonts w:cs="Times New Roman"/>
          <w:noProof/>
        </w:rPr>
        <w:t xml:space="preserve"> 226; Belobaba, p.</w:t>
      </w:r>
      <w:r w:rsidR="00894691">
        <w:rPr>
          <w:rFonts w:cs="Times New Roman"/>
          <w:noProof/>
        </w:rPr>
        <w:t xml:space="preserve"> </w:t>
      </w:r>
      <w:r w:rsidRPr="00B37C27">
        <w:rPr>
          <w:rFonts w:cs="Times New Roman"/>
          <w:noProof/>
        </w:rPr>
        <w:t>86; S.</w:t>
      </w:r>
      <w:r w:rsidR="00894691">
        <w:rPr>
          <w:rFonts w:cs="Times New Roman"/>
          <w:noProof/>
        </w:rPr>
        <w:t xml:space="preserve"> </w:t>
      </w:r>
      <w:r w:rsidRPr="00B37C27">
        <w:rPr>
          <w:rFonts w:cs="Times New Roman"/>
          <w:noProof/>
        </w:rPr>
        <w:t>M.</w:t>
      </w:r>
      <w:r w:rsidR="00894691">
        <w:rPr>
          <w:rFonts w:cs="Times New Roman"/>
          <w:noProof/>
        </w:rPr>
        <w:t xml:space="preserve"> </w:t>
      </w:r>
      <w:r w:rsidRPr="00B37C27">
        <w:rPr>
          <w:rFonts w:cs="Times New Roman"/>
          <w:noProof/>
        </w:rPr>
        <w:t xml:space="preserve">Waddams, </w:t>
      </w:r>
      <w:r w:rsidR="00894691">
        <w:rPr>
          <w:rFonts w:cs="Times New Roman"/>
          <w:noProof/>
        </w:rPr>
        <w:t>« </w:t>
      </w:r>
      <w:r w:rsidRPr="00B37C27">
        <w:rPr>
          <w:rFonts w:cs="Times New Roman"/>
          <w:noProof/>
        </w:rPr>
        <w:t>Good Faith, Unconscionability and Reasonable Expectations</w:t>
      </w:r>
      <w:r w:rsidR="00894691">
        <w:rPr>
          <w:rFonts w:cs="Times New Roman"/>
          <w:noProof/>
        </w:rPr>
        <w:t> »</w:t>
      </w:r>
      <w:r w:rsidRPr="00B37C27">
        <w:rPr>
          <w:rFonts w:cs="Times New Roman"/>
          <w:noProof/>
        </w:rPr>
        <w:t xml:space="preserve"> (1995), 9 </w:t>
      </w:r>
      <w:r w:rsidRPr="00B37C27">
        <w:rPr>
          <w:rFonts w:cs="Times New Roman"/>
          <w:i/>
          <w:noProof/>
        </w:rPr>
        <w:t>J.C.L.</w:t>
      </w:r>
      <w:r w:rsidRPr="00B37C27">
        <w:rPr>
          <w:rFonts w:cs="Times New Roman"/>
          <w:noProof/>
        </w:rPr>
        <w:t xml:space="preserve"> 55.</w:t>
      </w:r>
    </w:p>
    <w:p w:rsidR="00142A2B" w:rsidRPr="00B37C27" w:rsidRDefault="00142A2B" w:rsidP="00894691">
      <w:pPr>
        <w:pStyle w:val="ParaNoNdepar-AltN"/>
        <w:rPr>
          <w:rFonts w:cs="Times New Roman"/>
          <w:noProof/>
          <w:lang w:val="fr-CA"/>
        </w:rPr>
      </w:pPr>
      <w:r w:rsidRPr="00B37C27">
        <w:rPr>
          <w:rFonts w:cs="Times New Roman"/>
          <w:noProof/>
          <w:lang w:val="fr-CA"/>
        </w:rPr>
        <w:t>La notion de bonne foi joue également un rôle dans les règles relatives aux conditions implicites, notamment en ce qui concerne les conditions implicites en droit.  Ces conditions remédient au déséquilibre des forces dans certaines catégories de contrats, comme les contrats de travail, les baux et les contrats d’assurance</w:t>
      </w:r>
      <w:r w:rsidR="00894691">
        <w:rPr>
          <w:rFonts w:cs="Times New Roman"/>
          <w:noProof/>
          <w:lang w:val="fr-CA"/>
        </w:rPr>
        <w:t> :</w:t>
      </w:r>
      <w:r w:rsidRPr="00B37C27">
        <w:rPr>
          <w:rFonts w:cs="Times New Roman"/>
          <w:noProof/>
          <w:lang w:val="fr-CA"/>
        </w:rPr>
        <w:t xml:space="preserve"> </w:t>
      </w:r>
      <w:r w:rsidRPr="00B37C27">
        <w:rPr>
          <w:rFonts w:cs="Times New Roman"/>
          <w:i/>
          <w:lang w:val="fr-CA"/>
        </w:rPr>
        <w:t xml:space="preserve">London </w:t>
      </w:r>
      <w:proofErr w:type="spellStart"/>
      <w:r w:rsidRPr="00B37C27">
        <w:rPr>
          <w:rFonts w:cs="Times New Roman"/>
          <w:i/>
          <w:lang w:val="fr-CA"/>
        </w:rPr>
        <w:t>Drugs</w:t>
      </w:r>
      <w:proofErr w:type="spellEnd"/>
      <w:r w:rsidRPr="00B37C27">
        <w:rPr>
          <w:rFonts w:cs="Times New Roman"/>
          <w:i/>
          <w:lang w:val="fr-CA"/>
        </w:rPr>
        <w:t xml:space="preserve"> Ltd. c. </w:t>
      </w:r>
      <w:proofErr w:type="spellStart"/>
      <w:r w:rsidRPr="00B37C27">
        <w:rPr>
          <w:rFonts w:cs="Times New Roman"/>
          <w:i/>
          <w:lang w:val="fr-CA"/>
        </w:rPr>
        <w:t>Kuehne</w:t>
      </w:r>
      <w:proofErr w:type="spellEnd"/>
      <w:r w:rsidRPr="00B37C27">
        <w:rPr>
          <w:rFonts w:cs="Times New Roman"/>
          <w:i/>
          <w:lang w:val="fr-CA"/>
        </w:rPr>
        <w:t xml:space="preserve"> &amp; Nagel International Ltd.</w:t>
      </w:r>
      <w:r w:rsidRPr="00B37C27">
        <w:rPr>
          <w:rFonts w:cs="Times New Roman"/>
          <w:lang w:val="fr-CA"/>
        </w:rPr>
        <w:t>, [1992] 3 R.C.S. 299, p.</w:t>
      </w:r>
      <w:r w:rsidR="00894691">
        <w:rPr>
          <w:rFonts w:cs="Times New Roman"/>
          <w:lang w:val="fr-CA"/>
        </w:rPr>
        <w:t xml:space="preserve"> </w:t>
      </w:r>
      <w:r w:rsidRPr="00B37C27">
        <w:rPr>
          <w:rFonts w:cs="Times New Roman"/>
          <w:lang w:val="fr-CA"/>
        </w:rPr>
        <w:t>457, la juge</w:t>
      </w:r>
      <w:r w:rsidR="00894691">
        <w:rPr>
          <w:rFonts w:cs="Times New Roman"/>
          <w:lang w:val="fr-CA"/>
        </w:rPr>
        <w:t xml:space="preserve"> </w:t>
      </w:r>
      <w:proofErr w:type="spellStart"/>
      <w:r w:rsidRPr="00B37C27">
        <w:rPr>
          <w:rFonts w:cs="Times New Roman"/>
          <w:lang w:val="fr-CA"/>
        </w:rPr>
        <w:t>McLachlin</w:t>
      </w:r>
      <w:proofErr w:type="spellEnd"/>
      <w:r w:rsidR="00290175">
        <w:rPr>
          <w:rFonts w:cs="Times New Roman"/>
          <w:lang w:val="fr-CA"/>
        </w:rPr>
        <w:t xml:space="preserve"> (maintenant Juge en chef)</w:t>
      </w:r>
      <w:r w:rsidRPr="00B37C27">
        <w:rPr>
          <w:rFonts w:cs="Times New Roman"/>
          <w:lang w:val="fr-CA"/>
        </w:rPr>
        <w:t xml:space="preserve">; voir aussi </w:t>
      </w:r>
      <w:proofErr w:type="spellStart"/>
      <w:r w:rsidRPr="00B37C27">
        <w:rPr>
          <w:rFonts w:cs="Times New Roman"/>
          <w:i/>
          <w:lang w:val="fr-CA"/>
        </w:rPr>
        <w:t>Machtinger</w:t>
      </w:r>
      <w:proofErr w:type="spellEnd"/>
      <w:r w:rsidRPr="00B37C27">
        <w:rPr>
          <w:rFonts w:cs="Times New Roman"/>
          <w:i/>
          <w:lang w:val="fr-CA"/>
        </w:rPr>
        <w:t xml:space="preserve"> c. HOJ Industries Ltd.</w:t>
      </w:r>
      <w:r w:rsidRPr="00B37C27">
        <w:rPr>
          <w:rFonts w:cs="Times New Roman"/>
          <w:lang w:val="fr-CA"/>
        </w:rPr>
        <w:t>, [1992] 1 R.C.S. 986</w:t>
      </w:r>
      <w:r w:rsidRPr="00B37C27">
        <w:rPr>
          <w:rFonts w:cs="Times New Roman"/>
          <w:noProof/>
          <w:lang w:val="fr-CA"/>
        </w:rPr>
        <w:t>, motifs concordants de la juge</w:t>
      </w:r>
      <w:r w:rsidR="00894691">
        <w:rPr>
          <w:rFonts w:cs="Times New Roman"/>
          <w:noProof/>
          <w:lang w:val="fr-CA"/>
        </w:rPr>
        <w:t xml:space="preserve"> </w:t>
      </w:r>
      <w:r w:rsidRPr="00B37C27">
        <w:rPr>
          <w:rFonts w:cs="Times New Roman"/>
          <w:noProof/>
          <w:lang w:val="fr-CA"/>
        </w:rPr>
        <w:t>McLachlin.  L’existence implicite de conditions joue dans le droit des contrats de la common law un rôle similaire, sur le plan fonctionnel, à celui que joue la doctrine de la bonne foi dans les ressorts de droit civil en comblant les lacunes de l’entente écrite conclue par les parties</w:t>
      </w:r>
      <w:r w:rsidR="00894691">
        <w:rPr>
          <w:rFonts w:cs="Times New Roman"/>
          <w:noProof/>
          <w:lang w:val="fr-CA"/>
        </w:rPr>
        <w:t> :</w:t>
      </w:r>
      <w:r w:rsidRPr="00B37C27">
        <w:rPr>
          <w:rFonts w:cs="Times New Roman"/>
          <w:noProof/>
          <w:lang w:val="fr-CA"/>
        </w:rPr>
        <w:t xml:space="preserve"> </w:t>
      </w:r>
      <w:r w:rsidRPr="00B37C27">
        <w:rPr>
          <w:rFonts w:cs="Times New Roman"/>
          <w:i/>
          <w:noProof/>
          <w:lang w:val="fr-CA"/>
        </w:rPr>
        <w:t>Chitty on Contracts</w:t>
      </w:r>
      <w:r w:rsidRPr="00B37C27">
        <w:rPr>
          <w:rFonts w:cs="Times New Roman"/>
          <w:noProof/>
          <w:lang w:val="fr-CA"/>
        </w:rPr>
        <w:t>,</w:t>
      </w:r>
      <w:r w:rsidRPr="00B37C27">
        <w:rPr>
          <w:rFonts w:cs="Times New Roman"/>
          <w:i/>
          <w:noProof/>
          <w:lang w:val="fr-CA"/>
        </w:rPr>
        <w:t xml:space="preserve"> </w:t>
      </w:r>
      <w:r w:rsidRPr="00B37C27">
        <w:rPr>
          <w:rFonts w:cs="Times New Roman"/>
          <w:noProof/>
          <w:lang w:val="fr-CA"/>
        </w:rPr>
        <w:t>par.</w:t>
      </w:r>
      <w:r w:rsidR="00894691">
        <w:rPr>
          <w:rFonts w:cs="Times New Roman"/>
          <w:noProof/>
          <w:lang w:val="fr-CA"/>
        </w:rPr>
        <w:t xml:space="preserve"> </w:t>
      </w:r>
      <w:r w:rsidRPr="00B37C27">
        <w:rPr>
          <w:rFonts w:cs="Times New Roman"/>
          <w:noProof/>
          <w:lang w:val="fr-CA"/>
        </w:rPr>
        <w:t>1</w:t>
      </w:r>
      <w:r w:rsidR="00894691">
        <w:rPr>
          <w:rFonts w:cs="Times New Roman"/>
          <w:noProof/>
          <w:lang w:val="fr-CA"/>
        </w:rPr>
        <w:t>-</w:t>
      </w:r>
      <w:r w:rsidRPr="00B37C27">
        <w:rPr>
          <w:rFonts w:cs="Times New Roman"/>
          <w:noProof/>
          <w:lang w:val="fr-CA"/>
        </w:rPr>
        <w:t xml:space="preserve">051.  Dans l’arrêt </w:t>
      </w:r>
      <w:r w:rsidRPr="00B37C27">
        <w:rPr>
          <w:rFonts w:cs="Times New Roman"/>
          <w:i/>
          <w:noProof/>
          <w:lang w:val="fr-CA"/>
        </w:rPr>
        <w:t>Mesa Operating</w:t>
      </w:r>
      <w:r w:rsidRPr="00B37C27">
        <w:rPr>
          <w:rFonts w:cs="Times New Roman"/>
          <w:noProof/>
          <w:lang w:val="fr-CA"/>
        </w:rPr>
        <w:t xml:space="preserve">, la Cour </w:t>
      </w:r>
      <w:r w:rsidRPr="00B37C27">
        <w:rPr>
          <w:rFonts w:cs="Times New Roman"/>
          <w:noProof/>
          <w:lang w:val="fr-CA"/>
        </w:rPr>
        <w:lastRenderedPageBreak/>
        <w:t>d’appel de l’Alberta a conclu à l’existence d’une condition implicite exigeant l’exercice raisonnable du pouvoir de mettre en commun des terrains afin de déterminer les redevances à payer.  La cour a conclu ainsi pour donner effet aux intentions des parties, et non pour reconnaître l’existence d’une exigence de bonne foi, mais le juge</w:t>
      </w:r>
      <w:r w:rsidR="00894691">
        <w:rPr>
          <w:rFonts w:cs="Times New Roman"/>
          <w:noProof/>
          <w:lang w:val="fr-CA"/>
        </w:rPr>
        <w:t xml:space="preserve"> </w:t>
      </w:r>
      <w:r w:rsidRPr="00B37C27">
        <w:rPr>
          <w:rFonts w:cs="Times New Roman"/>
          <w:noProof/>
          <w:lang w:val="fr-CA"/>
        </w:rPr>
        <w:t xml:space="preserve">Kerans a affirmé que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 xml:space="preserve">[l]a règle qui s’applique en l’espèce peut donc être énoncée en termes beaucoup plus restreints que ceux qu’exprime la notion de bonne foi, </w:t>
      </w:r>
      <w:r w:rsidR="00290175">
        <w:rPr>
          <w:rFonts w:cs="Times New Roman"/>
          <w:noProof/>
          <w:lang w:val="fr-CA"/>
        </w:rPr>
        <w:t>bien que j’estime qu’en réalité</w:t>
      </w:r>
      <w:r w:rsidRPr="00B37C27">
        <w:rPr>
          <w:rFonts w:cs="Times New Roman"/>
          <w:noProof/>
          <w:lang w:val="fr-CA"/>
        </w:rPr>
        <w:t xml:space="preserve"> c’est ce qu’ont à l’esprit certains juges lorsqu’ils abordent la question de la bonne foi</w:t>
      </w:r>
      <w:r w:rsidR="00894691">
        <w:rPr>
          <w:rFonts w:cs="Times New Roman"/>
          <w:noProof/>
          <w:lang w:val="fr-CA"/>
        </w:rPr>
        <w:t> »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 xml:space="preserve">22.  On peut retrouver de nombreux autres exemples dans Waddams, </w:t>
      </w:r>
      <w:r w:rsidRPr="00B37C27">
        <w:rPr>
          <w:rFonts w:cs="Times New Roman"/>
          <w:i/>
          <w:noProof/>
          <w:lang w:val="fr-CA"/>
        </w:rPr>
        <w:t>The Law of Contracts</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499</w:t>
      </w:r>
      <w:r w:rsidR="00894691">
        <w:rPr>
          <w:rFonts w:cs="Times New Roman"/>
          <w:noProof/>
          <w:lang w:val="fr-CA"/>
        </w:rPr>
        <w:t>-</w:t>
      </w:r>
      <w:r w:rsidRPr="00B37C27">
        <w:rPr>
          <w:rFonts w:cs="Times New Roman"/>
          <w:noProof/>
          <w:lang w:val="fr-CA"/>
        </w:rPr>
        <w:t>506.</w:t>
      </w:r>
    </w:p>
    <w:p w:rsidR="00142A2B" w:rsidRPr="00B37C27" w:rsidRDefault="00142A2B" w:rsidP="00894691">
      <w:pPr>
        <w:pStyle w:val="ParaNoNdepar-AltN"/>
        <w:rPr>
          <w:rFonts w:cs="Times New Roman"/>
          <w:noProof/>
          <w:lang w:val="fr-CA"/>
        </w:rPr>
      </w:pPr>
      <w:r w:rsidRPr="00B37C27">
        <w:rPr>
          <w:rFonts w:cs="Times New Roman"/>
          <w:noProof/>
          <w:lang w:val="fr-CA"/>
        </w:rPr>
        <w:t>Les considérations en matière de bonne foi ressortent également de l’interprétation des contrats</w:t>
      </w:r>
      <w:r w:rsidR="00894691">
        <w:rPr>
          <w:rFonts w:cs="Times New Roman"/>
          <w:noProof/>
          <w:lang w:val="fr-CA"/>
        </w:rPr>
        <w:t> :</w:t>
      </w:r>
      <w:r w:rsidRPr="00B37C27">
        <w:rPr>
          <w:rFonts w:cs="Times New Roman"/>
          <w:noProof/>
          <w:lang w:val="fr-CA"/>
        </w:rPr>
        <w:t xml:space="preserve"> </w:t>
      </w:r>
      <w:r w:rsidRPr="00B37C27">
        <w:rPr>
          <w:rFonts w:cs="Times New Roman"/>
          <w:i/>
          <w:noProof/>
          <w:lang w:val="fr-CA"/>
        </w:rPr>
        <w:t>Chitty on Contracts</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1</w:t>
      </w:r>
      <w:r w:rsidR="00894691">
        <w:rPr>
          <w:rFonts w:cs="Times New Roman"/>
          <w:noProof/>
          <w:lang w:val="fr-CA"/>
        </w:rPr>
        <w:t>-</w:t>
      </w:r>
      <w:r w:rsidRPr="00B37C27">
        <w:rPr>
          <w:rFonts w:cs="Times New Roman"/>
          <w:noProof/>
          <w:lang w:val="fr-CA"/>
        </w:rPr>
        <w:t>050; Hall, p.</w:t>
      </w:r>
      <w:r w:rsidR="00894691">
        <w:rPr>
          <w:rFonts w:cs="Times New Roman"/>
          <w:noProof/>
          <w:lang w:val="fr-CA"/>
        </w:rPr>
        <w:t xml:space="preserve"> </w:t>
      </w:r>
      <w:r w:rsidRPr="00B37C27">
        <w:rPr>
          <w:rFonts w:cs="Times New Roman"/>
          <w:noProof/>
          <w:lang w:val="fr-CA"/>
        </w:rPr>
        <w:t xml:space="preserve">347.  L’interprétation des contrats a évidemment pour objectif principal de donner effet aux intentions qu’avaient les parties au moment de la formation du contrat.  Or, ce processus repose sur des considérations de bonne foi.  On peut généralement présumer que les parties entendent respecter certaines normes minimales de conduite.  En outre, comme l’a fait observer lord Reid dans l’arrêt </w:t>
      </w:r>
      <w:r w:rsidRPr="00B37C27">
        <w:rPr>
          <w:rFonts w:cs="Times New Roman"/>
          <w:i/>
          <w:noProof/>
          <w:lang w:val="fr-CA"/>
        </w:rPr>
        <w:t>Schuler A.G. c. Wickman Machine Tool Sales Ltd.</w:t>
      </w:r>
      <w:r w:rsidR="00290175">
        <w:rPr>
          <w:rFonts w:cs="Times New Roman"/>
          <w:noProof/>
          <w:lang w:val="fr-CA"/>
        </w:rPr>
        <w:t>, [1974] A.C. 235 (H</w:t>
      </w:r>
      <w:r w:rsidRPr="00B37C27">
        <w:rPr>
          <w:rFonts w:cs="Times New Roman"/>
          <w:noProof/>
          <w:lang w:val="fr-CA"/>
        </w:rPr>
        <w:t>.L.), p.</w:t>
      </w:r>
      <w:r w:rsidR="00894691">
        <w:rPr>
          <w:rFonts w:cs="Times New Roman"/>
          <w:noProof/>
          <w:lang w:val="fr-CA"/>
        </w:rPr>
        <w:t xml:space="preserve"> </w:t>
      </w:r>
      <w:r w:rsidRPr="00B37C27">
        <w:rPr>
          <w:rFonts w:cs="Times New Roman"/>
          <w:noProof/>
          <w:lang w:val="fr-CA"/>
        </w:rPr>
        <w:t>251</w:t>
      </w:r>
      <w:r w:rsidR="00894691">
        <w:rPr>
          <w:rFonts w:cs="Times New Roman"/>
          <w:noProof/>
          <w:lang w:val="fr-CA"/>
        </w:rPr>
        <w:t> :</w:t>
      </w:r>
      <w:r w:rsidRPr="00B37C27">
        <w:rPr>
          <w:rFonts w:cs="Times New Roman"/>
          <w:noProof/>
          <w:lang w:val="fr-CA"/>
        </w:rPr>
        <w:t xml:space="preserve">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00290175">
        <w:rPr>
          <w:rFonts w:cs="Times New Roman"/>
          <w:noProof/>
          <w:lang w:val="fr-CA"/>
        </w:rPr>
        <w:t>P</w:t>
      </w:r>
      <w:r w:rsidRPr="00B37C27">
        <w:rPr>
          <w:rFonts w:cs="Times New Roman"/>
          <w:noProof/>
          <w:lang w:val="fr-CA"/>
        </w:rPr>
        <w:t>lus le résultat est déraisonnable, plus il est improbable qu’il corresponde à l’intention des parties</w:t>
      </w:r>
      <w:r w:rsidR="00894691">
        <w:rPr>
          <w:rFonts w:cs="Times New Roman"/>
          <w:noProof/>
          <w:lang w:val="fr-CA"/>
        </w:rPr>
        <w:t> </w:t>
      </w:r>
      <w:r w:rsidR="00290175">
        <w:rPr>
          <w:rFonts w:cs="Times New Roman"/>
          <w:noProof/>
          <w:lang w:val="fr-CA"/>
        </w:rPr>
        <w:t xml:space="preserve">. . . </w:t>
      </w:r>
      <w:r w:rsidR="00894691">
        <w:rPr>
          <w:rFonts w:cs="Times New Roman"/>
          <w:noProof/>
          <w:lang w:val="fr-CA"/>
        </w:rPr>
        <w:t>»</w:t>
      </w:r>
      <w:r w:rsidRPr="00B37C27">
        <w:rPr>
          <w:rFonts w:cs="Times New Roman"/>
          <w:noProof/>
          <w:lang w:val="fr-CA"/>
        </w:rPr>
        <w:t xml:space="preserve">  Comme l’affirment A.</w:t>
      </w:r>
      <w:r w:rsidR="00894691">
        <w:rPr>
          <w:rFonts w:cs="Times New Roman"/>
          <w:noProof/>
          <w:lang w:val="fr-CA"/>
        </w:rPr>
        <w:t xml:space="preserve"> </w:t>
      </w:r>
      <w:r w:rsidRPr="00B37C27">
        <w:rPr>
          <w:rFonts w:cs="Times New Roman"/>
          <w:noProof/>
          <w:lang w:val="fr-CA"/>
        </w:rPr>
        <w:t>Swan et J</w:t>
      </w:r>
      <w:r w:rsidR="00290175">
        <w:rPr>
          <w:rFonts w:cs="Times New Roman"/>
          <w:noProof/>
          <w:lang w:val="fr-CA"/>
        </w:rPr>
        <w:t>.</w:t>
      </w:r>
      <w:r w:rsidR="00894691">
        <w:rPr>
          <w:rFonts w:cs="Times New Roman"/>
          <w:noProof/>
          <w:lang w:val="fr-CA"/>
        </w:rPr>
        <w:t xml:space="preserve"> </w:t>
      </w:r>
      <w:r w:rsidRPr="00B37C27">
        <w:rPr>
          <w:rFonts w:cs="Times New Roman"/>
          <w:noProof/>
          <w:lang w:val="fr-CA"/>
        </w:rPr>
        <w:t xml:space="preserve">Adamski, l’obligation d’agir de bonne foi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ne constitue pas une exigence imposée par un tiers; elle est intrinsèque aux relations entre les parties</w:t>
      </w:r>
      <w:r w:rsidR="00894691">
        <w:rPr>
          <w:rFonts w:cs="Times New Roman"/>
          <w:noProof/>
          <w:lang w:val="fr-CA"/>
        </w:rPr>
        <w:t> » :</w:t>
      </w:r>
      <w:r w:rsidRPr="00B37C27">
        <w:rPr>
          <w:rFonts w:cs="Times New Roman"/>
          <w:noProof/>
          <w:lang w:val="fr-CA"/>
        </w:rPr>
        <w:t xml:space="preserve"> </w:t>
      </w:r>
      <w:r w:rsidRPr="00B37C27">
        <w:rPr>
          <w:rFonts w:cs="Times New Roman"/>
          <w:i/>
          <w:noProof/>
          <w:lang w:val="fr-CA"/>
        </w:rPr>
        <w:t>Canadian Contract Law</w:t>
      </w:r>
      <w:r w:rsidRPr="00B37C27">
        <w:rPr>
          <w:rFonts w:cs="Times New Roman"/>
          <w:noProof/>
          <w:lang w:val="fr-CA"/>
        </w:rPr>
        <w:t xml:space="preserve"> (3</w:t>
      </w:r>
      <w:r w:rsidRPr="00290175">
        <w:rPr>
          <w:rFonts w:cs="Times New Roman"/>
          <w:noProof/>
          <w:vertAlign w:val="superscript"/>
          <w:lang w:val="fr-CA"/>
        </w:rPr>
        <w:t>e</w:t>
      </w:r>
      <w:r w:rsidR="00894691">
        <w:rPr>
          <w:rFonts w:cs="Times New Roman"/>
          <w:noProof/>
          <w:lang w:val="fr-CA"/>
        </w:rPr>
        <w:t xml:space="preserve"> </w:t>
      </w:r>
      <w:r w:rsidRPr="00B37C27">
        <w:rPr>
          <w:rFonts w:cs="Times New Roman"/>
          <w:noProof/>
          <w:lang w:val="fr-CA"/>
        </w:rPr>
        <w:t xml:space="preserve">éd. 2012), </w:t>
      </w:r>
      <w:r w:rsidRPr="00B37C27">
        <w:rPr>
          <w:rFonts w:cs="Times New Roman"/>
          <w:lang w:val="fr-CA"/>
        </w:rPr>
        <w:t>§</w:t>
      </w:r>
      <w:r w:rsidR="00290175" w:rsidRPr="00B37C27">
        <w:rPr>
          <w:rFonts w:cs="Times New Roman"/>
          <w:lang w:val="fr-CA"/>
        </w:rPr>
        <w:t>§</w:t>
      </w:r>
      <w:r w:rsidR="00894691">
        <w:rPr>
          <w:rFonts w:cs="Times New Roman"/>
          <w:lang w:val="fr-CA"/>
        </w:rPr>
        <w:t xml:space="preserve"> </w:t>
      </w:r>
      <w:r w:rsidR="00290175">
        <w:rPr>
          <w:rFonts w:cs="Times New Roman"/>
          <w:noProof/>
          <w:lang w:val="fr-CA"/>
        </w:rPr>
        <w:t>8.134-</w:t>
      </w:r>
      <w:r w:rsidRPr="00B37C27">
        <w:rPr>
          <w:rFonts w:cs="Times New Roman"/>
          <w:noProof/>
          <w:lang w:val="fr-CA"/>
        </w:rPr>
        <w:t>8.146.</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 xml:space="preserve">La bonne foi se retrouve également dans maints contextes sous une forme plus explicite.  La notion de </w:t>
      </w:r>
      <w:r w:rsidR="00894691">
        <w:rPr>
          <w:rFonts w:cs="Times New Roman"/>
          <w:noProof/>
          <w:lang w:val="fr-CA"/>
        </w:rPr>
        <w:t>« </w:t>
      </w:r>
      <w:r w:rsidRPr="00B37C27">
        <w:rPr>
          <w:rFonts w:cs="Times New Roman"/>
          <w:noProof/>
          <w:lang w:val="fr-CA"/>
        </w:rPr>
        <w:t>bonne foi</w:t>
      </w:r>
      <w:r w:rsidR="00894691">
        <w:rPr>
          <w:rFonts w:cs="Times New Roman"/>
          <w:noProof/>
          <w:lang w:val="fr-CA"/>
        </w:rPr>
        <w:t> »</w:t>
      </w:r>
      <w:r w:rsidRPr="00B37C27">
        <w:rPr>
          <w:rFonts w:cs="Times New Roman"/>
          <w:noProof/>
          <w:lang w:val="fr-CA"/>
        </w:rPr>
        <w:t xml:space="preserve"> figure dans des centaines de lois partout au Canada, notamment lorsqu’il s’agit de l’obligation d’agir de bonne foi et de négocier équitablement prévue dans la législation en matière de franchises et de l’obligation de négocier de bonne foi en droit du travail</w:t>
      </w:r>
      <w:r w:rsidR="00894691">
        <w:rPr>
          <w:rFonts w:cs="Times New Roman"/>
          <w:noProof/>
          <w:lang w:val="fr-CA"/>
        </w:rPr>
        <w:t> :</w:t>
      </w:r>
      <w:r w:rsidRPr="00B37C27">
        <w:rPr>
          <w:rFonts w:cs="Times New Roman"/>
          <w:noProof/>
          <w:lang w:val="fr-CA"/>
        </w:rPr>
        <w:t xml:space="preserve"> S.</w:t>
      </w:r>
      <w:r w:rsidR="00894691">
        <w:rPr>
          <w:rFonts w:cs="Times New Roman"/>
          <w:noProof/>
          <w:lang w:val="fr-CA"/>
        </w:rPr>
        <w:t xml:space="preserve"> </w:t>
      </w:r>
      <w:r w:rsidRPr="00B37C27">
        <w:rPr>
          <w:rFonts w:cs="Times New Roman"/>
          <w:noProof/>
          <w:lang w:val="fr-CA"/>
        </w:rPr>
        <w:t>K.</w:t>
      </w:r>
      <w:r w:rsidR="00894691">
        <w:rPr>
          <w:rFonts w:cs="Times New Roman"/>
          <w:noProof/>
          <w:lang w:val="fr-CA"/>
        </w:rPr>
        <w:t xml:space="preserve"> </w:t>
      </w:r>
      <w:r w:rsidRPr="00B37C27">
        <w:rPr>
          <w:rFonts w:cs="Times New Roman"/>
          <w:noProof/>
          <w:lang w:val="fr-CA"/>
        </w:rPr>
        <w:t xml:space="preserve">O’Byrne, </w:t>
      </w:r>
      <w:r w:rsidR="00894691">
        <w:rPr>
          <w:rFonts w:cs="Times New Roman"/>
          <w:noProof/>
          <w:lang w:val="fr-CA"/>
        </w:rPr>
        <w:t>« </w:t>
      </w:r>
      <w:r w:rsidRPr="00B37C27">
        <w:rPr>
          <w:rFonts w:cs="Times New Roman"/>
          <w:noProof/>
          <w:lang w:val="fr-CA"/>
        </w:rPr>
        <w:t>Good Faith in Contractual Performance</w:t>
      </w:r>
      <w:r w:rsidR="00894691">
        <w:rPr>
          <w:rFonts w:cs="Times New Roman"/>
          <w:noProof/>
          <w:lang w:val="fr-CA"/>
        </w:rPr>
        <w:t> :</w:t>
      </w:r>
      <w:r w:rsidRPr="00B37C27">
        <w:rPr>
          <w:rFonts w:cs="Times New Roman"/>
          <w:noProof/>
          <w:lang w:val="fr-CA"/>
        </w:rPr>
        <w:t xml:space="preserve"> Recent Developments</w:t>
      </w:r>
      <w:r w:rsidR="00894691">
        <w:rPr>
          <w:rFonts w:cs="Times New Roman"/>
          <w:noProof/>
          <w:lang w:val="fr-CA"/>
        </w:rPr>
        <w:t> »</w:t>
      </w:r>
      <w:r w:rsidRPr="00B37C27">
        <w:rPr>
          <w:rFonts w:cs="Times New Roman"/>
          <w:noProof/>
          <w:lang w:val="fr-CA"/>
        </w:rPr>
        <w:t xml:space="preserve"> (1995), 74 </w:t>
      </w:r>
      <w:r w:rsidR="00290175">
        <w:rPr>
          <w:rFonts w:cs="Times New Roman"/>
          <w:i/>
          <w:noProof/>
          <w:lang w:val="fr-CA"/>
        </w:rPr>
        <w:t>R. du B. c</w:t>
      </w:r>
      <w:r w:rsidRPr="00B37C27">
        <w:rPr>
          <w:rFonts w:cs="Times New Roman"/>
          <w:i/>
          <w:noProof/>
          <w:lang w:val="fr-CA"/>
        </w:rPr>
        <w:t>an.</w:t>
      </w:r>
      <w:r w:rsidRPr="00B37C27">
        <w:rPr>
          <w:rFonts w:cs="Times New Roman"/>
          <w:noProof/>
          <w:lang w:val="fr-CA"/>
        </w:rPr>
        <w:t xml:space="preserve"> 70, p.</w:t>
      </w:r>
      <w:r w:rsidR="00894691">
        <w:rPr>
          <w:rFonts w:cs="Times New Roman"/>
          <w:noProof/>
          <w:lang w:val="fr-CA"/>
        </w:rPr>
        <w:t xml:space="preserve"> </w:t>
      </w:r>
      <w:r w:rsidRPr="00B37C27">
        <w:rPr>
          <w:rFonts w:cs="Times New Roman"/>
          <w:noProof/>
          <w:lang w:val="fr-CA"/>
        </w:rPr>
        <w:t xml:space="preserve">71. </w:t>
      </w:r>
    </w:p>
    <w:p w:rsidR="00142A2B" w:rsidRPr="00B37C27" w:rsidRDefault="00142A2B" w:rsidP="00894691">
      <w:pPr>
        <w:pStyle w:val="ParaNoNdepar-AltN"/>
        <w:rPr>
          <w:rFonts w:cs="Times New Roman"/>
          <w:noProof/>
          <w:lang w:val="fr-CA"/>
        </w:rPr>
      </w:pPr>
      <w:r w:rsidRPr="00B37C27">
        <w:rPr>
          <w:rFonts w:cs="Times New Roman"/>
          <w:noProof/>
        </w:rPr>
        <w:t>On a tenté à maintes reprises d’apporter une certaine uniformité à cette accumulation d’appels ponctuels à la bonne foi</w:t>
      </w:r>
      <w:r w:rsidR="00894691">
        <w:rPr>
          <w:rFonts w:cs="Times New Roman"/>
          <w:noProof/>
        </w:rPr>
        <w:t> :</w:t>
      </w:r>
      <w:r w:rsidRPr="00B37C27">
        <w:rPr>
          <w:rFonts w:cs="Times New Roman"/>
          <w:noProof/>
        </w:rPr>
        <w:t xml:space="preserve"> voir notamment McCamus, p.</w:t>
      </w:r>
      <w:r w:rsidR="00894691">
        <w:rPr>
          <w:rFonts w:cs="Times New Roman"/>
          <w:noProof/>
        </w:rPr>
        <w:t xml:space="preserve"> </w:t>
      </w:r>
      <w:r w:rsidRPr="00B37C27">
        <w:rPr>
          <w:rFonts w:cs="Times New Roman"/>
          <w:noProof/>
        </w:rPr>
        <w:t>835</w:t>
      </w:r>
      <w:r w:rsidR="00894691">
        <w:rPr>
          <w:rFonts w:cs="Times New Roman"/>
          <w:noProof/>
        </w:rPr>
        <w:t>-</w:t>
      </w:r>
      <w:r w:rsidRPr="00B37C27">
        <w:rPr>
          <w:rFonts w:cs="Times New Roman"/>
          <w:noProof/>
        </w:rPr>
        <w:t>868; S.</w:t>
      </w:r>
      <w:r w:rsidR="00894691">
        <w:rPr>
          <w:rFonts w:cs="Times New Roman"/>
          <w:noProof/>
        </w:rPr>
        <w:t xml:space="preserve"> </w:t>
      </w:r>
      <w:r w:rsidRPr="00B37C27">
        <w:rPr>
          <w:rFonts w:cs="Times New Roman"/>
          <w:noProof/>
        </w:rPr>
        <w:t>K.</w:t>
      </w:r>
      <w:r w:rsidR="00894691">
        <w:rPr>
          <w:rFonts w:cs="Times New Roman"/>
          <w:noProof/>
        </w:rPr>
        <w:t xml:space="preserve"> </w:t>
      </w:r>
      <w:r w:rsidRPr="00B37C27">
        <w:rPr>
          <w:rFonts w:cs="Times New Roman"/>
          <w:noProof/>
        </w:rPr>
        <w:t xml:space="preserve">O’Byrne, </w:t>
      </w:r>
      <w:r w:rsidR="00894691">
        <w:rPr>
          <w:rFonts w:cs="Times New Roman"/>
          <w:noProof/>
        </w:rPr>
        <w:t>« </w:t>
      </w:r>
      <w:r w:rsidRPr="00B37C27">
        <w:rPr>
          <w:rFonts w:cs="Times New Roman"/>
          <w:noProof/>
        </w:rPr>
        <w:t>The Implied Term of Good Faith and Fair Dealing</w:t>
      </w:r>
      <w:r w:rsidR="00894691">
        <w:rPr>
          <w:rFonts w:cs="Times New Roman"/>
          <w:noProof/>
        </w:rPr>
        <w:t> :</w:t>
      </w:r>
      <w:r w:rsidRPr="00B37C27">
        <w:rPr>
          <w:rFonts w:cs="Times New Roman"/>
          <w:noProof/>
        </w:rPr>
        <w:t xml:space="preserve"> Recent Developments</w:t>
      </w:r>
      <w:r w:rsidR="00894691">
        <w:rPr>
          <w:rFonts w:cs="Times New Roman"/>
          <w:noProof/>
        </w:rPr>
        <w:t> »</w:t>
      </w:r>
      <w:r w:rsidRPr="00B37C27">
        <w:rPr>
          <w:rFonts w:cs="Times New Roman"/>
          <w:noProof/>
        </w:rPr>
        <w:t xml:space="preserve"> (2007), 86 </w:t>
      </w:r>
      <w:r w:rsidR="00290175">
        <w:rPr>
          <w:rFonts w:cs="Times New Roman"/>
          <w:i/>
          <w:noProof/>
        </w:rPr>
        <w:t>R. du B. c</w:t>
      </w:r>
      <w:r w:rsidRPr="00B37C27">
        <w:rPr>
          <w:rFonts w:cs="Times New Roman"/>
          <w:i/>
          <w:noProof/>
        </w:rPr>
        <w:t>an.</w:t>
      </w:r>
      <w:r w:rsidRPr="00B37C27">
        <w:rPr>
          <w:rFonts w:cs="Times New Roman"/>
          <w:noProof/>
        </w:rPr>
        <w:t xml:space="preserve"> 193, p.</w:t>
      </w:r>
      <w:r w:rsidR="00894691">
        <w:rPr>
          <w:rFonts w:cs="Times New Roman"/>
          <w:noProof/>
        </w:rPr>
        <w:t xml:space="preserve"> </w:t>
      </w:r>
      <w:r w:rsidRPr="00B37C27">
        <w:rPr>
          <w:rFonts w:cs="Times New Roman"/>
          <w:noProof/>
        </w:rPr>
        <w:t>196</w:t>
      </w:r>
      <w:r w:rsidR="00894691">
        <w:rPr>
          <w:rFonts w:cs="Times New Roman"/>
          <w:noProof/>
        </w:rPr>
        <w:t>-</w:t>
      </w:r>
      <w:r w:rsidRPr="00B37C27">
        <w:rPr>
          <w:rFonts w:cs="Times New Roman"/>
          <w:noProof/>
        </w:rPr>
        <w:t xml:space="preserve">204; Waddams, </w:t>
      </w:r>
      <w:r w:rsidRPr="00B37C27">
        <w:rPr>
          <w:rFonts w:cs="Times New Roman"/>
          <w:i/>
          <w:noProof/>
        </w:rPr>
        <w:t>The Law of Contracts</w:t>
      </w:r>
      <w:r w:rsidRPr="00B37C27">
        <w:rPr>
          <w:rFonts w:cs="Times New Roman"/>
          <w:noProof/>
        </w:rPr>
        <w:t>, par.</w:t>
      </w:r>
      <w:r w:rsidR="00894691">
        <w:rPr>
          <w:rFonts w:cs="Times New Roman"/>
          <w:noProof/>
        </w:rPr>
        <w:t xml:space="preserve"> </w:t>
      </w:r>
      <w:r w:rsidR="00290175">
        <w:rPr>
          <w:rFonts w:cs="Times New Roman"/>
          <w:noProof/>
        </w:rPr>
        <w:t>494</w:t>
      </w:r>
      <w:r w:rsidR="00894691">
        <w:rPr>
          <w:rFonts w:cs="Times New Roman"/>
          <w:noProof/>
        </w:rPr>
        <w:t>-</w:t>
      </w:r>
      <w:r w:rsidRPr="00B37C27">
        <w:rPr>
          <w:rFonts w:cs="Times New Roman"/>
          <w:noProof/>
        </w:rPr>
        <w:t>508; R.</w:t>
      </w:r>
      <w:r w:rsidR="00894691">
        <w:rPr>
          <w:rFonts w:cs="Times New Roman"/>
          <w:noProof/>
        </w:rPr>
        <w:t xml:space="preserve"> </w:t>
      </w:r>
      <w:r w:rsidRPr="00B37C27">
        <w:rPr>
          <w:rFonts w:cs="Times New Roman"/>
          <w:noProof/>
        </w:rPr>
        <w:t>S.</w:t>
      </w:r>
      <w:r w:rsidR="00894691">
        <w:rPr>
          <w:rFonts w:cs="Times New Roman"/>
          <w:noProof/>
        </w:rPr>
        <w:t xml:space="preserve"> </w:t>
      </w:r>
      <w:r w:rsidRPr="00B37C27">
        <w:rPr>
          <w:rFonts w:cs="Times New Roman"/>
          <w:noProof/>
        </w:rPr>
        <w:t xml:space="preserve">Summers, </w:t>
      </w:r>
      <w:r w:rsidR="00894691">
        <w:rPr>
          <w:rFonts w:cs="Times New Roman"/>
          <w:noProof/>
        </w:rPr>
        <w:t>« </w:t>
      </w:r>
      <w:r w:rsidR="00290175">
        <w:rPr>
          <w:rFonts w:cs="Times New Roman"/>
          <w:noProof/>
        </w:rPr>
        <w:t>“Good Faith”</w:t>
      </w:r>
      <w:r w:rsidRPr="00B37C27">
        <w:rPr>
          <w:rFonts w:cs="Times New Roman"/>
          <w:noProof/>
        </w:rPr>
        <w:t xml:space="preserve"> in General Contract Law and the Sales Provision</w:t>
      </w:r>
      <w:r w:rsidR="00D66537">
        <w:rPr>
          <w:rFonts w:cs="Times New Roman"/>
          <w:noProof/>
        </w:rPr>
        <w:t>s</w:t>
      </w:r>
      <w:r w:rsidRPr="00B37C27">
        <w:rPr>
          <w:rFonts w:cs="Times New Roman"/>
          <w:noProof/>
        </w:rPr>
        <w:t xml:space="preserve"> of the Uniform Commercial Code</w:t>
      </w:r>
      <w:r w:rsidR="00894691">
        <w:rPr>
          <w:rFonts w:cs="Times New Roman"/>
          <w:noProof/>
        </w:rPr>
        <w:t> »</w:t>
      </w:r>
      <w:r w:rsidRPr="00B37C27">
        <w:rPr>
          <w:rFonts w:cs="Times New Roman"/>
          <w:noProof/>
        </w:rPr>
        <w:t xml:space="preserve"> (1968), 54 </w:t>
      </w:r>
      <w:r w:rsidRPr="00B37C27">
        <w:rPr>
          <w:rFonts w:cs="Times New Roman"/>
          <w:i/>
          <w:noProof/>
        </w:rPr>
        <w:t>Va. L. Rev.</w:t>
      </w:r>
      <w:r w:rsidRPr="00B37C27">
        <w:rPr>
          <w:rFonts w:cs="Times New Roman"/>
          <w:noProof/>
        </w:rPr>
        <w:t xml:space="preserve"> 195; S.</w:t>
      </w:r>
      <w:r w:rsidR="00894691">
        <w:rPr>
          <w:rFonts w:cs="Times New Roman"/>
          <w:noProof/>
        </w:rPr>
        <w:t xml:space="preserve"> </w:t>
      </w:r>
      <w:r w:rsidRPr="00B37C27">
        <w:rPr>
          <w:rFonts w:cs="Times New Roman"/>
          <w:noProof/>
        </w:rPr>
        <w:t>J.</w:t>
      </w:r>
      <w:r w:rsidR="00894691">
        <w:rPr>
          <w:rFonts w:cs="Times New Roman"/>
          <w:noProof/>
        </w:rPr>
        <w:t xml:space="preserve"> </w:t>
      </w:r>
      <w:r w:rsidRPr="00B37C27">
        <w:rPr>
          <w:rFonts w:cs="Times New Roman"/>
          <w:noProof/>
        </w:rPr>
        <w:t xml:space="preserve">Burton, </w:t>
      </w:r>
      <w:r w:rsidR="00894691">
        <w:rPr>
          <w:rFonts w:cs="Times New Roman"/>
          <w:noProof/>
        </w:rPr>
        <w:t>« </w:t>
      </w:r>
      <w:r w:rsidRPr="00B37C27">
        <w:rPr>
          <w:rFonts w:cs="Times New Roman"/>
          <w:noProof/>
        </w:rPr>
        <w:t>Breach of Contract and the Common Law Duty to Perform in Good Faith</w:t>
      </w:r>
      <w:r w:rsidR="00894691">
        <w:rPr>
          <w:rFonts w:cs="Times New Roman"/>
          <w:noProof/>
        </w:rPr>
        <w:t> »</w:t>
      </w:r>
      <w:r w:rsidR="00290175">
        <w:rPr>
          <w:rFonts w:cs="Times New Roman"/>
          <w:noProof/>
        </w:rPr>
        <w:t xml:space="preserve"> (1981</w:t>
      </w:r>
      <w:r w:rsidRPr="00B37C27">
        <w:rPr>
          <w:rFonts w:cs="Times New Roman"/>
          <w:noProof/>
        </w:rPr>
        <w:t xml:space="preserve">), 94 </w:t>
      </w:r>
      <w:r w:rsidRPr="00B37C27">
        <w:rPr>
          <w:rFonts w:cs="Times New Roman"/>
          <w:i/>
          <w:noProof/>
        </w:rPr>
        <w:t>Harv. L. Rev.</w:t>
      </w:r>
      <w:r w:rsidRPr="00B37C27">
        <w:rPr>
          <w:rFonts w:cs="Times New Roman"/>
          <w:noProof/>
        </w:rPr>
        <w:t xml:space="preserve"> 369.  </w:t>
      </w:r>
      <w:r w:rsidRPr="00B37C27">
        <w:rPr>
          <w:rFonts w:cs="Times New Roman"/>
          <w:noProof/>
          <w:lang w:val="fr-CA"/>
        </w:rPr>
        <w:t>À titre d’exemple, le professeur</w:t>
      </w:r>
      <w:r w:rsidR="00894691">
        <w:rPr>
          <w:rFonts w:cs="Times New Roman"/>
          <w:noProof/>
          <w:lang w:val="fr-CA"/>
        </w:rPr>
        <w:t xml:space="preserve"> </w:t>
      </w:r>
      <w:r w:rsidRPr="00B37C27">
        <w:rPr>
          <w:rFonts w:cs="Times New Roman"/>
          <w:noProof/>
          <w:lang w:val="fr-CA"/>
        </w:rPr>
        <w:t>McCamus a identifié trois grands types de situations où l’on a conclu à l’existence d’une sorte d’obligation d’exécution de bonne foi, à savoir (1) lorsque les parties doivent collaborer en vue de la réali</w:t>
      </w:r>
      <w:r w:rsidR="00290175">
        <w:rPr>
          <w:rFonts w:cs="Times New Roman"/>
          <w:noProof/>
          <w:lang w:val="fr-CA"/>
        </w:rPr>
        <w:t>sation des objectifs du contrat,</w:t>
      </w:r>
      <w:r w:rsidRPr="00B37C27">
        <w:rPr>
          <w:rFonts w:cs="Times New Roman"/>
          <w:noProof/>
          <w:lang w:val="fr-CA"/>
        </w:rPr>
        <w:t xml:space="preserve"> (2) lorsque le contrat confère un pouvoir discrétionnaire à l’une des parties, et (3) lorsque l’une des parties cherche à se soustraire aux obligations contractuelles (p.</w:t>
      </w:r>
      <w:r w:rsidR="00894691">
        <w:rPr>
          <w:rFonts w:cs="Times New Roman"/>
          <w:noProof/>
          <w:lang w:val="fr-CA"/>
        </w:rPr>
        <w:t xml:space="preserve"> </w:t>
      </w:r>
      <w:r w:rsidRPr="00B37C27">
        <w:rPr>
          <w:rFonts w:cs="Times New Roman"/>
          <w:noProof/>
          <w:lang w:val="fr-CA"/>
        </w:rPr>
        <w:t>840</w:t>
      </w:r>
      <w:r w:rsidR="00894691">
        <w:rPr>
          <w:rFonts w:cs="Times New Roman"/>
          <w:noProof/>
          <w:lang w:val="fr-CA"/>
        </w:rPr>
        <w:t>-</w:t>
      </w:r>
      <w:r w:rsidRPr="00B37C27">
        <w:rPr>
          <w:rFonts w:cs="Times New Roman"/>
          <w:noProof/>
          <w:lang w:val="fr-CA"/>
        </w:rPr>
        <w:t xml:space="preserve">856; </w:t>
      </w:r>
      <w:r w:rsidRPr="00B37C27">
        <w:rPr>
          <w:rFonts w:cs="Times New Roman"/>
          <w:i/>
          <w:noProof/>
          <w:lang w:val="fr-CA"/>
        </w:rPr>
        <w:t>CivicLife.com Inc. c. Canada (Attorney General)</w:t>
      </w:r>
      <w:r w:rsidRPr="00B37C27">
        <w:rPr>
          <w:rFonts w:cs="Times New Roman"/>
          <w:noProof/>
          <w:lang w:val="fr-CA"/>
        </w:rPr>
        <w:t xml:space="preserve"> (2006), 215 O.A.C. 43, par.</w:t>
      </w:r>
      <w:r w:rsidR="00894691">
        <w:rPr>
          <w:rFonts w:cs="Times New Roman"/>
          <w:noProof/>
          <w:lang w:val="fr-CA"/>
        </w:rPr>
        <w:t xml:space="preserve"> </w:t>
      </w:r>
      <w:r w:rsidRPr="00B37C27">
        <w:rPr>
          <w:rFonts w:cs="Times New Roman"/>
          <w:noProof/>
          <w:lang w:val="fr-CA"/>
        </w:rPr>
        <w:t>49</w:t>
      </w:r>
      <w:r w:rsidR="00894691">
        <w:rPr>
          <w:rFonts w:cs="Times New Roman"/>
          <w:noProof/>
          <w:lang w:val="fr-CA"/>
        </w:rPr>
        <w:t>-</w:t>
      </w:r>
      <w:r w:rsidRPr="00B37C27">
        <w:rPr>
          <w:rFonts w:cs="Times New Roman"/>
          <w:noProof/>
          <w:lang w:val="fr-CA"/>
        </w:rPr>
        <w:t xml:space="preserve">50). </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Ces types de situations se chevauchent dans une certaine mesure, mais </w:t>
      </w:r>
      <w:r w:rsidR="004007A2">
        <w:rPr>
          <w:rFonts w:cs="Times New Roman"/>
          <w:noProof/>
          <w:lang w:val="fr-CA"/>
        </w:rPr>
        <w:t>ils</w:t>
      </w:r>
      <w:r w:rsidRPr="00B37C27">
        <w:rPr>
          <w:rFonts w:cs="Times New Roman"/>
          <w:noProof/>
          <w:lang w:val="fr-CA"/>
        </w:rPr>
        <w:t xml:space="preserve"> offrent un outil d’analyse utile permettant de comprendre l’état actuel du droit quant à </w:t>
      </w:r>
      <w:r w:rsidRPr="00B37C27">
        <w:rPr>
          <w:rFonts w:cs="Times New Roman"/>
          <w:noProof/>
          <w:lang w:val="fr-CA"/>
        </w:rPr>
        <w:lastRenderedPageBreak/>
        <w:t>l’obligation d’agir de bonne foi.  Ils illustrent aussi un peu le manque d’uniformité de l’approche actuelle. Souvent, on ne sait pas trop si une obligation d’agir de bonne foi est imposée en droit, si elle est implicite ou si elle résulte de l’interprétation.  Le professeur McCamus fait remarquer ce qui suit</w:t>
      </w:r>
      <w:r w:rsidR="00894691">
        <w:rPr>
          <w:rFonts w:cs="Times New Roman"/>
          <w:noProof/>
          <w:lang w:val="fr-CA"/>
        </w:rPr>
        <w:t> :</w:t>
      </w:r>
    </w:p>
    <w:p w:rsidR="00142A2B" w:rsidRPr="00B37C27" w:rsidRDefault="00142A2B" w:rsidP="00894691">
      <w:pPr>
        <w:pStyle w:val="Citation-AltC"/>
        <w:ind w:hanging="1166"/>
        <w:rPr>
          <w:noProof/>
          <w:lang w:val="fr-CA"/>
        </w:rPr>
      </w:pPr>
      <w:r w:rsidRPr="00B37C27">
        <w:rPr>
          <w:smallCaps/>
          <w:noProof/>
          <w:lang w:val="fr-CA"/>
        </w:rPr>
        <w:tab/>
        <w:t>[traduction]</w:t>
      </w:r>
      <w:r w:rsidRPr="00B37C27">
        <w:rPr>
          <w:noProof/>
          <w:lang w:val="fr-CA"/>
        </w:rPr>
        <w:t xml:space="preserve">  Bien qu’il soit difficile d’établir une distinction entre les deux types de conditions implicites, il est peut</w:t>
      </w:r>
      <w:r w:rsidR="00894691">
        <w:rPr>
          <w:noProof/>
          <w:lang w:val="fr-CA"/>
        </w:rPr>
        <w:t>-</w:t>
      </w:r>
      <w:r w:rsidRPr="00B37C27">
        <w:rPr>
          <w:noProof/>
          <w:lang w:val="fr-CA"/>
        </w:rPr>
        <w:t>être réaliste de tenir pour acquis que les obligations implicites d’agir de bonne foi risquent, du moins à l’occasion, de se retrouver dans la catégorie des particularités juridiques plutôt que dans celle des simples intentions présumées.  Certes, il serait difficile de défendre le caractère implicite des conditions dans chacun des cas examinés en invoquant les critères traditionnels de l’efficacité commerciale ou de l’observateur objectif.  Dans les affaires portant sur un pouvoir discrétionnaire de nature contractuelle</w:t>
      </w:r>
      <w:r w:rsidR="00BE6136">
        <w:rPr>
          <w:noProof/>
          <w:lang w:val="fr-CA"/>
        </w:rPr>
        <w:t>,</w:t>
      </w:r>
      <w:r w:rsidRPr="00B37C27">
        <w:rPr>
          <w:noProof/>
          <w:lang w:val="fr-CA"/>
        </w:rPr>
        <w:t xml:space="preserve"> par exemple, il serait plus réaliste d’indiquer que la restriction implicite de l’exercice du pouvoir discrétionnaire vise à donner effet aux </w:t>
      </w:r>
      <w:r w:rsidR="00894691">
        <w:rPr>
          <w:noProof/>
          <w:lang w:val="fr-CA"/>
        </w:rPr>
        <w:t>« </w:t>
      </w:r>
      <w:r w:rsidRPr="00B37C27">
        <w:rPr>
          <w:noProof/>
          <w:lang w:val="fr-CA"/>
        </w:rPr>
        <w:t>attentes raisonnables des parties</w:t>
      </w:r>
      <w:r w:rsidR="00894691">
        <w:rPr>
          <w:noProof/>
          <w:lang w:val="fr-CA"/>
        </w:rPr>
        <w:t> »</w:t>
      </w:r>
      <w:r w:rsidRPr="00B37C27">
        <w:rPr>
          <w:noProof/>
          <w:lang w:val="fr-CA"/>
        </w:rPr>
        <w:t>. [p.</w:t>
      </w:r>
      <w:r w:rsidR="00894691">
        <w:rPr>
          <w:noProof/>
          <w:lang w:val="fr-CA"/>
        </w:rPr>
        <w:t xml:space="preserve"> </w:t>
      </w:r>
      <w:r w:rsidRPr="00B37C27">
        <w:rPr>
          <w:noProof/>
          <w:lang w:val="fr-CA"/>
        </w:rPr>
        <w:t>865</w:t>
      </w:r>
      <w:r w:rsidR="00894691">
        <w:rPr>
          <w:noProof/>
          <w:lang w:val="fr-CA"/>
        </w:rPr>
        <w:t>-</w:t>
      </w:r>
      <w:r w:rsidRPr="00B37C27">
        <w:rPr>
          <w:noProof/>
          <w:lang w:val="fr-CA"/>
        </w:rPr>
        <w:t>866]</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Le premier type de situation (les contrats exigeant la collaboration des parties en vue de la réalisation des objectifs énoncés) se retrouve dans la jurisprudence de notre Cour.  Dans l’arrêt </w:t>
      </w:r>
      <w:proofErr w:type="spellStart"/>
      <w:r w:rsidRPr="00B37C27">
        <w:rPr>
          <w:rFonts w:cs="Times New Roman"/>
          <w:i/>
          <w:lang w:val="fr-CA"/>
        </w:rPr>
        <w:t>Dynamic</w:t>
      </w:r>
      <w:proofErr w:type="spellEnd"/>
      <w:r w:rsidRPr="00B37C27">
        <w:rPr>
          <w:rFonts w:cs="Times New Roman"/>
          <w:i/>
          <w:lang w:val="fr-CA"/>
        </w:rPr>
        <w:t xml:space="preserve"> Transport Ltd. c. O.K. </w:t>
      </w:r>
      <w:proofErr w:type="spellStart"/>
      <w:r w:rsidRPr="00B37C27">
        <w:rPr>
          <w:rFonts w:cs="Times New Roman"/>
          <w:i/>
          <w:lang w:val="fr-CA"/>
        </w:rPr>
        <w:t>Detailing</w:t>
      </w:r>
      <w:proofErr w:type="spellEnd"/>
      <w:r w:rsidRPr="00B37C27">
        <w:rPr>
          <w:rFonts w:cs="Times New Roman"/>
          <w:i/>
          <w:lang w:val="fr-CA"/>
        </w:rPr>
        <w:t xml:space="preserve"> Ltd.</w:t>
      </w:r>
      <w:r w:rsidRPr="00B37C27">
        <w:rPr>
          <w:rFonts w:cs="Times New Roman"/>
          <w:lang w:val="fr-CA"/>
        </w:rPr>
        <w:t>, [1978] 2 R.C.S. 1072</w:t>
      </w:r>
      <w:r w:rsidRPr="00B37C27">
        <w:rPr>
          <w:rFonts w:cs="Times New Roman"/>
          <w:noProof/>
          <w:lang w:val="fr-CA"/>
        </w:rPr>
        <w:t>, les parties à une transaction immobilière ont omis de préciser dans le contrat d’achat et de vente à quelle partie incombait la responsabilité d’obtenir l’approbation du lotissement d’une parcelle du terrain.  Selon la loi, le vendeur était la seule partie en mesure d’obtenir une telle permission.  La Cour a conclu que le vendeur avait l’obligation de faire de son mieux pour obtenir cette approbation ou, comme l’a dit le juge</w:t>
      </w:r>
      <w:r w:rsidR="00894691">
        <w:rPr>
          <w:rFonts w:cs="Times New Roman"/>
          <w:noProof/>
          <w:lang w:val="fr-CA"/>
        </w:rPr>
        <w:t xml:space="preserve"> </w:t>
      </w:r>
      <w:r w:rsidRPr="00B37C27">
        <w:rPr>
          <w:rFonts w:cs="Times New Roman"/>
          <w:noProof/>
          <w:lang w:val="fr-CA"/>
        </w:rPr>
        <w:t>Dickson</w:t>
      </w:r>
      <w:r w:rsidR="003018D1">
        <w:rPr>
          <w:rFonts w:cs="Times New Roman"/>
          <w:noProof/>
          <w:lang w:val="fr-CA"/>
        </w:rPr>
        <w:t xml:space="preserve"> (plus tard Juge en chef)</w:t>
      </w:r>
      <w:r w:rsidRPr="00B37C27">
        <w:rPr>
          <w:rFonts w:cs="Times New Roman"/>
          <w:noProof/>
          <w:lang w:val="fr-CA"/>
        </w:rPr>
        <w:t xml:space="preserve">, </w:t>
      </w:r>
      <w:r w:rsidR="00894691">
        <w:rPr>
          <w:rFonts w:cs="Times New Roman"/>
          <w:lang w:val="fr-CA"/>
        </w:rPr>
        <w:t>« </w:t>
      </w:r>
      <w:r w:rsidRPr="00B37C27">
        <w:rPr>
          <w:rFonts w:cs="Times New Roman"/>
          <w:lang w:val="fr-CA"/>
        </w:rPr>
        <w:t>[l]e vendeur a l’obligation d’agir de bonne foi et de prendre toutes les mesures raisonnables pour exécuter la vente</w:t>
      </w:r>
      <w:r w:rsidR="00894691">
        <w:rPr>
          <w:rFonts w:cs="Times New Roman"/>
          <w:lang w:val="fr-CA"/>
        </w:rPr>
        <w:t> » :</w:t>
      </w:r>
      <w:r w:rsidRPr="00B37C27">
        <w:rPr>
          <w:rFonts w:cs="Times New Roman"/>
          <w:lang w:val="fr-CA"/>
        </w:rPr>
        <w:t xml:space="preserve"> p.</w:t>
      </w:r>
      <w:r w:rsidR="00894691">
        <w:rPr>
          <w:rFonts w:cs="Times New Roman"/>
          <w:lang w:val="fr-CA"/>
        </w:rPr>
        <w:t xml:space="preserve"> </w:t>
      </w:r>
      <w:r w:rsidRPr="00B37C27">
        <w:rPr>
          <w:rFonts w:cs="Times New Roman"/>
          <w:lang w:val="fr-CA"/>
        </w:rPr>
        <w:t>1084</w:t>
      </w:r>
      <w:r w:rsidRPr="00B37C27">
        <w:rPr>
          <w:rFonts w:cs="Times New Roman"/>
          <w:noProof/>
          <w:lang w:val="fr-CA"/>
        </w:rPr>
        <w:t xml:space="preserve">.  L’arrêt n’indique pas clairement si cette obligation était </w:t>
      </w:r>
      <w:r w:rsidRPr="00B37C27">
        <w:rPr>
          <w:rFonts w:cs="Times New Roman"/>
          <w:noProof/>
          <w:lang w:val="fr-CA"/>
        </w:rPr>
        <w:lastRenderedPageBreak/>
        <w:t>imposée en droit, ou si elle était implicite compte tenu des intentions des parties</w:t>
      </w:r>
      <w:r w:rsidR="00894691">
        <w:rPr>
          <w:rFonts w:cs="Times New Roman"/>
          <w:noProof/>
          <w:lang w:val="fr-CA"/>
        </w:rPr>
        <w:t> :</w:t>
      </w:r>
      <w:r w:rsidRPr="00B37C27">
        <w:rPr>
          <w:rFonts w:cs="Times New Roman"/>
          <w:noProof/>
          <w:lang w:val="fr-CA"/>
        </w:rPr>
        <w:t xml:space="preserve"> voir p.</w:t>
      </w:r>
      <w:r w:rsidR="00894691">
        <w:rPr>
          <w:rFonts w:cs="Times New Roman"/>
          <w:noProof/>
          <w:lang w:val="fr-CA"/>
        </w:rPr>
        <w:t xml:space="preserve"> </w:t>
      </w:r>
      <w:r w:rsidRPr="00B37C27">
        <w:rPr>
          <w:rFonts w:cs="Times New Roman"/>
          <w:noProof/>
          <w:lang w:val="fr-CA"/>
        </w:rPr>
        <w:t xml:space="preserve">1083; voir aussi </w:t>
      </w:r>
      <w:r w:rsidRPr="00B37C27">
        <w:rPr>
          <w:rFonts w:cs="Times New Roman"/>
          <w:i/>
          <w:noProof/>
          <w:lang w:val="fr-CA"/>
        </w:rPr>
        <w:t>Gateway Realty</w:t>
      </w:r>
      <w:r w:rsidR="00BE6136">
        <w:rPr>
          <w:rFonts w:cs="Times New Roman"/>
          <w:noProof/>
          <w:lang w:val="fr-CA"/>
        </w:rPr>
        <w:t xml:space="preserve"> et</w:t>
      </w:r>
      <w:r w:rsidRPr="00B37C27">
        <w:rPr>
          <w:rFonts w:cs="Times New Roman"/>
          <w:noProof/>
          <w:lang w:val="fr-CA"/>
        </w:rPr>
        <w:t xml:space="preserve"> </w:t>
      </w:r>
      <w:r w:rsidRPr="00B37C27">
        <w:rPr>
          <w:rFonts w:cs="Times New Roman"/>
          <w:i/>
          <w:noProof/>
          <w:lang w:val="fr-CA"/>
        </w:rPr>
        <w:t>CivicLife.com</w:t>
      </w:r>
      <w:r w:rsidRPr="00B37C27">
        <w:rPr>
          <w:rFonts w:cs="Times New Roman"/>
          <w:noProof/>
          <w:lang w:val="fr-CA"/>
        </w:rPr>
        <w:t>.</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L’arrêt </w:t>
      </w:r>
      <w:r w:rsidRPr="00B37C27">
        <w:rPr>
          <w:rFonts w:cs="Times New Roman"/>
          <w:i/>
          <w:noProof/>
          <w:lang w:val="fr-CA"/>
        </w:rPr>
        <w:t>Mitsui &amp; Co. (Canada) Ltd. c. Banque Royale du Canada</w:t>
      </w:r>
      <w:r w:rsidRPr="00B37C27">
        <w:rPr>
          <w:rFonts w:cs="Times New Roman"/>
          <w:noProof/>
          <w:lang w:val="fr-CA"/>
        </w:rPr>
        <w:t>, [1995]</w:t>
      </w:r>
      <w:r w:rsidR="00894691">
        <w:rPr>
          <w:rFonts w:cs="Times New Roman"/>
          <w:noProof/>
          <w:lang w:val="fr-CA"/>
        </w:rPr>
        <w:t xml:space="preserve"> </w:t>
      </w:r>
      <w:r w:rsidRPr="00B37C27">
        <w:rPr>
          <w:rFonts w:cs="Times New Roman"/>
          <w:noProof/>
          <w:lang w:val="fr-CA"/>
        </w:rPr>
        <w:t>2</w:t>
      </w:r>
      <w:r w:rsidR="00894691">
        <w:rPr>
          <w:rFonts w:cs="Times New Roman"/>
          <w:noProof/>
          <w:lang w:val="fr-CA"/>
        </w:rPr>
        <w:t xml:space="preserve"> </w:t>
      </w:r>
      <w:r w:rsidRPr="00B37C27">
        <w:rPr>
          <w:rFonts w:cs="Times New Roman"/>
          <w:noProof/>
          <w:lang w:val="fr-CA"/>
        </w:rPr>
        <w:t>R.C.S.</w:t>
      </w:r>
      <w:r w:rsidR="00894691">
        <w:rPr>
          <w:rFonts w:cs="Times New Roman"/>
          <w:noProof/>
          <w:lang w:val="fr-CA"/>
        </w:rPr>
        <w:t xml:space="preserve"> </w:t>
      </w:r>
      <w:r w:rsidRPr="00B37C27">
        <w:rPr>
          <w:rFonts w:cs="Times New Roman"/>
          <w:noProof/>
          <w:lang w:val="fr-CA"/>
        </w:rPr>
        <w:t xml:space="preserve">187, illustre le deuxième type de situation (l’exercice d’un pouvoir discrétionnaire de nature contractuelle).  Les baux relatifs à la location d’hélicoptères comprenaient une option d’achat à la </w:t>
      </w:r>
      <w:r w:rsidR="003018D1">
        <w:rPr>
          <w:rFonts w:cs="Times New Roman"/>
          <w:noProof/>
          <w:lang w:val="fr-CA"/>
        </w:rPr>
        <w:t>« </w:t>
      </w:r>
      <w:r w:rsidRPr="00B37C27">
        <w:rPr>
          <w:rFonts w:cs="Times New Roman"/>
          <w:noProof/>
          <w:lang w:val="fr-CA"/>
        </w:rPr>
        <w:t>juste valeur marchande raisonnable de l’hélicoptère établie par le bailleur</w:t>
      </w:r>
      <w:r w:rsidR="00894691">
        <w:rPr>
          <w:rFonts w:cs="Times New Roman"/>
          <w:noProof/>
          <w:lang w:val="fr-CA"/>
        </w:rPr>
        <w:t> »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2.  Notre Cour a conclu</w:t>
      </w:r>
      <w:r w:rsidR="00BE6136">
        <w:rPr>
          <w:rFonts w:cs="Times New Roman"/>
          <w:noProof/>
          <w:lang w:val="fr-CA"/>
        </w:rPr>
        <w:t>,</w:t>
      </w:r>
      <w:r w:rsidRPr="00B37C27">
        <w:rPr>
          <w:rFonts w:cs="Times New Roman"/>
          <w:noProof/>
          <w:lang w:val="fr-CA"/>
        </w:rPr>
        <w:t xml:space="preserve"> au par.</w:t>
      </w:r>
      <w:r w:rsidR="00894691">
        <w:rPr>
          <w:rFonts w:cs="Times New Roman"/>
          <w:noProof/>
          <w:lang w:val="fr-CA"/>
        </w:rPr>
        <w:t xml:space="preserve"> </w:t>
      </w:r>
      <w:r w:rsidRPr="00B37C27">
        <w:rPr>
          <w:rFonts w:cs="Times New Roman"/>
          <w:noProof/>
          <w:lang w:val="fr-CA"/>
        </w:rPr>
        <w:t>34</w:t>
      </w:r>
      <w:r w:rsidR="00BE6136">
        <w:rPr>
          <w:rFonts w:cs="Times New Roman"/>
          <w:noProof/>
          <w:lang w:val="fr-CA"/>
        </w:rPr>
        <w:t>,</w:t>
      </w:r>
      <w:r w:rsidRPr="00B37C27">
        <w:rPr>
          <w:rFonts w:cs="Times New Roman"/>
          <w:noProof/>
          <w:lang w:val="fr-CA"/>
        </w:rPr>
        <w:t xml:space="preserve"> qu’</w:t>
      </w:r>
      <w:r w:rsidR="00894691">
        <w:rPr>
          <w:rFonts w:cs="Times New Roman"/>
          <w:noProof/>
          <w:lang w:val="fr-CA"/>
        </w:rPr>
        <w:t>« </w:t>
      </w:r>
      <w:r w:rsidRPr="00B37C27">
        <w:rPr>
          <w:rFonts w:cs="Times New Roman"/>
          <w:noProof/>
          <w:lang w:val="fr-CA"/>
        </w:rPr>
        <w:t>[e]n vertu de l’article</w:t>
      </w:r>
      <w:r w:rsidR="00894691">
        <w:rPr>
          <w:rFonts w:cs="Times New Roman"/>
          <w:noProof/>
          <w:lang w:val="fr-CA"/>
        </w:rPr>
        <w:t xml:space="preserve"> </w:t>
      </w:r>
      <w:r w:rsidRPr="00B37C27">
        <w:rPr>
          <w:rFonts w:cs="Times New Roman"/>
          <w:noProof/>
          <w:lang w:val="fr-CA"/>
        </w:rPr>
        <w:t>32, le bailleur n’est manifestement pas en mesure de faire toute offre qu’il peut juger appropriée.  Il a l’obligation contractuelle d’agir de bonne foi en établissant la juste valeur marchande raisonnable des hélicoptères, qui constitue le prix de la levée de l’option sur lequel les parties s’étaient initialement entendues</w:t>
      </w:r>
      <w:r w:rsidR="00BE6136">
        <w:rPr>
          <w:rFonts w:cs="Times New Roman"/>
          <w:noProof/>
          <w:lang w:val="fr-CA"/>
        </w:rPr>
        <w:t>.</w:t>
      </w:r>
      <w:r w:rsidR="00894691">
        <w:rPr>
          <w:rFonts w:cs="Times New Roman"/>
          <w:noProof/>
          <w:lang w:val="fr-CA"/>
        </w:rPr>
        <w:t> »</w:t>
      </w:r>
      <w:r w:rsidRPr="00B37C27">
        <w:rPr>
          <w:rFonts w:cs="Times New Roman"/>
          <w:noProof/>
          <w:lang w:val="fr-CA"/>
        </w:rPr>
        <w:t xml:space="preserve">  La Cour n’a pas examiné la raison justifiant l’introduction de cette condition, mais elle a indiqué qu’en l’absence d’une exigence de raisonnabilité, la clause d’option ne constituerait qu’un simple engagement à conclure un accord et serait donc inexécutoire, ce qui veut dire que l’introduction de la condition implicite était nécessaire pour donner au contrat son efficacité commerciale. </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L’arrêt de notre Cour </w:t>
      </w:r>
      <w:r w:rsidRPr="00B37C27">
        <w:rPr>
          <w:rFonts w:cs="Times New Roman"/>
          <w:i/>
          <w:noProof/>
          <w:lang w:val="fr-CA"/>
        </w:rPr>
        <w:t>Mason c. Freedman</w:t>
      </w:r>
      <w:r w:rsidRPr="00B37C27">
        <w:rPr>
          <w:rFonts w:cs="Times New Roman"/>
          <w:noProof/>
          <w:lang w:val="fr-CA"/>
        </w:rPr>
        <w:t xml:space="preserve">, [1958] </w:t>
      </w:r>
      <w:r w:rsidR="00BE6136">
        <w:rPr>
          <w:rFonts w:cs="Times New Roman"/>
          <w:noProof/>
          <w:lang w:val="fr-CA"/>
        </w:rPr>
        <w:t>R.C.S.</w:t>
      </w:r>
      <w:r w:rsidRPr="00B37C27">
        <w:rPr>
          <w:rFonts w:cs="Times New Roman"/>
          <w:noProof/>
          <w:lang w:val="fr-CA"/>
        </w:rPr>
        <w:t xml:space="preserve"> 483, illustre le troisième type de situation dans laquelle une obligation d’agir de bonne foi prend naissance (lorsqu’un pouvoir prévu dans un contrat est exercé pour éluder une obligation contractuelle).  Dans cette affaire, le vendeur dans une transaction immobilière a regretté ce marché.  Il a alors cherché à résilier le contrat en omettant de transmettre le titre de propriété en fief simple parce que, selon lui, son épouse ne </w:t>
      </w:r>
      <w:r w:rsidRPr="00B37C27">
        <w:rPr>
          <w:rFonts w:cs="Times New Roman"/>
          <w:noProof/>
          <w:lang w:val="fr-CA"/>
        </w:rPr>
        <w:lastRenderedPageBreak/>
        <w:t xml:space="preserve">renoncerait pas aux droits de douaire.  La question était de savoir s’il pouvait se prévaloir d’une clause lui permettant de résilier le contrat advenant </w:t>
      </w:r>
      <w:r w:rsidR="00BE6136">
        <w:rPr>
          <w:rFonts w:cs="Times New Roman"/>
          <w:noProof/>
          <w:lang w:val="fr-CA"/>
        </w:rPr>
        <w:t>[</w:t>
      </w:r>
      <w:r w:rsidR="00BE6136" w:rsidRPr="00BE6136">
        <w:rPr>
          <w:rFonts w:cs="Times New Roman"/>
          <w:smallCaps/>
          <w:noProof/>
          <w:lang w:val="fr-CA"/>
        </w:rPr>
        <w:t>traduction</w:t>
      </w:r>
      <w:r w:rsidR="00BE6136">
        <w:rPr>
          <w:rFonts w:cs="Times New Roman"/>
          <w:noProof/>
          <w:lang w:val="fr-CA"/>
        </w:rPr>
        <w:t xml:space="preserve">] </w:t>
      </w:r>
      <w:r w:rsidR="00894691">
        <w:rPr>
          <w:rFonts w:cs="Times New Roman"/>
          <w:noProof/>
          <w:lang w:val="fr-CA"/>
        </w:rPr>
        <w:t>« </w:t>
      </w:r>
      <w:r w:rsidRPr="00B37C27">
        <w:rPr>
          <w:rFonts w:cs="Times New Roman"/>
          <w:noProof/>
          <w:lang w:val="fr-CA"/>
        </w:rPr>
        <w:t>qu’il soit incapable</w:t>
      </w:r>
      <w:r w:rsidR="00894691">
        <w:rPr>
          <w:rFonts w:cs="Times New Roman"/>
          <w:noProof/>
          <w:lang w:val="fr-CA"/>
        </w:rPr>
        <w:t> »</w:t>
      </w:r>
      <w:r w:rsidRPr="00B37C27">
        <w:rPr>
          <w:rFonts w:cs="Times New Roman"/>
          <w:noProof/>
          <w:lang w:val="fr-CA"/>
        </w:rPr>
        <w:t xml:space="preserve"> de corriger ce vice du titre ou qu’il </w:t>
      </w:r>
      <w:r w:rsidR="00894691">
        <w:rPr>
          <w:rFonts w:cs="Times New Roman"/>
          <w:noProof/>
          <w:lang w:val="fr-CA"/>
        </w:rPr>
        <w:t>« </w:t>
      </w:r>
      <w:r w:rsidRPr="00B37C27">
        <w:rPr>
          <w:rFonts w:cs="Times New Roman"/>
          <w:noProof/>
          <w:lang w:val="fr-CA"/>
        </w:rPr>
        <w:t>ne veuille pas</w:t>
      </w:r>
      <w:r w:rsidR="00894691">
        <w:rPr>
          <w:rFonts w:cs="Times New Roman"/>
          <w:noProof/>
          <w:lang w:val="fr-CA"/>
        </w:rPr>
        <w:t> »</w:t>
      </w:r>
      <w:r w:rsidRPr="00B37C27">
        <w:rPr>
          <w:rFonts w:cs="Times New Roman"/>
          <w:noProof/>
          <w:lang w:val="fr-CA"/>
        </w:rPr>
        <w:t xml:space="preserve"> le corriger, même s’il n’avait pas tenté de le faire en essayant d’obtenir la renonciation aux droits de douaire.  Le juge Judson a estimé que la clause n’avait pas pour effet de  </w:t>
      </w:r>
      <w:r w:rsidR="00894691">
        <w:rPr>
          <w:rFonts w:cs="Times New Roman"/>
          <w:noProof/>
          <w:lang w:val="fr-CA"/>
        </w:rPr>
        <w:t>« </w:t>
      </w:r>
      <w:r w:rsidRPr="00B37C27">
        <w:rPr>
          <w:rFonts w:cs="Times New Roman"/>
          <w:noProof/>
          <w:lang w:val="fr-CA"/>
        </w:rPr>
        <w:t>permettre à une personne de résilier un contrat pour une cause qu’elle avait elle</w:t>
      </w:r>
      <w:r w:rsidR="00894691">
        <w:rPr>
          <w:rFonts w:cs="Times New Roman"/>
          <w:noProof/>
          <w:lang w:val="fr-CA"/>
        </w:rPr>
        <w:t>-</w:t>
      </w:r>
      <w:r w:rsidRPr="00B37C27">
        <w:rPr>
          <w:rFonts w:cs="Times New Roman"/>
          <w:noProof/>
          <w:lang w:val="fr-CA"/>
        </w:rPr>
        <w:t>même introduite au contrat</w:t>
      </w:r>
      <w:r w:rsidR="00894691">
        <w:rPr>
          <w:rFonts w:cs="Times New Roman"/>
          <w:noProof/>
          <w:lang w:val="fr-CA"/>
        </w:rPr>
        <w:t> »</w:t>
      </w:r>
      <w:r w:rsidRPr="00B37C27">
        <w:rPr>
          <w:rFonts w:cs="Times New Roman"/>
          <w:noProof/>
          <w:lang w:val="fr-CA"/>
        </w:rPr>
        <w:t xml:space="preserve"> ni de permettre </w:t>
      </w:r>
      <w:r w:rsidR="00894691">
        <w:rPr>
          <w:rFonts w:cs="Times New Roman"/>
          <w:noProof/>
          <w:lang w:val="fr-CA"/>
        </w:rPr>
        <w:t>« </w:t>
      </w:r>
      <w:r w:rsidRPr="00B37C27">
        <w:rPr>
          <w:rFonts w:cs="Times New Roman"/>
          <w:noProof/>
          <w:lang w:val="fr-CA"/>
        </w:rPr>
        <w:t>une résiliation abusive ou arbitraire</w:t>
      </w:r>
      <w:r w:rsidR="00894691">
        <w:rPr>
          <w:rFonts w:cs="Times New Roman"/>
          <w:noProof/>
          <w:lang w:val="fr-CA"/>
        </w:rPr>
        <w:t> » :</w:t>
      </w:r>
      <w:r w:rsidRPr="00B37C27">
        <w:rPr>
          <w:rFonts w:cs="Times New Roman"/>
          <w:noProof/>
          <w:lang w:val="fr-CA"/>
        </w:rPr>
        <w:t xml:space="preserve"> p.</w:t>
      </w:r>
      <w:r w:rsidR="00894691">
        <w:rPr>
          <w:rFonts w:cs="Times New Roman"/>
          <w:noProof/>
          <w:lang w:val="fr-CA"/>
        </w:rPr>
        <w:t xml:space="preserve"> </w:t>
      </w:r>
      <w:r w:rsidRPr="00B37C27">
        <w:rPr>
          <w:rFonts w:cs="Times New Roman"/>
          <w:noProof/>
          <w:lang w:val="fr-CA"/>
        </w:rPr>
        <w:t xml:space="preserve">486.  Au contraire, </w:t>
      </w:r>
      <w:r w:rsidR="00894691">
        <w:rPr>
          <w:rFonts w:cs="Times New Roman"/>
          <w:noProof/>
          <w:lang w:val="fr-CA"/>
        </w:rPr>
        <w:t>« </w:t>
      </w:r>
      <w:r w:rsidRPr="00B37C27">
        <w:rPr>
          <w:rFonts w:cs="Times New Roman"/>
          <w:noProof/>
          <w:lang w:val="fr-CA"/>
        </w:rPr>
        <w:t>[u]n vendeur qui cherche à se prévaloir de la clause doit exercer son droit de façon raisonnable et de bonne foi, non d’une manière abusive ou arbitraire</w:t>
      </w:r>
      <w:r w:rsidR="00894691">
        <w:rPr>
          <w:rFonts w:cs="Times New Roman"/>
          <w:noProof/>
          <w:lang w:val="fr-CA"/>
        </w:rPr>
        <w:t> » :</w:t>
      </w:r>
      <w:r w:rsidRPr="00B37C27">
        <w:rPr>
          <w:rFonts w:cs="Times New Roman"/>
          <w:noProof/>
          <w:lang w:val="fr-CA"/>
        </w:rPr>
        <w:t xml:space="preserve"> p.</w:t>
      </w:r>
      <w:r w:rsidR="00894691">
        <w:rPr>
          <w:rFonts w:cs="Times New Roman"/>
          <w:noProof/>
          <w:lang w:val="fr-CA"/>
        </w:rPr>
        <w:t xml:space="preserve"> </w:t>
      </w:r>
      <w:r w:rsidRPr="00B37C27">
        <w:rPr>
          <w:rFonts w:cs="Times New Roman"/>
          <w:noProof/>
          <w:lang w:val="fr-CA"/>
        </w:rPr>
        <w:t>487</w:t>
      </w:r>
      <w:r w:rsidR="003018D1">
        <w:rPr>
          <w:rFonts w:cs="Times New Roman"/>
          <w:noProof/>
          <w:lang w:val="fr-CA"/>
        </w:rPr>
        <w:t>.</w:t>
      </w:r>
    </w:p>
    <w:p w:rsidR="00142A2B" w:rsidRPr="00B37C27" w:rsidRDefault="00142A2B" w:rsidP="00894691">
      <w:pPr>
        <w:pStyle w:val="ParaNoNdepar-AltN"/>
        <w:rPr>
          <w:rFonts w:cs="Times New Roman"/>
          <w:noProof/>
          <w:lang w:val="fr-CA"/>
        </w:rPr>
      </w:pPr>
      <w:r w:rsidRPr="00B37C27">
        <w:rPr>
          <w:rFonts w:cs="Times New Roman"/>
          <w:noProof/>
          <w:lang w:val="fr-CA"/>
        </w:rPr>
        <w:t xml:space="preserve">La jurisprudence ne précise pas toujours clairement la source des obligations d’agir de bonne foi que l’on trouve dans ces décisions.  Il arrive parfois que la distinction entre les catégories des conditions implicites imposées en droit, des conditions implicites résultant de l’intention ou des conditions implicites résultant de l’interprétation soit floue ou que les tribunaux n’en tiennent pas compte, ce qui entraîne une incertitude et un manque d’uniformité sur le plan des principes. </w:t>
      </w:r>
    </w:p>
    <w:p w:rsidR="00142A2B" w:rsidRPr="00B37C27" w:rsidRDefault="00142A2B" w:rsidP="00894691">
      <w:pPr>
        <w:pStyle w:val="ParaNoNdepar-AltN"/>
        <w:rPr>
          <w:rFonts w:cs="Times New Roman"/>
          <w:noProof/>
          <w:lang w:val="fr-CA"/>
        </w:rPr>
      </w:pPr>
      <w:r w:rsidRPr="00B37C27">
        <w:rPr>
          <w:rFonts w:cs="Times New Roman"/>
          <w:noProof/>
          <w:lang w:val="fr-CA"/>
        </w:rPr>
        <w:t>Outre ces types de situations où s’applique une obligation d’agir de bonne foi, les tribunaux canadiens de common law ont également reconnu l’existence de catégories de relations qui donnent lieu à une obligation d’agir de bonne foi implicite en droit.</w:t>
      </w:r>
    </w:p>
    <w:p w:rsidR="00142A2B" w:rsidRPr="00B37C27" w:rsidRDefault="00142A2B" w:rsidP="00894691">
      <w:pPr>
        <w:pStyle w:val="ParaNoNdepar-AltN"/>
        <w:rPr>
          <w:rFonts w:cs="Times New Roman"/>
          <w:noProof/>
          <w:lang w:val="fr-CA"/>
        </w:rPr>
      </w:pPr>
      <w:r w:rsidRPr="00B37C27">
        <w:rPr>
          <w:rFonts w:cs="Times New Roman"/>
          <w:noProof/>
          <w:lang w:val="fr-CA"/>
        </w:rPr>
        <w:lastRenderedPageBreak/>
        <w:t xml:space="preserve">Par exemple, dans l’arrêt </w:t>
      </w:r>
      <w:r w:rsidRPr="00B37C27">
        <w:rPr>
          <w:rFonts w:cs="Times New Roman"/>
          <w:i/>
          <w:lang w:val="fr-CA"/>
        </w:rPr>
        <w:t xml:space="preserve">Honda Canada Inc. c. </w:t>
      </w:r>
      <w:proofErr w:type="spellStart"/>
      <w:r w:rsidRPr="00B37C27">
        <w:rPr>
          <w:rFonts w:cs="Times New Roman"/>
          <w:i/>
          <w:lang w:val="fr-CA"/>
        </w:rPr>
        <w:t>Keays</w:t>
      </w:r>
      <w:proofErr w:type="spellEnd"/>
      <w:r w:rsidRPr="00B37C27">
        <w:rPr>
          <w:rFonts w:cs="Times New Roman"/>
          <w:lang w:val="fr-CA"/>
        </w:rPr>
        <w:t>, 2008 CSC 39, [2008]</w:t>
      </w:r>
      <w:r w:rsidR="00894691">
        <w:rPr>
          <w:rFonts w:cs="Times New Roman"/>
          <w:lang w:val="fr-CA"/>
        </w:rPr>
        <w:t xml:space="preserve"> </w:t>
      </w:r>
      <w:r w:rsidRPr="00B37C27">
        <w:rPr>
          <w:rFonts w:cs="Times New Roman"/>
          <w:lang w:val="fr-CA"/>
        </w:rPr>
        <w:t>2 R.C.S. 362,</w:t>
      </w:r>
      <w:r w:rsidRPr="00B37C27">
        <w:rPr>
          <w:rFonts w:cs="Times New Roman"/>
          <w:noProof/>
          <w:lang w:val="fr-CA"/>
        </w:rPr>
        <w:t xml:space="preserve"> la Cour a confirmé l’existence d’une obligation d’agir de bonne foi en matière d’emploi.  Monsieur</w:t>
      </w:r>
      <w:r w:rsidR="00894691">
        <w:rPr>
          <w:rFonts w:cs="Times New Roman"/>
          <w:noProof/>
          <w:lang w:val="fr-CA"/>
        </w:rPr>
        <w:t xml:space="preserve"> </w:t>
      </w:r>
      <w:r w:rsidRPr="00B37C27">
        <w:rPr>
          <w:rFonts w:cs="Times New Roman"/>
          <w:noProof/>
          <w:lang w:val="fr-CA"/>
        </w:rPr>
        <w:t>Keays avait appris qu’il était atteint du syndrome de fatigue chronique et s’absentait fréquemment de son travail.  Honda s’inquiétait de ses nombreuses absences.  Elle a exigé que M.</w:t>
      </w:r>
      <w:r w:rsidR="00894691">
        <w:rPr>
          <w:rFonts w:cs="Times New Roman"/>
          <w:noProof/>
          <w:lang w:val="fr-CA"/>
        </w:rPr>
        <w:t xml:space="preserve"> </w:t>
      </w:r>
      <w:r w:rsidRPr="00B37C27">
        <w:rPr>
          <w:rFonts w:cs="Times New Roman"/>
          <w:noProof/>
          <w:lang w:val="fr-CA"/>
        </w:rPr>
        <w:t>Keays subisse un examen médical effectué par un médecin choisi par l’employeur, lui a demandé de présenter un billet du médecin pour chaque absence et l’a dissuadé de retenir les services d’un avocat externe.  Les juges majoritaires ont estimé que</w:t>
      </w:r>
      <w:r w:rsidR="000549F5">
        <w:rPr>
          <w:rFonts w:cs="Times New Roman"/>
          <w:noProof/>
          <w:lang w:val="fr-CA"/>
        </w:rPr>
        <w:t>,</w:t>
      </w:r>
      <w:r w:rsidRPr="00B37C27">
        <w:rPr>
          <w:rFonts w:cs="Times New Roman"/>
          <w:noProof/>
          <w:lang w:val="fr-CA"/>
        </w:rPr>
        <w:t xml:space="preserve"> dans tout contrat de travail, il existe une condition implicite d’agir de bonne foi applicable au mode de congédiement.  Plus particulièrement, la Cour a affirmé que l’employeur ne devrait pas se comporter </w:t>
      </w:r>
      <w:r w:rsidR="00894691">
        <w:rPr>
          <w:rFonts w:cs="Times New Roman"/>
          <w:noProof/>
          <w:lang w:val="fr-CA"/>
        </w:rPr>
        <w:t>« </w:t>
      </w:r>
      <w:r w:rsidRPr="00B37C27">
        <w:rPr>
          <w:rFonts w:cs="Times New Roman"/>
          <w:lang w:val="fr-CA"/>
        </w:rPr>
        <w:t xml:space="preserve">de façon inéquitable ou [en faisant] preuve de mauvaise </w:t>
      </w:r>
      <w:r w:rsidRPr="00B37C27">
        <w:rPr>
          <w:rFonts w:cs="Times New Roman"/>
          <w:noProof/>
          <w:lang w:val="fr-CA"/>
        </w:rPr>
        <w:t>foi en étant, par exemple, menteu[r], trompeu[r] ou trop implacabl[e]</w:t>
      </w:r>
      <w:r w:rsidR="00894691">
        <w:rPr>
          <w:rFonts w:cs="Times New Roman"/>
          <w:noProof/>
          <w:lang w:val="fr-CA"/>
        </w:rPr>
        <w:t> »</w:t>
      </w:r>
      <w:r w:rsidRPr="00B37C27">
        <w:rPr>
          <w:rFonts w:cs="Times New Roman"/>
          <w:noProof/>
          <w:lang w:val="fr-CA"/>
        </w:rPr>
        <w:t xml:space="preserve"> lors du congédiement d’un employé</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 xml:space="preserve">57, citant l’arrêt </w:t>
      </w:r>
      <w:r w:rsidRPr="00B37C27">
        <w:rPr>
          <w:rFonts w:cs="Times New Roman"/>
          <w:i/>
          <w:noProof/>
          <w:lang w:val="fr-CA"/>
        </w:rPr>
        <w:t>Wallace c. United Grain Growers Ltd.</w:t>
      </w:r>
      <w:r w:rsidRPr="00B37C27">
        <w:rPr>
          <w:rFonts w:cs="Times New Roman"/>
          <w:noProof/>
          <w:lang w:val="fr-CA"/>
        </w:rPr>
        <w:t>,</w:t>
      </w:r>
      <w:r w:rsidRPr="00B37C27">
        <w:rPr>
          <w:rFonts w:cs="Times New Roman"/>
          <w:i/>
          <w:noProof/>
          <w:lang w:val="fr-CA"/>
        </w:rPr>
        <w:t xml:space="preserve"> </w:t>
      </w:r>
      <w:r w:rsidRPr="00B37C27">
        <w:rPr>
          <w:rFonts w:cs="Times New Roman"/>
          <w:noProof/>
          <w:lang w:val="fr-CA"/>
        </w:rPr>
        <w:t>[1997] 3 R.C.S. 701, par.</w:t>
      </w:r>
      <w:r w:rsidR="00894691">
        <w:rPr>
          <w:rFonts w:cs="Times New Roman"/>
          <w:noProof/>
          <w:lang w:val="fr-CA"/>
        </w:rPr>
        <w:t xml:space="preserve"> </w:t>
      </w:r>
      <w:r w:rsidRPr="00B37C27">
        <w:rPr>
          <w:rFonts w:cs="Times New Roman"/>
          <w:noProof/>
          <w:lang w:val="fr-CA"/>
        </w:rPr>
        <w:t>98.  L’obligation d’agir de bonne foi dans ce contexte ne s’appliquait pas aux motifs de l’employeur de mettre fin au contrat de travail parce qu’elle aurait pour effet de miner le droit de l’employeur de déterminer la composition de son personnel</w:t>
      </w:r>
      <w:r w:rsidR="00894691">
        <w:rPr>
          <w:rFonts w:cs="Times New Roman"/>
          <w:noProof/>
          <w:lang w:val="fr-CA"/>
        </w:rPr>
        <w:t> :</w:t>
      </w:r>
      <w:r w:rsidRPr="00B37C27">
        <w:rPr>
          <w:rFonts w:cs="Times New Roman"/>
          <w:noProof/>
          <w:lang w:val="fr-CA"/>
        </w:rPr>
        <w:t xml:space="preserve"> </w:t>
      </w:r>
      <w:r w:rsidRPr="00B37C27">
        <w:rPr>
          <w:rFonts w:cs="Times New Roman"/>
          <w:i/>
          <w:noProof/>
          <w:lang w:val="fr-CA"/>
        </w:rPr>
        <w:t>Wallace</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76.</w:t>
      </w:r>
    </w:p>
    <w:p w:rsidR="00142A2B" w:rsidRPr="00B37C27" w:rsidRDefault="00142A2B" w:rsidP="00894691">
      <w:pPr>
        <w:pStyle w:val="ParaNoNdepar-AltN"/>
        <w:rPr>
          <w:rFonts w:cs="Times New Roman"/>
          <w:noProof/>
          <w:lang w:val="fr-CA"/>
        </w:rPr>
      </w:pPr>
      <w:r w:rsidRPr="00B37C27">
        <w:rPr>
          <w:rFonts w:cs="Times New Roman"/>
          <w:noProof/>
          <w:lang w:val="fr-CA"/>
        </w:rPr>
        <w:t>Notre Cour a également confirmé l’existence d’une obligation d’agir de bonne foi exigeant que l’assureur traite équitablement la réclamation de son assuré; cette obligation vise tant la manière dont l’assureur fait enquête et évalue la réclamation que la décision de verser ou non les prestations</w:t>
      </w:r>
      <w:r w:rsidR="00894691">
        <w:rPr>
          <w:rFonts w:cs="Times New Roman"/>
          <w:noProof/>
          <w:lang w:val="fr-CA"/>
        </w:rPr>
        <w:t> :</w:t>
      </w:r>
      <w:r w:rsidRPr="00B37C27">
        <w:rPr>
          <w:rFonts w:cs="Times New Roman"/>
          <w:i/>
          <w:noProof/>
          <w:lang w:val="fr-CA"/>
        </w:rPr>
        <w:t xml:space="preserve"> Fidler c. Sun Life du Canada, compagnie d’assurance</w:t>
      </w:r>
      <w:r w:rsidR="00894691">
        <w:rPr>
          <w:rFonts w:cs="Times New Roman"/>
          <w:i/>
          <w:noProof/>
          <w:lang w:val="fr-CA"/>
        </w:rPr>
        <w:t>-</w:t>
      </w:r>
      <w:r w:rsidRPr="00B37C27">
        <w:rPr>
          <w:rFonts w:cs="Times New Roman"/>
          <w:i/>
          <w:noProof/>
          <w:lang w:val="fr-CA"/>
        </w:rPr>
        <w:t>vie</w:t>
      </w:r>
      <w:r w:rsidRPr="00B37C27">
        <w:rPr>
          <w:rFonts w:cs="Times New Roman"/>
          <w:noProof/>
          <w:lang w:val="fr-CA"/>
        </w:rPr>
        <w:t>, 2006 CSC 30, [2006] 2 R.C.S. 3, par.</w:t>
      </w:r>
      <w:r w:rsidR="00894691">
        <w:rPr>
          <w:rFonts w:cs="Times New Roman"/>
          <w:noProof/>
          <w:lang w:val="fr-CA"/>
        </w:rPr>
        <w:t xml:space="preserve"> </w:t>
      </w:r>
      <w:r w:rsidRPr="00B37C27">
        <w:rPr>
          <w:rFonts w:cs="Times New Roman"/>
          <w:noProof/>
          <w:lang w:val="fr-CA"/>
        </w:rPr>
        <w:t xml:space="preserve">63, citant l’arrêt </w:t>
      </w:r>
      <w:r w:rsidRPr="00B37C27">
        <w:rPr>
          <w:rFonts w:cs="Times New Roman"/>
          <w:i/>
          <w:noProof/>
          <w:lang w:val="fr-CA"/>
        </w:rPr>
        <w:t>702535 Ontario Inc. c. Lloyd’s London, Non</w:t>
      </w:r>
      <w:r w:rsidR="00894691">
        <w:rPr>
          <w:rFonts w:cs="Times New Roman"/>
          <w:i/>
          <w:noProof/>
          <w:lang w:val="fr-CA"/>
        </w:rPr>
        <w:t>-</w:t>
      </w:r>
      <w:r w:rsidRPr="00B37C27">
        <w:rPr>
          <w:rFonts w:cs="Times New Roman"/>
          <w:i/>
          <w:noProof/>
          <w:lang w:val="fr-CA"/>
        </w:rPr>
        <w:t>Marine Underwriters</w:t>
      </w:r>
      <w:r w:rsidRPr="00B37C27">
        <w:rPr>
          <w:rFonts w:cs="Times New Roman"/>
          <w:noProof/>
          <w:lang w:val="fr-CA"/>
        </w:rPr>
        <w:t xml:space="preserve"> (2000</w:t>
      </w:r>
      <w:r w:rsidRPr="00B37C27">
        <w:rPr>
          <w:rFonts w:cs="Times New Roman"/>
          <w:lang w:val="fr-CA"/>
        </w:rPr>
        <w:t xml:space="preserve">), 184 </w:t>
      </w:r>
      <w:r w:rsidRPr="00B37C27">
        <w:rPr>
          <w:rFonts w:cs="Times New Roman"/>
          <w:lang w:val="fr-CA"/>
        </w:rPr>
        <w:lastRenderedPageBreak/>
        <w:t>D.L.R. (4th) 687 (C.A. Ont.), par.</w:t>
      </w:r>
      <w:r w:rsidR="00894691">
        <w:rPr>
          <w:rFonts w:cs="Times New Roman"/>
          <w:lang w:val="fr-CA"/>
        </w:rPr>
        <w:t xml:space="preserve"> </w:t>
      </w:r>
      <w:r w:rsidRPr="00B37C27">
        <w:rPr>
          <w:rFonts w:cs="Times New Roman"/>
          <w:lang w:val="fr-CA"/>
        </w:rPr>
        <w:t>29</w:t>
      </w:r>
      <w:r w:rsidRPr="00B37C27">
        <w:rPr>
          <w:rFonts w:cs="Times New Roman"/>
          <w:noProof/>
          <w:lang w:val="fr-CA"/>
        </w:rPr>
        <w:t>.  Le manquement à cette obligation peut justifier la condamnation à des dommages</w:t>
      </w:r>
      <w:r w:rsidR="00894691">
        <w:rPr>
          <w:rFonts w:cs="Times New Roman"/>
          <w:noProof/>
          <w:lang w:val="fr-CA"/>
        </w:rPr>
        <w:t>-</w:t>
      </w:r>
      <w:r w:rsidRPr="00B37C27">
        <w:rPr>
          <w:rFonts w:cs="Times New Roman"/>
          <w:noProof/>
          <w:lang w:val="fr-CA"/>
        </w:rPr>
        <w:t>intérêts punitifs</w:t>
      </w:r>
      <w:r w:rsidR="00894691">
        <w:rPr>
          <w:rFonts w:cs="Times New Roman"/>
          <w:noProof/>
          <w:lang w:val="fr-CA"/>
        </w:rPr>
        <w:t> :</w:t>
      </w:r>
      <w:r w:rsidRPr="00B37C27">
        <w:rPr>
          <w:rFonts w:cs="Times New Roman"/>
          <w:noProof/>
          <w:lang w:val="fr-CA"/>
        </w:rPr>
        <w:t xml:space="preserve"> </w:t>
      </w:r>
      <w:proofErr w:type="spellStart"/>
      <w:r w:rsidRPr="00B37C27">
        <w:rPr>
          <w:rFonts w:cs="Times New Roman"/>
          <w:i/>
          <w:lang w:val="fr-CA"/>
        </w:rPr>
        <w:t>Whiten</w:t>
      </w:r>
      <w:proofErr w:type="spellEnd"/>
      <w:r w:rsidRPr="00B37C27">
        <w:rPr>
          <w:rFonts w:cs="Times New Roman"/>
          <w:i/>
          <w:lang w:val="fr-CA"/>
        </w:rPr>
        <w:t xml:space="preserve"> c. Pilot </w:t>
      </w:r>
      <w:proofErr w:type="spellStart"/>
      <w:r w:rsidRPr="00B37C27">
        <w:rPr>
          <w:rFonts w:cs="Times New Roman"/>
          <w:i/>
          <w:lang w:val="fr-CA"/>
        </w:rPr>
        <w:t>Insurance</w:t>
      </w:r>
      <w:proofErr w:type="spellEnd"/>
      <w:r w:rsidRPr="00B37C27">
        <w:rPr>
          <w:rFonts w:cs="Times New Roman"/>
          <w:i/>
          <w:lang w:val="fr-CA"/>
        </w:rPr>
        <w:t xml:space="preserve"> Co.</w:t>
      </w:r>
      <w:r w:rsidRPr="00B37C27">
        <w:rPr>
          <w:rFonts w:cs="Times New Roman"/>
          <w:lang w:val="fr-CA"/>
        </w:rPr>
        <w:t>, 2002 CSC 18, [2002] 1 R.C.S. 595.</w:t>
      </w:r>
      <w:r w:rsidRPr="00B37C27">
        <w:rPr>
          <w:rFonts w:cs="Times New Roman"/>
          <w:noProof/>
          <w:lang w:val="fr-CA"/>
        </w:rPr>
        <w:t xml:space="preserve">  Cette obligation d’agir de bonne foi est également réciproque</w:t>
      </w:r>
      <w:r w:rsidR="00894691">
        <w:rPr>
          <w:rFonts w:cs="Times New Roman"/>
          <w:noProof/>
          <w:lang w:val="fr-CA"/>
        </w:rPr>
        <w:t> :</w:t>
      </w:r>
      <w:r w:rsidRPr="00B37C27">
        <w:rPr>
          <w:rFonts w:cs="Times New Roman"/>
          <w:noProof/>
          <w:lang w:val="fr-CA"/>
        </w:rPr>
        <w:t xml:space="preserve"> l’assureur ne doit pas faire preuve de mauvaise foi lorsqu’il règle une réclamation, habituellement présentée par une personne qui se trouve dans une situation de vulnérabilité, et l’assuré doit agir de bonne foi en communiquant tous les faits pertinents liés à la police d’assurance (par.</w:t>
      </w:r>
      <w:r w:rsidR="00894691">
        <w:rPr>
          <w:rFonts w:cs="Times New Roman"/>
          <w:noProof/>
          <w:lang w:val="fr-CA"/>
        </w:rPr>
        <w:t xml:space="preserve"> </w:t>
      </w:r>
      <w:r w:rsidRPr="00B37C27">
        <w:rPr>
          <w:rFonts w:cs="Times New Roman"/>
          <w:noProof/>
          <w:lang w:val="fr-CA"/>
        </w:rPr>
        <w:t xml:space="preserve">83, citant le jugement </w:t>
      </w:r>
      <w:proofErr w:type="spellStart"/>
      <w:r w:rsidRPr="00B37C27">
        <w:rPr>
          <w:rFonts w:cs="Times New Roman"/>
          <w:i/>
          <w:lang w:val="fr-CA"/>
        </w:rPr>
        <w:t>Andrusiw</w:t>
      </w:r>
      <w:proofErr w:type="spellEnd"/>
      <w:r w:rsidRPr="00B37C27">
        <w:rPr>
          <w:rFonts w:cs="Times New Roman"/>
          <w:i/>
          <w:lang w:val="fr-CA"/>
        </w:rPr>
        <w:t xml:space="preserve"> c. Aetna Life </w:t>
      </w:r>
      <w:proofErr w:type="spellStart"/>
      <w:r w:rsidRPr="00B37C27">
        <w:rPr>
          <w:rFonts w:cs="Times New Roman"/>
          <w:i/>
          <w:lang w:val="fr-CA"/>
        </w:rPr>
        <w:t>Insurance</w:t>
      </w:r>
      <w:proofErr w:type="spellEnd"/>
      <w:r w:rsidRPr="00B37C27">
        <w:rPr>
          <w:rFonts w:cs="Times New Roman"/>
          <w:i/>
          <w:lang w:val="fr-CA"/>
        </w:rPr>
        <w:t xml:space="preserve"> Co. of Canada</w:t>
      </w:r>
      <w:r w:rsidRPr="00B37C27">
        <w:rPr>
          <w:rFonts w:cs="Times New Roman"/>
          <w:lang w:val="fr-CA"/>
        </w:rPr>
        <w:t xml:space="preserve"> (2001), 289 A.R. 1 (B.R.)</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84</w:t>
      </w:r>
      <w:r w:rsidR="00894691">
        <w:rPr>
          <w:rFonts w:cs="Times New Roman"/>
          <w:noProof/>
          <w:lang w:val="fr-CA"/>
        </w:rPr>
        <w:t>-</w:t>
      </w:r>
      <w:r w:rsidRPr="00B37C27">
        <w:rPr>
          <w:rFonts w:cs="Times New Roman"/>
          <w:noProof/>
          <w:lang w:val="fr-CA"/>
        </w:rPr>
        <w:t>85, le juge Murray).</w:t>
      </w:r>
    </w:p>
    <w:p w:rsidR="00142A2B" w:rsidRPr="00B37C27" w:rsidRDefault="000549F5" w:rsidP="00894691">
      <w:pPr>
        <w:pStyle w:val="ParaNoNdepar-AltN"/>
        <w:rPr>
          <w:rFonts w:cs="Times New Roman"/>
          <w:noProof/>
          <w:lang w:val="fr-CA"/>
        </w:rPr>
      </w:pPr>
      <w:r>
        <w:rPr>
          <w:rFonts w:cs="Times New Roman"/>
          <w:noProof/>
          <w:lang w:val="fr-CA"/>
        </w:rPr>
        <w:t>Notre</w:t>
      </w:r>
      <w:r w:rsidR="00142A2B" w:rsidRPr="00B37C27">
        <w:rPr>
          <w:rFonts w:cs="Times New Roman"/>
          <w:noProof/>
          <w:lang w:val="fr-CA"/>
        </w:rPr>
        <w:t xml:space="preserve"> Cour a également reconnu qu’en règle générale, une obligation d’agir de bonne foi, au sens d’un traitement équitable, sera en fait implicite dans le processus d’appel d’offres.  Lorsqu’elle lance un appel d’offres, une entreprise a l’obligation de traiter les soumissions équitablement, compte tenu des frais engagés par les parties qui présentent ces soumissions</w:t>
      </w:r>
      <w:r w:rsidR="00894691">
        <w:rPr>
          <w:rFonts w:cs="Times New Roman"/>
          <w:noProof/>
          <w:lang w:val="fr-CA"/>
        </w:rPr>
        <w:t> :</w:t>
      </w:r>
      <w:r w:rsidR="00142A2B" w:rsidRPr="00B37C27">
        <w:rPr>
          <w:rFonts w:cs="Times New Roman"/>
          <w:noProof/>
          <w:lang w:val="fr-CA"/>
        </w:rPr>
        <w:t xml:space="preserve"> </w:t>
      </w:r>
      <w:r w:rsidR="00142A2B" w:rsidRPr="00B37C27">
        <w:rPr>
          <w:rFonts w:cs="Times New Roman"/>
          <w:i/>
          <w:lang w:val="fr-CA"/>
        </w:rPr>
        <w:t>Martel Building Ltd. c. Canada</w:t>
      </w:r>
      <w:r w:rsidR="00142A2B" w:rsidRPr="00B37C27">
        <w:rPr>
          <w:rFonts w:cs="Times New Roman"/>
          <w:lang w:val="fr-CA"/>
        </w:rPr>
        <w:t>, 2000 CSC 60, [2000] 2 R.C.S. 860, par.</w:t>
      </w:r>
      <w:r w:rsidR="00894691">
        <w:rPr>
          <w:rFonts w:cs="Times New Roman"/>
          <w:lang w:val="fr-CA"/>
        </w:rPr>
        <w:t xml:space="preserve"> </w:t>
      </w:r>
      <w:r w:rsidR="00142A2B" w:rsidRPr="00B37C27">
        <w:rPr>
          <w:rFonts w:cs="Times New Roman"/>
          <w:lang w:val="fr-CA"/>
        </w:rPr>
        <w:t xml:space="preserve">88; voir aussi </w:t>
      </w:r>
      <w:r w:rsidR="00142A2B" w:rsidRPr="00B37C27">
        <w:rPr>
          <w:rFonts w:cs="Times New Roman"/>
          <w:i/>
          <w:lang w:val="fr-CA"/>
        </w:rPr>
        <w:t xml:space="preserve">M.J.B. </w:t>
      </w:r>
      <w:proofErr w:type="spellStart"/>
      <w:r w:rsidR="00142A2B" w:rsidRPr="00B37C27">
        <w:rPr>
          <w:rFonts w:cs="Times New Roman"/>
          <w:i/>
          <w:lang w:val="fr-CA"/>
        </w:rPr>
        <w:t>Enterprises</w:t>
      </w:r>
      <w:proofErr w:type="spellEnd"/>
      <w:r>
        <w:rPr>
          <w:rFonts w:cs="Times New Roman"/>
          <w:i/>
          <w:lang w:val="fr-CA"/>
        </w:rPr>
        <w:t xml:space="preserve"> Ltd. c. Construction de D</w:t>
      </w:r>
      <w:r w:rsidR="00142A2B" w:rsidRPr="00B37C27">
        <w:rPr>
          <w:rFonts w:cs="Times New Roman"/>
          <w:i/>
          <w:lang w:val="fr-CA"/>
        </w:rPr>
        <w:t xml:space="preserve">éfense (1951) </w:t>
      </w:r>
      <w:proofErr w:type="spellStart"/>
      <w:r w:rsidR="00142A2B" w:rsidRPr="00B37C27">
        <w:rPr>
          <w:rFonts w:cs="Times New Roman"/>
          <w:i/>
          <w:lang w:val="fr-CA"/>
        </w:rPr>
        <w:t>Ltée</w:t>
      </w:r>
      <w:proofErr w:type="spellEnd"/>
      <w:r w:rsidR="00142A2B" w:rsidRPr="00B37C27">
        <w:rPr>
          <w:rFonts w:cs="Times New Roman"/>
          <w:lang w:val="fr-CA"/>
        </w:rPr>
        <w:t>, [1999]</w:t>
      </w:r>
      <w:r w:rsidR="00894691">
        <w:rPr>
          <w:rFonts w:cs="Times New Roman"/>
          <w:lang w:val="fr-CA"/>
        </w:rPr>
        <w:t xml:space="preserve"> </w:t>
      </w:r>
      <w:r w:rsidR="00142A2B" w:rsidRPr="00B37C27">
        <w:rPr>
          <w:rFonts w:cs="Times New Roman"/>
          <w:lang w:val="fr-CA"/>
        </w:rPr>
        <w:t xml:space="preserve">1 R.C.S. 619; </w:t>
      </w:r>
      <w:proofErr w:type="spellStart"/>
      <w:r w:rsidR="00142A2B" w:rsidRPr="00B37C27">
        <w:rPr>
          <w:rFonts w:cs="Times New Roman"/>
          <w:i/>
          <w:lang w:val="fr-CA"/>
        </w:rPr>
        <w:t>Tercon</w:t>
      </w:r>
      <w:proofErr w:type="spellEnd"/>
      <w:r w:rsidR="00142A2B" w:rsidRPr="00B37C27">
        <w:rPr>
          <w:rFonts w:cs="Times New Roman"/>
          <w:i/>
          <w:lang w:val="fr-CA"/>
        </w:rPr>
        <w:t xml:space="preserve"> </w:t>
      </w:r>
      <w:proofErr w:type="spellStart"/>
      <w:r w:rsidR="00142A2B" w:rsidRPr="00B37C27">
        <w:rPr>
          <w:rFonts w:cs="Times New Roman"/>
          <w:i/>
          <w:lang w:val="fr-CA"/>
        </w:rPr>
        <w:t>Contractors</w:t>
      </w:r>
      <w:proofErr w:type="spellEnd"/>
      <w:r w:rsidR="00142A2B" w:rsidRPr="00B37C27">
        <w:rPr>
          <w:rFonts w:cs="Times New Roman"/>
          <w:i/>
          <w:lang w:val="fr-CA"/>
        </w:rPr>
        <w:t xml:space="preserve"> Ltd. c. Colombie</w:t>
      </w:r>
      <w:r w:rsidR="00894691">
        <w:rPr>
          <w:rFonts w:cs="Times New Roman"/>
          <w:i/>
          <w:lang w:val="fr-CA"/>
        </w:rPr>
        <w:t>-</w:t>
      </w:r>
      <w:r w:rsidR="00142A2B" w:rsidRPr="00B37C27">
        <w:rPr>
          <w:rFonts w:cs="Times New Roman"/>
          <w:i/>
          <w:lang w:val="fr-CA"/>
        </w:rPr>
        <w:t>Britannique (Transports et Voirie)</w:t>
      </w:r>
      <w:r w:rsidR="00142A2B" w:rsidRPr="00B37C27">
        <w:rPr>
          <w:rFonts w:cs="Times New Roman"/>
          <w:lang w:val="fr-CA"/>
        </w:rPr>
        <w:t>, 2010 CSC 4, [2010] 1 R.C.S. 69, par.</w:t>
      </w:r>
      <w:r w:rsidR="00894691">
        <w:rPr>
          <w:rFonts w:cs="Times New Roman"/>
          <w:lang w:val="fr-CA"/>
        </w:rPr>
        <w:t xml:space="preserve"> </w:t>
      </w:r>
      <w:r w:rsidR="00142A2B" w:rsidRPr="00B37C27">
        <w:rPr>
          <w:rFonts w:cs="Times New Roman"/>
          <w:noProof/>
          <w:lang w:val="fr-CA"/>
        </w:rPr>
        <w:t>58</w:t>
      </w:r>
      <w:r w:rsidR="00894691">
        <w:rPr>
          <w:rFonts w:cs="Times New Roman"/>
          <w:noProof/>
          <w:lang w:val="fr-CA"/>
        </w:rPr>
        <w:t>-</w:t>
      </w:r>
      <w:r w:rsidR="00142A2B" w:rsidRPr="00B37C27">
        <w:rPr>
          <w:rFonts w:cs="Times New Roman"/>
          <w:noProof/>
          <w:lang w:val="fr-CA"/>
        </w:rPr>
        <w:t>59; A.</w:t>
      </w:r>
      <w:r w:rsidR="00894691">
        <w:rPr>
          <w:rFonts w:cs="Times New Roman"/>
          <w:noProof/>
          <w:lang w:val="fr-CA"/>
        </w:rPr>
        <w:t xml:space="preserve"> </w:t>
      </w:r>
      <w:r w:rsidR="00142A2B" w:rsidRPr="00B37C27">
        <w:rPr>
          <w:rFonts w:cs="Times New Roman"/>
          <w:noProof/>
          <w:lang w:val="fr-CA"/>
        </w:rPr>
        <w:t>C.</w:t>
      </w:r>
      <w:r w:rsidR="00894691">
        <w:rPr>
          <w:rFonts w:cs="Times New Roman"/>
          <w:noProof/>
          <w:lang w:val="fr-CA"/>
        </w:rPr>
        <w:t xml:space="preserve"> </w:t>
      </w:r>
      <w:r w:rsidR="00142A2B" w:rsidRPr="00B37C27">
        <w:rPr>
          <w:rFonts w:cs="Times New Roman"/>
          <w:noProof/>
          <w:lang w:val="fr-CA"/>
        </w:rPr>
        <w:t xml:space="preserve">McNeely, </w:t>
      </w:r>
      <w:r w:rsidR="00142A2B" w:rsidRPr="00B37C27">
        <w:rPr>
          <w:rFonts w:cs="Times New Roman"/>
          <w:i/>
          <w:noProof/>
          <w:lang w:val="fr-CA"/>
        </w:rPr>
        <w:t>Canadian Law of Competitive Bidding and Procurement</w:t>
      </w:r>
      <w:r w:rsidR="00142A2B" w:rsidRPr="00B37C27">
        <w:rPr>
          <w:rFonts w:cs="Times New Roman"/>
          <w:noProof/>
          <w:lang w:val="fr-CA"/>
        </w:rPr>
        <w:t xml:space="preserve"> (2010), p.</w:t>
      </w:r>
      <w:r w:rsidR="00894691">
        <w:rPr>
          <w:rFonts w:cs="Times New Roman"/>
          <w:noProof/>
          <w:lang w:val="fr-CA"/>
        </w:rPr>
        <w:t xml:space="preserve"> </w:t>
      </w:r>
      <w:r w:rsidR="00142A2B" w:rsidRPr="00B37C27">
        <w:rPr>
          <w:rFonts w:cs="Times New Roman"/>
          <w:noProof/>
          <w:lang w:val="fr-CA"/>
        </w:rPr>
        <w:t>245</w:t>
      </w:r>
      <w:r w:rsidR="00894691">
        <w:rPr>
          <w:rFonts w:cs="Times New Roman"/>
          <w:noProof/>
          <w:lang w:val="fr-CA"/>
        </w:rPr>
        <w:t>-</w:t>
      </w:r>
      <w:r w:rsidR="00142A2B" w:rsidRPr="00B37C27">
        <w:rPr>
          <w:rFonts w:cs="Times New Roman"/>
          <w:noProof/>
          <w:lang w:val="fr-CA"/>
        </w:rPr>
        <w:t>254.</w:t>
      </w:r>
    </w:p>
    <w:p w:rsidR="00142A2B" w:rsidRPr="00B37C27" w:rsidRDefault="00142A2B" w:rsidP="00894691">
      <w:pPr>
        <w:pStyle w:val="ParaNoNdepar-AltN"/>
        <w:rPr>
          <w:rFonts w:cs="Times New Roman"/>
          <w:noProof/>
          <w:lang w:val="fr-CA"/>
        </w:rPr>
      </w:pPr>
      <w:r w:rsidRPr="00B37C27">
        <w:rPr>
          <w:rFonts w:cs="Times New Roman"/>
          <w:noProof/>
          <w:lang w:val="fr-CA"/>
        </w:rPr>
        <w:t>L’évolution du droit au Royaume</w:t>
      </w:r>
      <w:r w:rsidR="00894691">
        <w:rPr>
          <w:rFonts w:cs="Times New Roman"/>
          <w:noProof/>
          <w:lang w:val="fr-CA"/>
        </w:rPr>
        <w:t>-</w:t>
      </w:r>
      <w:r w:rsidRPr="00B37C27">
        <w:rPr>
          <w:rFonts w:cs="Times New Roman"/>
          <w:noProof/>
          <w:lang w:val="fr-CA"/>
        </w:rPr>
        <w:t xml:space="preserve">Uni et en Australie indique l’attention accrue que l’on accorde à la notion de bonne foi, atténuée par la réticence à en faire une doctrine autonome.  La bonne foi dans l’exécution des contrats se voit accorder </w:t>
      </w:r>
      <w:r w:rsidRPr="00B37C27">
        <w:rPr>
          <w:rFonts w:cs="Times New Roman"/>
          <w:noProof/>
          <w:lang w:val="fr-CA"/>
        </w:rPr>
        <w:lastRenderedPageBreak/>
        <w:t xml:space="preserve">une importance </w:t>
      </w:r>
      <w:r w:rsidR="003018D1">
        <w:rPr>
          <w:rFonts w:cs="Times New Roman"/>
          <w:noProof/>
          <w:lang w:val="fr-CA"/>
        </w:rPr>
        <w:t xml:space="preserve">croissante </w:t>
      </w:r>
      <w:r w:rsidRPr="00B37C27">
        <w:rPr>
          <w:rFonts w:cs="Times New Roman"/>
          <w:noProof/>
          <w:lang w:val="fr-CA"/>
        </w:rPr>
        <w:t xml:space="preserve">en droit anglais, malgré une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réticence [</w:t>
      </w:r>
      <w:r w:rsidR="00894691">
        <w:rPr>
          <w:rFonts w:cs="Times New Roman"/>
          <w:noProof/>
          <w:lang w:val="fr-CA"/>
        </w:rPr>
        <w:t>. . .</w:t>
      </w:r>
      <w:r w:rsidRPr="00B37C27">
        <w:rPr>
          <w:rFonts w:cs="Times New Roman"/>
          <w:noProof/>
          <w:lang w:val="fr-CA"/>
        </w:rPr>
        <w:t>] traditionnelle</w:t>
      </w:r>
      <w:r w:rsidR="00894691">
        <w:rPr>
          <w:rFonts w:cs="Times New Roman"/>
          <w:noProof/>
          <w:lang w:val="fr-CA"/>
        </w:rPr>
        <w:t> »</w:t>
      </w:r>
      <w:r w:rsidRPr="00B37C27">
        <w:rPr>
          <w:rFonts w:cs="Times New Roman"/>
          <w:noProof/>
          <w:lang w:val="fr-CA"/>
        </w:rPr>
        <w:t xml:space="preserve"> envers cette notion</w:t>
      </w:r>
      <w:r w:rsidR="00894691">
        <w:rPr>
          <w:rFonts w:cs="Times New Roman"/>
          <w:noProof/>
          <w:lang w:val="fr-CA"/>
        </w:rPr>
        <w:t> :</w:t>
      </w:r>
      <w:r w:rsidRPr="00B37C27">
        <w:rPr>
          <w:rFonts w:cs="Times New Roman"/>
          <w:i/>
          <w:noProof/>
          <w:lang w:val="fr-CA"/>
        </w:rPr>
        <w:t xml:space="preserve"> Yam Seng Pte Ltd. c. International Trade Corporation Ltd.</w:t>
      </w:r>
      <w:r w:rsidRPr="00B37C27">
        <w:rPr>
          <w:rFonts w:cs="Times New Roman"/>
          <w:noProof/>
          <w:lang w:val="fr-CA"/>
        </w:rPr>
        <w:t>, [2013] EWHC 111, [2013] 1 All E.R. (Comm.) 1321 (</w:t>
      </w:r>
      <w:r w:rsidR="000549F5">
        <w:rPr>
          <w:rFonts w:cs="Times New Roman"/>
          <w:noProof/>
          <w:lang w:val="fr-CA"/>
        </w:rPr>
        <w:t>Q.B.</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123, citant E.</w:t>
      </w:r>
      <w:r w:rsidR="00894691">
        <w:rPr>
          <w:rFonts w:cs="Times New Roman"/>
          <w:noProof/>
          <w:lang w:val="fr-CA"/>
        </w:rPr>
        <w:t xml:space="preserve"> </w:t>
      </w:r>
      <w:r w:rsidRPr="00B37C27">
        <w:rPr>
          <w:rFonts w:cs="Times New Roman"/>
          <w:noProof/>
          <w:lang w:val="fr-CA"/>
        </w:rPr>
        <w:t>McKendrick,</w:t>
      </w:r>
      <w:r w:rsidRPr="00B37C27">
        <w:rPr>
          <w:rFonts w:cs="Times New Roman"/>
          <w:i/>
          <w:noProof/>
          <w:lang w:val="fr-CA"/>
        </w:rPr>
        <w:t xml:space="preserve"> Contract Law </w:t>
      </w:r>
      <w:r w:rsidRPr="00B37C27">
        <w:rPr>
          <w:rFonts w:cs="Times New Roman"/>
          <w:noProof/>
          <w:lang w:val="fr-CA"/>
        </w:rPr>
        <w:t>(9</w:t>
      </w:r>
      <w:r w:rsidRPr="000549F5">
        <w:rPr>
          <w:rFonts w:cs="Times New Roman"/>
          <w:noProof/>
          <w:vertAlign w:val="superscript"/>
          <w:lang w:val="fr-CA"/>
        </w:rPr>
        <w:t>e</w:t>
      </w:r>
      <w:r w:rsidR="00894691">
        <w:rPr>
          <w:rFonts w:cs="Times New Roman"/>
          <w:noProof/>
          <w:lang w:val="fr-CA"/>
        </w:rPr>
        <w:t xml:space="preserve"> </w:t>
      </w:r>
      <w:r w:rsidRPr="00B37C27">
        <w:rPr>
          <w:rFonts w:cs="Times New Roman"/>
          <w:noProof/>
          <w:lang w:val="fr-CA"/>
        </w:rPr>
        <w:t>éd. 2011), p.</w:t>
      </w:r>
      <w:r w:rsidR="00894691">
        <w:rPr>
          <w:rFonts w:cs="Times New Roman"/>
          <w:noProof/>
          <w:lang w:val="fr-CA"/>
        </w:rPr>
        <w:t xml:space="preserve"> </w:t>
      </w:r>
      <w:r w:rsidRPr="00B37C27">
        <w:rPr>
          <w:rFonts w:cs="Times New Roman"/>
          <w:noProof/>
          <w:lang w:val="fr-CA"/>
        </w:rPr>
        <w:t>221</w:t>
      </w:r>
      <w:r w:rsidR="00894691">
        <w:rPr>
          <w:rFonts w:cs="Times New Roman"/>
          <w:noProof/>
          <w:lang w:val="fr-CA"/>
        </w:rPr>
        <w:t>-</w:t>
      </w:r>
      <w:r w:rsidRPr="00B37C27">
        <w:rPr>
          <w:rFonts w:cs="Times New Roman"/>
          <w:noProof/>
          <w:lang w:val="fr-CA"/>
        </w:rPr>
        <w:t>222; voir aussi</w:t>
      </w:r>
      <w:r w:rsidRPr="00B37C27">
        <w:rPr>
          <w:rFonts w:cs="Times New Roman"/>
          <w:i/>
          <w:noProof/>
          <w:lang w:val="fr-CA"/>
        </w:rPr>
        <w:t xml:space="preserve"> Chitty on Contracts</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1</w:t>
      </w:r>
      <w:r w:rsidR="00894691">
        <w:rPr>
          <w:rFonts w:cs="Times New Roman"/>
          <w:noProof/>
          <w:lang w:val="fr-CA"/>
        </w:rPr>
        <w:t>-</w:t>
      </w:r>
      <w:r w:rsidRPr="00B37C27">
        <w:rPr>
          <w:rFonts w:cs="Times New Roman"/>
          <w:noProof/>
          <w:lang w:val="fr-CA"/>
        </w:rPr>
        <w:t xml:space="preserve">039.  Dans la décision </w:t>
      </w:r>
      <w:r w:rsidRPr="00B37C27">
        <w:rPr>
          <w:rFonts w:cs="Times New Roman"/>
          <w:i/>
          <w:noProof/>
          <w:lang w:val="fr-CA"/>
        </w:rPr>
        <w:t>Yam Seng</w:t>
      </w:r>
      <w:r w:rsidRPr="00B37C27">
        <w:rPr>
          <w:rFonts w:cs="Times New Roman"/>
          <w:noProof/>
          <w:lang w:val="fr-CA"/>
        </w:rPr>
        <w:t>, le juge</w:t>
      </w:r>
      <w:r w:rsidR="00894691">
        <w:rPr>
          <w:rFonts w:cs="Times New Roman"/>
          <w:noProof/>
          <w:lang w:val="fr-CA"/>
        </w:rPr>
        <w:t xml:space="preserve"> </w:t>
      </w:r>
      <w:r w:rsidRPr="00B37C27">
        <w:rPr>
          <w:rFonts w:cs="Times New Roman"/>
          <w:noProof/>
          <w:lang w:val="fr-CA"/>
        </w:rPr>
        <w:t>Leggatt a conclu qu’un certain nombre d’obligations spécifiques liées à la bonne foi peuvent être implicites compte tenu des intentions présumées des parties, selon l’approche traditionnelle suivie relativement aux conditions implicites</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131.  Le juge Leggatt a relevé de nombreuses obligations implicites, notamment l’intégrité, le respect du marché conclu par les parties, la collaboration et le traitement équitable</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135</w:t>
      </w:r>
      <w:r w:rsidR="00894691">
        <w:rPr>
          <w:rFonts w:cs="Times New Roman"/>
          <w:noProof/>
          <w:lang w:val="fr-CA"/>
        </w:rPr>
        <w:t>-</w:t>
      </w:r>
      <w:r w:rsidRPr="00B37C27">
        <w:rPr>
          <w:rFonts w:cs="Times New Roman"/>
          <w:noProof/>
          <w:lang w:val="fr-CA"/>
        </w:rPr>
        <w:t xml:space="preserve">150.  Selon le juge Leggatt, </w:t>
      </w:r>
      <w:r w:rsidRPr="00B37C27">
        <w:rPr>
          <w:rFonts w:cs="Times New Roman"/>
          <w:smallCaps/>
          <w:noProof/>
          <w:lang w:val="fr-CA"/>
        </w:rPr>
        <w:t>[traduction]</w:t>
      </w:r>
      <w:r w:rsidRPr="00B37C27">
        <w:rPr>
          <w:rFonts w:cs="Times New Roman"/>
          <w:noProof/>
          <w:lang w:val="fr-CA"/>
        </w:rPr>
        <w:t xml:space="preserve"> </w:t>
      </w:r>
      <w:r w:rsidR="00894691">
        <w:rPr>
          <w:rFonts w:cs="Times New Roman"/>
          <w:noProof/>
          <w:lang w:val="fr-CA"/>
        </w:rPr>
        <w:t>« </w:t>
      </w:r>
      <w:r w:rsidRPr="00B37C27">
        <w:rPr>
          <w:rFonts w:cs="Times New Roman"/>
          <w:noProof/>
          <w:lang w:val="fr-CA"/>
        </w:rPr>
        <w:t>[l]’honnêteté attendue de la part des parties est un exemple type de la norme générale qui sous</w:t>
      </w:r>
      <w:r w:rsidR="00894691">
        <w:rPr>
          <w:rFonts w:cs="Times New Roman"/>
          <w:noProof/>
          <w:lang w:val="fr-CA"/>
        </w:rPr>
        <w:t>-</w:t>
      </w:r>
      <w:r w:rsidRPr="00B37C27">
        <w:rPr>
          <w:rFonts w:cs="Times New Roman"/>
          <w:noProof/>
          <w:lang w:val="fr-CA"/>
        </w:rPr>
        <w:t>tend la plupart des relations contractuelles.  Cette attente est primordiale pour le commerce, qui dépend fortement de la confiance</w:t>
      </w:r>
      <w:r w:rsidR="00894691">
        <w:rPr>
          <w:rFonts w:cs="Times New Roman"/>
          <w:noProof/>
          <w:lang w:val="fr-CA"/>
        </w:rPr>
        <w:t> »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135; voir D.</w:t>
      </w:r>
      <w:r w:rsidR="00894691">
        <w:rPr>
          <w:rFonts w:cs="Times New Roman"/>
          <w:noProof/>
          <w:lang w:val="fr-CA"/>
        </w:rPr>
        <w:t xml:space="preserve"> </w:t>
      </w:r>
      <w:r w:rsidRPr="00B37C27">
        <w:rPr>
          <w:rFonts w:cs="Times New Roman"/>
          <w:noProof/>
          <w:lang w:val="fr-CA"/>
        </w:rPr>
        <w:t xml:space="preserve">Campbell, </w:t>
      </w:r>
      <w:r w:rsidR="00894691">
        <w:rPr>
          <w:rFonts w:cs="Times New Roman"/>
          <w:noProof/>
          <w:lang w:val="fr-CA"/>
        </w:rPr>
        <w:t>« </w:t>
      </w:r>
      <w:r w:rsidRPr="00B37C27">
        <w:rPr>
          <w:rFonts w:cs="Times New Roman"/>
          <w:noProof/>
          <w:lang w:val="fr-CA"/>
        </w:rPr>
        <w:t>Good</w:t>
      </w:r>
      <w:r w:rsidR="000549F5">
        <w:rPr>
          <w:rFonts w:cs="Times New Roman"/>
          <w:noProof/>
          <w:lang w:val="fr-CA"/>
        </w:rPr>
        <w:t xml:space="preserve"> Faith and the Ubiquity of the “Relational” Contract</w:t>
      </w:r>
      <w:r w:rsidR="00894691">
        <w:rPr>
          <w:rFonts w:cs="Times New Roman"/>
          <w:noProof/>
          <w:lang w:val="fr-CA"/>
        </w:rPr>
        <w:t> »</w:t>
      </w:r>
      <w:r w:rsidRPr="00B37C27">
        <w:rPr>
          <w:rFonts w:cs="Times New Roman"/>
          <w:noProof/>
          <w:lang w:val="fr-CA"/>
        </w:rPr>
        <w:t xml:space="preserve"> (2014), 77 </w:t>
      </w:r>
      <w:r w:rsidRPr="00B37C27">
        <w:rPr>
          <w:rFonts w:cs="Times New Roman"/>
          <w:i/>
          <w:noProof/>
          <w:lang w:val="fr-CA"/>
        </w:rPr>
        <w:t>Mod. L. Rev.</w:t>
      </w:r>
      <w:r w:rsidR="00D66537">
        <w:rPr>
          <w:rFonts w:cs="Times New Roman"/>
          <w:noProof/>
          <w:lang w:val="fr-CA"/>
        </w:rPr>
        <w:t xml:space="preserve"> 475.  La C</w:t>
      </w:r>
      <w:r w:rsidRPr="00B37C27">
        <w:rPr>
          <w:rFonts w:cs="Times New Roman"/>
          <w:noProof/>
          <w:lang w:val="fr-CA"/>
        </w:rPr>
        <w:t xml:space="preserve">our d’appel a examiné la décision </w:t>
      </w:r>
      <w:r w:rsidRPr="00B37C27">
        <w:rPr>
          <w:rFonts w:cs="Times New Roman"/>
          <w:i/>
          <w:noProof/>
          <w:lang w:val="fr-CA"/>
        </w:rPr>
        <w:t>Yam Seng</w:t>
      </w:r>
      <w:r w:rsidRPr="00B37C27">
        <w:rPr>
          <w:rFonts w:cs="Times New Roman"/>
          <w:noProof/>
          <w:lang w:val="fr-CA"/>
        </w:rPr>
        <w:t xml:space="preserve"> dans l’arrêt </w:t>
      </w:r>
      <w:r w:rsidRPr="00B37C27">
        <w:rPr>
          <w:rFonts w:cs="Times New Roman"/>
          <w:i/>
          <w:noProof/>
          <w:lang w:val="fr-CA"/>
        </w:rPr>
        <w:t>Mid Essex Hospital Services NHS Trust c. Compass Group UK and Ireland Ltd.</w:t>
      </w:r>
      <w:r w:rsidRPr="00B37C27">
        <w:rPr>
          <w:rFonts w:cs="Times New Roman"/>
          <w:noProof/>
          <w:lang w:val="fr-CA"/>
        </w:rPr>
        <w:t>, [2013] EWCA Civ 200 (BAILII), et a confirmé que la bonne foi n’est pas un principe général en droit anglais, mais qu’elle pouvait constituer une condition implicite dans certaines catégories de cas</w:t>
      </w:r>
      <w:r w:rsidR="00894691">
        <w:rPr>
          <w:rFonts w:cs="Times New Roman"/>
          <w:noProof/>
          <w:lang w:val="fr-CA"/>
        </w:rPr>
        <w:t> :</w:t>
      </w:r>
      <w:r w:rsidRPr="00B37C27">
        <w:rPr>
          <w:rFonts w:cs="Times New Roman"/>
          <w:noProof/>
          <w:lang w:val="fr-CA"/>
        </w:rPr>
        <w:t xml:space="preserve"> par.</w:t>
      </w:r>
      <w:r w:rsidR="00894691">
        <w:rPr>
          <w:rFonts w:cs="Times New Roman"/>
          <w:noProof/>
          <w:lang w:val="fr-CA"/>
        </w:rPr>
        <w:t xml:space="preserve"> </w:t>
      </w:r>
      <w:r w:rsidRPr="00B37C27">
        <w:rPr>
          <w:rFonts w:cs="Times New Roman"/>
          <w:noProof/>
          <w:lang w:val="fr-CA"/>
        </w:rPr>
        <w:t>105 et</w:t>
      </w:r>
      <w:r w:rsidR="00894691">
        <w:rPr>
          <w:rFonts w:cs="Times New Roman"/>
          <w:noProof/>
          <w:lang w:val="fr-CA"/>
        </w:rPr>
        <w:t xml:space="preserve"> </w:t>
      </w:r>
      <w:r w:rsidRPr="00B37C27">
        <w:rPr>
          <w:rFonts w:cs="Times New Roman"/>
          <w:noProof/>
          <w:lang w:val="fr-CA"/>
        </w:rPr>
        <w:t>150.</w:t>
      </w:r>
    </w:p>
    <w:p w:rsidR="00142A2B" w:rsidRPr="00B37C27" w:rsidRDefault="00142A2B" w:rsidP="00894691">
      <w:pPr>
        <w:pStyle w:val="ParaNoNdepar-AltN"/>
        <w:rPr>
          <w:rFonts w:cs="Times New Roman"/>
          <w:noProof/>
          <w:lang w:val="fr-CA"/>
        </w:rPr>
      </w:pPr>
      <w:r w:rsidRPr="00B37C27">
        <w:rPr>
          <w:rFonts w:cs="Times New Roman"/>
          <w:noProof/>
          <w:lang w:val="fr-CA"/>
        </w:rPr>
        <w:t>Les tribunaux australiens ont également reconnu que la bonne foi tient un rôle accru dans l’exécution des contrats</w:t>
      </w:r>
      <w:r w:rsidR="00894691">
        <w:rPr>
          <w:rFonts w:cs="Times New Roman"/>
          <w:noProof/>
          <w:lang w:val="fr-CA"/>
        </w:rPr>
        <w:t> :</w:t>
      </w:r>
      <w:r w:rsidRPr="00B37C27">
        <w:rPr>
          <w:rFonts w:cs="Times New Roman"/>
          <w:noProof/>
          <w:lang w:val="fr-CA"/>
        </w:rPr>
        <w:t xml:space="preserve"> </w:t>
      </w:r>
      <w:r w:rsidRPr="00B37C27">
        <w:rPr>
          <w:rFonts w:cs="Times New Roman"/>
          <w:i/>
          <w:noProof/>
          <w:lang w:val="fr-CA"/>
        </w:rPr>
        <w:t>Cheshire and Fifoot’s</w:t>
      </w:r>
      <w:r w:rsidRPr="00B37C27">
        <w:rPr>
          <w:rFonts w:cs="Times New Roman"/>
          <w:noProof/>
          <w:lang w:val="fr-CA"/>
        </w:rPr>
        <w:t xml:space="preserve"> </w:t>
      </w:r>
      <w:r w:rsidRPr="00B37C27">
        <w:rPr>
          <w:rFonts w:cs="Times New Roman"/>
          <w:i/>
          <w:noProof/>
          <w:lang w:val="fr-CA"/>
        </w:rPr>
        <w:t>Law of Contract</w:t>
      </w:r>
      <w:r w:rsidRPr="00B37C27">
        <w:rPr>
          <w:rFonts w:cs="Times New Roman"/>
          <w:noProof/>
          <w:lang w:val="fr-CA"/>
        </w:rPr>
        <w:t xml:space="preserve"> (9</w:t>
      </w:r>
      <w:r w:rsidRPr="000549F5">
        <w:rPr>
          <w:rFonts w:cs="Times New Roman"/>
          <w:noProof/>
          <w:vertAlign w:val="superscript"/>
          <w:lang w:val="fr-CA"/>
        </w:rPr>
        <w:t>e</w:t>
      </w:r>
      <w:r w:rsidR="000549F5">
        <w:rPr>
          <w:rFonts w:cs="Times New Roman"/>
          <w:noProof/>
          <w:lang w:val="fr-CA"/>
        </w:rPr>
        <w:t xml:space="preserve"> éd. a</w:t>
      </w:r>
      <w:r w:rsidRPr="00B37C27">
        <w:rPr>
          <w:rFonts w:cs="Times New Roman"/>
          <w:noProof/>
          <w:lang w:val="fr-CA"/>
        </w:rPr>
        <w:t>ustralienne 2008), par.</w:t>
      </w:r>
      <w:r w:rsidR="00894691">
        <w:rPr>
          <w:rFonts w:cs="Times New Roman"/>
          <w:noProof/>
          <w:lang w:val="fr-CA"/>
        </w:rPr>
        <w:t xml:space="preserve"> </w:t>
      </w:r>
      <w:r w:rsidRPr="00B37C27">
        <w:rPr>
          <w:rFonts w:cs="Times New Roman"/>
          <w:noProof/>
          <w:lang w:val="fr-CA"/>
        </w:rPr>
        <w:t>10.43</w:t>
      </w:r>
      <w:r w:rsidR="00894691">
        <w:rPr>
          <w:rFonts w:cs="Times New Roman"/>
          <w:noProof/>
          <w:lang w:val="fr-CA"/>
        </w:rPr>
        <w:t>-</w:t>
      </w:r>
      <w:r w:rsidRPr="00B37C27">
        <w:rPr>
          <w:rFonts w:cs="Times New Roman"/>
          <w:noProof/>
          <w:lang w:val="fr-CA"/>
        </w:rPr>
        <w:t>10.47.  L’obligation d’agir de bonne foi, dans sa forme contemporaine, a été reconnue par le juge</w:t>
      </w:r>
      <w:r w:rsidR="00894691">
        <w:rPr>
          <w:rFonts w:cs="Times New Roman"/>
          <w:noProof/>
          <w:lang w:val="fr-CA"/>
        </w:rPr>
        <w:t xml:space="preserve"> </w:t>
      </w:r>
      <w:r w:rsidRPr="00B37C27">
        <w:rPr>
          <w:rFonts w:cs="Times New Roman"/>
          <w:noProof/>
          <w:lang w:val="fr-CA"/>
        </w:rPr>
        <w:t xml:space="preserve">Priestley dans l’arrêt </w:t>
      </w:r>
      <w:r w:rsidRPr="00B37C27">
        <w:rPr>
          <w:rFonts w:cs="Times New Roman"/>
          <w:i/>
          <w:noProof/>
          <w:lang w:val="fr-CA"/>
        </w:rPr>
        <w:t xml:space="preserve">Renard </w:t>
      </w:r>
      <w:r w:rsidRPr="00B37C27">
        <w:rPr>
          <w:rFonts w:cs="Times New Roman"/>
          <w:i/>
          <w:noProof/>
          <w:lang w:val="fr-CA"/>
        </w:rPr>
        <w:lastRenderedPageBreak/>
        <w:t>Constructions (ME) Pty Ltd. c. Minister for Public Works</w:t>
      </w:r>
      <w:r w:rsidRPr="00B37C27">
        <w:rPr>
          <w:rFonts w:cs="Times New Roman"/>
          <w:noProof/>
          <w:lang w:val="fr-CA"/>
        </w:rPr>
        <w:t xml:space="preserve"> (1992), </w:t>
      </w:r>
      <w:r w:rsidR="000549F5">
        <w:rPr>
          <w:rFonts w:cs="Times New Roman"/>
          <w:noProof/>
          <w:lang w:val="fr-CA"/>
        </w:rPr>
        <w:t>26</w:t>
      </w:r>
      <w:r w:rsidRPr="00B37C27">
        <w:rPr>
          <w:rFonts w:cs="Times New Roman"/>
          <w:noProof/>
          <w:lang w:val="fr-CA"/>
        </w:rPr>
        <w:t xml:space="preserve"> N.S.W.L.R. 234 (C.A.).  Il n’existe pas d’obligation d’agir de bonne foi qui s’applique d’une façon générale aux contrats, mais une obligation s’appliquera de façon implicite dans certaines circonstances.  L’obligation d’agir de bonne foi peut être implicite sur le plan du droit ou sur le plan des faits, malgré l’incertitude de la jurisprudence quant au fondement de cette condition implicite.  Les tribunaux australiens ont adopté une interprétation large de la notion de bonne foi</w:t>
      </w:r>
      <w:r w:rsidR="00894691">
        <w:rPr>
          <w:rFonts w:cs="Times New Roman"/>
          <w:noProof/>
          <w:lang w:val="fr-CA"/>
        </w:rPr>
        <w:t> :</w:t>
      </w:r>
      <w:r w:rsidRPr="00B37C27">
        <w:rPr>
          <w:rFonts w:cs="Times New Roman"/>
          <w:noProof/>
          <w:lang w:val="fr-CA"/>
        </w:rPr>
        <w:t xml:space="preserve"> voir, p.</w:t>
      </w:r>
      <w:r w:rsidR="00894691">
        <w:rPr>
          <w:rFonts w:cs="Times New Roman"/>
          <w:noProof/>
          <w:lang w:val="fr-CA"/>
        </w:rPr>
        <w:t xml:space="preserve"> </w:t>
      </w:r>
      <w:r w:rsidRPr="00B37C27">
        <w:rPr>
          <w:rFonts w:cs="Times New Roman"/>
          <w:noProof/>
          <w:lang w:val="fr-CA"/>
        </w:rPr>
        <w:t xml:space="preserve">ex., </w:t>
      </w:r>
      <w:r w:rsidR="00D66537">
        <w:rPr>
          <w:rFonts w:cs="Times New Roman"/>
          <w:i/>
          <w:noProof/>
          <w:lang w:val="fr-CA"/>
        </w:rPr>
        <w:t>Burger King Corporation</w:t>
      </w:r>
      <w:r w:rsidR="00894691">
        <w:rPr>
          <w:rFonts w:cs="Times New Roman"/>
          <w:i/>
          <w:noProof/>
          <w:lang w:val="fr-CA"/>
        </w:rPr>
        <w:t xml:space="preserve"> </w:t>
      </w:r>
      <w:r w:rsidRPr="00B37C27">
        <w:rPr>
          <w:rFonts w:cs="Times New Roman"/>
          <w:i/>
          <w:noProof/>
          <w:lang w:val="fr-CA"/>
        </w:rPr>
        <w:t>c. Hungry Jack’s Pty Ltd.</w:t>
      </w:r>
      <w:r w:rsidRPr="000549F5">
        <w:rPr>
          <w:rFonts w:cs="Times New Roman"/>
          <w:noProof/>
          <w:lang w:val="fr-CA"/>
        </w:rPr>
        <w:t>,</w:t>
      </w:r>
      <w:r w:rsidRPr="00B37C27">
        <w:rPr>
          <w:rFonts w:cs="Times New Roman"/>
          <w:i/>
          <w:noProof/>
          <w:lang w:val="fr-CA"/>
        </w:rPr>
        <w:t xml:space="preserve"> </w:t>
      </w:r>
      <w:r w:rsidRPr="00B37C27">
        <w:rPr>
          <w:rFonts w:cs="Times New Roman"/>
          <w:noProof/>
          <w:lang w:val="fr-CA"/>
        </w:rPr>
        <w:t>[2001]</w:t>
      </w:r>
      <w:r w:rsidR="00894691">
        <w:rPr>
          <w:rFonts w:cs="Times New Roman"/>
          <w:noProof/>
          <w:lang w:val="fr-CA"/>
        </w:rPr>
        <w:t xml:space="preserve"> </w:t>
      </w:r>
      <w:r w:rsidRPr="00B37C27">
        <w:rPr>
          <w:rFonts w:cs="Times New Roman"/>
          <w:noProof/>
          <w:lang w:val="fr-CA"/>
        </w:rPr>
        <w:t>NSWCA</w:t>
      </w:r>
      <w:r w:rsidR="00894691">
        <w:rPr>
          <w:rFonts w:cs="Times New Roman"/>
          <w:noProof/>
          <w:lang w:val="fr-CA"/>
        </w:rPr>
        <w:t xml:space="preserve"> </w:t>
      </w:r>
      <w:r w:rsidRPr="00B37C27">
        <w:rPr>
          <w:rFonts w:cs="Times New Roman"/>
          <w:noProof/>
          <w:lang w:val="fr-CA"/>
        </w:rPr>
        <w:t>187</w:t>
      </w:r>
      <w:r w:rsidR="000549F5">
        <w:rPr>
          <w:rFonts w:cs="Times New Roman"/>
          <w:noProof/>
          <w:lang w:val="fr-CA"/>
        </w:rPr>
        <w:t>, 69 N.S.W.L.R. 558</w:t>
      </w:r>
      <w:r w:rsidRPr="00B37C27">
        <w:rPr>
          <w:rFonts w:cs="Times New Roman"/>
          <w:noProof/>
          <w:lang w:val="fr-CA"/>
        </w:rPr>
        <w:t>.  Le droit australien relatif à l’exécution de bonne foi des contrats évolue toujours et demeure incertain</w:t>
      </w:r>
      <w:r w:rsidR="00894691">
        <w:rPr>
          <w:rFonts w:cs="Times New Roman"/>
          <w:noProof/>
          <w:lang w:val="fr-CA"/>
        </w:rPr>
        <w:t> :</w:t>
      </w:r>
      <w:r w:rsidRPr="00B37C27">
        <w:rPr>
          <w:rFonts w:cs="Times New Roman"/>
          <w:noProof/>
          <w:lang w:val="fr-CA"/>
        </w:rPr>
        <w:t xml:space="preserve"> E.</w:t>
      </w:r>
      <w:r w:rsidR="00894691">
        <w:rPr>
          <w:rFonts w:cs="Times New Roman"/>
          <w:noProof/>
          <w:lang w:val="fr-CA"/>
        </w:rPr>
        <w:t xml:space="preserve"> </w:t>
      </w:r>
      <w:r w:rsidRPr="00B37C27">
        <w:rPr>
          <w:rFonts w:cs="Times New Roman"/>
          <w:noProof/>
          <w:lang w:val="fr-CA"/>
        </w:rPr>
        <w:t xml:space="preserve">Peden, </w:t>
      </w:r>
      <w:r w:rsidR="00894691">
        <w:rPr>
          <w:rFonts w:cs="Times New Roman"/>
          <w:noProof/>
          <w:lang w:val="fr-CA"/>
        </w:rPr>
        <w:t>« </w:t>
      </w:r>
      <w:r w:rsidRPr="00B37C27">
        <w:rPr>
          <w:rFonts w:cs="Times New Roman"/>
          <w:noProof/>
          <w:lang w:val="fr-CA"/>
        </w:rPr>
        <w:t>Good faith in the performance of contract law</w:t>
      </w:r>
      <w:r w:rsidR="00894691">
        <w:rPr>
          <w:rFonts w:cs="Times New Roman"/>
          <w:noProof/>
          <w:lang w:val="fr-CA"/>
        </w:rPr>
        <w:t> »</w:t>
      </w:r>
      <w:r w:rsidRPr="00B37C27">
        <w:rPr>
          <w:rFonts w:cs="Times New Roman"/>
          <w:noProof/>
          <w:lang w:val="fr-CA"/>
        </w:rPr>
        <w:t xml:space="preserve"> (2004), 42</w:t>
      </w:r>
      <w:r w:rsidR="000549F5">
        <w:rPr>
          <w:rFonts w:cs="Times New Roman"/>
          <w:noProof/>
          <w:lang w:val="fr-CA"/>
        </w:rPr>
        <w:t xml:space="preserve"> </w:t>
      </w:r>
      <w:r w:rsidRPr="00B37C27">
        <w:rPr>
          <w:rFonts w:cs="Times New Roman"/>
          <w:i/>
          <w:noProof/>
          <w:lang w:val="fr-CA"/>
        </w:rPr>
        <w:t>L.S.J.</w:t>
      </w:r>
      <w:r w:rsidRPr="00B37C27">
        <w:rPr>
          <w:rFonts w:cs="Times New Roman"/>
          <w:noProof/>
          <w:lang w:val="fr-CA"/>
        </w:rPr>
        <w:t xml:space="preserve"> 64, p.</w:t>
      </w:r>
      <w:r w:rsidR="00894691">
        <w:rPr>
          <w:rFonts w:cs="Times New Roman"/>
          <w:noProof/>
          <w:lang w:val="fr-CA"/>
        </w:rPr>
        <w:t xml:space="preserve"> </w:t>
      </w:r>
      <w:r w:rsidRPr="00B37C27">
        <w:rPr>
          <w:rFonts w:cs="Times New Roman"/>
          <w:noProof/>
          <w:lang w:val="fr-CA"/>
        </w:rPr>
        <w:t>64.  Toutefois, il est clair que l’obligation d’agir de bonne foi exige le respect des normes de comportement honnête</w:t>
      </w:r>
      <w:r w:rsidR="00894691">
        <w:rPr>
          <w:rFonts w:cs="Times New Roman"/>
          <w:noProof/>
          <w:lang w:val="fr-CA"/>
        </w:rPr>
        <w:t> :</w:t>
      </w:r>
      <w:r w:rsidRPr="00B37C27">
        <w:rPr>
          <w:rFonts w:cs="Times New Roman"/>
          <w:noProof/>
          <w:lang w:val="fr-CA"/>
        </w:rPr>
        <w:t xml:space="preserve"> A.</w:t>
      </w:r>
      <w:r w:rsidR="00894691">
        <w:rPr>
          <w:rFonts w:cs="Times New Roman"/>
          <w:noProof/>
          <w:lang w:val="fr-CA"/>
        </w:rPr>
        <w:t xml:space="preserve"> </w:t>
      </w:r>
      <w:r w:rsidRPr="00B37C27">
        <w:rPr>
          <w:rFonts w:cs="Times New Roman"/>
          <w:noProof/>
          <w:lang w:val="fr-CA"/>
        </w:rPr>
        <w:t xml:space="preserve">Mason, </w:t>
      </w:r>
      <w:r w:rsidR="00894691">
        <w:rPr>
          <w:rFonts w:cs="Times New Roman"/>
          <w:noProof/>
          <w:lang w:val="fr-CA"/>
        </w:rPr>
        <w:t>« </w:t>
      </w:r>
      <w:r w:rsidRPr="00B37C27">
        <w:rPr>
          <w:rFonts w:cs="Times New Roman"/>
          <w:noProof/>
          <w:lang w:val="fr-CA"/>
        </w:rPr>
        <w:t>Contract, Good Faith and Equitable Standards in Fair Dealing</w:t>
      </w:r>
      <w:r w:rsidR="00894691">
        <w:rPr>
          <w:rFonts w:cs="Times New Roman"/>
          <w:noProof/>
          <w:lang w:val="fr-CA"/>
        </w:rPr>
        <w:t> »</w:t>
      </w:r>
      <w:r w:rsidRPr="00B37C27">
        <w:rPr>
          <w:rFonts w:cs="Times New Roman"/>
          <w:noProof/>
          <w:lang w:val="fr-CA"/>
        </w:rPr>
        <w:t xml:space="preserve"> (2000), 116 </w:t>
      </w:r>
      <w:r w:rsidRPr="00B37C27">
        <w:rPr>
          <w:rFonts w:cs="Times New Roman"/>
          <w:i/>
          <w:noProof/>
          <w:lang w:val="fr-CA"/>
        </w:rPr>
        <w:t>Law Q. Rev.</w:t>
      </w:r>
      <w:r w:rsidRPr="00B37C27">
        <w:rPr>
          <w:rFonts w:cs="Times New Roman"/>
          <w:noProof/>
          <w:lang w:val="fr-CA"/>
        </w:rPr>
        <w:t xml:space="preserve"> 66, p.</w:t>
      </w:r>
      <w:r w:rsidR="00894691">
        <w:rPr>
          <w:rFonts w:cs="Times New Roman"/>
          <w:noProof/>
          <w:lang w:val="fr-CA"/>
        </w:rPr>
        <w:t xml:space="preserve"> </w:t>
      </w:r>
      <w:r w:rsidRPr="00B37C27">
        <w:rPr>
          <w:rFonts w:cs="Times New Roman"/>
          <w:noProof/>
          <w:lang w:val="fr-CA"/>
        </w:rPr>
        <w:t xml:space="preserve">76; </w:t>
      </w:r>
      <w:r w:rsidRPr="00B37C27">
        <w:rPr>
          <w:rFonts w:cs="Times New Roman"/>
          <w:i/>
          <w:noProof/>
          <w:lang w:val="fr-CA"/>
        </w:rPr>
        <w:t>Burger King</w:t>
      </w:r>
      <w:r w:rsidRPr="00B37C27">
        <w:rPr>
          <w:rFonts w:cs="Times New Roman"/>
          <w:noProof/>
          <w:lang w:val="fr-CA"/>
        </w:rPr>
        <w:t>, par.</w:t>
      </w:r>
      <w:r w:rsidR="00894691">
        <w:rPr>
          <w:rFonts w:cs="Times New Roman"/>
          <w:noProof/>
          <w:lang w:val="fr-CA"/>
        </w:rPr>
        <w:t xml:space="preserve"> </w:t>
      </w:r>
      <w:r w:rsidRPr="00B37C27">
        <w:rPr>
          <w:rFonts w:cs="Times New Roman"/>
          <w:noProof/>
          <w:lang w:val="fr-CA"/>
        </w:rPr>
        <w:t>171 et 189.</w:t>
      </w:r>
    </w:p>
    <w:p w:rsidR="00142A2B" w:rsidRPr="00B37C27" w:rsidRDefault="00142A2B" w:rsidP="000549F5">
      <w:pPr>
        <w:pStyle w:val="Title5LevelTitre5Niveau"/>
        <w:tabs>
          <w:tab w:val="clear" w:pos="1728"/>
          <w:tab w:val="num" w:pos="900"/>
        </w:tabs>
        <w:ind w:left="900" w:hanging="450"/>
        <w:rPr>
          <w:rFonts w:cs="Times New Roman"/>
          <w:lang w:val="fr-CA"/>
        </w:rPr>
      </w:pPr>
      <w:r w:rsidRPr="00B37C27">
        <w:rPr>
          <w:rFonts w:cs="Times New Roman"/>
          <w:lang w:val="fr-CA"/>
        </w:rPr>
        <w:t>La voie à suivre</w:t>
      </w:r>
    </w:p>
    <w:p w:rsidR="00142A2B" w:rsidRPr="00B37C27" w:rsidRDefault="00142A2B" w:rsidP="00894691">
      <w:pPr>
        <w:pStyle w:val="ParaNoNdepar-AltN"/>
        <w:rPr>
          <w:rFonts w:cs="Times New Roman"/>
          <w:lang w:val="fr-CA"/>
        </w:rPr>
      </w:pPr>
      <w:r w:rsidRPr="00B37C27">
        <w:rPr>
          <w:rFonts w:cs="Times New Roman"/>
          <w:lang w:val="fr-CA"/>
        </w:rPr>
        <w:t xml:space="preserve">L’examen sélectif qui précède étaye le point de vue selon lequel la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au Canada en matière d’exécution de bonne foi des contrats est fragmentaire, incertaine et imprécise</w:t>
      </w:r>
      <w:r w:rsidR="00894691">
        <w:rPr>
          <w:rFonts w:cs="Times New Roman"/>
          <w:lang w:val="fr-CA"/>
        </w:rPr>
        <w:t> :</w:t>
      </w:r>
      <w:r w:rsidRPr="00B37C27">
        <w:rPr>
          <w:rFonts w:cs="Times New Roman"/>
          <w:lang w:val="fr-CA"/>
        </w:rPr>
        <w:t xml:space="preserve"> </w:t>
      </w:r>
      <w:proofErr w:type="spellStart"/>
      <w:r w:rsidRPr="00B37C27">
        <w:rPr>
          <w:rFonts w:cs="Times New Roman"/>
          <w:lang w:val="fr-CA"/>
        </w:rPr>
        <w:t>Belobaba</w:t>
      </w:r>
      <w:proofErr w:type="spellEnd"/>
      <w:r w:rsidRPr="00B37C27">
        <w:rPr>
          <w:rFonts w:cs="Times New Roman"/>
          <w:lang w:val="fr-CA"/>
        </w:rPr>
        <w:t xml:space="preserve">; </w:t>
      </w:r>
      <w:proofErr w:type="spellStart"/>
      <w:r w:rsidRPr="00B37C27">
        <w:rPr>
          <w:rFonts w:cs="Times New Roman"/>
          <w:lang w:val="fr-CA"/>
        </w:rPr>
        <w:t>O’Byrne</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in </w:t>
      </w:r>
      <w:proofErr w:type="spellStart"/>
      <w:r w:rsidRPr="00B37C27">
        <w:rPr>
          <w:rFonts w:cs="Times New Roman"/>
          <w:lang w:val="fr-CA"/>
        </w:rPr>
        <w:t>Contractual</w:t>
      </w:r>
      <w:proofErr w:type="spellEnd"/>
      <w:r w:rsidRPr="00B37C27">
        <w:rPr>
          <w:rFonts w:cs="Times New Roman"/>
          <w:lang w:val="fr-CA"/>
        </w:rPr>
        <w:t xml:space="preserve"> Performance</w:t>
      </w:r>
      <w:r w:rsidR="00D66537">
        <w:rPr>
          <w:rFonts w:cs="Times New Roman"/>
          <w:lang w:val="fr-CA"/>
        </w:rPr>
        <w:t xml:space="preserve"> : </w:t>
      </w:r>
      <w:proofErr w:type="spellStart"/>
      <w:r w:rsidR="00D66537">
        <w:rPr>
          <w:rFonts w:cs="Times New Roman"/>
          <w:lang w:val="fr-CA"/>
        </w:rPr>
        <w:t>Recent</w:t>
      </w:r>
      <w:proofErr w:type="spellEnd"/>
      <w:r w:rsidR="000549F5">
        <w:rPr>
          <w:rFonts w:cs="Times New Roman"/>
          <w:lang w:val="fr-CA"/>
        </w:rPr>
        <w:t xml:space="preserve"> </w:t>
      </w:r>
      <w:proofErr w:type="spellStart"/>
      <w:r w:rsidR="000549F5">
        <w:rPr>
          <w:rFonts w:cs="Times New Roman"/>
          <w:lang w:val="fr-CA"/>
        </w:rPr>
        <w:t>Developments</w:t>
      </w:r>
      <w:proofErr w:type="spellEnd"/>
      <w:r w:rsidR="00894691">
        <w:rPr>
          <w:rFonts w:cs="Times New Roman"/>
          <w:lang w:val="fr-CA"/>
        </w:rPr>
        <w:t> »</w:t>
      </w:r>
      <w:r w:rsidR="000549F5">
        <w:rPr>
          <w:rFonts w:cs="Times New Roman"/>
          <w:lang w:val="fr-CA"/>
        </w:rPr>
        <w:t>,</w:t>
      </w:r>
      <w:r w:rsidRPr="00B37C27">
        <w:rPr>
          <w:rFonts w:cs="Times New Roman"/>
          <w:lang w:val="fr-CA"/>
        </w:rPr>
        <w:t xml:space="preserve"> p.</w:t>
      </w:r>
      <w:r w:rsidR="00894691">
        <w:rPr>
          <w:rFonts w:cs="Times New Roman"/>
          <w:lang w:val="fr-CA"/>
        </w:rPr>
        <w:t xml:space="preserve"> </w:t>
      </w:r>
      <w:r w:rsidRPr="00B37C27">
        <w:rPr>
          <w:rFonts w:cs="Times New Roman"/>
          <w:lang w:val="fr-CA"/>
        </w:rPr>
        <w:t>95; B.</w:t>
      </w:r>
      <w:r w:rsidR="00894691">
        <w:rPr>
          <w:rFonts w:cs="Times New Roman"/>
          <w:lang w:val="fr-CA"/>
        </w:rPr>
        <w:t xml:space="preserve"> </w:t>
      </w:r>
      <w:r w:rsidRPr="00B37C27">
        <w:rPr>
          <w:rFonts w:cs="Times New Roman"/>
          <w:lang w:val="fr-CA"/>
        </w:rPr>
        <w:t>J.</w:t>
      </w:r>
      <w:r w:rsidR="00894691">
        <w:rPr>
          <w:rFonts w:cs="Times New Roman"/>
          <w:lang w:val="fr-CA"/>
        </w:rPr>
        <w:t xml:space="preserve"> </w:t>
      </w:r>
      <w:proofErr w:type="spellStart"/>
      <w:r w:rsidRPr="00B37C27">
        <w:rPr>
          <w:rFonts w:cs="Times New Roman"/>
          <w:lang w:val="fr-CA"/>
        </w:rPr>
        <w:t>Reiter</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in </w:t>
      </w:r>
      <w:proofErr w:type="spellStart"/>
      <w:r w:rsidRPr="00B37C27">
        <w:rPr>
          <w:rFonts w:cs="Times New Roman"/>
          <w:lang w:val="fr-CA"/>
        </w:rPr>
        <w:t>Contracts</w:t>
      </w:r>
      <w:proofErr w:type="spellEnd"/>
      <w:r w:rsidR="00894691">
        <w:rPr>
          <w:rFonts w:cs="Times New Roman"/>
          <w:lang w:val="fr-CA"/>
        </w:rPr>
        <w:t> »</w:t>
      </w:r>
      <w:r w:rsidRPr="00B37C27">
        <w:rPr>
          <w:rFonts w:cs="Times New Roman"/>
          <w:lang w:val="fr-CA"/>
        </w:rPr>
        <w:t xml:space="preserve"> (1983), 17 </w:t>
      </w:r>
      <w:r w:rsidRPr="00B37C27">
        <w:rPr>
          <w:rFonts w:cs="Times New Roman"/>
          <w:i/>
          <w:lang w:val="fr-CA"/>
        </w:rPr>
        <w:t>Val.</w:t>
      </w:r>
      <w:r w:rsidR="00894691">
        <w:rPr>
          <w:rFonts w:cs="Times New Roman"/>
          <w:i/>
          <w:lang w:val="fr-CA"/>
        </w:rPr>
        <w:t xml:space="preserve"> </w:t>
      </w:r>
      <w:r w:rsidRPr="00B37C27">
        <w:rPr>
          <w:rFonts w:cs="Times New Roman"/>
          <w:i/>
          <w:lang w:val="fr-CA"/>
        </w:rPr>
        <w:t xml:space="preserve">U.L. </w:t>
      </w:r>
      <w:proofErr w:type="spellStart"/>
      <w:r w:rsidRPr="00B37C27">
        <w:rPr>
          <w:rFonts w:cs="Times New Roman"/>
          <w:i/>
          <w:lang w:val="fr-CA"/>
        </w:rPr>
        <w:t>Rev</w:t>
      </w:r>
      <w:proofErr w:type="spellEnd"/>
      <w:r w:rsidRPr="00B37C27">
        <w:rPr>
          <w:rFonts w:cs="Times New Roman"/>
          <w:i/>
          <w:lang w:val="fr-CA"/>
        </w:rPr>
        <w:t>.</w:t>
      </w:r>
      <w:r w:rsidRPr="00B37C27">
        <w:rPr>
          <w:rFonts w:cs="Times New Roman"/>
          <w:lang w:val="fr-CA"/>
        </w:rPr>
        <w:t xml:space="preserve"> 705, p.</w:t>
      </w:r>
      <w:r w:rsidR="00894691">
        <w:rPr>
          <w:rFonts w:cs="Times New Roman"/>
          <w:lang w:val="fr-CA"/>
        </w:rPr>
        <w:t xml:space="preserve"> </w:t>
      </w:r>
      <w:r w:rsidRPr="00B37C27">
        <w:rPr>
          <w:rFonts w:cs="Times New Roman"/>
          <w:lang w:val="fr-CA"/>
        </w:rPr>
        <w:t>711</w:t>
      </w:r>
      <w:r w:rsidR="00894691">
        <w:rPr>
          <w:rFonts w:cs="Times New Roman"/>
          <w:lang w:val="fr-CA"/>
        </w:rPr>
        <w:t>-</w:t>
      </w:r>
      <w:r w:rsidRPr="00B37C27">
        <w:rPr>
          <w:rFonts w:cs="Times New Roman"/>
          <w:lang w:val="fr-CA"/>
        </w:rPr>
        <w:t>712.  Cet examen illustre également qu’au Canada, comme au Royaume</w:t>
      </w:r>
      <w:r w:rsidR="00894691">
        <w:rPr>
          <w:rFonts w:cs="Times New Roman"/>
          <w:lang w:val="fr-CA"/>
        </w:rPr>
        <w:t>-</w:t>
      </w:r>
      <w:r w:rsidRPr="00B37C27">
        <w:rPr>
          <w:rFonts w:cs="Times New Roman"/>
          <w:lang w:val="fr-CA"/>
        </w:rPr>
        <w:t xml:space="preserve">Uni et en Australie, on porte une attention croissante à la notion de bonne foi, plus particulièrement dans le domaine de </w:t>
      </w:r>
      <w:r w:rsidRPr="00B37C27">
        <w:rPr>
          <w:rFonts w:cs="Times New Roman"/>
          <w:lang w:val="fr-CA"/>
        </w:rPr>
        <w:lastRenderedPageBreak/>
        <w:t>l’exécution des contrats.  Les opposants à toute obligation générale de bonne foi préfèrent élaborer de façon traditionnelle et organique des solutions pour régler des problèmes particuliers au moment où ils se présentent</w:t>
      </w:r>
      <w:r w:rsidR="00894691">
        <w:rPr>
          <w:rFonts w:cs="Times New Roman"/>
          <w:lang w:val="fr-CA"/>
        </w:rPr>
        <w:t> :</w:t>
      </w:r>
      <w:r w:rsidRPr="00B37C27">
        <w:rPr>
          <w:rFonts w:cs="Times New Roman"/>
          <w:lang w:val="fr-CA"/>
        </w:rPr>
        <w:t xml:space="preserve"> voir</w:t>
      </w:r>
      <w:r w:rsidR="000549F5">
        <w:rPr>
          <w:rFonts w:cs="Times New Roman"/>
          <w:lang w:val="fr-CA"/>
        </w:rPr>
        <w:t>,</w:t>
      </w:r>
      <w:r w:rsidRPr="00B37C27">
        <w:rPr>
          <w:rFonts w:cs="Times New Roman"/>
          <w:lang w:val="fr-CA"/>
        </w:rPr>
        <w:t xml:space="preserve"> p.</w:t>
      </w:r>
      <w:r w:rsidR="00894691">
        <w:rPr>
          <w:rFonts w:cs="Times New Roman"/>
          <w:lang w:val="fr-CA"/>
        </w:rPr>
        <w:t xml:space="preserve"> </w:t>
      </w:r>
      <w:r w:rsidRPr="00B37C27">
        <w:rPr>
          <w:rFonts w:cs="Times New Roman"/>
          <w:lang w:val="fr-CA"/>
        </w:rPr>
        <w:t>ex., M.</w:t>
      </w:r>
      <w:r w:rsidR="00894691">
        <w:rPr>
          <w:rFonts w:cs="Times New Roman"/>
          <w:lang w:val="fr-CA"/>
        </w:rPr>
        <w:t xml:space="preserve"> </w:t>
      </w:r>
      <w:r w:rsidRPr="00B37C27">
        <w:rPr>
          <w:rFonts w:cs="Times New Roman"/>
          <w:lang w:val="fr-CA"/>
        </w:rPr>
        <w:t>G.</w:t>
      </w:r>
      <w:r w:rsidR="00894691">
        <w:rPr>
          <w:rFonts w:cs="Times New Roman"/>
          <w:lang w:val="fr-CA"/>
        </w:rPr>
        <w:t xml:space="preserve"> </w:t>
      </w:r>
      <w:r w:rsidRPr="00B37C27">
        <w:rPr>
          <w:rFonts w:cs="Times New Roman"/>
          <w:lang w:val="fr-CA"/>
        </w:rPr>
        <w:t xml:space="preserve">Bridge, </w:t>
      </w:r>
      <w:r w:rsidR="00894691">
        <w:rPr>
          <w:rFonts w:cs="Times New Roman"/>
          <w:lang w:val="fr-CA"/>
        </w:rPr>
        <w:t>« </w:t>
      </w:r>
      <w:proofErr w:type="spellStart"/>
      <w:r w:rsidRPr="00B37C27">
        <w:rPr>
          <w:rFonts w:cs="Times New Roman"/>
          <w:lang w:val="fr-CA"/>
        </w:rPr>
        <w:t>Does</w:t>
      </w:r>
      <w:proofErr w:type="spellEnd"/>
      <w:r w:rsidRPr="00B37C27">
        <w:rPr>
          <w:rFonts w:cs="Times New Roman"/>
          <w:lang w:val="fr-CA"/>
        </w:rPr>
        <w:t xml:space="preserve"> </w:t>
      </w:r>
      <w:proofErr w:type="spellStart"/>
      <w:r w:rsidRPr="00B37C27">
        <w:rPr>
          <w:rFonts w:cs="Times New Roman"/>
          <w:lang w:val="fr-CA"/>
        </w:rPr>
        <w:t>Anglo</w:t>
      </w:r>
      <w:r w:rsidR="00894691">
        <w:rPr>
          <w:rFonts w:cs="Times New Roman"/>
          <w:lang w:val="fr-CA"/>
        </w:rPr>
        <w:t>-</w:t>
      </w:r>
      <w:r w:rsidRPr="00B37C27">
        <w:rPr>
          <w:rFonts w:cs="Times New Roman"/>
          <w:lang w:val="fr-CA"/>
        </w:rPr>
        <w:t>Canadian</w:t>
      </w:r>
      <w:proofErr w:type="spellEnd"/>
      <w:r w:rsidRPr="00B37C27">
        <w:rPr>
          <w:rFonts w:cs="Times New Roman"/>
          <w:lang w:val="fr-CA"/>
        </w:rPr>
        <w:t xml:space="preserve"> </w:t>
      </w:r>
      <w:proofErr w:type="spellStart"/>
      <w:r w:rsidRPr="00B37C27">
        <w:rPr>
          <w:rFonts w:cs="Times New Roman"/>
          <w:lang w:val="fr-CA"/>
        </w:rPr>
        <w:t>Contract</w:t>
      </w:r>
      <w:proofErr w:type="spellEnd"/>
      <w:r w:rsidRPr="00B37C27">
        <w:rPr>
          <w:rFonts w:cs="Times New Roman"/>
          <w:lang w:val="fr-CA"/>
        </w:rPr>
        <w:t xml:space="preserve"> Law </w:t>
      </w:r>
      <w:proofErr w:type="spellStart"/>
      <w:r w:rsidRPr="00B37C27">
        <w:rPr>
          <w:rFonts w:cs="Times New Roman"/>
          <w:lang w:val="fr-CA"/>
        </w:rPr>
        <w:t>Need</w:t>
      </w:r>
      <w:proofErr w:type="spellEnd"/>
      <w:r w:rsidRPr="00B37C27">
        <w:rPr>
          <w:rFonts w:cs="Times New Roman"/>
          <w:lang w:val="fr-CA"/>
        </w:rPr>
        <w:t xml:space="preserve"> a Doctrine of Good </w:t>
      </w:r>
      <w:proofErr w:type="spellStart"/>
      <w:r w:rsidRPr="00B37C27">
        <w:rPr>
          <w:rFonts w:cs="Times New Roman"/>
          <w:lang w:val="fr-CA"/>
        </w:rPr>
        <w:t>Faith</w:t>
      </w:r>
      <w:proofErr w:type="spellEnd"/>
      <w:r w:rsidRPr="00B37C27">
        <w:rPr>
          <w:rFonts w:cs="Times New Roman"/>
          <w:lang w:val="fr-CA"/>
        </w:rPr>
        <w:t>?</w:t>
      </w:r>
      <w:r w:rsidR="00894691">
        <w:rPr>
          <w:rFonts w:cs="Times New Roman"/>
          <w:lang w:val="fr-CA"/>
        </w:rPr>
        <w:t> »</w:t>
      </w:r>
      <w:r w:rsidRPr="00B37C27">
        <w:rPr>
          <w:rFonts w:cs="Times New Roman"/>
          <w:lang w:val="fr-CA"/>
        </w:rPr>
        <w:t xml:space="preserve"> </w:t>
      </w:r>
      <w:r w:rsidRPr="00B37C27">
        <w:rPr>
          <w:rFonts w:cs="Times New Roman"/>
        </w:rPr>
        <w:t xml:space="preserve">(1984), 9 </w:t>
      </w:r>
      <w:r w:rsidRPr="00B37C27">
        <w:rPr>
          <w:rFonts w:cs="Times New Roman"/>
          <w:i/>
        </w:rPr>
        <w:t>Rev. can. dr. comm</w:t>
      </w:r>
      <w:r w:rsidRPr="00B37C27">
        <w:rPr>
          <w:rFonts w:cs="Times New Roman"/>
        </w:rPr>
        <w:t>. 385; D.</w:t>
      </w:r>
      <w:r w:rsidR="00894691">
        <w:rPr>
          <w:rFonts w:cs="Times New Roman"/>
        </w:rPr>
        <w:t xml:space="preserve"> </w:t>
      </w:r>
      <w:r w:rsidRPr="00B37C27">
        <w:rPr>
          <w:rFonts w:cs="Times New Roman"/>
        </w:rPr>
        <w:t xml:space="preserve">Clark, </w:t>
      </w:r>
      <w:r w:rsidR="00894691">
        <w:rPr>
          <w:rFonts w:cs="Times New Roman"/>
        </w:rPr>
        <w:t>« </w:t>
      </w:r>
      <w:r w:rsidRPr="00B37C27">
        <w:rPr>
          <w:rFonts w:cs="Times New Roman"/>
        </w:rPr>
        <w:t>Some Recent Developments in the Canadian Law of Contracts</w:t>
      </w:r>
      <w:r w:rsidR="00894691">
        <w:rPr>
          <w:rFonts w:cs="Times New Roman"/>
        </w:rPr>
        <w:t> »</w:t>
      </w:r>
      <w:r w:rsidRPr="00B37C27">
        <w:rPr>
          <w:rFonts w:cs="Times New Roman"/>
        </w:rPr>
        <w:t xml:space="preserve"> (1993), 14 </w:t>
      </w:r>
      <w:r w:rsidRPr="00B37C27">
        <w:rPr>
          <w:rFonts w:cs="Times New Roman"/>
          <w:i/>
        </w:rPr>
        <w:t>Advocates’ Q.</w:t>
      </w:r>
      <w:r w:rsidRPr="00B37C27">
        <w:rPr>
          <w:rFonts w:cs="Times New Roman"/>
        </w:rPr>
        <w:t xml:space="preserve"> 435, p.</w:t>
      </w:r>
      <w:r w:rsidR="00894691">
        <w:rPr>
          <w:rFonts w:cs="Times New Roman"/>
        </w:rPr>
        <w:t xml:space="preserve"> </w:t>
      </w:r>
      <w:r w:rsidRPr="00B37C27">
        <w:rPr>
          <w:rFonts w:cs="Times New Roman"/>
        </w:rPr>
        <w:t xml:space="preserve">436 </w:t>
      </w:r>
      <w:proofErr w:type="gramStart"/>
      <w:r w:rsidRPr="00B37C27">
        <w:rPr>
          <w:rFonts w:cs="Times New Roman"/>
        </w:rPr>
        <w:t>et</w:t>
      </w:r>
      <w:proofErr w:type="gramEnd"/>
      <w:r w:rsidRPr="00B37C27">
        <w:rPr>
          <w:rFonts w:cs="Times New Roman"/>
        </w:rPr>
        <w:t xml:space="preserve"> 440.  </w:t>
      </w:r>
      <w:r w:rsidRPr="00B37C27">
        <w:rPr>
          <w:rFonts w:cs="Times New Roman"/>
          <w:lang w:val="fr-CA"/>
        </w:rPr>
        <w:t>Cependant, interdire une certaine évolution graduelle du droit au niveau des principes outrepasserait les exigences d’une prudence avisée et témoignerait d’une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fierté [presque] dénaturée</w:t>
      </w:r>
      <w:r w:rsidR="00894691">
        <w:rPr>
          <w:rFonts w:cs="Times New Roman"/>
          <w:lang w:val="fr-CA"/>
        </w:rPr>
        <w:t> »</w:t>
      </w:r>
      <w:r w:rsidRPr="00B37C27">
        <w:rPr>
          <w:rFonts w:cs="Times New Roman"/>
          <w:lang w:val="fr-CA"/>
        </w:rPr>
        <w:t xml:space="preserve"> — pour reprendre l’expression de Swan</w:t>
      </w:r>
      <w:r w:rsidR="000549F5">
        <w:rPr>
          <w:rFonts w:cs="Times New Roman"/>
          <w:lang w:val="fr-CA"/>
        </w:rPr>
        <w:t>, p. 148</w:t>
      </w:r>
      <w:r w:rsidRPr="00B37C27">
        <w:rPr>
          <w:rFonts w:cs="Times New Roman"/>
          <w:lang w:val="fr-CA"/>
        </w:rPr>
        <w:t xml:space="preserve"> — que les tribunaux tirent des lacunes du droit. </w:t>
      </w:r>
    </w:p>
    <w:p w:rsidR="00142A2B" w:rsidRPr="00B37C27" w:rsidRDefault="00142A2B" w:rsidP="00894691">
      <w:pPr>
        <w:pStyle w:val="ParaNoNdepar-AltN"/>
        <w:rPr>
          <w:rFonts w:cs="Times New Roman"/>
          <w:lang w:val="fr-CA"/>
        </w:rPr>
      </w:pPr>
      <w:r w:rsidRPr="00B37C27">
        <w:rPr>
          <w:rFonts w:cs="Times New Roman"/>
          <w:lang w:val="fr-CA"/>
        </w:rPr>
        <w:t>Les parties commerciales s’attendent raisonnablement dans leurs opérations contractuelles à un niveau minimal d’honnêteté et de bonne foi.  Bien qu’elles n’entretiennent aucun lien de dépendance et ne soient pas assujetties à des obligations de nature fiduciaire, un niveau minimal de conduite honnête est nécessaire à la bonne conduite des affaires.  L’augmentation du nombre des contrats relationnels à long terme fondés sur un élément de confiance et de coopération exige manifestement un apport d’honnêteté sur le plan de l’exécution, alors que même dans les échanges transactionnels, la tromperie et une conduite dolosive seraient contraires aux attentes des parties</w:t>
      </w:r>
      <w:r w:rsidR="00894691">
        <w:rPr>
          <w:rFonts w:cs="Times New Roman"/>
          <w:lang w:val="fr-CA"/>
        </w:rPr>
        <w:t> :</w:t>
      </w:r>
      <w:r w:rsidRPr="00B37C27">
        <w:rPr>
          <w:rFonts w:cs="Times New Roman"/>
          <w:lang w:val="fr-CA"/>
        </w:rPr>
        <w:t xml:space="preserve"> voir Swan et </w:t>
      </w:r>
      <w:proofErr w:type="spellStart"/>
      <w:r w:rsidRPr="00B37C27">
        <w:rPr>
          <w:rFonts w:cs="Times New Roman"/>
          <w:lang w:val="fr-CA"/>
        </w:rPr>
        <w:t>Adamski</w:t>
      </w:r>
      <w:proofErr w:type="spellEnd"/>
      <w:r w:rsidRPr="00B37C27">
        <w:rPr>
          <w:rFonts w:cs="Times New Roman"/>
          <w:lang w:val="fr-CA"/>
        </w:rPr>
        <w:t>, §</w:t>
      </w:r>
      <w:r w:rsidR="00894691">
        <w:rPr>
          <w:rFonts w:cs="Times New Roman"/>
          <w:lang w:val="fr-CA"/>
        </w:rPr>
        <w:t xml:space="preserve"> </w:t>
      </w:r>
      <w:r w:rsidRPr="00B37C27">
        <w:rPr>
          <w:rFonts w:cs="Times New Roman"/>
          <w:lang w:val="fr-CA"/>
        </w:rPr>
        <w:t xml:space="preserve">1.24. </w:t>
      </w:r>
    </w:p>
    <w:p w:rsidR="00142A2B" w:rsidRPr="00B37C27" w:rsidRDefault="00142A2B" w:rsidP="00894691">
      <w:pPr>
        <w:pStyle w:val="ParaNoNdepar-AltN"/>
        <w:rPr>
          <w:rFonts w:cs="Times New Roman"/>
          <w:lang w:val="fr-CA"/>
        </w:rPr>
      </w:pPr>
      <w:r w:rsidRPr="00B37C27">
        <w:rPr>
          <w:rFonts w:cs="Times New Roman"/>
          <w:lang w:val="fr-CA"/>
        </w:rPr>
        <w:t>La section du droit des sociétés, du droit bancaire et du droit commercial de l’American Bar Association a insisté pour que l’expression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honnêteté de fait</w:t>
      </w:r>
      <w:r w:rsidR="00894691">
        <w:rPr>
          <w:rFonts w:cs="Times New Roman"/>
          <w:lang w:val="fr-CA"/>
        </w:rPr>
        <w:t> »</w:t>
      </w:r>
      <w:r w:rsidRPr="00B37C27">
        <w:rPr>
          <w:rFonts w:cs="Times New Roman"/>
          <w:lang w:val="fr-CA"/>
        </w:rPr>
        <w:t xml:space="preserve"> figure dans l’ébauche initiale du Uniform Commercial Code </w:t>
      </w:r>
      <w:r w:rsidRPr="00B37C27">
        <w:rPr>
          <w:rFonts w:cs="Times New Roman"/>
          <w:lang w:val="fr-CA"/>
        </w:rPr>
        <w:lastRenderedPageBreak/>
        <w:t>(</w:t>
      </w:r>
      <w:r w:rsidR="00894691">
        <w:rPr>
          <w:rFonts w:cs="Times New Roman"/>
          <w:lang w:val="fr-CA"/>
        </w:rPr>
        <w:t>« </w:t>
      </w:r>
      <w:r w:rsidRPr="00B37C27">
        <w:rPr>
          <w:rFonts w:cs="Times New Roman"/>
          <w:lang w:val="fr-CA"/>
        </w:rPr>
        <w:t>U.C.C.</w:t>
      </w:r>
      <w:r w:rsidR="00894691">
        <w:rPr>
          <w:rFonts w:cs="Times New Roman"/>
          <w:lang w:val="fr-CA"/>
        </w:rPr>
        <w:t> »</w:t>
      </w:r>
      <w:r w:rsidRPr="00B37C27">
        <w:rPr>
          <w:rFonts w:cs="Times New Roman"/>
          <w:lang w:val="fr-CA"/>
        </w:rPr>
        <w:t>)</w:t>
      </w:r>
      <w:r w:rsidR="00894691">
        <w:rPr>
          <w:rFonts w:cs="Times New Roman"/>
          <w:lang w:val="fr-CA"/>
        </w:rPr>
        <w:t> :</w:t>
      </w:r>
      <w:r w:rsidRPr="00B37C27">
        <w:rPr>
          <w:rFonts w:cs="Times New Roman"/>
          <w:lang w:val="fr-CA"/>
        </w:rPr>
        <w:t xml:space="preserve"> E.</w:t>
      </w:r>
      <w:r w:rsidR="00894691">
        <w:rPr>
          <w:rFonts w:cs="Times New Roman"/>
          <w:lang w:val="fr-CA"/>
        </w:rPr>
        <w:t xml:space="preserve"> </w:t>
      </w:r>
      <w:r w:rsidRPr="00B37C27">
        <w:rPr>
          <w:rFonts w:cs="Times New Roman"/>
          <w:lang w:val="fr-CA"/>
        </w:rPr>
        <w:t>A.</w:t>
      </w:r>
      <w:r w:rsidR="00894691">
        <w:rPr>
          <w:rFonts w:cs="Times New Roman"/>
          <w:lang w:val="fr-CA"/>
        </w:rPr>
        <w:t xml:space="preserve"> </w:t>
      </w:r>
      <w:proofErr w:type="spellStart"/>
      <w:r w:rsidRPr="00B37C27">
        <w:rPr>
          <w:rFonts w:cs="Times New Roman"/>
          <w:lang w:val="fr-CA"/>
        </w:rPr>
        <w:t>Farnsworth</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Performance and Commercial </w:t>
      </w:r>
      <w:proofErr w:type="spellStart"/>
      <w:r w:rsidRPr="00B37C27">
        <w:rPr>
          <w:rFonts w:cs="Times New Roman"/>
          <w:lang w:val="fr-CA"/>
        </w:rPr>
        <w:t>Reasonableness</w:t>
      </w:r>
      <w:proofErr w:type="spellEnd"/>
      <w:r w:rsidRPr="00B37C27">
        <w:rPr>
          <w:rFonts w:cs="Times New Roman"/>
          <w:lang w:val="fr-CA"/>
        </w:rPr>
        <w:t xml:space="preserve"> Under the Uniform Commercial Code</w:t>
      </w:r>
      <w:r w:rsidR="00894691">
        <w:rPr>
          <w:rFonts w:cs="Times New Roman"/>
          <w:lang w:val="fr-CA"/>
        </w:rPr>
        <w:t> »</w:t>
      </w:r>
      <w:r w:rsidRPr="00B37C27">
        <w:rPr>
          <w:rFonts w:cs="Times New Roman"/>
          <w:lang w:val="fr-CA"/>
        </w:rPr>
        <w:t xml:space="preserve"> (1963), 30 </w:t>
      </w:r>
      <w:r w:rsidRPr="00B37C27">
        <w:rPr>
          <w:rFonts w:cs="Times New Roman"/>
          <w:i/>
          <w:lang w:val="fr-CA"/>
        </w:rPr>
        <w:t xml:space="preserve">U. Chicago L. </w:t>
      </w:r>
      <w:proofErr w:type="spellStart"/>
      <w:r w:rsidRPr="00B37C27">
        <w:rPr>
          <w:rFonts w:cs="Times New Roman"/>
          <w:i/>
          <w:lang w:val="fr-CA"/>
        </w:rPr>
        <w:t>Rev</w:t>
      </w:r>
      <w:proofErr w:type="spellEnd"/>
      <w:r w:rsidRPr="00B37C27">
        <w:rPr>
          <w:rFonts w:cs="Times New Roman"/>
          <w:i/>
          <w:lang w:val="fr-CA"/>
        </w:rPr>
        <w:t>.</w:t>
      </w:r>
      <w:r w:rsidRPr="00B37C27">
        <w:rPr>
          <w:rFonts w:cs="Times New Roman"/>
          <w:lang w:val="fr-CA"/>
        </w:rPr>
        <w:t xml:space="preserve"> 666, p.</w:t>
      </w:r>
      <w:r w:rsidR="00894691">
        <w:rPr>
          <w:rFonts w:cs="Times New Roman"/>
          <w:lang w:val="fr-CA"/>
        </w:rPr>
        <w:t xml:space="preserve"> </w:t>
      </w:r>
      <w:r w:rsidRPr="00B37C27">
        <w:rPr>
          <w:rFonts w:cs="Times New Roman"/>
          <w:lang w:val="fr-CA"/>
        </w:rPr>
        <w:t>673, ce qui illustre le fait que les parties commerciales s’attendent à ce que leurs partenaires contractuels soient honnêtes.  En outre, la recherche empirique montre que les parties commerciales s’attendent effectivement à ce que leurs cocontractants agissent de bonne foi</w:t>
      </w:r>
      <w:r w:rsidR="00894691">
        <w:rPr>
          <w:rFonts w:cs="Times New Roman"/>
          <w:lang w:val="fr-CA"/>
        </w:rPr>
        <w:t> :</w:t>
      </w:r>
      <w:r w:rsidRPr="00B37C27">
        <w:rPr>
          <w:rFonts w:cs="Times New Roman"/>
          <w:lang w:val="fr-CA"/>
        </w:rPr>
        <w:t xml:space="preserve"> voir</w:t>
      </w:r>
      <w:r w:rsidR="000549F5">
        <w:rPr>
          <w:rFonts w:cs="Times New Roman"/>
          <w:lang w:val="fr-CA"/>
        </w:rPr>
        <w:t>,</w:t>
      </w:r>
      <w:r w:rsidRPr="00B37C27">
        <w:rPr>
          <w:rFonts w:cs="Times New Roman"/>
          <w:lang w:val="fr-CA"/>
        </w:rPr>
        <w:t xml:space="preserve"> p.</w:t>
      </w:r>
      <w:r w:rsidR="00894691">
        <w:rPr>
          <w:rFonts w:cs="Times New Roman"/>
          <w:lang w:val="fr-CA"/>
        </w:rPr>
        <w:t xml:space="preserve"> </w:t>
      </w:r>
      <w:r w:rsidRPr="00B37C27">
        <w:rPr>
          <w:rFonts w:cs="Times New Roman"/>
          <w:lang w:val="fr-CA"/>
        </w:rPr>
        <w:t>ex.</w:t>
      </w:r>
      <w:r w:rsidR="000549F5">
        <w:rPr>
          <w:rFonts w:cs="Times New Roman"/>
          <w:lang w:val="fr-CA"/>
        </w:rPr>
        <w:t>,</w:t>
      </w:r>
      <w:r w:rsidRPr="00B37C27">
        <w:rPr>
          <w:rFonts w:cs="Times New Roman"/>
          <w:lang w:val="fr-CA"/>
        </w:rPr>
        <w:t xml:space="preserve"> </w:t>
      </w:r>
      <w:r w:rsidRPr="000549F5">
        <w:rPr>
          <w:rFonts w:cs="Times New Roman"/>
          <w:lang w:val="fr-CA"/>
        </w:rPr>
        <w:t>S.</w:t>
      </w:r>
      <w:r w:rsidR="00894691" w:rsidRPr="000549F5">
        <w:rPr>
          <w:rFonts w:cs="Times New Roman"/>
          <w:lang w:val="fr-CA"/>
        </w:rPr>
        <w:t xml:space="preserve"> </w:t>
      </w:r>
      <w:r w:rsidRPr="000549F5">
        <w:rPr>
          <w:rFonts w:cs="Times New Roman"/>
          <w:lang w:val="fr-CA"/>
        </w:rPr>
        <w:t xml:space="preserve">Macaulay, </w:t>
      </w:r>
      <w:r w:rsidR="00894691" w:rsidRPr="000549F5">
        <w:rPr>
          <w:rFonts w:cs="Times New Roman"/>
          <w:lang w:val="fr-CA"/>
        </w:rPr>
        <w:t>« </w:t>
      </w:r>
      <w:r w:rsidRPr="000549F5">
        <w:rPr>
          <w:rFonts w:cs="Times New Roman"/>
          <w:lang w:val="fr-CA"/>
        </w:rPr>
        <w:t>Non</w:t>
      </w:r>
      <w:r w:rsidR="00894691" w:rsidRPr="000549F5">
        <w:rPr>
          <w:rFonts w:cs="Times New Roman"/>
          <w:lang w:val="fr-CA"/>
        </w:rPr>
        <w:t>-</w:t>
      </w:r>
      <w:proofErr w:type="spellStart"/>
      <w:r w:rsidRPr="000549F5">
        <w:rPr>
          <w:rFonts w:cs="Times New Roman"/>
          <w:lang w:val="fr-CA"/>
        </w:rPr>
        <w:t>contractual</w:t>
      </w:r>
      <w:proofErr w:type="spellEnd"/>
      <w:r w:rsidRPr="000549F5">
        <w:rPr>
          <w:rFonts w:cs="Times New Roman"/>
          <w:lang w:val="fr-CA"/>
        </w:rPr>
        <w:t xml:space="preserve"> Relations in Business</w:t>
      </w:r>
      <w:r w:rsidR="00894691" w:rsidRPr="000549F5">
        <w:rPr>
          <w:rFonts w:cs="Times New Roman"/>
          <w:lang w:val="fr-CA"/>
        </w:rPr>
        <w:t> :</w:t>
      </w:r>
      <w:r w:rsidRPr="000549F5">
        <w:rPr>
          <w:rFonts w:cs="Times New Roman"/>
          <w:lang w:val="fr-CA"/>
        </w:rPr>
        <w:t xml:space="preserve"> A </w:t>
      </w:r>
      <w:proofErr w:type="spellStart"/>
      <w:r w:rsidRPr="000549F5">
        <w:rPr>
          <w:rFonts w:cs="Times New Roman"/>
          <w:lang w:val="fr-CA"/>
        </w:rPr>
        <w:t>Preliminary</w:t>
      </w:r>
      <w:proofErr w:type="spellEnd"/>
      <w:r w:rsidRPr="000549F5">
        <w:rPr>
          <w:rFonts w:cs="Times New Roman"/>
          <w:lang w:val="fr-CA"/>
        </w:rPr>
        <w:t xml:space="preserve"> </w:t>
      </w:r>
      <w:proofErr w:type="spellStart"/>
      <w:r w:rsidRPr="000549F5">
        <w:rPr>
          <w:rFonts w:cs="Times New Roman"/>
          <w:lang w:val="fr-CA"/>
        </w:rPr>
        <w:t>Study</w:t>
      </w:r>
      <w:proofErr w:type="spellEnd"/>
      <w:r w:rsidR="00894691" w:rsidRPr="000549F5">
        <w:rPr>
          <w:rFonts w:cs="Times New Roman"/>
          <w:lang w:val="fr-CA"/>
        </w:rPr>
        <w:t> »</w:t>
      </w:r>
      <w:r w:rsidRPr="000549F5">
        <w:rPr>
          <w:rFonts w:cs="Times New Roman"/>
          <w:lang w:val="fr-CA"/>
        </w:rPr>
        <w:t xml:space="preserve"> (1963), 28 </w:t>
      </w:r>
      <w:r w:rsidRPr="000549F5">
        <w:rPr>
          <w:rFonts w:cs="Times New Roman"/>
          <w:i/>
          <w:lang w:val="fr-CA"/>
        </w:rPr>
        <w:t xml:space="preserve">Am. Soc. </w:t>
      </w:r>
      <w:r w:rsidRPr="00B37C27">
        <w:rPr>
          <w:rFonts w:cs="Times New Roman"/>
          <w:i/>
          <w:lang w:val="en-US"/>
        </w:rPr>
        <w:t>Rev.</w:t>
      </w:r>
      <w:r w:rsidRPr="00B37C27">
        <w:rPr>
          <w:rFonts w:cs="Times New Roman"/>
          <w:lang w:val="en-US"/>
        </w:rPr>
        <w:t xml:space="preserve"> 55, p.</w:t>
      </w:r>
      <w:r w:rsidR="00894691">
        <w:rPr>
          <w:rFonts w:cs="Times New Roman"/>
          <w:lang w:val="en-US"/>
        </w:rPr>
        <w:t xml:space="preserve"> </w:t>
      </w:r>
      <w:r w:rsidRPr="00B37C27">
        <w:rPr>
          <w:rFonts w:cs="Times New Roman"/>
          <w:lang w:val="en-US"/>
        </w:rPr>
        <w:t>58; H.</w:t>
      </w:r>
      <w:r w:rsidR="00894691">
        <w:rPr>
          <w:rFonts w:cs="Times New Roman"/>
          <w:lang w:val="en-US"/>
        </w:rPr>
        <w:t xml:space="preserve"> </w:t>
      </w:r>
      <w:r w:rsidRPr="00B37C27">
        <w:rPr>
          <w:rFonts w:cs="Times New Roman"/>
          <w:lang w:val="en-US"/>
        </w:rPr>
        <w:t>Beale et T.</w:t>
      </w:r>
      <w:r w:rsidR="00894691">
        <w:rPr>
          <w:rFonts w:cs="Times New Roman"/>
          <w:lang w:val="en-US"/>
        </w:rPr>
        <w:t xml:space="preserve"> </w:t>
      </w:r>
      <w:proofErr w:type="spellStart"/>
      <w:r w:rsidRPr="00B37C27">
        <w:rPr>
          <w:rFonts w:cs="Times New Roman"/>
          <w:lang w:val="en-US"/>
        </w:rPr>
        <w:t>Dugdale</w:t>
      </w:r>
      <w:proofErr w:type="spellEnd"/>
      <w:r w:rsidRPr="00B37C27">
        <w:rPr>
          <w:rFonts w:cs="Times New Roman"/>
          <w:lang w:val="en-US"/>
        </w:rPr>
        <w:t xml:space="preserve">, </w:t>
      </w:r>
      <w:r w:rsidR="00894691">
        <w:rPr>
          <w:rFonts w:cs="Times New Roman"/>
          <w:lang w:val="en-US"/>
        </w:rPr>
        <w:t>« </w:t>
      </w:r>
      <w:r w:rsidR="000549F5">
        <w:rPr>
          <w:rFonts w:cs="Times New Roman"/>
          <w:lang w:val="en-US"/>
        </w:rPr>
        <w:t>Contracts Between Businessm</w:t>
      </w:r>
      <w:r w:rsidRPr="00B37C27">
        <w:rPr>
          <w:rFonts w:cs="Times New Roman"/>
          <w:lang w:val="en-US"/>
        </w:rPr>
        <w:t>en</w:t>
      </w:r>
      <w:r w:rsidR="00894691">
        <w:rPr>
          <w:rFonts w:cs="Times New Roman"/>
          <w:lang w:val="en-US"/>
        </w:rPr>
        <w:t> :</w:t>
      </w:r>
      <w:r w:rsidRPr="00B37C27">
        <w:rPr>
          <w:rFonts w:cs="Times New Roman"/>
          <w:lang w:val="en-US"/>
        </w:rPr>
        <w:t xml:space="preserve"> Planning and the Use of Contractual Remedies</w:t>
      </w:r>
      <w:r w:rsidR="00894691">
        <w:rPr>
          <w:rFonts w:cs="Times New Roman"/>
          <w:lang w:val="en-US"/>
        </w:rPr>
        <w:t> »</w:t>
      </w:r>
      <w:r w:rsidRPr="00B37C27">
        <w:rPr>
          <w:rFonts w:cs="Times New Roman"/>
          <w:lang w:val="en-US"/>
        </w:rPr>
        <w:t xml:space="preserve"> (1975), 2 </w:t>
      </w:r>
      <w:r w:rsidRPr="00B37C27">
        <w:rPr>
          <w:rFonts w:cs="Times New Roman"/>
          <w:i/>
          <w:lang w:val="en-US"/>
        </w:rPr>
        <w:t xml:space="preserve">Brit. J. Law </w:t>
      </w:r>
      <w:r w:rsidRPr="00B37C27">
        <w:rPr>
          <w:rFonts w:cs="Times New Roman"/>
          <w:i/>
          <w:iCs/>
        </w:rPr>
        <w:t xml:space="preserve">&amp; </w:t>
      </w:r>
      <w:r w:rsidRPr="00B37C27">
        <w:rPr>
          <w:rFonts w:cs="Times New Roman"/>
          <w:i/>
          <w:lang w:val="en-US"/>
        </w:rPr>
        <w:t>Soc.</w:t>
      </w:r>
      <w:r w:rsidRPr="00B37C27">
        <w:rPr>
          <w:rFonts w:cs="Times New Roman"/>
          <w:lang w:val="en-US"/>
        </w:rPr>
        <w:t xml:space="preserve"> 45, p.</w:t>
      </w:r>
      <w:r w:rsidR="00894691">
        <w:rPr>
          <w:rFonts w:cs="Times New Roman"/>
          <w:lang w:val="en-US"/>
        </w:rPr>
        <w:t xml:space="preserve"> </w:t>
      </w:r>
      <w:r w:rsidRPr="00B37C27">
        <w:rPr>
          <w:rFonts w:cs="Times New Roman"/>
          <w:lang w:val="en-US"/>
        </w:rPr>
        <w:t>47</w:t>
      </w:r>
      <w:r w:rsidR="00894691">
        <w:rPr>
          <w:rFonts w:cs="Times New Roman"/>
          <w:lang w:val="en-US"/>
        </w:rPr>
        <w:t>-</w:t>
      </w:r>
      <w:r w:rsidRPr="00B37C27">
        <w:rPr>
          <w:rFonts w:cs="Times New Roman"/>
          <w:lang w:val="en-US"/>
        </w:rPr>
        <w:t>48; S.</w:t>
      </w:r>
      <w:r w:rsidR="00894691">
        <w:rPr>
          <w:rFonts w:cs="Times New Roman"/>
          <w:lang w:val="en-US"/>
        </w:rPr>
        <w:t xml:space="preserve"> </w:t>
      </w:r>
      <w:r w:rsidRPr="00B37C27">
        <w:rPr>
          <w:rFonts w:cs="Times New Roman"/>
          <w:lang w:val="en-US"/>
        </w:rPr>
        <w:t xml:space="preserve">Macaulay, </w:t>
      </w:r>
      <w:r w:rsidR="00894691">
        <w:rPr>
          <w:rFonts w:cs="Times New Roman"/>
          <w:lang w:val="en-US"/>
        </w:rPr>
        <w:t>« </w:t>
      </w:r>
      <w:r w:rsidRPr="00B37C27">
        <w:rPr>
          <w:rFonts w:cs="Times New Roman"/>
          <w:lang w:val="en-US"/>
        </w:rPr>
        <w:t>An Empirical View of Contract</w:t>
      </w:r>
      <w:r w:rsidR="00894691">
        <w:rPr>
          <w:rFonts w:cs="Times New Roman"/>
          <w:lang w:val="en-US"/>
        </w:rPr>
        <w:t> »</w:t>
      </w:r>
      <w:r w:rsidRPr="00B37C27">
        <w:rPr>
          <w:rFonts w:cs="Times New Roman"/>
          <w:lang w:val="en-US"/>
        </w:rPr>
        <w:t xml:space="preserve">, [1985] </w:t>
      </w:r>
      <w:r w:rsidRPr="00B37C27">
        <w:rPr>
          <w:rFonts w:cs="Times New Roman"/>
          <w:i/>
          <w:lang w:val="en-US"/>
        </w:rPr>
        <w:t>Wis. L. Rev.</w:t>
      </w:r>
      <w:r w:rsidRPr="00B37C27">
        <w:rPr>
          <w:rFonts w:cs="Times New Roman"/>
          <w:lang w:val="en-US"/>
        </w:rPr>
        <w:t xml:space="preserve"> 465; V.</w:t>
      </w:r>
      <w:r w:rsidR="00894691">
        <w:rPr>
          <w:rFonts w:cs="Times New Roman"/>
          <w:lang w:val="en-US"/>
        </w:rPr>
        <w:t xml:space="preserve"> </w:t>
      </w:r>
      <w:proofErr w:type="spellStart"/>
      <w:r w:rsidRPr="00B37C27">
        <w:rPr>
          <w:rFonts w:cs="Times New Roman"/>
          <w:lang w:val="en-US"/>
        </w:rPr>
        <w:t>Goldwasser</w:t>
      </w:r>
      <w:proofErr w:type="spellEnd"/>
      <w:r w:rsidRPr="00B37C27">
        <w:rPr>
          <w:rFonts w:cs="Times New Roman"/>
          <w:lang w:val="en-US"/>
        </w:rPr>
        <w:t xml:space="preserve"> et T.</w:t>
      </w:r>
      <w:r w:rsidR="00894691">
        <w:rPr>
          <w:rFonts w:cs="Times New Roman"/>
          <w:lang w:val="en-US"/>
        </w:rPr>
        <w:t xml:space="preserve"> </w:t>
      </w:r>
      <w:proofErr w:type="spellStart"/>
      <w:r w:rsidRPr="00B37C27">
        <w:rPr>
          <w:rFonts w:cs="Times New Roman"/>
          <w:lang w:val="en-US"/>
        </w:rPr>
        <w:t>Ciro</w:t>
      </w:r>
      <w:proofErr w:type="spellEnd"/>
      <w:r w:rsidRPr="00B37C27">
        <w:rPr>
          <w:rFonts w:cs="Times New Roman"/>
          <w:lang w:val="en-US"/>
        </w:rPr>
        <w:t xml:space="preserve">, </w:t>
      </w:r>
      <w:r w:rsidR="00894691">
        <w:rPr>
          <w:rFonts w:cs="Times New Roman"/>
          <w:lang w:val="en-US"/>
        </w:rPr>
        <w:t>« </w:t>
      </w:r>
      <w:r w:rsidRPr="00B37C27">
        <w:rPr>
          <w:rFonts w:cs="Times New Roman"/>
          <w:lang w:val="en-US"/>
        </w:rPr>
        <w:t xml:space="preserve">Standards of </w:t>
      </w:r>
      <w:proofErr w:type="spellStart"/>
      <w:r w:rsidRPr="00B37C27">
        <w:rPr>
          <w:rFonts w:cs="Times New Roman"/>
          <w:lang w:val="en-US"/>
        </w:rPr>
        <w:t>Behaviour</w:t>
      </w:r>
      <w:proofErr w:type="spellEnd"/>
      <w:r w:rsidRPr="00B37C27">
        <w:rPr>
          <w:rFonts w:cs="Times New Roman"/>
          <w:lang w:val="en-US"/>
        </w:rPr>
        <w:t xml:space="preserve"> in Commercial Contracting</w:t>
      </w:r>
      <w:r w:rsidR="00894691">
        <w:rPr>
          <w:rFonts w:cs="Times New Roman"/>
          <w:lang w:val="en-US"/>
        </w:rPr>
        <w:t> »</w:t>
      </w:r>
      <w:r w:rsidRPr="00B37C27">
        <w:rPr>
          <w:rFonts w:cs="Times New Roman"/>
          <w:lang w:val="en-US"/>
        </w:rPr>
        <w:t xml:space="preserve"> (2002), 30 </w:t>
      </w:r>
      <w:r w:rsidRPr="00B37C27">
        <w:rPr>
          <w:rFonts w:cs="Times New Roman"/>
          <w:i/>
          <w:lang w:val="en-US"/>
        </w:rPr>
        <w:t>A.B.L.R.</w:t>
      </w:r>
      <w:r w:rsidRPr="00B37C27">
        <w:rPr>
          <w:rFonts w:cs="Times New Roman"/>
          <w:lang w:val="en-US"/>
        </w:rPr>
        <w:t xml:space="preserve"> 369, p.</w:t>
      </w:r>
      <w:r w:rsidR="00894691">
        <w:rPr>
          <w:rFonts w:cs="Times New Roman"/>
          <w:lang w:val="en-US"/>
        </w:rPr>
        <w:t xml:space="preserve"> </w:t>
      </w:r>
      <w:r w:rsidRPr="00B37C27">
        <w:rPr>
          <w:rFonts w:cs="Times New Roman"/>
          <w:lang w:val="en-US"/>
        </w:rPr>
        <w:t>372</w:t>
      </w:r>
      <w:r w:rsidR="00894691">
        <w:rPr>
          <w:rFonts w:cs="Times New Roman"/>
          <w:lang w:val="en-US"/>
        </w:rPr>
        <w:t>-</w:t>
      </w:r>
      <w:r w:rsidRPr="00B37C27">
        <w:rPr>
          <w:rFonts w:cs="Times New Roman"/>
          <w:lang w:val="en-US"/>
        </w:rPr>
        <w:t xml:space="preserve">377.  </w:t>
      </w:r>
      <w:r w:rsidRPr="00B37C27">
        <w:rPr>
          <w:rFonts w:cs="Times New Roman"/>
          <w:lang w:val="fr-CA"/>
        </w:rPr>
        <w:t xml:space="preserve">Il est à tout le moins paradoxal de penser que des parties commerciales raisonnables accepteraient de conclure un contrat comportant une disposition prévoyant qu’ils ne seraient pas tenus d’agir avec honnêteté dans l’exécution de leurs obligations contractuelles. </w:t>
      </w:r>
    </w:p>
    <w:p w:rsidR="00142A2B" w:rsidRPr="00B37C27" w:rsidRDefault="00142A2B" w:rsidP="00894691">
      <w:pPr>
        <w:pStyle w:val="ParaNoNdepar-AltN"/>
        <w:rPr>
          <w:rFonts w:cs="Times New Roman"/>
          <w:lang w:val="fr-CA"/>
        </w:rPr>
      </w:pPr>
      <w:r w:rsidRPr="00B37C27">
        <w:rPr>
          <w:rFonts w:cs="Times New Roman"/>
          <w:lang w:val="fr-CA"/>
        </w:rPr>
        <w:t xml:space="preserve">Cet examen m’amène à conclure que l’énonciation d’un principe directeur général de bonne foi et la reconnaissance d’une d’obligation d’honnêteté en matière d’exécution des contrats favoriseront la certitude et la cohérence dans ce domaine du droit d’une façon qui est conforme aux attentes commerciales raisonnables.  </w:t>
      </w:r>
    </w:p>
    <w:p w:rsidR="00142A2B" w:rsidRPr="00B37C27" w:rsidRDefault="00142A2B" w:rsidP="000549F5">
      <w:pPr>
        <w:pStyle w:val="Title5LevelTitre5Niveau"/>
        <w:tabs>
          <w:tab w:val="clear" w:pos="1728"/>
          <w:tab w:val="num" w:pos="900"/>
        </w:tabs>
        <w:ind w:left="900" w:hanging="450"/>
        <w:rPr>
          <w:rFonts w:cs="Times New Roman"/>
          <w:lang w:val="fr-CA"/>
        </w:rPr>
      </w:pPr>
      <w:r w:rsidRPr="00B37C27">
        <w:rPr>
          <w:rFonts w:cs="Times New Roman"/>
          <w:lang w:val="fr-CA"/>
        </w:rPr>
        <w:t xml:space="preserve">Vers un principe directeur de bonne foi </w:t>
      </w:r>
    </w:p>
    <w:p w:rsidR="00142A2B" w:rsidRPr="00B37C27" w:rsidRDefault="00142A2B" w:rsidP="00894691">
      <w:pPr>
        <w:pStyle w:val="ParaNoNdepar-AltN"/>
        <w:rPr>
          <w:rFonts w:cs="Times New Roman"/>
          <w:lang w:val="fr-CA"/>
        </w:rPr>
      </w:pPr>
      <w:r w:rsidRPr="00B37C27">
        <w:rPr>
          <w:rFonts w:cs="Times New Roman"/>
          <w:lang w:val="fr-CA"/>
        </w:rPr>
        <w:lastRenderedPageBreak/>
        <w:t>La première étape consiste à reconnaître l’existence d’un principe directeur de bonne foi qui sous</w:t>
      </w:r>
      <w:r w:rsidR="00894691">
        <w:rPr>
          <w:rFonts w:cs="Times New Roman"/>
          <w:lang w:val="fr-CA"/>
        </w:rPr>
        <w:t>-</w:t>
      </w:r>
      <w:r w:rsidRPr="00B37C27">
        <w:rPr>
          <w:rFonts w:cs="Times New Roman"/>
          <w:lang w:val="fr-CA"/>
        </w:rPr>
        <w:t xml:space="preserve">tend diverses autres règles plus spécifiques régissant l’exécution des contrats et qui se manifeste dans ces règles.  Ce principe directeur énonce simplement que les parties doivent, de façon générale, exécuter leurs obligations contractuelles de manière honnête et raisonnable, et non de façon abusive ou arbitraire. </w:t>
      </w:r>
    </w:p>
    <w:p w:rsidR="00142A2B" w:rsidRPr="00B37C27" w:rsidRDefault="00142A2B" w:rsidP="00894691">
      <w:pPr>
        <w:pStyle w:val="ParaNoNdepar-AltN"/>
        <w:rPr>
          <w:rFonts w:cs="Times New Roman"/>
          <w:lang w:val="fr-CA"/>
        </w:rPr>
      </w:pPr>
      <w:r w:rsidRPr="00B37C27">
        <w:rPr>
          <w:rFonts w:cs="Times New Roman"/>
          <w:lang w:val="fr-CA"/>
        </w:rPr>
        <w:t xml:space="preserve">Comme notre Cour l’a reconnu, un principe directeur énonce en termes généraux une exigence de justice dont il est possible de tirer des règles de droit plus particulières.  Un principe directeur est donc </w:t>
      </w:r>
      <w:r w:rsidR="00AC24AE">
        <w:rPr>
          <w:rFonts w:cs="Times New Roman"/>
          <w:lang w:val="fr-CA"/>
        </w:rPr>
        <w:t xml:space="preserve">non </w:t>
      </w:r>
      <w:r w:rsidRPr="00B37C27">
        <w:rPr>
          <w:rFonts w:cs="Times New Roman"/>
          <w:lang w:val="fr-CA"/>
        </w:rPr>
        <w:t>pas une règle autonome, mais plutôt une norme qui sous</w:t>
      </w:r>
      <w:r w:rsidR="00894691">
        <w:rPr>
          <w:rFonts w:cs="Times New Roman"/>
          <w:lang w:val="fr-CA"/>
        </w:rPr>
        <w:t>-</w:t>
      </w:r>
      <w:r w:rsidRPr="00B37C27">
        <w:rPr>
          <w:rFonts w:cs="Times New Roman"/>
          <w:lang w:val="fr-CA"/>
        </w:rPr>
        <w:t>tend des règles de droit particulières, qui se manifeste dans ces règles et à laquelle on peut accorder plus ou moins d’importance selon chaque situation</w:t>
      </w:r>
      <w:r w:rsidR="00894691">
        <w:rPr>
          <w:rFonts w:cs="Times New Roman"/>
          <w:lang w:val="fr-CA"/>
        </w:rPr>
        <w:t> :</w:t>
      </w:r>
      <w:r w:rsidRPr="00B37C27">
        <w:rPr>
          <w:rFonts w:cs="Times New Roman"/>
          <w:lang w:val="fr-CA"/>
        </w:rPr>
        <w:t xml:space="preserve"> voir, p.</w:t>
      </w:r>
      <w:r w:rsidR="00894691">
        <w:rPr>
          <w:rFonts w:cs="Times New Roman"/>
          <w:lang w:val="fr-CA"/>
        </w:rPr>
        <w:t xml:space="preserve"> </w:t>
      </w:r>
      <w:r w:rsidRPr="00B37C27">
        <w:rPr>
          <w:rFonts w:cs="Times New Roman"/>
          <w:lang w:val="fr-CA"/>
        </w:rPr>
        <w:t>ex.</w:t>
      </w:r>
      <w:r w:rsidR="000549F5">
        <w:rPr>
          <w:rFonts w:cs="Times New Roman"/>
          <w:lang w:val="fr-CA"/>
        </w:rPr>
        <w:t>,</w:t>
      </w:r>
      <w:r w:rsidRPr="00B37C27">
        <w:rPr>
          <w:rFonts w:cs="Times New Roman"/>
          <w:i/>
          <w:szCs w:val="24"/>
          <w:lang w:val="fr-CA" w:eastAsia="en-CA"/>
        </w:rPr>
        <w:t xml:space="preserve"> </w:t>
      </w:r>
      <w:r w:rsidRPr="000549F5">
        <w:rPr>
          <w:rFonts w:cs="Times New Roman"/>
          <w:i/>
          <w:lang w:val="fr-CA"/>
        </w:rPr>
        <w:t>R. c. Jones</w:t>
      </w:r>
      <w:r w:rsidRPr="000549F5">
        <w:rPr>
          <w:rFonts w:cs="Times New Roman"/>
          <w:lang w:val="fr-CA"/>
        </w:rPr>
        <w:t>, [1994] 2 R.C.S. 229, p.</w:t>
      </w:r>
      <w:r w:rsidR="00894691" w:rsidRPr="000549F5">
        <w:rPr>
          <w:rFonts w:cs="Times New Roman"/>
          <w:lang w:val="fr-CA"/>
        </w:rPr>
        <w:t xml:space="preserve"> </w:t>
      </w:r>
      <w:r w:rsidRPr="000549F5">
        <w:rPr>
          <w:rFonts w:cs="Times New Roman"/>
          <w:lang w:val="fr-CA"/>
        </w:rPr>
        <w:t xml:space="preserve">249; </w:t>
      </w:r>
      <w:r w:rsidRPr="000549F5">
        <w:rPr>
          <w:rFonts w:cs="Times New Roman"/>
          <w:i/>
          <w:lang w:val="fr-CA"/>
        </w:rPr>
        <w:t>R. c. Hart</w:t>
      </w:r>
      <w:r w:rsidRPr="000549F5">
        <w:rPr>
          <w:rFonts w:cs="Times New Roman"/>
          <w:lang w:val="fr-CA"/>
        </w:rPr>
        <w:t>, 2014</w:t>
      </w:r>
      <w:r w:rsidR="000549F5">
        <w:rPr>
          <w:rFonts w:cs="Times New Roman"/>
          <w:lang w:val="fr-CA"/>
        </w:rPr>
        <w:t xml:space="preserve"> CSC 52, [2014] 2 R.C.S. 544,</w:t>
      </w:r>
      <w:r w:rsidRPr="000549F5">
        <w:rPr>
          <w:rFonts w:cs="Times New Roman"/>
          <w:lang w:val="fr-CA"/>
        </w:rPr>
        <w:t xml:space="preserve"> par.</w:t>
      </w:r>
      <w:r w:rsidR="00894691" w:rsidRPr="000549F5">
        <w:rPr>
          <w:rFonts w:cs="Times New Roman"/>
          <w:lang w:val="fr-CA"/>
        </w:rPr>
        <w:t xml:space="preserve"> </w:t>
      </w:r>
      <w:r w:rsidRPr="000549F5">
        <w:rPr>
          <w:rFonts w:cs="Times New Roman"/>
          <w:lang w:val="fr-CA"/>
        </w:rPr>
        <w:t>124; R.</w:t>
      </w:r>
      <w:r w:rsidR="00894691" w:rsidRPr="000549F5">
        <w:rPr>
          <w:rFonts w:cs="Times New Roman"/>
          <w:lang w:val="fr-CA"/>
        </w:rPr>
        <w:t xml:space="preserve"> </w:t>
      </w:r>
      <w:r w:rsidRPr="000549F5">
        <w:rPr>
          <w:rFonts w:cs="Times New Roman"/>
          <w:lang w:val="fr-CA"/>
        </w:rPr>
        <w:t>M.</w:t>
      </w:r>
      <w:r w:rsidR="00894691" w:rsidRPr="000549F5">
        <w:rPr>
          <w:rFonts w:cs="Times New Roman"/>
          <w:lang w:val="fr-CA"/>
        </w:rPr>
        <w:t xml:space="preserve"> </w:t>
      </w:r>
      <w:proofErr w:type="spellStart"/>
      <w:r w:rsidRPr="000549F5">
        <w:rPr>
          <w:rFonts w:cs="Times New Roman"/>
          <w:lang w:val="fr-CA"/>
        </w:rPr>
        <w:t>Dworkin</w:t>
      </w:r>
      <w:proofErr w:type="spellEnd"/>
      <w:r w:rsidRPr="000549F5">
        <w:rPr>
          <w:rFonts w:cs="Times New Roman"/>
          <w:lang w:val="fr-CA"/>
        </w:rPr>
        <w:t xml:space="preserve">, </w:t>
      </w:r>
      <w:r w:rsidR="00894691" w:rsidRPr="000549F5">
        <w:rPr>
          <w:rFonts w:cs="Times New Roman"/>
          <w:lang w:val="fr-CA"/>
        </w:rPr>
        <w:t>« </w:t>
      </w:r>
      <w:r w:rsidRPr="000549F5">
        <w:rPr>
          <w:rFonts w:cs="Times New Roman"/>
          <w:lang w:val="fr-CA"/>
        </w:rPr>
        <w:t xml:space="preserve">Is Law a System of </w:t>
      </w:r>
      <w:proofErr w:type="spellStart"/>
      <w:r w:rsidRPr="000549F5">
        <w:rPr>
          <w:rFonts w:cs="Times New Roman"/>
          <w:lang w:val="fr-CA"/>
        </w:rPr>
        <w:t>Rules</w:t>
      </w:r>
      <w:proofErr w:type="spellEnd"/>
      <w:r w:rsidRPr="000549F5">
        <w:rPr>
          <w:rFonts w:cs="Times New Roman"/>
          <w:lang w:val="fr-CA"/>
        </w:rPr>
        <w:t>?</w:t>
      </w:r>
      <w:r w:rsidR="00894691" w:rsidRPr="000549F5">
        <w:rPr>
          <w:rFonts w:cs="Times New Roman"/>
          <w:lang w:val="fr-CA"/>
        </w:rPr>
        <w:t> »</w:t>
      </w:r>
      <w:r w:rsidRPr="000549F5">
        <w:rPr>
          <w:rFonts w:cs="Times New Roman"/>
          <w:lang w:val="fr-CA"/>
        </w:rPr>
        <w:t>, dans R.</w:t>
      </w:r>
      <w:r w:rsidR="00894691" w:rsidRPr="000549F5">
        <w:rPr>
          <w:rFonts w:cs="Times New Roman"/>
          <w:lang w:val="fr-CA"/>
        </w:rPr>
        <w:t xml:space="preserve"> </w:t>
      </w:r>
      <w:r w:rsidRPr="000549F5">
        <w:rPr>
          <w:rFonts w:cs="Times New Roman"/>
          <w:lang w:val="fr-CA"/>
        </w:rPr>
        <w:t>M.</w:t>
      </w:r>
      <w:r w:rsidR="00894691" w:rsidRPr="000549F5">
        <w:rPr>
          <w:rFonts w:cs="Times New Roman"/>
          <w:lang w:val="fr-CA"/>
        </w:rPr>
        <w:t xml:space="preserve"> </w:t>
      </w:r>
      <w:proofErr w:type="spellStart"/>
      <w:r w:rsidRPr="000549F5">
        <w:rPr>
          <w:rFonts w:cs="Times New Roman"/>
          <w:lang w:val="fr-CA"/>
        </w:rPr>
        <w:t>Dworkin</w:t>
      </w:r>
      <w:proofErr w:type="spellEnd"/>
      <w:r w:rsidRPr="000549F5">
        <w:rPr>
          <w:rFonts w:cs="Times New Roman"/>
          <w:lang w:val="fr-CA"/>
        </w:rPr>
        <w:t xml:space="preserve">, </w:t>
      </w:r>
      <w:proofErr w:type="spellStart"/>
      <w:proofErr w:type="gramStart"/>
      <w:r w:rsidRPr="000549F5">
        <w:rPr>
          <w:rFonts w:cs="Times New Roman"/>
          <w:lang w:val="fr-CA"/>
        </w:rPr>
        <w:t>dir</w:t>
      </w:r>
      <w:proofErr w:type="spellEnd"/>
      <w:r w:rsidRPr="000549F5">
        <w:rPr>
          <w:rFonts w:cs="Times New Roman"/>
          <w:lang w:val="fr-CA"/>
        </w:rPr>
        <w:t>.,</w:t>
      </w:r>
      <w:proofErr w:type="gramEnd"/>
      <w:r w:rsidRPr="000549F5">
        <w:rPr>
          <w:rFonts w:cs="Times New Roman"/>
          <w:lang w:val="fr-CA"/>
        </w:rPr>
        <w:t xml:space="preserve"> </w:t>
      </w:r>
      <w:r w:rsidRPr="000549F5">
        <w:rPr>
          <w:rFonts w:cs="Times New Roman"/>
          <w:i/>
          <w:lang w:val="fr-CA"/>
        </w:rPr>
        <w:t xml:space="preserve">The </w:t>
      </w:r>
      <w:proofErr w:type="spellStart"/>
      <w:r w:rsidRPr="000549F5">
        <w:rPr>
          <w:rFonts w:cs="Times New Roman"/>
          <w:i/>
          <w:lang w:val="fr-CA"/>
        </w:rPr>
        <w:t>Philosophy</w:t>
      </w:r>
      <w:proofErr w:type="spellEnd"/>
      <w:r w:rsidRPr="000549F5">
        <w:rPr>
          <w:rFonts w:cs="Times New Roman"/>
          <w:i/>
          <w:lang w:val="fr-CA"/>
        </w:rPr>
        <w:t xml:space="preserve"> of Law</w:t>
      </w:r>
      <w:r w:rsidRPr="000549F5">
        <w:rPr>
          <w:rFonts w:cs="Times New Roman"/>
          <w:lang w:val="fr-CA"/>
        </w:rPr>
        <w:t xml:space="preserve"> (1977), 38, p.</w:t>
      </w:r>
      <w:r w:rsidR="00894691" w:rsidRPr="000549F5">
        <w:rPr>
          <w:rFonts w:cs="Times New Roman"/>
          <w:lang w:val="fr-CA"/>
        </w:rPr>
        <w:t xml:space="preserve"> </w:t>
      </w:r>
      <w:r w:rsidRPr="000549F5">
        <w:rPr>
          <w:rFonts w:cs="Times New Roman"/>
          <w:lang w:val="fr-CA"/>
        </w:rPr>
        <w:t xml:space="preserve">47.  </w:t>
      </w:r>
      <w:r w:rsidRPr="00B37C27">
        <w:rPr>
          <w:rFonts w:cs="Times New Roman"/>
          <w:lang w:val="fr-CA"/>
        </w:rPr>
        <w:t>Il s’agit d’une norme qui aide à comprendre et à élaborer le droit de façon cohérente et rationnelle.</w:t>
      </w:r>
    </w:p>
    <w:p w:rsidR="00142A2B" w:rsidRPr="00B37C27" w:rsidRDefault="00142A2B" w:rsidP="00894691">
      <w:pPr>
        <w:pStyle w:val="ParaNoNdepar-AltN"/>
        <w:rPr>
          <w:rFonts w:cs="Times New Roman"/>
          <w:lang w:val="fr-CA"/>
        </w:rPr>
      </w:pPr>
      <w:r w:rsidRPr="00B37C27">
        <w:rPr>
          <w:rFonts w:cs="Times New Roman"/>
          <w:lang w:val="fr-CA"/>
        </w:rPr>
        <w:t xml:space="preserve">Le principe directeur de bonne foi montre bien que la partie contractante, lorsqu’elle exécute ses obligations contractuelles, devrait prendre en compte comme il se doit les intérêts légitimes de son partenaire contractuel.  Même si la </w:t>
      </w:r>
      <w:r w:rsidR="00894691">
        <w:rPr>
          <w:rFonts w:cs="Times New Roman"/>
          <w:lang w:val="fr-CA"/>
        </w:rPr>
        <w:t>« </w:t>
      </w:r>
      <w:r w:rsidRPr="00B37C27">
        <w:rPr>
          <w:rFonts w:cs="Times New Roman"/>
          <w:lang w:val="fr-CA"/>
        </w:rPr>
        <w:t>prise en compte comme il se doit</w:t>
      </w:r>
      <w:r w:rsidR="00894691">
        <w:rPr>
          <w:rFonts w:cs="Times New Roman"/>
          <w:lang w:val="fr-CA"/>
        </w:rPr>
        <w:t> »</w:t>
      </w:r>
      <w:r w:rsidRPr="00B37C27">
        <w:rPr>
          <w:rFonts w:cs="Times New Roman"/>
          <w:lang w:val="fr-CA"/>
        </w:rPr>
        <w:t xml:space="preserve"> des intérêts de l’autre partie variera en fonction du contexte de la relation contractuelle, elle n’oblige pas la partie à servir ces intérêts dans tous les cas.  Elle exige simplement que la partie ne cherche pas de mauvaise foi à nuire à ces intérêts.  Ce principe général présente des différences conceptuelles </w:t>
      </w:r>
      <w:r w:rsidRPr="00B37C27">
        <w:rPr>
          <w:rFonts w:cs="Times New Roman"/>
          <w:lang w:val="fr-CA"/>
        </w:rPr>
        <w:lastRenderedPageBreak/>
        <w:t>marquées par rapport aux obligations beaucoup plus rigoureuses du fiduciaire.  Contrairement aux obligations qui incombent au fiduciaire, l’exécution de bonne foi ne fait pas entrer en jeu les devoirs de loyauté envers l’autre partie contractante ou une obligation de veiller en priorité aux intérêts de l’autre partie contractante.</w:t>
      </w:r>
    </w:p>
    <w:p w:rsidR="00142A2B" w:rsidRPr="00B37C27" w:rsidRDefault="00142A2B" w:rsidP="00894691">
      <w:pPr>
        <w:pStyle w:val="ParaNoNdepar-AltN"/>
        <w:rPr>
          <w:rFonts w:cs="Times New Roman"/>
          <w:lang w:val="fr-CA"/>
        </w:rPr>
      </w:pPr>
      <w:r w:rsidRPr="00B37C27">
        <w:rPr>
          <w:rFonts w:cs="Times New Roman"/>
          <w:lang w:val="fr-CA"/>
        </w:rPr>
        <w:t xml:space="preserve">Ce principe directeur de bonne foi se manifeste par les règles existantes portant sur les types de situations et de relations dans lesquelles la loi exige, à certains égards, une exécution contractuelle honnête, franche ou raisonnable.  De façon générale, la notion de bonne foi ne sera pas retenue si elle ne cadre pas avec ces règles existantes.  Toutefois, nous devrions aussi reconnaître que cette liste n’est pas exhaustive.  L’application du principe directeur de bonne foi à des situations particulières devrait être élaborée lorsque les règles de droit existantes sont jugées insuffisantes et lorsque cette élaboration pourrait se faire graduellement d’une manière qui </w:t>
      </w:r>
      <w:r w:rsidR="000549F5">
        <w:rPr>
          <w:rFonts w:cs="Times New Roman"/>
          <w:lang w:val="fr-CA"/>
        </w:rPr>
        <w:t>est</w:t>
      </w:r>
      <w:r w:rsidRPr="00B37C27">
        <w:rPr>
          <w:rFonts w:cs="Times New Roman"/>
          <w:lang w:val="fr-CA"/>
        </w:rPr>
        <w:t xml:space="preserve"> compatible avec la structure du droit des contrats en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et qui reconn</w:t>
      </w:r>
      <w:r w:rsidR="000549F5">
        <w:rPr>
          <w:rFonts w:cs="Times New Roman"/>
          <w:lang w:val="fr-CA"/>
        </w:rPr>
        <w:t>aît</w:t>
      </w:r>
      <w:r w:rsidRPr="00B37C27">
        <w:rPr>
          <w:rFonts w:cs="Times New Roman"/>
          <w:lang w:val="fr-CA"/>
        </w:rPr>
        <w:t xml:space="preserve"> toute son importance au choix personnel et à la stabilité dans les affaires commerciales</w:t>
      </w:r>
      <w:r>
        <w:rPr>
          <w:rFonts w:cs="Times New Roman"/>
          <w:lang w:val="fr-CA"/>
        </w:rPr>
        <w:t>.</w:t>
      </w:r>
      <w:r w:rsidRPr="00B37C27">
        <w:rPr>
          <w:rFonts w:cs="Times New Roman"/>
          <w:lang w:val="fr-CA"/>
        </w:rPr>
        <w:t xml:space="preserve"> </w:t>
      </w:r>
    </w:p>
    <w:p w:rsidR="00142A2B" w:rsidRPr="00B37C27" w:rsidRDefault="00142A2B" w:rsidP="00894691">
      <w:pPr>
        <w:pStyle w:val="ParaNoNdepar-AltN"/>
        <w:rPr>
          <w:rFonts w:cs="Times New Roman"/>
          <w:lang w:val="fr-CA"/>
        </w:rPr>
      </w:pPr>
      <w:r w:rsidRPr="00B37C27">
        <w:rPr>
          <w:rFonts w:cs="Times New Roman"/>
          <w:lang w:val="fr-CA"/>
        </w:rPr>
        <w:t xml:space="preserve">Cette approche est conforme à celle retenue dans le cas de l’enrichissement sans cause.  La juge </w:t>
      </w:r>
      <w:proofErr w:type="spellStart"/>
      <w:r w:rsidRPr="00B37C27">
        <w:rPr>
          <w:rFonts w:cs="Times New Roman"/>
          <w:lang w:val="fr-CA"/>
        </w:rPr>
        <w:t>McLachlin</w:t>
      </w:r>
      <w:proofErr w:type="spellEnd"/>
      <w:r w:rsidRPr="00B37C27">
        <w:rPr>
          <w:rFonts w:cs="Times New Roman"/>
          <w:lang w:val="fr-CA"/>
        </w:rPr>
        <w:t xml:space="preserve"> a énoncé l’approche dans l’arrêt </w:t>
      </w:r>
      <w:r w:rsidRPr="00B37C27">
        <w:rPr>
          <w:rFonts w:cs="Times New Roman"/>
          <w:i/>
          <w:lang w:val="fr-CA"/>
        </w:rPr>
        <w:t>Peel (Municipalité régionale) c. Canada</w:t>
      </w:r>
      <w:r w:rsidRPr="00B37C27">
        <w:rPr>
          <w:rFonts w:cs="Times New Roman"/>
          <w:lang w:val="fr-CA"/>
        </w:rPr>
        <w:t>, [1992] 3 R.C.S. 762, p.</w:t>
      </w:r>
      <w:r w:rsidR="00894691">
        <w:rPr>
          <w:rFonts w:cs="Times New Roman"/>
          <w:lang w:val="fr-CA"/>
        </w:rPr>
        <w:t xml:space="preserve"> </w:t>
      </w:r>
      <w:r w:rsidRPr="00B37C27">
        <w:rPr>
          <w:rFonts w:cs="Times New Roman"/>
          <w:lang w:val="fr-CA"/>
        </w:rPr>
        <w:t>786 et 788</w:t>
      </w:r>
      <w:r w:rsidR="00894691">
        <w:rPr>
          <w:rFonts w:cs="Times New Roman"/>
          <w:lang w:val="fr-CA"/>
        </w:rPr>
        <w:t> :</w:t>
      </w:r>
    </w:p>
    <w:p w:rsidR="00142A2B" w:rsidRPr="00B37C27" w:rsidRDefault="00142A2B" w:rsidP="00894691">
      <w:pPr>
        <w:pStyle w:val="Citation-AltC"/>
        <w:tabs>
          <w:tab w:val="left" w:pos="1560"/>
        </w:tabs>
        <w:spacing w:after="240"/>
        <w:ind w:hanging="1166"/>
        <w:contextualSpacing w:val="0"/>
        <w:rPr>
          <w:lang w:val="fr-CA"/>
        </w:rPr>
      </w:pPr>
      <w:r w:rsidRPr="00B37C27">
        <w:rPr>
          <w:lang w:val="fr-CA"/>
        </w:rPr>
        <w:tab/>
      </w:r>
      <w:r w:rsidRPr="00B37C27">
        <w:rPr>
          <w:lang w:val="fr-CA"/>
        </w:rPr>
        <w:tab/>
        <w:t>Notre tâche en l’espèce est difficile</w:t>
      </w:r>
      <w:r w:rsidR="00894691">
        <w:rPr>
          <w:lang w:val="fr-CA"/>
        </w:rPr>
        <w:t> :</w:t>
      </w:r>
      <w:r w:rsidRPr="00B37C27">
        <w:rPr>
          <w:lang w:val="fr-CA"/>
        </w:rPr>
        <w:t xml:space="preserve"> elle consiste à concilier les points de vue opposés quant à la véritable portée de la doctrine de l’enrichissement sans cause ou même à régler ce conflit.  Selon moi, il nous faut choisir un moyen terme qui reconnaît l’importance de se fo</w:t>
      </w:r>
      <w:r w:rsidR="000549F5">
        <w:rPr>
          <w:lang w:val="fr-CA"/>
        </w:rPr>
        <w:t>nder sur les principes généraux</w:t>
      </w:r>
      <w:r w:rsidRPr="00B37C27">
        <w:rPr>
          <w:lang w:val="fr-CA"/>
        </w:rPr>
        <w:t xml:space="preserve"> mais qui cherche à réconcilier ces principes et les catégories de recouvrement</w:t>
      </w:r>
      <w:r w:rsidR="00AC24AE">
        <w:rPr>
          <w:lang w:val="fr-CA"/>
        </w:rPr>
        <w:t xml:space="preserve"> </w:t>
      </w:r>
      <w:r w:rsidRPr="00B37C27">
        <w:rPr>
          <w:lang w:val="fr-CA"/>
        </w:rPr>
        <w:t xml:space="preserve">. </w:t>
      </w:r>
      <w:r w:rsidR="000549F5">
        <w:rPr>
          <w:lang w:val="fr-CA"/>
        </w:rPr>
        <w:t xml:space="preserve">. . </w:t>
      </w:r>
    </w:p>
    <w:p w:rsidR="00142A2B" w:rsidRPr="00B37C27" w:rsidRDefault="00894691" w:rsidP="00894691">
      <w:pPr>
        <w:pStyle w:val="Citation-AltC"/>
        <w:spacing w:after="240"/>
        <w:ind w:firstLine="274"/>
        <w:contextualSpacing w:val="0"/>
        <w:jc w:val="center"/>
        <w:rPr>
          <w:lang w:val="fr-CA"/>
        </w:rPr>
      </w:pPr>
      <w:r>
        <w:rPr>
          <w:lang w:val="fr-CA"/>
        </w:rPr>
        <w:lastRenderedPageBreak/>
        <w:t>. . .</w:t>
      </w:r>
    </w:p>
    <w:p w:rsidR="00142A2B" w:rsidRPr="00B37C27" w:rsidRDefault="00142A2B" w:rsidP="00894691">
      <w:pPr>
        <w:pStyle w:val="Citation-AltC"/>
        <w:tabs>
          <w:tab w:val="left" w:pos="1560"/>
        </w:tabs>
        <w:ind w:hanging="1166"/>
        <w:contextualSpacing w:val="0"/>
        <w:rPr>
          <w:lang w:val="fr-CA"/>
        </w:rPr>
      </w:pPr>
      <w:r w:rsidRPr="00B37C27">
        <w:rPr>
          <w:lang w:val="fr-CA"/>
        </w:rPr>
        <w:tab/>
      </w:r>
      <w:r w:rsidRPr="00B37C27">
        <w:rPr>
          <w:lang w:val="fr-CA"/>
        </w:rPr>
        <w:tab/>
        <w:t>L’on constate donc que le principe d’application générale à trois volets reconnu par notre Cour comme le fondement de l’action pour enrichissement sans cause procède des catégories traditionnelles de recouvrement.  Ces catégories constituent l’essence du principe, quoique celui</w:t>
      </w:r>
      <w:r w:rsidR="00894691">
        <w:rPr>
          <w:lang w:val="fr-CA"/>
        </w:rPr>
        <w:t>-</w:t>
      </w:r>
      <w:r w:rsidRPr="00B37C27">
        <w:rPr>
          <w:lang w:val="fr-CA"/>
        </w:rPr>
        <w:t xml:space="preserve">ci puisse les déborder de manière à ce que le droit puisse évoluer avec la souplesse qui s’impose pour tenir compte des perceptions changeantes de la justice. </w:t>
      </w:r>
    </w:p>
    <w:p w:rsidR="00142A2B" w:rsidRPr="00B37C27" w:rsidRDefault="00142A2B" w:rsidP="00894691">
      <w:pPr>
        <w:pStyle w:val="ParaNoNdepar-AltN"/>
        <w:rPr>
          <w:rFonts w:cs="Times New Roman"/>
          <w:lang w:val="fr-CA"/>
        </w:rPr>
      </w:pPr>
      <w:r w:rsidRPr="00B37C27">
        <w:rPr>
          <w:rFonts w:cs="Times New Roman"/>
          <w:lang w:val="fr-CA"/>
        </w:rPr>
        <w:t xml:space="preserve">L’approche souple adoptée dans </w:t>
      </w:r>
      <w:r w:rsidRPr="00B37C27">
        <w:rPr>
          <w:rFonts w:cs="Times New Roman"/>
          <w:i/>
          <w:lang w:val="fr-CA"/>
        </w:rPr>
        <w:t>Peel</w:t>
      </w:r>
      <w:r w:rsidRPr="00B37C27">
        <w:rPr>
          <w:rFonts w:cs="Times New Roman"/>
          <w:lang w:val="fr-CA"/>
        </w:rPr>
        <w:t xml:space="preserve"> reconnaît qu’</w:t>
      </w:r>
      <w:r w:rsidR="00894691">
        <w:rPr>
          <w:rFonts w:cs="Times New Roman"/>
          <w:lang w:val="fr-CA"/>
        </w:rPr>
        <w:t>« </w:t>
      </w:r>
      <w:r w:rsidR="000549F5">
        <w:rPr>
          <w:rFonts w:cs="Times New Roman"/>
          <w:lang w:val="fr-CA"/>
        </w:rPr>
        <w:t>[a]u cœur de la doctrine de l’enrichissement sans cause, qu’</w:t>
      </w:r>
      <w:r w:rsidRPr="00B37C27">
        <w:rPr>
          <w:rFonts w:cs="Times New Roman"/>
          <w:lang w:val="fr-CA"/>
        </w:rPr>
        <w:t>elle soit formulée en fonction des catégories tradit</w:t>
      </w:r>
      <w:r w:rsidR="000549F5">
        <w:rPr>
          <w:rFonts w:cs="Times New Roman"/>
          <w:lang w:val="fr-CA"/>
        </w:rPr>
        <w:t>ionnelles de recouvrement ou qu’</w:t>
      </w:r>
      <w:r w:rsidRPr="00B37C27">
        <w:rPr>
          <w:rFonts w:cs="Times New Roman"/>
          <w:lang w:val="fr-CA"/>
        </w:rPr>
        <w:t>elle soit énoncée à titre de principe général, se trouv</w:t>
      </w:r>
      <w:r w:rsidR="000549F5">
        <w:rPr>
          <w:rFonts w:cs="Times New Roman"/>
          <w:lang w:val="fr-CA"/>
        </w:rPr>
        <w:t>e la notion de la restitution d’</w:t>
      </w:r>
      <w:r w:rsidRPr="00B37C27">
        <w:rPr>
          <w:rFonts w:cs="Times New Roman"/>
          <w:lang w:val="fr-CA"/>
        </w:rPr>
        <w:t>un avantage que la justice ne permet pas au bénéficiaire de conserver</w:t>
      </w:r>
      <w:r w:rsidR="00894691">
        <w:rPr>
          <w:rFonts w:cs="Times New Roman"/>
          <w:lang w:val="fr-CA"/>
        </w:rPr>
        <w:t> » :</w:t>
      </w:r>
      <w:r w:rsidRPr="00B37C27">
        <w:rPr>
          <w:rFonts w:cs="Times New Roman"/>
          <w:lang w:val="fr-CA"/>
        </w:rPr>
        <w:t xml:space="preserve"> p.</w:t>
      </w:r>
      <w:r w:rsidR="00894691">
        <w:rPr>
          <w:rFonts w:cs="Times New Roman"/>
          <w:lang w:val="fr-CA"/>
        </w:rPr>
        <w:t xml:space="preserve"> </w:t>
      </w:r>
      <w:r w:rsidRPr="00B37C27">
        <w:rPr>
          <w:rFonts w:cs="Times New Roman"/>
          <w:lang w:val="fr-CA"/>
        </w:rPr>
        <w:t>788.  Dans cette affaire, notre Cour a étoffé le droit par l’application d’</w:t>
      </w:r>
      <w:bookmarkStart w:id="0" w:name="_GoBack"/>
      <w:bookmarkEnd w:id="0"/>
      <w:r w:rsidRPr="00B37C27">
        <w:rPr>
          <w:rFonts w:cs="Times New Roman"/>
          <w:lang w:val="fr-CA"/>
        </w:rPr>
        <w:t>un principe directeur sans modifier les règles spécifiques existantes.  C’est ce que je propose de faire à l’égard du principe directeur de bonne foi.</w:t>
      </w:r>
    </w:p>
    <w:p w:rsidR="00142A2B" w:rsidRPr="00B37C27" w:rsidRDefault="00142A2B" w:rsidP="00894691">
      <w:pPr>
        <w:pStyle w:val="ParaNoNdepar-AltN"/>
        <w:rPr>
          <w:rFonts w:cs="Times New Roman"/>
          <w:lang w:val="fr-CA"/>
        </w:rPr>
      </w:pPr>
      <w:r w:rsidRPr="00B37C27">
        <w:rPr>
          <w:rFonts w:cs="Times New Roman"/>
          <w:lang w:val="fr-CA"/>
        </w:rPr>
        <w:t xml:space="preserve">Pour élaborer la doctrine de la bonne foi, il convient de retenir l’approche qui consiste à reconnaître un principe directeur prépondérant tout en acceptant que les règles de droit existantes serviront de guide principal pour préciser ultérieurement le droit.  Il est possible d’invoquer la bonne foi dans des contextes très divers, ce qui requiert une compréhension hautement contextuelle de ce qu’exige l’exécution d’une manière honnête et raisonnable de sorte qu’il soit tenu compte comme il se doit des intérêts légitimes des deux parties contractantes.  Par exemple, les incidences de l’application du principe directeur général de bonne foi dans le contexte d’un contrat de coopération mutuelle de longue durée seraient vraisemblablement différentes de </w:t>
      </w:r>
      <w:r w:rsidRPr="00B37C27">
        <w:rPr>
          <w:rFonts w:cs="Times New Roman"/>
          <w:lang w:val="fr-CA"/>
        </w:rPr>
        <w:lastRenderedPageBreak/>
        <w:t>celles qu’elle aurait dans le contexte d’un échange de nature plus transactionnelle</w:t>
      </w:r>
      <w:r w:rsidR="00894691">
        <w:rPr>
          <w:rFonts w:cs="Times New Roman"/>
          <w:lang w:val="fr-CA"/>
        </w:rPr>
        <w:t> :</w:t>
      </w:r>
      <w:r w:rsidRPr="00B37C27">
        <w:rPr>
          <w:rFonts w:cs="Times New Roman"/>
          <w:lang w:val="fr-CA"/>
        </w:rPr>
        <w:t xml:space="preserve"> Swan et </w:t>
      </w:r>
      <w:proofErr w:type="spellStart"/>
      <w:r w:rsidRPr="00B37C27">
        <w:rPr>
          <w:rFonts w:cs="Times New Roman"/>
          <w:lang w:val="fr-CA"/>
        </w:rPr>
        <w:t>Adamski</w:t>
      </w:r>
      <w:proofErr w:type="spellEnd"/>
      <w:r w:rsidRPr="00B37C27">
        <w:rPr>
          <w:rFonts w:cs="Times New Roman"/>
          <w:lang w:val="fr-CA"/>
        </w:rPr>
        <w:t>, §</w:t>
      </w:r>
      <w:r w:rsidR="00894691">
        <w:rPr>
          <w:rFonts w:cs="Times New Roman"/>
          <w:lang w:val="fr-CA"/>
        </w:rPr>
        <w:t xml:space="preserve"> </w:t>
      </w:r>
      <w:r w:rsidRPr="00B37C27">
        <w:rPr>
          <w:rFonts w:cs="Times New Roman"/>
          <w:lang w:val="fr-CA"/>
        </w:rPr>
        <w:t>1.24; B.</w:t>
      </w:r>
      <w:r w:rsidR="00894691">
        <w:rPr>
          <w:rFonts w:cs="Times New Roman"/>
          <w:lang w:val="fr-CA"/>
        </w:rPr>
        <w:t xml:space="preserve"> </w:t>
      </w:r>
      <w:r w:rsidRPr="00B37C27">
        <w:rPr>
          <w:rFonts w:cs="Times New Roman"/>
          <w:lang w:val="fr-CA"/>
        </w:rPr>
        <w:t xml:space="preserve">Dixon, </w:t>
      </w:r>
      <w:r w:rsidR="00894691">
        <w:rPr>
          <w:rFonts w:cs="Times New Roman"/>
          <w:lang w:val="fr-CA"/>
        </w:rPr>
        <w:t>« </w:t>
      </w:r>
      <w:r w:rsidRPr="00B37C27">
        <w:rPr>
          <w:rFonts w:cs="Times New Roman"/>
          <w:lang w:val="fr-CA"/>
        </w:rPr>
        <w:t xml:space="preserve">Common </w:t>
      </w:r>
      <w:proofErr w:type="spellStart"/>
      <w:r w:rsidRPr="00B37C27">
        <w:rPr>
          <w:rFonts w:cs="Times New Roman"/>
          <w:lang w:val="fr-CA"/>
        </w:rPr>
        <w:t>law</w:t>
      </w:r>
      <w:proofErr w:type="spellEnd"/>
      <w:r w:rsidRPr="00B37C27">
        <w:rPr>
          <w:rFonts w:cs="Times New Roman"/>
          <w:lang w:val="fr-CA"/>
        </w:rPr>
        <w:t xml:space="preserve"> obligations of good </w:t>
      </w:r>
      <w:proofErr w:type="spellStart"/>
      <w:r w:rsidRPr="00B37C27">
        <w:rPr>
          <w:rFonts w:cs="Times New Roman"/>
          <w:lang w:val="fr-CA"/>
        </w:rPr>
        <w:t>faith</w:t>
      </w:r>
      <w:proofErr w:type="spellEnd"/>
      <w:r w:rsidRPr="00B37C27">
        <w:rPr>
          <w:rFonts w:cs="Times New Roman"/>
          <w:lang w:val="fr-CA"/>
        </w:rPr>
        <w:t xml:space="preserve"> in </w:t>
      </w:r>
      <w:proofErr w:type="spellStart"/>
      <w:r w:rsidRPr="00B37C27">
        <w:rPr>
          <w:rFonts w:cs="Times New Roman"/>
          <w:lang w:val="fr-CA"/>
        </w:rPr>
        <w:t>Australian</w:t>
      </w:r>
      <w:proofErr w:type="spellEnd"/>
      <w:r w:rsidRPr="00B37C27">
        <w:rPr>
          <w:rFonts w:cs="Times New Roman"/>
          <w:lang w:val="fr-CA"/>
        </w:rPr>
        <w:t xml:space="preserve"> commercial </w:t>
      </w:r>
      <w:proofErr w:type="spellStart"/>
      <w:r w:rsidRPr="00B37C27">
        <w:rPr>
          <w:rFonts w:cs="Times New Roman"/>
          <w:lang w:val="fr-CA"/>
        </w:rPr>
        <w:t>contracts</w:t>
      </w:r>
      <w:proofErr w:type="spellEnd"/>
      <w:r w:rsidRPr="00B37C27">
        <w:rPr>
          <w:rFonts w:cs="Times New Roman"/>
          <w:lang w:val="fr-CA"/>
        </w:rPr>
        <w:t xml:space="preserve"> — a </w:t>
      </w:r>
      <w:proofErr w:type="spellStart"/>
      <w:r w:rsidRPr="00B37C27">
        <w:rPr>
          <w:rFonts w:cs="Times New Roman"/>
          <w:lang w:val="fr-CA"/>
        </w:rPr>
        <w:t>relational</w:t>
      </w:r>
      <w:proofErr w:type="spellEnd"/>
      <w:r w:rsidRPr="00B37C27">
        <w:rPr>
          <w:rFonts w:cs="Times New Roman"/>
          <w:lang w:val="fr-CA"/>
        </w:rPr>
        <w:t xml:space="preserve"> </w:t>
      </w:r>
      <w:proofErr w:type="spellStart"/>
      <w:r w:rsidRPr="00B37C27">
        <w:rPr>
          <w:rFonts w:cs="Times New Roman"/>
          <w:lang w:val="fr-CA"/>
        </w:rPr>
        <w:t>recipe</w:t>
      </w:r>
      <w:proofErr w:type="spellEnd"/>
      <w:r w:rsidR="00894691">
        <w:rPr>
          <w:rFonts w:cs="Times New Roman"/>
          <w:lang w:val="fr-CA"/>
        </w:rPr>
        <w:t> »</w:t>
      </w:r>
      <w:r w:rsidRPr="00B37C27">
        <w:rPr>
          <w:rFonts w:cs="Times New Roman"/>
          <w:lang w:val="fr-CA"/>
        </w:rPr>
        <w:t xml:space="preserve"> (2005), 33 </w:t>
      </w:r>
      <w:r w:rsidRPr="00B37C27">
        <w:rPr>
          <w:rFonts w:cs="Times New Roman"/>
          <w:i/>
          <w:lang w:val="fr-CA"/>
        </w:rPr>
        <w:t>A.B.L.R.</w:t>
      </w:r>
      <w:r w:rsidRPr="00B37C27">
        <w:rPr>
          <w:rFonts w:cs="Times New Roman"/>
          <w:lang w:val="fr-CA"/>
        </w:rPr>
        <w:t xml:space="preserve"> 87. </w:t>
      </w:r>
    </w:p>
    <w:p w:rsidR="00142A2B" w:rsidRPr="00B37C27" w:rsidRDefault="00142A2B" w:rsidP="00894691">
      <w:pPr>
        <w:pStyle w:val="ParaNoNdepar-AltN"/>
        <w:rPr>
          <w:rFonts w:cs="Times New Roman"/>
          <w:lang w:val="fr-CA"/>
        </w:rPr>
      </w:pPr>
      <w:r w:rsidRPr="00B37C27">
        <w:rPr>
          <w:rFonts w:cs="Times New Roman"/>
          <w:lang w:val="fr-CA"/>
        </w:rPr>
        <w:t xml:space="preserve">Il convient d’appliquer le principe de la bonne foi d’une manière conforme aux engagements fondamentaux du droit des contrats en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lequel accorde généralement beaucoup de poids à la liberté des parties contractantes dans la poursuite de leur intérêt personnel.  En matière commerciale, une partie peut parfois causer une perte à une autre partie </w:t>
      </w:r>
      <w:r w:rsidR="000549F5">
        <w:rPr>
          <w:rFonts w:cs="Times New Roman"/>
          <w:lang w:val="fr-CA"/>
        </w:rPr>
        <w:t>—</w:t>
      </w:r>
      <w:r w:rsidRPr="00B37C27">
        <w:rPr>
          <w:rFonts w:cs="Times New Roman"/>
          <w:lang w:val="fr-CA"/>
        </w:rPr>
        <w:t xml:space="preserve"> même de façon intentionnelle </w:t>
      </w:r>
      <w:r w:rsidR="009E48A7">
        <w:rPr>
          <w:rFonts w:cs="Times New Roman"/>
          <w:lang w:val="fr-CA"/>
        </w:rPr>
        <w:t>—</w:t>
      </w:r>
      <w:r w:rsidRPr="00B37C27">
        <w:rPr>
          <w:rFonts w:cs="Times New Roman"/>
          <w:lang w:val="fr-CA"/>
        </w:rPr>
        <w:t xml:space="preserve"> dans la poursuite légitime d’intérêts économiques personnels</w:t>
      </w:r>
      <w:r w:rsidR="00894691">
        <w:rPr>
          <w:rFonts w:cs="Times New Roman"/>
          <w:lang w:val="fr-CA"/>
        </w:rPr>
        <w:t> :</w:t>
      </w:r>
      <w:r w:rsidRPr="00B37C27">
        <w:rPr>
          <w:rFonts w:cs="Times New Roman"/>
          <w:lang w:val="fr-CA"/>
        </w:rPr>
        <w:t xml:space="preserve"> </w:t>
      </w:r>
      <w:r w:rsidRPr="00B37C27">
        <w:rPr>
          <w:rFonts w:cs="Times New Roman"/>
          <w:i/>
          <w:lang w:val="fr-CA"/>
        </w:rPr>
        <w:t xml:space="preserve">A.I. </w:t>
      </w:r>
      <w:proofErr w:type="spellStart"/>
      <w:r w:rsidRPr="00B37C27">
        <w:rPr>
          <w:rFonts w:cs="Times New Roman"/>
          <w:i/>
          <w:lang w:val="fr-CA"/>
        </w:rPr>
        <w:t>Enterprises</w:t>
      </w:r>
      <w:proofErr w:type="spellEnd"/>
      <w:r w:rsidRPr="00B37C27">
        <w:rPr>
          <w:rFonts w:cs="Times New Roman"/>
          <w:i/>
          <w:lang w:val="fr-CA"/>
        </w:rPr>
        <w:t xml:space="preserve"> Ltd. c. Bram </w:t>
      </w:r>
      <w:proofErr w:type="spellStart"/>
      <w:r w:rsidRPr="00B37C27">
        <w:rPr>
          <w:rFonts w:cs="Times New Roman"/>
          <w:i/>
          <w:lang w:val="fr-CA"/>
        </w:rPr>
        <w:t>Enterprises</w:t>
      </w:r>
      <w:proofErr w:type="spellEnd"/>
      <w:r w:rsidRPr="00B37C27">
        <w:rPr>
          <w:rFonts w:cs="Times New Roman"/>
          <w:i/>
          <w:lang w:val="fr-CA"/>
        </w:rPr>
        <w:t xml:space="preserve"> Ltd.</w:t>
      </w:r>
      <w:r w:rsidRPr="00B37C27">
        <w:rPr>
          <w:rFonts w:cs="Times New Roman"/>
          <w:lang w:val="fr-CA"/>
        </w:rPr>
        <w:t>, 2014 CSC 12, [2014] 1</w:t>
      </w:r>
      <w:r w:rsidR="001A0EC0">
        <w:rPr>
          <w:rFonts w:cs="Times New Roman"/>
          <w:lang w:val="fr-CA"/>
        </w:rPr>
        <w:t xml:space="preserve"> </w:t>
      </w:r>
      <w:r w:rsidRPr="00B37C27">
        <w:rPr>
          <w:rFonts w:cs="Times New Roman"/>
          <w:lang w:val="fr-CA"/>
        </w:rPr>
        <w:t>R.C.S. 177, par.</w:t>
      </w:r>
      <w:r w:rsidR="00894691">
        <w:rPr>
          <w:rFonts w:cs="Times New Roman"/>
          <w:lang w:val="fr-CA"/>
        </w:rPr>
        <w:t xml:space="preserve"> </w:t>
      </w:r>
      <w:r w:rsidRPr="00B37C27">
        <w:rPr>
          <w:rFonts w:cs="Times New Roman"/>
          <w:lang w:val="fr-CA"/>
        </w:rPr>
        <w:t>31.  Agir de la sorte n’entre pas nécessairement en contradiction avec la bonne foi et, dans certains cas, les tribunaux ont encouragé les parties à adopter cette attitude au nom de l’efficience économique</w:t>
      </w:r>
      <w:r w:rsidR="00894691">
        <w:rPr>
          <w:rFonts w:cs="Times New Roman"/>
          <w:lang w:val="fr-CA"/>
        </w:rPr>
        <w:t> :</w:t>
      </w:r>
      <w:r w:rsidRPr="00B37C27">
        <w:rPr>
          <w:rFonts w:cs="Times New Roman"/>
          <w:lang w:val="fr-CA"/>
        </w:rPr>
        <w:t xml:space="preserve"> </w:t>
      </w:r>
      <w:r w:rsidRPr="00B37C27">
        <w:rPr>
          <w:rFonts w:cs="Times New Roman"/>
          <w:i/>
          <w:lang w:val="fr-CA"/>
        </w:rPr>
        <w:t>Banque d’Amérique du Canada c. Société de Fiducie Mutuelle</w:t>
      </w:r>
      <w:r w:rsidRPr="00B37C27">
        <w:rPr>
          <w:rFonts w:cs="Times New Roman"/>
          <w:lang w:val="fr-CA"/>
        </w:rPr>
        <w:t>, 2002 CSC 43, [2002] 2 R.C.S.</w:t>
      </w:r>
      <w:r w:rsidR="00894691">
        <w:rPr>
          <w:rFonts w:cs="Times New Roman"/>
          <w:lang w:val="fr-CA"/>
        </w:rPr>
        <w:t xml:space="preserve"> </w:t>
      </w:r>
      <w:r w:rsidRPr="00B37C27">
        <w:rPr>
          <w:rFonts w:cs="Times New Roman"/>
          <w:lang w:val="fr-CA"/>
        </w:rPr>
        <w:t>601, par.</w:t>
      </w:r>
      <w:r w:rsidR="00894691">
        <w:rPr>
          <w:rFonts w:cs="Times New Roman"/>
          <w:lang w:val="fr-CA"/>
        </w:rPr>
        <w:t xml:space="preserve"> </w:t>
      </w:r>
      <w:r w:rsidRPr="00B37C27">
        <w:rPr>
          <w:rFonts w:cs="Times New Roman"/>
          <w:lang w:val="fr-CA"/>
        </w:rPr>
        <w:t xml:space="preserve">31.  L’évolution du principe de la bonne foi doit éviter clairement de se transformer en une forme de moralisme judiciaire ponctuel ou en une justice au cas par cas.  Plus particulièrement, le principe directeur de bonne foi ne devrait pas servir de prétexte à un examen approfondi des intentions des parties contractantes. </w:t>
      </w:r>
    </w:p>
    <w:p w:rsidR="00142A2B" w:rsidRPr="00B37C27" w:rsidRDefault="00142A2B" w:rsidP="00894691">
      <w:pPr>
        <w:pStyle w:val="ParaNoNdepar-AltN"/>
        <w:rPr>
          <w:rFonts w:cs="Times New Roman"/>
          <w:lang w:val="fr-CA"/>
        </w:rPr>
      </w:pPr>
      <w:r w:rsidRPr="00B37C27">
        <w:rPr>
          <w:rFonts w:cs="Times New Roman"/>
          <w:lang w:val="fr-CA"/>
        </w:rPr>
        <w:t>Le lien tissé entre le principe directeur et le droit existant atténue la crainte que l’introduction de toute notion générale de la bonne foi dans le droit des contrats compromette la stabilité dans les contrats commerciaux.  À mon avis, cette approche établit un juste équilibre entre la prévisibilité et la</w:t>
      </w:r>
      <w:r w:rsidR="00894691">
        <w:rPr>
          <w:rFonts w:cs="Times New Roman"/>
          <w:lang w:val="fr-CA"/>
        </w:rPr>
        <w:t xml:space="preserve"> </w:t>
      </w:r>
      <w:r w:rsidRPr="00B37C27">
        <w:rPr>
          <w:rFonts w:cs="Times New Roman"/>
          <w:lang w:val="fr-CA"/>
        </w:rPr>
        <w:t xml:space="preserve">souplesse. </w:t>
      </w:r>
    </w:p>
    <w:p w:rsidR="00142A2B" w:rsidRPr="00B37C27" w:rsidRDefault="00142A2B" w:rsidP="00071EE8">
      <w:pPr>
        <w:pStyle w:val="Title5LevelTitre5Niveau"/>
        <w:tabs>
          <w:tab w:val="clear" w:pos="1728"/>
          <w:tab w:val="num" w:pos="900"/>
        </w:tabs>
        <w:ind w:left="900" w:hanging="450"/>
        <w:rPr>
          <w:rFonts w:cs="Times New Roman"/>
          <w:lang w:val="fr-CA"/>
        </w:rPr>
      </w:pPr>
      <w:r w:rsidRPr="00B37C27">
        <w:rPr>
          <w:rFonts w:cs="Times New Roman"/>
          <w:lang w:val="fr-CA"/>
        </w:rPr>
        <w:lastRenderedPageBreak/>
        <w:t>Faudrait</w:t>
      </w:r>
      <w:r w:rsidR="00894691">
        <w:rPr>
          <w:rFonts w:cs="Times New Roman"/>
          <w:lang w:val="fr-CA"/>
        </w:rPr>
        <w:t>-</w:t>
      </w:r>
      <w:r w:rsidRPr="00B37C27">
        <w:rPr>
          <w:rFonts w:cs="Times New Roman"/>
          <w:lang w:val="fr-CA"/>
        </w:rPr>
        <w:t>il créer une nouvelle obligation?</w:t>
      </w:r>
    </w:p>
    <w:p w:rsidR="00142A2B" w:rsidRPr="00B37C27" w:rsidRDefault="00142A2B" w:rsidP="00894691">
      <w:pPr>
        <w:pStyle w:val="ParaNoNdepar-AltN"/>
        <w:rPr>
          <w:rFonts w:cs="Times New Roman"/>
          <w:lang w:val="fr-CA"/>
        </w:rPr>
      </w:pPr>
      <w:r w:rsidRPr="00B37C27">
        <w:rPr>
          <w:rFonts w:cs="Times New Roman"/>
          <w:lang w:val="fr-CA"/>
        </w:rPr>
        <w:t>À mon avis, le reproche à l’égard de la conduite de Can</w:t>
      </w:r>
      <w:r w:rsidR="00894691">
        <w:rPr>
          <w:rFonts w:cs="Times New Roman"/>
          <w:lang w:val="fr-CA"/>
        </w:rPr>
        <w:t>-</w:t>
      </w:r>
      <w:r w:rsidRPr="00B37C27">
        <w:rPr>
          <w:rFonts w:cs="Times New Roman"/>
          <w:lang w:val="fr-CA"/>
        </w:rPr>
        <w:t>Am ne cadre dans aucune des situations ou des relations à l’égard desquelles les obligations de bonne foi ont trouvé application.  Il n’y avait pas entre Can</w:t>
      </w:r>
      <w:r w:rsidR="00894691">
        <w:rPr>
          <w:rFonts w:cs="Times New Roman"/>
          <w:lang w:val="fr-CA"/>
        </w:rPr>
        <w:t>-</w:t>
      </w:r>
      <w:r w:rsidRPr="00B37C27">
        <w:rPr>
          <w:rFonts w:cs="Times New Roman"/>
          <w:lang w:val="fr-CA"/>
        </w:rPr>
        <w:t>Am et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une relation d’emploi ou de franchise.  Faire entrer la décision de ne pas renouveler le contrat dans la catégorie de l’exercice d’un pouvoir discrétionnaire de nature contractuelle aurait pour effet d’élargir sensiblement la jurisprudence applicable à ce type de situation.  Après tout, une partie dispose presque toujours d’une certaine marge de discrétion quant à sa façon d’exécuter un contrat.  Il serait également difficile de prétendre qu’une obligation </w:t>
      </w:r>
      <w:r w:rsidRPr="00B37C27">
        <w:rPr>
          <w:rFonts w:cs="Times New Roman"/>
          <w:noProof/>
          <w:lang w:val="fr-CA"/>
        </w:rPr>
        <w:t xml:space="preserve">d’agir </w:t>
      </w:r>
      <w:r w:rsidRPr="00B37C27">
        <w:rPr>
          <w:rFonts w:cs="Times New Roman"/>
          <w:lang w:val="fr-CA"/>
        </w:rPr>
        <w:t xml:space="preserve">de bonne foi devrait en l’espèce découler implicitement de l’intention des parties étant donné la formulation limpide de la clause </w:t>
      </w:r>
      <w:r w:rsidRPr="00B37C27">
        <w:rPr>
          <w:rFonts w:cs="Times New Roman"/>
          <w:noProof/>
          <w:lang w:val="fr-CA"/>
        </w:rPr>
        <w:t>d’intégralité de l’entente</w:t>
      </w:r>
      <w:r w:rsidRPr="00B37C27">
        <w:rPr>
          <w:rFonts w:cs="Times New Roman"/>
          <w:lang w:val="fr-CA"/>
        </w:rPr>
        <w:t xml:space="preserve"> dans leur contrat.  La principale question soumise à la Cour est donc de savoir si nous devons créer une nouvelle obligation en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au sein du vaste principe directeur de l’exécution de bonne foi des contrats. </w:t>
      </w:r>
    </w:p>
    <w:p w:rsidR="00142A2B" w:rsidRPr="00071EE8" w:rsidRDefault="00142A2B" w:rsidP="00071EE8">
      <w:pPr>
        <w:pStyle w:val="ParaNoNdepar-AltN"/>
        <w:rPr>
          <w:rFonts w:cs="Times New Roman"/>
          <w:lang w:val="fr-CA"/>
        </w:rPr>
      </w:pPr>
      <w:r w:rsidRPr="00B37C27">
        <w:rPr>
          <w:rFonts w:cs="Times New Roman"/>
          <w:lang w:val="fr-CA"/>
        </w:rPr>
        <w:t xml:space="preserve">À mon avis, il le faut. Je conclurais qu’il existe une obligation générale d’honnêteté applicable à l’exécution des contrats.  Ce qui signifie simplement que les parties ne doivent pas se mentir ni autrement s’induire intentionnellement en erreur au sujet de questions directement liées à l’exécution du contrat.  Cette obligation n’impose pas un devoir de loyauté ou de divulgation ni n’exige d’une partie qu’elle renonce à des avantages découlant du contrat; il s’agit d’une simple exigence faite à une partie de ne pas mentir à l’autre partie ni de la tromper au sujet de l’exécution de </w:t>
      </w:r>
      <w:r w:rsidRPr="00B37C27">
        <w:rPr>
          <w:rFonts w:cs="Times New Roman"/>
          <w:lang w:val="fr-CA"/>
        </w:rPr>
        <w:lastRenderedPageBreak/>
        <w:t xml:space="preserve">ses obligations contractuelles.  La reconnaissance d’une obligation d’exécution honnête découlant directement du principe directeur de bonne foi en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se veut une étape modeste élaborée de façon progressive.  L’exigence d’agir honnêtement constitue l’un des aspects les plus largement reconnus du principe directeur de la bonne foi</w:t>
      </w:r>
      <w:r w:rsidR="00894691">
        <w:rPr>
          <w:rFonts w:cs="Times New Roman"/>
          <w:lang w:val="fr-CA"/>
        </w:rPr>
        <w:t> :</w:t>
      </w:r>
      <w:r w:rsidRPr="00B37C27">
        <w:rPr>
          <w:rFonts w:cs="Times New Roman"/>
          <w:lang w:val="fr-CA"/>
        </w:rPr>
        <w:t xml:space="preserve"> voir Swan et </w:t>
      </w:r>
      <w:proofErr w:type="spellStart"/>
      <w:r w:rsidRPr="00B37C27">
        <w:rPr>
          <w:rFonts w:cs="Times New Roman"/>
          <w:lang w:val="fr-CA"/>
        </w:rPr>
        <w:t>Adamski</w:t>
      </w:r>
      <w:proofErr w:type="spellEnd"/>
      <w:r w:rsidRPr="00B37C27">
        <w:rPr>
          <w:rFonts w:cs="Times New Roman"/>
          <w:lang w:val="fr-CA"/>
        </w:rPr>
        <w:t>, §</w:t>
      </w:r>
      <w:r w:rsidR="00894691">
        <w:rPr>
          <w:rFonts w:cs="Times New Roman"/>
          <w:lang w:val="fr-CA"/>
        </w:rPr>
        <w:t xml:space="preserve"> </w:t>
      </w:r>
      <w:r w:rsidRPr="00B37C27">
        <w:rPr>
          <w:rFonts w:cs="Times New Roman"/>
          <w:lang w:val="fr-CA"/>
        </w:rPr>
        <w:t xml:space="preserve">8.135; </w:t>
      </w:r>
      <w:proofErr w:type="spellStart"/>
      <w:r w:rsidRPr="00B37C27">
        <w:rPr>
          <w:rFonts w:cs="Times New Roman"/>
          <w:lang w:val="fr-CA"/>
        </w:rPr>
        <w:t>O’Byrne</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in </w:t>
      </w:r>
      <w:proofErr w:type="spellStart"/>
      <w:r w:rsidRPr="00B37C27">
        <w:rPr>
          <w:rFonts w:cs="Times New Roman"/>
          <w:lang w:val="fr-CA"/>
        </w:rPr>
        <w:t>Contractual</w:t>
      </w:r>
      <w:proofErr w:type="spellEnd"/>
      <w:r w:rsidRPr="00B37C27">
        <w:rPr>
          <w:rFonts w:cs="Times New Roman"/>
          <w:lang w:val="fr-CA"/>
        </w:rPr>
        <w:t xml:space="preserve"> Performance</w:t>
      </w:r>
      <w:r w:rsidR="00071EE8">
        <w:rPr>
          <w:rFonts w:cs="Times New Roman"/>
          <w:lang w:val="fr-CA"/>
        </w:rPr>
        <w:t xml:space="preserve"> : </w:t>
      </w:r>
      <w:proofErr w:type="spellStart"/>
      <w:r w:rsidR="00071EE8">
        <w:rPr>
          <w:rFonts w:cs="Times New Roman"/>
          <w:lang w:val="fr-CA"/>
        </w:rPr>
        <w:t>Recent</w:t>
      </w:r>
      <w:proofErr w:type="spellEnd"/>
      <w:r w:rsidR="00071EE8">
        <w:rPr>
          <w:rFonts w:cs="Times New Roman"/>
          <w:lang w:val="fr-CA"/>
        </w:rPr>
        <w:t xml:space="preserve"> </w:t>
      </w:r>
      <w:proofErr w:type="spellStart"/>
      <w:r w:rsidR="00071EE8">
        <w:rPr>
          <w:rFonts w:cs="Times New Roman"/>
          <w:lang w:val="fr-CA"/>
        </w:rPr>
        <w:t>Developments</w:t>
      </w:r>
      <w:proofErr w:type="spellEnd"/>
      <w:r w:rsidR="00894691" w:rsidRPr="00071EE8">
        <w:rPr>
          <w:rFonts w:cs="Times New Roman"/>
          <w:lang w:val="fr-CA"/>
        </w:rPr>
        <w:t> »</w:t>
      </w:r>
      <w:r w:rsidRPr="00071EE8">
        <w:rPr>
          <w:rFonts w:cs="Times New Roman"/>
          <w:lang w:val="fr-CA"/>
        </w:rPr>
        <w:t>, p.</w:t>
      </w:r>
      <w:r w:rsidR="00894691" w:rsidRPr="00071EE8">
        <w:rPr>
          <w:rFonts w:cs="Times New Roman"/>
          <w:lang w:val="fr-CA"/>
        </w:rPr>
        <w:t xml:space="preserve"> </w:t>
      </w:r>
      <w:r w:rsidRPr="00071EE8">
        <w:rPr>
          <w:rFonts w:cs="Times New Roman"/>
          <w:lang w:val="fr-CA"/>
        </w:rPr>
        <w:t xml:space="preserve">78; </w:t>
      </w:r>
      <w:proofErr w:type="spellStart"/>
      <w:r w:rsidRPr="00071EE8">
        <w:rPr>
          <w:rFonts w:cs="Times New Roman"/>
          <w:lang w:val="fr-CA"/>
        </w:rPr>
        <w:t>Belobaba</w:t>
      </w:r>
      <w:proofErr w:type="spellEnd"/>
      <w:r w:rsidRPr="00071EE8">
        <w:rPr>
          <w:rFonts w:cs="Times New Roman"/>
          <w:lang w:val="fr-CA"/>
        </w:rPr>
        <w:t xml:space="preserve">; </w:t>
      </w:r>
      <w:proofErr w:type="spellStart"/>
      <w:r w:rsidRPr="00071EE8">
        <w:rPr>
          <w:rFonts w:cs="Times New Roman"/>
          <w:i/>
          <w:lang w:val="fr-CA"/>
        </w:rPr>
        <w:t>Greenberg</w:t>
      </w:r>
      <w:proofErr w:type="spellEnd"/>
      <w:r w:rsidRPr="00071EE8">
        <w:rPr>
          <w:rFonts w:cs="Times New Roman"/>
          <w:i/>
          <w:lang w:val="fr-CA"/>
        </w:rPr>
        <w:t xml:space="preserve"> c. </w:t>
      </w:r>
      <w:proofErr w:type="spellStart"/>
      <w:r w:rsidRPr="00071EE8">
        <w:rPr>
          <w:rFonts w:cs="Times New Roman"/>
          <w:i/>
          <w:lang w:val="fr-CA"/>
        </w:rPr>
        <w:t>Meffert</w:t>
      </w:r>
      <w:proofErr w:type="spellEnd"/>
      <w:r w:rsidRPr="00071EE8">
        <w:rPr>
          <w:rFonts w:cs="Times New Roman"/>
          <w:i/>
          <w:lang w:val="fr-CA"/>
        </w:rPr>
        <w:t xml:space="preserve"> </w:t>
      </w:r>
      <w:r w:rsidRPr="00071EE8">
        <w:rPr>
          <w:rFonts w:cs="Times New Roman"/>
          <w:lang w:val="fr-CA"/>
        </w:rPr>
        <w:t>(1985), 50 O.R. (2d) 755 (C.A.), p.</w:t>
      </w:r>
      <w:r w:rsidR="00894691" w:rsidRPr="00071EE8">
        <w:rPr>
          <w:rFonts w:cs="Times New Roman"/>
          <w:lang w:val="fr-CA"/>
        </w:rPr>
        <w:t xml:space="preserve"> </w:t>
      </w:r>
      <w:r w:rsidRPr="00071EE8">
        <w:rPr>
          <w:rFonts w:cs="Times New Roman"/>
          <w:lang w:val="fr-CA"/>
        </w:rPr>
        <w:t xml:space="preserve">764; </w:t>
      </w:r>
      <w:r w:rsidRPr="00071EE8">
        <w:rPr>
          <w:rFonts w:cs="Times New Roman"/>
          <w:i/>
          <w:lang w:val="fr-CA"/>
        </w:rPr>
        <w:t xml:space="preserve">Gateway </w:t>
      </w:r>
      <w:proofErr w:type="spellStart"/>
      <w:r w:rsidRPr="00071EE8">
        <w:rPr>
          <w:rFonts w:cs="Times New Roman"/>
          <w:i/>
          <w:lang w:val="fr-CA"/>
        </w:rPr>
        <w:t>Realty</w:t>
      </w:r>
      <w:proofErr w:type="spellEnd"/>
      <w:r w:rsidRPr="00071EE8">
        <w:rPr>
          <w:rFonts w:cs="Times New Roman"/>
          <w:lang w:val="fr-CA"/>
        </w:rPr>
        <w:t>, par.</w:t>
      </w:r>
      <w:r w:rsidR="00894691" w:rsidRPr="00071EE8">
        <w:rPr>
          <w:rFonts w:cs="Times New Roman"/>
          <w:lang w:val="fr-CA"/>
        </w:rPr>
        <w:t xml:space="preserve"> </w:t>
      </w:r>
      <w:r w:rsidRPr="00071EE8">
        <w:rPr>
          <w:rFonts w:cs="Times New Roman"/>
          <w:lang w:val="fr-CA"/>
        </w:rPr>
        <w:t>38</w:t>
      </w:r>
      <w:r w:rsidR="00730638">
        <w:rPr>
          <w:rFonts w:cs="Times New Roman"/>
          <w:lang w:val="fr-CA"/>
        </w:rPr>
        <w:t>,</w:t>
      </w:r>
      <w:r w:rsidRPr="00071EE8">
        <w:rPr>
          <w:rFonts w:cs="Times New Roman"/>
          <w:lang w:val="fr-CA"/>
        </w:rPr>
        <w:t xml:space="preserve"> le juge Kelly; </w:t>
      </w:r>
      <w:proofErr w:type="spellStart"/>
      <w:r w:rsidRPr="00071EE8">
        <w:rPr>
          <w:rFonts w:cs="Times New Roman"/>
          <w:i/>
          <w:lang w:val="fr-CA"/>
        </w:rPr>
        <w:t>Shelanu</w:t>
      </w:r>
      <w:proofErr w:type="spellEnd"/>
      <w:r w:rsidRPr="00071EE8">
        <w:rPr>
          <w:rFonts w:cs="Times New Roman"/>
          <w:i/>
          <w:lang w:val="fr-CA"/>
        </w:rPr>
        <w:t xml:space="preserve"> Inc. c. </w:t>
      </w:r>
      <w:proofErr w:type="spellStart"/>
      <w:r w:rsidRPr="00071EE8">
        <w:rPr>
          <w:rFonts w:cs="Times New Roman"/>
          <w:i/>
          <w:lang w:val="fr-CA"/>
        </w:rPr>
        <w:t>Print</w:t>
      </w:r>
      <w:proofErr w:type="spellEnd"/>
      <w:r w:rsidRPr="00071EE8">
        <w:rPr>
          <w:rFonts w:cs="Times New Roman"/>
          <w:i/>
          <w:lang w:val="fr-CA"/>
        </w:rPr>
        <w:t xml:space="preserve"> </w:t>
      </w:r>
      <w:proofErr w:type="spellStart"/>
      <w:r w:rsidRPr="00071EE8">
        <w:rPr>
          <w:rFonts w:cs="Times New Roman"/>
          <w:i/>
          <w:lang w:val="fr-CA"/>
        </w:rPr>
        <w:t>Three</w:t>
      </w:r>
      <w:proofErr w:type="spellEnd"/>
      <w:r w:rsidRPr="00071EE8">
        <w:rPr>
          <w:rFonts w:cs="Times New Roman"/>
          <w:i/>
          <w:lang w:val="fr-CA"/>
        </w:rPr>
        <w:t xml:space="preserve"> Franchising Corp.</w:t>
      </w:r>
      <w:r w:rsidR="00894691" w:rsidRPr="00071EE8">
        <w:rPr>
          <w:rFonts w:cs="Times New Roman"/>
          <w:i/>
          <w:lang w:val="fr-CA"/>
        </w:rPr>
        <w:t xml:space="preserve"> </w:t>
      </w:r>
      <w:r w:rsidRPr="00071EE8">
        <w:rPr>
          <w:rFonts w:cs="Times New Roman"/>
          <w:lang w:val="fr-CA"/>
        </w:rPr>
        <w:t>(2003), 64 O.R. (3d) 533 (C.A.), par.</w:t>
      </w:r>
      <w:r w:rsidR="00894691" w:rsidRPr="00071EE8">
        <w:rPr>
          <w:rFonts w:cs="Times New Roman"/>
          <w:lang w:val="fr-CA"/>
        </w:rPr>
        <w:t xml:space="preserve"> </w:t>
      </w:r>
      <w:r w:rsidRPr="00071EE8">
        <w:rPr>
          <w:rFonts w:cs="Times New Roman"/>
          <w:lang w:val="fr-CA"/>
        </w:rPr>
        <w:t>69.  Par exemple, le devoir d’honnêteté constituait un élément clef des exigences de bonne foi qui ont été reconnues en lien avec la résiliation des contrats de travail</w:t>
      </w:r>
      <w:r w:rsidR="00894691" w:rsidRPr="00071EE8">
        <w:rPr>
          <w:rFonts w:cs="Times New Roman"/>
          <w:lang w:val="fr-CA"/>
        </w:rPr>
        <w:t> :</w:t>
      </w:r>
      <w:r w:rsidRPr="00071EE8">
        <w:rPr>
          <w:rFonts w:cs="Times New Roman"/>
          <w:lang w:val="fr-CA"/>
        </w:rPr>
        <w:t xml:space="preserve"> </w:t>
      </w:r>
      <w:r w:rsidRPr="00071EE8">
        <w:rPr>
          <w:rFonts w:cs="Times New Roman"/>
          <w:i/>
          <w:lang w:val="fr-CA"/>
        </w:rPr>
        <w:t>Wallace</w:t>
      </w:r>
      <w:r w:rsidRPr="00071EE8">
        <w:rPr>
          <w:rFonts w:cs="Times New Roman"/>
          <w:lang w:val="fr-CA"/>
        </w:rPr>
        <w:t>, par.</w:t>
      </w:r>
      <w:r w:rsidR="00894691" w:rsidRPr="00071EE8">
        <w:rPr>
          <w:rFonts w:cs="Times New Roman"/>
          <w:lang w:val="fr-CA"/>
        </w:rPr>
        <w:t xml:space="preserve"> </w:t>
      </w:r>
      <w:r w:rsidRPr="00071EE8">
        <w:rPr>
          <w:rFonts w:cs="Times New Roman"/>
          <w:lang w:val="fr-CA"/>
        </w:rPr>
        <w:t xml:space="preserve">98; </w:t>
      </w:r>
      <w:r w:rsidRPr="00071EE8">
        <w:rPr>
          <w:rFonts w:cs="Times New Roman"/>
          <w:i/>
          <w:lang w:val="fr-CA"/>
        </w:rPr>
        <w:t>Honda Canada</w:t>
      </w:r>
      <w:r w:rsidRPr="00071EE8">
        <w:rPr>
          <w:rFonts w:cs="Times New Roman"/>
          <w:lang w:val="fr-CA"/>
        </w:rPr>
        <w:t>, par.</w:t>
      </w:r>
      <w:r w:rsidR="00894691" w:rsidRPr="00071EE8">
        <w:rPr>
          <w:rFonts w:cs="Times New Roman"/>
          <w:lang w:val="fr-CA"/>
        </w:rPr>
        <w:t xml:space="preserve"> </w:t>
      </w:r>
      <w:r w:rsidRPr="00071EE8">
        <w:rPr>
          <w:rFonts w:cs="Times New Roman"/>
          <w:lang w:val="fr-CA"/>
        </w:rPr>
        <w:t xml:space="preserve">58. </w:t>
      </w:r>
    </w:p>
    <w:p w:rsidR="00142A2B" w:rsidRPr="001C1AD0" w:rsidRDefault="00142A2B" w:rsidP="00894691">
      <w:pPr>
        <w:pStyle w:val="ParaNoNdepar-AltN"/>
        <w:rPr>
          <w:rFonts w:cs="Times New Roman"/>
          <w:lang w:val="fr-CA"/>
        </w:rPr>
      </w:pPr>
      <w:r w:rsidRPr="00B37C27">
        <w:rPr>
          <w:rFonts w:cs="Times New Roman"/>
          <w:lang w:val="fr-CA"/>
        </w:rPr>
        <w:t>La question de savoir si l’obligation d’agir de bonne foi résulte d’une condition implicite sur le plan des faits ou d’une condition implicite en droit suscite depuis longtemps les débats</w:t>
      </w:r>
      <w:r w:rsidR="00894691">
        <w:rPr>
          <w:rFonts w:cs="Times New Roman"/>
          <w:lang w:val="fr-CA"/>
        </w:rPr>
        <w:t> :</w:t>
      </w:r>
      <w:r w:rsidRPr="00B37C27">
        <w:rPr>
          <w:rFonts w:cs="Times New Roman"/>
          <w:lang w:val="fr-CA"/>
        </w:rPr>
        <w:t xml:space="preserve"> voir </w:t>
      </w:r>
      <w:r w:rsidRPr="00B37C27">
        <w:rPr>
          <w:rFonts w:cs="Times New Roman"/>
          <w:i/>
          <w:lang w:val="fr-CA"/>
        </w:rPr>
        <w:t>Mesa Operating</w:t>
      </w:r>
      <w:r w:rsidRPr="00B37C27">
        <w:rPr>
          <w:rFonts w:cs="Times New Roman"/>
          <w:lang w:val="fr-CA"/>
        </w:rPr>
        <w:t>, par.</w:t>
      </w:r>
      <w:r w:rsidR="00894691">
        <w:rPr>
          <w:rFonts w:cs="Times New Roman"/>
          <w:lang w:val="fr-CA"/>
        </w:rPr>
        <w:t xml:space="preserve"> </w:t>
      </w:r>
      <w:r w:rsidRPr="00B37C27">
        <w:rPr>
          <w:rFonts w:cs="Times New Roman"/>
          <w:lang w:val="fr-CA"/>
        </w:rPr>
        <w:t>15</w:t>
      </w:r>
      <w:r w:rsidR="00894691">
        <w:rPr>
          <w:rFonts w:cs="Times New Roman"/>
          <w:lang w:val="fr-CA"/>
        </w:rPr>
        <w:t>-</w:t>
      </w:r>
      <w:r w:rsidRPr="00B37C27">
        <w:rPr>
          <w:rFonts w:cs="Times New Roman"/>
          <w:lang w:val="fr-CA"/>
        </w:rPr>
        <w:t>19.  Je</w:t>
      </w:r>
      <w:r w:rsidR="00894691">
        <w:rPr>
          <w:rFonts w:cs="Times New Roman"/>
          <w:lang w:val="fr-CA"/>
        </w:rPr>
        <w:t xml:space="preserve"> </w:t>
      </w:r>
      <w:r w:rsidRPr="00B37C27">
        <w:rPr>
          <w:rFonts w:cs="Times New Roman"/>
          <w:lang w:val="fr-CA"/>
        </w:rPr>
        <w:t>n’ai pas à trancher complètement ce débat qui, comme je l’ai déjà mentionné, laisse planer l’incertitude sur une bonne partie de la jurisprudence.  À ce stade</w:t>
      </w:r>
      <w:r w:rsidR="00894691">
        <w:rPr>
          <w:rFonts w:cs="Times New Roman"/>
          <w:lang w:val="fr-CA"/>
        </w:rPr>
        <w:t>-</w:t>
      </w:r>
      <w:r w:rsidRPr="00B37C27">
        <w:rPr>
          <w:rFonts w:cs="Times New Roman"/>
          <w:lang w:val="fr-CA"/>
        </w:rPr>
        <w:t xml:space="preserve">ci, je m’intéresse uniquement à une nouvelle obligation d’exécution honnête qui, à mon avis, devrait être considérée </w:t>
      </w:r>
      <w:r w:rsidR="00AC24AE">
        <w:rPr>
          <w:rFonts w:cs="Times New Roman"/>
          <w:lang w:val="fr-CA"/>
        </w:rPr>
        <w:t xml:space="preserve">non pas </w:t>
      </w:r>
      <w:r w:rsidRPr="00B37C27">
        <w:rPr>
          <w:rFonts w:cs="Times New Roman"/>
          <w:lang w:val="fr-CA"/>
        </w:rPr>
        <w:t xml:space="preserve">comme une condition implicite, mais comme une doctrine générale du droit des contrats imposant, à titre d’obligation contractuelle, une norme minimale d’exécution honnête du contrat.  Cette obligation trouve application sans égard aux intentions des parties et, en ce sens, elle est analogue aux notions reconnues en </w:t>
      </w:r>
      <w:proofErr w:type="spellStart"/>
      <w:r w:rsidRPr="00B37C27">
        <w:rPr>
          <w:rFonts w:cs="Times New Roman"/>
          <w:i/>
          <w:lang w:val="fr-CA"/>
        </w:rPr>
        <w:t>equity</w:t>
      </w:r>
      <w:proofErr w:type="spellEnd"/>
      <w:r w:rsidRPr="00B37C27">
        <w:rPr>
          <w:rFonts w:cs="Times New Roman"/>
          <w:lang w:val="fr-CA"/>
        </w:rPr>
        <w:t xml:space="preserve"> qui imposent, comme la doctrine relative aux contrats abusifs, des limites à la liberté contractuelle.</w:t>
      </w:r>
    </w:p>
    <w:p w:rsidR="00142A2B" w:rsidRPr="00B37C27" w:rsidRDefault="00142A2B" w:rsidP="00894691">
      <w:pPr>
        <w:pStyle w:val="ParaNoNdepar-AltN"/>
        <w:rPr>
          <w:rFonts w:cs="Times New Roman"/>
          <w:lang w:val="fr-CA"/>
        </w:rPr>
      </w:pPr>
      <w:r w:rsidRPr="00B37C27">
        <w:rPr>
          <w:rFonts w:cs="Times New Roman"/>
          <w:lang w:val="fr-CA"/>
        </w:rPr>
        <w:lastRenderedPageBreak/>
        <w:t xml:space="preserve">Vue sous cet angle, la clause </w:t>
      </w:r>
      <w:r w:rsidRPr="00B37C27">
        <w:rPr>
          <w:rFonts w:cs="Times New Roman"/>
          <w:noProof/>
          <w:lang w:val="fr-CA"/>
        </w:rPr>
        <w:t>d’intégralité de l’entente</w:t>
      </w:r>
      <w:r w:rsidRPr="00B37C27">
        <w:rPr>
          <w:rFonts w:cs="Times New Roman"/>
          <w:lang w:val="fr-CA"/>
        </w:rPr>
        <w:t xml:space="preserve"> qui figure à la clause</w:t>
      </w:r>
      <w:r w:rsidR="00894691">
        <w:rPr>
          <w:rFonts w:cs="Times New Roman"/>
          <w:lang w:val="fr-CA"/>
        </w:rPr>
        <w:t xml:space="preserve"> </w:t>
      </w:r>
      <w:r w:rsidRPr="00B37C27">
        <w:rPr>
          <w:rFonts w:cs="Times New Roman"/>
          <w:lang w:val="fr-CA"/>
        </w:rPr>
        <w:t>11.2 du contrat ne constitue pas un obstacle à l’obligation dont il est question en l’espèce.  Parce que le devoir d’honnêteté en matière d’exécution contractuelle est une doctrine générale du droit des contrats qui s’applique à tous les contrats, comme celle relative aux contrats abusifs, les parties n’ont pas la faculté de l’exclure</w:t>
      </w:r>
      <w:r w:rsidR="00894691">
        <w:rPr>
          <w:rFonts w:cs="Times New Roman"/>
          <w:lang w:val="fr-CA"/>
        </w:rPr>
        <w:t> :</w:t>
      </w:r>
      <w:r w:rsidRPr="00B37C27">
        <w:rPr>
          <w:rFonts w:cs="Times New Roman"/>
          <w:lang w:val="fr-CA"/>
        </w:rPr>
        <w:t xml:space="preserve"> voir </w:t>
      </w:r>
      <w:r w:rsidRPr="00B37C27">
        <w:rPr>
          <w:rFonts w:cs="Times New Roman"/>
          <w:i/>
          <w:lang w:val="fr-CA"/>
        </w:rPr>
        <w:t>CivicLife.com</w:t>
      </w:r>
      <w:r w:rsidRPr="00B37C27">
        <w:rPr>
          <w:rFonts w:cs="Times New Roman"/>
          <w:lang w:val="fr-CA"/>
        </w:rPr>
        <w:t>, par.</w:t>
      </w:r>
      <w:r w:rsidR="00894691">
        <w:rPr>
          <w:rFonts w:cs="Times New Roman"/>
          <w:lang w:val="fr-CA"/>
        </w:rPr>
        <w:t xml:space="preserve"> </w:t>
      </w:r>
      <w:r w:rsidRPr="00B37C27">
        <w:rPr>
          <w:rFonts w:cs="Times New Roman"/>
          <w:lang w:val="fr-CA"/>
        </w:rPr>
        <w:t xml:space="preserve">52. </w:t>
      </w:r>
    </w:p>
    <w:p w:rsidR="00142A2B" w:rsidRPr="00B37C27" w:rsidRDefault="00142A2B" w:rsidP="00894691">
      <w:pPr>
        <w:pStyle w:val="ParaNoNdepar-AltN"/>
        <w:rPr>
          <w:rFonts w:cs="Times New Roman"/>
          <w:lang w:val="fr-CA"/>
        </w:rPr>
      </w:pPr>
      <w:r w:rsidRPr="00B37C27">
        <w:rPr>
          <w:rFonts w:cs="Times New Roman"/>
          <w:lang w:val="fr-CA"/>
        </w:rPr>
        <w:t xml:space="preserve">Certes, le droit des contrats en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anglo</w:t>
      </w:r>
      <w:r w:rsidR="00894691">
        <w:rPr>
          <w:rFonts w:cs="Times New Roman"/>
          <w:lang w:val="fr-CA"/>
        </w:rPr>
        <w:t>-</w:t>
      </w:r>
      <w:r w:rsidRPr="00B37C27">
        <w:rPr>
          <w:rFonts w:cs="Times New Roman"/>
          <w:lang w:val="fr-CA"/>
        </w:rPr>
        <w:t>canadienne s’est montré peu disposé à imposer des règles obligatoires qui ne sont pas issues de l’entente entre les parties parce qu’elles sont considérées comme étant une atteinte à la liberté contractuelle</w:t>
      </w:r>
      <w:r w:rsidR="00894691">
        <w:rPr>
          <w:rFonts w:cs="Times New Roman"/>
          <w:lang w:val="fr-CA"/>
        </w:rPr>
        <w:t> :</w:t>
      </w:r>
      <w:r w:rsidRPr="00B37C27">
        <w:rPr>
          <w:rFonts w:cs="Times New Roman"/>
          <w:lang w:val="fr-CA"/>
        </w:rPr>
        <w:t xml:space="preserve"> voir </w:t>
      </w:r>
      <w:r w:rsidRPr="00B37C27">
        <w:rPr>
          <w:rFonts w:cs="Times New Roman"/>
          <w:i/>
          <w:lang w:val="fr-CA"/>
        </w:rPr>
        <w:t xml:space="preserve">Gateway </w:t>
      </w:r>
      <w:proofErr w:type="spellStart"/>
      <w:r w:rsidRPr="00B37C27">
        <w:rPr>
          <w:rFonts w:cs="Times New Roman"/>
          <w:i/>
          <w:lang w:val="fr-CA"/>
        </w:rPr>
        <w:t>Realty</w:t>
      </w:r>
      <w:proofErr w:type="spellEnd"/>
      <w:r w:rsidRPr="00B37C27">
        <w:rPr>
          <w:rFonts w:cs="Times New Roman"/>
          <w:lang w:val="fr-CA"/>
        </w:rPr>
        <w:t>, le juge</w:t>
      </w:r>
      <w:r w:rsidR="00894691">
        <w:rPr>
          <w:rFonts w:cs="Times New Roman"/>
          <w:lang w:val="fr-CA"/>
        </w:rPr>
        <w:t xml:space="preserve"> </w:t>
      </w:r>
      <w:r w:rsidRPr="00B37C27">
        <w:rPr>
          <w:rFonts w:cs="Times New Roman"/>
          <w:lang w:val="fr-CA"/>
        </w:rPr>
        <w:t xml:space="preserve">Kelly; </w:t>
      </w:r>
      <w:proofErr w:type="spellStart"/>
      <w:r w:rsidRPr="00B37C27">
        <w:rPr>
          <w:rFonts w:cs="Times New Roman"/>
          <w:lang w:val="fr-CA"/>
        </w:rPr>
        <w:t>O’Byrne</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in </w:t>
      </w:r>
      <w:proofErr w:type="spellStart"/>
      <w:r w:rsidRPr="00B37C27">
        <w:rPr>
          <w:rFonts w:cs="Times New Roman"/>
          <w:lang w:val="fr-CA"/>
        </w:rPr>
        <w:t>Contractual</w:t>
      </w:r>
      <w:proofErr w:type="spellEnd"/>
      <w:r w:rsidRPr="00B37C27">
        <w:rPr>
          <w:rFonts w:cs="Times New Roman"/>
          <w:lang w:val="fr-CA"/>
        </w:rPr>
        <w:t xml:space="preserve"> Performance</w:t>
      </w:r>
      <w:r w:rsidR="00730638">
        <w:rPr>
          <w:rFonts w:cs="Times New Roman"/>
          <w:lang w:val="fr-CA"/>
        </w:rPr>
        <w:t> : </w:t>
      </w:r>
      <w:proofErr w:type="spellStart"/>
      <w:r w:rsidR="00730638">
        <w:rPr>
          <w:rFonts w:cs="Times New Roman"/>
          <w:lang w:val="fr-CA"/>
        </w:rPr>
        <w:t>Recent</w:t>
      </w:r>
      <w:proofErr w:type="spellEnd"/>
      <w:r w:rsidR="00730638">
        <w:rPr>
          <w:rFonts w:cs="Times New Roman"/>
          <w:lang w:val="fr-CA"/>
        </w:rPr>
        <w:t xml:space="preserve"> </w:t>
      </w:r>
      <w:proofErr w:type="spellStart"/>
      <w:r w:rsidR="00730638">
        <w:rPr>
          <w:rFonts w:cs="Times New Roman"/>
          <w:lang w:val="fr-CA"/>
        </w:rPr>
        <w:t>Developments</w:t>
      </w:r>
      <w:proofErr w:type="spellEnd"/>
      <w:r w:rsidR="00894691">
        <w:rPr>
          <w:rFonts w:cs="Times New Roman"/>
          <w:lang w:val="fr-CA"/>
        </w:rPr>
        <w:t> »</w:t>
      </w:r>
      <w:r w:rsidRPr="00B37C27">
        <w:rPr>
          <w:rFonts w:cs="Times New Roman"/>
          <w:lang w:val="fr-CA"/>
        </w:rPr>
        <w:t>, p.</w:t>
      </w:r>
      <w:r w:rsidR="00894691">
        <w:rPr>
          <w:rFonts w:cs="Times New Roman"/>
          <w:lang w:val="fr-CA"/>
        </w:rPr>
        <w:t xml:space="preserve"> </w:t>
      </w:r>
      <w:r w:rsidRPr="00B37C27">
        <w:rPr>
          <w:rFonts w:cs="Times New Roman"/>
          <w:lang w:val="fr-CA"/>
        </w:rPr>
        <w:t xml:space="preserve">95; </w:t>
      </w:r>
      <w:proofErr w:type="spellStart"/>
      <w:r w:rsidRPr="00B37C27">
        <w:rPr>
          <w:rFonts w:cs="Times New Roman"/>
          <w:lang w:val="fr-CA"/>
        </w:rPr>
        <w:t>Farnsworth</w:t>
      </w:r>
      <w:proofErr w:type="spellEnd"/>
      <w:r w:rsidRPr="00B37C27">
        <w:rPr>
          <w:rFonts w:cs="Times New Roman"/>
          <w:lang w:val="fr-CA"/>
        </w:rPr>
        <w:t>, p.</w:t>
      </w:r>
      <w:r w:rsidR="00894691">
        <w:rPr>
          <w:rFonts w:cs="Times New Roman"/>
          <w:lang w:val="fr-CA"/>
        </w:rPr>
        <w:t xml:space="preserve"> </w:t>
      </w:r>
      <w:r w:rsidRPr="00B37C27">
        <w:rPr>
          <w:rFonts w:cs="Times New Roman"/>
          <w:lang w:val="fr-CA"/>
        </w:rPr>
        <w:t>677</w:t>
      </w:r>
      <w:r w:rsidR="00894691">
        <w:rPr>
          <w:rFonts w:cs="Times New Roman"/>
          <w:lang w:val="fr-CA"/>
        </w:rPr>
        <w:t>-</w:t>
      </w:r>
      <w:r w:rsidRPr="00B37C27">
        <w:rPr>
          <w:rFonts w:cs="Times New Roman"/>
          <w:lang w:val="fr-CA"/>
        </w:rPr>
        <w:t>678.  Comme je l’ai mentionné précédemment</w:t>
      </w:r>
      <w:r w:rsidR="00AC24AE">
        <w:rPr>
          <w:rFonts w:cs="Times New Roman"/>
          <w:lang w:val="fr-CA"/>
        </w:rPr>
        <w:t>,</w:t>
      </w:r>
      <w:r w:rsidRPr="00B37C27">
        <w:rPr>
          <w:rFonts w:cs="Times New Roman"/>
          <w:lang w:val="fr-CA"/>
        </w:rPr>
        <w:t xml:space="preserve"> toutefois, l’obligation d’exécution honnête porte très peu atteinte à la liberté contractuelle puisque les parties ne s’attendent que très peu souvent à ce que leurs contrats les autorisent à exécuter leurs obligations de façon malhonnête. </w:t>
      </w:r>
    </w:p>
    <w:p w:rsidR="00142A2B" w:rsidRPr="00B37C27" w:rsidRDefault="00142A2B" w:rsidP="00894691">
      <w:pPr>
        <w:pStyle w:val="ParaNoNdepar-AltN"/>
        <w:rPr>
          <w:rFonts w:cs="Times New Roman"/>
          <w:lang w:val="fr-CA"/>
        </w:rPr>
      </w:pPr>
      <w:r w:rsidRPr="00B37C27">
        <w:rPr>
          <w:rFonts w:cs="Times New Roman"/>
          <w:lang w:val="fr-CA"/>
        </w:rPr>
        <w:t>Cela dit, je n’écarterais pas d’emblée la possibilité que l’accord des parties puisse influencer la portée de l’exécution honnête dans un contexte particulier.  La teneur précise de l’exécution honnête variera selon le contexte, et les parties devraient, en certaines circonstances, être libres d’assouplir les exigences de la doctrine dès lors qu’elles en respectent les exigences minimales essentielles.  L’approche que j’expose ici est similaire en principe à celle énoncée comme suit au §</w:t>
      </w:r>
      <w:r w:rsidR="00894691">
        <w:rPr>
          <w:rFonts w:cs="Times New Roman"/>
          <w:lang w:val="fr-CA"/>
        </w:rPr>
        <w:t xml:space="preserve"> </w:t>
      </w:r>
      <w:r w:rsidRPr="00B37C27">
        <w:rPr>
          <w:rFonts w:cs="Times New Roman"/>
          <w:lang w:val="fr-CA"/>
        </w:rPr>
        <w:t>1</w:t>
      </w:r>
      <w:r w:rsidR="00894691">
        <w:rPr>
          <w:rFonts w:cs="Times New Roman"/>
          <w:lang w:val="fr-CA"/>
        </w:rPr>
        <w:t>-</w:t>
      </w:r>
      <w:r w:rsidRPr="00B37C27">
        <w:rPr>
          <w:rFonts w:cs="Times New Roman"/>
          <w:lang w:val="fr-CA"/>
        </w:rPr>
        <w:t>302(b) du U.C.C. (2012)</w:t>
      </w:r>
      <w:r w:rsidR="00894691">
        <w:rPr>
          <w:rFonts w:cs="Times New Roman"/>
          <w:lang w:val="fr-CA"/>
        </w:rPr>
        <w:t> :</w:t>
      </w:r>
    </w:p>
    <w:p w:rsidR="00142A2B" w:rsidRPr="00B37C27" w:rsidRDefault="00142A2B" w:rsidP="00894691">
      <w:pPr>
        <w:pStyle w:val="Citation-AltC"/>
        <w:ind w:hanging="1166"/>
        <w:rPr>
          <w:lang w:val="fr-CA"/>
        </w:rPr>
      </w:pPr>
      <w:r w:rsidRPr="00B37C27">
        <w:rPr>
          <w:lang w:val="fr-CA"/>
        </w:rPr>
        <w:lastRenderedPageBreak/>
        <w:tab/>
        <w:t>[</w:t>
      </w:r>
      <w:r w:rsidRPr="00B37C27">
        <w:rPr>
          <w:smallCaps/>
          <w:lang w:val="fr-CA"/>
        </w:rPr>
        <w:t>traduction</w:t>
      </w:r>
      <w:r w:rsidRPr="00B37C27">
        <w:rPr>
          <w:lang w:val="fr-CA"/>
        </w:rPr>
        <w:t xml:space="preserve">]  Les obligations de bonne foi, de diligence et de </w:t>
      </w:r>
      <w:proofErr w:type="spellStart"/>
      <w:r w:rsidRPr="00B37C27">
        <w:rPr>
          <w:lang w:val="fr-CA"/>
        </w:rPr>
        <w:t>raisonnabilité</w:t>
      </w:r>
      <w:proofErr w:type="spellEnd"/>
      <w:r w:rsidRPr="00B37C27">
        <w:rPr>
          <w:lang w:val="fr-CA"/>
        </w:rPr>
        <w:t xml:space="preserve"> [</w:t>
      </w:r>
      <w:r w:rsidR="00894691">
        <w:rPr>
          <w:lang w:val="fr-CA"/>
        </w:rPr>
        <w:t>. . .</w:t>
      </w:r>
      <w:r w:rsidRPr="00B37C27">
        <w:rPr>
          <w:lang w:val="fr-CA"/>
        </w:rPr>
        <w:t xml:space="preserve">] ne peuvent être écartées d’un commun accord.  Les parties peuvent cependant définir d’un commun accord les normes servant à déterminer la mesure dans laquelle ces obligations sont exécutées, si ces normes ne sont pas manifestement déraisonnables.  </w:t>
      </w:r>
    </w:p>
    <w:p w:rsidR="00142A2B" w:rsidRPr="00B37C27" w:rsidRDefault="00142A2B" w:rsidP="00894691">
      <w:pPr>
        <w:pStyle w:val="ParaNoNdepar-AltN"/>
        <w:rPr>
          <w:rFonts w:cs="Times New Roman"/>
          <w:lang w:val="fr-CA"/>
        </w:rPr>
      </w:pPr>
      <w:r w:rsidRPr="00B37C27">
        <w:rPr>
          <w:rFonts w:cs="Times New Roman"/>
          <w:lang w:val="fr-CA"/>
        </w:rPr>
        <w:t xml:space="preserve">Certes, la teneur de l’obligation d’honnêteté ne pourrait être modifiée qu’en termes explicites.  Une clause </w:t>
      </w:r>
      <w:r w:rsidRPr="00B37C27">
        <w:rPr>
          <w:rFonts w:cs="Times New Roman"/>
          <w:noProof/>
          <w:lang w:val="fr-CA"/>
        </w:rPr>
        <w:t>d’intégralité de l’entente</w:t>
      </w:r>
      <w:r w:rsidRPr="00B37C27">
        <w:rPr>
          <w:rFonts w:cs="Times New Roman"/>
          <w:lang w:val="fr-CA"/>
        </w:rPr>
        <w:t xml:space="preserve"> formulée en termes génériques comme celle énoncée à la clause</w:t>
      </w:r>
      <w:r w:rsidR="00894691">
        <w:rPr>
          <w:rFonts w:cs="Times New Roman"/>
          <w:lang w:val="fr-CA"/>
        </w:rPr>
        <w:t xml:space="preserve"> </w:t>
      </w:r>
      <w:r w:rsidRPr="00B37C27">
        <w:rPr>
          <w:rFonts w:cs="Times New Roman"/>
          <w:lang w:val="fr-CA"/>
        </w:rPr>
        <w:t>11.2 du contrat n’offre aucune indication que les parties voulaient écarter les préceptes fondamentaux de l’exécution honnête</w:t>
      </w:r>
      <w:r w:rsidR="00894691">
        <w:rPr>
          <w:rFonts w:cs="Times New Roman"/>
          <w:lang w:val="fr-CA"/>
        </w:rPr>
        <w:t> :</w:t>
      </w:r>
      <w:r w:rsidRPr="00B37C27">
        <w:rPr>
          <w:rFonts w:cs="Times New Roman"/>
          <w:lang w:val="fr-CA"/>
        </w:rPr>
        <w:t xml:space="preserve"> voir </w:t>
      </w:r>
      <w:r w:rsidRPr="00B37C27">
        <w:rPr>
          <w:rFonts w:cs="Times New Roman"/>
          <w:i/>
          <w:lang w:val="fr-CA"/>
        </w:rPr>
        <w:t>GEC Marconi System</w:t>
      </w:r>
      <w:r w:rsidR="00730638">
        <w:rPr>
          <w:rFonts w:cs="Times New Roman"/>
          <w:i/>
          <w:lang w:val="fr-CA"/>
        </w:rPr>
        <w:t>s</w:t>
      </w:r>
      <w:r w:rsidRPr="00B37C27">
        <w:rPr>
          <w:rFonts w:cs="Times New Roman"/>
          <w:i/>
          <w:lang w:val="fr-CA"/>
        </w:rPr>
        <w:t xml:space="preserve"> </w:t>
      </w:r>
      <w:proofErr w:type="spellStart"/>
      <w:r w:rsidRPr="00B37C27">
        <w:rPr>
          <w:rFonts w:cs="Times New Roman"/>
          <w:i/>
          <w:lang w:val="fr-CA"/>
        </w:rPr>
        <w:t>Pty</w:t>
      </w:r>
      <w:proofErr w:type="spellEnd"/>
      <w:r w:rsidRPr="00B37C27">
        <w:rPr>
          <w:rFonts w:cs="Times New Roman"/>
          <w:i/>
          <w:lang w:val="fr-CA"/>
        </w:rPr>
        <w:t xml:space="preserve"> Ltd. c. BHP Information </w:t>
      </w:r>
      <w:proofErr w:type="spellStart"/>
      <w:r w:rsidRPr="00B37C27">
        <w:rPr>
          <w:rFonts w:cs="Times New Roman"/>
          <w:i/>
          <w:lang w:val="fr-CA"/>
        </w:rPr>
        <w:t>Technology</w:t>
      </w:r>
      <w:proofErr w:type="spellEnd"/>
      <w:r w:rsidRPr="00B37C27">
        <w:rPr>
          <w:rFonts w:cs="Times New Roman"/>
          <w:i/>
          <w:lang w:val="fr-CA"/>
        </w:rPr>
        <w:t xml:space="preserve"> </w:t>
      </w:r>
      <w:proofErr w:type="spellStart"/>
      <w:r w:rsidRPr="00B37C27">
        <w:rPr>
          <w:rFonts w:cs="Times New Roman"/>
          <w:i/>
          <w:lang w:val="fr-CA"/>
        </w:rPr>
        <w:t>Pty</w:t>
      </w:r>
      <w:proofErr w:type="spellEnd"/>
      <w:r w:rsidRPr="00B37C27">
        <w:rPr>
          <w:rFonts w:cs="Times New Roman"/>
          <w:i/>
          <w:lang w:val="fr-CA"/>
        </w:rPr>
        <w:t xml:space="preserve"> Ltd.</w:t>
      </w:r>
      <w:r w:rsidRPr="00B37C27">
        <w:rPr>
          <w:rFonts w:cs="Times New Roman"/>
          <w:lang w:val="fr-CA"/>
        </w:rPr>
        <w:t>, [2003] FCA 50 (</w:t>
      </w:r>
      <w:proofErr w:type="spellStart"/>
      <w:r w:rsidRPr="00B37C27">
        <w:rPr>
          <w:rFonts w:cs="Times New Roman"/>
          <w:lang w:val="fr-CA"/>
        </w:rPr>
        <w:t>AustLII</w:t>
      </w:r>
      <w:proofErr w:type="spellEnd"/>
      <w:r w:rsidRPr="00B37C27">
        <w:rPr>
          <w:rFonts w:cs="Times New Roman"/>
          <w:lang w:val="fr-CA"/>
        </w:rPr>
        <w:t>), par.</w:t>
      </w:r>
      <w:r w:rsidR="00894691">
        <w:rPr>
          <w:rFonts w:cs="Times New Roman"/>
          <w:lang w:val="fr-CA"/>
        </w:rPr>
        <w:t xml:space="preserve"> </w:t>
      </w:r>
      <w:r w:rsidR="00730638">
        <w:rPr>
          <w:rFonts w:cs="Times New Roman"/>
          <w:lang w:val="fr-CA"/>
        </w:rPr>
        <w:t>922, le juge Finn</w:t>
      </w:r>
      <w:r w:rsidRPr="00B37C27">
        <w:rPr>
          <w:rFonts w:cs="Times New Roman"/>
          <w:lang w:val="fr-CA"/>
        </w:rPr>
        <w:t xml:space="preserve">; voir également </w:t>
      </w:r>
      <w:proofErr w:type="spellStart"/>
      <w:r w:rsidRPr="00B37C27">
        <w:rPr>
          <w:rFonts w:cs="Times New Roman"/>
          <w:lang w:val="fr-CA"/>
        </w:rPr>
        <w:t>O’Byrne</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in </w:t>
      </w:r>
      <w:proofErr w:type="spellStart"/>
      <w:r w:rsidRPr="00B37C27">
        <w:rPr>
          <w:rFonts w:cs="Times New Roman"/>
          <w:lang w:val="fr-CA"/>
        </w:rPr>
        <w:t>Contractual</w:t>
      </w:r>
      <w:proofErr w:type="spellEnd"/>
      <w:r w:rsidRPr="00B37C27">
        <w:rPr>
          <w:rFonts w:cs="Times New Roman"/>
          <w:lang w:val="fr-CA"/>
        </w:rPr>
        <w:t xml:space="preserve"> Performance</w:t>
      </w:r>
      <w:r w:rsidR="00730638">
        <w:rPr>
          <w:rFonts w:cs="Times New Roman"/>
          <w:lang w:val="fr-CA"/>
        </w:rPr>
        <w:t> : </w:t>
      </w:r>
      <w:proofErr w:type="spellStart"/>
      <w:r w:rsidR="00730638">
        <w:rPr>
          <w:rFonts w:cs="Times New Roman"/>
          <w:lang w:val="fr-CA"/>
        </w:rPr>
        <w:t>Recent</w:t>
      </w:r>
      <w:proofErr w:type="spellEnd"/>
      <w:r w:rsidR="00730638">
        <w:rPr>
          <w:rFonts w:cs="Times New Roman"/>
          <w:lang w:val="fr-CA"/>
        </w:rPr>
        <w:t xml:space="preserve"> </w:t>
      </w:r>
      <w:proofErr w:type="spellStart"/>
      <w:r w:rsidR="00730638">
        <w:rPr>
          <w:rFonts w:cs="Times New Roman"/>
          <w:lang w:val="fr-CA"/>
        </w:rPr>
        <w:t>Developments</w:t>
      </w:r>
      <w:proofErr w:type="spellEnd"/>
      <w:r w:rsidR="00730638">
        <w:rPr>
          <w:rFonts w:cs="Times New Roman"/>
          <w:lang w:val="fr-CA"/>
        </w:rPr>
        <w:t xml:space="preserve"> </w:t>
      </w:r>
      <w:r w:rsidR="00894691">
        <w:rPr>
          <w:rFonts w:cs="Times New Roman"/>
          <w:lang w:val="fr-CA"/>
        </w:rPr>
        <w:t>»</w:t>
      </w:r>
      <w:r w:rsidRPr="00B37C27">
        <w:rPr>
          <w:rFonts w:cs="Times New Roman"/>
          <w:lang w:val="fr-CA"/>
        </w:rPr>
        <w:t>, p.</w:t>
      </w:r>
      <w:r w:rsidR="00894691">
        <w:rPr>
          <w:rFonts w:cs="Times New Roman"/>
          <w:lang w:val="fr-CA"/>
        </w:rPr>
        <w:t xml:space="preserve"> </w:t>
      </w:r>
      <w:r w:rsidRPr="00B37C27">
        <w:rPr>
          <w:rFonts w:cs="Times New Roman"/>
          <w:lang w:val="fr-CA"/>
        </w:rPr>
        <w:t>96.</w:t>
      </w:r>
    </w:p>
    <w:p w:rsidR="00142A2B" w:rsidRPr="00B37C27" w:rsidRDefault="00142A2B" w:rsidP="00894691">
      <w:pPr>
        <w:pStyle w:val="ParaNoNdepar-AltN"/>
        <w:rPr>
          <w:rFonts w:cs="Times New Roman"/>
          <w:lang w:val="fr-CA"/>
        </w:rPr>
      </w:pPr>
      <w:r w:rsidRPr="00B37C27">
        <w:rPr>
          <w:rFonts w:cs="Times New Roman"/>
          <w:lang w:val="fr-CA"/>
        </w:rPr>
        <w:t xml:space="preserve">Deux arguments sont habituellement soulevés à l’encontre d’un rôle accru de l’obligation </w:t>
      </w:r>
      <w:r w:rsidRPr="00B37C27">
        <w:rPr>
          <w:rFonts w:cs="Times New Roman"/>
          <w:noProof/>
          <w:lang w:val="fr-CA"/>
        </w:rPr>
        <w:t xml:space="preserve">d’agir </w:t>
      </w:r>
      <w:r w:rsidRPr="00B37C27">
        <w:rPr>
          <w:rFonts w:cs="Times New Roman"/>
          <w:lang w:val="fr-CA"/>
        </w:rPr>
        <w:t>de bonne foi en droit des contrats</w:t>
      </w:r>
      <w:r w:rsidR="00894691">
        <w:rPr>
          <w:rFonts w:cs="Times New Roman"/>
          <w:lang w:val="fr-CA"/>
        </w:rPr>
        <w:t> :</w:t>
      </w:r>
      <w:r w:rsidR="00730638">
        <w:rPr>
          <w:rFonts w:cs="Times New Roman"/>
          <w:lang w:val="fr-CA"/>
        </w:rPr>
        <w:t xml:space="preserve"> voir Bridge; Clark;</w:t>
      </w:r>
      <w:r w:rsidRPr="00B37C27">
        <w:rPr>
          <w:rFonts w:cs="Times New Roman"/>
          <w:lang w:val="fr-CA"/>
        </w:rPr>
        <w:t xml:space="preserve"> et </w:t>
      </w:r>
      <w:proofErr w:type="spellStart"/>
      <w:r w:rsidRPr="00B37C27">
        <w:rPr>
          <w:rFonts w:cs="Times New Roman"/>
          <w:lang w:val="fr-CA"/>
        </w:rPr>
        <w:t>Peden</w:t>
      </w:r>
      <w:proofErr w:type="spellEnd"/>
      <w:r w:rsidRPr="00B37C27">
        <w:rPr>
          <w:rFonts w:cs="Times New Roman"/>
          <w:lang w:val="fr-CA"/>
        </w:rPr>
        <w:t xml:space="preserve">, </w:t>
      </w:r>
      <w:r w:rsidR="00894691">
        <w:rPr>
          <w:rFonts w:cs="Times New Roman"/>
          <w:lang w:val="fr-CA"/>
        </w:rPr>
        <w:t>« </w:t>
      </w:r>
      <w:proofErr w:type="spellStart"/>
      <w:r w:rsidRPr="00B37C27">
        <w:rPr>
          <w:rFonts w:cs="Times New Roman"/>
          <w:lang w:val="fr-CA"/>
        </w:rPr>
        <w:t>When</w:t>
      </w:r>
      <w:proofErr w:type="spellEnd"/>
      <w:r w:rsidRPr="00B37C27">
        <w:rPr>
          <w:rFonts w:cs="Times New Roman"/>
          <w:lang w:val="fr-CA"/>
        </w:rPr>
        <w:t xml:space="preserve"> Common Law </w:t>
      </w:r>
      <w:proofErr w:type="spellStart"/>
      <w:r w:rsidRPr="00B37C27">
        <w:rPr>
          <w:rFonts w:cs="Times New Roman"/>
          <w:lang w:val="fr-CA"/>
        </w:rPr>
        <w:t>Trumps</w:t>
      </w:r>
      <w:proofErr w:type="spellEnd"/>
      <w:r w:rsidRPr="00B37C27">
        <w:rPr>
          <w:rFonts w:cs="Times New Roman"/>
          <w:lang w:val="fr-CA"/>
        </w:rPr>
        <w:t xml:space="preserve"> </w:t>
      </w:r>
      <w:proofErr w:type="spellStart"/>
      <w:r w:rsidRPr="00B37C27">
        <w:rPr>
          <w:rFonts w:cs="Times New Roman"/>
          <w:lang w:val="fr-CA"/>
        </w:rPr>
        <w:t>Equity</w:t>
      </w:r>
      <w:proofErr w:type="spellEnd"/>
      <w:r w:rsidR="00894691">
        <w:rPr>
          <w:rFonts w:cs="Times New Roman"/>
          <w:lang w:val="fr-CA"/>
        </w:rPr>
        <w:t> :</w:t>
      </w:r>
      <w:r w:rsidR="00730638">
        <w:rPr>
          <w:rFonts w:cs="Times New Roman"/>
          <w:lang w:val="fr-CA"/>
        </w:rPr>
        <w:t xml:space="preserve"> t</w:t>
      </w:r>
      <w:r w:rsidRPr="00B37C27">
        <w:rPr>
          <w:rFonts w:cs="Times New Roman"/>
          <w:lang w:val="fr-CA"/>
        </w:rPr>
        <w:t xml:space="preserve">he Rise of Good </w:t>
      </w:r>
      <w:proofErr w:type="spellStart"/>
      <w:r w:rsidRPr="00B37C27">
        <w:rPr>
          <w:rFonts w:cs="Times New Roman"/>
          <w:lang w:val="fr-CA"/>
        </w:rPr>
        <w:t>Faith</w:t>
      </w:r>
      <w:proofErr w:type="spellEnd"/>
      <w:r w:rsidRPr="00B37C27">
        <w:rPr>
          <w:rFonts w:cs="Times New Roman"/>
          <w:lang w:val="fr-CA"/>
        </w:rPr>
        <w:t xml:space="preserve"> and </w:t>
      </w:r>
      <w:proofErr w:type="spellStart"/>
      <w:r w:rsidRPr="00B37C27">
        <w:rPr>
          <w:rFonts w:cs="Times New Roman"/>
          <w:lang w:val="fr-CA"/>
        </w:rPr>
        <w:t>Reasonableness</w:t>
      </w:r>
      <w:proofErr w:type="spellEnd"/>
      <w:r w:rsidRPr="00B37C27">
        <w:rPr>
          <w:rFonts w:cs="Times New Roman"/>
          <w:lang w:val="fr-CA"/>
        </w:rPr>
        <w:t xml:space="preserve"> and the </w:t>
      </w:r>
      <w:proofErr w:type="spellStart"/>
      <w:r w:rsidRPr="00B37C27">
        <w:rPr>
          <w:rFonts w:cs="Times New Roman"/>
          <w:lang w:val="fr-CA"/>
        </w:rPr>
        <w:t>Demise</w:t>
      </w:r>
      <w:proofErr w:type="spellEnd"/>
      <w:r w:rsidRPr="00B37C27">
        <w:rPr>
          <w:rFonts w:cs="Times New Roman"/>
          <w:lang w:val="fr-CA"/>
        </w:rPr>
        <w:t xml:space="preserve"> on </w:t>
      </w:r>
      <w:proofErr w:type="spellStart"/>
      <w:r w:rsidRPr="00B37C27">
        <w:rPr>
          <w:rFonts w:cs="Times New Roman"/>
          <w:lang w:val="fr-CA"/>
        </w:rPr>
        <w:t>Unconscionability</w:t>
      </w:r>
      <w:proofErr w:type="spellEnd"/>
      <w:r w:rsidR="00894691">
        <w:rPr>
          <w:rFonts w:cs="Times New Roman"/>
          <w:lang w:val="fr-CA"/>
        </w:rPr>
        <w:t> »</w:t>
      </w:r>
      <w:r w:rsidRPr="00B37C27">
        <w:rPr>
          <w:rFonts w:cs="Times New Roman"/>
          <w:lang w:val="fr-CA"/>
        </w:rPr>
        <w:t xml:space="preserve">.  Selon le premier, la </w:t>
      </w:r>
      <w:r w:rsidR="00894691">
        <w:rPr>
          <w:rFonts w:cs="Times New Roman"/>
          <w:lang w:val="fr-CA"/>
        </w:rPr>
        <w:t>« </w:t>
      </w:r>
      <w:r w:rsidRPr="00B37C27">
        <w:rPr>
          <w:rFonts w:cs="Times New Roman"/>
          <w:lang w:val="fr-CA"/>
        </w:rPr>
        <w:t>bonne foi</w:t>
      </w:r>
      <w:r w:rsidR="00894691">
        <w:rPr>
          <w:rFonts w:cs="Times New Roman"/>
          <w:lang w:val="fr-CA"/>
        </w:rPr>
        <w:t> »</w:t>
      </w:r>
      <w:r w:rsidRPr="00B37C27">
        <w:rPr>
          <w:rFonts w:cs="Times New Roman"/>
          <w:lang w:val="fr-CA"/>
        </w:rPr>
        <w:t xml:space="preserve"> est une notion intrinsèquement ambiguë qui permet de façon ponctuelle au moralisme judiciaire de miner la stabilité des opérations commerciales.  Selon le deuxième argument, l’imposition d’une obligation </w:t>
      </w:r>
      <w:r w:rsidRPr="00B37C27">
        <w:rPr>
          <w:rFonts w:cs="Times New Roman"/>
          <w:noProof/>
          <w:lang w:val="fr-CA"/>
        </w:rPr>
        <w:t xml:space="preserve">d’agir </w:t>
      </w:r>
      <w:r w:rsidRPr="00B37C27">
        <w:rPr>
          <w:rFonts w:cs="Times New Roman"/>
          <w:lang w:val="fr-CA"/>
        </w:rPr>
        <w:t xml:space="preserve">de bonne foi n’est pas conforme au principe fondamental de la liberté contractuelle.  Je n’ai pas à décider en l’espèce de la validité de ces arguments au regard d’une obligation </w:t>
      </w:r>
      <w:r w:rsidRPr="00B37C27">
        <w:rPr>
          <w:rFonts w:cs="Times New Roman"/>
          <w:noProof/>
          <w:lang w:val="fr-CA"/>
        </w:rPr>
        <w:t xml:space="preserve">d’agir </w:t>
      </w:r>
      <w:r w:rsidRPr="00B37C27">
        <w:rPr>
          <w:rFonts w:cs="Times New Roman"/>
          <w:lang w:val="fr-CA"/>
        </w:rPr>
        <w:t xml:space="preserve">de bonne foi élargie et généralisée.  Toutefois, ils n’ont aucune valeur qui ferait obstacle à l’adoption d’une règle d’exécution honnête.  </w:t>
      </w:r>
    </w:p>
    <w:p w:rsidR="00142A2B" w:rsidRPr="00B37C27" w:rsidRDefault="00142A2B" w:rsidP="00894691">
      <w:pPr>
        <w:pStyle w:val="ParaNoNdepar-AltN"/>
        <w:rPr>
          <w:rFonts w:cs="Times New Roman"/>
          <w:lang w:val="fr-CA"/>
        </w:rPr>
      </w:pPr>
      <w:r w:rsidRPr="00B37C27">
        <w:rPr>
          <w:rFonts w:cs="Times New Roman"/>
          <w:lang w:val="fr-CA"/>
        </w:rPr>
        <w:lastRenderedPageBreak/>
        <w:t>La reconnaissance d’une obligation d’honnêteté en matière d’exécution d’un contrat ne pose aucun risque pour la stabilité commerciale en droit des contrats.  Un commerçant raisonnable s’attendrait à tout le moins à ce que l’autre partie à un contrat ne soit pas malhonnête dans son exécution du contrat.  L’obligation est également claire et d’application simple.  De plus, un auteur souligne qu’étant donné l’instabilité qui prévaut dans ce domaine, les avocats prudents ont depuis longtemps avisé leurs clients de prendre en compte les exigences de la bonne foi</w:t>
      </w:r>
      <w:r w:rsidR="00894691">
        <w:rPr>
          <w:rFonts w:cs="Times New Roman"/>
          <w:lang w:val="fr-CA"/>
        </w:rPr>
        <w:t> :</w:t>
      </w:r>
      <w:r w:rsidRPr="00B37C27">
        <w:rPr>
          <w:rFonts w:cs="Times New Roman"/>
          <w:lang w:val="fr-CA"/>
        </w:rPr>
        <w:t xml:space="preserve"> W.</w:t>
      </w:r>
      <w:r w:rsidR="00894691">
        <w:rPr>
          <w:rFonts w:cs="Times New Roman"/>
          <w:lang w:val="fr-CA"/>
        </w:rPr>
        <w:t xml:space="preserve"> </w:t>
      </w:r>
      <w:proofErr w:type="spellStart"/>
      <w:r w:rsidRPr="00B37C27">
        <w:rPr>
          <w:rFonts w:cs="Times New Roman"/>
          <w:lang w:val="fr-CA"/>
        </w:rPr>
        <w:t>Grover</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 xml:space="preserve">A Solicitor Looks </w:t>
      </w:r>
      <w:proofErr w:type="spellStart"/>
      <w:r w:rsidRPr="00B37C27">
        <w:rPr>
          <w:rFonts w:cs="Times New Roman"/>
          <w:lang w:val="fr-CA"/>
        </w:rPr>
        <w:t>at</w:t>
      </w:r>
      <w:proofErr w:type="spellEnd"/>
      <w:r w:rsidRPr="00B37C27">
        <w:rPr>
          <w:rFonts w:cs="Times New Roman"/>
          <w:lang w:val="fr-CA"/>
        </w:rPr>
        <w:t xml:space="preserve"> Good </w:t>
      </w:r>
      <w:proofErr w:type="spellStart"/>
      <w:r w:rsidRPr="00B37C27">
        <w:rPr>
          <w:rFonts w:cs="Times New Roman"/>
          <w:lang w:val="fr-CA"/>
        </w:rPr>
        <w:t>Faith</w:t>
      </w:r>
      <w:proofErr w:type="spellEnd"/>
      <w:r w:rsidRPr="00B37C27">
        <w:rPr>
          <w:rFonts w:cs="Times New Roman"/>
          <w:lang w:val="fr-CA"/>
        </w:rPr>
        <w:t xml:space="preserve"> in Commercial Transactions</w:t>
      </w:r>
      <w:r w:rsidR="00894691">
        <w:rPr>
          <w:rFonts w:cs="Times New Roman"/>
          <w:lang w:val="fr-CA"/>
        </w:rPr>
        <w:t> »</w:t>
      </w:r>
      <w:r w:rsidRPr="00B37C27">
        <w:rPr>
          <w:rFonts w:cs="Times New Roman"/>
          <w:lang w:val="fr-CA"/>
        </w:rPr>
        <w:t xml:space="preserve">, dans </w:t>
      </w:r>
      <w:proofErr w:type="spellStart"/>
      <w:r w:rsidRPr="00B37C27">
        <w:rPr>
          <w:rFonts w:cs="Times New Roman"/>
          <w:i/>
          <w:lang w:val="fr-CA"/>
        </w:rPr>
        <w:t>Special</w:t>
      </w:r>
      <w:proofErr w:type="spellEnd"/>
      <w:r w:rsidRPr="00B37C27">
        <w:rPr>
          <w:rFonts w:cs="Times New Roman"/>
          <w:i/>
          <w:lang w:val="fr-CA"/>
        </w:rPr>
        <w:t xml:space="preserve"> Lectures of the</w:t>
      </w:r>
      <w:r w:rsidRPr="00B37C27">
        <w:rPr>
          <w:rFonts w:cs="Times New Roman"/>
          <w:lang w:val="fr-CA"/>
        </w:rPr>
        <w:t xml:space="preserve"> </w:t>
      </w:r>
      <w:r w:rsidRPr="00B37C27">
        <w:rPr>
          <w:rFonts w:cs="Times New Roman"/>
          <w:i/>
          <w:lang w:val="fr-CA"/>
        </w:rPr>
        <w:t xml:space="preserve">Law Society of </w:t>
      </w:r>
      <w:proofErr w:type="spellStart"/>
      <w:r w:rsidRPr="00B37C27">
        <w:rPr>
          <w:rFonts w:cs="Times New Roman"/>
          <w:i/>
          <w:lang w:val="fr-CA"/>
        </w:rPr>
        <w:t>Upper</w:t>
      </w:r>
      <w:proofErr w:type="spellEnd"/>
      <w:r w:rsidRPr="00B37C27">
        <w:rPr>
          <w:rFonts w:cs="Times New Roman"/>
          <w:i/>
          <w:lang w:val="fr-CA"/>
        </w:rPr>
        <w:t xml:space="preserve"> Canada 1985 — Commercial Law</w:t>
      </w:r>
      <w:r w:rsidR="00894691">
        <w:rPr>
          <w:rFonts w:cs="Times New Roman"/>
          <w:i/>
          <w:lang w:val="fr-CA"/>
        </w:rPr>
        <w:t> :</w:t>
      </w:r>
      <w:r w:rsidRPr="00B37C27">
        <w:rPr>
          <w:rFonts w:cs="Times New Roman"/>
          <w:i/>
          <w:lang w:val="fr-CA"/>
        </w:rPr>
        <w:t xml:space="preserve"> </w:t>
      </w:r>
      <w:proofErr w:type="spellStart"/>
      <w:r w:rsidRPr="00B37C27">
        <w:rPr>
          <w:rFonts w:cs="Times New Roman"/>
          <w:i/>
          <w:lang w:val="fr-CA"/>
        </w:rPr>
        <w:t>Recent</w:t>
      </w:r>
      <w:proofErr w:type="spellEnd"/>
      <w:r w:rsidRPr="00B37C27">
        <w:rPr>
          <w:rFonts w:cs="Times New Roman"/>
          <w:i/>
          <w:lang w:val="fr-CA"/>
        </w:rPr>
        <w:t xml:space="preserve"> </w:t>
      </w:r>
      <w:proofErr w:type="spellStart"/>
      <w:r w:rsidRPr="00B37C27">
        <w:rPr>
          <w:rFonts w:cs="Times New Roman"/>
          <w:i/>
          <w:lang w:val="fr-CA"/>
        </w:rPr>
        <w:t>Developments</w:t>
      </w:r>
      <w:proofErr w:type="spellEnd"/>
      <w:r w:rsidRPr="00B37C27">
        <w:rPr>
          <w:rFonts w:cs="Times New Roman"/>
          <w:i/>
          <w:lang w:val="fr-CA"/>
        </w:rPr>
        <w:t xml:space="preserve"> and </w:t>
      </w:r>
      <w:proofErr w:type="spellStart"/>
      <w:r w:rsidRPr="00B37C27">
        <w:rPr>
          <w:rFonts w:cs="Times New Roman"/>
          <w:i/>
          <w:lang w:val="fr-CA"/>
        </w:rPr>
        <w:t>Emerging</w:t>
      </w:r>
      <w:proofErr w:type="spellEnd"/>
      <w:r w:rsidRPr="00B37C27">
        <w:rPr>
          <w:rFonts w:cs="Times New Roman"/>
          <w:i/>
          <w:lang w:val="fr-CA"/>
        </w:rPr>
        <w:t xml:space="preserve"> Trends </w:t>
      </w:r>
      <w:r w:rsidRPr="00B37C27">
        <w:rPr>
          <w:rFonts w:cs="Times New Roman"/>
          <w:lang w:val="fr-CA"/>
        </w:rPr>
        <w:t xml:space="preserve"> (1985), 93, p.</w:t>
      </w:r>
      <w:r w:rsidR="00894691">
        <w:rPr>
          <w:rFonts w:cs="Times New Roman"/>
          <w:lang w:val="fr-CA"/>
        </w:rPr>
        <w:t xml:space="preserve"> </w:t>
      </w:r>
      <w:r w:rsidRPr="00B37C27">
        <w:rPr>
          <w:rFonts w:cs="Times New Roman"/>
          <w:lang w:val="fr-CA"/>
        </w:rPr>
        <w:t>106</w:t>
      </w:r>
      <w:r w:rsidR="00894691">
        <w:rPr>
          <w:rFonts w:cs="Times New Roman"/>
          <w:lang w:val="fr-CA"/>
        </w:rPr>
        <w:t>-</w:t>
      </w:r>
      <w:r w:rsidRPr="00B37C27">
        <w:rPr>
          <w:rFonts w:cs="Times New Roman"/>
          <w:lang w:val="fr-CA"/>
        </w:rPr>
        <w:t xml:space="preserve">107.  À mon avis, l’adoption d’une règle d’exécution honnête favorisera, plutôt qu’elle écartera, la stabilité des opérations commerciales. </w:t>
      </w:r>
    </w:p>
    <w:p w:rsidR="00142A2B" w:rsidRPr="00B37C27" w:rsidRDefault="00142A2B" w:rsidP="00894691">
      <w:pPr>
        <w:pStyle w:val="ParaNoNdepar-AltN"/>
        <w:rPr>
          <w:rFonts w:cs="Times New Roman"/>
          <w:lang w:val="fr-CA"/>
        </w:rPr>
      </w:pPr>
      <w:r w:rsidRPr="00B37C27">
        <w:rPr>
          <w:rFonts w:cs="Times New Roman"/>
          <w:lang w:val="fr-CA"/>
        </w:rPr>
        <w:t>La possibilité que l’obligation d’exécution honnête porte atteinte à la liberté contractuelle est plus théorique que concrète.  Rarement verra</w:t>
      </w:r>
      <w:r w:rsidR="00894691">
        <w:rPr>
          <w:rFonts w:cs="Times New Roman"/>
          <w:lang w:val="fr-CA"/>
        </w:rPr>
        <w:t>-</w:t>
      </w:r>
      <w:r w:rsidRPr="00B37C27">
        <w:rPr>
          <w:rFonts w:cs="Times New Roman"/>
          <w:lang w:val="fr-CA"/>
        </w:rPr>
        <w:t>t</w:t>
      </w:r>
      <w:r w:rsidR="00894691">
        <w:rPr>
          <w:rFonts w:cs="Times New Roman"/>
          <w:lang w:val="fr-CA"/>
        </w:rPr>
        <w:t>-</w:t>
      </w:r>
      <w:r w:rsidRPr="00B37C27">
        <w:rPr>
          <w:rFonts w:cs="Times New Roman"/>
          <w:lang w:val="fr-CA"/>
        </w:rPr>
        <w:t xml:space="preserve">on que les parties à un contrat veuillent accepter l’exécution malhonnête du contrat par l’autre partie.  </w:t>
      </w:r>
    </w:p>
    <w:p w:rsidR="00142A2B" w:rsidRPr="00B37C27" w:rsidRDefault="00142A2B" w:rsidP="00894691">
      <w:pPr>
        <w:pStyle w:val="ParaNoNdepar-AltN"/>
        <w:rPr>
          <w:rFonts w:cs="Times New Roman"/>
          <w:lang w:val="fr-CA"/>
        </w:rPr>
      </w:pPr>
      <w:r w:rsidRPr="00B37C27">
        <w:rPr>
          <w:rFonts w:cs="Times New Roman"/>
          <w:lang w:val="fr-CA"/>
        </w:rPr>
        <w:t xml:space="preserve">Le droit civil appliqué au Québec ainsi que la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et les lois de plusieurs États américains peuvent rassurer les personnes qui craignent que cette modeste initiative puisse engendrer l’instabilité ou faire obstacle à la liberté contractuelle. </w:t>
      </w:r>
    </w:p>
    <w:p w:rsidR="00142A2B" w:rsidRPr="00B37C27" w:rsidRDefault="00142A2B" w:rsidP="00894691">
      <w:pPr>
        <w:pStyle w:val="ParaNoNdepar-AltN"/>
        <w:rPr>
          <w:rFonts w:cs="Times New Roman"/>
          <w:lang w:val="fr-CA"/>
        </w:rPr>
      </w:pPr>
      <w:r w:rsidRPr="00B37C27">
        <w:rPr>
          <w:rFonts w:cs="Times New Roman"/>
          <w:lang w:val="fr-CA"/>
        </w:rPr>
        <w:lastRenderedPageBreak/>
        <w:t xml:space="preserve">Le </w:t>
      </w:r>
      <w:r w:rsidRPr="00B37C27">
        <w:rPr>
          <w:rFonts w:cs="Times New Roman"/>
          <w:i/>
          <w:lang w:val="fr-CA"/>
        </w:rPr>
        <w:t>Code civil du Québec</w:t>
      </w:r>
      <w:r w:rsidRPr="00B37C27">
        <w:rPr>
          <w:rFonts w:cs="Times New Roman"/>
          <w:lang w:val="fr-CA"/>
        </w:rPr>
        <w:t xml:space="preserve"> reconnaît une obligation générale de bonne foi qui s’applique à la formation, à l’exécution et à l’expiration d’un contrat et qui englobe la notion d’abus de droits contractuels</w:t>
      </w:r>
      <w:r w:rsidR="00894691">
        <w:rPr>
          <w:rFonts w:cs="Times New Roman"/>
          <w:lang w:val="fr-CA"/>
        </w:rPr>
        <w:t> :</w:t>
      </w:r>
      <w:r w:rsidRPr="00B37C27">
        <w:rPr>
          <w:rFonts w:cs="Times New Roman"/>
          <w:lang w:val="fr-CA"/>
        </w:rPr>
        <w:t xml:space="preserve"> voir </w:t>
      </w:r>
      <w:proofErr w:type="gramStart"/>
      <w:r w:rsidRPr="00B37C27">
        <w:rPr>
          <w:rFonts w:cs="Times New Roman"/>
          <w:lang w:val="fr-CA"/>
        </w:rPr>
        <w:t>les art</w:t>
      </w:r>
      <w:proofErr w:type="gramEnd"/>
      <w:r w:rsidRPr="00B37C27">
        <w:rPr>
          <w:rFonts w:cs="Times New Roman"/>
          <w:lang w:val="fr-CA"/>
        </w:rPr>
        <w:t>.</w:t>
      </w:r>
      <w:r w:rsidR="00894691">
        <w:rPr>
          <w:rFonts w:cs="Times New Roman"/>
          <w:lang w:val="fr-CA"/>
        </w:rPr>
        <w:t xml:space="preserve"> </w:t>
      </w:r>
      <w:r w:rsidRPr="00B37C27">
        <w:rPr>
          <w:rFonts w:cs="Times New Roman"/>
          <w:lang w:val="fr-CA"/>
        </w:rPr>
        <w:t>6, 7</w:t>
      </w:r>
      <w:r w:rsidR="00894691">
        <w:rPr>
          <w:rFonts w:cs="Times New Roman"/>
          <w:lang w:val="fr-CA"/>
        </w:rPr>
        <w:t xml:space="preserve"> </w:t>
      </w:r>
      <w:r w:rsidRPr="00B37C27">
        <w:rPr>
          <w:rFonts w:cs="Times New Roman"/>
          <w:lang w:val="fr-CA"/>
        </w:rPr>
        <w:t>et</w:t>
      </w:r>
      <w:r w:rsidR="00894691">
        <w:rPr>
          <w:rFonts w:cs="Times New Roman"/>
          <w:lang w:val="fr-CA"/>
        </w:rPr>
        <w:t xml:space="preserve"> </w:t>
      </w:r>
      <w:r w:rsidRPr="00B37C27">
        <w:rPr>
          <w:rFonts w:cs="Times New Roman"/>
          <w:lang w:val="fr-CA"/>
        </w:rPr>
        <w:t xml:space="preserve">1375.  Bien qu’il ne soit pas opportun d’exposer ici en détail la notion de bonne foi en droit civil québécois, il convient de noter qu’on relève dans la bonne foi deux aspects principaux.  Le premier est subjectif et a trait à l’état d’esprit de l’acteur; il examine la conduite qui est, par exemple, malicieuse ou intentionnelle.  Le deuxième, l’aspect objectif, pose la question de savoir si la conduite est inacceptable en regard des normes d’une personne raisonnable. </w:t>
      </w:r>
      <w:r>
        <w:rPr>
          <w:rFonts w:cs="Times New Roman"/>
          <w:lang w:val="fr-CA"/>
        </w:rPr>
        <w:t xml:space="preserve"> </w:t>
      </w:r>
      <w:r w:rsidRPr="00B37C27">
        <w:rPr>
          <w:rFonts w:cs="Times New Roman"/>
          <w:lang w:val="fr-CA"/>
        </w:rPr>
        <w:t>Comme l’expliquent J.</w:t>
      </w:r>
      <w:r w:rsidR="00894691">
        <w:rPr>
          <w:rFonts w:cs="Times New Roman"/>
          <w:lang w:val="fr-CA"/>
        </w:rPr>
        <w:t>-</w:t>
      </w:r>
      <w:r w:rsidRPr="00B37C27">
        <w:rPr>
          <w:rFonts w:cs="Times New Roman"/>
          <w:lang w:val="fr-CA"/>
        </w:rPr>
        <w:t>L.</w:t>
      </w:r>
      <w:r w:rsidR="00894691">
        <w:rPr>
          <w:rFonts w:cs="Times New Roman"/>
          <w:lang w:val="fr-CA"/>
        </w:rPr>
        <w:t xml:space="preserve"> </w:t>
      </w:r>
      <w:r w:rsidRPr="00B37C27">
        <w:rPr>
          <w:rFonts w:cs="Times New Roman"/>
          <w:lang w:val="fr-CA"/>
        </w:rPr>
        <w:t>Baudo</w:t>
      </w:r>
      <w:r>
        <w:rPr>
          <w:rFonts w:cs="Times New Roman"/>
          <w:lang w:val="fr-CA"/>
        </w:rPr>
        <w:t>u</w:t>
      </w:r>
      <w:r w:rsidRPr="00B37C27">
        <w:rPr>
          <w:rFonts w:cs="Times New Roman"/>
          <w:lang w:val="fr-CA"/>
        </w:rPr>
        <w:t>in et P.</w:t>
      </w:r>
      <w:r w:rsidR="00894691">
        <w:rPr>
          <w:rFonts w:cs="Times New Roman"/>
          <w:lang w:val="fr-CA"/>
        </w:rPr>
        <w:t>-</w:t>
      </w:r>
      <w:r w:rsidRPr="00B37C27">
        <w:rPr>
          <w:rFonts w:cs="Times New Roman"/>
          <w:lang w:val="fr-CA"/>
        </w:rPr>
        <w:t>G.</w:t>
      </w:r>
      <w:r w:rsidR="00894691">
        <w:rPr>
          <w:rFonts w:cs="Times New Roman"/>
          <w:lang w:val="fr-CA"/>
        </w:rPr>
        <w:t xml:space="preserve"> </w:t>
      </w:r>
      <w:proofErr w:type="spellStart"/>
      <w:r w:rsidRPr="00B37C27">
        <w:rPr>
          <w:rFonts w:cs="Times New Roman"/>
          <w:lang w:val="fr-CA"/>
        </w:rPr>
        <w:t>Jobin</w:t>
      </w:r>
      <w:proofErr w:type="spellEnd"/>
      <w:r w:rsidRPr="00B37C27">
        <w:rPr>
          <w:rFonts w:cs="Times New Roman"/>
          <w:lang w:val="fr-CA"/>
        </w:rPr>
        <w:t xml:space="preserve">, </w:t>
      </w:r>
      <w:r w:rsidR="00894691">
        <w:rPr>
          <w:rFonts w:cs="Times New Roman"/>
          <w:lang w:val="fr-CA"/>
        </w:rPr>
        <w:t>« </w:t>
      </w:r>
      <w:r w:rsidRPr="00B37C27">
        <w:rPr>
          <w:rFonts w:cs="Times New Roman"/>
          <w:lang w:val="fr-CA"/>
        </w:rPr>
        <w:t>une personne peut être de bonne foi (au sens subjectif), c’est</w:t>
      </w:r>
      <w:r w:rsidR="00894691">
        <w:rPr>
          <w:rFonts w:cs="Times New Roman"/>
          <w:lang w:val="fr-CA"/>
        </w:rPr>
        <w:t>-</w:t>
      </w:r>
      <w:r w:rsidRPr="00B37C27">
        <w:rPr>
          <w:rFonts w:cs="Times New Roman"/>
          <w:lang w:val="fr-CA"/>
        </w:rPr>
        <w:t>à</w:t>
      </w:r>
      <w:r w:rsidR="00894691">
        <w:rPr>
          <w:rFonts w:cs="Times New Roman"/>
          <w:lang w:val="fr-CA"/>
        </w:rPr>
        <w:t>-</w:t>
      </w:r>
      <w:r w:rsidRPr="00B37C27">
        <w:rPr>
          <w:rFonts w:cs="Times New Roman"/>
          <w:lang w:val="fr-CA"/>
        </w:rPr>
        <w:t>dire ne pas agir de façon malicieuse ou agir dans l’ignorance de certains faits, et aller tout de même à l’encontre des exigences de la bonne foi, soit en violant des normes de comportement objectives et généralement admises dans la société</w:t>
      </w:r>
      <w:r w:rsidR="00894691">
        <w:rPr>
          <w:rFonts w:cs="Times New Roman"/>
          <w:lang w:val="fr-CA"/>
        </w:rPr>
        <w:t> » :</w:t>
      </w:r>
      <w:r w:rsidRPr="00B37C27">
        <w:rPr>
          <w:rFonts w:cs="Times New Roman"/>
          <w:lang w:val="fr-CA"/>
        </w:rPr>
        <w:t xml:space="preserve"> </w:t>
      </w:r>
      <w:r w:rsidR="00730638">
        <w:rPr>
          <w:rFonts w:cs="Times New Roman"/>
          <w:i/>
          <w:lang w:val="fr-CA"/>
        </w:rPr>
        <w:t>Les o</w:t>
      </w:r>
      <w:r w:rsidRPr="00B37C27">
        <w:rPr>
          <w:rFonts w:cs="Times New Roman"/>
          <w:i/>
          <w:lang w:val="fr-CA"/>
        </w:rPr>
        <w:t>bligations</w:t>
      </w:r>
      <w:r w:rsidRPr="00B37C27">
        <w:rPr>
          <w:rFonts w:cs="Times New Roman"/>
          <w:lang w:val="fr-CA"/>
        </w:rPr>
        <w:t xml:space="preserve"> (7</w:t>
      </w:r>
      <w:r w:rsidRPr="00730638">
        <w:rPr>
          <w:rFonts w:cs="Times New Roman"/>
          <w:vertAlign w:val="superscript"/>
          <w:lang w:val="fr-CA"/>
        </w:rPr>
        <w:t>e</w:t>
      </w:r>
      <w:r w:rsidR="00894691">
        <w:rPr>
          <w:rFonts w:cs="Times New Roman"/>
          <w:lang w:val="fr-CA"/>
        </w:rPr>
        <w:t xml:space="preserve"> </w:t>
      </w:r>
      <w:r w:rsidRPr="00B37C27">
        <w:rPr>
          <w:rFonts w:cs="Times New Roman"/>
          <w:lang w:val="fr-CA"/>
        </w:rPr>
        <w:t>éd. 2013), par P.</w:t>
      </w:r>
      <w:r w:rsidR="00894691">
        <w:rPr>
          <w:rFonts w:cs="Times New Roman"/>
          <w:lang w:val="fr-CA"/>
        </w:rPr>
        <w:t>-</w:t>
      </w:r>
      <w:r w:rsidRPr="00B37C27">
        <w:rPr>
          <w:rFonts w:cs="Times New Roman"/>
          <w:lang w:val="fr-CA"/>
        </w:rPr>
        <w:t>G.</w:t>
      </w:r>
      <w:r w:rsidR="00894691">
        <w:rPr>
          <w:rFonts w:cs="Times New Roman"/>
          <w:lang w:val="fr-CA"/>
        </w:rPr>
        <w:t xml:space="preserve"> </w:t>
      </w:r>
      <w:proofErr w:type="spellStart"/>
      <w:r w:rsidRPr="00B37C27">
        <w:rPr>
          <w:rFonts w:cs="Times New Roman"/>
          <w:lang w:val="fr-CA"/>
        </w:rPr>
        <w:t>Jobin</w:t>
      </w:r>
      <w:proofErr w:type="spellEnd"/>
      <w:r w:rsidRPr="00B37C27">
        <w:rPr>
          <w:rFonts w:cs="Times New Roman"/>
          <w:lang w:val="fr-CA"/>
        </w:rPr>
        <w:t xml:space="preserve"> et N.</w:t>
      </w:r>
      <w:r w:rsidR="00894691">
        <w:rPr>
          <w:rFonts w:cs="Times New Roman"/>
          <w:lang w:val="fr-CA"/>
        </w:rPr>
        <w:t xml:space="preserve"> </w:t>
      </w:r>
      <w:proofErr w:type="spellStart"/>
      <w:r w:rsidRPr="00B37C27">
        <w:rPr>
          <w:rFonts w:cs="Times New Roman"/>
          <w:lang w:val="fr-CA"/>
        </w:rPr>
        <w:t>Vézina</w:t>
      </w:r>
      <w:proofErr w:type="spellEnd"/>
      <w:r w:rsidRPr="00B37C27">
        <w:rPr>
          <w:rFonts w:cs="Times New Roman"/>
          <w:lang w:val="fr-CA"/>
        </w:rPr>
        <w:t>, par.</w:t>
      </w:r>
      <w:r w:rsidR="00894691">
        <w:rPr>
          <w:rFonts w:cs="Times New Roman"/>
          <w:lang w:val="fr-CA"/>
        </w:rPr>
        <w:t xml:space="preserve"> </w:t>
      </w:r>
      <w:r w:rsidRPr="00B37C27">
        <w:rPr>
          <w:rFonts w:cs="Times New Roman"/>
          <w:lang w:val="fr-CA"/>
        </w:rPr>
        <w:t>132.  La notion de bonne foi comprend (notamment) l’exigence de l’honnêteté en matière d’exécution du contrat</w:t>
      </w:r>
      <w:r w:rsidR="00894691">
        <w:rPr>
          <w:rFonts w:cs="Times New Roman"/>
          <w:lang w:val="fr-CA"/>
        </w:rPr>
        <w:t> :</w:t>
      </w:r>
      <w:r w:rsidRPr="00B37C27">
        <w:rPr>
          <w:rFonts w:cs="Times New Roman"/>
          <w:lang w:val="fr-CA"/>
        </w:rPr>
        <w:t xml:space="preserve"> </w:t>
      </w:r>
      <w:r w:rsidRPr="00B37C27">
        <w:rPr>
          <w:rFonts w:cs="Times New Roman"/>
          <w:i/>
          <w:lang w:val="fr-CA"/>
        </w:rPr>
        <w:t>ibid.</w:t>
      </w:r>
      <w:r w:rsidRPr="00B37C27">
        <w:rPr>
          <w:rFonts w:cs="Times New Roman"/>
          <w:lang w:val="fr-CA"/>
        </w:rPr>
        <w:t>, par.</w:t>
      </w:r>
      <w:r w:rsidR="00894691">
        <w:rPr>
          <w:rFonts w:cs="Times New Roman"/>
          <w:lang w:val="fr-CA"/>
        </w:rPr>
        <w:t xml:space="preserve"> </w:t>
      </w:r>
      <w:r w:rsidRPr="00B37C27">
        <w:rPr>
          <w:rFonts w:cs="Times New Roman"/>
          <w:lang w:val="fr-CA"/>
        </w:rPr>
        <w:t xml:space="preserve">161; </w:t>
      </w:r>
      <w:r w:rsidRPr="00B37C27">
        <w:rPr>
          <w:rFonts w:cs="Times New Roman"/>
          <w:i/>
          <w:lang w:val="fr-CA"/>
        </w:rPr>
        <w:t xml:space="preserve">Banque de Montréal c. </w:t>
      </w:r>
      <w:proofErr w:type="spellStart"/>
      <w:r w:rsidRPr="00B37C27">
        <w:rPr>
          <w:rFonts w:cs="Times New Roman"/>
          <w:i/>
          <w:lang w:val="fr-CA"/>
        </w:rPr>
        <w:t>Kuet</w:t>
      </w:r>
      <w:proofErr w:type="spellEnd"/>
      <w:r w:rsidRPr="00B37C27">
        <w:rPr>
          <w:rFonts w:cs="Times New Roman"/>
          <w:i/>
          <w:lang w:val="fr-CA"/>
        </w:rPr>
        <w:t xml:space="preserve"> Leong </w:t>
      </w:r>
      <w:proofErr w:type="spellStart"/>
      <w:r w:rsidRPr="00B37C27">
        <w:rPr>
          <w:rFonts w:cs="Times New Roman"/>
          <w:i/>
          <w:lang w:val="fr-CA"/>
        </w:rPr>
        <w:t>Ng</w:t>
      </w:r>
      <w:proofErr w:type="spellEnd"/>
      <w:r w:rsidRPr="00B37C27">
        <w:rPr>
          <w:rFonts w:cs="Times New Roman"/>
          <w:lang w:val="fr-CA"/>
        </w:rPr>
        <w:t>, [1989] 2 R.C.S. 429, p.</w:t>
      </w:r>
      <w:r w:rsidR="00894691">
        <w:rPr>
          <w:rFonts w:cs="Times New Roman"/>
          <w:lang w:val="fr-CA"/>
        </w:rPr>
        <w:t xml:space="preserve"> </w:t>
      </w:r>
      <w:r w:rsidRPr="00B37C27">
        <w:rPr>
          <w:rFonts w:cs="Times New Roman"/>
          <w:lang w:val="fr-CA"/>
        </w:rPr>
        <w:t>436.</w:t>
      </w:r>
    </w:p>
    <w:p w:rsidR="00142A2B" w:rsidRPr="00B37C27" w:rsidRDefault="00142A2B" w:rsidP="00894691">
      <w:pPr>
        <w:pStyle w:val="ParaNoNdepar-AltN"/>
        <w:rPr>
          <w:rFonts w:cs="Times New Roman"/>
          <w:lang w:val="fr-CA"/>
        </w:rPr>
      </w:pPr>
      <w:r w:rsidRPr="00B37C27">
        <w:rPr>
          <w:rFonts w:cs="Times New Roman"/>
          <w:lang w:val="fr-CA"/>
        </w:rPr>
        <w:t>Aux États</w:t>
      </w:r>
      <w:r w:rsidR="00894691">
        <w:rPr>
          <w:rFonts w:cs="Times New Roman"/>
          <w:lang w:val="fr-CA"/>
        </w:rPr>
        <w:t>-</w:t>
      </w:r>
      <w:r w:rsidRPr="00B37C27">
        <w:rPr>
          <w:rFonts w:cs="Times New Roman"/>
          <w:lang w:val="fr-CA"/>
        </w:rPr>
        <w:t xml:space="preserve">Unis, </w:t>
      </w:r>
      <w:r w:rsidR="00595F55">
        <w:rPr>
          <w:rFonts w:cs="Times New Roman"/>
          <w:lang w:val="fr-CA"/>
        </w:rPr>
        <w:t>le</w:t>
      </w:r>
      <w:r w:rsidR="00894691">
        <w:rPr>
          <w:rFonts w:cs="Times New Roman"/>
          <w:lang w:val="fr-CA"/>
        </w:rPr>
        <w:t xml:space="preserve"> </w:t>
      </w:r>
      <w:r w:rsidRPr="00B37C27">
        <w:rPr>
          <w:rFonts w:cs="Times New Roman"/>
          <w:lang w:val="fr-CA"/>
        </w:rPr>
        <w:t>§</w:t>
      </w:r>
      <w:r w:rsidR="00894691">
        <w:rPr>
          <w:rFonts w:cs="Times New Roman"/>
          <w:lang w:val="fr-CA"/>
        </w:rPr>
        <w:t xml:space="preserve"> </w:t>
      </w:r>
      <w:r w:rsidRPr="00B37C27">
        <w:rPr>
          <w:rFonts w:cs="Times New Roman"/>
          <w:lang w:val="fr-CA"/>
        </w:rPr>
        <w:t>1</w:t>
      </w:r>
      <w:r w:rsidR="00894691">
        <w:rPr>
          <w:rFonts w:cs="Times New Roman"/>
          <w:lang w:val="fr-CA"/>
        </w:rPr>
        <w:t>-</w:t>
      </w:r>
      <w:r w:rsidRPr="00B37C27">
        <w:rPr>
          <w:rFonts w:cs="Times New Roman"/>
          <w:lang w:val="fr-CA"/>
        </w:rPr>
        <w:t>304 du U.C.C. prévoit que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[c]</w:t>
      </w:r>
      <w:proofErr w:type="spellStart"/>
      <w:r w:rsidRPr="00B37C27">
        <w:rPr>
          <w:rFonts w:cs="Times New Roman"/>
          <w:lang w:val="fr-CA"/>
        </w:rPr>
        <w:t>haque</w:t>
      </w:r>
      <w:proofErr w:type="spellEnd"/>
      <w:r w:rsidRPr="00B37C27">
        <w:rPr>
          <w:rFonts w:cs="Times New Roman"/>
          <w:lang w:val="fr-CA"/>
        </w:rPr>
        <w:t xml:space="preserve"> contrat ou obligation que vise Uniform Commercial Code impose dans son exécution et son application une obligation </w:t>
      </w:r>
      <w:r w:rsidRPr="00B37C27">
        <w:rPr>
          <w:rFonts w:cs="Times New Roman"/>
          <w:noProof/>
          <w:lang w:val="fr-CA"/>
        </w:rPr>
        <w:t xml:space="preserve">d’agir </w:t>
      </w:r>
      <w:r w:rsidRPr="00B37C27">
        <w:rPr>
          <w:rFonts w:cs="Times New Roman"/>
          <w:lang w:val="fr-CA"/>
        </w:rPr>
        <w:t>de bonne foi</w:t>
      </w:r>
      <w:r w:rsidR="00730638">
        <w:rPr>
          <w:rFonts w:cs="Times New Roman"/>
          <w:lang w:val="fr-CA"/>
        </w:rPr>
        <w:t>.</w:t>
      </w:r>
      <w:r w:rsidR="00894691">
        <w:rPr>
          <w:rFonts w:cs="Times New Roman"/>
          <w:lang w:val="fr-CA"/>
        </w:rPr>
        <w:t> »</w:t>
      </w:r>
      <w:r w:rsidRPr="00B37C27">
        <w:rPr>
          <w:rFonts w:cs="Times New Roman"/>
          <w:lang w:val="fr-CA"/>
        </w:rPr>
        <w:t xml:space="preserve">  </w:t>
      </w:r>
      <w:r w:rsidR="00730638">
        <w:rPr>
          <w:rFonts w:cs="Times New Roman"/>
          <w:lang w:val="fr-CA"/>
        </w:rPr>
        <w:t xml:space="preserve">U.C.C. </w:t>
      </w:r>
      <w:r w:rsidRPr="00B37C27">
        <w:rPr>
          <w:rFonts w:cs="Times New Roman"/>
          <w:lang w:val="fr-CA"/>
        </w:rPr>
        <w:t xml:space="preserve">a été adopté en tant que mesure législative par l’ensemble des 50 États.  Bien que ses dispositions ne s’appliquent qu’aux contrats commerciaux, </w:t>
      </w:r>
      <w:r w:rsidR="00595F55">
        <w:rPr>
          <w:rFonts w:cs="Times New Roman"/>
          <w:lang w:val="fr-CA"/>
        </w:rPr>
        <w:t>le</w:t>
      </w:r>
      <w:r w:rsidR="00894691">
        <w:rPr>
          <w:rFonts w:cs="Times New Roman"/>
          <w:lang w:val="fr-CA"/>
        </w:rPr>
        <w:t xml:space="preserve"> </w:t>
      </w:r>
      <w:r w:rsidRPr="00B37C27">
        <w:rPr>
          <w:rFonts w:cs="Times New Roman"/>
          <w:lang w:val="fr-CA"/>
        </w:rPr>
        <w:t>§</w:t>
      </w:r>
      <w:r w:rsidR="00894691">
        <w:rPr>
          <w:rFonts w:cs="Times New Roman"/>
          <w:lang w:val="fr-CA"/>
        </w:rPr>
        <w:t xml:space="preserve"> </w:t>
      </w:r>
      <w:r w:rsidRPr="00B37C27">
        <w:rPr>
          <w:rFonts w:cs="Times New Roman"/>
          <w:lang w:val="fr-CA"/>
        </w:rPr>
        <w:t xml:space="preserve">205 du </w:t>
      </w:r>
      <w:proofErr w:type="spellStart"/>
      <w:r w:rsidRPr="00B37C27">
        <w:rPr>
          <w:rFonts w:cs="Times New Roman"/>
          <w:i/>
          <w:lang w:val="fr-CA"/>
        </w:rPr>
        <w:t>Restatement</w:t>
      </w:r>
      <w:proofErr w:type="spellEnd"/>
      <w:r w:rsidRPr="00B37C27">
        <w:rPr>
          <w:rFonts w:cs="Times New Roman"/>
          <w:i/>
          <w:lang w:val="fr-CA"/>
        </w:rPr>
        <w:t xml:space="preserve"> (Second) of </w:t>
      </w:r>
      <w:proofErr w:type="spellStart"/>
      <w:r w:rsidRPr="00B37C27">
        <w:rPr>
          <w:rFonts w:cs="Times New Roman"/>
          <w:i/>
          <w:lang w:val="fr-CA"/>
        </w:rPr>
        <w:t>Contracts</w:t>
      </w:r>
      <w:proofErr w:type="spellEnd"/>
      <w:r w:rsidRPr="00B37C27">
        <w:rPr>
          <w:rFonts w:cs="Times New Roman"/>
          <w:lang w:val="fr-CA"/>
        </w:rPr>
        <w:t xml:space="preserve"> (1981) établit une obligation générale </w:t>
      </w:r>
      <w:r w:rsidRPr="00B37C27">
        <w:rPr>
          <w:rFonts w:cs="Times New Roman"/>
          <w:noProof/>
          <w:lang w:val="fr-CA"/>
        </w:rPr>
        <w:t xml:space="preserve">d’agir </w:t>
      </w:r>
      <w:r w:rsidRPr="00B37C27">
        <w:rPr>
          <w:rFonts w:cs="Times New Roman"/>
          <w:lang w:val="fr-CA"/>
        </w:rPr>
        <w:t xml:space="preserve">de bonne foi applicable à tous les contrats.  Cette disposition du </w:t>
      </w:r>
      <w:proofErr w:type="spellStart"/>
      <w:r w:rsidRPr="00B37C27">
        <w:rPr>
          <w:rFonts w:cs="Times New Roman"/>
          <w:i/>
          <w:lang w:val="fr-CA"/>
        </w:rPr>
        <w:t>Restatement</w:t>
      </w:r>
      <w:proofErr w:type="spellEnd"/>
      <w:r w:rsidRPr="00B37C27">
        <w:rPr>
          <w:rFonts w:cs="Times New Roman"/>
          <w:lang w:val="fr-CA"/>
        </w:rPr>
        <w:t xml:space="preserve"> a été entérinée par les tribunaux dans la </w:t>
      </w:r>
      <w:r w:rsidRPr="00B37C27">
        <w:rPr>
          <w:rFonts w:cs="Times New Roman"/>
          <w:lang w:val="fr-CA"/>
        </w:rPr>
        <w:lastRenderedPageBreak/>
        <w:t xml:space="preserve">grande majorité des États.  La notion de </w:t>
      </w:r>
      <w:r w:rsidR="00894691">
        <w:rPr>
          <w:rFonts w:cs="Times New Roman"/>
          <w:lang w:val="fr-CA"/>
        </w:rPr>
        <w:t>« </w:t>
      </w:r>
      <w:r w:rsidRPr="00B37C27">
        <w:rPr>
          <w:rFonts w:cs="Times New Roman"/>
          <w:lang w:val="fr-CA"/>
        </w:rPr>
        <w:t>bonne foi</w:t>
      </w:r>
      <w:r w:rsidR="00894691">
        <w:rPr>
          <w:rFonts w:cs="Times New Roman"/>
          <w:lang w:val="fr-CA"/>
        </w:rPr>
        <w:t> »</w:t>
      </w:r>
      <w:r w:rsidRPr="00B37C27">
        <w:rPr>
          <w:rFonts w:cs="Times New Roman"/>
          <w:lang w:val="fr-CA"/>
        </w:rPr>
        <w:t xml:space="preserve"> utilisée dans le </w:t>
      </w:r>
      <w:proofErr w:type="spellStart"/>
      <w:r w:rsidRPr="00B37C27">
        <w:rPr>
          <w:rFonts w:cs="Times New Roman"/>
          <w:i/>
          <w:lang w:val="fr-CA"/>
        </w:rPr>
        <w:t>Restatement</w:t>
      </w:r>
      <w:proofErr w:type="spellEnd"/>
      <w:r w:rsidRPr="00B37C27">
        <w:rPr>
          <w:rFonts w:cs="Times New Roman"/>
          <w:lang w:val="fr-CA"/>
        </w:rPr>
        <w:t xml:space="preserve"> reproduit essentiellement celle que propose Robert </w:t>
      </w:r>
      <w:proofErr w:type="spellStart"/>
      <w:r w:rsidRPr="00B37C27">
        <w:rPr>
          <w:rFonts w:cs="Times New Roman"/>
          <w:lang w:val="fr-CA"/>
        </w:rPr>
        <w:t>Summers</w:t>
      </w:r>
      <w:proofErr w:type="spellEnd"/>
      <w:r w:rsidRPr="00B37C27">
        <w:rPr>
          <w:rFonts w:cs="Times New Roman"/>
          <w:lang w:val="fr-CA"/>
        </w:rPr>
        <w:t xml:space="preserve"> dans un article important, où il a fait valoir que la </w:t>
      </w:r>
      <w:r w:rsidR="00894691">
        <w:rPr>
          <w:rFonts w:cs="Times New Roman"/>
          <w:lang w:val="fr-CA"/>
        </w:rPr>
        <w:t>« </w:t>
      </w:r>
      <w:r w:rsidRPr="00B37C27">
        <w:rPr>
          <w:rFonts w:cs="Times New Roman"/>
          <w:lang w:val="fr-CA"/>
        </w:rPr>
        <w:t>bonne foi</w:t>
      </w:r>
      <w:r w:rsidR="00894691">
        <w:rPr>
          <w:rFonts w:cs="Times New Roman"/>
          <w:lang w:val="fr-CA"/>
        </w:rPr>
        <w:t> »</w:t>
      </w:r>
      <w:r w:rsidRPr="00B37C27">
        <w:rPr>
          <w:rFonts w:cs="Times New Roman"/>
          <w:lang w:val="fr-CA"/>
        </w:rPr>
        <w:t xml:space="preserve"> s’entend essentiellement d’un </w:t>
      </w:r>
      <w:r w:rsidR="00557472">
        <w:rPr>
          <w:rFonts w:cs="Times New Roman"/>
          <w:lang w:val="fr-CA"/>
        </w:rPr>
        <w:t>[</w:t>
      </w:r>
      <w:r w:rsidR="00557472" w:rsidRPr="00557472">
        <w:rPr>
          <w:rFonts w:cs="Times New Roman"/>
          <w:smallCaps/>
          <w:lang w:val="fr-CA"/>
        </w:rPr>
        <w:t>traduction</w:t>
      </w:r>
      <w:r w:rsidR="00557472">
        <w:rPr>
          <w:rFonts w:cs="Times New Roman"/>
          <w:lang w:val="fr-CA"/>
        </w:rPr>
        <w:t xml:space="preserve">] </w:t>
      </w:r>
      <w:r w:rsidR="00894691">
        <w:rPr>
          <w:rFonts w:cs="Times New Roman"/>
          <w:lang w:val="fr-CA"/>
        </w:rPr>
        <w:t>« </w:t>
      </w:r>
      <w:r w:rsidRPr="00B37C27">
        <w:rPr>
          <w:rFonts w:cs="Times New Roman"/>
          <w:lang w:val="fr-CA"/>
        </w:rPr>
        <w:t>agent d’exclusion</w:t>
      </w:r>
      <w:r w:rsidR="00894691">
        <w:rPr>
          <w:rFonts w:cs="Times New Roman"/>
          <w:lang w:val="fr-CA"/>
        </w:rPr>
        <w:t> »</w:t>
      </w:r>
      <w:r w:rsidRPr="00B37C27">
        <w:rPr>
          <w:rFonts w:cs="Times New Roman"/>
          <w:lang w:val="fr-CA"/>
        </w:rPr>
        <w:t xml:space="preserve"> de diverses catégories de conduite de mauvaise foi</w:t>
      </w:r>
      <w:r w:rsidR="00894691">
        <w:rPr>
          <w:rFonts w:cs="Times New Roman"/>
          <w:lang w:val="fr-CA"/>
        </w:rPr>
        <w:t> :</w:t>
      </w:r>
      <w:r w:rsidRPr="00B37C27">
        <w:rPr>
          <w:rFonts w:cs="Times New Roman"/>
          <w:lang w:val="fr-CA"/>
        </w:rPr>
        <w:t xml:space="preserve"> p.</w:t>
      </w:r>
      <w:r w:rsidR="00894691">
        <w:rPr>
          <w:rFonts w:cs="Times New Roman"/>
          <w:lang w:val="fr-CA"/>
        </w:rPr>
        <w:t xml:space="preserve"> </w:t>
      </w:r>
      <w:r w:rsidRPr="00B37C27">
        <w:rPr>
          <w:rFonts w:cs="Times New Roman"/>
          <w:lang w:val="fr-CA"/>
        </w:rPr>
        <w:t>206; voir §</w:t>
      </w:r>
      <w:r w:rsidR="00894691">
        <w:rPr>
          <w:rFonts w:cs="Times New Roman"/>
          <w:lang w:val="fr-CA"/>
        </w:rPr>
        <w:t xml:space="preserve"> </w:t>
      </w:r>
      <w:r w:rsidRPr="00B37C27">
        <w:rPr>
          <w:rFonts w:cs="Times New Roman"/>
          <w:lang w:val="fr-CA"/>
        </w:rPr>
        <w:t xml:space="preserve">205, commentaire a.  La définition générale de la </w:t>
      </w:r>
      <w:r w:rsidR="00894691">
        <w:rPr>
          <w:rFonts w:cs="Times New Roman"/>
          <w:lang w:val="fr-CA"/>
        </w:rPr>
        <w:t>« </w:t>
      </w:r>
      <w:r w:rsidRPr="00B37C27">
        <w:rPr>
          <w:rFonts w:cs="Times New Roman"/>
          <w:lang w:val="fr-CA"/>
        </w:rPr>
        <w:t>bonne foi</w:t>
      </w:r>
      <w:r w:rsidR="00894691">
        <w:rPr>
          <w:rFonts w:cs="Times New Roman"/>
          <w:lang w:val="fr-CA"/>
        </w:rPr>
        <w:t> »</w:t>
      </w:r>
      <w:r w:rsidRPr="00B37C27">
        <w:rPr>
          <w:rFonts w:cs="Times New Roman"/>
          <w:lang w:val="fr-CA"/>
        </w:rPr>
        <w:t xml:space="preserve"> énoncée dans U.C.C.</w:t>
      </w:r>
      <w:r w:rsidRPr="00B37C27">
        <w:rPr>
          <w:rFonts w:cs="Times New Roman"/>
          <w:i/>
          <w:lang w:val="fr-CA"/>
        </w:rPr>
        <w:t xml:space="preserve"> </w:t>
      </w:r>
      <w:r w:rsidRPr="00B37C27">
        <w:rPr>
          <w:rFonts w:cs="Times New Roman"/>
          <w:lang w:val="fr-CA"/>
        </w:rPr>
        <w:t>est également assez large, englobant</w:t>
      </w:r>
      <w:r w:rsidR="00595F55">
        <w:rPr>
          <w:rFonts w:cs="Times New Roman"/>
          <w:lang w:val="fr-CA"/>
        </w:rPr>
        <w:t xml:space="preserve"> l’honnêteté et le respect de </w:t>
      </w:r>
      <w:r w:rsidR="00894691">
        <w:rPr>
          <w:rFonts w:cs="Times New Roman"/>
          <w:lang w:val="fr-CA"/>
        </w:rPr>
        <w:t>« </w:t>
      </w:r>
      <w:r w:rsidRPr="00B37C27">
        <w:rPr>
          <w:rFonts w:cs="Times New Roman"/>
          <w:lang w:val="fr-CA"/>
        </w:rPr>
        <w:t>normes commerciales raisonnables</w:t>
      </w:r>
      <w:r w:rsidR="00894691">
        <w:rPr>
          <w:rFonts w:cs="Times New Roman"/>
          <w:lang w:val="fr-CA"/>
        </w:rPr>
        <w:t> » :</w:t>
      </w:r>
      <w:r w:rsidRPr="00B37C27">
        <w:rPr>
          <w:rFonts w:cs="Times New Roman"/>
          <w:lang w:val="fr-CA"/>
        </w:rPr>
        <w:t xml:space="preserve"> §</w:t>
      </w:r>
      <w:r w:rsidR="00894691">
        <w:rPr>
          <w:rFonts w:cs="Times New Roman"/>
          <w:lang w:val="fr-CA"/>
        </w:rPr>
        <w:t xml:space="preserve"> </w:t>
      </w:r>
      <w:r w:rsidRPr="00B37C27">
        <w:rPr>
          <w:rFonts w:cs="Times New Roman"/>
          <w:lang w:val="fr-CA"/>
        </w:rPr>
        <w:t>1</w:t>
      </w:r>
      <w:r w:rsidR="00894691">
        <w:rPr>
          <w:rFonts w:cs="Times New Roman"/>
          <w:lang w:val="fr-CA"/>
        </w:rPr>
        <w:t>-</w:t>
      </w:r>
      <w:r w:rsidRPr="00B37C27">
        <w:rPr>
          <w:rFonts w:cs="Times New Roman"/>
          <w:lang w:val="fr-CA"/>
        </w:rPr>
        <w:t>201(b</w:t>
      </w:r>
      <w:proofErr w:type="gramStart"/>
      <w:r w:rsidRPr="00B37C27">
        <w:rPr>
          <w:rFonts w:cs="Times New Roman"/>
          <w:lang w:val="fr-CA"/>
        </w:rPr>
        <w:t>)(</w:t>
      </w:r>
      <w:proofErr w:type="gramEnd"/>
      <w:r w:rsidRPr="00B37C27">
        <w:rPr>
          <w:rFonts w:cs="Times New Roman"/>
          <w:lang w:val="fr-CA"/>
        </w:rPr>
        <w:t>20).  Cette définition était initialement restreinte au concept de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l’honnêteté de fait</w:t>
      </w:r>
      <w:r w:rsidR="00894691">
        <w:rPr>
          <w:rFonts w:cs="Times New Roman"/>
          <w:lang w:val="fr-CA"/>
        </w:rPr>
        <w:t> »</w:t>
      </w:r>
      <w:r w:rsidRPr="00B37C27">
        <w:rPr>
          <w:rFonts w:cs="Times New Roman"/>
          <w:lang w:val="fr-CA"/>
        </w:rPr>
        <w:t>, soit une obligation d’honnêteté en matière d’exécution, et ce n’est qu’ultérieurement qu’elle a été élargie</w:t>
      </w:r>
      <w:r w:rsidR="00894691">
        <w:rPr>
          <w:rFonts w:cs="Times New Roman"/>
          <w:lang w:val="fr-CA"/>
        </w:rPr>
        <w:t> :</w:t>
      </w:r>
      <w:r w:rsidRPr="00B37C27">
        <w:rPr>
          <w:rFonts w:cs="Times New Roman"/>
          <w:lang w:val="fr-CA"/>
        </w:rPr>
        <w:t xml:space="preserve"> A.</w:t>
      </w:r>
      <w:r w:rsidR="00894691">
        <w:rPr>
          <w:rFonts w:cs="Times New Roman"/>
          <w:lang w:val="fr-CA"/>
        </w:rPr>
        <w:t xml:space="preserve"> </w:t>
      </w:r>
      <w:r w:rsidRPr="00B37C27">
        <w:rPr>
          <w:rFonts w:cs="Times New Roman"/>
          <w:lang w:val="fr-CA"/>
        </w:rPr>
        <w:t>D.</w:t>
      </w:r>
      <w:r w:rsidR="00894691">
        <w:rPr>
          <w:rFonts w:cs="Times New Roman"/>
          <w:lang w:val="fr-CA"/>
        </w:rPr>
        <w:t xml:space="preserve"> </w:t>
      </w:r>
      <w:r w:rsidRPr="00B37C27">
        <w:rPr>
          <w:rFonts w:cs="Times New Roman"/>
          <w:lang w:val="fr-CA"/>
        </w:rPr>
        <w:t>Miller et R.</w:t>
      </w:r>
      <w:r w:rsidR="00894691">
        <w:rPr>
          <w:rFonts w:cs="Times New Roman"/>
          <w:lang w:val="fr-CA"/>
        </w:rPr>
        <w:t xml:space="preserve"> </w:t>
      </w:r>
      <w:r w:rsidRPr="00B37C27">
        <w:rPr>
          <w:rFonts w:cs="Times New Roman"/>
          <w:lang w:val="fr-CA"/>
        </w:rPr>
        <w:t xml:space="preserve">Perry, </w:t>
      </w:r>
      <w:r w:rsidR="00894691">
        <w:rPr>
          <w:rFonts w:cs="Times New Roman"/>
          <w:lang w:val="fr-CA"/>
        </w:rPr>
        <w:t>« </w:t>
      </w:r>
      <w:r w:rsidRPr="00B37C27">
        <w:rPr>
          <w:rFonts w:cs="Times New Roman"/>
          <w:lang w:val="fr-CA"/>
        </w:rPr>
        <w:t xml:space="preserve">Good </w:t>
      </w:r>
      <w:proofErr w:type="spellStart"/>
      <w:r w:rsidRPr="00B37C27">
        <w:rPr>
          <w:rFonts w:cs="Times New Roman"/>
          <w:lang w:val="fr-CA"/>
        </w:rPr>
        <w:t>Faith</w:t>
      </w:r>
      <w:proofErr w:type="spellEnd"/>
      <w:r w:rsidRPr="00B37C27">
        <w:rPr>
          <w:rFonts w:cs="Times New Roman"/>
          <w:lang w:val="fr-CA"/>
        </w:rPr>
        <w:t xml:space="preserve"> Performance</w:t>
      </w:r>
      <w:r w:rsidR="00894691">
        <w:rPr>
          <w:rFonts w:cs="Times New Roman"/>
          <w:lang w:val="fr-CA"/>
        </w:rPr>
        <w:t> »</w:t>
      </w:r>
      <w:r w:rsidRPr="00B37C27">
        <w:rPr>
          <w:rFonts w:cs="Times New Roman"/>
          <w:lang w:val="fr-CA"/>
        </w:rPr>
        <w:t xml:space="preserve"> (2013), 98 </w:t>
      </w:r>
      <w:r w:rsidRPr="00B37C27">
        <w:rPr>
          <w:rFonts w:cs="Times New Roman"/>
          <w:i/>
          <w:lang w:val="fr-CA"/>
        </w:rPr>
        <w:t xml:space="preserve">Iowa L. </w:t>
      </w:r>
      <w:proofErr w:type="spellStart"/>
      <w:r w:rsidRPr="00B37C27">
        <w:rPr>
          <w:rFonts w:cs="Times New Roman"/>
          <w:i/>
          <w:lang w:val="fr-CA"/>
        </w:rPr>
        <w:t>Rev</w:t>
      </w:r>
      <w:proofErr w:type="spellEnd"/>
      <w:r w:rsidRPr="00B37C27">
        <w:rPr>
          <w:rFonts w:cs="Times New Roman"/>
          <w:i/>
          <w:lang w:val="fr-CA"/>
        </w:rPr>
        <w:t>.</w:t>
      </w:r>
      <w:r w:rsidRPr="00B37C27">
        <w:rPr>
          <w:rFonts w:cs="Times New Roman"/>
          <w:lang w:val="fr-CA"/>
        </w:rPr>
        <w:t xml:space="preserve"> 689, p.</w:t>
      </w:r>
      <w:r w:rsidR="00894691">
        <w:rPr>
          <w:rFonts w:cs="Times New Roman"/>
          <w:lang w:val="fr-CA"/>
        </w:rPr>
        <w:t xml:space="preserve"> </w:t>
      </w:r>
      <w:r w:rsidRPr="00B37C27">
        <w:rPr>
          <w:rFonts w:cs="Times New Roman"/>
          <w:lang w:val="fr-CA"/>
        </w:rPr>
        <w:t>719</w:t>
      </w:r>
      <w:r w:rsidR="00894691">
        <w:rPr>
          <w:rFonts w:cs="Times New Roman"/>
          <w:lang w:val="fr-CA"/>
        </w:rPr>
        <w:t>-</w:t>
      </w:r>
      <w:r w:rsidRPr="00B37C27">
        <w:rPr>
          <w:rFonts w:cs="Times New Roman"/>
          <w:lang w:val="fr-CA"/>
        </w:rPr>
        <w:t>720.  L’honnêteté en matière d’ex</w:t>
      </w:r>
      <w:r w:rsidR="00557472">
        <w:rPr>
          <w:rFonts w:cs="Times New Roman"/>
          <w:lang w:val="fr-CA"/>
        </w:rPr>
        <w:t>écution est aussi un élément clef</w:t>
      </w:r>
      <w:r w:rsidRPr="00B37C27">
        <w:rPr>
          <w:rFonts w:cs="Times New Roman"/>
          <w:lang w:val="fr-CA"/>
        </w:rPr>
        <w:t xml:space="preserve"> de la </w:t>
      </w:r>
      <w:r w:rsidR="00894691">
        <w:rPr>
          <w:rFonts w:cs="Times New Roman"/>
          <w:lang w:val="fr-CA"/>
        </w:rPr>
        <w:t>« </w:t>
      </w:r>
      <w:r w:rsidRPr="00B37C27">
        <w:rPr>
          <w:rFonts w:cs="Times New Roman"/>
          <w:lang w:val="fr-CA"/>
        </w:rPr>
        <w:t>bonne foi</w:t>
      </w:r>
      <w:r w:rsidR="00894691">
        <w:rPr>
          <w:rFonts w:cs="Times New Roman"/>
          <w:lang w:val="fr-CA"/>
        </w:rPr>
        <w:t> »</w:t>
      </w:r>
      <w:r w:rsidRPr="00B37C27">
        <w:rPr>
          <w:rFonts w:cs="Times New Roman"/>
          <w:lang w:val="fr-CA"/>
        </w:rPr>
        <w:t xml:space="preserve"> au sens du </w:t>
      </w:r>
      <w:proofErr w:type="spellStart"/>
      <w:r w:rsidRPr="00B37C27">
        <w:rPr>
          <w:rFonts w:cs="Times New Roman"/>
          <w:i/>
          <w:lang w:val="fr-CA"/>
        </w:rPr>
        <w:t>Restatement</w:t>
      </w:r>
      <w:proofErr w:type="spellEnd"/>
      <w:r w:rsidR="00894691">
        <w:rPr>
          <w:rFonts w:cs="Times New Roman"/>
          <w:i/>
          <w:lang w:val="fr-CA"/>
        </w:rPr>
        <w:t> </w:t>
      </w:r>
      <w:r w:rsidR="00894691" w:rsidRPr="00106A4B">
        <w:rPr>
          <w:rFonts w:cs="Times New Roman"/>
          <w:lang w:val="fr-CA"/>
        </w:rPr>
        <w:t>:</w:t>
      </w:r>
      <w:r w:rsidRPr="00106A4B">
        <w:rPr>
          <w:rFonts w:cs="Times New Roman"/>
          <w:lang w:val="fr-CA"/>
        </w:rPr>
        <w:t xml:space="preserve"> </w:t>
      </w:r>
      <w:r w:rsidRPr="00B37C27">
        <w:rPr>
          <w:rFonts w:cs="Times New Roman"/>
          <w:lang w:val="fr-CA"/>
        </w:rPr>
        <w:t>§</w:t>
      </w:r>
      <w:r w:rsidR="00894691">
        <w:rPr>
          <w:rFonts w:cs="Times New Roman"/>
          <w:lang w:val="fr-CA"/>
        </w:rPr>
        <w:t xml:space="preserve"> </w:t>
      </w:r>
      <w:r w:rsidRPr="00B37C27">
        <w:rPr>
          <w:rFonts w:cs="Times New Roman"/>
          <w:lang w:val="fr-CA"/>
        </w:rPr>
        <w:t xml:space="preserve">205, commentaires a et d. </w:t>
      </w:r>
    </w:p>
    <w:p w:rsidR="00142A2B" w:rsidRPr="00B37C27" w:rsidRDefault="00142A2B" w:rsidP="00894691">
      <w:pPr>
        <w:pStyle w:val="ParaNoNdepar-AltN"/>
        <w:rPr>
          <w:rFonts w:cs="Times New Roman"/>
          <w:lang w:val="fr-CA"/>
        </w:rPr>
      </w:pPr>
      <w:r w:rsidRPr="00B37C27">
        <w:rPr>
          <w:rFonts w:cs="Times New Roman"/>
          <w:lang w:val="fr-CA"/>
        </w:rPr>
        <w:t>L’expérience vécue au Québec et aux États</w:t>
      </w:r>
      <w:r w:rsidR="00894691">
        <w:rPr>
          <w:rFonts w:cs="Times New Roman"/>
          <w:lang w:val="fr-CA"/>
        </w:rPr>
        <w:t>-</w:t>
      </w:r>
      <w:r w:rsidRPr="00B37C27">
        <w:rPr>
          <w:rFonts w:cs="Times New Roman"/>
          <w:lang w:val="fr-CA"/>
        </w:rPr>
        <w:t xml:space="preserve">Unis montre que même des conceptions très larges de l’obligation </w:t>
      </w:r>
      <w:r w:rsidRPr="00B37C27">
        <w:rPr>
          <w:rFonts w:cs="Times New Roman"/>
          <w:noProof/>
          <w:lang w:val="fr-CA"/>
        </w:rPr>
        <w:t xml:space="preserve">d’agir </w:t>
      </w:r>
      <w:r w:rsidRPr="00B37C27">
        <w:rPr>
          <w:rFonts w:cs="Times New Roman"/>
          <w:lang w:val="fr-CA"/>
        </w:rPr>
        <w:t xml:space="preserve">de bonne foi n’ont pas entravé l’activité ou </w:t>
      </w:r>
      <w:proofErr w:type="gramStart"/>
      <w:r w:rsidRPr="00B37C27">
        <w:rPr>
          <w:rFonts w:cs="Times New Roman"/>
          <w:lang w:val="fr-CA"/>
        </w:rPr>
        <w:t>la stabilité contractuelles</w:t>
      </w:r>
      <w:proofErr w:type="gramEnd"/>
      <w:r w:rsidR="00894691">
        <w:rPr>
          <w:rFonts w:cs="Times New Roman"/>
          <w:lang w:val="fr-CA"/>
        </w:rPr>
        <w:t> :</w:t>
      </w:r>
      <w:r w:rsidRPr="00B37C27">
        <w:rPr>
          <w:rFonts w:cs="Times New Roman"/>
          <w:lang w:val="fr-CA"/>
        </w:rPr>
        <w:t xml:space="preserve"> voir</w:t>
      </w:r>
      <w:r w:rsidR="00557472">
        <w:rPr>
          <w:rFonts w:cs="Times New Roman"/>
          <w:lang w:val="fr-CA"/>
        </w:rPr>
        <w:t>,</w:t>
      </w:r>
      <w:r w:rsidRPr="00B37C27">
        <w:rPr>
          <w:rFonts w:cs="Times New Roman"/>
          <w:lang w:val="fr-CA"/>
        </w:rPr>
        <w:t xml:space="preserve"> p.</w:t>
      </w:r>
      <w:r w:rsidR="00894691">
        <w:rPr>
          <w:rFonts w:cs="Times New Roman"/>
          <w:lang w:val="fr-CA"/>
        </w:rPr>
        <w:t xml:space="preserve"> </w:t>
      </w:r>
      <w:r w:rsidRPr="00B37C27">
        <w:rPr>
          <w:rFonts w:cs="Times New Roman"/>
          <w:lang w:val="fr-CA"/>
        </w:rPr>
        <w:t>ex.</w:t>
      </w:r>
      <w:r w:rsidR="00557472">
        <w:rPr>
          <w:rFonts w:cs="Times New Roman"/>
          <w:lang w:val="fr-CA"/>
        </w:rPr>
        <w:t>,</w:t>
      </w:r>
      <w:r w:rsidRPr="00B37C27">
        <w:rPr>
          <w:rFonts w:cs="Times New Roman"/>
          <w:lang w:val="fr-CA"/>
        </w:rPr>
        <w:t xml:space="preserve"> J.</w:t>
      </w:r>
      <w:r w:rsidR="00894691">
        <w:rPr>
          <w:rFonts w:cs="Times New Roman"/>
          <w:lang w:val="fr-CA"/>
        </w:rPr>
        <w:t xml:space="preserve"> </w:t>
      </w:r>
      <w:r w:rsidRPr="00B37C27">
        <w:rPr>
          <w:rFonts w:cs="Times New Roman"/>
          <w:lang w:val="fr-CA"/>
        </w:rPr>
        <w:t xml:space="preserve">Pineau, </w:t>
      </w:r>
      <w:r w:rsidR="00894691">
        <w:rPr>
          <w:rFonts w:cs="Times New Roman"/>
          <w:lang w:val="fr-CA"/>
        </w:rPr>
        <w:t>« </w:t>
      </w:r>
      <w:r w:rsidRPr="00B37C27">
        <w:rPr>
          <w:rFonts w:cs="Times New Roman"/>
          <w:lang w:val="fr-CA"/>
        </w:rPr>
        <w:t>La discrétion judiciaire a</w:t>
      </w:r>
      <w:r w:rsidR="00894691">
        <w:rPr>
          <w:rFonts w:cs="Times New Roman"/>
          <w:lang w:val="fr-CA"/>
        </w:rPr>
        <w:t>-</w:t>
      </w:r>
      <w:r w:rsidRPr="00B37C27">
        <w:rPr>
          <w:rFonts w:cs="Times New Roman"/>
          <w:lang w:val="fr-CA"/>
        </w:rPr>
        <w:t>t</w:t>
      </w:r>
      <w:r w:rsidR="00894691">
        <w:rPr>
          <w:rFonts w:cs="Times New Roman"/>
          <w:lang w:val="fr-CA"/>
        </w:rPr>
        <w:t>-</w:t>
      </w:r>
      <w:r w:rsidRPr="00B37C27">
        <w:rPr>
          <w:rFonts w:cs="Times New Roman"/>
          <w:lang w:val="fr-CA"/>
        </w:rPr>
        <w:t>elle fait des ravages en matière contractuelle?</w:t>
      </w:r>
      <w:r w:rsidR="00894691">
        <w:rPr>
          <w:rFonts w:cs="Times New Roman"/>
          <w:lang w:val="fr-CA"/>
        </w:rPr>
        <w:t> »</w:t>
      </w:r>
      <w:r w:rsidR="00557472">
        <w:rPr>
          <w:rFonts w:cs="Times New Roman"/>
          <w:lang w:val="fr-CA"/>
        </w:rPr>
        <w:t>,</w:t>
      </w:r>
      <w:r w:rsidRPr="00B37C27">
        <w:rPr>
          <w:rFonts w:cs="Times New Roman"/>
          <w:lang w:val="fr-CA"/>
        </w:rPr>
        <w:t xml:space="preserve"> dans </w:t>
      </w:r>
      <w:r w:rsidRPr="00B37C27">
        <w:rPr>
          <w:rFonts w:cs="Times New Roman"/>
          <w:i/>
          <w:lang w:val="fr-CA"/>
        </w:rPr>
        <w:t>La réforme du Code civil, cinq ans plus tard</w:t>
      </w:r>
      <w:r w:rsidRPr="00B37C27">
        <w:rPr>
          <w:rFonts w:cs="Times New Roman"/>
          <w:lang w:val="fr-CA"/>
        </w:rPr>
        <w:t xml:space="preserve"> (1998), 141.  Il convient également de souligner qu’aux États</w:t>
      </w:r>
      <w:r w:rsidR="00894691">
        <w:rPr>
          <w:rFonts w:cs="Times New Roman"/>
          <w:lang w:val="fr-CA"/>
        </w:rPr>
        <w:t>-</w:t>
      </w:r>
      <w:r w:rsidRPr="00B37C27">
        <w:rPr>
          <w:rFonts w:cs="Times New Roman"/>
          <w:lang w:val="fr-CA"/>
        </w:rPr>
        <w:t xml:space="preserve">Unis comme au Québec, les développements judiciaires ont précédé les mesures législatives qui ont codifié la bonne foi. </w:t>
      </w:r>
      <w:r>
        <w:rPr>
          <w:rFonts w:cs="Times New Roman"/>
          <w:lang w:val="fr-CA"/>
        </w:rPr>
        <w:t xml:space="preserve"> </w:t>
      </w:r>
      <w:r w:rsidRPr="00B37C27">
        <w:rPr>
          <w:rFonts w:cs="Times New Roman"/>
          <w:lang w:val="fr-CA"/>
        </w:rPr>
        <w:t>Aux États</w:t>
      </w:r>
      <w:r w:rsidR="00894691">
        <w:rPr>
          <w:rFonts w:cs="Times New Roman"/>
          <w:lang w:val="fr-CA"/>
        </w:rPr>
        <w:t>-</w:t>
      </w:r>
      <w:r w:rsidRPr="00B37C27">
        <w:rPr>
          <w:rFonts w:cs="Times New Roman"/>
          <w:lang w:val="fr-CA"/>
        </w:rPr>
        <w:t xml:space="preserve">Unis, les tribunaux avaient reconnu l’existence d’une obligation générale </w:t>
      </w:r>
      <w:r w:rsidRPr="00B37C27">
        <w:rPr>
          <w:rFonts w:cs="Times New Roman"/>
          <w:noProof/>
          <w:lang w:val="fr-CA"/>
        </w:rPr>
        <w:t xml:space="preserve">d’agir </w:t>
      </w:r>
      <w:r w:rsidRPr="00B37C27">
        <w:rPr>
          <w:rFonts w:cs="Times New Roman"/>
          <w:lang w:val="fr-CA"/>
        </w:rPr>
        <w:t xml:space="preserve">de bonne foi avant la promulgation </w:t>
      </w:r>
      <w:proofErr w:type="gramStart"/>
      <w:r w:rsidR="00D65281">
        <w:rPr>
          <w:rFonts w:cs="Times New Roman"/>
          <w:lang w:val="fr-CA"/>
        </w:rPr>
        <w:t xml:space="preserve">du </w:t>
      </w:r>
      <w:r w:rsidRPr="00B37C27">
        <w:rPr>
          <w:rFonts w:cs="Times New Roman"/>
          <w:lang w:val="fr-CA"/>
        </w:rPr>
        <w:t>U.C.C</w:t>
      </w:r>
      <w:proofErr w:type="gramEnd"/>
      <w:r w:rsidRPr="00B37C27">
        <w:rPr>
          <w:rFonts w:cs="Times New Roman"/>
          <w:lang w:val="fr-CA"/>
        </w:rPr>
        <w:t>.</w:t>
      </w:r>
      <w:r w:rsidR="00894691">
        <w:rPr>
          <w:rFonts w:cs="Times New Roman"/>
          <w:lang w:val="fr-CA"/>
        </w:rPr>
        <w:t> :</w:t>
      </w:r>
      <w:r w:rsidRPr="00B37C27">
        <w:rPr>
          <w:rFonts w:cs="Times New Roman"/>
          <w:lang w:val="fr-CA"/>
        </w:rPr>
        <w:t xml:space="preserve"> voir, p.</w:t>
      </w:r>
      <w:r w:rsidR="00894691">
        <w:rPr>
          <w:rFonts w:cs="Times New Roman"/>
          <w:lang w:val="fr-CA"/>
        </w:rPr>
        <w:t xml:space="preserve"> </w:t>
      </w:r>
      <w:r w:rsidRPr="00B37C27">
        <w:rPr>
          <w:rFonts w:cs="Times New Roman"/>
          <w:lang w:val="fr-CA"/>
        </w:rPr>
        <w:t xml:space="preserve">ex., </w:t>
      </w:r>
      <w:r w:rsidRPr="00B37C27">
        <w:rPr>
          <w:rFonts w:cs="Times New Roman"/>
          <w:i/>
          <w:lang w:val="fr-CA"/>
        </w:rPr>
        <w:t xml:space="preserve">Kirke La </w:t>
      </w:r>
      <w:proofErr w:type="spellStart"/>
      <w:r w:rsidRPr="00B37C27">
        <w:rPr>
          <w:rFonts w:cs="Times New Roman"/>
          <w:i/>
          <w:lang w:val="fr-CA"/>
        </w:rPr>
        <w:t>Shelle</w:t>
      </w:r>
      <w:proofErr w:type="spellEnd"/>
      <w:r w:rsidRPr="00B37C27">
        <w:rPr>
          <w:rFonts w:cs="Times New Roman"/>
          <w:i/>
          <w:lang w:val="fr-CA"/>
        </w:rPr>
        <w:t xml:space="preserve"> Co. c. Armstrong Co.</w:t>
      </w:r>
      <w:r w:rsidRPr="00B37C27">
        <w:rPr>
          <w:rFonts w:cs="Times New Roman"/>
          <w:lang w:val="fr-CA"/>
        </w:rPr>
        <w:t xml:space="preserve">, 263 N.Y. 79 (1933).  De même, bien qu’il n’existait pas de disposition explicite traitant de la </w:t>
      </w:r>
      <w:r w:rsidR="00894691">
        <w:rPr>
          <w:rFonts w:cs="Times New Roman"/>
          <w:lang w:val="fr-CA"/>
        </w:rPr>
        <w:t>« </w:t>
      </w:r>
      <w:r w:rsidRPr="00B37C27">
        <w:rPr>
          <w:rFonts w:cs="Times New Roman"/>
          <w:lang w:val="fr-CA"/>
        </w:rPr>
        <w:t>bonne foi</w:t>
      </w:r>
      <w:r w:rsidR="00894691">
        <w:rPr>
          <w:rFonts w:cs="Times New Roman"/>
          <w:lang w:val="fr-CA"/>
        </w:rPr>
        <w:t> »</w:t>
      </w:r>
      <w:r w:rsidRPr="00B37C27">
        <w:rPr>
          <w:rFonts w:cs="Times New Roman"/>
          <w:lang w:val="fr-CA"/>
        </w:rPr>
        <w:t xml:space="preserve"> dans le </w:t>
      </w:r>
      <w:r w:rsidRPr="00B37C27">
        <w:rPr>
          <w:rFonts w:cs="Times New Roman"/>
          <w:i/>
          <w:lang w:val="fr-CA"/>
        </w:rPr>
        <w:t>Code civil du Bas</w:t>
      </w:r>
      <w:r w:rsidR="00894691">
        <w:rPr>
          <w:rFonts w:cs="Times New Roman"/>
          <w:i/>
          <w:lang w:val="fr-CA"/>
        </w:rPr>
        <w:t>-</w:t>
      </w:r>
      <w:r w:rsidRPr="00B37C27">
        <w:rPr>
          <w:rFonts w:cs="Times New Roman"/>
          <w:i/>
          <w:lang w:val="fr-CA"/>
        </w:rPr>
        <w:t>Canada</w:t>
      </w:r>
      <w:r w:rsidRPr="00557472">
        <w:rPr>
          <w:rFonts w:cs="Times New Roman"/>
          <w:lang w:val="fr-CA"/>
        </w:rPr>
        <w:t>,</w:t>
      </w:r>
      <w:r w:rsidRPr="00B37C27">
        <w:rPr>
          <w:rFonts w:cs="Times New Roman"/>
          <w:i/>
          <w:lang w:val="fr-CA"/>
        </w:rPr>
        <w:t xml:space="preserve"> </w:t>
      </w:r>
      <w:r w:rsidR="00557472">
        <w:rPr>
          <w:rFonts w:cs="Times New Roman"/>
          <w:lang w:val="fr-CA"/>
        </w:rPr>
        <w:t>notre Cour a</w:t>
      </w:r>
      <w:r w:rsidRPr="00B37C27">
        <w:rPr>
          <w:rFonts w:cs="Times New Roman"/>
          <w:lang w:val="fr-CA"/>
        </w:rPr>
        <w:t xml:space="preserve"> déduit une obligation générale de cette nature </w:t>
      </w:r>
      <w:r w:rsidRPr="00B37C27">
        <w:rPr>
          <w:rFonts w:cs="Times New Roman"/>
          <w:lang w:val="fr-CA"/>
        </w:rPr>
        <w:lastRenderedPageBreak/>
        <w:t xml:space="preserve">d’autres dispositions plus spécifiques du </w:t>
      </w:r>
      <w:r w:rsidRPr="00B37C27">
        <w:rPr>
          <w:rFonts w:cs="Times New Roman"/>
          <w:i/>
          <w:lang w:val="fr-CA"/>
        </w:rPr>
        <w:t>Code</w:t>
      </w:r>
      <w:r w:rsidR="00894691" w:rsidRPr="00065394">
        <w:rPr>
          <w:rFonts w:cs="Times New Roman"/>
          <w:lang w:val="fr-CA"/>
        </w:rPr>
        <w:t> :</w:t>
      </w:r>
      <w:r w:rsidRPr="00B37C27">
        <w:rPr>
          <w:rFonts w:cs="Times New Roman"/>
          <w:lang w:val="fr-CA"/>
        </w:rPr>
        <w:t xml:space="preserve"> voir </w:t>
      </w:r>
      <w:r w:rsidRPr="00B37C27">
        <w:rPr>
          <w:rFonts w:cs="Times New Roman"/>
          <w:i/>
          <w:lang w:val="fr-CA"/>
        </w:rPr>
        <w:t xml:space="preserve">Banque Nationale du Canada c. </w:t>
      </w:r>
      <w:proofErr w:type="spellStart"/>
      <w:r w:rsidRPr="00B37C27">
        <w:rPr>
          <w:rFonts w:cs="Times New Roman"/>
          <w:i/>
          <w:lang w:val="fr-CA"/>
        </w:rPr>
        <w:t>Soucisse</w:t>
      </w:r>
      <w:proofErr w:type="spellEnd"/>
      <w:r w:rsidRPr="00B37C27">
        <w:rPr>
          <w:rFonts w:cs="Times New Roman"/>
          <w:lang w:val="fr-CA"/>
        </w:rPr>
        <w:t xml:space="preserve">, [1981] 2 R.C.S. 339; </w:t>
      </w:r>
      <w:r w:rsidRPr="00B37C27">
        <w:rPr>
          <w:rFonts w:cs="Times New Roman"/>
          <w:i/>
          <w:lang w:val="fr-CA"/>
        </w:rPr>
        <w:t>Houle</w:t>
      </w:r>
      <w:r w:rsidRPr="00B37C27">
        <w:rPr>
          <w:rFonts w:cs="Times New Roman"/>
          <w:lang w:val="fr-CA"/>
        </w:rPr>
        <w:t xml:space="preserve"> </w:t>
      </w:r>
      <w:r w:rsidR="00557472">
        <w:rPr>
          <w:rFonts w:cs="Times New Roman"/>
          <w:i/>
          <w:lang w:val="fr-CA"/>
        </w:rPr>
        <w:t>c. Banque Canadienne N</w:t>
      </w:r>
      <w:r w:rsidRPr="00B37C27">
        <w:rPr>
          <w:rFonts w:cs="Times New Roman"/>
          <w:i/>
          <w:lang w:val="fr-CA"/>
        </w:rPr>
        <w:t>ationale</w:t>
      </w:r>
      <w:r w:rsidRPr="00B37C27">
        <w:rPr>
          <w:rFonts w:cs="Times New Roman"/>
          <w:lang w:val="fr-CA"/>
        </w:rPr>
        <w:t xml:space="preserve">, [1990] 3 R.C.S. 122; </w:t>
      </w:r>
      <w:r w:rsidRPr="00B37C27">
        <w:rPr>
          <w:rFonts w:cs="Times New Roman"/>
          <w:i/>
          <w:lang w:val="fr-CA"/>
        </w:rPr>
        <w:t xml:space="preserve">Banque de Montréal c. Bail </w:t>
      </w:r>
      <w:proofErr w:type="spellStart"/>
      <w:r w:rsidRPr="00B37C27">
        <w:rPr>
          <w:rFonts w:cs="Times New Roman"/>
          <w:i/>
          <w:lang w:val="fr-CA"/>
        </w:rPr>
        <w:t>Ltée</w:t>
      </w:r>
      <w:proofErr w:type="spellEnd"/>
      <w:r w:rsidRPr="00B37C27">
        <w:rPr>
          <w:rFonts w:cs="Times New Roman"/>
          <w:lang w:val="fr-CA"/>
        </w:rPr>
        <w:t xml:space="preserve">, [1992] 2 R.C.S. 554.  L’obligation </w:t>
      </w:r>
      <w:r w:rsidRPr="00B37C27">
        <w:rPr>
          <w:rFonts w:cs="Times New Roman"/>
          <w:noProof/>
          <w:lang w:val="fr-CA"/>
        </w:rPr>
        <w:t xml:space="preserve">d’agir </w:t>
      </w:r>
      <w:r w:rsidRPr="00B37C27">
        <w:rPr>
          <w:rFonts w:cs="Times New Roman"/>
          <w:lang w:val="fr-CA"/>
        </w:rPr>
        <w:t xml:space="preserve">de bonne foi a été introduite ultérieurement dans les révisions menant à l’entrée en vigueur du </w:t>
      </w:r>
      <w:r w:rsidRPr="00B37C27">
        <w:rPr>
          <w:rFonts w:cs="Times New Roman"/>
          <w:i/>
          <w:lang w:val="fr-CA"/>
        </w:rPr>
        <w:t>Code civil du Québec</w:t>
      </w:r>
      <w:r w:rsidRPr="00B37C27">
        <w:rPr>
          <w:rFonts w:cs="Times New Roman"/>
          <w:lang w:val="fr-CA"/>
        </w:rPr>
        <w:t xml:space="preserve">. </w:t>
      </w:r>
    </w:p>
    <w:p w:rsidR="00142A2B" w:rsidRPr="00B37C27" w:rsidRDefault="00142A2B" w:rsidP="00894691">
      <w:pPr>
        <w:pStyle w:val="ParaNoNdepar-AltN"/>
        <w:rPr>
          <w:rFonts w:cs="Times New Roman"/>
          <w:lang w:val="fr-CA"/>
        </w:rPr>
      </w:pPr>
      <w:r w:rsidRPr="00B37C27">
        <w:rPr>
          <w:rFonts w:cs="Times New Roman"/>
          <w:lang w:val="fr-CA"/>
        </w:rPr>
        <w:t>L’obligation d’exécution honnête que je propose ne devrait pas être confondue avec l’obligation de divulgation ni avec celle de loyauté qui incombe au fiduciaire.  Une partie contractante n’est pas généralement tenue de subordonner ses intérêts à ceux de l’autre partie.  Les parties contractantes doivent toutefois pouvoir s’attendre à ce que leur partenaire contractant respecte une norme minimale d’honnêteté en ce qui a trait à l’exécution du contrat, de sorte que s’il n’est pas donné suite au contrat, elles auront l’assurance d’une possibilité raisonnable d</w:t>
      </w:r>
      <w:r w:rsidR="00557472">
        <w:rPr>
          <w:rFonts w:cs="Times New Roman"/>
          <w:lang w:val="fr-CA"/>
        </w:rPr>
        <w:t>e protéger leurs intérêts.  Cela</w:t>
      </w:r>
      <w:r w:rsidRPr="00B37C27">
        <w:rPr>
          <w:rFonts w:cs="Times New Roman"/>
          <w:lang w:val="fr-CA"/>
        </w:rPr>
        <w:t xml:space="preserve"> dit, un contrat de distribution ne constitue pas un contrat exigeant la bonne foi la plus absolue (</w:t>
      </w:r>
      <w:proofErr w:type="spellStart"/>
      <w:r w:rsidRPr="00B37C27">
        <w:rPr>
          <w:rFonts w:cs="Times New Roman"/>
          <w:i/>
          <w:lang w:val="fr-CA"/>
        </w:rPr>
        <w:t>uberrimae</w:t>
      </w:r>
      <w:proofErr w:type="spellEnd"/>
      <w:r w:rsidRPr="00B37C27">
        <w:rPr>
          <w:rFonts w:cs="Times New Roman"/>
          <w:i/>
          <w:lang w:val="fr-CA"/>
        </w:rPr>
        <w:t xml:space="preserve"> </w:t>
      </w:r>
      <w:proofErr w:type="spellStart"/>
      <w:r w:rsidRPr="00B37C27">
        <w:rPr>
          <w:rFonts w:cs="Times New Roman"/>
          <w:i/>
          <w:lang w:val="fr-CA"/>
        </w:rPr>
        <w:t>fidei</w:t>
      </w:r>
      <w:proofErr w:type="spellEnd"/>
      <w:r w:rsidRPr="00B37C27">
        <w:rPr>
          <w:rFonts w:cs="Times New Roman"/>
          <w:lang w:val="fr-CA"/>
        </w:rPr>
        <w:t>) comme c’est le cas d’un contrat d’assurance, lequel oblige notamment les parties à divulguer des faits importants</w:t>
      </w:r>
      <w:r w:rsidR="00894691">
        <w:rPr>
          <w:rFonts w:cs="Times New Roman"/>
          <w:lang w:val="fr-CA"/>
        </w:rPr>
        <w:t> :</w:t>
      </w:r>
      <w:r w:rsidRPr="00B37C27">
        <w:rPr>
          <w:rFonts w:cs="Times New Roman"/>
          <w:lang w:val="fr-CA"/>
        </w:rPr>
        <w:t xml:space="preserve"> </w:t>
      </w:r>
      <w:proofErr w:type="spellStart"/>
      <w:r w:rsidRPr="00B37C27">
        <w:rPr>
          <w:rFonts w:cs="Times New Roman"/>
          <w:i/>
          <w:lang w:val="fr-CA"/>
        </w:rPr>
        <w:t>Whiten</w:t>
      </w:r>
      <w:proofErr w:type="spellEnd"/>
      <w:r w:rsidRPr="00B37C27">
        <w:rPr>
          <w:rFonts w:cs="Times New Roman"/>
          <w:lang w:val="fr-CA"/>
        </w:rPr>
        <w:t xml:space="preserve">.  Or, il est possible d’établir une nette distinction entre l’omission de déclarer un fait important, même s’il s’agit de la ferme intention de mettre fin à un contrat, et la conduite malhonnête.  </w:t>
      </w:r>
    </w:p>
    <w:p w:rsidR="00142A2B" w:rsidRPr="00B37C27" w:rsidRDefault="00142A2B" w:rsidP="00894691">
      <w:pPr>
        <w:pStyle w:val="ParaNoNdepar-AltN"/>
        <w:rPr>
          <w:rFonts w:cs="Times New Roman"/>
          <w:lang w:val="fr-CA"/>
        </w:rPr>
      </w:pPr>
      <w:r w:rsidRPr="00B37C27">
        <w:rPr>
          <w:rFonts w:cs="Times New Roman"/>
          <w:lang w:val="fr-CA"/>
        </w:rPr>
        <w:t xml:space="preserve">Cette distinction explique le résultat auquel est parvenu le tribunal dans l’affaire </w:t>
      </w:r>
      <w:r w:rsidRPr="00B37C27">
        <w:rPr>
          <w:rFonts w:cs="Times New Roman"/>
          <w:i/>
          <w:lang w:val="fr-CA"/>
        </w:rPr>
        <w:t xml:space="preserve">United </w:t>
      </w:r>
      <w:proofErr w:type="spellStart"/>
      <w:r w:rsidRPr="00B37C27">
        <w:rPr>
          <w:rFonts w:cs="Times New Roman"/>
          <w:i/>
          <w:lang w:val="fr-CA"/>
        </w:rPr>
        <w:t>Roasters</w:t>
      </w:r>
      <w:proofErr w:type="spellEnd"/>
      <w:r w:rsidRPr="00B37C27">
        <w:rPr>
          <w:rFonts w:cs="Times New Roman"/>
          <w:i/>
          <w:lang w:val="fr-CA"/>
        </w:rPr>
        <w:t>, Inc. c. Colgate</w:t>
      </w:r>
      <w:r w:rsidR="00894691">
        <w:rPr>
          <w:rFonts w:cs="Times New Roman"/>
          <w:i/>
          <w:lang w:val="fr-CA"/>
        </w:rPr>
        <w:t>-</w:t>
      </w:r>
      <w:proofErr w:type="spellStart"/>
      <w:r w:rsidRPr="00B37C27">
        <w:rPr>
          <w:rFonts w:cs="Times New Roman"/>
          <w:i/>
          <w:lang w:val="fr-CA"/>
        </w:rPr>
        <w:t>Palmolive</w:t>
      </w:r>
      <w:proofErr w:type="spellEnd"/>
      <w:r w:rsidRPr="00B37C27">
        <w:rPr>
          <w:rFonts w:cs="Times New Roman"/>
          <w:i/>
          <w:lang w:val="fr-CA"/>
        </w:rPr>
        <w:t xml:space="preserve"> Co.</w:t>
      </w:r>
      <w:r w:rsidRPr="00B37C27">
        <w:rPr>
          <w:rFonts w:cs="Times New Roman"/>
          <w:lang w:val="fr-CA"/>
        </w:rPr>
        <w:t xml:space="preserve">, 649 F.2d 985 (4th </w:t>
      </w:r>
      <w:proofErr w:type="spellStart"/>
      <w:r w:rsidRPr="00B37C27">
        <w:rPr>
          <w:rFonts w:cs="Times New Roman"/>
          <w:lang w:val="fr-CA"/>
        </w:rPr>
        <w:t>Cir</w:t>
      </w:r>
      <w:proofErr w:type="spellEnd"/>
      <w:r w:rsidRPr="00B37C27">
        <w:rPr>
          <w:rFonts w:cs="Times New Roman"/>
          <w:lang w:val="fr-CA"/>
        </w:rPr>
        <w:t xml:space="preserve">. 1981).  La partie qui a mis fin au contrat avait décidé antérieurement à la période de préavis requise qu’elle allait mettre fin au contrat.  Le </w:t>
      </w:r>
      <w:proofErr w:type="gramStart"/>
      <w:r w:rsidRPr="00B37C27">
        <w:rPr>
          <w:rFonts w:cs="Times New Roman"/>
          <w:lang w:val="fr-CA"/>
        </w:rPr>
        <w:t>tribunal a</w:t>
      </w:r>
      <w:proofErr w:type="gramEnd"/>
      <w:r w:rsidRPr="00B37C27">
        <w:rPr>
          <w:rFonts w:cs="Times New Roman"/>
          <w:lang w:val="fr-CA"/>
        </w:rPr>
        <w:t xml:space="preserve"> conclu qu’aucune </w:t>
      </w:r>
      <w:r w:rsidRPr="00B37C27">
        <w:rPr>
          <w:rFonts w:cs="Times New Roman"/>
          <w:lang w:val="fr-CA"/>
        </w:rPr>
        <w:lastRenderedPageBreak/>
        <w:t>divulgation de cette intention autre que celle prévue dans les dispositions exigeant l’avis n’était requise.  Le tribunal a statué comme suit</w:t>
      </w:r>
      <w:r w:rsidR="00894691">
        <w:rPr>
          <w:rFonts w:cs="Times New Roman"/>
          <w:lang w:val="fr-CA"/>
        </w:rPr>
        <w:t> :</w:t>
      </w:r>
      <w:r w:rsidRPr="00B37C27">
        <w:rPr>
          <w:rFonts w:cs="Times New Roman"/>
          <w:lang w:val="fr-CA"/>
        </w:rPr>
        <w:t xml:space="preserve"> </w:t>
      </w:r>
    </w:p>
    <w:p w:rsidR="00142A2B" w:rsidRPr="00B37C27" w:rsidRDefault="00142A2B" w:rsidP="00894691">
      <w:pPr>
        <w:pStyle w:val="Citation-AltC"/>
        <w:ind w:hanging="1166"/>
        <w:rPr>
          <w:lang w:val="fr-CA"/>
        </w:rPr>
      </w:pPr>
      <w:r w:rsidRPr="00B37C27">
        <w:rPr>
          <w:lang w:val="fr-CA"/>
        </w:rPr>
        <w:tab/>
      </w:r>
      <w:r w:rsidR="00557472">
        <w:rPr>
          <w:lang w:val="fr-CA"/>
        </w:rPr>
        <w:tab/>
      </w:r>
      <w:r w:rsidRPr="00B37C27">
        <w:rPr>
          <w:lang w:val="fr-CA"/>
        </w:rPr>
        <w:t>[</w:t>
      </w:r>
      <w:r w:rsidRPr="00B37C27">
        <w:rPr>
          <w:smallCaps/>
          <w:lang w:val="fr-CA"/>
        </w:rPr>
        <w:t>traduction</w:t>
      </w:r>
      <w:r w:rsidRPr="00B37C27">
        <w:rPr>
          <w:lang w:val="fr-CA"/>
        </w:rPr>
        <w:t xml:space="preserve">] </w:t>
      </w:r>
      <w:r w:rsidR="00557472">
        <w:rPr>
          <w:lang w:val="fr-CA"/>
        </w:rPr>
        <w:t>. . .</w:t>
      </w:r>
      <w:r w:rsidRPr="00B37C27">
        <w:rPr>
          <w:lang w:val="fr-CA"/>
        </w:rPr>
        <w:t xml:space="preserve"> il y a très peu à dire au soutien d’une règle de droit suivant laquelle la bonne foi exige d’une personne disposant d’un droit de mettre fin à un contrat qu’elle avise promptement l’autre partie de sa décision d’exercer ce droit.  Un locataire dont le bail est reconduit sur une base mensuelle peut décider en janvier de quitter les lieux loués à la fin du mois de septembre.  On ne saurait prétendre que la bonne foi exige du locataire qu’il avise le propriétaire de sa décision peu après le mois de janvier.  Le propriétaire aurait certes pu trouver commode de recevoir un avis plus hâtif, mais l’exercice en bonne et due forme du droit de mettre fin au contrat en août conviendra.  [p.</w:t>
      </w:r>
      <w:r w:rsidR="00894691">
        <w:rPr>
          <w:lang w:val="fr-CA"/>
        </w:rPr>
        <w:t xml:space="preserve"> </w:t>
      </w:r>
      <w:r w:rsidRPr="00B37C27">
        <w:rPr>
          <w:lang w:val="fr-CA"/>
        </w:rPr>
        <w:t>989</w:t>
      </w:r>
      <w:r w:rsidR="00894691">
        <w:rPr>
          <w:lang w:val="fr-CA"/>
        </w:rPr>
        <w:t>-</w:t>
      </w:r>
      <w:r w:rsidRPr="00B37C27">
        <w:rPr>
          <w:lang w:val="fr-CA"/>
        </w:rPr>
        <w:t>990]</w:t>
      </w:r>
    </w:p>
    <w:p w:rsidR="00142A2B" w:rsidRPr="00B37C27" w:rsidRDefault="00142A2B" w:rsidP="00894691">
      <w:pPr>
        <w:pStyle w:val="ContinueParaSuitedupar-AltP"/>
        <w:rPr>
          <w:rFonts w:cs="Times New Roman"/>
          <w:lang w:val="fr-CA"/>
        </w:rPr>
      </w:pPr>
      <w:r w:rsidRPr="00B37C27">
        <w:rPr>
          <w:rFonts w:cs="Times New Roman"/>
          <w:lang w:val="fr-CA"/>
        </w:rPr>
        <w:t xml:space="preserve">L’arrêt </w:t>
      </w:r>
      <w:r w:rsidRPr="00B37C27">
        <w:rPr>
          <w:rFonts w:cs="Times New Roman"/>
          <w:i/>
          <w:lang w:val="fr-CA"/>
        </w:rPr>
        <w:t xml:space="preserve">United </w:t>
      </w:r>
      <w:proofErr w:type="spellStart"/>
      <w:r w:rsidRPr="00B37C27">
        <w:rPr>
          <w:rFonts w:cs="Times New Roman"/>
          <w:i/>
          <w:lang w:val="fr-CA"/>
        </w:rPr>
        <w:t>Roasters</w:t>
      </w:r>
      <w:proofErr w:type="spellEnd"/>
      <w:r w:rsidRPr="00B37C27">
        <w:rPr>
          <w:rFonts w:cs="Times New Roman"/>
          <w:lang w:val="fr-CA"/>
        </w:rPr>
        <w:t xml:space="preserve"> indique clairement qu’il n’existe pas d’obligation unilatérale de divulgation de renseignements </w:t>
      </w:r>
      <w:proofErr w:type="spellStart"/>
      <w:r w:rsidRPr="00B37C27">
        <w:rPr>
          <w:rFonts w:cs="Times New Roman"/>
          <w:lang w:val="fr-CA"/>
        </w:rPr>
        <w:t>lorqu’il</w:t>
      </w:r>
      <w:proofErr w:type="spellEnd"/>
      <w:r w:rsidRPr="00B37C27">
        <w:rPr>
          <w:rFonts w:cs="Times New Roman"/>
          <w:lang w:val="fr-CA"/>
        </w:rPr>
        <w:t xml:space="preserve"> s’agit de mettre fin au contrat.  Or, la situation est assez différente, à mon avis, lorsqu’il s’agit d’induire en erreur ou de tromper activement l’autre partie contractante au sujet de l’exécution du contrat. </w:t>
      </w:r>
    </w:p>
    <w:p w:rsidR="00142A2B" w:rsidRPr="00B37C27" w:rsidRDefault="00142A2B" w:rsidP="00894691">
      <w:pPr>
        <w:pStyle w:val="ParaNoNdepar-AltN"/>
        <w:rPr>
          <w:rFonts w:cs="Times New Roman"/>
          <w:lang w:val="fr-CA"/>
        </w:rPr>
      </w:pPr>
      <w:r w:rsidRPr="00B37C27">
        <w:rPr>
          <w:rFonts w:cs="Times New Roman"/>
          <w:lang w:val="fr-CA"/>
        </w:rPr>
        <w:t xml:space="preserve">L’obligation d’honnêteté en matière d’exécution offre des similitudes avec le droit applicable à la fraude civile et à la </w:t>
      </w:r>
      <w:proofErr w:type="spellStart"/>
      <w:r w:rsidRPr="00B37C27">
        <w:rPr>
          <w:rFonts w:cs="Times New Roman"/>
          <w:lang w:val="fr-CA"/>
        </w:rPr>
        <w:t>préclusion</w:t>
      </w:r>
      <w:proofErr w:type="spellEnd"/>
      <w:r w:rsidRPr="00B37C27">
        <w:rPr>
          <w:rFonts w:cs="Times New Roman"/>
          <w:lang w:val="fr-CA"/>
        </w:rPr>
        <w:t xml:space="preserve">, sans toutefois être subsumée sous ces notions.  Contrairement à la </w:t>
      </w:r>
      <w:proofErr w:type="spellStart"/>
      <w:r w:rsidRPr="00B37C27">
        <w:rPr>
          <w:rFonts w:cs="Times New Roman"/>
          <w:lang w:val="fr-CA"/>
        </w:rPr>
        <w:t>préclusion</w:t>
      </w:r>
      <w:proofErr w:type="spellEnd"/>
      <w:r w:rsidRPr="00B37C27">
        <w:rPr>
          <w:rFonts w:cs="Times New Roman"/>
          <w:lang w:val="fr-CA"/>
        </w:rPr>
        <w:t xml:space="preserve"> </w:t>
      </w:r>
      <w:proofErr w:type="spellStart"/>
      <w:r w:rsidRPr="00B37C27">
        <w:rPr>
          <w:rFonts w:cs="Times New Roman"/>
          <w:lang w:val="fr-CA"/>
        </w:rPr>
        <w:t>promissoire</w:t>
      </w:r>
      <w:proofErr w:type="spellEnd"/>
      <w:r w:rsidRPr="00B37C27">
        <w:rPr>
          <w:rFonts w:cs="Times New Roman"/>
          <w:lang w:val="fr-CA"/>
        </w:rPr>
        <w:t xml:space="preserve"> et à la </w:t>
      </w:r>
      <w:proofErr w:type="spellStart"/>
      <w:r w:rsidRPr="00B37C27">
        <w:rPr>
          <w:rFonts w:cs="Times New Roman"/>
          <w:lang w:val="fr-CA"/>
        </w:rPr>
        <w:t>préclusion</w:t>
      </w:r>
      <w:proofErr w:type="spellEnd"/>
      <w:r w:rsidRPr="00B37C27">
        <w:rPr>
          <w:rFonts w:cs="Times New Roman"/>
          <w:lang w:val="fr-CA"/>
        </w:rPr>
        <w:t xml:space="preserve"> par assertion de fait, l’obligation d’honnêteté en matière d’exécution n’exige pas que le défendeur ait l’intention qu’une personne se fonde sur ses déclarations et elle n’est pas sujette à l’incertitude entourant la question de savoir si la </w:t>
      </w:r>
      <w:proofErr w:type="spellStart"/>
      <w:r w:rsidRPr="00B37C27">
        <w:rPr>
          <w:rFonts w:cs="Times New Roman"/>
          <w:lang w:val="fr-CA"/>
        </w:rPr>
        <w:t>préclusion</w:t>
      </w:r>
      <w:proofErr w:type="spellEnd"/>
      <w:r w:rsidRPr="00B37C27">
        <w:rPr>
          <w:rFonts w:cs="Times New Roman"/>
          <w:lang w:val="fr-CA"/>
        </w:rPr>
        <w:t xml:space="preserve"> peut servir de fondement à une cause d’action indépendante</w:t>
      </w:r>
      <w:r w:rsidR="00894691">
        <w:rPr>
          <w:rFonts w:cs="Times New Roman"/>
          <w:lang w:val="fr-CA"/>
        </w:rPr>
        <w:t> :</w:t>
      </w:r>
      <w:r w:rsidRPr="00B37C27">
        <w:rPr>
          <w:rFonts w:cs="Times New Roman"/>
          <w:lang w:val="fr-CA"/>
        </w:rPr>
        <w:t xml:space="preserve"> </w:t>
      </w:r>
      <w:r w:rsidRPr="00B37C27">
        <w:rPr>
          <w:rFonts w:cs="Times New Roman"/>
          <w:i/>
          <w:lang w:val="fr-CA"/>
        </w:rPr>
        <w:t>Ryan c. Moore</w:t>
      </w:r>
      <w:r w:rsidRPr="00B37C27">
        <w:rPr>
          <w:rFonts w:cs="Times New Roman"/>
          <w:lang w:val="fr-CA"/>
        </w:rPr>
        <w:t>, 2005 CSC 38, [2005] 2 R.C.S. 53, par.</w:t>
      </w:r>
      <w:r w:rsidR="00894691">
        <w:rPr>
          <w:rFonts w:cs="Times New Roman"/>
          <w:lang w:val="fr-CA"/>
        </w:rPr>
        <w:t xml:space="preserve"> </w:t>
      </w:r>
      <w:r w:rsidRPr="00B37C27">
        <w:rPr>
          <w:rFonts w:cs="Times New Roman"/>
          <w:lang w:val="fr-CA"/>
        </w:rPr>
        <w:t xml:space="preserve">5; </w:t>
      </w:r>
      <w:proofErr w:type="spellStart"/>
      <w:r w:rsidRPr="00B37C27">
        <w:rPr>
          <w:rFonts w:cs="Times New Roman"/>
          <w:i/>
          <w:lang w:val="fr-CA"/>
        </w:rPr>
        <w:t>Maracle</w:t>
      </w:r>
      <w:proofErr w:type="spellEnd"/>
      <w:r w:rsidRPr="00B37C27">
        <w:rPr>
          <w:rFonts w:cs="Times New Roman"/>
          <w:i/>
          <w:lang w:val="fr-CA"/>
        </w:rPr>
        <w:t xml:space="preserve"> c. </w:t>
      </w:r>
      <w:proofErr w:type="spellStart"/>
      <w:r w:rsidRPr="00B37C27">
        <w:rPr>
          <w:rFonts w:cs="Times New Roman"/>
          <w:i/>
          <w:lang w:val="fr-CA"/>
        </w:rPr>
        <w:t>Travellers</w:t>
      </w:r>
      <w:proofErr w:type="spellEnd"/>
      <w:r w:rsidRPr="00B37C27">
        <w:rPr>
          <w:rFonts w:cs="Times New Roman"/>
          <w:i/>
          <w:lang w:val="fr-CA"/>
        </w:rPr>
        <w:t xml:space="preserve"> </w:t>
      </w:r>
      <w:proofErr w:type="spellStart"/>
      <w:r w:rsidRPr="00B37C27">
        <w:rPr>
          <w:rFonts w:cs="Times New Roman"/>
          <w:i/>
          <w:lang w:val="fr-CA"/>
        </w:rPr>
        <w:t>Indemnity</w:t>
      </w:r>
      <w:proofErr w:type="spellEnd"/>
      <w:r w:rsidRPr="00B37C27">
        <w:rPr>
          <w:rFonts w:cs="Times New Roman"/>
          <w:i/>
          <w:lang w:val="fr-CA"/>
        </w:rPr>
        <w:t xml:space="preserve"> Co. of Canada</w:t>
      </w:r>
      <w:r w:rsidRPr="00B37C27">
        <w:rPr>
          <w:rFonts w:cs="Times New Roman"/>
          <w:lang w:val="fr-CA"/>
        </w:rPr>
        <w:t xml:space="preserve">, [1991] 2 R.C.S. 50; </w:t>
      </w:r>
      <w:proofErr w:type="spellStart"/>
      <w:r w:rsidRPr="00B37C27">
        <w:rPr>
          <w:rFonts w:cs="Times New Roman"/>
          <w:lang w:val="fr-CA"/>
        </w:rPr>
        <w:t>Waddams</w:t>
      </w:r>
      <w:proofErr w:type="spellEnd"/>
      <w:r w:rsidRPr="00B37C27">
        <w:rPr>
          <w:rFonts w:cs="Times New Roman"/>
          <w:lang w:val="fr-CA"/>
        </w:rPr>
        <w:t xml:space="preserve">, </w:t>
      </w:r>
      <w:r w:rsidRPr="00B37C27">
        <w:rPr>
          <w:rFonts w:cs="Times New Roman"/>
          <w:i/>
          <w:lang w:val="fr-CA"/>
        </w:rPr>
        <w:t xml:space="preserve">The Law of </w:t>
      </w:r>
      <w:proofErr w:type="spellStart"/>
      <w:r w:rsidRPr="00B37C27">
        <w:rPr>
          <w:rFonts w:cs="Times New Roman"/>
          <w:i/>
          <w:lang w:val="fr-CA"/>
        </w:rPr>
        <w:t>Contracts</w:t>
      </w:r>
      <w:proofErr w:type="spellEnd"/>
      <w:r w:rsidRPr="00B37C27">
        <w:rPr>
          <w:rFonts w:cs="Times New Roman"/>
          <w:lang w:val="fr-CA"/>
        </w:rPr>
        <w:t>, par.</w:t>
      </w:r>
      <w:r w:rsidR="00894691">
        <w:rPr>
          <w:rFonts w:cs="Times New Roman"/>
          <w:lang w:val="fr-CA"/>
        </w:rPr>
        <w:t xml:space="preserve"> </w:t>
      </w:r>
      <w:r w:rsidRPr="00B37C27">
        <w:rPr>
          <w:rFonts w:cs="Times New Roman"/>
          <w:lang w:val="fr-CA"/>
        </w:rPr>
        <w:t>195</w:t>
      </w:r>
      <w:r w:rsidR="00894691">
        <w:rPr>
          <w:rFonts w:cs="Times New Roman"/>
          <w:lang w:val="fr-CA"/>
        </w:rPr>
        <w:t>-</w:t>
      </w:r>
      <w:r w:rsidRPr="00B37C27">
        <w:rPr>
          <w:rFonts w:cs="Times New Roman"/>
          <w:lang w:val="fr-CA"/>
        </w:rPr>
        <w:t>203; B.</w:t>
      </w:r>
      <w:r w:rsidR="00894691">
        <w:rPr>
          <w:rFonts w:cs="Times New Roman"/>
          <w:lang w:val="fr-CA"/>
        </w:rPr>
        <w:t xml:space="preserve"> </w:t>
      </w:r>
      <w:proofErr w:type="spellStart"/>
      <w:r w:rsidRPr="00B37C27">
        <w:rPr>
          <w:rFonts w:cs="Times New Roman"/>
          <w:lang w:val="fr-CA"/>
        </w:rPr>
        <w:t>MacDougall</w:t>
      </w:r>
      <w:proofErr w:type="spellEnd"/>
      <w:r w:rsidRPr="00B37C27">
        <w:rPr>
          <w:rFonts w:cs="Times New Roman"/>
          <w:lang w:val="fr-CA"/>
        </w:rPr>
        <w:t xml:space="preserve">, </w:t>
      </w:r>
      <w:r w:rsidRPr="00B37C27">
        <w:rPr>
          <w:rFonts w:cs="Times New Roman"/>
          <w:i/>
          <w:lang w:val="fr-CA"/>
        </w:rPr>
        <w:t>Estoppel</w:t>
      </w:r>
      <w:r w:rsidRPr="00B37C27">
        <w:rPr>
          <w:rFonts w:cs="Times New Roman"/>
          <w:lang w:val="fr-CA"/>
        </w:rPr>
        <w:t xml:space="preserve"> (2012), p.</w:t>
      </w:r>
      <w:r w:rsidR="00894691">
        <w:rPr>
          <w:rFonts w:cs="Times New Roman"/>
          <w:lang w:val="fr-CA"/>
        </w:rPr>
        <w:t xml:space="preserve"> </w:t>
      </w:r>
      <w:r w:rsidRPr="00B37C27">
        <w:rPr>
          <w:rFonts w:cs="Times New Roman"/>
          <w:lang w:val="fr-CA"/>
        </w:rPr>
        <w:t>142</w:t>
      </w:r>
      <w:r w:rsidR="00894691">
        <w:rPr>
          <w:rFonts w:cs="Times New Roman"/>
          <w:lang w:val="fr-CA"/>
        </w:rPr>
        <w:t>-</w:t>
      </w:r>
      <w:r w:rsidRPr="00B37C27">
        <w:rPr>
          <w:rFonts w:cs="Times New Roman"/>
          <w:lang w:val="fr-CA"/>
        </w:rPr>
        <w:t xml:space="preserve">144.  Quant au délit de fraude civile, le </w:t>
      </w:r>
      <w:r w:rsidRPr="00B37C27">
        <w:rPr>
          <w:rFonts w:cs="Times New Roman"/>
          <w:lang w:val="fr-CA"/>
        </w:rPr>
        <w:lastRenderedPageBreak/>
        <w:t>manquement à l’obligation d’honnêteté en matière d’exécution contractuelle n’exige pas que le défendeur ait l’intention qu’une personne s’appuie sur la fausse déclaration</w:t>
      </w:r>
      <w:r w:rsidR="00557472">
        <w:rPr>
          <w:rFonts w:cs="Times New Roman"/>
          <w:lang w:val="fr-CA"/>
        </w:rPr>
        <w:t>,</w:t>
      </w:r>
      <w:r w:rsidRPr="00B37C27">
        <w:rPr>
          <w:rFonts w:cs="Times New Roman"/>
          <w:lang w:val="fr-CA"/>
        </w:rPr>
        <w:t xml:space="preserve"> et le manquement à cette obligation justifie une réclamation en dommages</w:t>
      </w:r>
      <w:r w:rsidR="00894691">
        <w:rPr>
          <w:rFonts w:cs="Times New Roman"/>
          <w:lang w:val="fr-CA"/>
        </w:rPr>
        <w:t>-</w:t>
      </w:r>
      <w:r w:rsidRPr="00B37C27">
        <w:rPr>
          <w:rFonts w:cs="Times New Roman"/>
          <w:lang w:val="fr-CA"/>
        </w:rPr>
        <w:t>intérêts fondée sur la disposition contractuelle plutôt que sur l’acte délictuel</w:t>
      </w:r>
      <w:r w:rsidR="00894691">
        <w:rPr>
          <w:rFonts w:cs="Times New Roman"/>
          <w:lang w:val="fr-CA"/>
        </w:rPr>
        <w:t> :</w:t>
      </w:r>
      <w:r w:rsidRPr="00B37C27">
        <w:rPr>
          <w:rFonts w:cs="Times New Roman"/>
          <w:lang w:val="fr-CA"/>
        </w:rPr>
        <w:t xml:space="preserve"> voir, p.</w:t>
      </w:r>
      <w:r w:rsidR="00894691">
        <w:rPr>
          <w:rFonts w:cs="Times New Roman"/>
          <w:lang w:val="fr-CA"/>
        </w:rPr>
        <w:t xml:space="preserve"> </w:t>
      </w:r>
      <w:r w:rsidRPr="00B37C27">
        <w:rPr>
          <w:rFonts w:cs="Times New Roman"/>
          <w:lang w:val="fr-CA"/>
        </w:rPr>
        <w:t xml:space="preserve">ex., </w:t>
      </w:r>
      <w:proofErr w:type="spellStart"/>
      <w:r w:rsidRPr="00B37C27">
        <w:rPr>
          <w:rFonts w:cs="Times New Roman"/>
          <w:i/>
          <w:iCs/>
          <w:lang w:val="fr-CA"/>
        </w:rPr>
        <w:t>Parna</w:t>
      </w:r>
      <w:proofErr w:type="spellEnd"/>
      <w:r w:rsidRPr="00B37C27">
        <w:rPr>
          <w:rFonts w:cs="Times New Roman"/>
          <w:i/>
          <w:iCs/>
          <w:lang w:val="fr-CA"/>
        </w:rPr>
        <w:t xml:space="preserve"> c. G. &amp; S. </w:t>
      </w:r>
      <w:proofErr w:type="spellStart"/>
      <w:r w:rsidRPr="00B37C27">
        <w:rPr>
          <w:rFonts w:cs="Times New Roman"/>
          <w:i/>
          <w:iCs/>
          <w:lang w:val="fr-CA"/>
        </w:rPr>
        <w:t>Properties</w:t>
      </w:r>
      <w:proofErr w:type="spellEnd"/>
      <w:r w:rsidRPr="00B37C27">
        <w:rPr>
          <w:rFonts w:cs="Times New Roman"/>
          <w:i/>
          <w:iCs/>
          <w:lang w:val="fr-CA"/>
        </w:rPr>
        <w:t xml:space="preserve"> Ltd.</w:t>
      </w:r>
      <w:r w:rsidRPr="00B37C27">
        <w:rPr>
          <w:rFonts w:cs="Times New Roman"/>
          <w:lang w:val="fr-CA"/>
        </w:rPr>
        <w:t xml:space="preserve">, [1971] R.C.S. 306, cité avec approbation dans l’arrêt </w:t>
      </w:r>
      <w:r w:rsidRPr="00B37C27">
        <w:rPr>
          <w:rFonts w:cs="Times New Roman"/>
          <w:i/>
          <w:lang w:val="fr-CA"/>
        </w:rPr>
        <w:t xml:space="preserve">Bruno Appliance and </w:t>
      </w:r>
      <w:proofErr w:type="spellStart"/>
      <w:r w:rsidRPr="00B37C27">
        <w:rPr>
          <w:rFonts w:cs="Times New Roman"/>
          <w:i/>
          <w:lang w:val="fr-CA"/>
        </w:rPr>
        <w:t>Furniture</w:t>
      </w:r>
      <w:proofErr w:type="spellEnd"/>
      <w:r w:rsidRPr="00B37C27">
        <w:rPr>
          <w:rFonts w:cs="Times New Roman"/>
          <w:i/>
          <w:lang w:val="fr-CA"/>
        </w:rPr>
        <w:t xml:space="preserve">, Inc. c. </w:t>
      </w:r>
      <w:proofErr w:type="spellStart"/>
      <w:r w:rsidRPr="00B37C27">
        <w:rPr>
          <w:rFonts w:cs="Times New Roman"/>
          <w:i/>
          <w:lang w:val="fr-CA"/>
        </w:rPr>
        <w:t>Hryniak</w:t>
      </w:r>
      <w:proofErr w:type="spellEnd"/>
      <w:r w:rsidRPr="00B37C27">
        <w:rPr>
          <w:rFonts w:cs="Times New Roman"/>
          <w:lang w:val="fr-CA"/>
        </w:rPr>
        <w:t xml:space="preserve">, 2014 </w:t>
      </w:r>
      <w:r w:rsidR="00557472">
        <w:rPr>
          <w:rFonts w:cs="Times New Roman"/>
          <w:lang w:val="fr-CA"/>
        </w:rPr>
        <w:t xml:space="preserve">CSC </w:t>
      </w:r>
      <w:r w:rsidRPr="00B37C27">
        <w:rPr>
          <w:rFonts w:cs="Times New Roman"/>
          <w:lang w:val="fr-CA"/>
        </w:rPr>
        <w:t>8, [2014] 1 R.C.S. 126, par.</w:t>
      </w:r>
      <w:r w:rsidR="00894691">
        <w:rPr>
          <w:rFonts w:cs="Times New Roman"/>
          <w:lang w:val="fr-CA"/>
        </w:rPr>
        <w:t xml:space="preserve"> </w:t>
      </w:r>
      <w:r w:rsidRPr="00B37C27">
        <w:rPr>
          <w:rFonts w:cs="Times New Roman"/>
          <w:lang w:val="fr-CA"/>
        </w:rPr>
        <w:t xml:space="preserve">19. </w:t>
      </w:r>
    </w:p>
    <w:p w:rsidR="00142A2B" w:rsidRPr="00B37C27" w:rsidRDefault="00142A2B" w:rsidP="00894691">
      <w:pPr>
        <w:pStyle w:val="ParaNoNdepar-AltN"/>
        <w:rPr>
          <w:rFonts w:cs="Times New Roman"/>
          <w:lang w:val="fr-CA"/>
        </w:rPr>
      </w:pPr>
      <w:r w:rsidRPr="00B37C27">
        <w:rPr>
          <w:rFonts w:cs="Times New Roman"/>
          <w:lang w:val="fr-CA"/>
        </w:rPr>
        <w:t>Monsieur</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invoquant une jurisprudence et une doctrine abondantes, a</w:t>
      </w:r>
      <w:r w:rsidR="00894691">
        <w:rPr>
          <w:rFonts w:cs="Times New Roman"/>
          <w:lang w:val="fr-CA"/>
        </w:rPr>
        <w:t xml:space="preserve"> </w:t>
      </w:r>
      <w:r w:rsidRPr="00B37C27">
        <w:rPr>
          <w:rFonts w:cs="Times New Roman"/>
          <w:lang w:val="fr-CA"/>
        </w:rPr>
        <w:t xml:space="preserve">plaidé en faveur de l’adoption en bloc d’une obligation </w:t>
      </w:r>
      <w:r w:rsidRPr="00B37C27">
        <w:rPr>
          <w:rFonts w:cs="Times New Roman"/>
          <w:noProof/>
          <w:lang w:val="fr-CA"/>
        </w:rPr>
        <w:t xml:space="preserve">d’agir </w:t>
      </w:r>
      <w:r w:rsidRPr="00B37C27">
        <w:rPr>
          <w:rFonts w:cs="Times New Roman"/>
          <w:lang w:val="fr-CA"/>
        </w:rPr>
        <w:t>de bonne foi plus rigoureuse par opposition à la modification modeste et évolutive que je propose</w:t>
      </w:r>
      <w:r w:rsidR="00894691">
        <w:rPr>
          <w:rFonts w:cs="Times New Roman"/>
          <w:lang w:val="fr-CA"/>
        </w:rPr>
        <w:t> :</w:t>
      </w:r>
      <w:r w:rsidRPr="00B37C27">
        <w:rPr>
          <w:rFonts w:cs="Times New Roman"/>
          <w:lang w:val="fr-CA"/>
        </w:rPr>
        <w:t xml:space="preserve"> </w:t>
      </w:r>
      <w:proofErr w:type="gramStart"/>
      <w:r w:rsidRPr="00B37C27">
        <w:rPr>
          <w:rFonts w:cs="Times New Roman"/>
          <w:lang w:val="fr-CA"/>
        </w:rPr>
        <w:t>m.a.,</w:t>
      </w:r>
      <w:proofErr w:type="gramEnd"/>
      <w:r w:rsidRPr="00B37C27">
        <w:rPr>
          <w:rFonts w:cs="Times New Roman"/>
          <w:lang w:val="fr-CA"/>
        </w:rPr>
        <w:t xml:space="preserve"> par.</w:t>
      </w:r>
      <w:r w:rsidR="00894691">
        <w:rPr>
          <w:rFonts w:cs="Times New Roman"/>
          <w:lang w:val="fr-CA"/>
        </w:rPr>
        <w:t xml:space="preserve"> </w:t>
      </w:r>
      <w:r w:rsidRPr="00B37C27">
        <w:rPr>
          <w:rFonts w:cs="Times New Roman"/>
          <w:lang w:val="fr-CA"/>
        </w:rPr>
        <w:t xml:space="preserve">51; </w:t>
      </w:r>
      <w:proofErr w:type="spellStart"/>
      <w:r w:rsidRPr="00B37C27">
        <w:rPr>
          <w:rFonts w:cs="Times New Roman"/>
          <w:lang w:val="fr-CA"/>
        </w:rPr>
        <w:t>Summers</w:t>
      </w:r>
      <w:proofErr w:type="spellEnd"/>
      <w:r w:rsidRPr="00B37C27">
        <w:rPr>
          <w:rFonts w:cs="Times New Roman"/>
          <w:lang w:val="fr-CA"/>
        </w:rPr>
        <w:t>, p.</w:t>
      </w:r>
      <w:r w:rsidR="00894691">
        <w:rPr>
          <w:rFonts w:cs="Times New Roman"/>
          <w:lang w:val="fr-CA"/>
        </w:rPr>
        <w:t xml:space="preserve"> </w:t>
      </w:r>
      <w:r w:rsidRPr="00B37C27">
        <w:rPr>
          <w:rFonts w:cs="Times New Roman"/>
          <w:lang w:val="fr-CA"/>
        </w:rPr>
        <w:t xml:space="preserve">206; </w:t>
      </w:r>
      <w:proofErr w:type="spellStart"/>
      <w:r w:rsidRPr="00B37C27">
        <w:rPr>
          <w:rFonts w:cs="Times New Roman"/>
          <w:lang w:val="fr-CA"/>
        </w:rPr>
        <w:t>Belobaba</w:t>
      </w:r>
      <w:proofErr w:type="spellEnd"/>
      <w:r w:rsidRPr="00B37C27">
        <w:rPr>
          <w:rFonts w:cs="Times New Roman"/>
          <w:lang w:val="fr-CA"/>
        </w:rPr>
        <w:t xml:space="preserve">; </w:t>
      </w:r>
      <w:r w:rsidRPr="00B37C27">
        <w:rPr>
          <w:rFonts w:cs="Times New Roman"/>
          <w:i/>
          <w:lang w:val="fr-CA"/>
        </w:rPr>
        <w:t xml:space="preserve">Gateway </w:t>
      </w:r>
      <w:proofErr w:type="spellStart"/>
      <w:r w:rsidRPr="00B37C27">
        <w:rPr>
          <w:rFonts w:cs="Times New Roman"/>
          <w:i/>
          <w:lang w:val="fr-CA"/>
        </w:rPr>
        <w:t>Realty</w:t>
      </w:r>
      <w:proofErr w:type="spellEnd"/>
      <w:r w:rsidRPr="00B37C27">
        <w:rPr>
          <w:rFonts w:cs="Times New Roman"/>
          <w:lang w:val="fr-CA"/>
        </w:rPr>
        <w:t xml:space="preserve">.  Dans bon nombre de ses manifestations, la bonne foi exige davantage que de l’honnêteté de la part d’une partie contractante.  Par exemple, dans l’arrêt </w:t>
      </w:r>
      <w:proofErr w:type="spellStart"/>
      <w:r w:rsidRPr="00B37C27">
        <w:rPr>
          <w:rFonts w:cs="Times New Roman"/>
          <w:i/>
          <w:lang w:val="fr-CA"/>
        </w:rPr>
        <w:t>Dynamic</w:t>
      </w:r>
      <w:proofErr w:type="spellEnd"/>
      <w:r w:rsidRPr="00B37C27">
        <w:rPr>
          <w:rFonts w:cs="Times New Roman"/>
          <w:i/>
          <w:lang w:val="fr-CA"/>
        </w:rPr>
        <w:t xml:space="preserve"> Transport</w:t>
      </w:r>
      <w:r w:rsidRPr="00B37C27">
        <w:rPr>
          <w:rFonts w:cs="Times New Roman"/>
          <w:lang w:val="fr-CA"/>
        </w:rPr>
        <w:t>, la Cour a jugé que la bonne foi dans le contexte du contrat en cause exigeait d’une partie qu’elle prenne des mesures raisonnables pour obtenir l’autorisation de lotir, laquelle constituait une condition préalable à la vente d’un bien</w:t>
      </w:r>
      <w:r w:rsidR="00894691">
        <w:rPr>
          <w:rFonts w:cs="Times New Roman"/>
          <w:lang w:val="fr-CA"/>
        </w:rPr>
        <w:t>-</w:t>
      </w:r>
      <w:r w:rsidRPr="00B37C27">
        <w:rPr>
          <w:rFonts w:cs="Times New Roman"/>
          <w:lang w:val="fr-CA"/>
        </w:rPr>
        <w:t xml:space="preserve">fonds.  Dans d’autres affaires, les tribunaux ont exigé que l’exercice de pouvoirs discrétionnaires ne soit pas fait de façon </w:t>
      </w:r>
      <w:r w:rsidR="004B1FD1">
        <w:rPr>
          <w:rFonts w:cs="Times New Roman"/>
          <w:lang w:val="fr-CA"/>
        </w:rPr>
        <w:t>[</w:t>
      </w:r>
      <w:r w:rsidR="004B1FD1" w:rsidRPr="004B1FD1">
        <w:rPr>
          <w:rFonts w:cs="Times New Roman"/>
          <w:smallCaps/>
          <w:lang w:val="fr-CA"/>
        </w:rPr>
        <w:t>traduction</w:t>
      </w:r>
      <w:r w:rsidR="004B1FD1">
        <w:rPr>
          <w:rFonts w:cs="Times New Roman"/>
          <w:lang w:val="fr-CA"/>
        </w:rPr>
        <w:t xml:space="preserve">] </w:t>
      </w:r>
      <w:r w:rsidR="00894691">
        <w:rPr>
          <w:rFonts w:cs="Times New Roman"/>
          <w:lang w:val="fr-CA"/>
        </w:rPr>
        <w:t>« </w:t>
      </w:r>
      <w:r w:rsidRPr="00B37C27">
        <w:rPr>
          <w:rFonts w:cs="Times New Roman"/>
          <w:lang w:val="fr-CA"/>
        </w:rPr>
        <w:t>capricieuse</w:t>
      </w:r>
      <w:r w:rsidR="00894691">
        <w:rPr>
          <w:rFonts w:cs="Times New Roman"/>
          <w:lang w:val="fr-CA"/>
        </w:rPr>
        <w:t> »</w:t>
      </w:r>
      <w:r w:rsidRPr="00B37C27">
        <w:rPr>
          <w:rFonts w:cs="Times New Roman"/>
          <w:lang w:val="fr-CA"/>
        </w:rPr>
        <w:t xml:space="preserve"> ni </w:t>
      </w:r>
      <w:r w:rsidR="00894691">
        <w:rPr>
          <w:rFonts w:cs="Times New Roman"/>
          <w:lang w:val="fr-CA"/>
        </w:rPr>
        <w:t>« </w:t>
      </w:r>
      <w:r w:rsidRPr="00B37C27">
        <w:rPr>
          <w:rFonts w:cs="Times New Roman"/>
          <w:lang w:val="fr-CA"/>
        </w:rPr>
        <w:t>arbitraire</w:t>
      </w:r>
      <w:r w:rsidR="00894691">
        <w:rPr>
          <w:rFonts w:cs="Times New Roman"/>
          <w:lang w:val="fr-CA"/>
        </w:rPr>
        <w:t> » :</w:t>
      </w:r>
      <w:r w:rsidRPr="00B37C27">
        <w:rPr>
          <w:rFonts w:cs="Times New Roman"/>
          <w:lang w:val="fr-CA"/>
        </w:rPr>
        <w:t xml:space="preserve"> </w:t>
      </w:r>
      <w:proofErr w:type="spellStart"/>
      <w:r w:rsidRPr="00B37C27">
        <w:rPr>
          <w:rFonts w:cs="Times New Roman"/>
          <w:i/>
          <w:lang w:val="fr-CA"/>
        </w:rPr>
        <w:t>Mason</w:t>
      </w:r>
      <w:proofErr w:type="spellEnd"/>
      <w:r w:rsidRPr="00B37C27">
        <w:rPr>
          <w:rFonts w:cs="Times New Roman"/>
          <w:lang w:val="fr-CA"/>
        </w:rPr>
        <w:t>, p.</w:t>
      </w:r>
      <w:r w:rsidR="00894691">
        <w:rPr>
          <w:rFonts w:cs="Times New Roman"/>
          <w:lang w:val="fr-CA"/>
        </w:rPr>
        <w:t xml:space="preserve"> </w:t>
      </w:r>
      <w:r w:rsidRPr="00B37C27">
        <w:rPr>
          <w:rFonts w:cs="Times New Roman"/>
          <w:lang w:val="fr-CA"/>
        </w:rPr>
        <w:t xml:space="preserve">487; </w:t>
      </w:r>
      <w:proofErr w:type="spellStart"/>
      <w:r w:rsidRPr="00B37C27">
        <w:rPr>
          <w:rFonts w:cs="Times New Roman"/>
          <w:i/>
          <w:lang w:val="fr-CA"/>
        </w:rPr>
        <w:t>LeMesurier</w:t>
      </w:r>
      <w:proofErr w:type="spellEnd"/>
      <w:r w:rsidRPr="00B37C27">
        <w:rPr>
          <w:rFonts w:cs="Times New Roman"/>
          <w:i/>
          <w:lang w:val="fr-CA"/>
        </w:rPr>
        <w:t xml:space="preserve"> c. </w:t>
      </w:r>
      <w:proofErr w:type="spellStart"/>
      <w:r w:rsidRPr="00B37C27">
        <w:rPr>
          <w:rFonts w:cs="Times New Roman"/>
          <w:i/>
          <w:lang w:val="fr-CA"/>
        </w:rPr>
        <w:t>Andrus</w:t>
      </w:r>
      <w:proofErr w:type="spellEnd"/>
      <w:r w:rsidRPr="00B37C27">
        <w:rPr>
          <w:rFonts w:cs="Times New Roman"/>
          <w:lang w:val="fr-CA"/>
        </w:rPr>
        <w:t xml:space="preserve"> (1986), 54 O.R. (2d) 1 (C.A.), p.</w:t>
      </w:r>
      <w:r w:rsidR="00894691">
        <w:rPr>
          <w:rFonts w:cs="Times New Roman"/>
          <w:lang w:val="fr-CA"/>
        </w:rPr>
        <w:t xml:space="preserve"> </w:t>
      </w:r>
      <w:r w:rsidRPr="00B37C27">
        <w:rPr>
          <w:rFonts w:cs="Times New Roman"/>
          <w:lang w:val="fr-CA"/>
        </w:rPr>
        <w:t>7.  Dans d’autres contextes, la Cour s’est montrée peu disposée à appliquer les exigences de la bonne foi au</w:t>
      </w:r>
      <w:r w:rsidR="00894691">
        <w:rPr>
          <w:rFonts w:cs="Times New Roman"/>
          <w:lang w:val="fr-CA"/>
        </w:rPr>
        <w:t>-</w:t>
      </w:r>
      <w:r w:rsidRPr="00B37C27">
        <w:rPr>
          <w:rFonts w:cs="Times New Roman"/>
          <w:lang w:val="fr-CA"/>
        </w:rPr>
        <w:t>delà de l’honnêteté par crainte que les tribunaux s’ingèrent de manière injustifiée dans les contrats</w:t>
      </w:r>
      <w:r w:rsidR="00894691">
        <w:rPr>
          <w:rFonts w:cs="Times New Roman"/>
          <w:lang w:val="fr-CA"/>
        </w:rPr>
        <w:t> :</w:t>
      </w:r>
      <w:r w:rsidRPr="00B37C27">
        <w:rPr>
          <w:rFonts w:cs="Times New Roman"/>
          <w:lang w:val="fr-CA"/>
        </w:rPr>
        <w:t xml:space="preserve"> </w:t>
      </w:r>
      <w:r w:rsidRPr="00B37C27">
        <w:rPr>
          <w:rFonts w:cs="Times New Roman"/>
          <w:i/>
          <w:lang w:val="fr-CA"/>
        </w:rPr>
        <w:t>Wallace</w:t>
      </w:r>
      <w:r w:rsidRPr="00B37C27">
        <w:rPr>
          <w:rFonts w:cs="Times New Roman"/>
          <w:lang w:val="fr-CA"/>
        </w:rPr>
        <w:t>, par.</w:t>
      </w:r>
      <w:r w:rsidR="00894691">
        <w:rPr>
          <w:rFonts w:cs="Times New Roman"/>
          <w:lang w:val="fr-CA"/>
        </w:rPr>
        <w:t xml:space="preserve"> </w:t>
      </w:r>
      <w:r w:rsidRPr="00B37C27">
        <w:rPr>
          <w:rFonts w:cs="Times New Roman"/>
          <w:lang w:val="fr-CA"/>
        </w:rPr>
        <w:t xml:space="preserve">76. </w:t>
      </w:r>
    </w:p>
    <w:p w:rsidR="00142A2B" w:rsidRPr="00B37C27" w:rsidRDefault="00142A2B" w:rsidP="00894691">
      <w:pPr>
        <w:pStyle w:val="ParaNoNdepar-AltN"/>
        <w:rPr>
          <w:rFonts w:cs="Times New Roman"/>
          <w:lang w:val="fr-CA"/>
        </w:rPr>
      </w:pPr>
      <w:r w:rsidRPr="00B37C27">
        <w:rPr>
          <w:rFonts w:cs="Times New Roman"/>
          <w:lang w:val="fr-CA"/>
        </w:rPr>
        <w:lastRenderedPageBreak/>
        <w:t>Il n’est pas nécessaire en l’espèce de définir dans les grandes lignes les limites de l’incidence du principe directeur de la bonne foi.  Cela s’explique du fait que je vois mal en quoi une obligation plus large serait en l’espèce d’un quelconque secours pour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Après tout, le contrat était assujetti à une clause de non</w:t>
      </w:r>
      <w:r w:rsidR="00894691">
        <w:rPr>
          <w:rFonts w:cs="Times New Roman"/>
          <w:lang w:val="fr-CA"/>
        </w:rPr>
        <w:t>-</w:t>
      </w:r>
      <w:r w:rsidRPr="00B37C27">
        <w:rPr>
          <w:rFonts w:cs="Times New Roman"/>
          <w:lang w:val="fr-CA"/>
        </w:rPr>
        <w:t>renouvellement.  Il serait exagéré, à mon avis, de se servir d’une disposition de non</w:t>
      </w:r>
      <w:r w:rsidR="00894691">
        <w:rPr>
          <w:rFonts w:cs="Times New Roman"/>
          <w:lang w:val="fr-CA"/>
        </w:rPr>
        <w:t>-</w:t>
      </w:r>
      <w:r w:rsidRPr="00B37C27">
        <w:rPr>
          <w:rFonts w:cs="Times New Roman"/>
          <w:lang w:val="fr-CA"/>
        </w:rPr>
        <w:t xml:space="preserve">renouvellement qui bénéficie d’une application large de l’obligation </w:t>
      </w:r>
      <w:r w:rsidRPr="00B37C27">
        <w:rPr>
          <w:rFonts w:cs="Times New Roman"/>
          <w:noProof/>
          <w:lang w:val="fr-CA"/>
        </w:rPr>
        <w:t xml:space="preserve">d’agir </w:t>
      </w:r>
      <w:r w:rsidRPr="00B37C27">
        <w:rPr>
          <w:rFonts w:cs="Times New Roman"/>
          <w:lang w:val="fr-CA"/>
        </w:rPr>
        <w:t>de bonne foi pour donner au contrat une durée indéterminée.  Il s’agit, selon moi, de la difficulté principale que pose le raisonnement de la juge de première instance parce qu’au bout du compte sa décision a transformé un contrat de trois ans, assujetti à une disposition expresse de non</w:t>
      </w:r>
      <w:r w:rsidR="00894691">
        <w:rPr>
          <w:rFonts w:cs="Times New Roman"/>
          <w:lang w:val="fr-CA"/>
        </w:rPr>
        <w:t>-</w:t>
      </w:r>
      <w:r w:rsidRPr="00B37C27">
        <w:rPr>
          <w:rFonts w:cs="Times New Roman"/>
          <w:lang w:val="fr-CA"/>
        </w:rPr>
        <w:t>renouvellement, en un contrat d’une durée approx</w:t>
      </w:r>
      <w:r w:rsidR="004B1FD1">
        <w:rPr>
          <w:rFonts w:cs="Times New Roman"/>
          <w:lang w:val="fr-CA"/>
        </w:rPr>
        <w:t>imative de neuf ans.  Comme la C</w:t>
      </w:r>
      <w:r w:rsidRPr="00B37C27">
        <w:rPr>
          <w:rFonts w:cs="Times New Roman"/>
          <w:lang w:val="fr-CA"/>
        </w:rPr>
        <w:t>our d’appel l’a souligné, à juste titre selon moi,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[l]es parties n’avaient pas l’intention de conclure un contrat perpétuel, ni ne l’avaient</w:t>
      </w:r>
      <w:r w:rsidR="00894691">
        <w:rPr>
          <w:rFonts w:cs="Times New Roman"/>
          <w:lang w:val="fr-CA"/>
        </w:rPr>
        <w:t>-</w:t>
      </w:r>
      <w:r w:rsidRPr="00B37C27">
        <w:rPr>
          <w:rFonts w:cs="Times New Roman"/>
          <w:lang w:val="fr-CA"/>
        </w:rPr>
        <w:t>elles présumé, vu qu’elles ont stipulé que l’une ou l’autre d’entre elles pourrait y mettre fin unilatéralement à chaque troisième anniversaire</w:t>
      </w:r>
      <w:r w:rsidR="00894691">
        <w:rPr>
          <w:rFonts w:cs="Times New Roman"/>
          <w:lang w:val="fr-CA"/>
        </w:rPr>
        <w:t> » :</w:t>
      </w:r>
      <w:r w:rsidRPr="00B37C27">
        <w:rPr>
          <w:rFonts w:cs="Times New Roman"/>
          <w:lang w:val="fr-CA"/>
        </w:rPr>
        <w:t xml:space="preserve"> par.</w:t>
      </w:r>
      <w:r w:rsidR="00894691">
        <w:rPr>
          <w:rFonts w:cs="Times New Roman"/>
          <w:lang w:val="fr-CA"/>
        </w:rPr>
        <w:t xml:space="preserve"> </w:t>
      </w:r>
      <w:r w:rsidRPr="00B37C27">
        <w:rPr>
          <w:rFonts w:cs="Times New Roman"/>
          <w:lang w:val="fr-CA"/>
        </w:rPr>
        <w:t xml:space="preserve">32.  Même si la fusion imposée constituait une violation d’une obligation </w:t>
      </w:r>
      <w:r w:rsidRPr="00B37C27">
        <w:rPr>
          <w:rFonts w:cs="Times New Roman"/>
          <w:noProof/>
          <w:lang w:val="fr-CA"/>
        </w:rPr>
        <w:t xml:space="preserve">d’agir </w:t>
      </w:r>
      <w:r w:rsidRPr="00B37C27">
        <w:rPr>
          <w:rFonts w:cs="Times New Roman"/>
          <w:lang w:val="fr-CA"/>
        </w:rPr>
        <w:t>de bonne foi de portée plus large, il faudrait encore mesurer la responsabilité contractuelle de Can</w:t>
      </w:r>
      <w:r w:rsidR="00894691">
        <w:rPr>
          <w:rFonts w:cs="Times New Roman"/>
          <w:lang w:val="fr-CA"/>
        </w:rPr>
        <w:t>-</w:t>
      </w:r>
      <w:r w:rsidRPr="00B37C27">
        <w:rPr>
          <w:rFonts w:cs="Times New Roman"/>
          <w:lang w:val="fr-CA"/>
        </w:rPr>
        <w:t>Am en fonction du mode d’exécution le moins contraignant, soit en l’espèce simplement un non</w:t>
      </w:r>
      <w:r w:rsidR="00894691">
        <w:rPr>
          <w:rFonts w:cs="Times New Roman"/>
          <w:lang w:val="fr-CA"/>
        </w:rPr>
        <w:t>-</w:t>
      </w:r>
      <w:r w:rsidRPr="00B37C27">
        <w:rPr>
          <w:rFonts w:cs="Times New Roman"/>
          <w:lang w:val="fr-CA"/>
        </w:rPr>
        <w:t xml:space="preserve">renouvellement du contrat.  Étant donné que cette violation ne cause aucun dommage, il n’est pas nécessaire de décider si le fait de s’appuyer sur un pouvoir discrétionnaire pour atteindre un objectif étranger au contrat, et qui minait un des objectifs importants du contrat, pourrait appeler un élargissement du principe directeur de la bonne foi dans l’exécution des contrats.  </w:t>
      </w:r>
    </w:p>
    <w:p w:rsidR="00142A2B" w:rsidRPr="00B37C27" w:rsidRDefault="00142A2B" w:rsidP="00894691">
      <w:pPr>
        <w:pStyle w:val="ParaNoNdepar-AltN"/>
        <w:rPr>
          <w:rFonts w:cs="Times New Roman"/>
          <w:lang w:val="fr-CA"/>
        </w:rPr>
      </w:pPr>
      <w:r w:rsidRPr="00B37C27">
        <w:rPr>
          <w:rFonts w:cs="Times New Roman"/>
          <w:lang w:val="fr-CA"/>
        </w:rPr>
        <w:lastRenderedPageBreak/>
        <w:t xml:space="preserve">Je signale également que même dans les ressorts qui accordent un rôle plus important à l’obligation </w:t>
      </w:r>
      <w:r w:rsidRPr="00B37C27">
        <w:rPr>
          <w:rFonts w:cs="Times New Roman"/>
          <w:noProof/>
          <w:lang w:val="fr-CA"/>
        </w:rPr>
        <w:t xml:space="preserve">d’agir </w:t>
      </w:r>
      <w:r w:rsidRPr="00B37C27">
        <w:rPr>
          <w:rFonts w:cs="Times New Roman"/>
          <w:lang w:val="fr-CA"/>
        </w:rPr>
        <w:t>de bonne foi, les demandeurs n’ont pas toujours obtenu gain de cause lorsqu’ils ont allégué le non</w:t>
      </w:r>
      <w:r w:rsidR="00894691">
        <w:rPr>
          <w:rFonts w:cs="Times New Roman"/>
          <w:lang w:val="fr-CA"/>
        </w:rPr>
        <w:t>-</w:t>
      </w:r>
      <w:r w:rsidRPr="00B37C27">
        <w:rPr>
          <w:rFonts w:cs="Times New Roman"/>
          <w:lang w:val="fr-CA"/>
        </w:rPr>
        <w:t>renouvellement de mauvaise foi d’un contrat.  Dans certaines affaires, le tribunal a jugé que le non</w:t>
      </w:r>
      <w:r w:rsidR="00894691">
        <w:rPr>
          <w:rFonts w:cs="Times New Roman"/>
          <w:lang w:val="fr-CA"/>
        </w:rPr>
        <w:t>-</w:t>
      </w:r>
      <w:r w:rsidRPr="00B37C27">
        <w:rPr>
          <w:rFonts w:cs="Times New Roman"/>
          <w:lang w:val="fr-CA"/>
        </w:rPr>
        <w:t xml:space="preserve">renouvellement équivalait à une résiliation et, par conséquent, était assujetti à une obligation </w:t>
      </w:r>
      <w:r w:rsidRPr="00B37C27">
        <w:rPr>
          <w:rFonts w:cs="Times New Roman"/>
          <w:noProof/>
          <w:lang w:val="fr-CA"/>
        </w:rPr>
        <w:t xml:space="preserve">d’agir </w:t>
      </w:r>
      <w:r w:rsidRPr="00B37C27">
        <w:rPr>
          <w:rFonts w:cs="Times New Roman"/>
          <w:lang w:val="fr-CA"/>
        </w:rPr>
        <w:t>de bonne foi</w:t>
      </w:r>
      <w:r w:rsidR="00894691">
        <w:rPr>
          <w:rFonts w:cs="Times New Roman"/>
          <w:lang w:val="fr-CA"/>
        </w:rPr>
        <w:t> :</w:t>
      </w:r>
      <w:r w:rsidRPr="00B37C27">
        <w:rPr>
          <w:rFonts w:cs="Times New Roman"/>
          <w:lang w:val="fr-CA"/>
        </w:rPr>
        <w:t xml:space="preserve"> </w:t>
      </w:r>
      <w:r w:rsidRPr="00B37C27">
        <w:rPr>
          <w:rFonts w:cs="Times New Roman"/>
          <w:i/>
          <w:lang w:val="fr-CA"/>
        </w:rPr>
        <w:t xml:space="preserve">Shell </w:t>
      </w:r>
      <w:proofErr w:type="spellStart"/>
      <w:r w:rsidRPr="00B37C27">
        <w:rPr>
          <w:rFonts w:cs="Times New Roman"/>
          <w:i/>
          <w:lang w:val="fr-CA"/>
        </w:rPr>
        <w:t>Oil</w:t>
      </w:r>
      <w:proofErr w:type="spellEnd"/>
      <w:r w:rsidRPr="00B37C27">
        <w:rPr>
          <w:rFonts w:cs="Times New Roman"/>
          <w:i/>
          <w:lang w:val="fr-CA"/>
        </w:rPr>
        <w:t xml:space="preserve"> Co. c. </w:t>
      </w:r>
      <w:proofErr w:type="spellStart"/>
      <w:r w:rsidRPr="00B37C27">
        <w:rPr>
          <w:rFonts w:cs="Times New Roman"/>
          <w:i/>
          <w:lang w:val="fr-CA"/>
        </w:rPr>
        <w:t>Marinello</w:t>
      </w:r>
      <w:proofErr w:type="spellEnd"/>
      <w:r w:rsidRPr="00B37C27">
        <w:rPr>
          <w:rFonts w:cs="Times New Roman"/>
          <w:lang w:val="fr-CA"/>
        </w:rPr>
        <w:t>, 294 A.2d 253 (</w:t>
      </w:r>
      <w:r w:rsidRPr="004B1FD1">
        <w:rPr>
          <w:rFonts w:cs="Times New Roman"/>
          <w:lang w:val="fr-CA"/>
        </w:rPr>
        <w:t xml:space="preserve">N.J. </w:t>
      </w:r>
      <w:r w:rsidR="004B1FD1" w:rsidRPr="004B1FD1">
        <w:rPr>
          <w:rFonts w:cs="Times New Roman"/>
          <w:lang w:val="fr-CA"/>
        </w:rPr>
        <w:t>Sup</w:t>
      </w:r>
      <w:r w:rsidR="00247768">
        <w:rPr>
          <w:rFonts w:cs="Times New Roman"/>
          <w:lang w:val="fr-CA"/>
        </w:rPr>
        <w:t>er</w:t>
      </w:r>
      <w:r w:rsidR="004B1FD1" w:rsidRPr="004B1FD1">
        <w:rPr>
          <w:rFonts w:cs="Times New Roman"/>
          <w:lang w:val="fr-CA"/>
        </w:rPr>
        <w:t xml:space="preserve">. </w:t>
      </w:r>
      <w:r w:rsidR="004B1FD1">
        <w:rPr>
          <w:rFonts w:cs="Times New Roman"/>
          <w:lang w:val="fr-CA"/>
        </w:rPr>
        <w:t xml:space="preserve">Ct. </w:t>
      </w:r>
      <w:r w:rsidRPr="004B1FD1">
        <w:rPr>
          <w:rFonts w:cs="Times New Roman"/>
          <w:lang w:val="fr-CA"/>
        </w:rPr>
        <w:t xml:space="preserve">1972), </w:t>
      </w:r>
      <w:proofErr w:type="spellStart"/>
      <w:r w:rsidRPr="004B1FD1">
        <w:rPr>
          <w:rFonts w:cs="Times New Roman"/>
          <w:lang w:val="fr-CA"/>
        </w:rPr>
        <w:t>conf</w:t>
      </w:r>
      <w:proofErr w:type="spellEnd"/>
      <w:r w:rsidRPr="004B1FD1">
        <w:rPr>
          <w:rFonts w:cs="Times New Roman"/>
          <w:lang w:val="fr-CA"/>
        </w:rPr>
        <w:t xml:space="preserve">. par 307 A.2d 598 (N.J. 1973); </w:t>
      </w:r>
      <w:r w:rsidRPr="004B1FD1">
        <w:rPr>
          <w:rFonts w:cs="Times New Roman"/>
          <w:i/>
          <w:lang w:val="fr-CA"/>
        </w:rPr>
        <w:t xml:space="preserve">Atlantic Richfield Co. c. </w:t>
      </w:r>
      <w:proofErr w:type="spellStart"/>
      <w:r w:rsidRPr="004B1FD1">
        <w:rPr>
          <w:rFonts w:cs="Times New Roman"/>
          <w:i/>
          <w:lang w:val="fr-CA"/>
        </w:rPr>
        <w:t>Razumic</w:t>
      </w:r>
      <w:proofErr w:type="spellEnd"/>
      <w:r w:rsidRPr="004B1FD1">
        <w:rPr>
          <w:rFonts w:cs="Times New Roman"/>
          <w:lang w:val="fr-CA"/>
        </w:rPr>
        <w:t>, 390 A.2d 736 (Pa. 1978), p.</w:t>
      </w:r>
      <w:r w:rsidR="00894691" w:rsidRPr="004B1FD1">
        <w:rPr>
          <w:rFonts w:cs="Times New Roman"/>
          <w:lang w:val="fr-CA"/>
        </w:rPr>
        <w:t xml:space="preserve"> </w:t>
      </w:r>
      <w:r w:rsidRPr="004B1FD1">
        <w:rPr>
          <w:rFonts w:cs="Times New Roman"/>
          <w:lang w:val="fr-CA"/>
        </w:rPr>
        <w:t>741</w:t>
      </w:r>
      <w:r w:rsidR="00894691" w:rsidRPr="004B1FD1">
        <w:rPr>
          <w:rFonts w:cs="Times New Roman"/>
          <w:lang w:val="fr-CA"/>
        </w:rPr>
        <w:t>-</w:t>
      </w:r>
      <w:r w:rsidRPr="004B1FD1">
        <w:rPr>
          <w:rFonts w:cs="Times New Roman"/>
          <w:lang w:val="fr-CA"/>
        </w:rPr>
        <w:t xml:space="preserve">742.  </w:t>
      </w:r>
      <w:r w:rsidRPr="00B37C27">
        <w:rPr>
          <w:rFonts w:cs="Times New Roman"/>
          <w:lang w:val="fr-CA"/>
        </w:rPr>
        <w:t>D’autres tribunaux ont considéré le non</w:t>
      </w:r>
      <w:r w:rsidR="00894691">
        <w:rPr>
          <w:rFonts w:cs="Times New Roman"/>
          <w:lang w:val="fr-CA"/>
        </w:rPr>
        <w:t>-</w:t>
      </w:r>
      <w:r w:rsidRPr="00B37C27">
        <w:rPr>
          <w:rFonts w:cs="Times New Roman"/>
          <w:lang w:val="fr-CA"/>
        </w:rPr>
        <w:t>renouvellement comme étant fondamentalement différent, surtout lorsque les conditions expresses du contrat prévoient l’expiration des obligations contractuelles et ne laissent aucune place à une obligation de renouvellement de quelque type que ce soit</w:t>
      </w:r>
      <w:r w:rsidR="00894691">
        <w:rPr>
          <w:rFonts w:cs="Times New Roman"/>
          <w:lang w:val="fr-CA"/>
        </w:rPr>
        <w:t> :</w:t>
      </w:r>
      <w:r w:rsidRPr="00B37C27">
        <w:rPr>
          <w:rFonts w:cs="Times New Roman"/>
          <w:lang w:val="fr-CA"/>
        </w:rPr>
        <w:t xml:space="preserve"> </w:t>
      </w:r>
      <w:r w:rsidRPr="00B37C27">
        <w:rPr>
          <w:rFonts w:cs="Times New Roman"/>
          <w:i/>
          <w:lang w:val="fr-CA"/>
        </w:rPr>
        <w:t>J.H.</w:t>
      </w:r>
      <w:r w:rsidR="00894691">
        <w:rPr>
          <w:rFonts w:cs="Times New Roman"/>
          <w:lang w:val="fr-CA"/>
        </w:rPr>
        <w:t xml:space="preserve"> </w:t>
      </w:r>
      <w:proofErr w:type="spellStart"/>
      <w:r w:rsidRPr="00B37C27">
        <w:rPr>
          <w:rFonts w:cs="Times New Roman"/>
          <w:i/>
          <w:lang w:val="fr-CA"/>
        </w:rPr>
        <w:t>Westerbeke</w:t>
      </w:r>
      <w:proofErr w:type="spellEnd"/>
      <w:r w:rsidRPr="00B37C27">
        <w:rPr>
          <w:rFonts w:cs="Times New Roman"/>
          <w:i/>
          <w:lang w:val="fr-CA"/>
        </w:rPr>
        <w:t xml:space="preserve"> Corp. c. </w:t>
      </w:r>
      <w:proofErr w:type="spellStart"/>
      <w:r w:rsidRPr="00B37C27">
        <w:rPr>
          <w:rFonts w:cs="Times New Roman"/>
          <w:i/>
          <w:lang w:val="fr-CA"/>
        </w:rPr>
        <w:t>Onan</w:t>
      </w:r>
      <w:proofErr w:type="spellEnd"/>
      <w:r w:rsidRPr="00B37C27">
        <w:rPr>
          <w:rFonts w:cs="Times New Roman"/>
          <w:i/>
          <w:lang w:val="fr-CA"/>
        </w:rPr>
        <w:t xml:space="preserve"> Corp.</w:t>
      </w:r>
      <w:r w:rsidRPr="00B37C27">
        <w:rPr>
          <w:rFonts w:cs="Times New Roman"/>
          <w:lang w:val="fr-CA"/>
        </w:rPr>
        <w:t xml:space="preserve">, 580 </w:t>
      </w:r>
      <w:proofErr w:type="spellStart"/>
      <w:r w:rsidRPr="00B37C27">
        <w:rPr>
          <w:rFonts w:cs="Times New Roman"/>
          <w:lang w:val="fr-CA"/>
        </w:rPr>
        <w:t>F.Supp</w:t>
      </w:r>
      <w:proofErr w:type="spellEnd"/>
      <w:r w:rsidRPr="00B37C27">
        <w:rPr>
          <w:rFonts w:cs="Times New Roman"/>
          <w:lang w:val="fr-CA"/>
        </w:rPr>
        <w:t>.</w:t>
      </w:r>
      <w:r w:rsidR="00894691">
        <w:rPr>
          <w:rFonts w:cs="Times New Roman"/>
          <w:lang w:val="fr-CA"/>
        </w:rPr>
        <w:t xml:space="preserve"> </w:t>
      </w:r>
      <w:r w:rsidRPr="00B37C27">
        <w:rPr>
          <w:rFonts w:cs="Times New Roman"/>
          <w:lang w:val="fr-CA"/>
        </w:rPr>
        <w:t>1173 (D. Mass.</w:t>
      </w:r>
      <w:r w:rsidR="00894691">
        <w:rPr>
          <w:rFonts w:cs="Times New Roman"/>
          <w:lang w:val="fr-CA"/>
        </w:rPr>
        <w:t xml:space="preserve"> </w:t>
      </w:r>
      <w:r w:rsidRPr="00B37C27">
        <w:rPr>
          <w:rFonts w:cs="Times New Roman"/>
          <w:lang w:val="fr-CA"/>
        </w:rPr>
        <w:t>1984), p.</w:t>
      </w:r>
      <w:r w:rsidR="00894691">
        <w:rPr>
          <w:rFonts w:cs="Times New Roman"/>
          <w:lang w:val="fr-CA"/>
        </w:rPr>
        <w:t xml:space="preserve"> </w:t>
      </w:r>
      <w:r w:rsidRPr="00B37C27">
        <w:rPr>
          <w:rFonts w:cs="Times New Roman"/>
          <w:lang w:val="fr-CA"/>
        </w:rPr>
        <w:t xml:space="preserve">1184; </w:t>
      </w:r>
      <w:proofErr w:type="spellStart"/>
      <w:r w:rsidRPr="00B37C27">
        <w:rPr>
          <w:rFonts w:cs="Times New Roman"/>
          <w:i/>
          <w:lang w:val="fr-CA"/>
        </w:rPr>
        <w:t>Pitney</w:t>
      </w:r>
      <w:proofErr w:type="spellEnd"/>
      <w:r w:rsidR="00894691">
        <w:rPr>
          <w:rFonts w:cs="Times New Roman"/>
          <w:i/>
          <w:lang w:val="fr-CA"/>
        </w:rPr>
        <w:t>-</w:t>
      </w:r>
      <w:r w:rsidRPr="00B37C27">
        <w:rPr>
          <w:rFonts w:cs="Times New Roman"/>
          <w:i/>
          <w:lang w:val="fr-CA"/>
        </w:rPr>
        <w:t>Bowes, Inc. c. Mestre</w:t>
      </w:r>
      <w:r w:rsidRPr="00B37C27">
        <w:rPr>
          <w:rFonts w:cs="Times New Roman"/>
          <w:lang w:val="fr-CA"/>
        </w:rPr>
        <w:t xml:space="preserve">, 517 </w:t>
      </w:r>
      <w:proofErr w:type="spellStart"/>
      <w:r w:rsidRPr="00B37C27">
        <w:rPr>
          <w:rFonts w:cs="Times New Roman"/>
          <w:lang w:val="fr-CA"/>
        </w:rPr>
        <w:t>F.Supp</w:t>
      </w:r>
      <w:proofErr w:type="spellEnd"/>
      <w:r w:rsidRPr="00B37C27">
        <w:rPr>
          <w:rFonts w:cs="Times New Roman"/>
          <w:lang w:val="fr-CA"/>
        </w:rPr>
        <w:t>.</w:t>
      </w:r>
      <w:r w:rsidR="00894691">
        <w:rPr>
          <w:rFonts w:cs="Times New Roman"/>
          <w:lang w:val="fr-CA"/>
        </w:rPr>
        <w:t xml:space="preserve"> </w:t>
      </w:r>
      <w:r w:rsidRPr="00B37C27">
        <w:rPr>
          <w:rFonts w:cs="Times New Roman"/>
          <w:lang w:val="fr-CA"/>
        </w:rPr>
        <w:t xml:space="preserve">52 (S.D. Fla. 1981), </w:t>
      </w:r>
      <w:proofErr w:type="spellStart"/>
      <w:r w:rsidRPr="00D65281">
        <w:rPr>
          <w:rFonts w:cs="Times New Roman"/>
          <w:i/>
          <w:lang w:val="fr-CA"/>
        </w:rPr>
        <w:t>cert</w:t>
      </w:r>
      <w:proofErr w:type="spellEnd"/>
      <w:r w:rsidR="00C2060E" w:rsidRPr="00D65281">
        <w:rPr>
          <w:rFonts w:cs="Times New Roman"/>
          <w:i/>
          <w:lang w:val="fr-CA"/>
        </w:rPr>
        <w:t>.</w:t>
      </w:r>
      <w:r w:rsidR="00C2060E">
        <w:rPr>
          <w:rFonts w:cs="Times New Roman"/>
          <w:lang w:val="fr-CA"/>
        </w:rPr>
        <w:t xml:space="preserve"> </w:t>
      </w:r>
      <w:r w:rsidR="00D65281">
        <w:rPr>
          <w:rFonts w:cs="Times New Roman"/>
          <w:lang w:val="fr-CA"/>
        </w:rPr>
        <w:t>r</w:t>
      </w:r>
      <w:r w:rsidR="00C2060E">
        <w:rPr>
          <w:rFonts w:cs="Times New Roman"/>
          <w:lang w:val="fr-CA"/>
        </w:rPr>
        <w:t>efusé</w:t>
      </w:r>
      <w:r w:rsidR="00D65281">
        <w:rPr>
          <w:rFonts w:cs="Times New Roman"/>
          <w:lang w:val="fr-CA"/>
        </w:rPr>
        <w:t>,</w:t>
      </w:r>
      <w:r w:rsidRPr="00B37C27">
        <w:rPr>
          <w:rFonts w:cs="Times New Roman"/>
          <w:lang w:val="fr-CA"/>
        </w:rPr>
        <w:t xml:space="preserve"> 464 U.S. 893 (1983). </w:t>
      </w:r>
    </w:p>
    <w:p w:rsidR="00142A2B" w:rsidRPr="00B37C27" w:rsidRDefault="00142A2B" w:rsidP="00894691">
      <w:pPr>
        <w:pStyle w:val="ParaNoNdepar-AltN"/>
        <w:rPr>
          <w:rFonts w:cs="Times New Roman"/>
          <w:lang w:val="fr-CA"/>
        </w:rPr>
      </w:pPr>
      <w:r w:rsidRPr="00B37C27">
        <w:rPr>
          <w:rFonts w:cs="Times New Roman"/>
          <w:lang w:val="fr-CA"/>
        </w:rPr>
        <w:t xml:space="preserve">Je conclus qu’à ce stade de l’évolution de la </w:t>
      </w:r>
      <w:proofErr w:type="spellStart"/>
      <w:r w:rsidRPr="00B37C27">
        <w:rPr>
          <w:rFonts w:cs="Times New Roman"/>
          <w:lang w:val="fr-CA"/>
        </w:rPr>
        <w:t>common</w:t>
      </w:r>
      <w:proofErr w:type="spellEnd"/>
      <w:r w:rsidRPr="00B37C27">
        <w:rPr>
          <w:rFonts w:cs="Times New Roman"/>
          <w:lang w:val="fr-CA"/>
        </w:rPr>
        <w:t xml:space="preserve"> </w:t>
      </w:r>
      <w:proofErr w:type="spellStart"/>
      <w:r w:rsidRPr="00B37C27">
        <w:rPr>
          <w:rFonts w:cs="Times New Roman"/>
          <w:lang w:val="fr-CA"/>
        </w:rPr>
        <w:t>law</w:t>
      </w:r>
      <w:proofErr w:type="spellEnd"/>
      <w:r w:rsidRPr="00B37C27">
        <w:rPr>
          <w:rFonts w:cs="Times New Roman"/>
          <w:lang w:val="fr-CA"/>
        </w:rPr>
        <w:t xml:space="preserve"> au Canada, l’ajout d’une obligation générale d’honnêteté en matière d’exécution contractuelle constitue une mesure progressive appropriée, tout en reconnaissant que le principe directeur de la bonne foi, de portée plus large, doit pouvoir continuer d’évoluer en fonction de la même approche judiciaire progressive.  </w:t>
      </w:r>
    </w:p>
    <w:p w:rsidR="00142A2B" w:rsidRPr="00B37C27" w:rsidRDefault="00142A2B" w:rsidP="00894691">
      <w:pPr>
        <w:pStyle w:val="ParaNoNdepar-AltN"/>
        <w:rPr>
          <w:rFonts w:cs="Times New Roman"/>
          <w:lang w:val="fr-CA"/>
        </w:rPr>
      </w:pPr>
      <w:r w:rsidRPr="00B37C27">
        <w:rPr>
          <w:rFonts w:cs="Times New Roman"/>
          <w:lang w:val="fr-CA"/>
        </w:rPr>
        <w:t>Il convient ici de résumer ces principes</w:t>
      </w:r>
      <w:r w:rsidR="00894691">
        <w:rPr>
          <w:rFonts w:cs="Times New Roman"/>
          <w:lang w:val="fr-CA"/>
        </w:rPr>
        <w:t> :</w:t>
      </w:r>
    </w:p>
    <w:p w:rsidR="00142A2B" w:rsidRPr="00B37C27" w:rsidRDefault="00910A0E" w:rsidP="00910A0E">
      <w:pPr>
        <w:pStyle w:val="Citation-AltC"/>
        <w:tabs>
          <w:tab w:val="left" w:pos="720"/>
          <w:tab w:val="left" w:pos="1680"/>
        </w:tabs>
        <w:spacing w:before="480" w:after="480" w:line="480" w:lineRule="auto"/>
        <w:ind w:left="0"/>
        <w:contextualSpacing w:val="0"/>
        <w:rPr>
          <w:lang w:val="fr-CA"/>
        </w:rPr>
      </w:pPr>
      <w:r>
        <w:rPr>
          <w:lang w:val="fr-CA"/>
        </w:rPr>
        <w:t>(</w:t>
      </w:r>
      <w:r w:rsidR="00142A2B" w:rsidRPr="00B37C27">
        <w:rPr>
          <w:lang w:val="fr-CA"/>
        </w:rPr>
        <w:t>1)</w:t>
      </w:r>
      <w:r w:rsidR="00142A2B" w:rsidRPr="00B37C27">
        <w:rPr>
          <w:lang w:val="fr-CA"/>
        </w:rPr>
        <w:tab/>
        <w:t>Il existe un principe directeur général de bonne foi sous</w:t>
      </w:r>
      <w:r w:rsidR="00894691">
        <w:rPr>
          <w:lang w:val="fr-CA"/>
        </w:rPr>
        <w:t>-</w:t>
      </w:r>
      <w:r w:rsidR="00142A2B" w:rsidRPr="00B37C27">
        <w:rPr>
          <w:lang w:val="fr-CA"/>
        </w:rPr>
        <w:t xml:space="preserve">jacent à de nombreux aspects du droit des contrats.  </w:t>
      </w:r>
    </w:p>
    <w:p w:rsidR="00142A2B" w:rsidRPr="00B37C27" w:rsidRDefault="00910A0E" w:rsidP="00910A0E">
      <w:pPr>
        <w:pStyle w:val="Citation-AltC"/>
        <w:tabs>
          <w:tab w:val="left" w:pos="720"/>
          <w:tab w:val="left" w:pos="1680"/>
        </w:tabs>
        <w:spacing w:before="480" w:after="480" w:line="480" w:lineRule="auto"/>
        <w:ind w:left="0"/>
        <w:contextualSpacing w:val="0"/>
        <w:rPr>
          <w:lang w:val="fr-CA"/>
        </w:rPr>
      </w:pPr>
      <w:r>
        <w:rPr>
          <w:lang w:val="fr-CA"/>
        </w:rPr>
        <w:lastRenderedPageBreak/>
        <w:t>(</w:t>
      </w:r>
      <w:r w:rsidR="00142A2B" w:rsidRPr="00B37C27">
        <w:rPr>
          <w:lang w:val="fr-CA"/>
        </w:rPr>
        <w:t>2)</w:t>
      </w:r>
      <w:r w:rsidR="00142A2B" w:rsidRPr="00B37C27">
        <w:rPr>
          <w:lang w:val="fr-CA"/>
        </w:rPr>
        <w:tab/>
        <w:t xml:space="preserve">De façon générale, il est possible de dégager les incidences particulières de l’application du principe général à des cas précis en s’appuyant sur l’ensemble de la doctrine qui a été élaborée et qui donne effet aux aspects de ce principe dans des types particuliers de situations et de relations. </w:t>
      </w:r>
    </w:p>
    <w:p w:rsidR="00142A2B" w:rsidRPr="00B37C27" w:rsidRDefault="00910A0E" w:rsidP="00910A0E">
      <w:pPr>
        <w:pStyle w:val="Citation-AltC"/>
        <w:tabs>
          <w:tab w:val="left" w:pos="720"/>
          <w:tab w:val="left" w:pos="1680"/>
        </w:tabs>
        <w:spacing w:before="480" w:after="480" w:line="480" w:lineRule="auto"/>
        <w:ind w:left="0"/>
        <w:contextualSpacing w:val="0"/>
        <w:rPr>
          <w:lang w:val="fr-CA"/>
        </w:rPr>
      </w:pPr>
      <w:r>
        <w:rPr>
          <w:lang w:val="fr-CA"/>
        </w:rPr>
        <w:t>(</w:t>
      </w:r>
      <w:r w:rsidR="00142A2B" w:rsidRPr="00B37C27">
        <w:rPr>
          <w:lang w:val="fr-CA"/>
        </w:rPr>
        <w:t>3)</w:t>
      </w:r>
      <w:r w:rsidR="00142A2B" w:rsidRPr="00B37C27">
        <w:rPr>
          <w:lang w:val="fr-CA"/>
        </w:rPr>
        <w:tab/>
        <w:t xml:space="preserve">Il convient de reconnaître une nouvelle obligation en </w:t>
      </w:r>
      <w:proofErr w:type="spellStart"/>
      <w:r w:rsidR="00142A2B" w:rsidRPr="00B37C27">
        <w:rPr>
          <w:lang w:val="fr-CA"/>
        </w:rPr>
        <w:t>common</w:t>
      </w:r>
      <w:proofErr w:type="spellEnd"/>
      <w:r w:rsidR="00142A2B" w:rsidRPr="00B37C27">
        <w:rPr>
          <w:lang w:val="fr-CA"/>
        </w:rPr>
        <w:t xml:space="preserve"> </w:t>
      </w:r>
      <w:proofErr w:type="spellStart"/>
      <w:r w:rsidR="00142A2B" w:rsidRPr="00B37C27">
        <w:rPr>
          <w:lang w:val="fr-CA"/>
        </w:rPr>
        <w:t>law</w:t>
      </w:r>
      <w:proofErr w:type="spellEnd"/>
      <w:r w:rsidR="00142A2B" w:rsidRPr="00B37C27">
        <w:rPr>
          <w:lang w:val="fr-CA"/>
        </w:rPr>
        <w:t xml:space="preserve"> qui s’applique à tous les contrats en tant que manifestation du principe directeur général de bonne foi</w:t>
      </w:r>
      <w:r w:rsidR="00894691">
        <w:rPr>
          <w:lang w:val="fr-CA"/>
        </w:rPr>
        <w:t> :</w:t>
      </w:r>
      <w:r w:rsidR="00142A2B" w:rsidRPr="00B37C27">
        <w:rPr>
          <w:lang w:val="fr-CA"/>
        </w:rPr>
        <w:t xml:space="preserve"> une obligation d’exécution honnête qui oblige les parties à faire preuve d’honnêteté l’une envers l’autre dans le cadre de l’exécution de leurs obligations contractuelles. </w:t>
      </w:r>
    </w:p>
    <w:p w:rsidR="00142A2B" w:rsidRPr="00B37C27" w:rsidRDefault="00142A2B" w:rsidP="00910A0E">
      <w:pPr>
        <w:pStyle w:val="Title3LevelTitre3Niveau"/>
        <w:tabs>
          <w:tab w:val="clear" w:pos="864"/>
          <w:tab w:val="num" w:pos="900"/>
        </w:tabs>
        <w:ind w:left="900"/>
        <w:rPr>
          <w:rFonts w:cs="Times New Roman"/>
          <w:lang w:val="fr-CA"/>
        </w:rPr>
      </w:pPr>
      <w:r w:rsidRPr="00B37C27">
        <w:rPr>
          <w:rFonts w:cs="Times New Roman"/>
          <w:lang w:val="fr-CA"/>
        </w:rPr>
        <w:t xml:space="preserve">Application </w:t>
      </w:r>
    </w:p>
    <w:p w:rsidR="00142A2B" w:rsidRPr="00B37C27" w:rsidRDefault="00142A2B" w:rsidP="00894691">
      <w:pPr>
        <w:pStyle w:val="ParaNoNdepar-AltN"/>
        <w:rPr>
          <w:rFonts w:cs="Times New Roman"/>
          <w:lang w:val="fr-CA"/>
        </w:rPr>
      </w:pPr>
      <w:r w:rsidRPr="00B37C27">
        <w:rPr>
          <w:rFonts w:cs="Times New Roman"/>
          <w:lang w:val="fr-CA"/>
        </w:rPr>
        <w:t>La juge de première instance a tiré une conclusion de fait claire selon laquelle Can</w:t>
      </w:r>
      <w:r w:rsidR="00894691">
        <w:rPr>
          <w:rFonts w:cs="Times New Roman"/>
          <w:lang w:val="fr-CA"/>
        </w:rPr>
        <w:t>-</w:t>
      </w:r>
      <w:r w:rsidRPr="00B37C27">
        <w:rPr>
          <w:rFonts w:cs="Times New Roman"/>
          <w:lang w:val="fr-CA"/>
        </w:rPr>
        <w:t>Am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a agi malhonnêtement envers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en recourant à la clause de non</w:t>
      </w:r>
      <w:r w:rsidR="00894691">
        <w:rPr>
          <w:rFonts w:cs="Times New Roman"/>
          <w:lang w:val="fr-CA"/>
        </w:rPr>
        <w:t>-</w:t>
      </w:r>
      <w:r w:rsidRPr="00B37C27">
        <w:rPr>
          <w:rFonts w:cs="Times New Roman"/>
          <w:lang w:val="fr-CA"/>
        </w:rPr>
        <w:t>renouvellement</w:t>
      </w:r>
      <w:r w:rsidR="00894691">
        <w:rPr>
          <w:rFonts w:cs="Times New Roman"/>
          <w:lang w:val="fr-CA"/>
        </w:rPr>
        <w:t> » :</w:t>
      </w:r>
      <w:r w:rsidRPr="00B37C27">
        <w:rPr>
          <w:rFonts w:cs="Times New Roman"/>
          <w:lang w:val="fr-CA"/>
        </w:rPr>
        <w:t xml:space="preserve"> par.</w:t>
      </w:r>
      <w:r w:rsidR="00894691">
        <w:rPr>
          <w:rFonts w:cs="Times New Roman"/>
          <w:lang w:val="fr-CA"/>
        </w:rPr>
        <w:t xml:space="preserve"> </w:t>
      </w:r>
      <w:r w:rsidRPr="00B37C27">
        <w:rPr>
          <w:rFonts w:cs="Times New Roman"/>
          <w:lang w:val="fr-CA"/>
        </w:rPr>
        <w:t>261; voir également par.</w:t>
      </w:r>
      <w:r w:rsidR="00894691">
        <w:rPr>
          <w:rFonts w:cs="Times New Roman"/>
          <w:lang w:val="fr-CA"/>
        </w:rPr>
        <w:t xml:space="preserve"> </w:t>
      </w:r>
      <w:r w:rsidRPr="00B37C27">
        <w:rPr>
          <w:rFonts w:cs="Times New Roman"/>
          <w:lang w:val="fr-CA"/>
        </w:rPr>
        <w:t>271.  Aucune raison ne permet de modifier cette conclusion en appel.  Il s’ensuit que Can</w:t>
      </w:r>
      <w:r w:rsidR="00894691">
        <w:rPr>
          <w:rFonts w:cs="Times New Roman"/>
          <w:lang w:val="fr-CA"/>
        </w:rPr>
        <w:t>-</w:t>
      </w:r>
      <w:r w:rsidRPr="00B37C27">
        <w:rPr>
          <w:rFonts w:cs="Times New Roman"/>
          <w:lang w:val="fr-CA"/>
        </w:rPr>
        <w:t xml:space="preserve">Am a violé son obligation d’exécution honnête du contrat. </w:t>
      </w:r>
    </w:p>
    <w:p w:rsidR="00142A2B" w:rsidRPr="00B37C27" w:rsidRDefault="00142A2B" w:rsidP="00894691">
      <w:pPr>
        <w:pStyle w:val="ParaNoNdepar-AltN"/>
        <w:rPr>
          <w:rFonts w:cs="Times New Roman"/>
          <w:lang w:val="fr-CA"/>
        </w:rPr>
      </w:pPr>
      <w:r w:rsidRPr="00B37C27">
        <w:rPr>
          <w:rFonts w:cs="Times New Roman"/>
          <w:lang w:val="fr-CA"/>
        </w:rPr>
        <w:t>Le litige en l’espèce reposait principalement sur la clause de non</w:t>
      </w:r>
      <w:r w:rsidR="00894691">
        <w:rPr>
          <w:rFonts w:cs="Times New Roman"/>
          <w:lang w:val="fr-CA"/>
        </w:rPr>
        <w:t>-</w:t>
      </w:r>
      <w:r w:rsidRPr="00B37C27">
        <w:rPr>
          <w:rFonts w:cs="Times New Roman"/>
          <w:lang w:val="fr-CA"/>
        </w:rPr>
        <w:t>renouvellement énoncée à la clause</w:t>
      </w:r>
      <w:r w:rsidR="00894691">
        <w:rPr>
          <w:rFonts w:cs="Times New Roman"/>
          <w:lang w:val="fr-CA"/>
        </w:rPr>
        <w:t xml:space="preserve"> </w:t>
      </w:r>
      <w:r w:rsidRPr="00B37C27">
        <w:rPr>
          <w:rFonts w:cs="Times New Roman"/>
          <w:lang w:val="fr-CA"/>
        </w:rPr>
        <w:t>3.3 du contrat de 1998 signé par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en novembre</w:t>
      </w:r>
      <w:r w:rsidR="00894691">
        <w:rPr>
          <w:rFonts w:cs="Times New Roman"/>
          <w:lang w:val="fr-CA"/>
        </w:rPr>
        <w:t xml:space="preserve"> </w:t>
      </w:r>
      <w:r w:rsidRPr="00B37C27">
        <w:rPr>
          <w:rFonts w:cs="Times New Roman"/>
          <w:lang w:val="fr-CA"/>
        </w:rPr>
        <w:t>1998.  Il y était prévu que la durée du contrat était de trois</w:t>
      </w:r>
      <w:r w:rsidR="00894691">
        <w:rPr>
          <w:rFonts w:cs="Times New Roman"/>
          <w:lang w:val="fr-CA"/>
        </w:rPr>
        <w:t xml:space="preserve"> </w:t>
      </w:r>
      <w:r w:rsidRPr="00B37C27">
        <w:rPr>
          <w:rFonts w:cs="Times New Roman"/>
          <w:lang w:val="fr-CA"/>
        </w:rPr>
        <w:t xml:space="preserve">ans et qu’il serait automatiquement renouvelé, à moins qu’une des parties ne donne à l’autre un </w:t>
      </w:r>
      <w:r w:rsidRPr="00B37C27">
        <w:rPr>
          <w:rFonts w:cs="Times New Roman"/>
          <w:lang w:val="fr-CA"/>
        </w:rPr>
        <w:lastRenderedPageBreak/>
        <w:t>avis de non</w:t>
      </w:r>
      <w:r w:rsidR="00894691">
        <w:rPr>
          <w:rFonts w:cs="Times New Roman"/>
          <w:lang w:val="fr-CA"/>
        </w:rPr>
        <w:t>-</w:t>
      </w:r>
      <w:r w:rsidRPr="00B37C27">
        <w:rPr>
          <w:rFonts w:cs="Times New Roman"/>
          <w:lang w:val="fr-CA"/>
        </w:rPr>
        <w:t>renouvellement au moins six</w:t>
      </w:r>
      <w:r w:rsidR="00894691">
        <w:rPr>
          <w:rFonts w:cs="Times New Roman"/>
          <w:lang w:val="fr-CA"/>
        </w:rPr>
        <w:t xml:space="preserve"> </w:t>
      </w:r>
      <w:r w:rsidRPr="00B37C27">
        <w:rPr>
          <w:rFonts w:cs="Times New Roman"/>
          <w:lang w:val="fr-CA"/>
        </w:rPr>
        <w:t>mois avant la fin de la durée initiale du contrat ou de la durée de son renouvellement</w:t>
      </w:r>
      <w:r w:rsidR="00894691">
        <w:rPr>
          <w:rFonts w:cs="Times New Roman"/>
          <w:lang w:val="fr-CA"/>
        </w:rPr>
        <w:t> :</w:t>
      </w:r>
      <w:r w:rsidRPr="00B37C27">
        <w:rPr>
          <w:rFonts w:cs="Times New Roman"/>
          <w:lang w:val="fr-CA"/>
        </w:rPr>
        <w:t xml:space="preserve"> </w:t>
      </w:r>
    </w:p>
    <w:p w:rsidR="00142A2B" w:rsidRPr="00B37C27" w:rsidRDefault="00142A2B" w:rsidP="00894691">
      <w:pPr>
        <w:pStyle w:val="Citation-AltC"/>
        <w:contextualSpacing w:val="0"/>
        <w:rPr>
          <w:lang w:val="fr-CA"/>
        </w:rPr>
      </w:pPr>
      <w:r w:rsidRPr="00B37C27">
        <w:rPr>
          <w:lang w:val="fr-CA"/>
        </w:rPr>
        <w:tab/>
        <w:t>[</w:t>
      </w:r>
      <w:r w:rsidRPr="00B37C27">
        <w:rPr>
          <w:smallCaps/>
          <w:lang w:val="fr-CA"/>
        </w:rPr>
        <w:t>traduction</w:t>
      </w:r>
      <w:r w:rsidRPr="00B37C27">
        <w:rPr>
          <w:lang w:val="fr-CA"/>
        </w:rPr>
        <w:t>]  3.3 La durée du présent contrat est de trois</w:t>
      </w:r>
      <w:r w:rsidR="00894691">
        <w:rPr>
          <w:lang w:val="fr-CA"/>
        </w:rPr>
        <w:t xml:space="preserve"> </w:t>
      </w:r>
      <w:r w:rsidRPr="00B37C27">
        <w:rPr>
          <w:lang w:val="fr-CA"/>
        </w:rPr>
        <w:t xml:space="preserve">ans à compter de la date des présentes (la </w:t>
      </w:r>
      <w:r w:rsidR="00894691">
        <w:rPr>
          <w:lang w:val="fr-CA"/>
        </w:rPr>
        <w:t>« </w:t>
      </w:r>
      <w:r w:rsidRPr="00B37C27">
        <w:rPr>
          <w:lang w:val="fr-CA"/>
        </w:rPr>
        <w:t>durée initiale</w:t>
      </w:r>
      <w:r w:rsidR="00894691">
        <w:rPr>
          <w:lang w:val="fr-CA"/>
        </w:rPr>
        <w:t> »</w:t>
      </w:r>
      <w:r w:rsidRPr="00B37C27">
        <w:rPr>
          <w:lang w:val="fr-CA"/>
        </w:rPr>
        <w:t>) et il sera par la suite automatiquement renouvelé pour des périodes successives de trois</w:t>
      </w:r>
      <w:r w:rsidR="00894691">
        <w:rPr>
          <w:lang w:val="fr-CA"/>
        </w:rPr>
        <w:t xml:space="preserve"> </w:t>
      </w:r>
      <w:r w:rsidRPr="00B37C27">
        <w:rPr>
          <w:lang w:val="fr-CA"/>
        </w:rPr>
        <w:t>ans (</w:t>
      </w:r>
      <w:r w:rsidR="00910A0E">
        <w:rPr>
          <w:lang w:val="fr-CA"/>
        </w:rPr>
        <w:t xml:space="preserve">la </w:t>
      </w:r>
      <w:r w:rsidR="00894691">
        <w:rPr>
          <w:lang w:val="fr-CA"/>
        </w:rPr>
        <w:t>« </w:t>
      </w:r>
      <w:r w:rsidRPr="00B37C27">
        <w:rPr>
          <w:lang w:val="fr-CA"/>
        </w:rPr>
        <w:t>durée du renouvellement</w:t>
      </w:r>
      <w:r w:rsidR="00894691">
        <w:rPr>
          <w:lang w:val="fr-CA"/>
        </w:rPr>
        <w:t> »</w:t>
      </w:r>
      <w:r w:rsidRPr="00B37C27">
        <w:rPr>
          <w:lang w:val="fr-CA"/>
        </w:rPr>
        <w:t>), sous réserve de la possibilité d’y mettre fin plus tôt conformément à l’article</w:t>
      </w:r>
      <w:r w:rsidR="00894691">
        <w:rPr>
          <w:lang w:val="fr-CA"/>
        </w:rPr>
        <w:t xml:space="preserve"> </w:t>
      </w:r>
      <w:r w:rsidRPr="00B37C27">
        <w:rPr>
          <w:lang w:val="fr-CA"/>
        </w:rPr>
        <w:t>8 des présentes, sauf si [Can</w:t>
      </w:r>
      <w:r w:rsidR="00894691">
        <w:rPr>
          <w:lang w:val="fr-CA"/>
        </w:rPr>
        <w:t>-</w:t>
      </w:r>
      <w:r w:rsidRPr="00B37C27">
        <w:rPr>
          <w:lang w:val="fr-CA"/>
        </w:rPr>
        <w:t>Am] ou le directeur des souscriptions avise l’autre partie par écrit, au moins six</w:t>
      </w:r>
      <w:r w:rsidR="00894691">
        <w:rPr>
          <w:lang w:val="fr-CA"/>
        </w:rPr>
        <w:t xml:space="preserve"> </w:t>
      </w:r>
      <w:r w:rsidRPr="00B37C27">
        <w:rPr>
          <w:lang w:val="fr-CA"/>
        </w:rPr>
        <w:t>mois avant l’expiration de la durée initiale ou de la durée du renouvellement, qu’</w:t>
      </w:r>
      <w:r w:rsidR="00247768">
        <w:rPr>
          <w:lang w:val="fr-CA"/>
        </w:rPr>
        <w:t xml:space="preserve">il </w:t>
      </w:r>
      <w:r w:rsidRPr="00B37C27">
        <w:rPr>
          <w:lang w:val="fr-CA"/>
        </w:rPr>
        <w:t xml:space="preserve">veut mettre fin au contrat, auquel cas le contrat expirera à la fin de la durée initiale ou de la durée du renouvellement, selon le cas. </w:t>
      </w:r>
    </w:p>
    <w:p w:rsidR="00142A2B" w:rsidRPr="00B37C27" w:rsidRDefault="00142A2B" w:rsidP="00894691">
      <w:pPr>
        <w:pStyle w:val="ParaNoNdepar-AltN"/>
        <w:rPr>
          <w:rFonts w:cs="Times New Roman"/>
          <w:lang w:val="fr-CA"/>
        </w:rPr>
      </w:pPr>
      <w:r w:rsidRPr="00B37C27">
        <w:rPr>
          <w:rFonts w:cs="Times New Roman"/>
          <w:lang w:val="fr-CA"/>
        </w:rPr>
        <w:t xml:space="preserve">Le fondement factuel sur lequel la juge a conclu à une exécution malhonnête est complexe et je ne l’exposerai qu’en termes très généraux de façon à situer cette conclusion dans son contexte.  Nous sommes en présence de deux scénarios intimement liés. </w:t>
      </w:r>
    </w:p>
    <w:p w:rsidR="00142A2B" w:rsidRPr="00B37C27" w:rsidRDefault="00142A2B" w:rsidP="00894691">
      <w:pPr>
        <w:pStyle w:val="ParaNoNdepar-AltN"/>
        <w:rPr>
          <w:rFonts w:cs="Times New Roman"/>
          <w:lang w:val="fr-CA"/>
        </w:rPr>
      </w:pPr>
      <w:r w:rsidRPr="00B37C27">
        <w:rPr>
          <w:rFonts w:cs="Times New Roman"/>
          <w:lang w:val="fr-CA"/>
        </w:rPr>
        <w:t>Le premier a trait aux tentatives répétées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de prendre le contrôle du marché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au moyen d’une fusion; il visait en fait à prendre le contrôle de l’agence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Le deuxième concerne les difficultés qu’a eues Can</w:t>
      </w:r>
      <w:r w:rsidR="00894691">
        <w:rPr>
          <w:rFonts w:cs="Times New Roman"/>
          <w:lang w:val="fr-CA"/>
        </w:rPr>
        <w:t>-</w:t>
      </w:r>
      <w:r w:rsidRPr="00B37C27">
        <w:rPr>
          <w:rFonts w:cs="Times New Roman"/>
          <w:lang w:val="fr-CA"/>
        </w:rPr>
        <w:t>Am, à compter du début d’avril</w:t>
      </w:r>
      <w:r w:rsidR="00894691">
        <w:rPr>
          <w:rFonts w:cs="Times New Roman"/>
          <w:lang w:val="fr-CA"/>
        </w:rPr>
        <w:t xml:space="preserve"> </w:t>
      </w:r>
      <w:r w:rsidRPr="00B37C27">
        <w:rPr>
          <w:rFonts w:cs="Times New Roman"/>
          <w:lang w:val="fr-CA"/>
        </w:rPr>
        <w:t>1999, avec la Commission des valeurs mobilières de l’Alberta, laquelle régissait son entreprise ainsi que ses directeurs des souscriptions dans cette province.  La Commission a insisté pour que Can</w:t>
      </w:r>
      <w:r w:rsidR="00894691">
        <w:rPr>
          <w:rFonts w:cs="Times New Roman"/>
          <w:lang w:val="fr-CA"/>
        </w:rPr>
        <w:t>-</w:t>
      </w:r>
      <w:r w:rsidRPr="00B37C27">
        <w:rPr>
          <w:rFonts w:cs="Times New Roman"/>
          <w:lang w:val="fr-CA"/>
        </w:rPr>
        <w:t>Am nomme un employé à temps plein au poste d’ACP chargé de veiller au respect des dispositions législatives de l’Alberta en matière de valeurs mobilières.  Can</w:t>
      </w:r>
      <w:r w:rsidR="00894691">
        <w:rPr>
          <w:rFonts w:cs="Times New Roman"/>
          <w:lang w:val="fr-CA"/>
        </w:rPr>
        <w:t>-</w:t>
      </w:r>
      <w:r w:rsidRPr="00B37C27">
        <w:rPr>
          <w:rFonts w:cs="Times New Roman"/>
          <w:lang w:val="fr-CA"/>
        </w:rPr>
        <w:t>Am a finalement désigné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et l’a chargé d’effectuer la vérification des agences de ses concurrents, notamment celle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il aurait donc accès à leurs </w:t>
      </w:r>
      <w:r w:rsidRPr="00B37C27">
        <w:rPr>
          <w:rFonts w:cs="Times New Roman"/>
          <w:lang w:val="fr-CA"/>
        </w:rPr>
        <w:lastRenderedPageBreak/>
        <w:t>renseignements commerciaux de nature confidentielle.  Le refus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de donner à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accès à ces renseignements a mené à la confrontation ultime avec Can</w:t>
      </w:r>
      <w:r w:rsidR="00894691">
        <w:rPr>
          <w:rFonts w:cs="Times New Roman"/>
          <w:lang w:val="fr-CA"/>
        </w:rPr>
        <w:t>-</w:t>
      </w:r>
      <w:r w:rsidRPr="00B37C27">
        <w:rPr>
          <w:rFonts w:cs="Times New Roman"/>
          <w:lang w:val="fr-CA"/>
        </w:rPr>
        <w:t>Am et à l’avis de non</w:t>
      </w:r>
      <w:r w:rsidR="00894691">
        <w:rPr>
          <w:rFonts w:cs="Times New Roman"/>
          <w:lang w:val="fr-CA"/>
        </w:rPr>
        <w:t>-</w:t>
      </w:r>
      <w:r w:rsidRPr="00B37C27">
        <w:rPr>
          <w:rFonts w:cs="Times New Roman"/>
          <w:lang w:val="fr-CA"/>
        </w:rPr>
        <w:t>renouvellement qu’elle a donné à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en mai</w:t>
      </w:r>
      <w:r w:rsidR="00894691">
        <w:rPr>
          <w:rFonts w:cs="Times New Roman"/>
          <w:lang w:val="fr-CA"/>
        </w:rPr>
        <w:t xml:space="preserve"> </w:t>
      </w:r>
      <w:r w:rsidRPr="00B37C27">
        <w:rPr>
          <w:rFonts w:cs="Times New Roman"/>
          <w:lang w:val="fr-CA"/>
        </w:rPr>
        <w:t>2001.  Can</w:t>
      </w:r>
      <w:r w:rsidR="00894691">
        <w:rPr>
          <w:rFonts w:cs="Times New Roman"/>
          <w:lang w:val="fr-CA"/>
        </w:rPr>
        <w:t>-</w:t>
      </w:r>
      <w:r w:rsidRPr="00B37C27">
        <w:rPr>
          <w:rFonts w:cs="Times New Roman"/>
          <w:lang w:val="fr-CA"/>
        </w:rPr>
        <w:t>Am, quant à elle, voulait forcer la fusion de l’agence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à celle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ce qui dans les faits équivalait à donner à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l’entreprise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C’est dans ce contexte que la juge de première instance a conclu à la malhonnêteté de la part de Can</w:t>
      </w:r>
      <w:r w:rsidR="00894691">
        <w:rPr>
          <w:rFonts w:cs="Times New Roman"/>
          <w:lang w:val="fr-CA"/>
        </w:rPr>
        <w:t>-</w:t>
      </w:r>
      <w:r w:rsidRPr="00B37C27">
        <w:rPr>
          <w:rFonts w:cs="Times New Roman"/>
          <w:lang w:val="fr-CA"/>
        </w:rPr>
        <w:t>Am.</w:t>
      </w:r>
    </w:p>
    <w:p w:rsidR="00142A2B" w:rsidRPr="00B37C27" w:rsidRDefault="00142A2B" w:rsidP="00894691">
      <w:pPr>
        <w:pStyle w:val="ParaNoNdepar-AltN"/>
        <w:rPr>
          <w:rFonts w:cs="Times New Roman"/>
          <w:lang w:val="fr-CA"/>
        </w:rPr>
      </w:pPr>
      <w:r w:rsidRPr="00B37C27">
        <w:rPr>
          <w:rFonts w:cs="Times New Roman"/>
          <w:lang w:val="fr-CA"/>
        </w:rPr>
        <w:t>La juge de première instance a conclu que Can</w:t>
      </w:r>
      <w:r w:rsidR="00894691">
        <w:rPr>
          <w:rFonts w:cs="Times New Roman"/>
          <w:lang w:val="fr-CA"/>
        </w:rPr>
        <w:t>-</w:t>
      </w:r>
      <w:r w:rsidRPr="00B37C27">
        <w:rPr>
          <w:rFonts w:cs="Times New Roman"/>
          <w:lang w:val="fr-CA"/>
        </w:rPr>
        <w:t>Am avait agi malhonnêtement envers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pendant la période précédant le recours à la clause de non</w:t>
      </w:r>
      <w:r w:rsidR="00894691">
        <w:rPr>
          <w:rFonts w:cs="Times New Roman"/>
          <w:lang w:val="fr-CA"/>
        </w:rPr>
        <w:t>-</w:t>
      </w:r>
      <w:r w:rsidRPr="00B37C27">
        <w:rPr>
          <w:rFonts w:cs="Times New Roman"/>
          <w:lang w:val="fr-CA"/>
        </w:rPr>
        <w:t>renouvellement, en raison de ses propres intentions et du rôle joué par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en sa qualité d’ACP.  Les motifs détaillés de la juge étayent amplement cette conclusion générale. </w:t>
      </w:r>
    </w:p>
    <w:p w:rsidR="00142A2B" w:rsidRPr="00B37C27" w:rsidRDefault="00142A2B" w:rsidP="00894691">
      <w:pPr>
        <w:pStyle w:val="ParaNoNdepar-AltN"/>
        <w:rPr>
          <w:rFonts w:cs="Times New Roman"/>
          <w:lang w:val="fr-CA"/>
        </w:rPr>
      </w:pPr>
      <w:r w:rsidRPr="00B37C27">
        <w:rPr>
          <w:rFonts w:cs="Times New Roman"/>
          <w:lang w:val="fr-CA"/>
        </w:rPr>
        <w:t>Au début de l’année</w:t>
      </w:r>
      <w:r w:rsidR="00894691">
        <w:rPr>
          <w:rFonts w:cs="Times New Roman"/>
          <w:lang w:val="fr-CA"/>
        </w:rPr>
        <w:t xml:space="preserve"> </w:t>
      </w:r>
      <w:r w:rsidRPr="00B37C27">
        <w:rPr>
          <w:rFonts w:cs="Times New Roman"/>
          <w:lang w:val="fr-CA"/>
        </w:rPr>
        <w:t>2000, Can</w:t>
      </w:r>
      <w:r w:rsidR="00894691">
        <w:rPr>
          <w:rFonts w:cs="Times New Roman"/>
          <w:lang w:val="fr-CA"/>
        </w:rPr>
        <w:t>-</w:t>
      </w:r>
      <w:r w:rsidRPr="00B37C27">
        <w:rPr>
          <w:rFonts w:cs="Times New Roman"/>
          <w:lang w:val="fr-CA"/>
        </w:rPr>
        <w:t>Am envisageait une importante réorganisation de ses activités en Alberta; au mois de juin de la même année, elle a transmis à la Commission un organigramme indiquant que l’agence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devait être fusionnée à celle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Mais elle n’en avait rien dit </w:t>
      </w:r>
      <w:r w:rsidR="002267C1">
        <w:rPr>
          <w:rFonts w:cs="Times New Roman"/>
          <w:lang w:val="fr-CA"/>
        </w:rPr>
        <w:t>à</w:t>
      </w:r>
      <w:r w:rsidRPr="00B37C27">
        <w:rPr>
          <w:rFonts w:cs="Times New Roman"/>
          <w:lang w:val="fr-CA"/>
        </w:rPr>
        <w:t xml:space="preserve"> M.</w:t>
      </w:r>
      <w:r w:rsidR="00894691">
        <w:rPr>
          <w:rFonts w:cs="Times New Roman"/>
          <w:lang w:val="fr-CA"/>
        </w:rPr>
        <w:t xml:space="preserve"> </w:t>
      </w:r>
      <w:proofErr w:type="spellStart"/>
      <w:r w:rsidRPr="00B37C27">
        <w:rPr>
          <w:rFonts w:cs="Times New Roman"/>
          <w:lang w:val="fr-CA"/>
        </w:rPr>
        <w:t>Bhasin</w:t>
      </w:r>
      <w:proofErr w:type="spellEnd"/>
      <w:r w:rsidR="00894691">
        <w:rPr>
          <w:rFonts w:cs="Times New Roman"/>
          <w:lang w:val="fr-CA"/>
        </w:rPr>
        <w:t> :</w:t>
      </w:r>
      <w:r w:rsidRPr="00B37C27">
        <w:rPr>
          <w:rFonts w:cs="Times New Roman"/>
          <w:lang w:val="fr-CA"/>
        </w:rPr>
        <w:t xml:space="preserve"> motifs de première instance, par.</w:t>
      </w:r>
      <w:r w:rsidR="00894691">
        <w:rPr>
          <w:rFonts w:cs="Times New Roman"/>
          <w:lang w:val="fr-CA"/>
        </w:rPr>
        <w:t xml:space="preserve"> </w:t>
      </w:r>
      <w:r w:rsidRPr="00B37C27">
        <w:rPr>
          <w:rFonts w:cs="Times New Roman"/>
          <w:lang w:val="fr-CA"/>
        </w:rPr>
        <w:t>167</w:t>
      </w:r>
      <w:r w:rsidR="00894691">
        <w:rPr>
          <w:rFonts w:cs="Times New Roman"/>
          <w:lang w:val="fr-CA"/>
        </w:rPr>
        <w:t>-</w:t>
      </w:r>
      <w:r w:rsidRPr="00B37C27">
        <w:rPr>
          <w:rFonts w:cs="Times New Roman"/>
          <w:lang w:val="fr-CA"/>
        </w:rPr>
        <w:t>168.  La juge de première instance a conclu que les déclarations faites par Can</w:t>
      </w:r>
      <w:r w:rsidR="00894691">
        <w:rPr>
          <w:rFonts w:cs="Times New Roman"/>
          <w:lang w:val="fr-CA"/>
        </w:rPr>
        <w:t>-</w:t>
      </w:r>
      <w:r w:rsidRPr="00B37C27">
        <w:rPr>
          <w:rFonts w:cs="Times New Roman"/>
          <w:lang w:val="fr-CA"/>
        </w:rPr>
        <w:t>Am à la Commission étaient clairement fausses si, comme elle l’a conclu, ces déclarations devaient concerner M.</w:t>
      </w:r>
      <w:r w:rsidR="00894691">
        <w:rPr>
          <w:rFonts w:cs="Times New Roman"/>
          <w:lang w:val="fr-CA"/>
        </w:rPr>
        <w:t xml:space="preserve"> </w:t>
      </w:r>
      <w:proofErr w:type="spellStart"/>
      <w:r w:rsidRPr="00B37C27">
        <w:rPr>
          <w:rFonts w:cs="Times New Roman"/>
          <w:lang w:val="fr-CA"/>
        </w:rPr>
        <w:t>Bhasin</w:t>
      </w:r>
      <w:proofErr w:type="spellEnd"/>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246.  La juge de première instance a également conclu que Can</w:t>
      </w:r>
      <w:r w:rsidR="00894691">
        <w:rPr>
          <w:rFonts w:cs="Times New Roman"/>
          <w:lang w:val="fr-CA"/>
        </w:rPr>
        <w:t>-</w:t>
      </w:r>
      <w:r w:rsidRPr="00B37C27">
        <w:rPr>
          <w:rFonts w:cs="Times New Roman"/>
          <w:lang w:val="fr-CA"/>
        </w:rPr>
        <w:t>Am craignait, dès le mois de juin</w:t>
      </w:r>
      <w:r w:rsidR="00894691">
        <w:rPr>
          <w:rFonts w:cs="Times New Roman"/>
          <w:lang w:val="fr-CA"/>
        </w:rPr>
        <w:t xml:space="preserve"> </w:t>
      </w:r>
      <w:r w:rsidRPr="00B37C27">
        <w:rPr>
          <w:rFonts w:cs="Times New Roman"/>
          <w:lang w:val="fr-CA"/>
        </w:rPr>
        <w:t>2000, que la Commission ne lui retire son permis en Alberta et que Can</w:t>
      </w:r>
      <w:r w:rsidR="00894691">
        <w:rPr>
          <w:rFonts w:cs="Times New Roman"/>
          <w:lang w:val="fr-CA"/>
        </w:rPr>
        <w:t>-</w:t>
      </w:r>
      <w:r w:rsidRPr="00B37C27">
        <w:rPr>
          <w:rFonts w:cs="Times New Roman"/>
          <w:lang w:val="fr-CA"/>
        </w:rPr>
        <w:t xml:space="preserve">Am était donc disposée à faire tout ce qui était en son pouvoir pour écarter </w:t>
      </w:r>
      <w:r w:rsidRPr="00B37C27">
        <w:rPr>
          <w:rFonts w:cs="Times New Roman"/>
          <w:lang w:val="fr-CA"/>
        </w:rPr>
        <w:lastRenderedPageBreak/>
        <w:t>cette possibilité.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Elle n’a cependant pas été franche avec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parce qu’elle ne lui a pas fait part de la réalité de la situation, tel</w:t>
      </w:r>
      <w:r w:rsidR="00910A0E">
        <w:rPr>
          <w:rFonts w:cs="Times New Roman"/>
          <w:lang w:val="fr-CA"/>
        </w:rPr>
        <w:t>le</w:t>
      </w:r>
      <w:r w:rsidRPr="00B37C27">
        <w:rPr>
          <w:rFonts w:cs="Times New Roman"/>
          <w:lang w:val="fr-CA"/>
        </w:rPr>
        <w:t xml:space="preserve"> qu’elle la percevait</w:t>
      </w:r>
      <w:r w:rsidR="00894691">
        <w:rPr>
          <w:rFonts w:cs="Times New Roman"/>
          <w:lang w:val="fr-CA"/>
        </w:rPr>
        <w:t> » :</w:t>
      </w:r>
      <w:r w:rsidRPr="00B37C27">
        <w:rPr>
          <w:rFonts w:cs="Times New Roman"/>
          <w:lang w:val="fr-CA"/>
        </w:rPr>
        <w:t xml:space="preserve"> par.</w:t>
      </w:r>
      <w:r w:rsidR="00894691">
        <w:rPr>
          <w:rFonts w:cs="Times New Roman"/>
          <w:lang w:val="fr-CA"/>
        </w:rPr>
        <w:t xml:space="preserve"> </w:t>
      </w:r>
      <w:r w:rsidRPr="00B37C27">
        <w:rPr>
          <w:rFonts w:cs="Times New Roman"/>
          <w:lang w:val="fr-CA"/>
        </w:rPr>
        <w:t>246.</w:t>
      </w:r>
    </w:p>
    <w:p w:rsidR="00142A2B" w:rsidRPr="00B37C27" w:rsidRDefault="00142A2B" w:rsidP="00894691">
      <w:pPr>
        <w:pStyle w:val="ParaNoNdepar-AltN"/>
        <w:rPr>
          <w:rFonts w:cs="Times New Roman"/>
          <w:lang w:val="fr-CA"/>
        </w:rPr>
      </w:pPr>
      <w:r w:rsidRPr="00B37C27">
        <w:rPr>
          <w:rFonts w:cs="Times New Roman"/>
          <w:lang w:val="fr-CA"/>
        </w:rPr>
        <w:t>C’est au mois d’août</w:t>
      </w:r>
      <w:r w:rsidR="00894691">
        <w:rPr>
          <w:rFonts w:cs="Times New Roman"/>
          <w:lang w:val="fr-CA"/>
        </w:rPr>
        <w:t xml:space="preserve"> </w:t>
      </w:r>
      <w:r w:rsidRPr="00B37C27">
        <w:rPr>
          <w:rFonts w:cs="Times New Roman"/>
          <w:lang w:val="fr-CA"/>
        </w:rPr>
        <w:t>2000 que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a pour la première fois entendu parler des plans de fusion de Can</w:t>
      </w:r>
      <w:r w:rsidR="00894691">
        <w:rPr>
          <w:rFonts w:cs="Times New Roman"/>
          <w:lang w:val="fr-CA"/>
        </w:rPr>
        <w:t>-</w:t>
      </w:r>
      <w:r w:rsidRPr="00B37C27">
        <w:rPr>
          <w:rFonts w:cs="Times New Roman"/>
          <w:lang w:val="fr-CA"/>
        </w:rPr>
        <w:t>Am le concernant lors d’une réunion avec le vice</w:t>
      </w:r>
      <w:r w:rsidR="00894691">
        <w:rPr>
          <w:rFonts w:cs="Times New Roman"/>
          <w:lang w:val="fr-CA"/>
        </w:rPr>
        <w:t>-</w:t>
      </w:r>
      <w:r w:rsidRPr="00B37C27">
        <w:rPr>
          <w:rFonts w:cs="Times New Roman"/>
          <w:lang w:val="fr-CA"/>
        </w:rPr>
        <w:t>président régional de Can</w:t>
      </w:r>
      <w:r w:rsidR="00894691">
        <w:rPr>
          <w:rFonts w:cs="Times New Roman"/>
          <w:lang w:val="fr-CA"/>
        </w:rPr>
        <w:t>-</w:t>
      </w:r>
      <w:r w:rsidRPr="00B37C27">
        <w:rPr>
          <w:rFonts w:cs="Times New Roman"/>
          <w:lang w:val="fr-CA"/>
        </w:rPr>
        <w:t>Am.  Interrogé sur les intentions de Can</w:t>
      </w:r>
      <w:r w:rsidR="00894691">
        <w:rPr>
          <w:rFonts w:cs="Times New Roman"/>
          <w:lang w:val="fr-CA"/>
        </w:rPr>
        <w:t>-</w:t>
      </w:r>
      <w:r w:rsidRPr="00B37C27">
        <w:rPr>
          <w:rFonts w:cs="Times New Roman"/>
          <w:lang w:val="fr-CA"/>
        </w:rPr>
        <w:t>Am en ce qui concern</w:t>
      </w:r>
      <w:r w:rsidR="002267C1">
        <w:rPr>
          <w:rFonts w:cs="Times New Roman"/>
          <w:lang w:val="fr-CA"/>
        </w:rPr>
        <w:t>ait</w:t>
      </w:r>
      <w:r w:rsidRPr="00B37C27">
        <w:rPr>
          <w:rFonts w:cs="Times New Roman"/>
          <w:lang w:val="fr-CA"/>
        </w:rPr>
        <w:t xml:space="preserve"> la fusion, le représentant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a tergiversé</w:t>
      </w:r>
      <w:r w:rsidR="00894691">
        <w:rPr>
          <w:rFonts w:cs="Times New Roman"/>
          <w:lang w:val="fr-CA"/>
        </w:rPr>
        <w:t> »</w:t>
      </w:r>
      <w:r w:rsidRPr="00B37C27">
        <w:rPr>
          <w:rFonts w:cs="Times New Roman"/>
          <w:lang w:val="fr-CA"/>
        </w:rPr>
        <w:t xml:space="preserve"> et ne lui a pas dit la vérité, soit que, du point de vue de Can</w:t>
      </w:r>
      <w:r w:rsidR="00894691">
        <w:rPr>
          <w:rFonts w:cs="Times New Roman"/>
          <w:lang w:val="fr-CA"/>
        </w:rPr>
        <w:t>-</w:t>
      </w:r>
      <w:r w:rsidRPr="00B37C27">
        <w:rPr>
          <w:rFonts w:cs="Times New Roman"/>
          <w:lang w:val="fr-CA"/>
        </w:rPr>
        <w:t xml:space="preserve">Am, il s’agissait d’un </w:t>
      </w:r>
      <w:r w:rsidR="00894691">
        <w:rPr>
          <w:rFonts w:cs="Times New Roman"/>
          <w:lang w:val="fr-CA"/>
        </w:rPr>
        <w:t>« </w:t>
      </w:r>
      <w:r w:rsidRPr="00B37C27">
        <w:rPr>
          <w:rFonts w:cs="Times New Roman"/>
          <w:lang w:val="fr-CA"/>
        </w:rPr>
        <w:t>fait accompli</w:t>
      </w:r>
      <w:r w:rsidR="00894691">
        <w:rPr>
          <w:rFonts w:cs="Times New Roman"/>
          <w:lang w:val="fr-CA"/>
        </w:rPr>
        <w:t> »</w:t>
      </w:r>
      <w:r w:rsidRPr="00B37C27">
        <w:rPr>
          <w:rFonts w:cs="Times New Roman"/>
          <w:lang w:val="fr-CA"/>
        </w:rPr>
        <w:t xml:space="preserve">.  La juge de première instance a conclu que le représentant n’avait pas été </w:t>
      </w:r>
      <w:r w:rsidR="00894691">
        <w:rPr>
          <w:rFonts w:cs="Times New Roman"/>
          <w:lang w:val="fr-CA"/>
        </w:rPr>
        <w:t>« </w:t>
      </w:r>
      <w:r w:rsidRPr="00B37C27">
        <w:rPr>
          <w:rFonts w:cs="Times New Roman"/>
          <w:lang w:val="fr-CA"/>
        </w:rPr>
        <w:t>honnête avec M.</w:t>
      </w:r>
      <w:r w:rsidR="00894691">
        <w:rPr>
          <w:rFonts w:cs="Times New Roman"/>
          <w:lang w:val="fr-CA"/>
        </w:rPr>
        <w:t xml:space="preserve"> </w:t>
      </w:r>
      <w:proofErr w:type="spellStart"/>
      <w:r w:rsidRPr="00B37C27">
        <w:rPr>
          <w:rFonts w:cs="Times New Roman"/>
          <w:lang w:val="fr-CA"/>
        </w:rPr>
        <w:t>Bhasin</w:t>
      </w:r>
      <w:proofErr w:type="spellEnd"/>
      <w:r w:rsidR="00894691">
        <w:rPr>
          <w:rFonts w:cs="Times New Roman"/>
          <w:lang w:val="fr-CA"/>
        </w:rPr>
        <w:t> »</w:t>
      </w:r>
      <w:r w:rsidRPr="00B37C27">
        <w:rPr>
          <w:rFonts w:cs="Times New Roman"/>
          <w:lang w:val="fr-CA"/>
        </w:rPr>
        <w:t xml:space="preserve"> lors de cette rencontre</w:t>
      </w:r>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247.</w:t>
      </w:r>
    </w:p>
    <w:p w:rsidR="00142A2B" w:rsidRPr="00B37C27" w:rsidRDefault="00142A2B" w:rsidP="00894691">
      <w:pPr>
        <w:pStyle w:val="ParaNoNdepar-AltN"/>
        <w:rPr>
          <w:rFonts w:cs="Times New Roman"/>
          <w:lang w:val="fr-CA"/>
        </w:rPr>
      </w:pPr>
      <w:r w:rsidRPr="00B37C27">
        <w:rPr>
          <w:rFonts w:cs="Times New Roman"/>
          <w:lang w:val="fr-CA"/>
        </w:rPr>
        <w:t>Lorsque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s’est plaint du fait que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se trouvait en situation de conflit d’intérêts puisqu’il était à la fois le vérificateur et un concurrent, Can</w:t>
      </w:r>
      <w:r w:rsidR="00894691">
        <w:rPr>
          <w:rFonts w:cs="Times New Roman"/>
          <w:lang w:val="fr-CA"/>
        </w:rPr>
        <w:t>-</w:t>
      </w:r>
      <w:r w:rsidRPr="00B37C27">
        <w:rPr>
          <w:rFonts w:cs="Times New Roman"/>
          <w:lang w:val="fr-CA"/>
        </w:rPr>
        <w:t>Am a en fait blâmé la Commission en affirmant que cette dernière avait rejeté la proposition de Can</w:t>
      </w:r>
      <w:r w:rsidR="00894691">
        <w:rPr>
          <w:rFonts w:cs="Times New Roman"/>
          <w:lang w:val="fr-CA"/>
        </w:rPr>
        <w:t>-</w:t>
      </w:r>
      <w:r w:rsidRPr="00B37C27">
        <w:rPr>
          <w:rFonts w:cs="Times New Roman"/>
          <w:lang w:val="fr-CA"/>
        </w:rPr>
        <w:t>Am de désigner une tierce partie à titre d’ACP.</w:t>
      </w:r>
      <w:r w:rsidR="00894691">
        <w:rPr>
          <w:rFonts w:cs="Times New Roman"/>
          <w:lang w:val="fr-CA"/>
        </w:rPr>
        <w:t xml:space="preserve"> </w:t>
      </w:r>
      <w:r w:rsidRPr="00B37C27">
        <w:rPr>
          <w:rFonts w:cs="Times New Roman"/>
          <w:lang w:val="fr-CA"/>
        </w:rPr>
        <w:t xml:space="preserve"> Cette affirmation était fausse.  Can</w:t>
      </w:r>
      <w:r w:rsidR="00894691">
        <w:rPr>
          <w:rFonts w:cs="Times New Roman"/>
          <w:lang w:val="fr-CA"/>
        </w:rPr>
        <w:t>-</w:t>
      </w:r>
      <w:r w:rsidRPr="00B37C27">
        <w:rPr>
          <w:rFonts w:cs="Times New Roman"/>
          <w:lang w:val="fr-CA"/>
        </w:rPr>
        <w:t>Am a omis de mentionner qu’elle avait proposé la nomination d’une personne qui ne résidait pas en Alberta et qui ne remplissait clairement pas les conditions requises par la Commission, ou qu’elle avait décidé de nommer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même s’il ne remplissait pas lui non plus les conditions de la Commission</w:t>
      </w:r>
      <w:r w:rsidR="00894691">
        <w:rPr>
          <w:rFonts w:cs="Times New Roman"/>
          <w:lang w:val="fr-CA"/>
        </w:rPr>
        <w:t> :</w:t>
      </w:r>
      <w:r w:rsidRPr="00B37C27">
        <w:rPr>
          <w:rFonts w:cs="Times New Roman"/>
          <w:lang w:val="fr-CA"/>
        </w:rPr>
        <w:t xml:space="preserve"> motifs de première instance, par.</w:t>
      </w:r>
      <w:r w:rsidR="00894691">
        <w:rPr>
          <w:rFonts w:cs="Times New Roman"/>
          <w:lang w:val="fr-CA"/>
        </w:rPr>
        <w:t xml:space="preserve"> </w:t>
      </w:r>
      <w:r w:rsidRPr="00B37C27">
        <w:rPr>
          <w:rFonts w:cs="Times New Roman"/>
          <w:lang w:val="fr-CA"/>
        </w:rPr>
        <w:t>195 et 221.  Can</w:t>
      </w:r>
      <w:r w:rsidR="00894691">
        <w:rPr>
          <w:rFonts w:cs="Times New Roman"/>
          <w:lang w:val="fr-CA"/>
        </w:rPr>
        <w:t>-</w:t>
      </w:r>
      <w:r w:rsidRPr="00B37C27">
        <w:rPr>
          <w:rFonts w:cs="Times New Roman"/>
          <w:lang w:val="fr-CA"/>
        </w:rPr>
        <w:t>Am a également, à plusieurs reprises, déclaré faussement à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que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était tenu à des obligations de confidentialité et de ségrégation des activités dans le cadre d’une vérification, alors qu’en fait, aucune exigence de cette nature n’existait.  Can</w:t>
      </w:r>
      <w:r w:rsidR="00894691">
        <w:rPr>
          <w:rFonts w:cs="Times New Roman"/>
          <w:lang w:val="fr-CA"/>
        </w:rPr>
        <w:t>-</w:t>
      </w:r>
      <w:r w:rsidRPr="00B37C27">
        <w:rPr>
          <w:rFonts w:cs="Times New Roman"/>
          <w:lang w:val="fr-CA"/>
        </w:rPr>
        <w:t xml:space="preserve">Am n’a même pas arrêté </w:t>
      </w:r>
      <w:r w:rsidRPr="00B37C27">
        <w:rPr>
          <w:rFonts w:cs="Times New Roman"/>
          <w:lang w:val="fr-CA"/>
        </w:rPr>
        <w:lastRenderedPageBreak/>
        <w:t>les modalités du contrat pour la nomination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au poste d’ACP avant le mois de mars</w:t>
      </w:r>
      <w:r w:rsidR="00894691">
        <w:rPr>
          <w:rFonts w:cs="Times New Roman"/>
          <w:lang w:val="fr-CA"/>
        </w:rPr>
        <w:t xml:space="preserve"> </w:t>
      </w:r>
      <w:r w:rsidRPr="00B37C27">
        <w:rPr>
          <w:rFonts w:cs="Times New Roman"/>
          <w:lang w:val="fr-CA"/>
        </w:rPr>
        <w:t>2001 et, en dépit des assurances données à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elle a omis d’inclure au contrat des dispositions en ce sens</w:t>
      </w:r>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190</w:t>
      </w:r>
      <w:r w:rsidR="00894691">
        <w:rPr>
          <w:rFonts w:cs="Times New Roman"/>
          <w:lang w:val="fr-CA"/>
        </w:rPr>
        <w:t>-</w:t>
      </w:r>
      <w:r w:rsidRPr="00B37C27">
        <w:rPr>
          <w:rFonts w:cs="Times New Roman"/>
          <w:lang w:val="fr-CA"/>
        </w:rPr>
        <w:t>221.  Comme l’a conclu la juge de première instance, Can</w:t>
      </w:r>
      <w:r w:rsidR="00894691">
        <w:rPr>
          <w:rFonts w:cs="Times New Roman"/>
          <w:lang w:val="fr-CA"/>
        </w:rPr>
        <w:t>-</w:t>
      </w:r>
      <w:r w:rsidRPr="00B37C27">
        <w:rPr>
          <w:rFonts w:cs="Times New Roman"/>
          <w:lang w:val="fr-CA"/>
        </w:rPr>
        <w:t>Am [</w:t>
      </w:r>
      <w:r w:rsidRPr="00B37C27">
        <w:rPr>
          <w:rFonts w:cs="Times New Roman"/>
          <w:smallCaps/>
          <w:lang w:val="fr-CA"/>
        </w:rPr>
        <w:t>traduction</w:t>
      </w:r>
      <w:r w:rsidRPr="00B37C27">
        <w:rPr>
          <w:rFonts w:cs="Times New Roman"/>
          <w:lang w:val="fr-CA"/>
        </w:rPr>
        <w:t xml:space="preserve">] </w:t>
      </w:r>
      <w:r w:rsidR="00894691">
        <w:rPr>
          <w:rFonts w:cs="Times New Roman"/>
          <w:lang w:val="fr-CA"/>
        </w:rPr>
        <w:t>« </w:t>
      </w:r>
      <w:r w:rsidRPr="00B37C27">
        <w:rPr>
          <w:rFonts w:cs="Times New Roman"/>
          <w:lang w:val="fr-CA"/>
        </w:rPr>
        <w:t>n’aurait pas pu honnêtement passer sous silence cette lacune dans le contrat pour le poste d’ACP, étant donné que l’objet des protestations formulées par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concernant la nomination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au poste d’ACP portait sur la confidentialité et la ségrégation des activités</w:t>
      </w:r>
      <w:r w:rsidR="00894691">
        <w:rPr>
          <w:rFonts w:cs="Times New Roman"/>
          <w:lang w:val="fr-CA"/>
        </w:rPr>
        <w:t> » :</w:t>
      </w:r>
      <w:r w:rsidRPr="00B37C27">
        <w:rPr>
          <w:rFonts w:cs="Times New Roman"/>
          <w:lang w:val="fr-CA"/>
        </w:rPr>
        <w:t xml:space="preserve"> par.</w:t>
      </w:r>
      <w:r w:rsidR="00894691">
        <w:rPr>
          <w:rFonts w:cs="Times New Roman"/>
          <w:lang w:val="fr-CA"/>
        </w:rPr>
        <w:t xml:space="preserve"> </w:t>
      </w:r>
      <w:r w:rsidRPr="00B37C27">
        <w:rPr>
          <w:rFonts w:cs="Times New Roman"/>
          <w:lang w:val="fr-CA"/>
        </w:rPr>
        <w:t>221.  La juge a aussi conclu que Can</w:t>
      </w:r>
      <w:r w:rsidR="00894691">
        <w:rPr>
          <w:rFonts w:cs="Times New Roman"/>
          <w:lang w:val="fr-CA"/>
        </w:rPr>
        <w:t>-</w:t>
      </w:r>
      <w:r w:rsidRPr="00B37C27">
        <w:rPr>
          <w:rFonts w:cs="Times New Roman"/>
          <w:lang w:val="fr-CA"/>
        </w:rPr>
        <w:t xml:space="preserve">Am avait repris ces </w:t>
      </w:r>
      <w:r w:rsidR="00894691">
        <w:rPr>
          <w:rFonts w:cs="Times New Roman"/>
          <w:lang w:val="fr-CA"/>
        </w:rPr>
        <w:t>« </w:t>
      </w:r>
      <w:r w:rsidRPr="00B37C27">
        <w:rPr>
          <w:rFonts w:cs="Times New Roman"/>
          <w:lang w:val="fr-CA"/>
        </w:rPr>
        <w:t>mensonges</w:t>
      </w:r>
      <w:r w:rsidR="00894691">
        <w:rPr>
          <w:rFonts w:cs="Times New Roman"/>
          <w:lang w:val="fr-CA"/>
        </w:rPr>
        <w:t> »</w:t>
      </w:r>
      <w:r w:rsidRPr="00B37C27">
        <w:rPr>
          <w:rFonts w:cs="Times New Roman"/>
          <w:lang w:val="fr-CA"/>
        </w:rPr>
        <w:t xml:space="preserve"> au sujet des prétendues obligations de confidentialité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même après que les parties eurent signé le contrat pour le poste d’ACP, lequel ne contenait aucune de ces clauses de protection</w:t>
      </w:r>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 xml:space="preserve">204.  </w:t>
      </w:r>
    </w:p>
    <w:p w:rsidR="00142A2B" w:rsidRPr="00B37C27" w:rsidRDefault="00142A2B" w:rsidP="00894691">
      <w:pPr>
        <w:pStyle w:val="ParaNoNdepar-AltN"/>
        <w:rPr>
          <w:rFonts w:cs="Times New Roman"/>
          <w:lang w:val="fr-CA"/>
        </w:rPr>
      </w:pPr>
      <w:r w:rsidRPr="00B37C27">
        <w:rPr>
          <w:rFonts w:cs="Times New Roman"/>
          <w:lang w:val="fr-CA"/>
        </w:rPr>
        <w:t>Can</w:t>
      </w:r>
      <w:r w:rsidR="00894691">
        <w:rPr>
          <w:rFonts w:cs="Times New Roman"/>
          <w:lang w:val="fr-CA"/>
        </w:rPr>
        <w:t>-</w:t>
      </w:r>
      <w:r w:rsidRPr="00B37C27">
        <w:rPr>
          <w:rFonts w:cs="Times New Roman"/>
          <w:lang w:val="fr-CA"/>
        </w:rPr>
        <w:t>Am a continué d’exiger que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procède à la vérification de l’agence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comme si cette exigence venait de la Commission, même si elle avait pris des mesures pour qu’un de ses propres employés effectue la vérification de l’agence de M.</w:t>
      </w:r>
      <w:r w:rsidR="00894691">
        <w:rPr>
          <w:rFonts w:cs="Times New Roman"/>
          <w:lang w:val="fr-CA"/>
        </w:rPr>
        <w:t xml:space="preserve"> </w:t>
      </w:r>
      <w:proofErr w:type="spellStart"/>
      <w:r w:rsidRPr="00B37C27">
        <w:rPr>
          <w:rFonts w:cs="Times New Roman"/>
          <w:lang w:val="fr-CA"/>
        </w:rPr>
        <w:t>Hrynew</w:t>
      </w:r>
      <w:proofErr w:type="spellEnd"/>
      <w:r w:rsidR="00894691">
        <w:rPr>
          <w:rFonts w:cs="Times New Roman"/>
          <w:lang w:val="fr-CA"/>
        </w:rPr>
        <w:t> :</w:t>
      </w:r>
      <w:r w:rsidRPr="00B37C27">
        <w:rPr>
          <w:rFonts w:cs="Times New Roman"/>
          <w:lang w:val="fr-CA"/>
        </w:rPr>
        <w:t xml:space="preserve"> motifs de première instance, par.</w:t>
      </w:r>
      <w:r w:rsidR="00894691">
        <w:rPr>
          <w:rFonts w:cs="Times New Roman"/>
          <w:lang w:val="fr-CA"/>
        </w:rPr>
        <w:t xml:space="preserve"> </w:t>
      </w:r>
      <w:r w:rsidRPr="00B37C27">
        <w:rPr>
          <w:rFonts w:cs="Times New Roman"/>
          <w:lang w:val="fr-CA"/>
        </w:rPr>
        <w:t xml:space="preserve">198. </w:t>
      </w:r>
    </w:p>
    <w:p w:rsidR="00142A2B" w:rsidRPr="00B37C27" w:rsidRDefault="00142A2B" w:rsidP="00894691">
      <w:pPr>
        <w:pStyle w:val="ParaNoNdepar-AltN"/>
        <w:rPr>
          <w:rFonts w:cs="Times New Roman"/>
          <w:lang w:val="fr-CA"/>
        </w:rPr>
      </w:pPr>
      <w:r w:rsidRPr="00B37C27">
        <w:rPr>
          <w:rFonts w:cs="Times New Roman"/>
          <w:lang w:val="fr-CA"/>
        </w:rPr>
        <w:t>Ainsi que l’a conclu la juge de première instance, la malhonnêteté de Can</w:t>
      </w:r>
      <w:r w:rsidR="00894691">
        <w:rPr>
          <w:rFonts w:cs="Times New Roman"/>
          <w:lang w:val="fr-CA"/>
        </w:rPr>
        <w:t>-</w:t>
      </w:r>
      <w:r w:rsidRPr="00B37C27">
        <w:rPr>
          <w:rFonts w:cs="Times New Roman"/>
          <w:lang w:val="fr-CA"/>
        </w:rPr>
        <w:t>Am était directement et intimement liée à son exécution du contrat conclu avec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et au recours à la clause </w:t>
      </w:r>
      <w:r w:rsidR="002267C1">
        <w:rPr>
          <w:rFonts w:cs="Times New Roman"/>
          <w:lang w:val="fr-CA"/>
        </w:rPr>
        <w:t xml:space="preserve">de </w:t>
      </w:r>
      <w:r w:rsidRPr="00B37C27">
        <w:rPr>
          <w:rFonts w:cs="Times New Roman"/>
          <w:lang w:val="fr-CA"/>
        </w:rPr>
        <w:t>non</w:t>
      </w:r>
      <w:r w:rsidR="00894691">
        <w:rPr>
          <w:rFonts w:cs="Times New Roman"/>
          <w:lang w:val="fr-CA"/>
        </w:rPr>
        <w:t>-</w:t>
      </w:r>
      <w:r w:rsidRPr="00B37C27">
        <w:rPr>
          <w:rFonts w:cs="Times New Roman"/>
          <w:lang w:val="fr-CA"/>
        </w:rPr>
        <w:t>renouvellement.  Je conclus que Can</w:t>
      </w:r>
      <w:r w:rsidR="00894691">
        <w:rPr>
          <w:rFonts w:cs="Times New Roman"/>
          <w:lang w:val="fr-CA"/>
        </w:rPr>
        <w:t>-</w:t>
      </w:r>
      <w:r w:rsidRPr="00B37C27">
        <w:rPr>
          <w:rFonts w:cs="Times New Roman"/>
          <w:lang w:val="fr-CA"/>
        </w:rPr>
        <w:t>Am a rompu le contrat de</w:t>
      </w:r>
      <w:r w:rsidR="00894691">
        <w:rPr>
          <w:rFonts w:cs="Times New Roman"/>
          <w:lang w:val="fr-CA"/>
        </w:rPr>
        <w:t xml:space="preserve"> </w:t>
      </w:r>
      <w:r w:rsidRPr="00B37C27">
        <w:rPr>
          <w:rFonts w:cs="Times New Roman"/>
          <w:lang w:val="fr-CA"/>
        </w:rPr>
        <w:t>1998 lorsqu’elle n’a pas agi honnêtement envers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en recourant à la clause de non</w:t>
      </w:r>
      <w:r w:rsidR="00894691">
        <w:rPr>
          <w:rFonts w:cs="Times New Roman"/>
          <w:lang w:val="fr-CA"/>
        </w:rPr>
        <w:t>-</w:t>
      </w:r>
      <w:r w:rsidRPr="00B37C27">
        <w:rPr>
          <w:rFonts w:cs="Times New Roman"/>
          <w:lang w:val="fr-CA"/>
        </w:rPr>
        <w:t xml:space="preserve">renouvellement. </w:t>
      </w:r>
    </w:p>
    <w:p w:rsidR="00142A2B" w:rsidRPr="00B37C27" w:rsidRDefault="00142A2B" w:rsidP="00F14BED">
      <w:pPr>
        <w:pStyle w:val="Title2LevelTitre2Niveau"/>
        <w:tabs>
          <w:tab w:val="clear" w:pos="432"/>
          <w:tab w:val="num" w:pos="450"/>
        </w:tabs>
        <w:ind w:left="450" w:hanging="450"/>
        <w:rPr>
          <w:rFonts w:cs="Times New Roman"/>
          <w:lang w:val="fr-CA"/>
        </w:rPr>
      </w:pPr>
      <w:r w:rsidRPr="00B37C27">
        <w:rPr>
          <w:rFonts w:cs="Times New Roman"/>
          <w:lang w:val="fr-CA"/>
        </w:rPr>
        <w:t xml:space="preserve">Responsabilité relative aux délits de complot civil et d’incitation à </w:t>
      </w:r>
      <w:r w:rsidRPr="00B37C27">
        <w:rPr>
          <w:rFonts w:cs="Times New Roman"/>
          <w:noProof/>
          <w:lang w:val="fr-CA"/>
        </w:rPr>
        <w:t>rupture</w:t>
      </w:r>
      <w:r w:rsidRPr="00B37C27">
        <w:rPr>
          <w:rFonts w:cs="Times New Roman"/>
          <w:lang w:val="fr-CA"/>
        </w:rPr>
        <w:t xml:space="preserve"> de contrat </w:t>
      </w:r>
    </w:p>
    <w:p w:rsidR="00142A2B" w:rsidRPr="00B37C27" w:rsidRDefault="00142A2B" w:rsidP="00894691">
      <w:pPr>
        <w:pStyle w:val="ParaNoNdepar-AltN"/>
        <w:rPr>
          <w:rFonts w:cs="Times New Roman"/>
          <w:lang w:val="fr-CA"/>
        </w:rPr>
      </w:pPr>
      <w:r w:rsidRPr="00B37C27">
        <w:rPr>
          <w:rFonts w:cs="Times New Roman"/>
          <w:lang w:val="fr-CA"/>
        </w:rPr>
        <w:lastRenderedPageBreak/>
        <w:t>Compte tenu de cette conclusion, je souscris au rejet, par la Cour d’appel de l’Alberta, des allégations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fondées sur les délits d’incitation à </w:t>
      </w:r>
      <w:r w:rsidRPr="00B37C27">
        <w:rPr>
          <w:rFonts w:cs="Times New Roman"/>
          <w:noProof/>
          <w:lang w:val="fr-CA"/>
        </w:rPr>
        <w:t>rupture</w:t>
      </w:r>
      <w:r w:rsidRPr="00B37C27">
        <w:rPr>
          <w:rFonts w:cs="Times New Roman"/>
          <w:lang w:val="fr-CA"/>
        </w:rPr>
        <w:t xml:space="preserve"> de contrat et de complot prévoyant le recours à des moyens illégaux. </w:t>
      </w:r>
    </w:p>
    <w:p w:rsidR="00142A2B" w:rsidRPr="00B37C27" w:rsidRDefault="00142A2B" w:rsidP="00894691">
      <w:pPr>
        <w:pStyle w:val="ParaNoNdepar-AltN"/>
        <w:rPr>
          <w:rFonts w:cs="Times New Roman"/>
          <w:lang w:val="fr-CA"/>
        </w:rPr>
      </w:pPr>
      <w:r w:rsidRPr="00B37C27">
        <w:rPr>
          <w:rFonts w:cs="Times New Roman"/>
          <w:lang w:val="fr-CA"/>
        </w:rPr>
        <w:t>La juge de première instance a expressément conclu que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n’avait pas encouragé Can</w:t>
      </w:r>
      <w:r w:rsidR="00894691">
        <w:rPr>
          <w:rFonts w:cs="Times New Roman"/>
          <w:lang w:val="fr-CA"/>
        </w:rPr>
        <w:t>-</w:t>
      </w:r>
      <w:r w:rsidRPr="00B37C27">
        <w:rPr>
          <w:rFonts w:cs="Times New Roman"/>
          <w:lang w:val="fr-CA"/>
        </w:rPr>
        <w:t>Am à agir malhonnêtement dans ses rapports avec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et que la malhonnêteté de Can</w:t>
      </w:r>
      <w:r w:rsidR="00894691">
        <w:rPr>
          <w:rFonts w:cs="Times New Roman"/>
          <w:lang w:val="fr-CA"/>
        </w:rPr>
        <w:t>-</w:t>
      </w:r>
      <w:r w:rsidRPr="00B37C27">
        <w:rPr>
          <w:rFonts w:cs="Times New Roman"/>
          <w:lang w:val="fr-CA"/>
        </w:rPr>
        <w:t>Am ne pouvait en toute justice être attribuable à M.</w:t>
      </w:r>
      <w:r w:rsidR="00894691">
        <w:rPr>
          <w:rFonts w:cs="Times New Roman"/>
          <w:lang w:val="fr-CA"/>
        </w:rPr>
        <w:t xml:space="preserve"> </w:t>
      </w:r>
      <w:proofErr w:type="spellStart"/>
      <w:r w:rsidRPr="00B37C27">
        <w:rPr>
          <w:rFonts w:cs="Times New Roman"/>
          <w:lang w:val="fr-CA"/>
        </w:rPr>
        <w:t>Hrynew</w:t>
      </w:r>
      <w:proofErr w:type="spellEnd"/>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271 et</w:t>
      </w:r>
      <w:r w:rsidR="00894691">
        <w:rPr>
          <w:rFonts w:cs="Times New Roman"/>
          <w:lang w:val="fr-CA"/>
        </w:rPr>
        <w:t xml:space="preserve"> </w:t>
      </w:r>
      <w:r w:rsidRPr="00B37C27">
        <w:rPr>
          <w:rFonts w:cs="Times New Roman"/>
          <w:lang w:val="fr-CA"/>
        </w:rPr>
        <w:t>287.  Il s’ensuit que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n’a pas incité Can</w:t>
      </w:r>
      <w:r w:rsidR="00894691">
        <w:rPr>
          <w:rFonts w:cs="Times New Roman"/>
          <w:lang w:val="fr-CA"/>
        </w:rPr>
        <w:t>-</w:t>
      </w:r>
      <w:r w:rsidRPr="00B37C27">
        <w:rPr>
          <w:rFonts w:cs="Times New Roman"/>
          <w:lang w:val="fr-CA"/>
        </w:rPr>
        <w:t xml:space="preserve">Am à manquer à son obligation contractuelle d’exécution honnête. </w:t>
      </w:r>
    </w:p>
    <w:p w:rsidR="00142A2B" w:rsidRPr="00B37C27" w:rsidRDefault="00142A2B" w:rsidP="00894691">
      <w:pPr>
        <w:pStyle w:val="ParaNoNdepar-AltN"/>
        <w:rPr>
          <w:rFonts w:cs="Times New Roman"/>
          <w:lang w:val="fr-CA"/>
        </w:rPr>
      </w:pPr>
      <w:r w:rsidRPr="00B37C27">
        <w:rPr>
          <w:rFonts w:cs="Times New Roman"/>
          <w:lang w:val="fr-CA"/>
        </w:rPr>
        <w:t xml:space="preserve">La juge de première instance a rejeté l’allégation de complot en vue de nuire et il n’y a aucune raison de modifier cette conclusion.  La juge de première instance a cependant estimé que les intimés étaient responsables de complot prévoyant le recours à des moyens illégaux, la </w:t>
      </w:r>
      <w:r w:rsidRPr="00B37C27">
        <w:rPr>
          <w:rFonts w:cs="Times New Roman"/>
          <w:noProof/>
          <w:lang w:val="fr-CA"/>
        </w:rPr>
        <w:t>rupture</w:t>
      </w:r>
      <w:r w:rsidRPr="00B37C27">
        <w:rPr>
          <w:rFonts w:cs="Times New Roman"/>
          <w:lang w:val="fr-CA"/>
        </w:rPr>
        <w:t xml:space="preserve"> du contrat et l’incitation à </w:t>
      </w:r>
      <w:r w:rsidRPr="00B37C27">
        <w:rPr>
          <w:rFonts w:cs="Times New Roman"/>
          <w:noProof/>
          <w:lang w:val="fr-CA"/>
        </w:rPr>
        <w:t>rupture</w:t>
      </w:r>
      <w:r w:rsidRPr="00B37C27">
        <w:rPr>
          <w:rFonts w:cs="Times New Roman"/>
          <w:lang w:val="fr-CA"/>
        </w:rPr>
        <w:t xml:space="preserve"> de contrat constituant ces moyens frauduleux</w:t>
      </w:r>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 xml:space="preserve">326.  Vu mes conclusions, le manquement à l’obligation d’exécution honnête constitue l’unique </w:t>
      </w:r>
      <w:r w:rsidRPr="00B37C27">
        <w:rPr>
          <w:rFonts w:cs="Times New Roman"/>
          <w:noProof/>
          <w:lang w:val="fr-CA"/>
        </w:rPr>
        <w:t>rupture</w:t>
      </w:r>
      <w:r w:rsidRPr="00B37C27">
        <w:rPr>
          <w:rFonts w:cs="Times New Roman"/>
          <w:lang w:val="fr-CA"/>
        </w:rPr>
        <w:t xml:space="preserve"> de contrat qui soit pertinente en l’espèce et il n’y a pas eu d’incitation à </w:t>
      </w:r>
      <w:r w:rsidRPr="00B37C27">
        <w:rPr>
          <w:rFonts w:cs="Times New Roman"/>
          <w:noProof/>
          <w:lang w:val="fr-CA"/>
        </w:rPr>
        <w:t>rupture</w:t>
      </w:r>
      <w:r w:rsidRPr="00B37C27">
        <w:rPr>
          <w:rFonts w:cs="Times New Roman"/>
          <w:lang w:val="fr-CA"/>
        </w:rPr>
        <w:t xml:space="preserve"> de contrat.  Le seul moyen frauduleux important ne concerne donc que Can</w:t>
      </w:r>
      <w:r w:rsidR="00894691">
        <w:rPr>
          <w:rFonts w:cs="Times New Roman"/>
          <w:lang w:val="fr-CA"/>
        </w:rPr>
        <w:t>-</w:t>
      </w:r>
      <w:r w:rsidRPr="00B37C27">
        <w:rPr>
          <w:rFonts w:cs="Times New Roman"/>
          <w:lang w:val="fr-CA"/>
        </w:rPr>
        <w:t>Am et non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Par conséquent, la responsabilité pour complot civil ne peut</w:t>
      </w:r>
      <w:r>
        <w:rPr>
          <w:rFonts w:cs="Times New Roman"/>
          <w:lang w:val="fr-CA"/>
        </w:rPr>
        <w:t xml:space="preserve"> </w:t>
      </w:r>
      <w:r w:rsidRPr="00B37C27">
        <w:rPr>
          <w:rFonts w:cs="Times New Roman"/>
          <w:lang w:val="fr-CA"/>
        </w:rPr>
        <w:t>être retenue</w:t>
      </w:r>
      <w:r w:rsidR="00894691">
        <w:rPr>
          <w:rFonts w:cs="Times New Roman"/>
          <w:lang w:val="fr-CA"/>
        </w:rPr>
        <w:t> :</w:t>
      </w:r>
      <w:r w:rsidRPr="00B37C27">
        <w:rPr>
          <w:rFonts w:cs="Times New Roman"/>
          <w:lang w:val="fr-CA"/>
        </w:rPr>
        <w:t xml:space="preserve"> voir </w:t>
      </w:r>
      <w:proofErr w:type="spellStart"/>
      <w:r w:rsidRPr="00B37C27">
        <w:rPr>
          <w:rFonts w:cs="Times New Roman"/>
          <w:i/>
          <w:lang w:val="fr-CA"/>
        </w:rPr>
        <w:t>Agribrands</w:t>
      </w:r>
      <w:proofErr w:type="spellEnd"/>
      <w:r w:rsidRPr="00B37C27">
        <w:rPr>
          <w:rFonts w:cs="Times New Roman"/>
          <w:i/>
          <w:lang w:val="fr-CA"/>
        </w:rPr>
        <w:t xml:space="preserve"> </w:t>
      </w:r>
      <w:proofErr w:type="spellStart"/>
      <w:r w:rsidRPr="00B37C27">
        <w:rPr>
          <w:rFonts w:cs="Times New Roman"/>
          <w:i/>
          <w:lang w:val="fr-CA"/>
        </w:rPr>
        <w:t>Purina</w:t>
      </w:r>
      <w:proofErr w:type="spellEnd"/>
      <w:r w:rsidRPr="00B37C27">
        <w:rPr>
          <w:rFonts w:cs="Times New Roman"/>
          <w:i/>
          <w:lang w:val="fr-CA"/>
        </w:rPr>
        <w:t xml:space="preserve"> Canada Inc. c. </w:t>
      </w:r>
      <w:proofErr w:type="spellStart"/>
      <w:r w:rsidRPr="00B37C27">
        <w:rPr>
          <w:rFonts w:cs="Times New Roman"/>
          <w:i/>
          <w:lang w:val="fr-CA"/>
        </w:rPr>
        <w:t>Kasamekas</w:t>
      </w:r>
      <w:proofErr w:type="spellEnd"/>
      <w:r w:rsidRPr="00B37C27">
        <w:rPr>
          <w:rFonts w:cs="Times New Roman"/>
          <w:lang w:val="fr-CA"/>
        </w:rPr>
        <w:t>, 2011 ONCA 460, 106 O.R. (3d) 427, par.</w:t>
      </w:r>
      <w:r w:rsidR="00894691">
        <w:rPr>
          <w:rFonts w:cs="Times New Roman"/>
          <w:lang w:val="fr-CA"/>
        </w:rPr>
        <w:t xml:space="preserve"> </w:t>
      </w:r>
      <w:r w:rsidRPr="00B37C27">
        <w:rPr>
          <w:rFonts w:cs="Times New Roman"/>
          <w:lang w:val="fr-CA"/>
        </w:rPr>
        <w:t>43.</w:t>
      </w:r>
    </w:p>
    <w:p w:rsidR="00142A2B" w:rsidRPr="00B37C27" w:rsidRDefault="00142A2B" w:rsidP="00894691">
      <w:pPr>
        <w:pStyle w:val="ParaNoNdepar-AltN"/>
        <w:rPr>
          <w:rFonts w:cs="Times New Roman"/>
          <w:lang w:val="fr-CA"/>
        </w:rPr>
      </w:pPr>
      <w:r w:rsidRPr="00B37C27">
        <w:rPr>
          <w:rFonts w:cs="Times New Roman"/>
          <w:lang w:val="fr-CA"/>
        </w:rPr>
        <w:t>Je sousc</w:t>
      </w:r>
      <w:r w:rsidR="00112703">
        <w:rPr>
          <w:rFonts w:cs="Times New Roman"/>
          <w:lang w:val="fr-CA"/>
        </w:rPr>
        <w:t>ris donc à la conclusion de la C</w:t>
      </w:r>
      <w:r w:rsidRPr="00B37C27">
        <w:rPr>
          <w:rFonts w:cs="Times New Roman"/>
          <w:lang w:val="fr-CA"/>
        </w:rPr>
        <w:t>our d’appel selon laquelle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n’est pas responsable du délit d’incitation à </w:t>
      </w:r>
      <w:r w:rsidRPr="00B37C27">
        <w:rPr>
          <w:rFonts w:cs="Times New Roman"/>
          <w:noProof/>
          <w:lang w:val="fr-CA"/>
        </w:rPr>
        <w:t>rupture</w:t>
      </w:r>
      <w:r w:rsidRPr="00B37C27">
        <w:rPr>
          <w:rFonts w:cs="Times New Roman"/>
          <w:lang w:val="fr-CA"/>
        </w:rPr>
        <w:t xml:space="preserve"> de contrat ni du délit de </w:t>
      </w:r>
      <w:r w:rsidRPr="00B37C27">
        <w:rPr>
          <w:rFonts w:cs="Times New Roman"/>
          <w:lang w:val="fr-CA"/>
        </w:rPr>
        <w:lastRenderedPageBreak/>
        <w:t>complot prévoyant le recours à des moyens illégaux</w:t>
      </w:r>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36.  Il s’ensuit que les demandes contre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ont été à juste titre rejetées.</w:t>
      </w:r>
    </w:p>
    <w:p w:rsidR="00142A2B" w:rsidRPr="00B37C27" w:rsidRDefault="00142A2B" w:rsidP="00112703">
      <w:pPr>
        <w:pStyle w:val="Title2LevelTitre2Niveau"/>
        <w:ind w:left="450" w:hanging="450"/>
        <w:rPr>
          <w:rFonts w:cs="Times New Roman"/>
          <w:lang w:val="fr-CA"/>
        </w:rPr>
      </w:pPr>
      <w:r w:rsidRPr="00B37C27">
        <w:rPr>
          <w:rFonts w:cs="Times New Roman"/>
          <w:lang w:val="fr-CA"/>
        </w:rPr>
        <w:t>Quel est le montant approprié des dommages</w:t>
      </w:r>
      <w:r w:rsidR="00894691">
        <w:rPr>
          <w:rFonts w:cs="Times New Roman"/>
          <w:lang w:val="fr-CA"/>
        </w:rPr>
        <w:t>-</w:t>
      </w:r>
      <w:r w:rsidRPr="00B37C27">
        <w:rPr>
          <w:rFonts w:cs="Times New Roman"/>
          <w:lang w:val="fr-CA"/>
        </w:rPr>
        <w:t>intérêts?</w:t>
      </w:r>
    </w:p>
    <w:p w:rsidR="00142A2B" w:rsidRPr="00B37C27" w:rsidRDefault="00142A2B" w:rsidP="00894691">
      <w:pPr>
        <w:pStyle w:val="ParaNoNdepar-AltN"/>
        <w:rPr>
          <w:rFonts w:cs="Times New Roman"/>
          <w:lang w:val="fr-CA"/>
        </w:rPr>
      </w:pPr>
      <w:r w:rsidRPr="00B37C27">
        <w:rPr>
          <w:rFonts w:cs="Times New Roman"/>
          <w:lang w:val="fr-CA"/>
        </w:rPr>
        <w:t>J’ai conclu que Can</w:t>
      </w:r>
      <w:r w:rsidR="00894691">
        <w:rPr>
          <w:rFonts w:cs="Times New Roman"/>
          <w:lang w:val="fr-CA"/>
        </w:rPr>
        <w:t>-</w:t>
      </w:r>
      <w:r w:rsidRPr="00B37C27">
        <w:rPr>
          <w:rFonts w:cs="Times New Roman"/>
          <w:lang w:val="fr-CA"/>
        </w:rPr>
        <w:t>Am avait rompu le contrat parce qu’elle n’a pas exécuté honnêtement le contrat conclu avec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plus particulièrement en ce qui concerne ses intentions arrêtées quant au renouvellement.  Can</w:t>
      </w:r>
      <w:r w:rsidR="00894691">
        <w:rPr>
          <w:rFonts w:cs="Times New Roman"/>
          <w:lang w:val="fr-CA"/>
        </w:rPr>
        <w:t>-</w:t>
      </w:r>
      <w:r w:rsidRPr="00B37C27">
        <w:rPr>
          <w:rFonts w:cs="Times New Roman"/>
          <w:lang w:val="fr-CA"/>
        </w:rPr>
        <w:t>Am est donc responsable de dommages</w:t>
      </w:r>
      <w:r w:rsidR="00894691">
        <w:rPr>
          <w:rFonts w:cs="Times New Roman"/>
          <w:lang w:val="fr-CA"/>
        </w:rPr>
        <w:t>-</w:t>
      </w:r>
      <w:r w:rsidRPr="00B37C27">
        <w:rPr>
          <w:rFonts w:cs="Times New Roman"/>
          <w:lang w:val="fr-CA"/>
        </w:rPr>
        <w:t>intérêts calculés en fonction de la situation financière dans laquelle se serait trouvé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si elle s’était acquittée de cette obligation.  Bien que la juge de première instance n’ait pas évalué le montant des dommages</w:t>
      </w:r>
      <w:r w:rsidR="00894691">
        <w:rPr>
          <w:rFonts w:cs="Times New Roman"/>
          <w:lang w:val="fr-CA"/>
        </w:rPr>
        <w:t>-</w:t>
      </w:r>
      <w:r w:rsidRPr="00B37C27">
        <w:rPr>
          <w:rFonts w:cs="Times New Roman"/>
          <w:lang w:val="fr-CA"/>
        </w:rPr>
        <w:t xml:space="preserve">intérêts en fonction de ce critère, compte tenu des conclusions différentes qu’elle a tirées en ce qui a trait à la responsabilité, elle a tiré des conclusions qui permettent à notre Cour de le faire.  </w:t>
      </w:r>
    </w:p>
    <w:p w:rsidR="00142A2B" w:rsidRPr="00B37C27" w:rsidRDefault="00142A2B" w:rsidP="00894691">
      <w:pPr>
        <w:pStyle w:val="ParaNoNdepar-AltN"/>
        <w:rPr>
          <w:rFonts w:cs="Times New Roman"/>
          <w:lang w:val="fr-CA"/>
        </w:rPr>
      </w:pPr>
      <w:r w:rsidRPr="00B37C27">
        <w:rPr>
          <w:rFonts w:cs="Times New Roman"/>
          <w:lang w:val="fr-CA"/>
        </w:rPr>
        <w:t>La juge de première instance a expressément conclu que, n’eût été la malhonnêteté de Can</w:t>
      </w:r>
      <w:r w:rsidR="00894691">
        <w:rPr>
          <w:rFonts w:cs="Times New Roman"/>
          <w:lang w:val="fr-CA"/>
        </w:rPr>
        <w:t>-</w:t>
      </w:r>
      <w:r w:rsidRPr="00B37C27">
        <w:rPr>
          <w:rFonts w:cs="Times New Roman"/>
          <w:lang w:val="fr-CA"/>
        </w:rPr>
        <w:t>Am,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aurait pu faire en sorte de [</w:t>
      </w:r>
      <w:r w:rsidRPr="00B37C27">
        <w:rPr>
          <w:rFonts w:cs="Times New Roman"/>
          <w:smallCaps/>
          <w:lang w:val="fr-CA"/>
        </w:rPr>
        <w:t>traduction</w:t>
      </w:r>
      <w:r w:rsidRPr="00B37C27">
        <w:rPr>
          <w:rFonts w:cs="Times New Roman"/>
          <w:lang w:val="fr-CA"/>
        </w:rPr>
        <w:t>]</w:t>
      </w:r>
      <w:r w:rsidR="00894691">
        <w:rPr>
          <w:rFonts w:cs="Times New Roman"/>
          <w:lang w:val="fr-CA"/>
        </w:rPr>
        <w:t xml:space="preserve"> « </w:t>
      </w:r>
      <w:r w:rsidRPr="00B37C27">
        <w:rPr>
          <w:rFonts w:cs="Times New Roman"/>
          <w:lang w:val="fr-CA"/>
        </w:rPr>
        <w:t>conserver la valeur de son agence</w:t>
      </w:r>
      <w:r w:rsidR="00894691">
        <w:rPr>
          <w:rFonts w:cs="Times New Roman"/>
          <w:lang w:val="fr-CA"/>
        </w:rPr>
        <w:t> » :</w:t>
      </w:r>
      <w:r w:rsidRPr="00B37C27">
        <w:rPr>
          <w:rFonts w:cs="Times New Roman"/>
          <w:lang w:val="fr-CA"/>
        </w:rPr>
        <w:t xml:space="preserve"> par.</w:t>
      </w:r>
      <w:r w:rsidR="00894691">
        <w:rPr>
          <w:rFonts w:cs="Times New Roman"/>
          <w:lang w:val="fr-CA"/>
        </w:rPr>
        <w:t xml:space="preserve"> </w:t>
      </w:r>
      <w:r w:rsidRPr="00B37C27">
        <w:rPr>
          <w:rFonts w:cs="Times New Roman"/>
          <w:lang w:val="fr-CA"/>
        </w:rPr>
        <w:t>258</w:t>
      </w:r>
      <w:r w:rsidR="00894691">
        <w:rPr>
          <w:rFonts w:cs="Times New Roman"/>
          <w:lang w:val="fr-CA"/>
        </w:rPr>
        <w:t>-</w:t>
      </w:r>
      <w:r w:rsidRPr="00B37C27">
        <w:rPr>
          <w:rFonts w:cs="Times New Roman"/>
          <w:lang w:val="fr-CA"/>
        </w:rPr>
        <w:t>259.  En tirant cette conclusion, la juge de première instance était bien consciente des difficultés qu’aurait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à vendre son entreprise compte tenu du </w:t>
      </w:r>
      <w:r w:rsidR="00894691">
        <w:rPr>
          <w:rFonts w:cs="Times New Roman"/>
          <w:lang w:val="fr-CA"/>
        </w:rPr>
        <w:t>« </w:t>
      </w:r>
      <w:r w:rsidR="00112703">
        <w:rPr>
          <w:rFonts w:cs="Times New Roman"/>
          <w:lang w:val="fr-CA"/>
        </w:rPr>
        <w:t xml:space="preserve">contrôle presque </w:t>
      </w:r>
      <w:r w:rsidRPr="00B37C27">
        <w:rPr>
          <w:rFonts w:cs="Times New Roman"/>
          <w:lang w:val="fr-CA"/>
        </w:rPr>
        <w:t>absolu</w:t>
      </w:r>
      <w:r w:rsidR="00894691">
        <w:rPr>
          <w:rFonts w:cs="Times New Roman"/>
          <w:lang w:val="fr-CA"/>
        </w:rPr>
        <w:t> »</w:t>
      </w:r>
      <w:r w:rsidRPr="00B37C27">
        <w:rPr>
          <w:rFonts w:cs="Times New Roman"/>
          <w:lang w:val="fr-CA"/>
        </w:rPr>
        <w:t xml:space="preserve"> que Can</w:t>
      </w:r>
      <w:r w:rsidR="00894691">
        <w:rPr>
          <w:rFonts w:cs="Times New Roman"/>
          <w:lang w:val="fr-CA"/>
        </w:rPr>
        <w:t>-</w:t>
      </w:r>
      <w:r w:rsidRPr="00B37C27">
        <w:rPr>
          <w:rFonts w:cs="Times New Roman"/>
          <w:lang w:val="fr-CA"/>
        </w:rPr>
        <w:t xml:space="preserve">Am exerçait sur les directeurs des souscriptions et du fait que le </w:t>
      </w:r>
      <w:r w:rsidR="00894691">
        <w:rPr>
          <w:rFonts w:cs="Times New Roman"/>
          <w:lang w:val="fr-CA"/>
        </w:rPr>
        <w:t>« </w:t>
      </w:r>
      <w:r w:rsidRPr="00B37C27">
        <w:rPr>
          <w:rFonts w:cs="Times New Roman"/>
          <w:lang w:val="fr-CA"/>
        </w:rPr>
        <w:t>volume d’affaires</w:t>
      </w:r>
      <w:r w:rsidR="00894691">
        <w:rPr>
          <w:rFonts w:cs="Times New Roman"/>
          <w:lang w:val="fr-CA"/>
        </w:rPr>
        <w:t> »</w:t>
      </w:r>
      <w:r w:rsidRPr="00B37C27">
        <w:rPr>
          <w:rFonts w:cs="Times New Roman"/>
          <w:lang w:val="fr-CA"/>
        </w:rPr>
        <w:t xml:space="preserve"> appartenait à cette dernière</w:t>
      </w:r>
      <w:r w:rsidR="00894691">
        <w:rPr>
          <w:rFonts w:cs="Times New Roman"/>
          <w:lang w:val="fr-CA"/>
        </w:rPr>
        <w:t> :</w:t>
      </w:r>
      <w:r w:rsidRPr="00B37C27">
        <w:rPr>
          <w:rFonts w:cs="Times New Roman"/>
          <w:lang w:val="fr-CA"/>
        </w:rPr>
        <w:t xml:space="preserve"> par.</w:t>
      </w:r>
      <w:r w:rsidR="00894691">
        <w:rPr>
          <w:rFonts w:cs="Times New Roman"/>
          <w:lang w:val="fr-CA"/>
        </w:rPr>
        <w:t xml:space="preserve"> </w:t>
      </w:r>
      <w:r w:rsidRPr="00B37C27">
        <w:rPr>
          <w:rFonts w:cs="Times New Roman"/>
          <w:lang w:val="fr-CA"/>
        </w:rPr>
        <w:t>402.  Elle a également entendu les témoins et tiré des conclusions sur ce que valait l’entreprise, compte tenu de ces restrictions.  À mon avis, ces conclusions nous permettent d’évaluer les dommages</w:t>
      </w:r>
      <w:r w:rsidR="00894691">
        <w:rPr>
          <w:rFonts w:cs="Times New Roman"/>
          <w:lang w:val="fr-CA"/>
        </w:rPr>
        <w:t>-</w:t>
      </w:r>
      <w:r w:rsidRPr="00B37C27">
        <w:rPr>
          <w:rFonts w:cs="Times New Roman"/>
          <w:lang w:val="fr-CA"/>
        </w:rPr>
        <w:t xml:space="preserve">intérêts en nous </w:t>
      </w:r>
      <w:r w:rsidRPr="00B37C27">
        <w:rPr>
          <w:rFonts w:cs="Times New Roman"/>
          <w:lang w:val="fr-CA"/>
        </w:rPr>
        <w:lastRenderedPageBreak/>
        <w:t>fondant sur le fait que, si Can</w:t>
      </w:r>
      <w:r w:rsidR="00894691">
        <w:rPr>
          <w:rFonts w:cs="Times New Roman"/>
          <w:lang w:val="fr-CA"/>
        </w:rPr>
        <w:t>-</w:t>
      </w:r>
      <w:r w:rsidRPr="00B37C27">
        <w:rPr>
          <w:rFonts w:cs="Times New Roman"/>
          <w:lang w:val="fr-CA"/>
        </w:rPr>
        <w:t>Am avait exécuté honnêtement le contrat,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aurait été en mesure de conserver la valeur de son entreprise plutôt que de s’en voir dépossédé au profit de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w:t>
      </w:r>
    </w:p>
    <w:p w:rsidR="00142A2B" w:rsidRPr="00B37C27" w:rsidRDefault="00142A2B" w:rsidP="00894691">
      <w:pPr>
        <w:pStyle w:val="ParaNoNdepar-AltN"/>
        <w:rPr>
          <w:rFonts w:cs="Times New Roman"/>
          <w:lang w:val="fr-CA"/>
        </w:rPr>
      </w:pPr>
      <w:r w:rsidRPr="00B37C27">
        <w:rPr>
          <w:rFonts w:cs="Times New Roman"/>
          <w:lang w:val="fr-CA"/>
        </w:rPr>
        <w:t>Il ressort clairement des conclusions de la juge de première instance ainsi que du dossier que la valeur de l’entreprise vers la date du non</w:t>
      </w:r>
      <w:r w:rsidR="00894691">
        <w:rPr>
          <w:rFonts w:cs="Times New Roman"/>
          <w:lang w:val="fr-CA"/>
        </w:rPr>
        <w:t>-</w:t>
      </w:r>
      <w:r w:rsidRPr="00B37C27">
        <w:rPr>
          <w:rFonts w:cs="Times New Roman"/>
          <w:lang w:val="fr-CA"/>
        </w:rPr>
        <w:t>renouvellement était de 87</w:t>
      </w:r>
      <w:r w:rsidR="00894691">
        <w:rPr>
          <w:rFonts w:cs="Times New Roman"/>
          <w:lang w:val="fr-CA"/>
        </w:rPr>
        <w:t xml:space="preserve"> </w:t>
      </w:r>
      <w:r w:rsidRPr="00B37C27">
        <w:rPr>
          <w:rFonts w:cs="Times New Roman"/>
          <w:lang w:val="fr-CA"/>
        </w:rPr>
        <w:t>000</w:t>
      </w:r>
      <w:r w:rsidR="00894691">
        <w:rPr>
          <w:rFonts w:cs="Times New Roman"/>
          <w:lang w:val="fr-CA"/>
        </w:rPr>
        <w:t xml:space="preserve"> </w:t>
      </w:r>
      <w:r w:rsidRPr="00B37C27">
        <w:rPr>
          <w:rFonts w:cs="Times New Roman"/>
          <w:lang w:val="fr-CA"/>
        </w:rPr>
        <w:t>$.  Au procès, l’expert de</w:t>
      </w:r>
      <w:r w:rsidR="002267C1">
        <w:rPr>
          <w:rFonts w:cs="Times New Roman"/>
          <w:lang w:val="fr-CA"/>
        </w:rPr>
        <w:t xml:space="preserve">s </w:t>
      </w:r>
      <w:r w:rsidRPr="00B37C27">
        <w:rPr>
          <w:rFonts w:cs="Times New Roman"/>
          <w:lang w:val="fr-CA"/>
        </w:rPr>
        <w:t>intimé</w:t>
      </w:r>
      <w:r w:rsidR="002267C1">
        <w:rPr>
          <w:rFonts w:cs="Times New Roman"/>
          <w:lang w:val="fr-CA"/>
        </w:rPr>
        <w:t>s</w:t>
      </w:r>
      <w:r w:rsidRPr="00B37C27">
        <w:rPr>
          <w:rFonts w:cs="Times New Roman"/>
          <w:lang w:val="fr-CA"/>
        </w:rPr>
        <w:t xml:space="preserve"> a indiqué que l’entreprise de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en</w:t>
      </w:r>
      <w:r w:rsidR="00894691">
        <w:rPr>
          <w:rFonts w:cs="Times New Roman"/>
          <w:lang w:val="fr-CA"/>
        </w:rPr>
        <w:t xml:space="preserve"> </w:t>
      </w:r>
      <w:r w:rsidRPr="00B37C27">
        <w:rPr>
          <w:rFonts w:cs="Times New Roman"/>
          <w:lang w:val="fr-CA"/>
        </w:rPr>
        <w:t>2001 (date du non</w:t>
      </w:r>
      <w:r w:rsidR="00894691">
        <w:rPr>
          <w:rFonts w:cs="Times New Roman"/>
          <w:lang w:val="fr-CA"/>
        </w:rPr>
        <w:t>-</w:t>
      </w:r>
      <w:r w:rsidRPr="00B37C27">
        <w:rPr>
          <w:rFonts w:cs="Times New Roman"/>
          <w:lang w:val="fr-CA"/>
        </w:rPr>
        <w:t>renouvellement), valait environ 87</w:t>
      </w:r>
      <w:r w:rsidR="00894691">
        <w:rPr>
          <w:rFonts w:cs="Times New Roman"/>
          <w:lang w:val="fr-CA"/>
        </w:rPr>
        <w:t xml:space="preserve"> </w:t>
      </w:r>
      <w:r w:rsidRPr="00B37C27">
        <w:rPr>
          <w:rFonts w:cs="Times New Roman"/>
          <w:lang w:val="fr-CA"/>
        </w:rPr>
        <w:t>000</w:t>
      </w:r>
      <w:r w:rsidR="00894691">
        <w:rPr>
          <w:rFonts w:cs="Times New Roman"/>
          <w:lang w:val="fr-CA"/>
        </w:rPr>
        <w:t xml:space="preserve"> </w:t>
      </w:r>
      <w:r w:rsidRPr="00B37C27">
        <w:rPr>
          <w:rFonts w:cs="Times New Roman"/>
          <w:lang w:val="fr-CA"/>
        </w:rPr>
        <w:t>$.  Bien qu’il existe une certaine confusion au dossier quant à la date de l’évaluation et quant à la pertinence des taux d’escompte, je suis convaincu que la juge de première instance a conclu que l’entreprise valait 87</w:t>
      </w:r>
      <w:r w:rsidR="00894691">
        <w:rPr>
          <w:rFonts w:cs="Times New Roman"/>
          <w:lang w:val="fr-CA"/>
        </w:rPr>
        <w:t xml:space="preserve"> </w:t>
      </w:r>
      <w:r w:rsidRPr="00B37C27">
        <w:rPr>
          <w:rFonts w:cs="Times New Roman"/>
          <w:lang w:val="fr-CA"/>
        </w:rPr>
        <w:t>000</w:t>
      </w:r>
      <w:r w:rsidR="00894691">
        <w:rPr>
          <w:rFonts w:cs="Times New Roman"/>
          <w:lang w:val="fr-CA"/>
        </w:rPr>
        <w:t xml:space="preserve"> </w:t>
      </w:r>
      <w:r w:rsidRPr="00B37C27">
        <w:rPr>
          <w:rFonts w:cs="Times New Roman"/>
          <w:lang w:val="fr-CA"/>
        </w:rPr>
        <w:t>$ au moment où le contrat a pris fin et qu’elle a tiré cette conclusion en étant pleinement consciente des difficultés faisant obstacle à la vente de l’entreprise en raison des arrangements contractuels intervenus entre Can</w:t>
      </w:r>
      <w:r w:rsidR="00894691">
        <w:rPr>
          <w:rFonts w:cs="Times New Roman"/>
          <w:lang w:val="fr-CA"/>
        </w:rPr>
        <w:t>-</w:t>
      </w:r>
      <w:r w:rsidRPr="00B37C27">
        <w:rPr>
          <w:rFonts w:cs="Times New Roman"/>
          <w:lang w:val="fr-CA"/>
        </w:rPr>
        <w:t>Am et ses directeurs des souscriptions</w:t>
      </w:r>
      <w:r w:rsidR="00894691">
        <w:rPr>
          <w:rFonts w:cs="Times New Roman"/>
          <w:lang w:val="fr-CA"/>
        </w:rPr>
        <w:t> :</w:t>
      </w:r>
      <w:r w:rsidRPr="00B37C27">
        <w:rPr>
          <w:rFonts w:cs="Times New Roman"/>
          <w:lang w:val="fr-CA"/>
        </w:rPr>
        <w:t xml:space="preserve"> voir</w:t>
      </w:r>
      <w:r w:rsidR="00112703">
        <w:rPr>
          <w:rFonts w:cs="Times New Roman"/>
          <w:lang w:val="fr-CA"/>
        </w:rPr>
        <w:t>,</w:t>
      </w:r>
      <w:r w:rsidRPr="00B37C27">
        <w:rPr>
          <w:rFonts w:cs="Times New Roman"/>
          <w:lang w:val="fr-CA"/>
        </w:rPr>
        <w:t xml:space="preserve"> p.</w:t>
      </w:r>
      <w:r w:rsidR="00894691">
        <w:rPr>
          <w:rFonts w:cs="Times New Roman"/>
          <w:lang w:val="fr-CA"/>
        </w:rPr>
        <w:t xml:space="preserve"> </w:t>
      </w:r>
      <w:r w:rsidRPr="00B37C27">
        <w:rPr>
          <w:rFonts w:cs="Times New Roman"/>
          <w:lang w:val="fr-CA"/>
        </w:rPr>
        <w:t>ex.</w:t>
      </w:r>
      <w:r w:rsidR="00112703">
        <w:rPr>
          <w:rFonts w:cs="Times New Roman"/>
          <w:lang w:val="fr-CA"/>
        </w:rPr>
        <w:t>,</w:t>
      </w:r>
      <w:r w:rsidRPr="00B37C27">
        <w:rPr>
          <w:rFonts w:cs="Times New Roman"/>
          <w:lang w:val="fr-CA"/>
        </w:rPr>
        <w:t xml:space="preserve"> </w:t>
      </w:r>
      <w:r w:rsidR="00DB0694">
        <w:rPr>
          <w:rFonts w:cs="Times New Roman"/>
          <w:lang w:val="fr-CA"/>
        </w:rPr>
        <w:t>p</w:t>
      </w:r>
      <w:r w:rsidRPr="00B37C27">
        <w:rPr>
          <w:rFonts w:cs="Times New Roman"/>
          <w:lang w:val="fr-CA"/>
        </w:rPr>
        <w:t>ar.</w:t>
      </w:r>
      <w:r w:rsidR="00894691">
        <w:rPr>
          <w:rFonts w:cs="Times New Roman"/>
          <w:lang w:val="fr-CA"/>
        </w:rPr>
        <w:t xml:space="preserve"> </w:t>
      </w:r>
      <w:r w:rsidRPr="00B37C27">
        <w:rPr>
          <w:rFonts w:cs="Times New Roman"/>
          <w:lang w:val="fr-CA"/>
        </w:rPr>
        <w:t>451.  De plus, personne n’a laissé entendre au cours des plaidoiries que ce montant devrait être réévalué.  En fait, les intimés, qui é</w:t>
      </w:r>
      <w:r w:rsidR="00112703">
        <w:rPr>
          <w:rFonts w:cs="Times New Roman"/>
          <w:lang w:val="fr-CA"/>
        </w:rPr>
        <w:t>taient les appelants devant la C</w:t>
      </w:r>
      <w:r w:rsidRPr="00B37C27">
        <w:rPr>
          <w:rFonts w:cs="Times New Roman"/>
          <w:lang w:val="fr-CA"/>
        </w:rPr>
        <w:t>our d’appel, ont fait valoir devant cette instance que si des dommages</w:t>
      </w:r>
      <w:r w:rsidR="00894691">
        <w:rPr>
          <w:rFonts w:cs="Times New Roman"/>
          <w:lang w:val="fr-CA"/>
        </w:rPr>
        <w:t>-</w:t>
      </w:r>
      <w:r w:rsidRPr="00B37C27">
        <w:rPr>
          <w:rFonts w:cs="Times New Roman"/>
          <w:lang w:val="fr-CA"/>
        </w:rPr>
        <w:t>intérêts devaient être versés, ils devraient être fixés sur la base de la valeur de l’entreprise à la date de l’expiration du contrat et ils ont signalé que la juge de première instance avait retenu le témoignage de leur témoin expert, M.</w:t>
      </w:r>
      <w:r w:rsidR="00894691">
        <w:rPr>
          <w:rFonts w:cs="Times New Roman"/>
          <w:lang w:val="fr-CA"/>
        </w:rPr>
        <w:t xml:space="preserve"> </w:t>
      </w:r>
      <w:r w:rsidRPr="00B37C27">
        <w:rPr>
          <w:rFonts w:cs="Times New Roman"/>
          <w:lang w:val="fr-CA"/>
        </w:rPr>
        <w:t>Bailey, selon lequel la valeur était de</w:t>
      </w:r>
      <w:r w:rsidR="00894691">
        <w:rPr>
          <w:rFonts w:cs="Times New Roman"/>
          <w:lang w:val="fr-CA"/>
        </w:rPr>
        <w:t xml:space="preserve"> </w:t>
      </w:r>
      <w:r w:rsidRPr="00B37C27">
        <w:rPr>
          <w:rFonts w:cs="Times New Roman"/>
          <w:lang w:val="fr-CA"/>
        </w:rPr>
        <w:t>87</w:t>
      </w:r>
      <w:r w:rsidR="00894691">
        <w:rPr>
          <w:rFonts w:cs="Times New Roman"/>
          <w:lang w:val="fr-CA"/>
        </w:rPr>
        <w:t xml:space="preserve"> </w:t>
      </w:r>
      <w:r w:rsidRPr="00B37C27">
        <w:rPr>
          <w:rFonts w:cs="Times New Roman"/>
          <w:lang w:val="fr-CA"/>
        </w:rPr>
        <w:t>000</w:t>
      </w:r>
      <w:r w:rsidR="00894691">
        <w:rPr>
          <w:rFonts w:cs="Times New Roman"/>
          <w:lang w:val="fr-CA"/>
        </w:rPr>
        <w:t xml:space="preserve"> </w:t>
      </w:r>
      <w:r w:rsidRPr="00B37C27">
        <w:rPr>
          <w:rFonts w:cs="Times New Roman"/>
          <w:lang w:val="fr-CA"/>
        </w:rPr>
        <w:t xml:space="preserve">$.  </w:t>
      </w:r>
    </w:p>
    <w:p w:rsidR="00142A2B" w:rsidRPr="00B37C27" w:rsidRDefault="00142A2B" w:rsidP="00894691">
      <w:pPr>
        <w:pStyle w:val="ParaNoNdepar-AltN"/>
        <w:rPr>
          <w:rFonts w:cs="Times New Roman"/>
          <w:lang w:val="fr-CA"/>
        </w:rPr>
      </w:pPr>
      <w:r w:rsidRPr="00B37C27">
        <w:rPr>
          <w:rFonts w:cs="Times New Roman"/>
          <w:lang w:val="fr-CA"/>
        </w:rPr>
        <w:t>Je conclus donc que M.</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a droit à des dommages</w:t>
      </w:r>
      <w:r w:rsidR="00894691">
        <w:rPr>
          <w:rFonts w:cs="Times New Roman"/>
          <w:lang w:val="fr-CA"/>
        </w:rPr>
        <w:t>-</w:t>
      </w:r>
      <w:r w:rsidRPr="00B37C27">
        <w:rPr>
          <w:rFonts w:cs="Times New Roman"/>
          <w:lang w:val="fr-CA"/>
        </w:rPr>
        <w:t>intérêts de l’ordre de 87</w:t>
      </w:r>
      <w:r w:rsidR="00894691">
        <w:rPr>
          <w:rFonts w:cs="Times New Roman"/>
          <w:lang w:val="fr-CA"/>
        </w:rPr>
        <w:t xml:space="preserve"> </w:t>
      </w:r>
      <w:r w:rsidRPr="00B37C27">
        <w:rPr>
          <w:rFonts w:cs="Times New Roman"/>
          <w:lang w:val="fr-CA"/>
        </w:rPr>
        <w:t>000</w:t>
      </w:r>
      <w:r w:rsidR="00894691">
        <w:rPr>
          <w:rFonts w:cs="Times New Roman"/>
          <w:lang w:val="fr-CA"/>
        </w:rPr>
        <w:t xml:space="preserve"> </w:t>
      </w:r>
      <w:r w:rsidRPr="00B37C27">
        <w:rPr>
          <w:rFonts w:cs="Times New Roman"/>
          <w:lang w:val="fr-CA"/>
        </w:rPr>
        <w:t>$.</w:t>
      </w:r>
    </w:p>
    <w:p w:rsidR="00142A2B" w:rsidRPr="00B37C27" w:rsidRDefault="00142A2B" w:rsidP="00894691">
      <w:pPr>
        <w:pStyle w:val="Title1LevelTitre1Niveau-AltL"/>
        <w:tabs>
          <w:tab w:val="num" w:pos="432"/>
        </w:tabs>
        <w:ind w:left="576" w:hanging="576"/>
        <w:rPr>
          <w:rFonts w:cs="Times New Roman"/>
          <w:lang w:val="fr-CA"/>
        </w:rPr>
      </w:pPr>
      <w:r w:rsidRPr="00B37C27">
        <w:rPr>
          <w:rFonts w:cs="Times New Roman"/>
          <w:lang w:val="fr-CA"/>
        </w:rPr>
        <w:lastRenderedPageBreak/>
        <w:t>Dispositif</w:t>
      </w:r>
    </w:p>
    <w:p w:rsidR="00142A2B" w:rsidRPr="00B37C27" w:rsidRDefault="00142A2B" w:rsidP="00894691">
      <w:pPr>
        <w:pStyle w:val="ParaNoNdepar-AltN"/>
        <w:rPr>
          <w:rFonts w:cs="Times New Roman"/>
          <w:lang w:val="fr-CA"/>
        </w:rPr>
      </w:pPr>
      <w:r w:rsidRPr="00B37C27">
        <w:rPr>
          <w:rFonts w:cs="Times New Roman"/>
          <w:lang w:val="fr-CA"/>
        </w:rPr>
        <w:t>Je suis d’avis d’accueillir le pourvoi en ce qui concerne Can</w:t>
      </w:r>
      <w:r w:rsidR="00894691">
        <w:rPr>
          <w:rFonts w:cs="Times New Roman"/>
          <w:lang w:val="fr-CA"/>
        </w:rPr>
        <w:t>-</w:t>
      </w:r>
      <w:r w:rsidRPr="00B37C27">
        <w:rPr>
          <w:rFonts w:cs="Times New Roman"/>
          <w:lang w:val="fr-CA"/>
        </w:rPr>
        <w:t>Am et de rejeter le pourvoi en ce qui concerne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Je suis d’avis de modifier l’appréciation des dommages</w:t>
      </w:r>
      <w:r w:rsidR="00894691">
        <w:rPr>
          <w:rFonts w:cs="Times New Roman"/>
          <w:lang w:val="fr-CA"/>
        </w:rPr>
        <w:t>-</w:t>
      </w:r>
      <w:r w:rsidRPr="00B37C27">
        <w:rPr>
          <w:rFonts w:cs="Times New Roman"/>
          <w:lang w:val="fr-CA"/>
        </w:rPr>
        <w:t>intérêts faite par la juge de première instance pour la fixer à 87</w:t>
      </w:r>
      <w:r w:rsidR="00894691">
        <w:rPr>
          <w:rFonts w:cs="Times New Roman"/>
          <w:lang w:val="fr-CA"/>
        </w:rPr>
        <w:t xml:space="preserve"> </w:t>
      </w:r>
      <w:r w:rsidRPr="00B37C27">
        <w:rPr>
          <w:rFonts w:cs="Times New Roman"/>
          <w:lang w:val="fr-CA"/>
        </w:rPr>
        <w:t>000</w:t>
      </w:r>
      <w:r w:rsidR="00894691">
        <w:rPr>
          <w:rFonts w:cs="Times New Roman"/>
          <w:lang w:val="fr-CA"/>
        </w:rPr>
        <w:t xml:space="preserve"> </w:t>
      </w:r>
      <w:r w:rsidRPr="00B37C27">
        <w:rPr>
          <w:rFonts w:cs="Times New Roman"/>
          <w:lang w:val="fr-CA"/>
        </w:rPr>
        <w:t>$ plus l’intérêt.  Monsieur</w:t>
      </w:r>
      <w:r w:rsidR="00894691">
        <w:rPr>
          <w:rFonts w:cs="Times New Roman"/>
          <w:lang w:val="fr-CA"/>
        </w:rPr>
        <w:t xml:space="preserve"> </w:t>
      </w:r>
      <w:proofErr w:type="spellStart"/>
      <w:r w:rsidRPr="00B37C27">
        <w:rPr>
          <w:rFonts w:cs="Times New Roman"/>
          <w:lang w:val="fr-CA"/>
        </w:rPr>
        <w:t>Bhasin</w:t>
      </w:r>
      <w:proofErr w:type="spellEnd"/>
      <w:r w:rsidRPr="00B37C27">
        <w:rPr>
          <w:rFonts w:cs="Times New Roman"/>
          <w:lang w:val="fr-CA"/>
        </w:rPr>
        <w:t xml:space="preserve"> a droit à ses dépens dans toutes les cours à l’encontre de Can</w:t>
      </w:r>
      <w:r w:rsidR="00894691">
        <w:rPr>
          <w:rFonts w:cs="Times New Roman"/>
          <w:lang w:val="fr-CA"/>
        </w:rPr>
        <w:t>-</w:t>
      </w:r>
      <w:r w:rsidRPr="00B37C27">
        <w:rPr>
          <w:rFonts w:cs="Times New Roman"/>
          <w:lang w:val="fr-CA"/>
        </w:rPr>
        <w:t>Am et aucuns dépens ne sont adjugés à M.</w:t>
      </w:r>
      <w:r w:rsidR="00894691">
        <w:rPr>
          <w:rFonts w:cs="Times New Roman"/>
          <w:lang w:val="fr-CA"/>
        </w:rPr>
        <w:t xml:space="preserve"> </w:t>
      </w:r>
      <w:proofErr w:type="spellStart"/>
      <w:r w:rsidRPr="00B37C27">
        <w:rPr>
          <w:rFonts w:cs="Times New Roman"/>
          <w:lang w:val="fr-CA"/>
        </w:rPr>
        <w:t>Hrynew</w:t>
      </w:r>
      <w:proofErr w:type="spellEnd"/>
      <w:r w:rsidRPr="00B37C27">
        <w:rPr>
          <w:rFonts w:cs="Times New Roman"/>
          <w:lang w:val="fr-CA"/>
        </w:rPr>
        <w:t xml:space="preserve"> ou à son encontre devant aucune des instances.</w:t>
      </w:r>
    </w:p>
    <w:p w:rsidR="004D7D95" w:rsidRPr="00D37F52" w:rsidRDefault="0066229F" w:rsidP="00894691">
      <w:pPr>
        <w:pStyle w:val="SCCNormalDoubleSpacing"/>
        <w:spacing w:before="480" w:after="480"/>
        <w:rPr>
          <w:i/>
          <w:lang w:val="fr-CA"/>
        </w:rPr>
      </w:pPr>
      <w:r w:rsidRPr="00D37F52">
        <w:rPr>
          <w:i/>
          <w:lang w:val="fr-CA"/>
        </w:rPr>
        <w:tab/>
        <w:t xml:space="preserve">Pourvoi </w:t>
      </w:r>
      <w:r w:rsidR="00003065" w:rsidRPr="00D37F52">
        <w:rPr>
          <w:i/>
          <w:lang w:val="fr-CA"/>
        </w:rPr>
        <w:t>accueilli en partie</w:t>
      </w:r>
      <w:r w:rsidRPr="00D37F52">
        <w:rPr>
          <w:i/>
          <w:lang w:val="fr-CA"/>
        </w:rPr>
        <w:t>.</w:t>
      </w:r>
    </w:p>
    <w:p w:rsidR="0066229F" w:rsidRPr="00D37F52" w:rsidRDefault="0066229F" w:rsidP="00894691">
      <w:pPr>
        <w:pStyle w:val="SCCLawFirm"/>
        <w:spacing w:before="480" w:after="480"/>
        <w:rPr>
          <w:lang w:val="fr-CA"/>
        </w:rPr>
      </w:pPr>
      <w:r w:rsidRPr="00D37F52">
        <w:rPr>
          <w:lang w:val="fr-CA"/>
        </w:rPr>
        <w:tab/>
        <w:t>Procureurs de l’appelant</w:t>
      </w:r>
      <w:r w:rsidR="00894691">
        <w:rPr>
          <w:lang w:val="fr-CA"/>
        </w:rPr>
        <w:t xml:space="preserve"> : </w:t>
      </w:r>
      <w:r w:rsidRPr="00D37F52">
        <w:rPr>
          <w:lang w:val="fr-CA"/>
        </w:rPr>
        <w:t xml:space="preserve">McCarthy </w:t>
      </w:r>
      <w:proofErr w:type="spellStart"/>
      <w:r w:rsidRPr="00D37F52">
        <w:rPr>
          <w:lang w:val="fr-CA"/>
        </w:rPr>
        <w:t>Tétrault</w:t>
      </w:r>
      <w:proofErr w:type="spellEnd"/>
      <w:r w:rsidRPr="00D37F52">
        <w:rPr>
          <w:lang w:val="fr-CA"/>
        </w:rPr>
        <w:t>, Toronto.</w:t>
      </w:r>
    </w:p>
    <w:p w:rsidR="009B57B3" w:rsidRDefault="0066229F" w:rsidP="00894691">
      <w:pPr>
        <w:pStyle w:val="SCCLawFirm"/>
        <w:rPr>
          <w:b/>
          <w:i w:val="0"/>
          <w:lang w:val="fr-CA"/>
        </w:rPr>
      </w:pPr>
      <w:r w:rsidRPr="00D37F52">
        <w:rPr>
          <w:lang w:val="fr-CA"/>
        </w:rPr>
        <w:tab/>
        <w:t>Procureurs des intimés</w:t>
      </w:r>
      <w:r w:rsidR="00894691">
        <w:rPr>
          <w:lang w:val="fr-CA"/>
        </w:rPr>
        <w:t xml:space="preserve"> : </w:t>
      </w:r>
      <w:proofErr w:type="spellStart"/>
      <w:r w:rsidRPr="00D37F52">
        <w:rPr>
          <w:lang w:val="fr-CA"/>
        </w:rPr>
        <w:t>Lenczner</w:t>
      </w:r>
      <w:proofErr w:type="spellEnd"/>
      <w:r w:rsidRPr="00D37F52">
        <w:rPr>
          <w:lang w:val="fr-CA"/>
        </w:rPr>
        <w:t xml:space="preserve"> </w:t>
      </w:r>
      <w:proofErr w:type="spellStart"/>
      <w:r w:rsidRPr="00D37F52">
        <w:rPr>
          <w:lang w:val="fr-CA"/>
        </w:rPr>
        <w:t>Slaght</w:t>
      </w:r>
      <w:proofErr w:type="spellEnd"/>
      <w:r w:rsidRPr="00D37F52">
        <w:rPr>
          <w:lang w:val="fr-CA"/>
        </w:rPr>
        <w:t xml:space="preserve"> Royce Smith Griffin, Toronto.</w:t>
      </w:r>
    </w:p>
    <w:p w:rsidR="00142A2B" w:rsidRPr="00142A2B" w:rsidRDefault="00142A2B" w:rsidP="00894691">
      <w:pPr>
        <w:pStyle w:val="SCCNormalDoubleSpacing"/>
        <w:rPr>
          <w:lang w:val="fr-CA"/>
        </w:rPr>
      </w:pPr>
    </w:p>
    <w:sectPr w:rsidR="00142A2B" w:rsidRPr="00142A2B"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81" w:rsidRDefault="00D65281">
      <w:r>
        <w:separator/>
      </w:r>
    </w:p>
  </w:endnote>
  <w:endnote w:type="continuationSeparator" w:id="0">
    <w:p w:rsidR="00D65281" w:rsidRDefault="00D6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81" w:rsidRDefault="00D65281">
      <w:r>
        <w:separator/>
      </w:r>
    </w:p>
  </w:footnote>
  <w:footnote w:type="continuationSeparator" w:id="0">
    <w:p w:rsidR="00D65281" w:rsidRDefault="00D6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81" w:rsidRPr="00450352" w:rsidRDefault="00D6528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443B0B"/>
    <w:multiLevelType w:val="hybridMultilevel"/>
    <w:tmpl w:val="9E801CEE"/>
    <w:lvl w:ilvl="0" w:tplc="E4A06FC0">
      <w:start w:val="1"/>
      <w:numFmt w:val="bullet"/>
      <w:lvlText w:val="-"/>
      <w:lvlJc w:val="left"/>
      <w:pPr>
        <w:ind w:left="936" w:hanging="360"/>
      </w:pPr>
      <w:rPr>
        <w:rFonts w:ascii="Times New Roman" w:eastAsia="Times New Roman" w:hAnsi="Times New Roman"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4346570"/>
    <w:multiLevelType w:val="hybridMultilevel"/>
    <w:tmpl w:val="5D9A71C8"/>
    <w:lvl w:ilvl="0" w:tplc="67BC2BD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2D5942"/>
    <w:multiLevelType w:val="multilevel"/>
    <w:tmpl w:val="BD18D77C"/>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03130A"/>
    <w:multiLevelType w:val="multilevel"/>
    <w:tmpl w:val="9ED6107A"/>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7">
    <w:nsid w:val="494176B0"/>
    <w:multiLevelType w:val="hybridMultilevel"/>
    <w:tmpl w:val="6A943820"/>
    <w:lvl w:ilvl="0" w:tplc="F8520AD0">
      <w:start w:val="1"/>
      <w:numFmt w:val="bullet"/>
      <w:lvlText w:val=""/>
      <w:lvlJc w:val="left"/>
      <w:pPr>
        <w:ind w:left="-468" w:hanging="360"/>
      </w:pPr>
      <w:rPr>
        <w:rFonts w:ascii="Symbol" w:hAnsi="Symbol" w:hint="default"/>
      </w:rPr>
    </w:lvl>
    <w:lvl w:ilvl="1" w:tplc="18E46538" w:tentative="1">
      <w:start w:val="1"/>
      <w:numFmt w:val="bullet"/>
      <w:lvlText w:val="o"/>
      <w:lvlJc w:val="left"/>
      <w:pPr>
        <w:ind w:left="252" w:hanging="360"/>
      </w:pPr>
      <w:rPr>
        <w:rFonts w:ascii="Courier New" w:hAnsi="Courier New" w:hint="default"/>
      </w:rPr>
    </w:lvl>
    <w:lvl w:ilvl="2" w:tplc="A12A353C" w:tentative="1">
      <w:start w:val="1"/>
      <w:numFmt w:val="bullet"/>
      <w:lvlText w:val=""/>
      <w:lvlJc w:val="left"/>
      <w:pPr>
        <w:ind w:left="972" w:hanging="360"/>
      </w:pPr>
      <w:rPr>
        <w:rFonts w:ascii="Wingdings" w:hAnsi="Wingdings" w:hint="default"/>
      </w:rPr>
    </w:lvl>
    <w:lvl w:ilvl="3" w:tplc="88ACA9C6" w:tentative="1">
      <w:start w:val="1"/>
      <w:numFmt w:val="bullet"/>
      <w:lvlText w:val=""/>
      <w:lvlJc w:val="left"/>
      <w:pPr>
        <w:ind w:left="1692" w:hanging="360"/>
      </w:pPr>
      <w:rPr>
        <w:rFonts w:ascii="Symbol" w:hAnsi="Symbol" w:hint="default"/>
      </w:rPr>
    </w:lvl>
    <w:lvl w:ilvl="4" w:tplc="8558EA94" w:tentative="1">
      <w:start w:val="1"/>
      <w:numFmt w:val="bullet"/>
      <w:lvlText w:val="o"/>
      <w:lvlJc w:val="left"/>
      <w:pPr>
        <w:ind w:left="2412" w:hanging="360"/>
      </w:pPr>
      <w:rPr>
        <w:rFonts w:ascii="Courier New" w:hAnsi="Courier New" w:hint="default"/>
      </w:rPr>
    </w:lvl>
    <w:lvl w:ilvl="5" w:tplc="F8CE9BCE" w:tentative="1">
      <w:start w:val="1"/>
      <w:numFmt w:val="bullet"/>
      <w:lvlText w:val=""/>
      <w:lvlJc w:val="left"/>
      <w:pPr>
        <w:ind w:left="3132" w:hanging="360"/>
      </w:pPr>
      <w:rPr>
        <w:rFonts w:ascii="Wingdings" w:hAnsi="Wingdings" w:hint="default"/>
      </w:rPr>
    </w:lvl>
    <w:lvl w:ilvl="6" w:tplc="CB70058A" w:tentative="1">
      <w:start w:val="1"/>
      <w:numFmt w:val="bullet"/>
      <w:lvlText w:val=""/>
      <w:lvlJc w:val="left"/>
      <w:pPr>
        <w:ind w:left="3852" w:hanging="360"/>
      </w:pPr>
      <w:rPr>
        <w:rFonts w:ascii="Symbol" w:hAnsi="Symbol" w:hint="default"/>
      </w:rPr>
    </w:lvl>
    <w:lvl w:ilvl="7" w:tplc="EFC02594" w:tentative="1">
      <w:start w:val="1"/>
      <w:numFmt w:val="bullet"/>
      <w:lvlText w:val="o"/>
      <w:lvlJc w:val="left"/>
      <w:pPr>
        <w:ind w:left="4572" w:hanging="360"/>
      </w:pPr>
      <w:rPr>
        <w:rFonts w:ascii="Courier New" w:hAnsi="Courier New" w:hint="default"/>
      </w:rPr>
    </w:lvl>
    <w:lvl w:ilvl="8" w:tplc="F7EA898C" w:tentative="1">
      <w:start w:val="1"/>
      <w:numFmt w:val="bullet"/>
      <w:lvlText w:val=""/>
      <w:lvlJc w:val="left"/>
      <w:pPr>
        <w:ind w:left="5292" w:hanging="360"/>
      </w:pPr>
      <w:rPr>
        <w:rFonts w:ascii="Wingdings" w:hAnsi="Wingdings" w:hint="default"/>
      </w:rPr>
    </w:lvl>
  </w:abstractNum>
  <w:abstractNum w:abstractNumId="18">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62C538B"/>
    <w:multiLevelType w:val="multilevel"/>
    <w:tmpl w:val="1009001D"/>
    <w:lvl w:ilvl="0">
      <w:start w:val="1"/>
      <w:numFmt w:val="decimal"/>
      <w:lvlText w:val="%1)"/>
      <w:lvlJc w:val="left"/>
      <w:pPr>
        <w:ind w:left="360" w:hanging="360"/>
      </w:pPr>
      <w:rPr>
        <w:rFonts w:cs="Times New Roman" w:hint="default"/>
        <w:b w:val="0"/>
        <w:i w:val="0"/>
        <w:strike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2"/>
  </w:num>
  <w:num w:numId="2">
    <w:abstractNumId w:val="14"/>
  </w:num>
  <w:num w:numId="3">
    <w:abstractNumId w:val="12"/>
  </w:num>
  <w:num w:numId="4">
    <w:abstractNumId w:val="19"/>
  </w:num>
  <w:num w:numId="5">
    <w:abstractNumId w:val="20"/>
  </w:num>
  <w:num w:numId="6">
    <w:abstractNumId w:val="21"/>
  </w:num>
  <w:num w:numId="7">
    <w:abstractNumId w:val="16"/>
  </w:num>
  <w:num w:numId="8">
    <w:abstractNumId w:val="17"/>
  </w:num>
  <w:num w:numId="9">
    <w:abstractNumId w:val="11"/>
  </w:num>
  <w:num w:numId="10">
    <w:abstractNumId w:val="10"/>
  </w:num>
  <w:num w:numId="11">
    <w:abstractNumId w:val="13"/>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rsids>
    <w:rsidRoot w:val="0031414C"/>
    <w:rsid w:val="00000ED4"/>
    <w:rsid w:val="00003065"/>
    <w:rsid w:val="00010FA3"/>
    <w:rsid w:val="00021B7D"/>
    <w:rsid w:val="00023FC7"/>
    <w:rsid w:val="00025198"/>
    <w:rsid w:val="000549F5"/>
    <w:rsid w:val="000561D6"/>
    <w:rsid w:val="000573F4"/>
    <w:rsid w:val="000578A3"/>
    <w:rsid w:val="000648CC"/>
    <w:rsid w:val="00065394"/>
    <w:rsid w:val="00070C52"/>
    <w:rsid w:val="00071EE8"/>
    <w:rsid w:val="000A0169"/>
    <w:rsid w:val="000C3C98"/>
    <w:rsid w:val="000C59B8"/>
    <w:rsid w:val="000C6AF0"/>
    <w:rsid w:val="000D0105"/>
    <w:rsid w:val="000D0A77"/>
    <w:rsid w:val="000F5929"/>
    <w:rsid w:val="000F7993"/>
    <w:rsid w:val="00104F33"/>
    <w:rsid w:val="00106A4B"/>
    <w:rsid w:val="00111484"/>
    <w:rsid w:val="00111DE2"/>
    <w:rsid w:val="00112703"/>
    <w:rsid w:val="00116B38"/>
    <w:rsid w:val="0012124F"/>
    <w:rsid w:val="00135406"/>
    <w:rsid w:val="00135972"/>
    <w:rsid w:val="001426A9"/>
    <w:rsid w:val="00142A2B"/>
    <w:rsid w:val="00154D7C"/>
    <w:rsid w:val="001570B0"/>
    <w:rsid w:val="0015752C"/>
    <w:rsid w:val="00157737"/>
    <w:rsid w:val="00165277"/>
    <w:rsid w:val="00170592"/>
    <w:rsid w:val="001720F7"/>
    <w:rsid w:val="00172C44"/>
    <w:rsid w:val="00186980"/>
    <w:rsid w:val="00195D83"/>
    <w:rsid w:val="00197882"/>
    <w:rsid w:val="001A00C1"/>
    <w:rsid w:val="001A0EC0"/>
    <w:rsid w:val="001B33E0"/>
    <w:rsid w:val="001B4573"/>
    <w:rsid w:val="001C779F"/>
    <w:rsid w:val="001D2AC1"/>
    <w:rsid w:val="001D4E88"/>
    <w:rsid w:val="001F117F"/>
    <w:rsid w:val="001F4795"/>
    <w:rsid w:val="00215EBF"/>
    <w:rsid w:val="00216CD6"/>
    <w:rsid w:val="00220FC2"/>
    <w:rsid w:val="002222F4"/>
    <w:rsid w:val="00224FC0"/>
    <w:rsid w:val="00225EA4"/>
    <w:rsid w:val="002267C1"/>
    <w:rsid w:val="00226EAF"/>
    <w:rsid w:val="00227390"/>
    <w:rsid w:val="00231F3A"/>
    <w:rsid w:val="002406EE"/>
    <w:rsid w:val="00243EC8"/>
    <w:rsid w:val="00247768"/>
    <w:rsid w:val="00250CFA"/>
    <w:rsid w:val="00257A04"/>
    <w:rsid w:val="002627B9"/>
    <w:rsid w:val="00270D93"/>
    <w:rsid w:val="002745CC"/>
    <w:rsid w:val="00290175"/>
    <w:rsid w:val="002A54EF"/>
    <w:rsid w:val="002B6FBE"/>
    <w:rsid w:val="002B7924"/>
    <w:rsid w:val="002C10A6"/>
    <w:rsid w:val="002C5068"/>
    <w:rsid w:val="002C5D85"/>
    <w:rsid w:val="002D28C3"/>
    <w:rsid w:val="002D39A4"/>
    <w:rsid w:val="002E1DF4"/>
    <w:rsid w:val="002E6705"/>
    <w:rsid w:val="002E6844"/>
    <w:rsid w:val="002F299F"/>
    <w:rsid w:val="002F3CD1"/>
    <w:rsid w:val="002F3FEC"/>
    <w:rsid w:val="003018D1"/>
    <w:rsid w:val="0030329A"/>
    <w:rsid w:val="003069F2"/>
    <w:rsid w:val="0031086F"/>
    <w:rsid w:val="0031414C"/>
    <w:rsid w:val="00314E01"/>
    <w:rsid w:val="003200D6"/>
    <w:rsid w:val="0032089D"/>
    <w:rsid w:val="003310DE"/>
    <w:rsid w:val="003323B0"/>
    <w:rsid w:val="00340A49"/>
    <w:rsid w:val="00350F10"/>
    <w:rsid w:val="0035169A"/>
    <w:rsid w:val="0035259D"/>
    <w:rsid w:val="00364B18"/>
    <w:rsid w:val="003A125D"/>
    <w:rsid w:val="003A4C70"/>
    <w:rsid w:val="003B215F"/>
    <w:rsid w:val="003C799C"/>
    <w:rsid w:val="003D0399"/>
    <w:rsid w:val="003D2E76"/>
    <w:rsid w:val="003D4FFA"/>
    <w:rsid w:val="003E1C71"/>
    <w:rsid w:val="003E687B"/>
    <w:rsid w:val="003F327B"/>
    <w:rsid w:val="004007A2"/>
    <w:rsid w:val="0040274E"/>
    <w:rsid w:val="00403DF0"/>
    <w:rsid w:val="00406166"/>
    <w:rsid w:val="0040704B"/>
    <w:rsid w:val="00410A55"/>
    <w:rsid w:val="00411300"/>
    <w:rsid w:val="00413F17"/>
    <w:rsid w:val="00415417"/>
    <w:rsid w:val="00426659"/>
    <w:rsid w:val="004371F3"/>
    <w:rsid w:val="00440643"/>
    <w:rsid w:val="00450352"/>
    <w:rsid w:val="00454BDB"/>
    <w:rsid w:val="00460FE7"/>
    <w:rsid w:val="00461518"/>
    <w:rsid w:val="00465132"/>
    <w:rsid w:val="00480C90"/>
    <w:rsid w:val="0048396F"/>
    <w:rsid w:val="00493C18"/>
    <w:rsid w:val="004A4ED6"/>
    <w:rsid w:val="004A600C"/>
    <w:rsid w:val="004A6118"/>
    <w:rsid w:val="004B1FD1"/>
    <w:rsid w:val="004C3040"/>
    <w:rsid w:val="004C478D"/>
    <w:rsid w:val="004D7D95"/>
    <w:rsid w:val="004E2C26"/>
    <w:rsid w:val="004F58E7"/>
    <w:rsid w:val="004F66F9"/>
    <w:rsid w:val="005125A8"/>
    <w:rsid w:val="00514D5F"/>
    <w:rsid w:val="00517549"/>
    <w:rsid w:val="00520ABC"/>
    <w:rsid w:val="00521AE8"/>
    <w:rsid w:val="0052209C"/>
    <w:rsid w:val="00522F7D"/>
    <w:rsid w:val="00527180"/>
    <w:rsid w:val="00527DB5"/>
    <w:rsid w:val="005315FF"/>
    <w:rsid w:val="00555291"/>
    <w:rsid w:val="005569FA"/>
    <w:rsid w:val="00557472"/>
    <w:rsid w:val="00566AD1"/>
    <w:rsid w:val="00567260"/>
    <w:rsid w:val="00572692"/>
    <w:rsid w:val="00583EDE"/>
    <w:rsid w:val="00585FC9"/>
    <w:rsid w:val="00595F55"/>
    <w:rsid w:val="005A6079"/>
    <w:rsid w:val="005B7918"/>
    <w:rsid w:val="005D633E"/>
    <w:rsid w:val="005D700E"/>
    <w:rsid w:val="005E4698"/>
    <w:rsid w:val="005F4F43"/>
    <w:rsid w:val="005F69E3"/>
    <w:rsid w:val="00603924"/>
    <w:rsid w:val="00610539"/>
    <w:rsid w:val="00613969"/>
    <w:rsid w:val="00625C35"/>
    <w:rsid w:val="006472E5"/>
    <w:rsid w:val="00647E49"/>
    <w:rsid w:val="006513E0"/>
    <w:rsid w:val="00656313"/>
    <w:rsid w:val="006565F4"/>
    <w:rsid w:val="0066229F"/>
    <w:rsid w:val="00680525"/>
    <w:rsid w:val="00684EEA"/>
    <w:rsid w:val="00685624"/>
    <w:rsid w:val="006908FF"/>
    <w:rsid w:val="0069689B"/>
    <w:rsid w:val="006B5FF5"/>
    <w:rsid w:val="006C0CEE"/>
    <w:rsid w:val="006E38BC"/>
    <w:rsid w:val="006F028F"/>
    <w:rsid w:val="006F2492"/>
    <w:rsid w:val="006F30AF"/>
    <w:rsid w:val="007009BA"/>
    <w:rsid w:val="00701759"/>
    <w:rsid w:val="00705C15"/>
    <w:rsid w:val="007110F6"/>
    <w:rsid w:val="00713A98"/>
    <w:rsid w:val="007208D1"/>
    <w:rsid w:val="00730638"/>
    <w:rsid w:val="00741FAB"/>
    <w:rsid w:val="00744518"/>
    <w:rsid w:val="00747288"/>
    <w:rsid w:val="00747DD3"/>
    <w:rsid w:val="007549C8"/>
    <w:rsid w:val="00766D14"/>
    <w:rsid w:val="007678EC"/>
    <w:rsid w:val="00767A0F"/>
    <w:rsid w:val="00791272"/>
    <w:rsid w:val="00796815"/>
    <w:rsid w:val="007A05F6"/>
    <w:rsid w:val="007B39C2"/>
    <w:rsid w:val="007B6F4A"/>
    <w:rsid w:val="007C6845"/>
    <w:rsid w:val="007D27CB"/>
    <w:rsid w:val="007E1C47"/>
    <w:rsid w:val="007E337A"/>
    <w:rsid w:val="007E497E"/>
    <w:rsid w:val="007E5C70"/>
    <w:rsid w:val="007F2FF5"/>
    <w:rsid w:val="007F3F08"/>
    <w:rsid w:val="007F6598"/>
    <w:rsid w:val="00804CC6"/>
    <w:rsid w:val="00806392"/>
    <w:rsid w:val="008164C3"/>
    <w:rsid w:val="00817190"/>
    <w:rsid w:val="00821304"/>
    <w:rsid w:val="0082609A"/>
    <w:rsid w:val="008260E2"/>
    <w:rsid w:val="0083199F"/>
    <w:rsid w:val="008322BD"/>
    <w:rsid w:val="00834F73"/>
    <w:rsid w:val="00842130"/>
    <w:rsid w:val="008457CA"/>
    <w:rsid w:val="0086344B"/>
    <w:rsid w:val="00864C8A"/>
    <w:rsid w:val="00864CF8"/>
    <w:rsid w:val="00874914"/>
    <w:rsid w:val="00891422"/>
    <w:rsid w:val="00892DC2"/>
    <w:rsid w:val="00892E1A"/>
    <w:rsid w:val="00894691"/>
    <w:rsid w:val="008A7D5F"/>
    <w:rsid w:val="008B660A"/>
    <w:rsid w:val="008C01DA"/>
    <w:rsid w:val="008C1186"/>
    <w:rsid w:val="008D530A"/>
    <w:rsid w:val="008E0763"/>
    <w:rsid w:val="008F2674"/>
    <w:rsid w:val="008F78E9"/>
    <w:rsid w:val="0090405E"/>
    <w:rsid w:val="00910A0E"/>
    <w:rsid w:val="009127F2"/>
    <w:rsid w:val="009179F9"/>
    <w:rsid w:val="00917C7A"/>
    <w:rsid w:val="00933E5E"/>
    <w:rsid w:val="00935218"/>
    <w:rsid w:val="00937C52"/>
    <w:rsid w:val="009403F3"/>
    <w:rsid w:val="00940744"/>
    <w:rsid w:val="0094114E"/>
    <w:rsid w:val="009555B7"/>
    <w:rsid w:val="009567AA"/>
    <w:rsid w:val="009602C9"/>
    <w:rsid w:val="00960F11"/>
    <w:rsid w:val="00967374"/>
    <w:rsid w:val="009A343A"/>
    <w:rsid w:val="009B2F23"/>
    <w:rsid w:val="009B57B3"/>
    <w:rsid w:val="009D2920"/>
    <w:rsid w:val="009D5AEB"/>
    <w:rsid w:val="009E48A7"/>
    <w:rsid w:val="009F0E33"/>
    <w:rsid w:val="00A149DF"/>
    <w:rsid w:val="00A1755C"/>
    <w:rsid w:val="00A21B90"/>
    <w:rsid w:val="00A22AAC"/>
    <w:rsid w:val="00A34E3E"/>
    <w:rsid w:val="00A41805"/>
    <w:rsid w:val="00A51882"/>
    <w:rsid w:val="00A52AFB"/>
    <w:rsid w:val="00A538A9"/>
    <w:rsid w:val="00A548CB"/>
    <w:rsid w:val="00A5521C"/>
    <w:rsid w:val="00A643E7"/>
    <w:rsid w:val="00A720F3"/>
    <w:rsid w:val="00A7300E"/>
    <w:rsid w:val="00A73C38"/>
    <w:rsid w:val="00AB670D"/>
    <w:rsid w:val="00AC24AE"/>
    <w:rsid w:val="00AF03C5"/>
    <w:rsid w:val="00B000D8"/>
    <w:rsid w:val="00B00F75"/>
    <w:rsid w:val="00B145B6"/>
    <w:rsid w:val="00B279EB"/>
    <w:rsid w:val="00B432D2"/>
    <w:rsid w:val="00B45FFE"/>
    <w:rsid w:val="00B50C81"/>
    <w:rsid w:val="00B557F8"/>
    <w:rsid w:val="00B815FC"/>
    <w:rsid w:val="00B852B4"/>
    <w:rsid w:val="00B86342"/>
    <w:rsid w:val="00B93FBC"/>
    <w:rsid w:val="00BA066E"/>
    <w:rsid w:val="00BA7DA0"/>
    <w:rsid w:val="00BB2EE4"/>
    <w:rsid w:val="00BB3580"/>
    <w:rsid w:val="00BB4C92"/>
    <w:rsid w:val="00BC2108"/>
    <w:rsid w:val="00BC27D6"/>
    <w:rsid w:val="00BD0E9E"/>
    <w:rsid w:val="00BD1767"/>
    <w:rsid w:val="00BD1BEC"/>
    <w:rsid w:val="00BD32FF"/>
    <w:rsid w:val="00BE6136"/>
    <w:rsid w:val="00BF6FE9"/>
    <w:rsid w:val="00C02092"/>
    <w:rsid w:val="00C2060E"/>
    <w:rsid w:val="00C24D91"/>
    <w:rsid w:val="00C26DB2"/>
    <w:rsid w:val="00C35148"/>
    <w:rsid w:val="00C51017"/>
    <w:rsid w:val="00C53F14"/>
    <w:rsid w:val="00C55ECE"/>
    <w:rsid w:val="00C600CF"/>
    <w:rsid w:val="00C6084F"/>
    <w:rsid w:val="00C62A66"/>
    <w:rsid w:val="00C66359"/>
    <w:rsid w:val="00C71458"/>
    <w:rsid w:val="00C723DD"/>
    <w:rsid w:val="00C77613"/>
    <w:rsid w:val="00C828E7"/>
    <w:rsid w:val="00C86719"/>
    <w:rsid w:val="00C921DD"/>
    <w:rsid w:val="00CA2B9D"/>
    <w:rsid w:val="00CA6391"/>
    <w:rsid w:val="00CB1FF5"/>
    <w:rsid w:val="00CB588A"/>
    <w:rsid w:val="00CE036E"/>
    <w:rsid w:val="00CE3171"/>
    <w:rsid w:val="00CF1601"/>
    <w:rsid w:val="00D0172F"/>
    <w:rsid w:val="00D01E33"/>
    <w:rsid w:val="00D02F1A"/>
    <w:rsid w:val="00D068A7"/>
    <w:rsid w:val="00D15008"/>
    <w:rsid w:val="00D17476"/>
    <w:rsid w:val="00D32086"/>
    <w:rsid w:val="00D338DB"/>
    <w:rsid w:val="00D37A3F"/>
    <w:rsid w:val="00D37F52"/>
    <w:rsid w:val="00D411B4"/>
    <w:rsid w:val="00D4431D"/>
    <w:rsid w:val="00D4667A"/>
    <w:rsid w:val="00D512EA"/>
    <w:rsid w:val="00D566D4"/>
    <w:rsid w:val="00D63A1C"/>
    <w:rsid w:val="00D63D9F"/>
    <w:rsid w:val="00D64306"/>
    <w:rsid w:val="00D65281"/>
    <w:rsid w:val="00D66537"/>
    <w:rsid w:val="00D7516F"/>
    <w:rsid w:val="00D7742A"/>
    <w:rsid w:val="00D95F8E"/>
    <w:rsid w:val="00DA0590"/>
    <w:rsid w:val="00DA087D"/>
    <w:rsid w:val="00DB0694"/>
    <w:rsid w:val="00DB0FF0"/>
    <w:rsid w:val="00DC0EA7"/>
    <w:rsid w:val="00DC1739"/>
    <w:rsid w:val="00DC1788"/>
    <w:rsid w:val="00DE319C"/>
    <w:rsid w:val="00DF0CA8"/>
    <w:rsid w:val="00DF2B48"/>
    <w:rsid w:val="00DF40DB"/>
    <w:rsid w:val="00DF49A7"/>
    <w:rsid w:val="00E07EE2"/>
    <w:rsid w:val="00E07FD1"/>
    <w:rsid w:val="00E24573"/>
    <w:rsid w:val="00E25E1E"/>
    <w:rsid w:val="00E27EE7"/>
    <w:rsid w:val="00E35404"/>
    <w:rsid w:val="00E41477"/>
    <w:rsid w:val="00E43C11"/>
    <w:rsid w:val="00E45109"/>
    <w:rsid w:val="00E47B7A"/>
    <w:rsid w:val="00E56A44"/>
    <w:rsid w:val="00E60269"/>
    <w:rsid w:val="00E97830"/>
    <w:rsid w:val="00EA033C"/>
    <w:rsid w:val="00EA77F0"/>
    <w:rsid w:val="00EE0830"/>
    <w:rsid w:val="00EE6CB8"/>
    <w:rsid w:val="00EF0683"/>
    <w:rsid w:val="00F0070C"/>
    <w:rsid w:val="00F00EB7"/>
    <w:rsid w:val="00F14BED"/>
    <w:rsid w:val="00F36AB6"/>
    <w:rsid w:val="00F37A09"/>
    <w:rsid w:val="00F409CE"/>
    <w:rsid w:val="00F4379D"/>
    <w:rsid w:val="00F44798"/>
    <w:rsid w:val="00F50D2D"/>
    <w:rsid w:val="00F56C8B"/>
    <w:rsid w:val="00F56DF1"/>
    <w:rsid w:val="00F62639"/>
    <w:rsid w:val="00F66810"/>
    <w:rsid w:val="00F84DF4"/>
    <w:rsid w:val="00F85C97"/>
    <w:rsid w:val="00FA5B6D"/>
    <w:rsid w:val="00FB37D2"/>
    <w:rsid w:val="00FC4EFB"/>
    <w:rsid w:val="00FD068D"/>
    <w:rsid w:val="00FD4F28"/>
    <w:rsid w:val="00FE6784"/>
    <w:rsid w:val="00FE7A8B"/>
    <w:rsid w:val="00FF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A2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142A2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142A2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142A2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142A2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42A2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42A2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
    <w:rsid w:val="00142A2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142A2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142A2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142A2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142A2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42A2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42A2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42A2B"/>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locked/>
    <w:rsid w:val="00142A2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locked/>
    <w:rsid w:val="00142A2B"/>
    <w:rPr>
      <w:b/>
      <w:sz w:val="24"/>
    </w:rPr>
  </w:style>
  <w:style w:type="table" w:styleId="TableGrid">
    <w:name w:val="Table Grid"/>
    <w:basedOn w:val="TableNormal"/>
    <w:uiPriority w:val="59"/>
    <w:rsid w:val="00142A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42A2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42A2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42A2B"/>
    <w:pPr>
      <w:tabs>
        <w:tab w:val="left" w:pos="1260"/>
      </w:tabs>
      <w:spacing w:after="480" w:line="480" w:lineRule="auto"/>
    </w:pPr>
    <w:rPr>
      <w:smallCaps/>
      <w:sz w:val="24"/>
    </w:rPr>
  </w:style>
  <w:style w:type="paragraph" w:customStyle="1" w:styleId="ParaNoNdepar-AltN">
    <w:name w:val="Para. No. / Nº de par. - Alt N"/>
    <w:qFormat/>
    <w:rsid w:val="00142A2B"/>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42A2B"/>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42A2B"/>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142A2B"/>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142A2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42A2B"/>
    <w:pPr>
      <w:numPr>
        <w:ilvl w:val="4"/>
      </w:numPr>
      <w:tabs>
        <w:tab w:val="clear" w:pos="432"/>
      </w:tabs>
    </w:pPr>
  </w:style>
  <w:style w:type="paragraph" w:styleId="TOC1">
    <w:name w:val="toc 1"/>
    <w:basedOn w:val="Normal"/>
    <w:next w:val="Normal"/>
    <w:autoRedefine/>
    <w:uiPriority w:val="99"/>
    <w:rsid w:val="00142A2B"/>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99"/>
    <w:rsid w:val="00142A2B"/>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99"/>
    <w:rsid w:val="00142A2B"/>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99"/>
    <w:rsid w:val="00142A2B"/>
    <w:pPr>
      <w:tabs>
        <w:tab w:val="left" w:pos="900"/>
        <w:tab w:val="right" w:leader="dot" w:pos="8270"/>
      </w:tabs>
      <w:spacing w:before="120" w:after="120"/>
      <w:ind w:left="900" w:hanging="450"/>
    </w:pPr>
    <w:rPr>
      <w:rFonts w:eastAsiaTheme="minorHAnsi" w:cstheme="minorBidi"/>
      <w:i/>
      <w:noProof/>
      <w:szCs w:val="22"/>
      <w:lang w:val="en-US" w:eastAsia="en-US" w:bidi="en-US"/>
    </w:rPr>
  </w:style>
  <w:style w:type="paragraph" w:styleId="TOC5">
    <w:name w:val="toc 5"/>
    <w:basedOn w:val="Normal"/>
    <w:next w:val="Normal"/>
    <w:autoRedefine/>
    <w:uiPriority w:val="99"/>
    <w:rsid w:val="00142A2B"/>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99"/>
    <w:rsid w:val="00142A2B"/>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uiPriority w:val="99"/>
    <w:rsid w:val="00142A2B"/>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142A2B"/>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142A2B"/>
    <w:rPr>
      <w:sz w:val="16"/>
      <w:szCs w:val="16"/>
    </w:rPr>
  </w:style>
  <w:style w:type="paragraph" w:styleId="CommentText">
    <w:name w:val="annotation text"/>
    <w:basedOn w:val="Normal"/>
    <w:link w:val="CommentTextChar"/>
    <w:uiPriority w:val="99"/>
    <w:unhideWhenUsed/>
    <w:rsid w:val="00142A2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142A2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42A2B"/>
    <w:rPr>
      <w:b/>
      <w:bCs/>
    </w:rPr>
  </w:style>
  <w:style w:type="character" w:customStyle="1" w:styleId="CommentSubjectChar">
    <w:name w:val="Comment Subject Char"/>
    <w:basedOn w:val="CommentTextChar"/>
    <w:link w:val="CommentSubject"/>
    <w:uiPriority w:val="99"/>
    <w:semiHidden/>
    <w:rsid w:val="00142A2B"/>
    <w:rPr>
      <w:b/>
      <w:bCs/>
    </w:rPr>
  </w:style>
  <w:style w:type="character" w:customStyle="1" w:styleId="SCCLowerCourtJudge">
    <w:name w:val="SCC.LowerCourtJudge"/>
    <w:basedOn w:val="DefaultParagraphFont"/>
    <w:uiPriority w:val="99"/>
    <w:rsid w:val="00142A2B"/>
    <w:rPr>
      <w:rFonts w:cs="Times New Roman"/>
    </w:rPr>
  </w:style>
  <w:style w:type="paragraph" w:customStyle="1" w:styleId="SCCLowerCourtText">
    <w:name w:val="SCC.LowerCourtText"/>
    <w:basedOn w:val="Normal"/>
    <w:next w:val="Normal"/>
    <w:link w:val="SCCLowerCourtTextChar"/>
    <w:uiPriority w:val="99"/>
    <w:rsid w:val="00142A2B"/>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uiPriority w:val="99"/>
    <w:locked/>
    <w:rsid w:val="00142A2B"/>
    <w:rPr>
      <w:rFonts w:eastAsiaTheme="minorHAnsi" w:cstheme="minorBidi"/>
      <w:sz w:val="24"/>
      <w:lang w:val="en-US" w:eastAsia="en-US" w:bidi="en-US"/>
    </w:rPr>
  </w:style>
  <w:style w:type="paragraph" w:styleId="ListParagraph">
    <w:name w:val="List Paragraph"/>
    <w:basedOn w:val="Normal"/>
    <w:uiPriority w:val="34"/>
    <w:rsid w:val="00142A2B"/>
    <w:pPr>
      <w:ind w:left="720"/>
      <w:contextualSpacing/>
    </w:pPr>
    <w:rPr>
      <w:rFonts w:eastAsiaTheme="minorHAnsi" w:cstheme="minorBidi"/>
      <w:szCs w:val="22"/>
      <w:lang w:val="en-US" w:eastAsia="en-US" w:bidi="en-US"/>
    </w:rPr>
  </w:style>
  <w:style w:type="paragraph" w:styleId="Revision">
    <w:name w:val="Revision"/>
    <w:hidden/>
    <w:uiPriority w:val="99"/>
    <w:semiHidden/>
    <w:rsid w:val="00142A2B"/>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142A2B"/>
    <w:rPr>
      <w:smallCaps/>
      <w:sz w:val="24"/>
    </w:rPr>
  </w:style>
  <w:style w:type="paragraph" w:styleId="NoSpacing">
    <w:name w:val="No Spacing"/>
    <w:uiPriority w:val="1"/>
    <w:rsid w:val="00142A2B"/>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42A2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42A2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42A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42A2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42A2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42A2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42A2B"/>
    <w:rPr>
      <w:i/>
      <w:iCs/>
    </w:rPr>
  </w:style>
  <w:style w:type="paragraph" w:styleId="IntenseQuote">
    <w:name w:val="Intense Quote"/>
    <w:basedOn w:val="Normal"/>
    <w:next w:val="Normal"/>
    <w:link w:val="IntenseQuoteChar"/>
    <w:uiPriority w:val="30"/>
    <w:rsid w:val="00142A2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42A2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42A2B"/>
    <w:rPr>
      <w:i/>
      <w:iCs/>
      <w:color w:val="808080" w:themeColor="text1" w:themeTint="7F"/>
    </w:rPr>
  </w:style>
  <w:style w:type="character" w:styleId="IntenseEmphasis">
    <w:name w:val="Intense Emphasis"/>
    <w:basedOn w:val="DefaultParagraphFont"/>
    <w:uiPriority w:val="21"/>
    <w:rsid w:val="00142A2B"/>
    <w:rPr>
      <w:b/>
      <w:bCs/>
      <w:i/>
      <w:iCs/>
      <w:color w:val="4F81BD" w:themeColor="accent1"/>
    </w:rPr>
  </w:style>
  <w:style w:type="character" w:styleId="SubtleReference">
    <w:name w:val="Subtle Reference"/>
    <w:basedOn w:val="DefaultParagraphFont"/>
    <w:uiPriority w:val="31"/>
    <w:rsid w:val="00142A2B"/>
    <w:rPr>
      <w:smallCaps/>
      <w:color w:val="C0504D" w:themeColor="accent2"/>
      <w:u w:val="single"/>
    </w:rPr>
  </w:style>
  <w:style w:type="character" w:styleId="IntenseReference">
    <w:name w:val="Intense Reference"/>
    <w:basedOn w:val="DefaultParagraphFont"/>
    <w:uiPriority w:val="32"/>
    <w:rsid w:val="00142A2B"/>
    <w:rPr>
      <w:b/>
      <w:bCs/>
      <w:smallCaps/>
      <w:color w:val="C0504D" w:themeColor="accent2"/>
      <w:spacing w:val="5"/>
      <w:u w:val="single"/>
    </w:rPr>
  </w:style>
  <w:style w:type="character" w:styleId="BookTitle">
    <w:name w:val="Book Title"/>
    <w:basedOn w:val="DefaultParagraphFont"/>
    <w:uiPriority w:val="33"/>
    <w:rsid w:val="00142A2B"/>
    <w:rPr>
      <w:b/>
      <w:bCs/>
      <w:smallCaps/>
      <w:spacing w:val="5"/>
    </w:rPr>
  </w:style>
  <w:style w:type="character" w:styleId="Hyperlink">
    <w:name w:val="Hyperlink"/>
    <w:basedOn w:val="DefaultParagraphFont"/>
    <w:uiPriority w:val="99"/>
    <w:unhideWhenUsed/>
    <w:rsid w:val="00142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E601-D40F-40F4-BDF4-D5FC262F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19339</Words>
  <Characters>100107</Characters>
  <Application>Microsoft Office Word</Application>
  <DocSecurity>0</DocSecurity>
  <Lines>834</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2014-11-17T18:30:00Z</dcterms:created>
  <dcterms:modified xsi:type="dcterms:W3CDTF">2015-03-04T19:12:00Z</dcterms:modified>
</cp:coreProperties>
</file>