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65" w:rsidRDefault="00501E65" w:rsidP="00501E65">
      <w:pPr>
        <w:pStyle w:val="Header"/>
      </w:pPr>
      <w:r>
        <w:ptab w:relativeTo="margin" w:alignment="center" w:leader="none"/>
      </w:r>
      <w:r w:rsidRPr="00F72014">
        <w:t xml:space="preserve"> </w:t>
      </w:r>
      <w:r>
        <w:object w:dxaOrig="1365" w:dyaOrig="1440">
          <v:shape id="_x0000_i1028" type="#_x0000_t75" style="width:61.2pt;height:64.8pt" o:ole="">
            <v:imagedata r:id="rId8" o:title=""/>
          </v:shape>
          <o:OLEObject Type="Embed" ProgID="Presentations.Drawing.13" ShapeID="_x0000_i1028" DrawAspect="Content" ObjectID="_1505298623" r:id="rId9"/>
        </w:object>
      </w:r>
      <w:r>
        <w:t xml:space="preserve"> </w:t>
      </w:r>
      <w:r>
        <w:ptab w:relativeTo="margin" w:alignment="right" w:leader="none"/>
      </w:r>
    </w:p>
    <w:p w:rsidR="00501E65" w:rsidRDefault="00501E65" w:rsidP="00501E65">
      <w:pPr>
        <w:pStyle w:val="Header"/>
      </w:pPr>
    </w:p>
    <w:p w:rsidR="00501E65" w:rsidRPr="001E12E2" w:rsidRDefault="00501E65" w:rsidP="00501E65">
      <w:pPr>
        <w:jc w:val="center"/>
        <w:rPr>
          <w:b/>
        </w:rPr>
      </w:pPr>
      <w:r w:rsidRPr="001E12E2">
        <w:rPr>
          <w:b/>
        </w:rPr>
        <w:t>COUR SUPRÊME DU CANADA</w:t>
      </w:r>
    </w:p>
    <w:p w:rsidR="00501E65" w:rsidRDefault="00501E65" w:rsidP="00501E6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501E65" w:rsidRPr="001E12E2" w:rsidTr="001562AF">
        <w:trPr>
          <w:cantSplit/>
        </w:trPr>
        <w:tc>
          <w:tcPr>
            <w:tcW w:w="6768" w:type="dxa"/>
          </w:tcPr>
          <w:p w:rsidR="00501E65" w:rsidRPr="00501E65" w:rsidRDefault="00501E65" w:rsidP="001562AF">
            <w:pPr>
              <w:rPr>
                <w:lang w:val="fr-CA"/>
              </w:rPr>
            </w:pPr>
            <w:r w:rsidRPr="00501E65">
              <w:rPr>
                <w:b/>
                <w:smallCaps/>
                <w:lang w:val="fr-CA"/>
              </w:rPr>
              <w:t>Référence :</w:t>
            </w:r>
            <w:r w:rsidRPr="00501E65">
              <w:rPr>
                <w:lang w:val="fr-CA"/>
              </w:rPr>
              <w:t xml:space="preserve"> R. </w:t>
            </w:r>
            <w:r w:rsidRPr="00501E65">
              <w:rPr>
                <w:i/>
                <w:lang w:val="fr-CA"/>
              </w:rPr>
              <w:t>c.</w:t>
            </w:r>
            <w:r w:rsidRPr="00501E65">
              <w:rPr>
                <w:lang w:val="fr-CA"/>
              </w:rPr>
              <w:t xml:space="preserve"> Nur, 2015 CSC 15</w:t>
            </w:r>
            <w:r>
              <w:rPr>
                <w:lang w:val="fr-CA"/>
              </w:rPr>
              <w:t>, [2015] 1 R.C.S. 773</w:t>
            </w:r>
          </w:p>
        </w:tc>
        <w:tc>
          <w:tcPr>
            <w:tcW w:w="2808" w:type="dxa"/>
          </w:tcPr>
          <w:p w:rsidR="00501E65" w:rsidRPr="001E12E2" w:rsidRDefault="00501E65" w:rsidP="001562AF">
            <w:r w:rsidRPr="001E12E2">
              <w:rPr>
                <w:b/>
                <w:smallCaps/>
              </w:rPr>
              <w:t>Date</w:t>
            </w:r>
            <w:r>
              <w:rPr>
                <w:b/>
                <w:smallCaps/>
              </w:rPr>
              <w:t> :</w:t>
            </w:r>
            <w:r w:rsidRPr="001E12E2">
              <w:t xml:space="preserve"> </w:t>
            </w:r>
            <w:r>
              <w:t>20150414</w:t>
            </w:r>
          </w:p>
          <w:p w:rsidR="00501E65" w:rsidRPr="001E12E2" w:rsidRDefault="00501E65" w:rsidP="001562AF">
            <w:r w:rsidRPr="001E12E2">
              <w:rPr>
                <w:b/>
                <w:smallCaps/>
              </w:rPr>
              <w:t>Do</w:t>
            </w:r>
            <w:r>
              <w:rPr>
                <w:b/>
                <w:smallCaps/>
              </w:rPr>
              <w:t>ssier :</w:t>
            </w:r>
            <w:r w:rsidRPr="001E12E2">
              <w:t xml:space="preserve"> </w:t>
            </w:r>
            <w:r>
              <w:t>35678, 35684</w:t>
            </w:r>
          </w:p>
        </w:tc>
      </w:tr>
    </w:tbl>
    <w:p w:rsidR="00501E65" w:rsidRPr="001E12E2" w:rsidRDefault="00501E65" w:rsidP="00501E65"/>
    <w:p w:rsidR="00501E65" w:rsidRDefault="00501E65" w:rsidP="00BE7A67">
      <w:pPr>
        <w:pStyle w:val="SCCLsocPrefix"/>
        <w:jc w:val="both"/>
      </w:pPr>
      <w:r>
        <w:t>Entre :</w:t>
      </w:r>
    </w:p>
    <w:p w:rsidR="00501E65" w:rsidRDefault="00501E65" w:rsidP="00BE7A67">
      <w:pPr>
        <w:pStyle w:val="SCCLsocParty"/>
        <w:jc w:val="center"/>
      </w:pPr>
      <w:r>
        <w:t>Sa Majesté la Reine</w:t>
      </w:r>
    </w:p>
    <w:p w:rsidR="00501E65" w:rsidRDefault="00501E65" w:rsidP="00BE7A67">
      <w:pPr>
        <w:jc w:val="center"/>
      </w:pPr>
      <w:r>
        <w:t>Appelante</w:t>
      </w:r>
    </w:p>
    <w:p w:rsidR="00501E65" w:rsidRPr="00BE7A67" w:rsidRDefault="00501E65" w:rsidP="00BE7A67">
      <w:pPr>
        <w:pStyle w:val="SCCLsocVersus"/>
        <w:spacing w:after="0"/>
        <w:jc w:val="center"/>
        <w:rPr>
          <w:i w:val="0"/>
        </w:rPr>
      </w:pPr>
      <w:r w:rsidRPr="00BE7A67">
        <w:rPr>
          <w:i w:val="0"/>
        </w:rPr>
        <w:t>et</w:t>
      </w:r>
    </w:p>
    <w:p w:rsidR="00501E65" w:rsidRDefault="00501E65" w:rsidP="00BE7A67">
      <w:pPr>
        <w:pStyle w:val="SCCLsocParty"/>
        <w:jc w:val="center"/>
      </w:pPr>
      <w:r>
        <w:t>Hussein Jama Nur</w:t>
      </w:r>
    </w:p>
    <w:p w:rsidR="00501E65" w:rsidRDefault="00501E65" w:rsidP="00BE7A67">
      <w:pPr>
        <w:jc w:val="center"/>
      </w:pPr>
      <w:r>
        <w:t>Intimé</w:t>
      </w:r>
    </w:p>
    <w:p w:rsidR="00501E65" w:rsidRDefault="00501E65" w:rsidP="00BE7A67">
      <w:pPr>
        <w:pStyle w:val="SCCLsocSubfileSeparator"/>
        <w:spacing w:after="0"/>
        <w:jc w:val="center"/>
      </w:pPr>
      <w:r>
        <w:t>Et entre :</w:t>
      </w:r>
    </w:p>
    <w:p w:rsidR="00501E65" w:rsidRDefault="00501E65" w:rsidP="00BE7A67">
      <w:pPr>
        <w:pStyle w:val="SCCLsocParty"/>
        <w:jc w:val="center"/>
      </w:pPr>
      <w:r>
        <w:t>Procureur général du Canada</w:t>
      </w:r>
    </w:p>
    <w:p w:rsidR="00501E65" w:rsidRDefault="00501E65" w:rsidP="00BE7A67">
      <w:pPr>
        <w:jc w:val="center"/>
      </w:pPr>
      <w:r>
        <w:t>Appelant</w:t>
      </w:r>
    </w:p>
    <w:p w:rsidR="00501E65" w:rsidRPr="00BE7A67" w:rsidRDefault="00501E65" w:rsidP="00BE7A67">
      <w:pPr>
        <w:pStyle w:val="SCCLsocVersus"/>
        <w:spacing w:after="0"/>
        <w:jc w:val="center"/>
        <w:rPr>
          <w:i w:val="0"/>
        </w:rPr>
      </w:pPr>
      <w:r w:rsidRPr="00BE7A67">
        <w:rPr>
          <w:i w:val="0"/>
        </w:rPr>
        <w:t>et</w:t>
      </w:r>
    </w:p>
    <w:p w:rsidR="00501E65" w:rsidRDefault="00501E65" w:rsidP="00BE7A67">
      <w:pPr>
        <w:pStyle w:val="SCCLsocParty"/>
        <w:jc w:val="center"/>
      </w:pPr>
      <w:r>
        <w:t>Hussein Jama Nur</w:t>
      </w:r>
    </w:p>
    <w:p w:rsidR="00501E65" w:rsidRDefault="00501E65" w:rsidP="00BE7A67">
      <w:pPr>
        <w:jc w:val="center"/>
      </w:pPr>
      <w:r>
        <w:t>Intimé</w:t>
      </w:r>
    </w:p>
    <w:p w:rsidR="00501E65" w:rsidRDefault="00501E65" w:rsidP="00BE7A67">
      <w:pPr>
        <w:pStyle w:val="SCCLsocOtherPartySeparator"/>
        <w:spacing w:after="0"/>
        <w:jc w:val="center"/>
      </w:pPr>
      <w:r>
        <w:t>- et -</w:t>
      </w:r>
    </w:p>
    <w:p w:rsidR="00501E65" w:rsidRPr="00501E65" w:rsidRDefault="00501E65" w:rsidP="00BE7A67">
      <w:pPr>
        <w:pStyle w:val="SCCLsocParty"/>
        <w:jc w:val="center"/>
        <w:rPr>
          <w:lang w:val="fr-CA"/>
        </w:rPr>
      </w:pPr>
      <w:r w:rsidRPr="00501E65">
        <w:rPr>
          <w:lang w:val="fr-CA"/>
        </w:rPr>
        <w:t>Procureur général du Québec, procureur général de la Colombie-Britannique,</w:t>
      </w:r>
    </w:p>
    <w:p w:rsidR="00501E65" w:rsidRPr="00501E65" w:rsidRDefault="00501E65" w:rsidP="00BE7A67">
      <w:pPr>
        <w:pStyle w:val="SCCLsocParty"/>
        <w:jc w:val="center"/>
        <w:rPr>
          <w:lang w:val="fr-CA"/>
        </w:rPr>
      </w:pPr>
      <w:r w:rsidRPr="00501E65">
        <w:rPr>
          <w:lang w:val="fr-CA"/>
        </w:rPr>
        <w:t>procureur général de l’Alberta, Pivot Legal Society, Société John Howard du Canada, Association canadienne des libertés civiles, Association des libertés civiles de la Colombie</w:t>
      </w:r>
      <w:r w:rsidRPr="00501E65">
        <w:rPr>
          <w:lang w:val="fr-CA"/>
        </w:rPr>
        <w:noBreakHyphen/>
        <w:t>Britannique, Advocates’ Society, Association du Barreau canadien,</w:t>
      </w:r>
    </w:p>
    <w:p w:rsidR="00501E65" w:rsidRPr="00501E65" w:rsidRDefault="00501E65" w:rsidP="00BE7A67">
      <w:pPr>
        <w:pStyle w:val="SCCLsocParty"/>
        <w:jc w:val="center"/>
        <w:rPr>
          <w:lang w:val="fr-CA"/>
        </w:rPr>
      </w:pPr>
      <w:r w:rsidRPr="00501E65">
        <w:rPr>
          <w:lang w:val="fr-CA"/>
        </w:rPr>
        <w:t>Association canadienne pour les armes à feu, Association canadienne pour</w:t>
      </w:r>
    </w:p>
    <w:p w:rsidR="00501E65" w:rsidRPr="00501E65" w:rsidRDefault="00501E65" w:rsidP="00BE7A67">
      <w:pPr>
        <w:pStyle w:val="SCCLsocParty"/>
        <w:jc w:val="center"/>
        <w:rPr>
          <w:lang w:val="fr-CA"/>
        </w:rPr>
      </w:pPr>
      <w:r w:rsidRPr="00501E65">
        <w:rPr>
          <w:lang w:val="fr-CA"/>
        </w:rPr>
        <w:t>l’intégration communautaire et Clinique juridique africaine canadienne</w:t>
      </w:r>
    </w:p>
    <w:p w:rsidR="00501E65" w:rsidRPr="00501E65" w:rsidRDefault="00501E65" w:rsidP="00BE7A67">
      <w:pPr>
        <w:jc w:val="center"/>
        <w:rPr>
          <w:lang w:val="fr-CA"/>
        </w:rPr>
      </w:pPr>
      <w:r w:rsidRPr="00501E65">
        <w:rPr>
          <w:lang w:val="fr-CA"/>
        </w:rPr>
        <w:t>Intervenants</w:t>
      </w:r>
      <w:r w:rsidRPr="00501E65">
        <w:rPr>
          <w:lang w:val="fr-CA"/>
        </w:rPr>
        <w:br/>
      </w:r>
    </w:p>
    <w:p w:rsidR="00501E65" w:rsidRPr="00501E65" w:rsidRDefault="00501E65" w:rsidP="00BE7A67">
      <w:pPr>
        <w:pStyle w:val="SCCLsocPrefix"/>
        <w:jc w:val="both"/>
        <w:rPr>
          <w:lang w:val="fr-CA"/>
        </w:rPr>
      </w:pPr>
      <w:r w:rsidRPr="00501E65">
        <w:rPr>
          <w:lang w:val="fr-CA"/>
        </w:rPr>
        <w:t>Et entre :</w:t>
      </w:r>
    </w:p>
    <w:p w:rsidR="00501E65" w:rsidRPr="00501E65" w:rsidRDefault="00501E65" w:rsidP="00BE7A67">
      <w:pPr>
        <w:pStyle w:val="SCCLsocParty"/>
        <w:jc w:val="center"/>
        <w:rPr>
          <w:lang w:val="fr-CA"/>
        </w:rPr>
      </w:pPr>
      <w:r w:rsidRPr="00501E65">
        <w:rPr>
          <w:lang w:val="fr-CA"/>
        </w:rPr>
        <w:t>Sa Majesté la Reine</w:t>
      </w:r>
    </w:p>
    <w:p w:rsidR="00501E65" w:rsidRPr="00501E65" w:rsidRDefault="00501E65" w:rsidP="00BE7A67">
      <w:pPr>
        <w:jc w:val="center"/>
        <w:rPr>
          <w:lang w:val="fr-CA"/>
        </w:rPr>
      </w:pPr>
      <w:r w:rsidRPr="00501E65">
        <w:rPr>
          <w:lang w:val="fr-CA"/>
        </w:rPr>
        <w:t>Appelante</w:t>
      </w:r>
    </w:p>
    <w:p w:rsidR="00501E65" w:rsidRPr="00BE7A67" w:rsidRDefault="00501E65" w:rsidP="00BE7A67">
      <w:pPr>
        <w:pStyle w:val="SCCLsocVersus"/>
        <w:spacing w:after="0"/>
        <w:jc w:val="center"/>
        <w:rPr>
          <w:i w:val="0"/>
          <w:lang w:val="fr-CA"/>
        </w:rPr>
      </w:pPr>
      <w:r w:rsidRPr="00BE7A67">
        <w:rPr>
          <w:i w:val="0"/>
          <w:lang w:val="fr-CA"/>
        </w:rPr>
        <w:t>et</w:t>
      </w:r>
    </w:p>
    <w:p w:rsidR="00501E65" w:rsidRPr="00501E65" w:rsidRDefault="00501E65" w:rsidP="00BE7A67">
      <w:pPr>
        <w:pStyle w:val="SCCLsocParty"/>
        <w:jc w:val="center"/>
        <w:rPr>
          <w:lang w:val="fr-CA"/>
        </w:rPr>
      </w:pPr>
      <w:r w:rsidRPr="00501E65">
        <w:rPr>
          <w:lang w:val="fr-CA"/>
        </w:rPr>
        <w:t>Sidney Charles</w:t>
      </w:r>
    </w:p>
    <w:p w:rsidR="00501E65" w:rsidRPr="00501E65" w:rsidRDefault="00501E65" w:rsidP="00BE7A67">
      <w:pPr>
        <w:jc w:val="center"/>
        <w:rPr>
          <w:lang w:val="fr-CA"/>
        </w:rPr>
      </w:pPr>
      <w:r w:rsidRPr="00501E65">
        <w:rPr>
          <w:lang w:val="fr-CA"/>
        </w:rPr>
        <w:t>Intimé</w:t>
      </w:r>
    </w:p>
    <w:p w:rsidR="00501E65" w:rsidRPr="00501E65" w:rsidRDefault="00501E65" w:rsidP="00BE7A67">
      <w:pPr>
        <w:pStyle w:val="SCCLsocSubfileSeparator"/>
        <w:spacing w:after="0"/>
        <w:jc w:val="center"/>
        <w:rPr>
          <w:lang w:val="fr-CA"/>
        </w:rPr>
      </w:pPr>
      <w:r w:rsidRPr="00501E65">
        <w:rPr>
          <w:lang w:val="fr-CA"/>
        </w:rPr>
        <w:t>Et entre :</w:t>
      </w:r>
    </w:p>
    <w:p w:rsidR="00501E65" w:rsidRPr="00CD74F1" w:rsidRDefault="00501E65" w:rsidP="00BE7A67">
      <w:pPr>
        <w:pStyle w:val="SCCLsocParty"/>
        <w:jc w:val="center"/>
        <w:rPr>
          <w:lang w:val="fr-CA"/>
        </w:rPr>
      </w:pPr>
      <w:r w:rsidRPr="00CD74F1">
        <w:rPr>
          <w:lang w:val="fr-CA"/>
        </w:rPr>
        <w:t>Procureur général du Canada</w:t>
      </w:r>
    </w:p>
    <w:p w:rsidR="00501E65" w:rsidRPr="00CD74F1" w:rsidRDefault="00501E65" w:rsidP="00BE7A67">
      <w:pPr>
        <w:jc w:val="center"/>
        <w:rPr>
          <w:lang w:val="fr-CA"/>
        </w:rPr>
      </w:pPr>
      <w:r w:rsidRPr="00CD74F1">
        <w:rPr>
          <w:lang w:val="fr-CA"/>
        </w:rPr>
        <w:t>Appelant</w:t>
      </w:r>
    </w:p>
    <w:p w:rsidR="00501E65" w:rsidRPr="00CD74F1" w:rsidRDefault="00501E65" w:rsidP="00BE7A67">
      <w:pPr>
        <w:pStyle w:val="SCCLsocVersus"/>
        <w:spacing w:after="0"/>
        <w:jc w:val="center"/>
        <w:rPr>
          <w:i w:val="0"/>
          <w:lang w:val="fr-CA"/>
        </w:rPr>
      </w:pPr>
      <w:r w:rsidRPr="00CD74F1">
        <w:rPr>
          <w:i w:val="0"/>
          <w:lang w:val="fr-CA"/>
        </w:rPr>
        <w:t>et</w:t>
      </w:r>
    </w:p>
    <w:p w:rsidR="00501E65" w:rsidRPr="00CD74F1" w:rsidRDefault="00501E65" w:rsidP="00BE7A67">
      <w:pPr>
        <w:pStyle w:val="SCCLsocParty"/>
        <w:jc w:val="center"/>
        <w:rPr>
          <w:lang w:val="fr-CA"/>
        </w:rPr>
      </w:pPr>
      <w:r w:rsidRPr="00CD74F1">
        <w:rPr>
          <w:lang w:val="fr-CA"/>
        </w:rPr>
        <w:t>Sidney Charles</w:t>
      </w:r>
    </w:p>
    <w:p w:rsidR="00501E65" w:rsidRPr="00501E65" w:rsidRDefault="00501E65" w:rsidP="00BE7A67">
      <w:pPr>
        <w:jc w:val="center"/>
        <w:rPr>
          <w:lang w:val="fr-CA"/>
        </w:rPr>
      </w:pPr>
      <w:r w:rsidRPr="00501E65">
        <w:rPr>
          <w:lang w:val="fr-CA"/>
        </w:rPr>
        <w:t>Intimé</w:t>
      </w:r>
    </w:p>
    <w:p w:rsidR="00501E65" w:rsidRPr="00501E65" w:rsidRDefault="00501E65" w:rsidP="00BE7A67">
      <w:pPr>
        <w:pStyle w:val="SCCLsocOtherPartySeparator"/>
        <w:spacing w:after="0"/>
        <w:jc w:val="center"/>
        <w:rPr>
          <w:lang w:val="fr-CA"/>
        </w:rPr>
      </w:pPr>
      <w:r w:rsidRPr="00501E65">
        <w:rPr>
          <w:lang w:val="fr-CA"/>
        </w:rPr>
        <w:t>- et -</w:t>
      </w:r>
    </w:p>
    <w:p w:rsidR="00501E65" w:rsidRPr="00501E65" w:rsidRDefault="00501E65" w:rsidP="00BE7A67">
      <w:pPr>
        <w:pStyle w:val="SCCLsocParty"/>
        <w:jc w:val="center"/>
        <w:rPr>
          <w:lang w:val="fr-CA"/>
        </w:rPr>
      </w:pPr>
      <w:r w:rsidRPr="00501E65">
        <w:rPr>
          <w:lang w:val="fr-CA"/>
        </w:rPr>
        <w:lastRenderedPageBreak/>
        <w:t>Procureur général du Québec, procureur général de la Colombie-Britannique,</w:t>
      </w:r>
    </w:p>
    <w:p w:rsidR="00501E65" w:rsidRPr="00501E65" w:rsidRDefault="00501E65" w:rsidP="00BE7A67">
      <w:pPr>
        <w:pStyle w:val="SCCLsocParty"/>
        <w:jc w:val="center"/>
        <w:rPr>
          <w:lang w:val="fr-CA"/>
        </w:rPr>
      </w:pPr>
      <w:r w:rsidRPr="00501E65">
        <w:rPr>
          <w:lang w:val="fr-CA"/>
        </w:rPr>
        <w:t>procureur général de l’Alberta, Pivot Legal Society, Association canadienne</w:t>
      </w:r>
    </w:p>
    <w:p w:rsidR="00501E65" w:rsidRPr="00501E65" w:rsidRDefault="00501E65" w:rsidP="00BE7A67">
      <w:pPr>
        <w:pStyle w:val="SCCLsocParty"/>
        <w:jc w:val="center"/>
        <w:rPr>
          <w:lang w:val="fr-CA"/>
        </w:rPr>
      </w:pPr>
      <w:r w:rsidRPr="00501E65">
        <w:rPr>
          <w:lang w:val="fr-CA"/>
        </w:rPr>
        <w:t>des libertés civiles, Association des libertés civiles de la Colombie</w:t>
      </w:r>
      <w:r w:rsidRPr="00501E65">
        <w:rPr>
          <w:lang w:val="fr-CA"/>
        </w:rPr>
        <w:noBreakHyphen/>
        <w:t>Britannique et</w:t>
      </w:r>
    </w:p>
    <w:p w:rsidR="00501E65" w:rsidRPr="00501E65" w:rsidRDefault="00501E65" w:rsidP="00BE7A67">
      <w:pPr>
        <w:pStyle w:val="SCCLsocParty"/>
        <w:jc w:val="center"/>
        <w:rPr>
          <w:lang w:val="fr-CA"/>
        </w:rPr>
      </w:pPr>
      <w:r w:rsidRPr="00501E65">
        <w:rPr>
          <w:lang w:val="fr-CA"/>
        </w:rPr>
        <w:t>Association canadienne pour l’intégration communautaire</w:t>
      </w:r>
    </w:p>
    <w:p w:rsidR="00501E65" w:rsidRPr="00501E65" w:rsidRDefault="00501E65" w:rsidP="00BE7A67">
      <w:pPr>
        <w:jc w:val="center"/>
        <w:rPr>
          <w:lang w:val="fr-CA"/>
        </w:rPr>
      </w:pPr>
      <w:r w:rsidRPr="00501E65">
        <w:rPr>
          <w:lang w:val="fr-CA"/>
        </w:rPr>
        <w:t>Intervenants</w:t>
      </w:r>
    </w:p>
    <w:p w:rsidR="00501E65" w:rsidRPr="00501E65" w:rsidRDefault="00501E65" w:rsidP="00BE7A67">
      <w:pPr>
        <w:jc w:val="center"/>
        <w:rPr>
          <w:lang w:val="fr-CA"/>
        </w:rPr>
      </w:pPr>
    </w:p>
    <w:p w:rsidR="00501E65" w:rsidRPr="00501E65" w:rsidRDefault="00501E65" w:rsidP="00501E65">
      <w:pPr>
        <w:rPr>
          <w:lang w:val="fr-CA"/>
        </w:rPr>
      </w:pPr>
    </w:p>
    <w:p w:rsidR="00501E65" w:rsidRPr="00501E65" w:rsidRDefault="00501E65" w:rsidP="00501E65">
      <w:pPr>
        <w:jc w:val="center"/>
        <w:rPr>
          <w:b/>
          <w:smallCaps/>
          <w:lang w:val="fr-CA"/>
        </w:rPr>
      </w:pPr>
      <w:r w:rsidRPr="00501E65">
        <w:rPr>
          <w:b/>
          <w:smallCaps/>
          <w:lang w:val="fr-CA"/>
        </w:rPr>
        <w:t>Traduction française officielle</w:t>
      </w:r>
    </w:p>
    <w:p w:rsidR="00501E65" w:rsidRPr="00501E65" w:rsidRDefault="00501E65" w:rsidP="00501E65">
      <w:pPr>
        <w:rPr>
          <w:lang w:val="fr-CA"/>
        </w:rPr>
      </w:pPr>
    </w:p>
    <w:p w:rsidR="00501E65" w:rsidRPr="00501E65" w:rsidRDefault="00501E65" w:rsidP="00501E65">
      <w:pPr>
        <w:rPr>
          <w:lang w:val="fr-CA"/>
        </w:rPr>
      </w:pPr>
      <w:r w:rsidRPr="00501E65">
        <w:rPr>
          <w:b/>
          <w:smallCaps/>
          <w:lang w:val="fr-CA"/>
        </w:rPr>
        <w:t>Coram :</w:t>
      </w:r>
      <w:r w:rsidRPr="00501E65">
        <w:rPr>
          <w:lang w:val="fr-CA"/>
        </w:rPr>
        <w:t xml:space="preserve"> La juge en chef McLachlin et les juges LeBel, Abella, Rothstein, Cromwell, Moldaver, Karakatsanis, Wagner et Gascon</w:t>
      </w:r>
    </w:p>
    <w:p w:rsidR="00501E65" w:rsidRPr="00501E65" w:rsidRDefault="00501E65" w:rsidP="00501E6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01E65" w:rsidRPr="00CD74F1" w:rsidTr="001562AF">
        <w:trPr>
          <w:cantSplit/>
        </w:trPr>
        <w:tc>
          <w:tcPr>
            <w:tcW w:w="3618" w:type="dxa"/>
          </w:tcPr>
          <w:p w:rsidR="00501E65" w:rsidRPr="00501E65" w:rsidRDefault="00501E65" w:rsidP="001562AF">
            <w:pPr>
              <w:rPr>
                <w:b/>
                <w:smallCaps/>
                <w:lang w:val="fr-CA"/>
              </w:rPr>
            </w:pPr>
            <w:r w:rsidRPr="00501E65">
              <w:rPr>
                <w:b/>
                <w:smallCaps/>
                <w:lang w:val="fr-CA"/>
              </w:rPr>
              <w:t>Motifs de jugement :</w:t>
            </w:r>
          </w:p>
          <w:p w:rsidR="00501E65" w:rsidRPr="00501E65" w:rsidRDefault="00501E65" w:rsidP="001562AF">
            <w:pPr>
              <w:rPr>
                <w:b/>
                <w:smallCaps/>
                <w:lang w:val="fr-CA"/>
              </w:rPr>
            </w:pPr>
            <w:r w:rsidRPr="00501E65">
              <w:rPr>
                <w:lang w:val="fr-CA"/>
              </w:rPr>
              <w:t>(par. 1 à 120)</w:t>
            </w:r>
          </w:p>
          <w:p w:rsidR="00501E65" w:rsidRPr="00501E65" w:rsidRDefault="00501E65" w:rsidP="001562AF">
            <w:pPr>
              <w:rPr>
                <w:b/>
                <w:smallCaps/>
                <w:lang w:val="fr-CA"/>
              </w:rPr>
            </w:pPr>
          </w:p>
          <w:p w:rsidR="00501E65" w:rsidRDefault="00501E65" w:rsidP="001562AF">
            <w:pPr>
              <w:rPr>
                <w:b/>
                <w:smallCaps/>
              </w:rPr>
            </w:pPr>
            <w:r>
              <w:rPr>
                <w:b/>
                <w:smallCaps/>
              </w:rPr>
              <w:t>Motifs dissidents :</w:t>
            </w:r>
          </w:p>
          <w:p w:rsidR="00501E65" w:rsidRDefault="00501E65" w:rsidP="001562AF">
            <w:pPr>
              <w:rPr>
                <w:b/>
                <w:smallCaps/>
              </w:rPr>
            </w:pPr>
            <w:r>
              <w:t>(par. 121 à 199)</w:t>
            </w:r>
          </w:p>
          <w:p w:rsidR="00501E65" w:rsidRPr="001E12E2" w:rsidRDefault="00501E65" w:rsidP="001562AF"/>
        </w:tc>
        <w:tc>
          <w:tcPr>
            <w:tcW w:w="5958" w:type="dxa"/>
          </w:tcPr>
          <w:p w:rsidR="00501E65" w:rsidRPr="00501E65" w:rsidRDefault="00501E65" w:rsidP="001562AF">
            <w:pPr>
              <w:rPr>
                <w:lang w:val="fr-CA"/>
              </w:rPr>
            </w:pPr>
            <w:r w:rsidRPr="00501E65">
              <w:rPr>
                <w:lang w:val="fr-CA"/>
              </w:rPr>
              <w:t>La juge en chef McLachlin (avec l’accord des juges LeBel, Abella, Cromwell, Karakatsanis et Gascon)</w:t>
            </w:r>
          </w:p>
          <w:p w:rsidR="00501E65" w:rsidRPr="00501E65" w:rsidRDefault="00501E65" w:rsidP="001562AF">
            <w:pPr>
              <w:rPr>
                <w:lang w:val="fr-CA"/>
              </w:rPr>
            </w:pPr>
          </w:p>
          <w:p w:rsidR="00501E65" w:rsidRPr="00501E65" w:rsidRDefault="00501E65" w:rsidP="001562AF">
            <w:pPr>
              <w:rPr>
                <w:lang w:val="fr-CA"/>
              </w:rPr>
            </w:pPr>
            <w:r w:rsidRPr="00501E65">
              <w:rPr>
                <w:lang w:val="fr-CA"/>
              </w:rPr>
              <w:t>Le juge Moldaver (avec l’accord des juges Rothstein et Wagner)</w:t>
            </w:r>
          </w:p>
        </w:tc>
      </w:tr>
    </w:tbl>
    <w:p w:rsidR="00501E65" w:rsidRPr="00501E65" w:rsidRDefault="00501E65" w:rsidP="00501E65">
      <w:pPr>
        <w:rPr>
          <w:lang w:val="fr-CA"/>
        </w:rPr>
      </w:pPr>
    </w:p>
    <w:p w:rsidR="00501E65" w:rsidRPr="00501E65" w:rsidRDefault="00CD74F1" w:rsidP="00501E65">
      <w:pPr>
        <w:rPr>
          <w:lang w:val="fr-CA"/>
        </w:rPr>
      </w:pPr>
      <w:r>
        <w:rPr>
          <w:noProof/>
          <w:lang w:val="fr-CA"/>
        </w:rPr>
        <w:pict>
          <v:shapetype id="_x0000_t32" coordsize="21600,21600" o:spt="32" o:oned="t" path="m,l21600,21600e" filled="f">
            <v:path arrowok="t" fillok="f" o:connecttype="none"/>
            <o:lock v:ext="edit" shapetype="t"/>
          </v:shapetype>
          <v:shape id="_x0000_s1034" type="#_x0000_t32" style="position:absolute;margin-left:126.75pt;margin-top:14.5pt;width:197.25pt;height:0;z-index:251661312" o:connectortype="straight"/>
        </w:pict>
      </w:r>
    </w:p>
    <w:p w:rsidR="00501E65" w:rsidRPr="00501E65" w:rsidRDefault="00501E65" w:rsidP="00BD2464">
      <w:pPr>
        <w:rPr>
          <w:lang w:val="fr-CA"/>
        </w:rPr>
      </w:pPr>
    </w:p>
    <w:p w:rsidR="00ED05F6" w:rsidRPr="00501E65" w:rsidRDefault="00ED05F6" w:rsidP="00A659A4">
      <w:pPr>
        <w:pStyle w:val="SCCLsocLastPartyInRole"/>
        <w:jc w:val="both"/>
        <w:rPr>
          <w:b w:val="0"/>
          <w:smallCaps/>
          <w:lang w:val="fr-CA"/>
        </w:rPr>
      </w:pPr>
    </w:p>
    <w:p w:rsidR="009079BC" w:rsidRPr="00501E65" w:rsidRDefault="00501E65" w:rsidP="00A659A4">
      <w:pPr>
        <w:pStyle w:val="SCCLsocLastPartyInRole"/>
        <w:jc w:val="both"/>
        <w:rPr>
          <w:lang w:val="en-US"/>
        </w:rPr>
      </w:pPr>
      <w:r>
        <w:rPr>
          <w:b w:val="0"/>
          <w:lang w:val="en-US"/>
        </w:rPr>
        <w:t>R</w:t>
      </w:r>
      <w:r w:rsidRPr="00501E65">
        <w:rPr>
          <w:b w:val="0"/>
          <w:lang w:val="en-US"/>
        </w:rPr>
        <w:t xml:space="preserve">. </w:t>
      </w:r>
      <w:r w:rsidRPr="00501E65">
        <w:rPr>
          <w:b w:val="0"/>
          <w:i/>
          <w:lang w:val="en-US"/>
        </w:rPr>
        <w:t>c.</w:t>
      </w:r>
      <w:r>
        <w:rPr>
          <w:b w:val="0"/>
          <w:lang w:val="en-US"/>
        </w:rPr>
        <w:t xml:space="preserve"> N</w:t>
      </w:r>
      <w:r w:rsidRPr="00501E65">
        <w:rPr>
          <w:b w:val="0"/>
          <w:lang w:val="en-US"/>
        </w:rPr>
        <w:t>ur</w:t>
      </w:r>
      <w:r w:rsidR="009079BC" w:rsidRPr="00501E65">
        <w:rPr>
          <w:b w:val="0"/>
          <w:smallCaps/>
          <w:lang w:val="en-US"/>
        </w:rPr>
        <w:t xml:space="preserve">, </w:t>
      </w:r>
      <w:r w:rsidR="009079BC" w:rsidRPr="00501E65">
        <w:rPr>
          <w:b w:val="0"/>
          <w:lang w:val="en-US"/>
        </w:rPr>
        <w:t>2015 CSC 15, [2015] 1 R.C.S. 773</w:t>
      </w:r>
    </w:p>
    <w:p w:rsidR="00720A7B" w:rsidRPr="00413A40" w:rsidRDefault="003611D9" w:rsidP="00A659A4">
      <w:pPr>
        <w:pStyle w:val="SCCLsocLastPartyInRole"/>
        <w:jc w:val="both"/>
        <w:rPr>
          <w:lang w:val="fr-CA"/>
        </w:rPr>
      </w:pPr>
      <w:r>
        <w:rPr>
          <w:lang w:val="fr-CA"/>
        </w:rPr>
        <w:t>Sa</w:t>
      </w:r>
      <w:r w:rsidR="008E74EE" w:rsidRPr="00413A40">
        <w:rPr>
          <w:lang w:val="fr-CA"/>
        </w:rPr>
        <w:t xml:space="preserve"> Majesté la Reine</w:t>
      </w:r>
      <w:r w:rsidR="00154CC1" w:rsidRPr="00413A40">
        <w:rPr>
          <w:rStyle w:val="SCCLsocPartyRole"/>
          <w:lang w:val="fr-CA"/>
        </w:rPr>
        <w:tab/>
        <w:t>Appelant</w:t>
      </w:r>
      <w:r w:rsidR="008E74EE" w:rsidRPr="00413A40">
        <w:rPr>
          <w:rStyle w:val="SCCLsocPartyRole"/>
          <w:lang w:val="fr-CA"/>
        </w:rPr>
        <w:t>e</w:t>
      </w:r>
    </w:p>
    <w:p w:rsidR="00720A7B" w:rsidRPr="00413A40" w:rsidRDefault="008E74EE" w:rsidP="00A659A4">
      <w:pPr>
        <w:pStyle w:val="SCCLsocVersus"/>
        <w:jc w:val="both"/>
        <w:rPr>
          <w:lang w:val="fr-CA"/>
        </w:rPr>
      </w:pPr>
      <w:r w:rsidRPr="00413A40">
        <w:rPr>
          <w:lang w:val="fr-CA"/>
        </w:rPr>
        <w:t>c.</w:t>
      </w:r>
    </w:p>
    <w:p w:rsidR="00720A7B" w:rsidRPr="00413A40" w:rsidRDefault="008E74EE" w:rsidP="00A659A4">
      <w:pPr>
        <w:pStyle w:val="SCCLsocLastPartyInRole"/>
        <w:jc w:val="both"/>
        <w:rPr>
          <w:lang w:val="fr-CA"/>
        </w:rPr>
      </w:pPr>
      <w:r w:rsidRPr="00413A40">
        <w:rPr>
          <w:lang w:val="fr-CA"/>
        </w:rPr>
        <w:t>Hussein Jama Nur</w:t>
      </w:r>
      <w:r w:rsidRPr="00413A40">
        <w:rPr>
          <w:rStyle w:val="SCCLsocPartyRole"/>
          <w:lang w:val="fr-CA"/>
        </w:rPr>
        <w:tab/>
        <w:t>Intimé</w:t>
      </w:r>
    </w:p>
    <w:p w:rsidR="00720A7B" w:rsidRPr="00413A40" w:rsidRDefault="00B029AB" w:rsidP="00A659A4">
      <w:pPr>
        <w:pStyle w:val="SCCLsocSubfileSeparator"/>
        <w:jc w:val="both"/>
        <w:rPr>
          <w:lang w:val="fr-CA"/>
        </w:rPr>
      </w:pPr>
      <w:r>
        <w:rPr>
          <w:lang w:val="fr-CA"/>
        </w:rPr>
        <w:t>-</w:t>
      </w:r>
      <w:r w:rsidR="008E74EE" w:rsidRPr="00413A40">
        <w:rPr>
          <w:lang w:val="fr-CA"/>
        </w:rPr>
        <w:t xml:space="preserve"> et </w:t>
      </w:r>
      <w:r>
        <w:rPr>
          <w:lang w:val="fr-CA"/>
        </w:rPr>
        <w:t>-</w:t>
      </w:r>
    </w:p>
    <w:p w:rsidR="00720A7B" w:rsidRPr="00413A40" w:rsidRDefault="008E74EE" w:rsidP="00A659A4">
      <w:pPr>
        <w:pStyle w:val="SCCLsocLastPartyInRole"/>
        <w:jc w:val="both"/>
        <w:rPr>
          <w:lang w:val="fr-CA"/>
        </w:rPr>
      </w:pPr>
      <w:r w:rsidRPr="00413A40">
        <w:rPr>
          <w:lang w:val="fr-CA"/>
        </w:rPr>
        <w:t>Procureur général du Canada</w:t>
      </w:r>
      <w:r w:rsidRPr="00413A40">
        <w:rPr>
          <w:rStyle w:val="SCCLsocPartyRole"/>
          <w:lang w:val="fr-CA"/>
        </w:rPr>
        <w:tab/>
        <w:t>Appelant</w:t>
      </w:r>
    </w:p>
    <w:p w:rsidR="00720A7B" w:rsidRPr="00413A40" w:rsidRDefault="008E74EE" w:rsidP="00A659A4">
      <w:pPr>
        <w:pStyle w:val="SCCLsocVersus"/>
        <w:jc w:val="both"/>
        <w:rPr>
          <w:lang w:val="fr-CA"/>
        </w:rPr>
      </w:pPr>
      <w:r w:rsidRPr="00413A40">
        <w:rPr>
          <w:lang w:val="fr-CA"/>
        </w:rPr>
        <w:lastRenderedPageBreak/>
        <w:t>c.</w:t>
      </w:r>
    </w:p>
    <w:p w:rsidR="00720A7B" w:rsidRPr="00413A40" w:rsidRDefault="008E74EE" w:rsidP="00A659A4">
      <w:pPr>
        <w:pStyle w:val="SCCLsocLastPartyInRole"/>
        <w:jc w:val="both"/>
        <w:rPr>
          <w:lang w:val="fr-CA"/>
        </w:rPr>
      </w:pPr>
      <w:r w:rsidRPr="00413A40">
        <w:rPr>
          <w:lang w:val="fr-CA"/>
        </w:rPr>
        <w:t>Hussein Jama Nur</w:t>
      </w:r>
      <w:r w:rsidRPr="00413A40">
        <w:rPr>
          <w:rStyle w:val="SCCLsocPartyRole"/>
          <w:lang w:val="fr-CA"/>
        </w:rPr>
        <w:tab/>
        <w:t>Intimé</w:t>
      </w:r>
    </w:p>
    <w:p w:rsidR="00720A7B" w:rsidRPr="00413A40" w:rsidRDefault="008E74EE" w:rsidP="00A659A4">
      <w:pPr>
        <w:pStyle w:val="SCCLsocOtherPartySeparator"/>
        <w:jc w:val="both"/>
        <w:rPr>
          <w:lang w:val="fr-CA"/>
        </w:rPr>
      </w:pPr>
      <w:r w:rsidRPr="00413A40">
        <w:rPr>
          <w:lang w:val="fr-CA"/>
        </w:rPr>
        <w:t>et</w:t>
      </w:r>
    </w:p>
    <w:p w:rsidR="00720A7B" w:rsidRPr="00413A40" w:rsidRDefault="008E74EE" w:rsidP="00A659A4">
      <w:pPr>
        <w:pStyle w:val="SCCLsocParty"/>
        <w:rPr>
          <w:lang w:val="fr-CA"/>
        </w:rPr>
      </w:pPr>
      <w:r w:rsidRPr="00413A40">
        <w:rPr>
          <w:lang w:val="fr-CA"/>
        </w:rPr>
        <w:t>Procureur général du Québec,</w:t>
      </w:r>
    </w:p>
    <w:p w:rsidR="00720A7B" w:rsidRPr="00413A40" w:rsidRDefault="008A0347" w:rsidP="00A659A4">
      <w:pPr>
        <w:pStyle w:val="SCCLsocParty"/>
        <w:rPr>
          <w:lang w:val="fr-CA"/>
        </w:rPr>
      </w:pPr>
      <w:r w:rsidRPr="00413A40">
        <w:rPr>
          <w:lang w:val="fr-CA"/>
        </w:rPr>
        <w:t>p</w:t>
      </w:r>
      <w:r w:rsidR="008E74EE" w:rsidRPr="00413A40">
        <w:rPr>
          <w:lang w:val="fr-CA"/>
        </w:rPr>
        <w:t>rocureur général de la Colombie</w:t>
      </w:r>
      <w:r w:rsidR="00B029AB">
        <w:rPr>
          <w:lang w:val="fr-CA"/>
        </w:rPr>
        <w:t>-</w:t>
      </w:r>
      <w:r w:rsidR="008E74EE" w:rsidRPr="00413A40">
        <w:rPr>
          <w:lang w:val="fr-CA"/>
        </w:rPr>
        <w:t>Britannique,</w:t>
      </w:r>
    </w:p>
    <w:p w:rsidR="00720A7B" w:rsidRPr="00413A40" w:rsidRDefault="008A0347" w:rsidP="00A659A4">
      <w:pPr>
        <w:pStyle w:val="SCCLsocParty"/>
        <w:rPr>
          <w:lang w:val="fr-CA"/>
        </w:rPr>
      </w:pPr>
      <w:r w:rsidRPr="00413A40">
        <w:rPr>
          <w:lang w:val="fr-CA"/>
        </w:rPr>
        <w:t>p</w:t>
      </w:r>
      <w:r w:rsidR="008E74EE" w:rsidRPr="00413A40">
        <w:rPr>
          <w:lang w:val="fr-CA"/>
        </w:rPr>
        <w:t>rocureur général de l</w:t>
      </w:r>
      <w:r w:rsidR="002D6B80">
        <w:rPr>
          <w:lang w:val="fr-CA"/>
        </w:rPr>
        <w:t>’</w:t>
      </w:r>
      <w:r w:rsidR="008E74EE" w:rsidRPr="00413A40">
        <w:rPr>
          <w:lang w:val="fr-CA"/>
        </w:rPr>
        <w:t>Alberta,</w:t>
      </w:r>
    </w:p>
    <w:p w:rsidR="00720A7B" w:rsidRPr="00413A40" w:rsidRDefault="008E74EE" w:rsidP="00A659A4">
      <w:pPr>
        <w:pStyle w:val="SCCLsocParty"/>
        <w:rPr>
          <w:lang w:val="fr-CA"/>
        </w:rPr>
      </w:pPr>
      <w:r w:rsidRPr="00413A40">
        <w:rPr>
          <w:lang w:val="fr-CA"/>
        </w:rPr>
        <w:t>Pivot Legal Society,</w:t>
      </w:r>
    </w:p>
    <w:p w:rsidR="00720A7B" w:rsidRPr="00413A40" w:rsidRDefault="008E74EE" w:rsidP="00A659A4">
      <w:pPr>
        <w:pStyle w:val="SCCLsocParty"/>
        <w:rPr>
          <w:lang w:val="fr-CA"/>
        </w:rPr>
      </w:pPr>
      <w:r w:rsidRPr="00413A40">
        <w:rPr>
          <w:lang w:val="fr-CA"/>
        </w:rPr>
        <w:t>Société John Howard du Canada,</w:t>
      </w:r>
    </w:p>
    <w:p w:rsidR="00720A7B" w:rsidRPr="00413A40" w:rsidRDefault="008E74EE" w:rsidP="00A659A4">
      <w:pPr>
        <w:pStyle w:val="SCCLsocParty"/>
        <w:rPr>
          <w:lang w:val="fr-CA"/>
        </w:rPr>
      </w:pPr>
      <w:r w:rsidRPr="00413A40">
        <w:rPr>
          <w:lang w:val="fr-CA"/>
        </w:rPr>
        <w:t>Association canadienne des libertés civiles,</w:t>
      </w:r>
    </w:p>
    <w:p w:rsidR="00720A7B" w:rsidRPr="00413A40" w:rsidRDefault="008E74EE" w:rsidP="00A659A4">
      <w:pPr>
        <w:pStyle w:val="SCCLsocParty"/>
        <w:rPr>
          <w:lang w:val="fr-CA"/>
        </w:rPr>
      </w:pPr>
      <w:r w:rsidRPr="00413A40">
        <w:rPr>
          <w:lang w:val="fr-CA"/>
        </w:rPr>
        <w:t>Association des libertés civiles de la Colombie</w:t>
      </w:r>
      <w:r w:rsidR="00B029AB">
        <w:rPr>
          <w:lang w:val="fr-CA"/>
        </w:rPr>
        <w:t>-</w:t>
      </w:r>
      <w:r w:rsidRPr="00413A40">
        <w:rPr>
          <w:lang w:val="fr-CA"/>
        </w:rPr>
        <w:t>Britannique,</w:t>
      </w:r>
    </w:p>
    <w:p w:rsidR="00720A7B" w:rsidRPr="00413A40" w:rsidRDefault="008E74EE" w:rsidP="00A659A4">
      <w:pPr>
        <w:pStyle w:val="SCCLsocParty"/>
        <w:rPr>
          <w:lang w:val="fr-CA"/>
        </w:rPr>
      </w:pPr>
      <w:r w:rsidRPr="00413A40">
        <w:rPr>
          <w:lang w:val="fr-CA"/>
        </w:rPr>
        <w:t>Advocates</w:t>
      </w:r>
      <w:r w:rsidR="002D6B80">
        <w:rPr>
          <w:lang w:val="fr-CA"/>
        </w:rPr>
        <w:t>’</w:t>
      </w:r>
      <w:r w:rsidRPr="00413A40">
        <w:rPr>
          <w:lang w:val="fr-CA"/>
        </w:rPr>
        <w:t xml:space="preserve"> Society,</w:t>
      </w:r>
    </w:p>
    <w:p w:rsidR="00720A7B" w:rsidRPr="00413A40" w:rsidRDefault="008E74EE" w:rsidP="00A659A4">
      <w:pPr>
        <w:pStyle w:val="SCCLsocParty"/>
        <w:rPr>
          <w:lang w:val="fr-CA"/>
        </w:rPr>
      </w:pPr>
      <w:r w:rsidRPr="00413A40">
        <w:rPr>
          <w:lang w:val="fr-CA"/>
        </w:rPr>
        <w:t>Association du Barreau canadien,</w:t>
      </w:r>
    </w:p>
    <w:p w:rsidR="00720A7B" w:rsidRPr="00413A40" w:rsidRDefault="008E74EE" w:rsidP="00A659A4">
      <w:pPr>
        <w:pStyle w:val="SCCLsocParty"/>
        <w:rPr>
          <w:lang w:val="fr-CA"/>
        </w:rPr>
      </w:pPr>
      <w:r w:rsidRPr="00413A40">
        <w:rPr>
          <w:lang w:val="fr-CA"/>
        </w:rPr>
        <w:t>Association canadienne pour les armes à feu,</w:t>
      </w:r>
    </w:p>
    <w:p w:rsidR="00720A7B" w:rsidRPr="00413A40" w:rsidRDefault="008E74EE" w:rsidP="00A659A4">
      <w:pPr>
        <w:pStyle w:val="SCCLsocParty"/>
        <w:rPr>
          <w:lang w:val="fr-CA"/>
        </w:rPr>
      </w:pPr>
      <w:r w:rsidRPr="00413A40">
        <w:rPr>
          <w:lang w:val="fr-CA"/>
        </w:rPr>
        <w:t xml:space="preserve">Association </w:t>
      </w:r>
      <w:r w:rsidR="00C35FB0" w:rsidRPr="00413A40">
        <w:rPr>
          <w:lang w:val="fr-CA"/>
        </w:rPr>
        <w:t>canadienne pour l</w:t>
      </w:r>
      <w:r w:rsidR="002D6B80">
        <w:rPr>
          <w:lang w:val="fr-CA"/>
        </w:rPr>
        <w:t>’</w:t>
      </w:r>
      <w:r w:rsidR="00C35FB0" w:rsidRPr="00413A40">
        <w:rPr>
          <w:lang w:val="fr-CA"/>
        </w:rPr>
        <w:t>intégration communautaire</w:t>
      </w:r>
      <w:r w:rsidR="008A0347" w:rsidRPr="00413A40">
        <w:rPr>
          <w:lang w:val="fr-CA"/>
        </w:rPr>
        <w:t xml:space="preserve"> et</w:t>
      </w:r>
    </w:p>
    <w:p w:rsidR="00720A7B" w:rsidRPr="00413A40" w:rsidRDefault="00C95B20" w:rsidP="00A659A4">
      <w:pPr>
        <w:pStyle w:val="SCCLsocLastPartyInRole"/>
        <w:jc w:val="both"/>
        <w:rPr>
          <w:lang w:val="fr-CA"/>
        </w:rPr>
      </w:pPr>
      <w:r w:rsidRPr="00413A40">
        <w:rPr>
          <w:lang w:val="fr-CA"/>
        </w:rPr>
        <w:t>Clinique j</w:t>
      </w:r>
      <w:r w:rsidR="00360713" w:rsidRPr="00413A40">
        <w:rPr>
          <w:lang w:val="fr-CA"/>
        </w:rPr>
        <w:t xml:space="preserve">uridique </w:t>
      </w:r>
      <w:r w:rsidRPr="00413A40">
        <w:rPr>
          <w:lang w:val="fr-CA"/>
        </w:rPr>
        <w:t>a</w:t>
      </w:r>
      <w:r w:rsidR="00360713" w:rsidRPr="00413A40">
        <w:rPr>
          <w:lang w:val="fr-CA"/>
        </w:rPr>
        <w:t xml:space="preserve">fricaine </w:t>
      </w:r>
      <w:r w:rsidRPr="00413A40">
        <w:rPr>
          <w:lang w:val="fr-CA"/>
        </w:rPr>
        <w:t>c</w:t>
      </w:r>
      <w:r w:rsidR="00360713" w:rsidRPr="00413A40">
        <w:rPr>
          <w:lang w:val="fr-CA"/>
        </w:rPr>
        <w:t>anadienne</w:t>
      </w:r>
      <w:r w:rsidR="00052A2C" w:rsidRPr="00413A40">
        <w:rPr>
          <w:rStyle w:val="SCCLsocPartyRole"/>
          <w:lang w:val="fr-CA"/>
        </w:rPr>
        <w:tab/>
        <w:t>Intervenant</w:t>
      </w:r>
      <w:r w:rsidR="008E74EE" w:rsidRPr="00413A40">
        <w:rPr>
          <w:rStyle w:val="SCCLsocPartyRole"/>
          <w:lang w:val="fr-CA"/>
        </w:rPr>
        <w:t>s</w:t>
      </w:r>
    </w:p>
    <w:p w:rsidR="00720089" w:rsidRPr="00413A40" w:rsidRDefault="00B029AB" w:rsidP="00A659A4">
      <w:pPr>
        <w:pStyle w:val="SCCLsocSubfileSeparator"/>
        <w:jc w:val="both"/>
        <w:rPr>
          <w:lang w:val="fr-CA"/>
        </w:rPr>
      </w:pPr>
      <w:r>
        <w:rPr>
          <w:lang w:val="fr-CA"/>
        </w:rPr>
        <w:t>-</w:t>
      </w:r>
      <w:r w:rsidR="00720089" w:rsidRPr="00413A40">
        <w:rPr>
          <w:lang w:val="fr-CA"/>
        </w:rPr>
        <w:t xml:space="preserve"> et </w:t>
      </w:r>
      <w:r>
        <w:rPr>
          <w:lang w:val="fr-CA"/>
        </w:rPr>
        <w:t>-</w:t>
      </w:r>
    </w:p>
    <w:p w:rsidR="00720089" w:rsidRPr="00413A40" w:rsidRDefault="00720089" w:rsidP="00A659A4">
      <w:pPr>
        <w:pStyle w:val="SCCLsocLastPartyInRole"/>
        <w:jc w:val="both"/>
        <w:rPr>
          <w:lang w:val="fr-CA"/>
        </w:rPr>
      </w:pPr>
      <w:r w:rsidRPr="00413A40">
        <w:rPr>
          <w:lang w:val="fr-CA"/>
        </w:rPr>
        <w:t>Sa Majesté la Reine</w:t>
      </w:r>
      <w:r w:rsidRPr="00413A40">
        <w:rPr>
          <w:rStyle w:val="SCCLsocPartyRole"/>
          <w:lang w:val="fr-CA"/>
        </w:rPr>
        <w:tab/>
        <w:t>Appelante</w:t>
      </w:r>
    </w:p>
    <w:p w:rsidR="00720089" w:rsidRPr="00413A40" w:rsidRDefault="00720089" w:rsidP="00A659A4">
      <w:pPr>
        <w:pStyle w:val="SCCLsocVersus"/>
        <w:jc w:val="both"/>
        <w:rPr>
          <w:lang w:val="fr-CA"/>
        </w:rPr>
      </w:pPr>
      <w:r w:rsidRPr="00413A40">
        <w:rPr>
          <w:lang w:val="fr-CA"/>
        </w:rPr>
        <w:t>c.</w:t>
      </w:r>
    </w:p>
    <w:p w:rsidR="00720089" w:rsidRPr="00413A40" w:rsidRDefault="00720089" w:rsidP="00A659A4">
      <w:pPr>
        <w:pStyle w:val="SCCLsocLastPartyInRole"/>
        <w:jc w:val="both"/>
        <w:rPr>
          <w:lang w:val="fr-CA"/>
        </w:rPr>
      </w:pPr>
      <w:r w:rsidRPr="00413A40">
        <w:rPr>
          <w:lang w:val="fr-CA"/>
        </w:rPr>
        <w:t>Sidney Charles</w:t>
      </w:r>
      <w:r w:rsidRPr="00413A40">
        <w:rPr>
          <w:rStyle w:val="SCCLsocPartyRole"/>
          <w:lang w:val="fr-CA"/>
        </w:rPr>
        <w:tab/>
        <w:t>Intimé</w:t>
      </w:r>
    </w:p>
    <w:p w:rsidR="00720089" w:rsidRPr="00413A40" w:rsidRDefault="00B029AB" w:rsidP="00A659A4">
      <w:pPr>
        <w:pStyle w:val="SCCLsocSubfileSeparator"/>
        <w:jc w:val="both"/>
        <w:rPr>
          <w:lang w:val="fr-CA"/>
        </w:rPr>
      </w:pPr>
      <w:r>
        <w:rPr>
          <w:lang w:val="fr-CA"/>
        </w:rPr>
        <w:t>-</w:t>
      </w:r>
      <w:r w:rsidR="00720089" w:rsidRPr="00413A40">
        <w:rPr>
          <w:lang w:val="fr-CA"/>
        </w:rPr>
        <w:t xml:space="preserve"> et </w:t>
      </w:r>
      <w:r>
        <w:rPr>
          <w:lang w:val="fr-CA"/>
        </w:rPr>
        <w:t>-</w:t>
      </w:r>
    </w:p>
    <w:p w:rsidR="00720089" w:rsidRPr="00413A40" w:rsidRDefault="00720089" w:rsidP="00A659A4">
      <w:pPr>
        <w:pStyle w:val="SCCLsocLastPartyInRole"/>
        <w:jc w:val="both"/>
        <w:rPr>
          <w:lang w:val="fr-CA"/>
        </w:rPr>
      </w:pPr>
      <w:r w:rsidRPr="00413A40">
        <w:rPr>
          <w:lang w:val="fr-CA"/>
        </w:rPr>
        <w:t>Procureur général du Canada</w:t>
      </w:r>
      <w:r w:rsidRPr="00413A40">
        <w:rPr>
          <w:rStyle w:val="SCCLsocPartyRole"/>
          <w:lang w:val="fr-CA"/>
        </w:rPr>
        <w:tab/>
        <w:t>Appelant</w:t>
      </w:r>
    </w:p>
    <w:p w:rsidR="00720089" w:rsidRPr="00413A40" w:rsidRDefault="00720089" w:rsidP="00A659A4">
      <w:pPr>
        <w:pStyle w:val="SCCLsocVersus"/>
        <w:jc w:val="both"/>
        <w:rPr>
          <w:lang w:val="fr-CA"/>
        </w:rPr>
      </w:pPr>
      <w:r w:rsidRPr="00413A40">
        <w:rPr>
          <w:lang w:val="fr-CA"/>
        </w:rPr>
        <w:lastRenderedPageBreak/>
        <w:t>c.</w:t>
      </w:r>
    </w:p>
    <w:p w:rsidR="00720089" w:rsidRPr="00413A40" w:rsidRDefault="00720089" w:rsidP="00A659A4">
      <w:pPr>
        <w:pStyle w:val="SCCLsocLastPartyInRole"/>
        <w:jc w:val="both"/>
        <w:rPr>
          <w:lang w:val="fr-CA"/>
        </w:rPr>
      </w:pPr>
      <w:r w:rsidRPr="00413A40">
        <w:rPr>
          <w:lang w:val="fr-CA"/>
        </w:rPr>
        <w:t>Sidney Charles</w:t>
      </w:r>
      <w:r w:rsidRPr="00413A40">
        <w:rPr>
          <w:rStyle w:val="SCCLsocPartyRole"/>
          <w:lang w:val="fr-CA"/>
        </w:rPr>
        <w:tab/>
        <w:t>Intimé</w:t>
      </w:r>
    </w:p>
    <w:p w:rsidR="00720089" w:rsidRPr="00413A40" w:rsidRDefault="00720089" w:rsidP="00A659A4">
      <w:pPr>
        <w:pStyle w:val="SCCLsocOtherPartySeparator"/>
        <w:jc w:val="both"/>
        <w:rPr>
          <w:lang w:val="fr-CA"/>
        </w:rPr>
      </w:pPr>
      <w:r w:rsidRPr="00413A40">
        <w:rPr>
          <w:lang w:val="fr-CA"/>
        </w:rPr>
        <w:t>et</w:t>
      </w:r>
    </w:p>
    <w:p w:rsidR="00720089" w:rsidRPr="00413A40" w:rsidRDefault="00720089" w:rsidP="00A659A4">
      <w:pPr>
        <w:pStyle w:val="SCCLsocParty"/>
        <w:rPr>
          <w:lang w:val="fr-CA"/>
        </w:rPr>
      </w:pPr>
      <w:r w:rsidRPr="00413A40">
        <w:rPr>
          <w:lang w:val="fr-CA"/>
        </w:rPr>
        <w:t>Procureur général du Québec,</w:t>
      </w:r>
    </w:p>
    <w:p w:rsidR="00720089" w:rsidRPr="00413A40" w:rsidRDefault="008A0347" w:rsidP="00A659A4">
      <w:pPr>
        <w:pStyle w:val="SCCLsocParty"/>
        <w:rPr>
          <w:lang w:val="fr-CA"/>
        </w:rPr>
      </w:pPr>
      <w:r w:rsidRPr="00413A40">
        <w:rPr>
          <w:lang w:val="fr-CA"/>
        </w:rPr>
        <w:t>p</w:t>
      </w:r>
      <w:r w:rsidR="00720089" w:rsidRPr="00413A40">
        <w:rPr>
          <w:lang w:val="fr-CA"/>
        </w:rPr>
        <w:t>rocureur général de la Colombie</w:t>
      </w:r>
      <w:r w:rsidR="00B029AB">
        <w:rPr>
          <w:lang w:val="fr-CA"/>
        </w:rPr>
        <w:t>-</w:t>
      </w:r>
      <w:r w:rsidR="00720089" w:rsidRPr="00413A40">
        <w:rPr>
          <w:lang w:val="fr-CA"/>
        </w:rPr>
        <w:t>Britannique,</w:t>
      </w:r>
    </w:p>
    <w:p w:rsidR="00720089" w:rsidRPr="00413A40" w:rsidRDefault="008A0347" w:rsidP="00A659A4">
      <w:pPr>
        <w:pStyle w:val="SCCLsocParty"/>
        <w:rPr>
          <w:lang w:val="fr-CA"/>
        </w:rPr>
      </w:pPr>
      <w:r w:rsidRPr="00413A40">
        <w:rPr>
          <w:lang w:val="fr-CA"/>
        </w:rPr>
        <w:t>p</w:t>
      </w:r>
      <w:r w:rsidR="00720089" w:rsidRPr="00413A40">
        <w:rPr>
          <w:lang w:val="fr-CA"/>
        </w:rPr>
        <w:t>rocureur général de l</w:t>
      </w:r>
      <w:r w:rsidR="002D6B80">
        <w:rPr>
          <w:lang w:val="fr-CA"/>
        </w:rPr>
        <w:t>’</w:t>
      </w:r>
      <w:r w:rsidR="00720089" w:rsidRPr="00413A40">
        <w:rPr>
          <w:lang w:val="fr-CA"/>
        </w:rPr>
        <w:t>Alberta,</w:t>
      </w:r>
    </w:p>
    <w:p w:rsidR="00720089" w:rsidRPr="00413A40" w:rsidRDefault="00720089" w:rsidP="00A659A4">
      <w:pPr>
        <w:pStyle w:val="SCCLsocParty"/>
        <w:rPr>
          <w:lang w:val="fr-CA"/>
        </w:rPr>
      </w:pPr>
      <w:r w:rsidRPr="00413A40">
        <w:rPr>
          <w:lang w:val="fr-CA"/>
        </w:rPr>
        <w:t>Pivot Legal Society,</w:t>
      </w:r>
    </w:p>
    <w:p w:rsidR="00720089" w:rsidRPr="00413A40" w:rsidRDefault="00720089" w:rsidP="00A659A4">
      <w:pPr>
        <w:pStyle w:val="SCCLsocParty"/>
        <w:rPr>
          <w:lang w:val="fr-CA"/>
        </w:rPr>
      </w:pPr>
      <w:r w:rsidRPr="00413A40">
        <w:rPr>
          <w:lang w:val="fr-CA"/>
        </w:rPr>
        <w:t>Association canadienne des libertés civiles,</w:t>
      </w:r>
    </w:p>
    <w:p w:rsidR="00720089" w:rsidRPr="00413A40" w:rsidRDefault="00720089" w:rsidP="00A659A4">
      <w:pPr>
        <w:pStyle w:val="SCCLsocParty"/>
        <w:rPr>
          <w:lang w:val="fr-CA"/>
        </w:rPr>
      </w:pPr>
      <w:r w:rsidRPr="00413A40">
        <w:rPr>
          <w:lang w:val="fr-CA"/>
        </w:rPr>
        <w:t>Association des libertés civiles de la Colombie</w:t>
      </w:r>
      <w:r w:rsidR="00B029AB">
        <w:rPr>
          <w:lang w:val="fr-CA"/>
        </w:rPr>
        <w:t>-</w:t>
      </w:r>
      <w:r w:rsidRPr="00413A40">
        <w:rPr>
          <w:lang w:val="fr-CA"/>
        </w:rPr>
        <w:t>Britannique</w:t>
      </w:r>
      <w:r w:rsidR="008A0347" w:rsidRPr="00413A40">
        <w:rPr>
          <w:lang w:val="fr-CA"/>
        </w:rPr>
        <w:t xml:space="preserve"> et</w:t>
      </w:r>
    </w:p>
    <w:p w:rsidR="00720089" w:rsidRPr="00413A40" w:rsidRDefault="00720089" w:rsidP="00A659A4">
      <w:pPr>
        <w:pStyle w:val="SCCLsocParty"/>
        <w:spacing w:after="720"/>
        <w:rPr>
          <w:lang w:val="fr-CA"/>
        </w:rPr>
      </w:pPr>
      <w:r w:rsidRPr="00413A40">
        <w:rPr>
          <w:lang w:val="fr-CA"/>
        </w:rPr>
        <w:t>Association canadienne pour l</w:t>
      </w:r>
      <w:r w:rsidR="002D6B80">
        <w:rPr>
          <w:lang w:val="fr-CA"/>
        </w:rPr>
        <w:t>’</w:t>
      </w:r>
      <w:r w:rsidRPr="00413A40">
        <w:rPr>
          <w:lang w:val="fr-CA"/>
        </w:rPr>
        <w:t>intégration communautaire</w:t>
      </w:r>
      <w:r w:rsidRPr="00413A40">
        <w:rPr>
          <w:rStyle w:val="SCCLsocPartyRole"/>
          <w:lang w:val="fr-CA"/>
        </w:rPr>
        <w:tab/>
        <w:t>Intervenants</w:t>
      </w:r>
    </w:p>
    <w:p w:rsidR="004D7D95" w:rsidRPr="00413A40" w:rsidRDefault="004D7D95" w:rsidP="00A659A4">
      <w:pPr>
        <w:spacing w:after="720"/>
        <w:jc w:val="both"/>
        <w:rPr>
          <w:b/>
          <w:lang w:val="fr-CA"/>
        </w:rPr>
      </w:pPr>
      <w:r w:rsidRPr="00413A40">
        <w:rPr>
          <w:b/>
          <w:lang w:val="fr-CA"/>
        </w:rPr>
        <w:t>Répertorié</w:t>
      </w:r>
      <w:r w:rsidR="00B029AB">
        <w:rPr>
          <w:b/>
          <w:lang w:val="fr-CA"/>
        </w:rPr>
        <w:t xml:space="preserve"> : </w:t>
      </w:r>
      <w:r w:rsidRPr="002D6B80">
        <w:rPr>
          <w:b/>
          <w:lang w:val="fr-CA"/>
        </w:rPr>
        <w:t xml:space="preserve">R. </w:t>
      </w:r>
      <w:r w:rsidRPr="00413A40">
        <w:rPr>
          <w:b/>
          <w:i/>
          <w:lang w:val="fr-CA"/>
        </w:rPr>
        <w:t>c.</w:t>
      </w:r>
      <w:r w:rsidRPr="00413A40">
        <w:rPr>
          <w:b/>
          <w:lang w:val="fr-CA"/>
        </w:rPr>
        <w:t xml:space="preserve"> </w:t>
      </w:r>
      <w:r w:rsidRPr="002D6B80">
        <w:rPr>
          <w:b/>
          <w:lang w:val="fr-CA"/>
        </w:rPr>
        <w:t>Nur</w:t>
      </w:r>
    </w:p>
    <w:p w:rsidR="004D7D95" w:rsidRPr="00413A40" w:rsidRDefault="00F62639" w:rsidP="00A659A4">
      <w:pPr>
        <w:pStyle w:val="SCCSystemYear"/>
        <w:spacing w:after="720"/>
        <w:jc w:val="both"/>
        <w:rPr>
          <w:lang w:val="fr-CA"/>
        </w:rPr>
      </w:pPr>
      <w:r w:rsidRPr="00413A40">
        <w:rPr>
          <w:lang w:val="fr-CA"/>
        </w:rPr>
        <w:t>2015</w:t>
      </w:r>
      <w:r w:rsidR="003002A8" w:rsidRPr="00413A40">
        <w:rPr>
          <w:lang w:val="fr-CA"/>
        </w:rPr>
        <w:t xml:space="preserve"> CSC</w:t>
      </w:r>
      <w:r w:rsidR="00B029AB">
        <w:rPr>
          <w:lang w:val="fr-CA"/>
        </w:rPr>
        <w:t xml:space="preserve"> </w:t>
      </w:r>
      <w:r w:rsidR="003002A8" w:rsidRPr="00413A40">
        <w:rPr>
          <w:lang w:val="fr-CA"/>
        </w:rPr>
        <w:t>15</w:t>
      </w:r>
    </w:p>
    <w:p w:rsidR="004D7D95" w:rsidRPr="00413A40" w:rsidRDefault="004D7D95" w:rsidP="00A659A4">
      <w:pPr>
        <w:spacing w:after="720"/>
        <w:jc w:val="both"/>
        <w:rPr>
          <w:lang w:val="fr-CA"/>
        </w:rPr>
      </w:pPr>
      <w:r w:rsidRPr="00413A40">
        <w:rPr>
          <w:lang w:val="fr-CA"/>
        </w:rPr>
        <w:t>N</w:t>
      </w:r>
      <w:r w:rsidRPr="00413A40">
        <w:rPr>
          <w:vertAlign w:val="superscript"/>
          <w:lang w:val="fr-CA"/>
        </w:rPr>
        <w:t>o</w:t>
      </w:r>
      <w:r w:rsidR="00605227" w:rsidRPr="00413A40">
        <w:rPr>
          <w:vertAlign w:val="superscript"/>
          <w:lang w:val="fr-CA"/>
        </w:rPr>
        <w:t>s</w:t>
      </w:r>
      <w:r w:rsidRPr="00413A40">
        <w:rPr>
          <w:lang w:val="fr-CA"/>
        </w:rPr>
        <w:t xml:space="preserve"> du greffe</w:t>
      </w:r>
      <w:r w:rsidR="00B029AB">
        <w:rPr>
          <w:lang w:val="fr-CA"/>
        </w:rPr>
        <w:t xml:space="preserve"> : </w:t>
      </w:r>
      <w:r w:rsidRPr="00413A40">
        <w:rPr>
          <w:lang w:val="fr-CA"/>
        </w:rPr>
        <w:t>35678</w:t>
      </w:r>
      <w:r w:rsidR="00520DED" w:rsidRPr="00413A40">
        <w:rPr>
          <w:lang w:val="fr-CA"/>
        </w:rPr>
        <w:t>,</w:t>
      </w:r>
      <w:r w:rsidR="00605227" w:rsidRPr="00413A40">
        <w:rPr>
          <w:lang w:val="fr-CA"/>
        </w:rPr>
        <w:t xml:space="preserve"> 35684</w:t>
      </w:r>
      <w:r w:rsidRPr="00413A40">
        <w:rPr>
          <w:lang w:val="fr-CA"/>
        </w:rPr>
        <w:t>.</w:t>
      </w:r>
    </w:p>
    <w:p w:rsidR="004D7D95" w:rsidRPr="00413A40" w:rsidRDefault="008A0347" w:rsidP="00A659A4">
      <w:pPr>
        <w:spacing w:after="720"/>
        <w:jc w:val="both"/>
        <w:rPr>
          <w:lang w:val="fr-CA"/>
        </w:rPr>
      </w:pPr>
      <w:r w:rsidRPr="00413A40">
        <w:rPr>
          <w:lang w:val="fr-CA"/>
        </w:rPr>
        <w:t>2014</w:t>
      </w:r>
      <w:r w:rsidR="00B029AB">
        <w:rPr>
          <w:lang w:val="fr-CA"/>
        </w:rPr>
        <w:t xml:space="preserve"> : </w:t>
      </w:r>
      <w:r w:rsidR="00645B9C" w:rsidRPr="00413A40">
        <w:rPr>
          <w:lang w:val="fr-CA"/>
        </w:rPr>
        <w:t>7</w:t>
      </w:r>
      <w:r w:rsidR="00B029AB">
        <w:rPr>
          <w:lang w:val="fr-CA"/>
        </w:rPr>
        <w:t xml:space="preserve"> </w:t>
      </w:r>
      <w:r w:rsidR="00F62639" w:rsidRPr="00413A40">
        <w:rPr>
          <w:lang w:val="fr-CA"/>
        </w:rPr>
        <w:t>novembre</w:t>
      </w:r>
      <w:r w:rsidR="004D7D95" w:rsidRPr="00413A40">
        <w:rPr>
          <w:lang w:val="fr-CA"/>
        </w:rPr>
        <w:t xml:space="preserve">; </w:t>
      </w:r>
      <w:r w:rsidR="00052A2C" w:rsidRPr="00413A40">
        <w:rPr>
          <w:lang w:val="fr-CA"/>
        </w:rPr>
        <w:t>2015</w:t>
      </w:r>
      <w:r w:rsidR="00B029AB">
        <w:rPr>
          <w:lang w:val="fr-CA"/>
        </w:rPr>
        <w:t xml:space="preserve"> : </w:t>
      </w:r>
      <w:r w:rsidR="00C85727" w:rsidRPr="00413A40">
        <w:rPr>
          <w:lang w:val="fr-CA"/>
        </w:rPr>
        <w:t>14</w:t>
      </w:r>
      <w:r w:rsidR="00B029AB">
        <w:rPr>
          <w:lang w:val="fr-CA"/>
        </w:rPr>
        <w:t xml:space="preserve"> </w:t>
      </w:r>
      <w:r w:rsidR="00C85727" w:rsidRPr="00413A40">
        <w:rPr>
          <w:lang w:val="fr-CA"/>
        </w:rPr>
        <w:t>avril</w:t>
      </w:r>
      <w:r w:rsidR="004D7D95" w:rsidRPr="00413A40">
        <w:rPr>
          <w:lang w:val="fr-CA"/>
        </w:rPr>
        <w:t>.</w:t>
      </w:r>
    </w:p>
    <w:p w:rsidR="004D7D95" w:rsidRPr="00413A40" w:rsidRDefault="004D7D95" w:rsidP="00A659A4">
      <w:pPr>
        <w:spacing w:after="720"/>
        <w:jc w:val="both"/>
        <w:rPr>
          <w:lang w:val="fr-CA"/>
        </w:rPr>
      </w:pPr>
      <w:r w:rsidRPr="00413A40">
        <w:rPr>
          <w:lang w:val="fr-CA"/>
        </w:rPr>
        <w:t>Présents</w:t>
      </w:r>
      <w:r w:rsidR="00B029AB">
        <w:rPr>
          <w:lang w:val="fr-CA"/>
        </w:rPr>
        <w:t xml:space="preserve"> : </w:t>
      </w:r>
      <w:r w:rsidRPr="00413A40">
        <w:rPr>
          <w:lang w:val="fr-CA"/>
        </w:rPr>
        <w:t>La juge en chef McLachlin et les juges LeBel, Abella, Rothstein, Cromwell, Moldaver, Karakatsanis, Wagner et Gascon.</w:t>
      </w:r>
    </w:p>
    <w:p w:rsidR="004D7D95" w:rsidRPr="00413A40" w:rsidRDefault="009B4F68" w:rsidP="00A659A4">
      <w:pPr>
        <w:spacing w:after="720"/>
        <w:jc w:val="both"/>
        <w:rPr>
          <w:smallCaps/>
          <w:lang w:val="fr-CA"/>
        </w:rPr>
      </w:pPr>
      <w:r w:rsidRPr="00413A40">
        <w:rPr>
          <w:smallCaps/>
          <w:lang w:val="fr-CA"/>
        </w:rPr>
        <w:t>en appel de la cour d</w:t>
      </w:r>
      <w:r w:rsidR="002D6B80">
        <w:rPr>
          <w:smallCaps/>
          <w:lang w:val="fr-CA"/>
        </w:rPr>
        <w:t>’</w:t>
      </w:r>
      <w:r w:rsidRPr="00413A40">
        <w:rPr>
          <w:smallCaps/>
          <w:lang w:val="fr-CA"/>
        </w:rPr>
        <w:t>appel de l</w:t>
      </w:r>
      <w:r w:rsidR="002D6B80">
        <w:rPr>
          <w:smallCaps/>
          <w:lang w:val="fr-CA"/>
        </w:rPr>
        <w:t>’</w:t>
      </w:r>
      <w:r w:rsidRPr="00413A40">
        <w:rPr>
          <w:smallCaps/>
          <w:lang w:val="fr-CA"/>
        </w:rPr>
        <w:t>ontario</w:t>
      </w:r>
    </w:p>
    <w:p w:rsidR="00781DB0" w:rsidRPr="00413A40" w:rsidRDefault="004D7D95" w:rsidP="00A659A4">
      <w:pPr>
        <w:pStyle w:val="SCCNormalDoubleSpacing"/>
        <w:spacing w:after="480"/>
        <w:rPr>
          <w:i/>
          <w:lang w:val="fr-CA"/>
        </w:rPr>
      </w:pPr>
      <w:r w:rsidRPr="00413A40">
        <w:rPr>
          <w:lang w:val="fr-CA"/>
        </w:rPr>
        <w:tab/>
      </w:r>
      <w:r w:rsidR="00781DB0" w:rsidRPr="00413A40">
        <w:rPr>
          <w:i/>
          <w:lang w:val="fr-CA"/>
        </w:rPr>
        <w:t xml:space="preserve">Droit constitutionnel — Charte des droits — Traitements ou peines cruels et inusités — Détermination de la peine — Peine minimale obligatoire — Armes à feu </w:t>
      </w:r>
      <w:r w:rsidR="00781DB0" w:rsidRPr="00413A40">
        <w:rPr>
          <w:i/>
          <w:lang w:val="fr-CA"/>
        </w:rPr>
        <w:lastRenderedPageBreak/>
        <w:t>— Accusés déclarés coupables de possession d</w:t>
      </w:r>
      <w:r w:rsidR="002D6B80">
        <w:rPr>
          <w:i/>
          <w:lang w:val="fr-CA"/>
        </w:rPr>
        <w:t>’</w:t>
      </w:r>
      <w:r w:rsidR="00781DB0" w:rsidRPr="00413A40">
        <w:rPr>
          <w:i/>
          <w:lang w:val="fr-CA"/>
        </w:rPr>
        <w:t>armes à feu prohibées chargées</w:t>
      </w:r>
      <w:r w:rsidR="000972B5">
        <w:rPr>
          <w:i/>
          <w:lang w:val="fr-CA"/>
        </w:rPr>
        <w:t xml:space="preserve"> </w:t>
      </w:r>
      <w:r w:rsidR="00781DB0" w:rsidRPr="00413A40">
        <w:rPr>
          <w:i/>
          <w:lang w:val="fr-CA"/>
        </w:rPr>
        <w:t xml:space="preserve">— Accusés condamnés à des peines </w:t>
      </w:r>
      <w:r w:rsidR="00F9014A">
        <w:rPr>
          <w:i/>
          <w:lang w:val="fr-CA"/>
        </w:rPr>
        <w:t xml:space="preserve">supérieures aux peines </w:t>
      </w:r>
      <w:r w:rsidR="00781DB0" w:rsidRPr="00413A40">
        <w:rPr>
          <w:i/>
          <w:lang w:val="fr-CA"/>
        </w:rPr>
        <w:t>minimales obligatoires d</w:t>
      </w:r>
      <w:r w:rsidR="002D6B80">
        <w:rPr>
          <w:i/>
          <w:lang w:val="fr-CA"/>
        </w:rPr>
        <w:t>’</w:t>
      </w:r>
      <w:r w:rsidR="00781DB0" w:rsidRPr="00413A40">
        <w:rPr>
          <w:i/>
          <w:lang w:val="fr-CA"/>
        </w:rPr>
        <w:t xml:space="preserve">emprisonnement </w:t>
      </w:r>
      <w:r w:rsidR="00F9014A">
        <w:rPr>
          <w:i/>
          <w:lang w:val="fr-CA"/>
        </w:rPr>
        <w:t xml:space="preserve">prévues à l’art. 95(2) du Code criminel </w:t>
      </w:r>
      <w:r w:rsidR="00781DB0" w:rsidRPr="00413A40">
        <w:rPr>
          <w:i/>
          <w:lang w:val="fr-CA"/>
        </w:rPr>
        <w:t>— Les peines minimales obligatoires d</w:t>
      </w:r>
      <w:r w:rsidR="002D6B80">
        <w:rPr>
          <w:i/>
          <w:lang w:val="fr-CA"/>
        </w:rPr>
        <w:t>’</w:t>
      </w:r>
      <w:r w:rsidR="00781DB0" w:rsidRPr="00413A40">
        <w:rPr>
          <w:i/>
          <w:lang w:val="fr-CA"/>
        </w:rPr>
        <w:t>emprisonnement emportent</w:t>
      </w:r>
      <w:r w:rsidR="00B029AB">
        <w:rPr>
          <w:i/>
          <w:lang w:val="fr-CA"/>
        </w:rPr>
        <w:t>-</w:t>
      </w:r>
      <w:r w:rsidR="00781DB0" w:rsidRPr="00413A40">
        <w:rPr>
          <w:i/>
          <w:lang w:val="fr-CA"/>
        </w:rPr>
        <w:t xml:space="preserve">elles </w:t>
      </w:r>
      <w:r w:rsidR="003C0F0E" w:rsidRPr="00413A40">
        <w:rPr>
          <w:i/>
          <w:lang w:val="fr-CA"/>
        </w:rPr>
        <w:t>l</w:t>
      </w:r>
      <w:r w:rsidR="002D6B80">
        <w:rPr>
          <w:i/>
          <w:lang w:val="fr-CA"/>
        </w:rPr>
        <w:t>’</w:t>
      </w:r>
      <w:r w:rsidR="003C0F0E" w:rsidRPr="00413A40">
        <w:rPr>
          <w:i/>
          <w:lang w:val="fr-CA"/>
        </w:rPr>
        <w:t xml:space="preserve">infliction </w:t>
      </w:r>
      <w:r w:rsidR="00781DB0" w:rsidRPr="00413A40">
        <w:rPr>
          <w:i/>
          <w:lang w:val="fr-CA"/>
        </w:rPr>
        <w:t xml:space="preserve">de peines cruelles et inusitées aux accusés? — Dans la négative, les applications raisonnablement prévisibles </w:t>
      </w:r>
      <w:r w:rsidR="00381110">
        <w:rPr>
          <w:i/>
          <w:lang w:val="fr-CA"/>
        </w:rPr>
        <w:t>de l’art.</w:t>
      </w:r>
      <w:r w:rsidR="00B029AB">
        <w:rPr>
          <w:i/>
          <w:lang w:val="fr-CA"/>
        </w:rPr>
        <w:t xml:space="preserve"> </w:t>
      </w:r>
      <w:r w:rsidR="00781DB0" w:rsidRPr="00413A40">
        <w:rPr>
          <w:i/>
          <w:lang w:val="fr-CA"/>
        </w:rPr>
        <w:t>95(2) infligeront</w:t>
      </w:r>
      <w:r w:rsidR="00B029AB">
        <w:rPr>
          <w:i/>
          <w:lang w:val="fr-CA"/>
        </w:rPr>
        <w:t>-</w:t>
      </w:r>
      <w:r w:rsidR="00781DB0" w:rsidRPr="00413A40">
        <w:rPr>
          <w:i/>
          <w:lang w:val="fr-CA"/>
        </w:rPr>
        <w:t>elles des peines cruelles et inusitées à d</w:t>
      </w:r>
      <w:r w:rsidR="002D6B80">
        <w:rPr>
          <w:i/>
          <w:lang w:val="fr-CA"/>
        </w:rPr>
        <w:t>’</w:t>
      </w:r>
      <w:r w:rsidR="00781DB0" w:rsidRPr="00413A40">
        <w:rPr>
          <w:i/>
          <w:lang w:val="fr-CA"/>
        </w:rPr>
        <w:t>autres délinquants? —</w:t>
      </w:r>
      <w:r w:rsidR="00781DB0" w:rsidRPr="00413A40">
        <w:rPr>
          <w:lang w:val="fr-CA"/>
        </w:rPr>
        <w:t xml:space="preserve"> </w:t>
      </w:r>
      <w:r w:rsidR="00BB72B1">
        <w:rPr>
          <w:i/>
          <w:lang w:val="fr-CA"/>
        </w:rPr>
        <w:t>Dans l’affirmative, l’atteinte est</w:t>
      </w:r>
      <w:r w:rsidR="00B029AB">
        <w:rPr>
          <w:i/>
          <w:lang w:val="fr-CA"/>
        </w:rPr>
        <w:t>-</w:t>
      </w:r>
      <w:r w:rsidR="00BB72B1">
        <w:rPr>
          <w:i/>
          <w:lang w:val="fr-CA"/>
        </w:rPr>
        <w:t>elle justifiable?</w:t>
      </w:r>
      <w:r w:rsidR="00BB72B1" w:rsidRPr="00BB72B1">
        <w:rPr>
          <w:i/>
          <w:lang w:val="fr-CA"/>
        </w:rPr>
        <w:t xml:space="preserve"> </w:t>
      </w:r>
      <w:r w:rsidR="00BB72B1" w:rsidRPr="00413A40">
        <w:rPr>
          <w:i/>
          <w:lang w:val="fr-CA"/>
        </w:rPr>
        <w:t>—</w:t>
      </w:r>
      <w:r w:rsidR="00BB72B1" w:rsidRPr="00413A40">
        <w:rPr>
          <w:lang w:val="fr-CA"/>
        </w:rPr>
        <w:t xml:space="preserve"> </w:t>
      </w:r>
      <w:r w:rsidR="00BB72B1">
        <w:rPr>
          <w:i/>
          <w:lang w:val="fr-CA"/>
        </w:rPr>
        <w:t xml:space="preserve"> </w:t>
      </w:r>
      <w:r w:rsidR="00781DB0" w:rsidRPr="00413A40">
        <w:rPr>
          <w:i/>
          <w:lang w:val="fr-CA"/>
        </w:rPr>
        <w:t>Charte canadienne des droits et libertés, art.</w:t>
      </w:r>
      <w:r w:rsidR="00B029AB">
        <w:rPr>
          <w:i/>
          <w:lang w:val="fr-CA"/>
        </w:rPr>
        <w:t xml:space="preserve"> </w:t>
      </w:r>
      <w:r w:rsidR="006739A6">
        <w:rPr>
          <w:i/>
          <w:lang w:val="fr-CA"/>
        </w:rPr>
        <w:t xml:space="preserve">1, </w:t>
      </w:r>
      <w:r w:rsidR="00781DB0" w:rsidRPr="00413A40">
        <w:rPr>
          <w:i/>
          <w:lang w:val="fr-CA"/>
        </w:rPr>
        <w:t>12 — Code criminel, L.R.C.</w:t>
      </w:r>
      <w:r w:rsidR="00B029AB">
        <w:rPr>
          <w:i/>
          <w:lang w:val="fr-CA"/>
        </w:rPr>
        <w:t xml:space="preserve"> </w:t>
      </w:r>
      <w:r w:rsidR="00781DB0" w:rsidRPr="00413A40">
        <w:rPr>
          <w:i/>
          <w:lang w:val="fr-CA"/>
        </w:rPr>
        <w:t>1985, c.</w:t>
      </w:r>
      <w:r w:rsidR="00B029AB">
        <w:rPr>
          <w:i/>
          <w:lang w:val="fr-CA"/>
        </w:rPr>
        <w:t xml:space="preserve"> </w:t>
      </w:r>
      <w:r w:rsidR="00781DB0" w:rsidRPr="00413A40">
        <w:rPr>
          <w:i/>
          <w:lang w:val="fr-CA"/>
        </w:rPr>
        <w:t>C-46, art.</w:t>
      </w:r>
      <w:r w:rsidR="00B029AB">
        <w:rPr>
          <w:i/>
          <w:lang w:val="fr-CA"/>
        </w:rPr>
        <w:t xml:space="preserve"> </w:t>
      </w:r>
      <w:r w:rsidR="00781DB0" w:rsidRPr="00413A40">
        <w:rPr>
          <w:i/>
          <w:lang w:val="fr-CA"/>
        </w:rPr>
        <w:t>95.</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N et C ont été déclarés coupables de possession d</w:t>
      </w:r>
      <w:r w:rsidR="002D6B80">
        <w:rPr>
          <w:lang w:val="fr-CA"/>
        </w:rPr>
        <w:t>’</w:t>
      </w:r>
      <w:r w:rsidR="00781DB0" w:rsidRPr="00413A40">
        <w:rPr>
          <w:lang w:val="fr-CA"/>
        </w:rPr>
        <w:t>armes à feu prohibées chargées, une infraction prévue au par.</w:t>
      </w:r>
      <w:r w:rsidR="00B029AB">
        <w:rPr>
          <w:lang w:val="fr-CA"/>
        </w:rPr>
        <w:t xml:space="preserve"> </w:t>
      </w:r>
      <w:r w:rsidR="00781DB0" w:rsidRPr="00413A40">
        <w:rPr>
          <w:lang w:val="fr-CA"/>
        </w:rPr>
        <w:t xml:space="preserve">95(1) du </w:t>
      </w:r>
      <w:r w:rsidR="00781DB0" w:rsidRPr="00413A40">
        <w:rPr>
          <w:i/>
          <w:lang w:val="fr-CA"/>
        </w:rPr>
        <w:t>Code criminel</w:t>
      </w:r>
      <w:r w:rsidR="00781DB0" w:rsidRPr="00413A40">
        <w:rPr>
          <w:lang w:val="fr-CA"/>
        </w:rPr>
        <w:t xml:space="preserve">. </w:t>
      </w:r>
      <w:r w:rsidR="00F9014A">
        <w:rPr>
          <w:lang w:val="fr-CA"/>
        </w:rPr>
        <w:t>Condamnés en application des sous-al. 95(2)</w:t>
      </w:r>
      <w:r w:rsidR="00F9014A" w:rsidRPr="00F9014A">
        <w:rPr>
          <w:i/>
          <w:lang w:val="fr-CA"/>
        </w:rPr>
        <w:t>a</w:t>
      </w:r>
      <w:r w:rsidR="00F9014A">
        <w:rPr>
          <w:lang w:val="fr-CA"/>
        </w:rPr>
        <w:t>)(i) et (ii), lesquels prévoient</w:t>
      </w:r>
      <w:r w:rsidR="00781DB0" w:rsidRPr="00413A40">
        <w:rPr>
          <w:lang w:val="fr-CA"/>
        </w:rPr>
        <w:t xml:space="preserve"> des peines minimales obligatoires de trois et cinq ans</w:t>
      </w:r>
      <w:r w:rsidR="000972B5">
        <w:rPr>
          <w:lang w:val="fr-CA"/>
        </w:rPr>
        <w:t>, les deux accusés ont reçu respectivement des peines de 40 mois et 7 ans d’emprisonnement</w:t>
      </w:r>
      <w:r w:rsidR="00781DB0" w:rsidRPr="00413A40">
        <w:rPr>
          <w:lang w:val="fr-CA"/>
        </w:rPr>
        <w:t>. Dans le dossier de N, le juge du procès a conclu que la peine minimale obligatoire de trois</w:t>
      </w:r>
      <w:r w:rsidR="00B029AB">
        <w:rPr>
          <w:lang w:val="fr-CA"/>
        </w:rPr>
        <w:t xml:space="preserve"> </w:t>
      </w:r>
      <w:r w:rsidR="00781DB0" w:rsidRPr="00413A40">
        <w:rPr>
          <w:lang w:val="fr-CA"/>
        </w:rPr>
        <w:t>ans prévue au sous</w:t>
      </w:r>
      <w:r w:rsidR="00B029AB">
        <w:rPr>
          <w:lang w:val="fr-CA"/>
        </w:rPr>
        <w:t>-</w:t>
      </w:r>
      <w:r w:rsidR="00781DB0" w:rsidRPr="00413A40">
        <w:rPr>
          <w:lang w:val="fr-CA"/>
        </w:rPr>
        <w:t>al.</w:t>
      </w:r>
      <w:r w:rsidR="00B029AB">
        <w:rPr>
          <w:lang w:val="fr-CA"/>
        </w:rPr>
        <w:t xml:space="preserve"> </w:t>
      </w:r>
      <w:r w:rsidR="00781DB0" w:rsidRPr="00413A40">
        <w:rPr>
          <w:lang w:val="fr-CA"/>
        </w:rPr>
        <w:t>95(2)</w:t>
      </w:r>
      <w:r w:rsidR="00781DB0" w:rsidRPr="00413A40">
        <w:rPr>
          <w:i/>
          <w:lang w:val="fr-CA"/>
        </w:rPr>
        <w:t>a</w:t>
      </w:r>
      <w:r w:rsidR="00781DB0" w:rsidRPr="00413A40">
        <w:rPr>
          <w:lang w:val="fr-CA"/>
        </w:rPr>
        <w:t>)(i) ne contrevient ni à l</w:t>
      </w:r>
      <w:r w:rsidR="002D6B80">
        <w:rPr>
          <w:lang w:val="fr-CA"/>
        </w:rPr>
        <w:t>’</w:t>
      </w:r>
      <w:r w:rsidR="00781DB0" w:rsidRPr="00413A40">
        <w:rPr>
          <w:lang w:val="fr-CA"/>
        </w:rPr>
        <w:t>art.</w:t>
      </w:r>
      <w:r w:rsidR="00B029AB">
        <w:rPr>
          <w:lang w:val="fr-CA"/>
        </w:rPr>
        <w:t xml:space="preserve"> </w:t>
      </w:r>
      <w:r w:rsidR="00781DB0" w:rsidRPr="00413A40">
        <w:rPr>
          <w:lang w:val="fr-CA"/>
        </w:rPr>
        <w:t>12 ni à l</w:t>
      </w:r>
      <w:r w:rsidR="002D6B80">
        <w:rPr>
          <w:lang w:val="fr-CA"/>
        </w:rPr>
        <w:t>’</w:t>
      </w:r>
      <w:r w:rsidR="00781DB0" w:rsidRPr="00413A40">
        <w:rPr>
          <w:lang w:val="fr-CA"/>
        </w:rPr>
        <w:t>art.</w:t>
      </w:r>
      <w:r w:rsidR="00B029AB">
        <w:rPr>
          <w:lang w:val="fr-CA"/>
        </w:rPr>
        <w:t xml:space="preserve"> </w:t>
      </w:r>
      <w:r w:rsidR="00781DB0" w:rsidRPr="00413A40">
        <w:rPr>
          <w:lang w:val="fr-CA"/>
        </w:rPr>
        <w:t xml:space="preserve">15 de la </w:t>
      </w:r>
      <w:r w:rsidR="00781DB0" w:rsidRPr="00413A40">
        <w:rPr>
          <w:i/>
          <w:lang w:val="fr-CA"/>
        </w:rPr>
        <w:t>Charte</w:t>
      </w:r>
      <w:r w:rsidR="00781DB0" w:rsidRPr="00413A40">
        <w:rPr>
          <w:lang w:val="fr-CA"/>
        </w:rPr>
        <w:t>. Toutefois, l</w:t>
      </w:r>
      <w:r w:rsidR="002D6B80">
        <w:rPr>
          <w:lang w:val="fr-CA"/>
        </w:rPr>
        <w:t>’</w:t>
      </w:r>
      <w:r w:rsidR="00781DB0" w:rsidRPr="00413A40">
        <w:rPr>
          <w:lang w:val="fr-CA"/>
        </w:rPr>
        <w:t>écart de deux</w:t>
      </w:r>
      <w:r w:rsidR="00B029AB">
        <w:rPr>
          <w:lang w:val="fr-CA"/>
        </w:rPr>
        <w:t xml:space="preserve"> </w:t>
      </w:r>
      <w:r w:rsidR="00781DB0" w:rsidRPr="00413A40">
        <w:rPr>
          <w:lang w:val="fr-CA"/>
        </w:rPr>
        <w:t>ans entre la peine maximale d</w:t>
      </w:r>
      <w:r w:rsidR="002D6B80">
        <w:rPr>
          <w:lang w:val="fr-CA"/>
        </w:rPr>
        <w:t>’</w:t>
      </w:r>
      <w:r w:rsidR="00781DB0" w:rsidRPr="00413A40">
        <w:rPr>
          <w:lang w:val="fr-CA"/>
        </w:rPr>
        <w:t>un an — sur procédure sommaire — et la peine minimale de trois</w:t>
      </w:r>
      <w:r w:rsidR="00B029AB">
        <w:rPr>
          <w:lang w:val="fr-CA"/>
        </w:rPr>
        <w:t xml:space="preserve"> </w:t>
      </w:r>
      <w:r w:rsidR="00781DB0" w:rsidRPr="00413A40">
        <w:rPr>
          <w:lang w:val="fr-CA"/>
        </w:rPr>
        <w:t>ans — sur mise en accusation — ne respecte pas selon lui l</w:t>
      </w:r>
      <w:r w:rsidR="002D6B80">
        <w:rPr>
          <w:lang w:val="fr-CA"/>
        </w:rPr>
        <w:t>’</w:t>
      </w:r>
      <w:r w:rsidR="00781DB0" w:rsidRPr="00413A40">
        <w:rPr>
          <w:lang w:val="fr-CA"/>
        </w:rPr>
        <w:t>art.</w:t>
      </w:r>
      <w:r w:rsidR="00B029AB">
        <w:rPr>
          <w:lang w:val="fr-CA"/>
        </w:rPr>
        <w:t xml:space="preserve"> </w:t>
      </w:r>
      <w:r w:rsidR="00781DB0" w:rsidRPr="00413A40">
        <w:rPr>
          <w:lang w:val="fr-CA"/>
        </w:rPr>
        <w:t>7 parce qu</w:t>
      </w:r>
      <w:r w:rsidR="002D6B80">
        <w:rPr>
          <w:lang w:val="fr-CA"/>
        </w:rPr>
        <w:t>’</w:t>
      </w:r>
      <w:r w:rsidR="00781DB0" w:rsidRPr="00413A40">
        <w:rPr>
          <w:lang w:val="fr-CA"/>
        </w:rPr>
        <w:t>il est arbitraire et qu</w:t>
      </w:r>
      <w:r w:rsidR="002D6B80">
        <w:rPr>
          <w:lang w:val="fr-CA"/>
        </w:rPr>
        <w:t>’</w:t>
      </w:r>
      <w:r w:rsidR="00781DB0" w:rsidRPr="00413A40">
        <w:rPr>
          <w:lang w:val="fr-CA"/>
        </w:rPr>
        <w:t>il ne peut se justifier par application de l</w:t>
      </w:r>
      <w:r w:rsidR="002D6B80">
        <w:rPr>
          <w:lang w:val="fr-CA"/>
        </w:rPr>
        <w:t>’</w:t>
      </w:r>
      <w:r w:rsidR="00781DB0" w:rsidRPr="00413A40">
        <w:rPr>
          <w:lang w:val="fr-CA"/>
        </w:rPr>
        <w:t>article premier. Le juge est néanmoins arrivé à la conclusion que cet écart ne pénalise pas N, de sorte qu</w:t>
      </w:r>
      <w:r w:rsidR="002D6B80">
        <w:rPr>
          <w:lang w:val="fr-CA"/>
        </w:rPr>
        <w:t>’</w:t>
      </w:r>
      <w:r w:rsidR="00781DB0" w:rsidRPr="00413A40">
        <w:rPr>
          <w:lang w:val="fr-CA"/>
        </w:rPr>
        <w:t>il a rejeté la prétention fondée sur l</w:t>
      </w:r>
      <w:r w:rsidR="002D6B80">
        <w:rPr>
          <w:lang w:val="fr-CA"/>
        </w:rPr>
        <w:t>’</w:t>
      </w:r>
      <w:r w:rsidR="00781DB0" w:rsidRPr="00413A40">
        <w:rPr>
          <w:lang w:val="fr-CA"/>
        </w:rPr>
        <w:t>art.</w:t>
      </w:r>
      <w:r w:rsidR="00B029AB">
        <w:rPr>
          <w:lang w:val="fr-CA"/>
        </w:rPr>
        <w:t xml:space="preserve"> </w:t>
      </w:r>
      <w:r w:rsidR="00781DB0" w:rsidRPr="00413A40">
        <w:rPr>
          <w:lang w:val="fr-CA"/>
        </w:rPr>
        <w:t>7.</w:t>
      </w:r>
    </w:p>
    <w:p w:rsidR="00781DB0" w:rsidRPr="00413A40" w:rsidRDefault="00542E62" w:rsidP="00A659A4">
      <w:pPr>
        <w:pStyle w:val="SCCNormalDoubleSpacing"/>
        <w:spacing w:after="480"/>
        <w:rPr>
          <w:lang w:val="fr-CA"/>
        </w:rPr>
      </w:pPr>
      <w:r w:rsidRPr="00413A40">
        <w:rPr>
          <w:lang w:val="fr-CA"/>
        </w:rPr>
        <w:lastRenderedPageBreak/>
        <w:tab/>
      </w:r>
      <w:r w:rsidR="00781DB0" w:rsidRPr="00413A40">
        <w:rPr>
          <w:lang w:val="fr-CA"/>
        </w:rPr>
        <w:t>Dans le dossier de C, la juge du procès a également rejeté la contestation fondée sur l</w:t>
      </w:r>
      <w:r w:rsidR="002D6B80">
        <w:rPr>
          <w:lang w:val="fr-CA"/>
        </w:rPr>
        <w:t>’</w:t>
      </w:r>
      <w:r w:rsidR="00781DB0" w:rsidRPr="00413A40">
        <w:rPr>
          <w:lang w:val="fr-CA"/>
        </w:rPr>
        <w:t>art.</w:t>
      </w:r>
      <w:r w:rsidR="00B029AB">
        <w:rPr>
          <w:lang w:val="fr-CA"/>
        </w:rPr>
        <w:t xml:space="preserve"> </w:t>
      </w:r>
      <w:r w:rsidR="00781DB0" w:rsidRPr="00413A40">
        <w:rPr>
          <w:lang w:val="fr-CA"/>
        </w:rPr>
        <w:t>12. À son avis, la peine minimale obligatoire de cinq ans d</w:t>
      </w:r>
      <w:r w:rsidR="002D6B80">
        <w:rPr>
          <w:lang w:val="fr-CA"/>
        </w:rPr>
        <w:t>’</w:t>
      </w:r>
      <w:r w:rsidR="00781DB0" w:rsidRPr="00413A40">
        <w:rPr>
          <w:lang w:val="fr-CA"/>
        </w:rPr>
        <w:t>emprisonnement prévue au sous</w:t>
      </w:r>
      <w:r w:rsidR="00B029AB">
        <w:rPr>
          <w:lang w:val="fr-CA"/>
        </w:rPr>
        <w:t>-</w:t>
      </w:r>
      <w:r w:rsidR="00781DB0" w:rsidRPr="00413A40">
        <w:rPr>
          <w:lang w:val="fr-CA"/>
        </w:rPr>
        <w:t>al.</w:t>
      </w:r>
      <w:r w:rsidR="00B029AB">
        <w:rPr>
          <w:lang w:val="fr-CA"/>
        </w:rPr>
        <w:t xml:space="preserve"> </w:t>
      </w:r>
      <w:r w:rsidR="00781DB0" w:rsidRPr="00413A40">
        <w:rPr>
          <w:lang w:val="fr-CA"/>
        </w:rPr>
        <w:t>95(2)</w:t>
      </w:r>
      <w:r w:rsidR="00781DB0" w:rsidRPr="00413A40">
        <w:rPr>
          <w:i/>
          <w:lang w:val="fr-CA"/>
        </w:rPr>
        <w:t>a</w:t>
      </w:r>
      <w:r w:rsidR="00781DB0" w:rsidRPr="00413A40">
        <w:rPr>
          <w:lang w:val="fr-CA"/>
        </w:rPr>
        <w:t>)(ii) n</w:t>
      </w:r>
      <w:r w:rsidR="002D6B80">
        <w:rPr>
          <w:lang w:val="fr-CA"/>
        </w:rPr>
        <w:t>’</w:t>
      </w:r>
      <w:r w:rsidR="00781DB0" w:rsidRPr="00413A40">
        <w:rPr>
          <w:lang w:val="fr-CA"/>
        </w:rPr>
        <w:t>est pas totalement disproportionnée dans le cas de C étant donné la gravité de ses crimes. Ce dernier n</w:t>
      </w:r>
      <w:r w:rsidR="002D6B80">
        <w:rPr>
          <w:lang w:val="fr-CA"/>
        </w:rPr>
        <w:t>’</w:t>
      </w:r>
      <w:r w:rsidR="00781DB0" w:rsidRPr="00413A40">
        <w:rPr>
          <w:lang w:val="fr-CA"/>
        </w:rPr>
        <w:t>a d</w:t>
      </w:r>
      <w:r w:rsidR="002D6B80">
        <w:rPr>
          <w:lang w:val="fr-CA"/>
        </w:rPr>
        <w:t>’</w:t>
      </w:r>
      <w:r w:rsidR="00781DB0" w:rsidRPr="00413A40">
        <w:rPr>
          <w:lang w:val="fr-CA"/>
        </w:rPr>
        <w:t>ailleurs invoqué aucune situation hypothétique raisonnable où il aurait été totalement disproportionné d</w:t>
      </w:r>
      <w:r w:rsidR="002D6B80">
        <w:rPr>
          <w:lang w:val="fr-CA"/>
        </w:rPr>
        <w:t>’</w:t>
      </w:r>
      <w:r w:rsidR="00781DB0" w:rsidRPr="00413A40">
        <w:rPr>
          <w:lang w:val="fr-CA"/>
        </w:rPr>
        <w:t>infliger la peine minimale obligatoire de cinq</w:t>
      </w:r>
      <w:r w:rsidR="00B029AB">
        <w:rPr>
          <w:lang w:val="fr-CA"/>
        </w:rPr>
        <w:t xml:space="preserve"> </w:t>
      </w:r>
      <w:r w:rsidR="00781DB0" w:rsidRPr="00413A40">
        <w:rPr>
          <w:lang w:val="fr-CA"/>
        </w:rPr>
        <w:t>ans.</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La Cour d</w:t>
      </w:r>
      <w:r w:rsidR="002D6B80">
        <w:rPr>
          <w:lang w:val="fr-CA"/>
        </w:rPr>
        <w:t>’</w:t>
      </w:r>
      <w:r w:rsidR="00781DB0" w:rsidRPr="00413A40">
        <w:rPr>
          <w:lang w:val="fr-CA"/>
        </w:rPr>
        <w:t>appel a opiné que les peines minimales obligatoires d</w:t>
      </w:r>
      <w:r w:rsidR="002D6B80">
        <w:rPr>
          <w:lang w:val="fr-CA"/>
        </w:rPr>
        <w:t>’</w:t>
      </w:r>
      <w:r w:rsidR="00781DB0" w:rsidRPr="00413A40">
        <w:rPr>
          <w:lang w:val="fr-CA"/>
        </w:rPr>
        <w:t>emprisonnement prévues au sous</w:t>
      </w:r>
      <w:r w:rsidR="00B029AB">
        <w:rPr>
          <w:lang w:val="fr-CA"/>
        </w:rPr>
        <w:t>-</w:t>
      </w:r>
      <w:r w:rsidR="00781DB0" w:rsidRPr="00413A40">
        <w:rPr>
          <w:lang w:val="fr-CA"/>
        </w:rPr>
        <w:t>al.</w:t>
      </w:r>
      <w:r w:rsidR="00B029AB">
        <w:rPr>
          <w:lang w:val="fr-CA"/>
        </w:rPr>
        <w:t xml:space="preserve"> </w:t>
      </w:r>
      <w:r w:rsidR="00781DB0" w:rsidRPr="00413A40">
        <w:rPr>
          <w:lang w:val="fr-CA"/>
        </w:rPr>
        <w:t>95(2)</w:t>
      </w:r>
      <w:r w:rsidR="00781DB0" w:rsidRPr="00413A40">
        <w:rPr>
          <w:i/>
          <w:lang w:val="fr-CA"/>
        </w:rPr>
        <w:t>a</w:t>
      </w:r>
      <w:r w:rsidR="00781DB0" w:rsidRPr="00413A40">
        <w:rPr>
          <w:lang w:val="fr-CA"/>
        </w:rPr>
        <w:t>) se traduisent par des peines totalement disproportionnées dans des situations hypothétiques raisonnables où l</w:t>
      </w:r>
      <w:r w:rsidR="002D6B80">
        <w:rPr>
          <w:lang w:val="fr-CA"/>
        </w:rPr>
        <w:t>’</w:t>
      </w:r>
      <w:r w:rsidR="00781DB0" w:rsidRPr="00413A40">
        <w:rPr>
          <w:lang w:val="fr-CA"/>
        </w:rPr>
        <w:t>infraction commise se situe à l</w:t>
      </w:r>
      <w:r w:rsidR="002D6B80">
        <w:rPr>
          <w:lang w:val="fr-CA"/>
        </w:rPr>
        <w:t>’</w:t>
      </w:r>
      <w:r w:rsidR="00781DB0" w:rsidRPr="00413A40">
        <w:rPr>
          <w:lang w:val="fr-CA"/>
        </w:rPr>
        <w:t>extrémité du continuum d</w:t>
      </w:r>
      <w:r w:rsidR="002D6B80">
        <w:rPr>
          <w:lang w:val="fr-CA"/>
        </w:rPr>
        <w:t>’</w:t>
      </w:r>
      <w:r w:rsidR="00781DB0" w:rsidRPr="00413A40">
        <w:rPr>
          <w:lang w:val="fr-CA"/>
        </w:rPr>
        <w:t>application de l</w:t>
      </w:r>
      <w:r w:rsidR="002D6B80">
        <w:rPr>
          <w:lang w:val="fr-CA"/>
        </w:rPr>
        <w:t>’</w:t>
      </w:r>
      <w:r w:rsidR="00781DB0" w:rsidRPr="00413A40">
        <w:rPr>
          <w:lang w:val="fr-CA"/>
        </w:rPr>
        <w:t>art.</w:t>
      </w:r>
      <w:r w:rsidR="00B029AB">
        <w:rPr>
          <w:lang w:val="fr-CA"/>
        </w:rPr>
        <w:t xml:space="preserve"> </w:t>
      </w:r>
      <w:r w:rsidR="00781DB0" w:rsidRPr="00413A40">
        <w:rPr>
          <w:lang w:val="fr-CA"/>
        </w:rPr>
        <w:t>95 correspondant aux infractions réglementaires, et qu</w:t>
      </w:r>
      <w:r w:rsidR="002D6B80">
        <w:rPr>
          <w:lang w:val="fr-CA"/>
        </w:rPr>
        <w:t>’</w:t>
      </w:r>
      <w:r w:rsidR="00781DB0" w:rsidRPr="00413A40">
        <w:rPr>
          <w:lang w:val="fr-CA"/>
        </w:rPr>
        <w:t>elles violent donc l</w:t>
      </w:r>
      <w:r w:rsidR="002D6B80">
        <w:rPr>
          <w:lang w:val="fr-CA"/>
        </w:rPr>
        <w:t>’</w:t>
      </w:r>
      <w:r w:rsidR="00781DB0" w:rsidRPr="00413A40">
        <w:rPr>
          <w:lang w:val="fr-CA"/>
        </w:rPr>
        <w:t>art.</w:t>
      </w:r>
      <w:r w:rsidR="00B029AB">
        <w:rPr>
          <w:lang w:val="fr-CA"/>
        </w:rPr>
        <w:t xml:space="preserve"> </w:t>
      </w:r>
      <w:r w:rsidR="00781DB0" w:rsidRPr="00413A40">
        <w:rPr>
          <w:lang w:val="fr-CA"/>
        </w:rPr>
        <w:t xml:space="preserve">12 de la </w:t>
      </w:r>
      <w:r w:rsidR="00781DB0" w:rsidRPr="00413A40">
        <w:rPr>
          <w:i/>
          <w:lang w:val="fr-CA"/>
        </w:rPr>
        <w:t>Charte</w:t>
      </w:r>
      <w:r w:rsidR="00781DB0" w:rsidRPr="00413A40">
        <w:rPr>
          <w:lang w:val="fr-CA"/>
        </w:rPr>
        <w:t xml:space="preserve">. Elle a toutefois conclu que les peines imposées à N et à C sont appropriées et </w:t>
      </w:r>
      <w:r w:rsidR="003C0F0E" w:rsidRPr="00413A40">
        <w:rPr>
          <w:lang w:val="fr-CA"/>
        </w:rPr>
        <w:t xml:space="preserve">doivent </w:t>
      </w:r>
      <w:r w:rsidR="00781DB0" w:rsidRPr="00413A40">
        <w:rPr>
          <w:lang w:val="fr-CA"/>
        </w:rPr>
        <w:t xml:space="preserve">être confirmées. </w:t>
      </w:r>
    </w:p>
    <w:p w:rsidR="00781DB0" w:rsidRPr="00413A40" w:rsidRDefault="00542E62" w:rsidP="00A659A4">
      <w:pPr>
        <w:pStyle w:val="SCCNormalDoubleSpacing"/>
        <w:spacing w:after="480"/>
        <w:rPr>
          <w:lang w:val="fr-CA"/>
        </w:rPr>
      </w:pPr>
      <w:r w:rsidRPr="00413A40">
        <w:rPr>
          <w:lang w:val="fr-CA"/>
        </w:rPr>
        <w:tab/>
      </w:r>
      <w:r w:rsidR="00781DB0" w:rsidRPr="00413A40">
        <w:rPr>
          <w:i/>
          <w:lang w:val="fr-CA"/>
        </w:rPr>
        <w:t xml:space="preserve">Arrêt </w:t>
      </w:r>
      <w:r w:rsidR="00781DB0" w:rsidRPr="00413A40">
        <w:rPr>
          <w:lang w:val="fr-CA"/>
        </w:rPr>
        <w:t>(les juges Rothstein, Moldaver et Wagner sont dissidents)</w:t>
      </w:r>
      <w:r w:rsidR="00B029AB">
        <w:rPr>
          <w:lang w:val="fr-CA"/>
        </w:rPr>
        <w:t> :</w:t>
      </w:r>
      <w:r w:rsidR="00781DB0" w:rsidRPr="00413A40">
        <w:rPr>
          <w:i/>
          <w:lang w:val="fr-CA"/>
        </w:rPr>
        <w:t xml:space="preserve"> </w:t>
      </w:r>
      <w:r w:rsidR="00781DB0" w:rsidRPr="00413A40">
        <w:rPr>
          <w:lang w:val="fr-CA"/>
        </w:rPr>
        <w:t>Les pourvois sont rejetés.</w:t>
      </w:r>
    </w:p>
    <w:p w:rsidR="00781DB0" w:rsidRPr="00413A40" w:rsidRDefault="00542E62" w:rsidP="00A659A4">
      <w:pPr>
        <w:pStyle w:val="SCCNormalDoubleSpacing"/>
        <w:spacing w:after="480"/>
        <w:rPr>
          <w:lang w:val="fr-CA"/>
        </w:rPr>
      </w:pPr>
      <w:r w:rsidRPr="00413A40">
        <w:rPr>
          <w:lang w:val="fr-CA"/>
        </w:rPr>
        <w:tab/>
      </w:r>
      <w:r w:rsidR="00781DB0" w:rsidRPr="00413A40">
        <w:rPr>
          <w:i/>
          <w:lang w:val="fr-CA"/>
        </w:rPr>
        <w:t xml:space="preserve">La </w:t>
      </w:r>
      <w:r w:rsidR="00781DB0" w:rsidRPr="00413A40">
        <w:rPr>
          <w:lang w:val="fr-CA"/>
        </w:rPr>
        <w:t xml:space="preserve">juge en chef </w:t>
      </w:r>
      <w:r w:rsidR="00781DB0" w:rsidRPr="00084013">
        <w:rPr>
          <w:lang w:val="fr-CA"/>
        </w:rPr>
        <w:t>McLachlin</w:t>
      </w:r>
      <w:r w:rsidR="00781DB0" w:rsidRPr="00413A40">
        <w:rPr>
          <w:lang w:val="fr-CA"/>
        </w:rPr>
        <w:t xml:space="preserve"> et les juges LeBel, Abella, Cromwell, Karakatsanis et Gascon</w:t>
      </w:r>
      <w:r w:rsidR="00B029AB">
        <w:rPr>
          <w:lang w:val="fr-CA"/>
        </w:rPr>
        <w:t> :</w:t>
      </w:r>
      <w:r w:rsidR="00781DB0" w:rsidRPr="00413A40">
        <w:rPr>
          <w:lang w:val="fr-CA"/>
        </w:rPr>
        <w:t xml:space="preserve"> Les peines minimales obligatoires prévues aux sous</w:t>
      </w:r>
      <w:r w:rsidR="00B029AB">
        <w:rPr>
          <w:lang w:val="fr-CA"/>
        </w:rPr>
        <w:t>-</w:t>
      </w:r>
      <w:r w:rsidR="00781DB0" w:rsidRPr="00413A40">
        <w:rPr>
          <w:lang w:val="fr-CA"/>
        </w:rPr>
        <w:t>al.</w:t>
      </w:r>
      <w:r w:rsidR="00B029AB">
        <w:rPr>
          <w:lang w:val="fr-CA"/>
        </w:rPr>
        <w:t xml:space="preserve"> </w:t>
      </w:r>
      <w:r w:rsidR="00781DB0" w:rsidRPr="00413A40">
        <w:rPr>
          <w:lang w:val="fr-CA"/>
        </w:rPr>
        <w:t>95(2)</w:t>
      </w:r>
      <w:r w:rsidR="00781DB0" w:rsidRPr="00413A40">
        <w:rPr>
          <w:i/>
          <w:lang w:val="fr-CA"/>
        </w:rPr>
        <w:t>a</w:t>
      </w:r>
      <w:r w:rsidR="00781DB0" w:rsidRPr="00413A40">
        <w:rPr>
          <w:lang w:val="fr-CA"/>
        </w:rPr>
        <w:t xml:space="preserve">)(i) et (ii) du </w:t>
      </w:r>
      <w:r w:rsidR="00781DB0" w:rsidRPr="00413A40">
        <w:rPr>
          <w:i/>
          <w:lang w:val="fr-CA"/>
        </w:rPr>
        <w:t>Code criminel</w:t>
      </w:r>
      <w:r w:rsidR="00781DB0" w:rsidRPr="00413A40">
        <w:rPr>
          <w:lang w:val="fr-CA"/>
        </w:rPr>
        <w:t xml:space="preserve"> contreviennent à l</w:t>
      </w:r>
      <w:r w:rsidR="002D6B80">
        <w:rPr>
          <w:lang w:val="fr-CA"/>
        </w:rPr>
        <w:t>’</w:t>
      </w:r>
      <w:r w:rsidR="00781DB0" w:rsidRPr="00413A40">
        <w:rPr>
          <w:lang w:val="fr-CA"/>
        </w:rPr>
        <w:t>art.</w:t>
      </w:r>
      <w:r w:rsidR="00B029AB">
        <w:rPr>
          <w:lang w:val="fr-CA"/>
        </w:rPr>
        <w:t xml:space="preserve"> </w:t>
      </w:r>
      <w:r w:rsidR="00781DB0" w:rsidRPr="00413A40">
        <w:rPr>
          <w:lang w:val="fr-CA"/>
        </w:rPr>
        <w:t xml:space="preserve">12 de la </w:t>
      </w:r>
      <w:r w:rsidR="00781DB0" w:rsidRPr="00413A40">
        <w:rPr>
          <w:i/>
          <w:lang w:val="fr-CA"/>
        </w:rPr>
        <w:t>Charte</w:t>
      </w:r>
      <w:r w:rsidR="00781DB0" w:rsidRPr="00413A40">
        <w:rPr>
          <w:lang w:val="fr-CA"/>
        </w:rPr>
        <w:t xml:space="preserve"> et sont donc inopérantes par application de l</w:t>
      </w:r>
      <w:r w:rsidR="002D6B80">
        <w:rPr>
          <w:lang w:val="fr-CA"/>
        </w:rPr>
        <w:t>’</w:t>
      </w:r>
      <w:r w:rsidR="00781DB0" w:rsidRPr="00413A40">
        <w:rPr>
          <w:lang w:val="fr-CA"/>
        </w:rPr>
        <w:t>art.</w:t>
      </w:r>
      <w:r w:rsidR="00B029AB">
        <w:rPr>
          <w:lang w:val="fr-CA"/>
        </w:rPr>
        <w:t xml:space="preserve"> </w:t>
      </w:r>
      <w:r w:rsidR="00781DB0" w:rsidRPr="00413A40">
        <w:rPr>
          <w:lang w:val="fr-CA"/>
        </w:rPr>
        <w:t>52</w:t>
      </w:r>
      <w:r w:rsidR="00C401CB">
        <w:rPr>
          <w:lang w:val="fr-CA"/>
        </w:rPr>
        <w:t xml:space="preserve"> de la </w:t>
      </w:r>
      <w:r w:rsidR="00C401CB" w:rsidRPr="00C401CB">
        <w:rPr>
          <w:i/>
          <w:lang w:val="fr-CA"/>
        </w:rPr>
        <w:t>Loi constitutionnelle de 1982</w:t>
      </w:r>
      <w:r w:rsidR="00781DB0" w:rsidRPr="00084013">
        <w:rPr>
          <w:lang w:val="fr-CA"/>
        </w:rPr>
        <w:t>.</w:t>
      </w:r>
      <w:r w:rsidR="00781DB0" w:rsidRPr="00413A40">
        <w:rPr>
          <w:i/>
          <w:lang w:val="fr-CA"/>
        </w:rPr>
        <w:t xml:space="preserve"> </w:t>
      </w:r>
      <w:r w:rsidR="00781DB0" w:rsidRPr="00413A40">
        <w:rPr>
          <w:lang w:val="fr-CA"/>
        </w:rPr>
        <w:t>Les peines infligées à N et à C sont toutefois appropriées et doivent être confirmées. Dans la plupart des cas — dont ceux de N et de C —, les peines minimale</w:t>
      </w:r>
      <w:r w:rsidR="00F90E13" w:rsidRPr="00413A40">
        <w:rPr>
          <w:lang w:val="fr-CA"/>
        </w:rPr>
        <w:t xml:space="preserve">s obligatoires de </w:t>
      </w:r>
      <w:r w:rsidR="00F90E13" w:rsidRPr="00413A40">
        <w:rPr>
          <w:lang w:val="fr-CA"/>
        </w:rPr>
        <w:lastRenderedPageBreak/>
        <w:t xml:space="preserve">trois et cinq </w:t>
      </w:r>
      <w:r w:rsidR="00781DB0" w:rsidRPr="00413A40">
        <w:rPr>
          <w:lang w:val="fr-CA"/>
        </w:rPr>
        <w:t>ans ne constituent pas des peines cruelles et inusitées. Mais, dans certaines situations raisonnablement prévisibles, elles le peuvent</w:t>
      </w:r>
      <w:r w:rsidR="007C1DEF" w:rsidRPr="00413A40">
        <w:rPr>
          <w:lang w:val="fr-CA"/>
        </w:rPr>
        <w:t xml:space="preserve">. </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Lorsque la constitutionnalité d</w:t>
      </w:r>
      <w:r w:rsidR="002D6B80">
        <w:rPr>
          <w:lang w:val="fr-CA"/>
        </w:rPr>
        <w:t>’</w:t>
      </w:r>
      <w:r w:rsidR="00781DB0" w:rsidRPr="00413A40">
        <w:rPr>
          <w:lang w:val="fr-CA"/>
        </w:rPr>
        <w:t>une disposition prévoyant une peine minimale obligatoire est contestée au regard de l</w:t>
      </w:r>
      <w:r w:rsidR="002D6B80">
        <w:rPr>
          <w:lang w:val="fr-CA"/>
        </w:rPr>
        <w:t>’</w:t>
      </w:r>
      <w:r w:rsidR="00781DB0" w:rsidRPr="00413A40">
        <w:rPr>
          <w:lang w:val="fr-CA"/>
        </w:rPr>
        <w:t>art.</w:t>
      </w:r>
      <w:r w:rsidR="00B029AB">
        <w:rPr>
          <w:lang w:val="fr-CA"/>
        </w:rPr>
        <w:t xml:space="preserve"> </w:t>
      </w:r>
      <w:r w:rsidR="00781DB0" w:rsidRPr="00413A40">
        <w:rPr>
          <w:lang w:val="fr-CA"/>
        </w:rPr>
        <w:t>12, deux questions se posent. Premièrement, la disposition inflige</w:t>
      </w:r>
      <w:r w:rsidR="00B029AB">
        <w:rPr>
          <w:lang w:val="fr-CA"/>
        </w:rPr>
        <w:t>-</w:t>
      </w:r>
      <w:r w:rsidR="00781DB0" w:rsidRPr="00413A40">
        <w:rPr>
          <w:lang w:val="fr-CA"/>
        </w:rPr>
        <w:t>t</w:t>
      </w:r>
      <w:r w:rsidR="00B029AB">
        <w:rPr>
          <w:lang w:val="fr-CA"/>
        </w:rPr>
        <w:t>-</w:t>
      </w:r>
      <w:r w:rsidR="00781DB0" w:rsidRPr="00413A40">
        <w:rPr>
          <w:lang w:val="fr-CA"/>
        </w:rPr>
        <w:t>elle une peine cruelle et inusitée (c.</w:t>
      </w:r>
      <w:r w:rsidR="00B029AB">
        <w:rPr>
          <w:lang w:val="fr-CA"/>
        </w:rPr>
        <w:t>-</w:t>
      </w:r>
      <w:r w:rsidR="00781DB0" w:rsidRPr="00413A40">
        <w:rPr>
          <w:lang w:val="fr-CA"/>
        </w:rPr>
        <w:t>à</w:t>
      </w:r>
      <w:r w:rsidR="00B029AB">
        <w:rPr>
          <w:lang w:val="fr-CA"/>
        </w:rPr>
        <w:t>-</w:t>
      </w:r>
      <w:r w:rsidR="00781DB0" w:rsidRPr="00413A40">
        <w:rPr>
          <w:lang w:val="fr-CA"/>
        </w:rPr>
        <w:t>d. une peine totalement disproportionnée) à l</w:t>
      </w:r>
      <w:r w:rsidR="002D6B80">
        <w:rPr>
          <w:lang w:val="fr-CA"/>
        </w:rPr>
        <w:t>’</w:t>
      </w:r>
      <w:r w:rsidR="00781DB0" w:rsidRPr="00413A40">
        <w:rPr>
          <w:lang w:val="fr-CA"/>
        </w:rPr>
        <w:t>accusé? Si la réponse est négative, il faut se demander en deuxième lieu si les applications raisonnablement prévisibles de la disposition infligeront à d</w:t>
      </w:r>
      <w:r w:rsidR="002D6B80">
        <w:rPr>
          <w:lang w:val="fr-CA"/>
        </w:rPr>
        <w:t>’</w:t>
      </w:r>
      <w:r w:rsidR="00781DB0" w:rsidRPr="00413A40">
        <w:rPr>
          <w:lang w:val="fr-CA"/>
        </w:rPr>
        <w:t>autres délinquants des peines cruelles et inusitées. La démarche s</w:t>
      </w:r>
      <w:r w:rsidR="002D6B80">
        <w:rPr>
          <w:lang w:val="fr-CA"/>
        </w:rPr>
        <w:t>’</w:t>
      </w:r>
      <w:r w:rsidR="00781DB0" w:rsidRPr="00413A40">
        <w:rPr>
          <w:lang w:val="fr-CA"/>
        </w:rPr>
        <w:t xml:space="preserve">harmonise avec la jurisprudence de la Cour, établie de longue date, concernant le contrôle constitutionnel au regard de la </w:t>
      </w:r>
      <w:r w:rsidR="00781DB0" w:rsidRPr="00413A40">
        <w:rPr>
          <w:i/>
          <w:lang w:val="fr-CA"/>
        </w:rPr>
        <w:t>Charte</w:t>
      </w:r>
      <w:r w:rsidR="00781DB0" w:rsidRPr="00413A40">
        <w:rPr>
          <w:lang w:val="fr-CA"/>
        </w:rPr>
        <w:t xml:space="preserve"> en général et de son art.</w:t>
      </w:r>
      <w:r w:rsidR="00B029AB">
        <w:rPr>
          <w:lang w:val="fr-CA"/>
        </w:rPr>
        <w:t xml:space="preserve"> </w:t>
      </w:r>
      <w:r w:rsidR="00781DB0" w:rsidRPr="00413A40">
        <w:rPr>
          <w:lang w:val="fr-CA"/>
        </w:rPr>
        <w:t>12 en particulier, elle est applicable et elle assure une certitude suffisante. Il n</w:t>
      </w:r>
      <w:r w:rsidR="002D6B80">
        <w:rPr>
          <w:lang w:val="fr-CA"/>
        </w:rPr>
        <w:t>’</w:t>
      </w:r>
      <w:r w:rsidR="00781DB0" w:rsidRPr="00413A40">
        <w:rPr>
          <w:lang w:val="fr-CA"/>
        </w:rPr>
        <w:t>existe aucune raison de revenir sur cette jurisprudence, d</w:t>
      </w:r>
      <w:r w:rsidR="002D6B80">
        <w:rPr>
          <w:lang w:val="fr-CA"/>
        </w:rPr>
        <w:t>’</w:t>
      </w:r>
      <w:r w:rsidR="00781DB0" w:rsidRPr="00413A40">
        <w:rPr>
          <w:lang w:val="fr-CA"/>
        </w:rPr>
        <w:t>autant plus qu</w:t>
      </w:r>
      <w:r w:rsidR="002D6B80">
        <w:rPr>
          <w:lang w:val="fr-CA"/>
        </w:rPr>
        <w:t>’</w:t>
      </w:r>
      <w:r w:rsidR="00781DB0" w:rsidRPr="00413A40">
        <w:rPr>
          <w:lang w:val="fr-CA"/>
        </w:rPr>
        <w:t>un tel revirement aurait pour effet d</w:t>
      </w:r>
      <w:r w:rsidR="002D6B80">
        <w:rPr>
          <w:lang w:val="fr-CA"/>
        </w:rPr>
        <w:t>’</w:t>
      </w:r>
      <w:r w:rsidR="00781DB0" w:rsidRPr="00413A40">
        <w:rPr>
          <w:lang w:val="fr-CA"/>
        </w:rPr>
        <w:t xml:space="preserve">affaiblir une protection offerte par la </w:t>
      </w:r>
      <w:r w:rsidR="00781DB0" w:rsidRPr="00413A40">
        <w:rPr>
          <w:i/>
          <w:lang w:val="fr-CA"/>
        </w:rPr>
        <w:t>Charte</w:t>
      </w:r>
      <w:r w:rsidR="00781DB0" w:rsidRPr="00413A40">
        <w:rPr>
          <w:lang w:val="fr-CA"/>
        </w:rPr>
        <w:t>.</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Lorsque la constitutionnalité d</w:t>
      </w:r>
      <w:r w:rsidR="002D6B80">
        <w:rPr>
          <w:lang w:val="fr-CA"/>
        </w:rPr>
        <w:t>’</w:t>
      </w:r>
      <w:r w:rsidR="00781DB0" w:rsidRPr="00413A40">
        <w:rPr>
          <w:lang w:val="fr-CA"/>
        </w:rPr>
        <w:t>une disposition prévoyant une peine minimale obligatoire est contestée au regard de l</w:t>
      </w:r>
      <w:r w:rsidR="002D6B80">
        <w:rPr>
          <w:lang w:val="fr-CA"/>
        </w:rPr>
        <w:t>’</w:t>
      </w:r>
      <w:r w:rsidR="00781DB0" w:rsidRPr="00413A40">
        <w:rPr>
          <w:lang w:val="fr-CA"/>
        </w:rPr>
        <w:t>art.</w:t>
      </w:r>
      <w:r w:rsidR="00B029AB">
        <w:rPr>
          <w:lang w:val="fr-CA"/>
        </w:rPr>
        <w:t xml:space="preserve"> </w:t>
      </w:r>
      <w:r w:rsidR="00781DB0" w:rsidRPr="00413A40">
        <w:rPr>
          <w:lang w:val="fr-CA"/>
        </w:rPr>
        <w:t>12 et en fonction de son application raisonnablement prévisible à d</w:t>
      </w:r>
      <w:r w:rsidR="002D6B80">
        <w:rPr>
          <w:lang w:val="fr-CA"/>
        </w:rPr>
        <w:t>’</w:t>
      </w:r>
      <w:r w:rsidR="00781DB0" w:rsidRPr="00413A40">
        <w:rPr>
          <w:lang w:val="fr-CA"/>
        </w:rPr>
        <w:t>autres personnes, on doit se demander quelles situations sont raisonnablement susceptibles de se présenter, et non pas si une situation se présentera vraisemblablement dans le cadre de l</w:t>
      </w:r>
      <w:r w:rsidR="002D6B80">
        <w:rPr>
          <w:lang w:val="fr-CA"/>
        </w:rPr>
        <w:t>’</w:t>
      </w:r>
      <w:r w:rsidR="00781DB0" w:rsidRPr="00413A40">
        <w:rPr>
          <w:lang w:val="fr-CA"/>
        </w:rPr>
        <w:t>application générale et habituelle de la loi. Seules sont écartées les situations invraisemblables ou n</w:t>
      </w:r>
      <w:r w:rsidR="002D6B80">
        <w:rPr>
          <w:lang w:val="fr-CA"/>
        </w:rPr>
        <w:t>’</w:t>
      </w:r>
      <w:r w:rsidR="00781DB0" w:rsidRPr="00413A40">
        <w:rPr>
          <w:lang w:val="fr-CA"/>
        </w:rPr>
        <w:t>ayant qu</w:t>
      </w:r>
      <w:r w:rsidR="002D6B80">
        <w:rPr>
          <w:lang w:val="fr-CA"/>
        </w:rPr>
        <w:t>’</w:t>
      </w:r>
      <w:r w:rsidR="00781DB0" w:rsidRPr="00413A40">
        <w:rPr>
          <w:lang w:val="fr-CA"/>
        </w:rPr>
        <w:t>un faible rapport avec l</w:t>
      </w:r>
      <w:r w:rsidR="002D6B80">
        <w:rPr>
          <w:lang w:val="fr-CA"/>
        </w:rPr>
        <w:t>’</w:t>
      </w:r>
      <w:r w:rsidR="00781DB0" w:rsidRPr="00413A40">
        <w:rPr>
          <w:lang w:val="fr-CA"/>
        </w:rPr>
        <w:t>espèce.</w:t>
      </w:r>
    </w:p>
    <w:p w:rsidR="00781DB0" w:rsidRPr="00413A40" w:rsidRDefault="00542E62" w:rsidP="00A659A4">
      <w:pPr>
        <w:pStyle w:val="SCCNormalDoubleSpacing"/>
        <w:spacing w:after="480"/>
        <w:rPr>
          <w:lang w:val="fr-CA"/>
        </w:rPr>
      </w:pPr>
      <w:r w:rsidRPr="00413A40">
        <w:rPr>
          <w:lang w:val="fr-CA"/>
        </w:rPr>
        <w:lastRenderedPageBreak/>
        <w:tab/>
      </w:r>
      <w:r w:rsidR="00781DB0" w:rsidRPr="00413A40">
        <w:rPr>
          <w:lang w:val="fr-CA"/>
        </w:rPr>
        <w:t>Dans la présente affaire, N et C font valoir non pas que les peines minimales obligatoires d</w:t>
      </w:r>
      <w:r w:rsidR="002D6B80">
        <w:rPr>
          <w:lang w:val="fr-CA"/>
        </w:rPr>
        <w:t>’</w:t>
      </w:r>
      <w:r w:rsidR="00781DB0" w:rsidRPr="00413A40">
        <w:rPr>
          <w:lang w:val="fr-CA"/>
        </w:rPr>
        <w:t>emprisonnement prévues au par.</w:t>
      </w:r>
      <w:r w:rsidR="00B029AB">
        <w:rPr>
          <w:lang w:val="fr-CA"/>
        </w:rPr>
        <w:t xml:space="preserve"> </w:t>
      </w:r>
      <w:r w:rsidR="00781DB0" w:rsidRPr="00413A40">
        <w:rPr>
          <w:lang w:val="fr-CA"/>
        </w:rPr>
        <w:t>95(2) sont totalement disproportionnées dans leur</w:t>
      </w:r>
      <w:r w:rsidR="0007243B">
        <w:rPr>
          <w:lang w:val="fr-CA"/>
        </w:rPr>
        <w:t>s</w:t>
      </w:r>
      <w:r w:rsidR="00781DB0" w:rsidRPr="00413A40">
        <w:rPr>
          <w:lang w:val="fr-CA"/>
        </w:rPr>
        <w:t xml:space="preserve"> cas, mais bien qu</w:t>
      </w:r>
      <w:r w:rsidR="002D6B80">
        <w:rPr>
          <w:lang w:val="fr-CA"/>
        </w:rPr>
        <w:t>’</w:t>
      </w:r>
      <w:r w:rsidR="00781DB0" w:rsidRPr="00413A40">
        <w:rPr>
          <w:lang w:val="fr-CA"/>
        </w:rPr>
        <w:t>elles le sont lorsqu</w:t>
      </w:r>
      <w:r w:rsidR="002D6B80">
        <w:rPr>
          <w:lang w:val="fr-CA"/>
        </w:rPr>
        <w:t>’</w:t>
      </w:r>
      <w:r w:rsidR="00781DB0" w:rsidRPr="00413A40">
        <w:rPr>
          <w:lang w:val="fr-CA"/>
        </w:rPr>
        <w:t>elles s</w:t>
      </w:r>
      <w:r w:rsidR="002D6B80">
        <w:rPr>
          <w:lang w:val="fr-CA"/>
        </w:rPr>
        <w:t>’</w:t>
      </w:r>
      <w:r w:rsidR="00781DB0" w:rsidRPr="00413A40">
        <w:rPr>
          <w:lang w:val="fr-CA"/>
        </w:rPr>
        <w:t>appliquent à d</w:t>
      </w:r>
      <w:r w:rsidR="002D6B80">
        <w:rPr>
          <w:lang w:val="fr-CA"/>
        </w:rPr>
        <w:t>’</w:t>
      </w:r>
      <w:r w:rsidR="00781DB0" w:rsidRPr="00413A40">
        <w:rPr>
          <w:lang w:val="fr-CA"/>
        </w:rPr>
        <w:t xml:space="preserve">autres délinquants. </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Pour ce qui est d</w:t>
      </w:r>
      <w:r w:rsidR="002D6B80">
        <w:rPr>
          <w:lang w:val="fr-CA"/>
        </w:rPr>
        <w:t>’</w:t>
      </w:r>
      <w:r w:rsidR="00781DB0" w:rsidRPr="00413A40">
        <w:rPr>
          <w:lang w:val="fr-CA"/>
        </w:rPr>
        <w:t>abord du sous</w:t>
      </w:r>
      <w:r w:rsidR="00B029AB">
        <w:rPr>
          <w:lang w:val="fr-CA"/>
        </w:rPr>
        <w:t>-</w:t>
      </w:r>
      <w:r w:rsidR="00781DB0" w:rsidRPr="00413A40">
        <w:rPr>
          <w:lang w:val="fr-CA"/>
        </w:rPr>
        <w:t>al.</w:t>
      </w:r>
      <w:r w:rsidR="00B029AB">
        <w:rPr>
          <w:lang w:val="fr-CA"/>
        </w:rPr>
        <w:t xml:space="preserve"> </w:t>
      </w:r>
      <w:r w:rsidR="00781DB0" w:rsidRPr="00413A40">
        <w:rPr>
          <w:lang w:val="fr-CA"/>
        </w:rPr>
        <w:t>95(2)</w:t>
      </w:r>
      <w:r w:rsidR="00781DB0" w:rsidRPr="00413A40">
        <w:rPr>
          <w:i/>
          <w:lang w:val="fr-CA"/>
        </w:rPr>
        <w:t>a</w:t>
      </w:r>
      <w:r w:rsidR="00781DB0" w:rsidRPr="00413A40">
        <w:rPr>
          <w:lang w:val="fr-CA"/>
        </w:rPr>
        <w:t>)(i), la question qui se pose est celle de savoir si la peine minimale de trois</w:t>
      </w:r>
      <w:r w:rsidR="00B029AB">
        <w:rPr>
          <w:lang w:val="fr-CA"/>
        </w:rPr>
        <w:t xml:space="preserve"> </w:t>
      </w:r>
      <w:r w:rsidR="00781DB0" w:rsidRPr="00413A40">
        <w:rPr>
          <w:lang w:val="fr-CA"/>
        </w:rPr>
        <w:t>ans d</w:t>
      </w:r>
      <w:r w:rsidR="002D6B80">
        <w:rPr>
          <w:lang w:val="fr-CA"/>
        </w:rPr>
        <w:t>’</w:t>
      </w:r>
      <w:r w:rsidR="00781DB0" w:rsidRPr="00413A40">
        <w:rPr>
          <w:lang w:val="fr-CA"/>
        </w:rPr>
        <w:t>emprisonnement emportera l</w:t>
      </w:r>
      <w:r w:rsidR="002D6B80">
        <w:rPr>
          <w:lang w:val="fr-CA"/>
        </w:rPr>
        <w:t>’</w:t>
      </w:r>
      <w:r w:rsidR="00781DB0" w:rsidRPr="00413A40">
        <w:rPr>
          <w:lang w:val="fr-CA"/>
        </w:rPr>
        <w:t xml:space="preserve">infliction de peines totalement disproportionnées dans des situations raisonnablement prévisibles. La réponse est oui. </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Le paragraphe</w:t>
      </w:r>
      <w:r w:rsidR="00B029AB">
        <w:rPr>
          <w:lang w:val="fr-CA"/>
        </w:rPr>
        <w:t xml:space="preserve"> </w:t>
      </w:r>
      <w:r w:rsidR="00781DB0" w:rsidRPr="00413A40">
        <w:rPr>
          <w:lang w:val="fr-CA"/>
        </w:rPr>
        <w:t>95(1) vise une vaste gamme de comportements potentiels dont la plupart peuvent fort bien justifier l</w:t>
      </w:r>
      <w:r w:rsidR="002D6B80">
        <w:rPr>
          <w:lang w:val="fr-CA"/>
        </w:rPr>
        <w:t>’</w:t>
      </w:r>
      <w:r w:rsidR="00781DB0" w:rsidRPr="00413A40">
        <w:rPr>
          <w:lang w:val="fr-CA"/>
        </w:rPr>
        <w:t>infliction d</w:t>
      </w:r>
      <w:r w:rsidR="002D6B80">
        <w:rPr>
          <w:lang w:val="fr-CA"/>
        </w:rPr>
        <w:t>’</w:t>
      </w:r>
      <w:r w:rsidR="00781DB0" w:rsidRPr="00413A40">
        <w:rPr>
          <w:lang w:val="fr-CA"/>
        </w:rPr>
        <w:t>une peine de trois</w:t>
      </w:r>
      <w:r w:rsidR="00B029AB">
        <w:rPr>
          <w:lang w:val="fr-CA"/>
        </w:rPr>
        <w:t xml:space="preserve"> </w:t>
      </w:r>
      <w:r w:rsidR="00781DB0" w:rsidRPr="00413A40">
        <w:rPr>
          <w:lang w:val="fr-CA"/>
        </w:rPr>
        <w:t>ans ou plus</w:t>
      </w:r>
      <w:r w:rsidR="003C0F0E" w:rsidRPr="00413A40">
        <w:rPr>
          <w:lang w:val="fr-CA"/>
        </w:rPr>
        <w:t>,</w:t>
      </w:r>
      <w:r w:rsidR="00781DB0" w:rsidRPr="00413A40">
        <w:rPr>
          <w:lang w:val="fr-CA"/>
        </w:rPr>
        <w:t xml:space="preserve"> mais peut</w:t>
      </w:r>
      <w:r w:rsidR="00B029AB">
        <w:rPr>
          <w:lang w:val="fr-CA"/>
        </w:rPr>
        <w:t>-</w:t>
      </w:r>
      <w:r w:rsidR="00781DB0" w:rsidRPr="00413A40">
        <w:rPr>
          <w:lang w:val="fr-CA"/>
        </w:rPr>
        <w:t>être pas ceux qui se situent à une extrémité du continuum d</w:t>
      </w:r>
      <w:r w:rsidR="002D6B80">
        <w:rPr>
          <w:lang w:val="fr-CA"/>
        </w:rPr>
        <w:t>’</w:t>
      </w:r>
      <w:r w:rsidR="00781DB0" w:rsidRPr="00413A40">
        <w:rPr>
          <w:lang w:val="fr-CA"/>
        </w:rPr>
        <w:t>application. À cette extrémité correspond par exemple le cas du propriétaire responsable d</w:t>
      </w:r>
      <w:r w:rsidR="002D6B80">
        <w:rPr>
          <w:lang w:val="fr-CA"/>
        </w:rPr>
        <w:t>’</w:t>
      </w:r>
      <w:r w:rsidR="00781DB0" w:rsidRPr="00413A40">
        <w:rPr>
          <w:lang w:val="fr-CA"/>
        </w:rPr>
        <w:t>une arme, titulaire d</w:t>
      </w:r>
      <w:r w:rsidR="002D6B80">
        <w:rPr>
          <w:lang w:val="fr-CA"/>
        </w:rPr>
        <w:t>’</w:t>
      </w:r>
      <w:r w:rsidR="00781DB0" w:rsidRPr="00413A40">
        <w:rPr>
          <w:lang w:val="fr-CA"/>
        </w:rPr>
        <w:t>un permis, qui entrepose son arme à feu non chargée de façon sécuritaire avec des munitions à proximité, mais qui se méprend sur le lieu d</w:t>
      </w:r>
      <w:r w:rsidR="002D6B80">
        <w:rPr>
          <w:lang w:val="fr-CA"/>
        </w:rPr>
        <w:t>’</w:t>
      </w:r>
      <w:r w:rsidR="00781DB0" w:rsidRPr="00413A40">
        <w:rPr>
          <w:lang w:val="fr-CA"/>
        </w:rPr>
        <w:t>entreposage autorisé. Vu la faible culpabilité morale de ce délinquant et l</w:t>
      </w:r>
      <w:r w:rsidR="002D6B80">
        <w:rPr>
          <w:lang w:val="fr-CA"/>
        </w:rPr>
        <w:t>’</w:t>
      </w:r>
      <w:r w:rsidR="00781DB0" w:rsidRPr="00413A40">
        <w:rPr>
          <w:lang w:val="fr-CA"/>
        </w:rPr>
        <w:t>absence de préjudice ou de risque réel qu</w:t>
      </w:r>
      <w:r w:rsidR="002D6B80">
        <w:rPr>
          <w:lang w:val="fr-CA"/>
        </w:rPr>
        <w:t>’</w:t>
      </w:r>
      <w:r w:rsidR="00781DB0" w:rsidRPr="00413A40">
        <w:rPr>
          <w:lang w:val="fr-CA"/>
        </w:rPr>
        <w:t>un préjudice découle de son comportement, une peine carcérale de trois ans serait disproportionnée. D</w:t>
      </w:r>
      <w:r w:rsidR="002D6B80">
        <w:rPr>
          <w:lang w:val="fr-CA"/>
        </w:rPr>
        <w:t>’</w:t>
      </w:r>
      <w:r w:rsidR="00781DB0" w:rsidRPr="00413A40">
        <w:rPr>
          <w:lang w:val="fr-CA"/>
        </w:rPr>
        <w:t>autres cas semblables peuvent être envisagés. Essentiellement, on peut prévoir que le par.</w:t>
      </w:r>
      <w:r w:rsidR="00B029AB">
        <w:rPr>
          <w:lang w:val="fr-CA"/>
        </w:rPr>
        <w:t xml:space="preserve"> </w:t>
      </w:r>
      <w:r w:rsidR="00781DB0" w:rsidRPr="00413A40">
        <w:rPr>
          <w:lang w:val="fr-CA"/>
        </w:rPr>
        <w:t>95(1) s</w:t>
      </w:r>
      <w:r w:rsidR="002D6B80">
        <w:rPr>
          <w:lang w:val="fr-CA"/>
        </w:rPr>
        <w:t>’</w:t>
      </w:r>
      <w:r w:rsidR="00781DB0" w:rsidRPr="00413A40">
        <w:rPr>
          <w:lang w:val="fr-CA"/>
        </w:rPr>
        <w:t>applique à des infractions réglementaires qui comportent une culpabilité morale minime, voire nulle, et qui n</w:t>
      </w:r>
      <w:r w:rsidR="002D6B80">
        <w:rPr>
          <w:lang w:val="fr-CA"/>
        </w:rPr>
        <w:t>’</w:t>
      </w:r>
      <w:r w:rsidR="00781DB0" w:rsidRPr="00413A40">
        <w:rPr>
          <w:lang w:val="fr-CA"/>
        </w:rPr>
        <w:t>exposent le public à aucun danger ou presque.</w:t>
      </w:r>
    </w:p>
    <w:p w:rsidR="00781DB0" w:rsidRPr="00413A40" w:rsidRDefault="00542E62" w:rsidP="00A659A4">
      <w:pPr>
        <w:pStyle w:val="SCCNormalDoubleSpacing"/>
        <w:spacing w:after="480"/>
        <w:rPr>
          <w:lang w:val="fr-CA"/>
        </w:rPr>
      </w:pPr>
      <w:r w:rsidRPr="00413A40">
        <w:rPr>
          <w:lang w:val="fr-CA"/>
        </w:rPr>
        <w:lastRenderedPageBreak/>
        <w:tab/>
      </w:r>
      <w:r w:rsidR="00781DB0" w:rsidRPr="00413A40">
        <w:rPr>
          <w:lang w:val="fr-CA"/>
        </w:rPr>
        <w:t>Certes, les armes à feu sont foncièrement dangereuses, et l</w:t>
      </w:r>
      <w:r w:rsidR="002D6B80">
        <w:rPr>
          <w:lang w:val="fr-CA"/>
        </w:rPr>
        <w:t>’</w:t>
      </w:r>
      <w:r w:rsidR="00781DB0" w:rsidRPr="00413A40">
        <w:rPr>
          <w:lang w:val="fr-CA"/>
        </w:rPr>
        <w:t>État peut recourir à des sanctions pour signaler sa désapprobation des pratiques négligentes et décourager la méprise chez les propriétaires d</w:t>
      </w:r>
      <w:r w:rsidR="002D6B80">
        <w:rPr>
          <w:lang w:val="fr-CA"/>
        </w:rPr>
        <w:t>’</w:t>
      </w:r>
      <w:r w:rsidR="00781DB0" w:rsidRPr="00413A40">
        <w:rPr>
          <w:lang w:val="fr-CA"/>
        </w:rPr>
        <w:t>armes à feu. Or, infliger une peine de trois ans d</w:t>
      </w:r>
      <w:r w:rsidR="002D6B80">
        <w:rPr>
          <w:lang w:val="fr-CA"/>
        </w:rPr>
        <w:t>’</w:t>
      </w:r>
      <w:r w:rsidR="00781DB0" w:rsidRPr="00413A40">
        <w:rPr>
          <w:lang w:val="fr-CA"/>
        </w:rPr>
        <w:t>emprisonnement à une personne qui a essentiellement commis une infraction réglementaire déroge totalement aux normes de détermination de la peine énoncées à l</w:t>
      </w:r>
      <w:r w:rsidR="002D6B80">
        <w:rPr>
          <w:lang w:val="fr-CA"/>
        </w:rPr>
        <w:t>’</w:t>
      </w:r>
      <w:r w:rsidR="00781DB0" w:rsidRPr="00413A40">
        <w:rPr>
          <w:lang w:val="fr-CA"/>
        </w:rPr>
        <w:t>art.</w:t>
      </w:r>
      <w:r w:rsidR="00B029AB">
        <w:rPr>
          <w:lang w:val="fr-CA"/>
        </w:rPr>
        <w:t xml:space="preserve"> </w:t>
      </w:r>
      <w:r w:rsidR="00781DB0" w:rsidRPr="00413A40">
        <w:rPr>
          <w:lang w:val="fr-CA"/>
        </w:rPr>
        <w:t xml:space="preserve">718 du </w:t>
      </w:r>
      <w:r w:rsidR="00781DB0" w:rsidRPr="00413A40">
        <w:rPr>
          <w:i/>
          <w:lang w:val="fr-CA"/>
        </w:rPr>
        <w:t xml:space="preserve">Code criminel </w:t>
      </w:r>
      <w:r w:rsidR="00781DB0" w:rsidRPr="00413A40">
        <w:rPr>
          <w:lang w:val="fr-CA"/>
        </w:rPr>
        <w:t>et aux attentes légitimes des citoyens dans une société libre et démocratique. Comme l</w:t>
      </w:r>
      <w:r w:rsidR="002D6B80">
        <w:rPr>
          <w:lang w:val="fr-CA"/>
        </w:rPr>
        <w:t>’</w:t>
      </w:r>
      <w:r w:rsidR="00781DB0" w:rsidRPr="00413A40">
        <w:rPr>
          <w:lang w:val="fr-CA"/>
        </w:rPr>
        <w:t>a conclu la Cour d</w:t>
      </w:r>
      <w:r w:rsidR="002D6B80">
        <w:rPr>
          <w:lang w:val="fr-CA"/>
        </w:rPr>
        <w:t>’</w:t>
      </w:r>
      <w:r w:rsidR="00781DB0" w:rsidRPr="00413A40">
        <w:rPr>
          <w:lang w:val="fr-CA"/>
        </w:rPr>
        <w:t>appel, il y a discordance totale entre la gravité de l</w:t>
      </w:r>
      <w:r w:rsidR="002D6B80">
        <w:rPr>
          <w:lang w:val="fr-CA"/>
        </w:rPr>
        <w:t>’</w:t>
      </w:r>
      <w:r w:rsidR="00781DB0" w:rsidRPr="00413A40">
        <w:rPr>
          <w:lang w:val="fr-CA"/>
        </w:rPr>
        <w:t>infraction réglementaire et la peine minimale obligatoire de trois</w:t>
      </w:r>
      <w:r w:rsidR="00F90E13" w:rsidRPr="00413A40">
        <w:rPr>
          <w:lang w:val="fr-CA"/>
        </w:rPr>
        <w:t xml:space="preserve"> </w:t>
      </w:r>
      <w:r w:rsidR="00781DB0" w:rsidRPr="00413A40">
        <w:rPr>
          <w:lang w:val="fr-CA"/>
        </w:rPr>
        <w:t>ans d</w:t>
      </w:r>
      <w:r w:rsidR="002D6B80">
        <w:rPr>
          <w:lang w:val="fr-CA"/>
        </w:rPr>
        <w:t>’</w:t>
      </w:r>
      <w:r w:rsidR="00781DB0" w:rsidRPr="00413A40">
        <w:rPr>
          <w:lang w:val="fr-CA"/>
        </w:rPr>
        <w:t>emprisonnement. Par conséquent, le sous</w:t>
      </w:r>
      <w:r w:rsidR="00B029AB">
        <w:rPr>
          <w:lang w:val="fr-CA"/>
        </w:rPr>
        <w:t>-</w:t>
      </w:r>
      <w:r w:rsidR="00781DB0" w:rsidRPr="00413A40">
        <w:rPr>
          <w:lang w:val="fr-CA"/>
        </w:rPr>
        <w:t>al.</w:t>
      </w:r>
      <w:r w:rsidR="00B029AB">
        <w:rPr>
          <w:lang w:val="fr-CA"/>
        </w:rPr>
        <w:t xml:space="preserve"> </w:t>
      </w:r>
      <w:r w:rsidR="00781DB0" w:rsidRPr="00413A40">
        <w:rPr>
          <w:lang w:val="fr-CA"/>
        </w:rPr>
        <w:t>95(2)</w:t>
      </w:r>
      <w:r w:rsidR="00781DB0" w:rsidRPr="00413A40">
        <w:rPr>
          <w:i/>
          <w:lang w:val="fr-CA"/>
        </w:rPr>
        <w:t>a</w:t>
      </w:r>
      <w:r w:rsidR="00781DB0" w:rsidRPr="00413A40">
        <w:rPr>
          <w:lang w:val="fr-CA"/>
        </w:rPr>
        <w:t>)(i) contrevient à l</w:t>
      </w:r>
      <w:r w:rsidR="002D6B80">
        <w:rPr>
          <w:lang w:val="fr-CA"/>
        </w:rPr>
        <w:t>’</w:t>
      </w:r>
      <w:r w:rsidR="00781DB0" w:rsidRPr="00413A40">
        <w:rPr>
          <w:lang w:val="fr-CA"/>
        </w:rPr>
        <w:t>art.</w:t>
      </w:r>
      <w:r w:rsidR="00B029AB">
        <w:rPr>
          <w:lang w:val="fr-CA"/>
        </w:rPr>
        <w:t xml:space="preserve"> </w:t>
      </w:r>
      <w:r w:rsidR="00781DB0" w:rsidRPr="00413A40">
        <w:rPr>
          <w:lang w:val="fr-CA"/>
        </w:rPr>
        <w:t xml:space="preserve">12 de la </w:t>
      </w:r>
      <w:r w:rsidR="00781DB0" w:rsidRPr="00413A40">
        <w:rPr>
          <w:i/>
          <w:lang w:val="fr-CA"/>
        </w:rPr>
        <w:t>Charte</w:t>
      </w:r>
      <w:r w:rsidR="00781DB0" w:rsidRPr="00413A40">
        <w:rPr>
          <w:lang w:val="fr-CA"/>
        </w:rPr>
        <w:t>.</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Pour ce qui est du sous</w:t>
      </w:r>
      <w:r w:rsidR="00B029AB">
        <w:rPr>
          <w:lang w:val="fr-CA"/>
        </w:rPr>
        <w:t>-</w:t>
      </w:r>
      <w:r w:rsidR="00781DB0" w:rsidRPr="00413A40">
        <w:rPr>
          <w:lang w:val="fr-CA"/>
        </w:rPr>
        <w:t>al.</w:t>
      </w:r>
      <w:r w:rsidR="00B029AB">
        <w:rPr>
          <w:lang w:val="fr-CA"/>
        </w:rPr>
        <w:t xml:space="preserve"> </w:t>
      </w:r>
      <w:r w:rsidR="00781DB0" w:rsidRPr="00413A40">
        <w:rPr>
          <w:lang w:val="fr-CA"/>
        </w:rPr>
        <w:t>95(2)</w:t>
      </w:r>
      <w:r w:rsidR="00781DB0" w:rsidRPr="00413A40">
        <w:rPr>
          <w:i/>
          <w:lang w:val="fr-CA"/>
        </w:rPr>
        <w:t>a</w:t>
      </w:r>
      <w:r w:rsidR="00781DB0" w:rsidRPr="00413A40">
        <w:rPr>
          <w:lang w:val="fr-CA"/>
        </w:rPr>
        <w:t>)(ii), il ne fait aucun doute que, dans bien des cas, le délinquant qui récidive doit être condamné à une peine carcérale et que, parfois, il faut lui infliger une peine de longue durée. La peine de sept</w:t>
      </w:r>
      <w:r w:rsidR="00B029AB">
        <w:rPr>
          <w:lang w:val="fr-CA"/>
        </w:rPr>
        <w:t xml:space="preserve"> </w:t>
      </w:r>
      <w:r w:rsidR="00781DB0" w:rsidRPr="00413A40">
        <w:rPr>
          <w:lang w:val="fr-CA"/>
        </w:rPr>
        <w:t>ans d</w:t>
      </w:r>
      <w:r w:rsidR="002D6B80">
        <w:rPr>
          <w:lang w:val="fr-CA"/>
        </w:rPr>
        <w:t>’</w:t>
      </w:r>
      <w:r w:rsidR="00781DB0" w:rsidRPr="00413A40">
        <w:rPr>
          <w:lang w:val="fr-CA"/>
        </w:rPr>
        <w:t>emprisonnement infligée à C constitue un bon exemple. Toutefois, il serait totalement disproportionné d</w:t>
      </w:r>
      <w:r w:rsidR="002D6B80">
        <w:rPr>
          <w:lang w:val="fr-CA"/>
        </w:rPr>
        <w:t>’</w:t>
      </w:r>
      <w:r w:rsidR="00781DB0" w:rsidRPr="00413A40">
        <w:rPr>
          <w:lang w:val="fr-CA"/>
        </w:rPr>
        <w:t>infliger une peine minimale obligatoire de cinq</w:t>
      </w:r>
      <w:r w:rsidR="00B029AB">
        <w:rPr>
          <w:lang w:val="fr-CA"/>
        </w:rPr>
        <w:t xml:space="preserve"> </w:t>
      </w:r>
      <w:r w:rsidR="00781DB0" w:rsidRPr="00413A40">
        <w:rPr>
          <w:lang w:val="fr-CA"/>
        </w:rPr>
        <w:t>ans d</w:t>
      </w:r>
      <w:r w:rsidR="002D6B80">
        <w:rPr>
          <w:lang w:val="fr-CA"/>
        </w:rPr>
        <w:t>’</w:t>
      </w:r>
      <w:r w:rsidR="00781DB0" w:rsidRPr="00413A40">
        <w:rPr>
          <w:lang w:val="fr-CA"/>
        </w:rPr>
        <w:t>emprisonnement à l</w:t>
      </w:r>
      <w:r w:rsidR="002D6B80">
        <w:rPr>
          <w:lang w:val="fr-CA"/>
        </w:rPr>
        <w:t>’</w:t>
      </w:r>
      <w:r w:rsidR="00781DB0" w:rsidRPr="00413A40">
        <w:rPr>
          <w:lang w:val="fr-CA"/>
        </w:rPr>
        <w:t>auteur d</w:t>
      </w:r>
      <w:r w:rsidR="002D6B80">
        <w:rPr>
          <w:lang w:val="fr-CA"/>
        </w:rPr>
        <w:t>’</w:t>
      </w:r>
      <w:r w:rsidR="00781DB0" w:rsidRPr="00413A40">
        <w:rPr>
          <w:lang w:val="fr-CA"/>
        </w:rPr>
        <w:t>une infraction de moindre gravité. Dans ce cas, la peine de cinq ans d</w:t>
      </w:r>
      <w:r w:rsidR="002D6B80">
        <w:rPr>
          <w:lang w:val="fr-CA"/>
        </w:rPr>
        <w:t>’</w:t>
      </w:r>
      <w:r w:rsidR="00781DB0" w:rsidRPr="00413A40">
        <w:rPr>
          <w:lang w:val="fr-CA"/>
        </w:rPr>
        <w:t>emprisonnement dépasse largement ce qu</w:t>
      </w:r>
      <w:r w:rsidR="002D6B80">
        <w:rPr>
          <w:lang w:val="fr-CA"/>
        </w:rPr>
        <w:t>’</w:t>
      </w:r>
      <w:r w:rsidR="00781DB0" w:rsidRPr="00413A40">
        <w:rPr>
          <w:lang w:val="fr-CA"/>
        </w:rPr>
        <w:t>exigent la protection du public, la réprobation morale du délinquant et la dissuasion d</w:t>
      </w:r>
      <w:r w:rsidR="002D6B80">
        <w:rPr>
          <w:lang w:val="fr-CA"/>
        </w:rPr>
        <w:t>’</w:t>
      </w:r>
      <w:r w:rsidR="00781DB0" w:rsidRPr="00413A40">
        <w:rPr>
          <w:lang w:val="fr-CA"/>
        </w:rPr>
        <w:t>autrui de faire de même. En conséquence, le sous</w:t>
      </w:r>
      <w:r w:rsidR="00B029AB">
        <w:rPr>
          <w:lang w:val="fr-CA"/>
        </w:rPr>
        <w:t>-</w:t>
      </w:r>
      <w:r w:rsidR="00781DB0" w:rsidRPr="00413A40">
        <w:rPr>
          <w:lang w:val="fr-CA"/>
        </w:rPr>
        <w:t>al.</w:t>
      </w:r>
      <w:r w:rsidR="00B029AB">
        <w:rPr>
          <w:lang w:val="fr-CA"/>
        </w:rPr>
        <w:t xml:space="preserve"> </w:t>
      </w:r>
      <w:r w:rsidR="00781DB0" w:rsidRPr="00413A40">
        <w:rPr>
          <w:lang w:val="fr-CA"/>
        </w:rPr>
        <w:t>95(2)</w:t>
      </w:r>
      <w:r w:rsidR="00781DB0" w:rsidRPr="00413A40">
        <w:rPr>
          <w:i/>
          <w:lang w:val="fr-CA"/>
        </w:rPr>
        <w:t>a</w:t>
      </w:r>
      <w:r w:rsidR="00781DB0" w:rsidRPr="00413A40">
        <w:rPr>
          <w:lang w:val="fr-CA"/>
        </w:rPr>
        <w:t>)(ii) viole l</w:t>
      </w:r>
      <w:r w:rsidR="002D6B80">
        <w:rPr>
          <w:lang w:val="fr-CA"/>
        </w:rPr>
        <w:t>’</w:t>
      </w:r>
      <w:r w:rsidR="00781DB0" w:rsidRPr="00413A40">
        <w:rPr>
          <w:lang w:val="fr-CA"/>
        </w:rPr>
        <w:t>art.</w:t>
      </w:r>
      <w:r w:rsidR="00B029AB">
        <w:rPr>
          <w:lang w:val="fr-CA"/>
        </w:rPr>
        <w:t xml:space="preserve"> </w:t>
      </w:r>
      <w:r w:rsidR="00781DB0" w:rsidRPr="00413A40">
        <w:rPr>
          <w:lang w:val="fr-CA"/>
        </w:rPr>
        <w:t xml:space="preserve">12 de la </w:t>
      </w:r>
      <w:r w:rsidR="00781DB0" w:rsidRPr="00413A40">
        <w:rPr>
          <w:i/>
          <w:lang w:val="fr-CA"/>
        </w:rPr>
        <w:t>Charte</w:t>
      </w:r>
      <w:r w:rsidR="00781DB0" w:rsidRPr="00413A40">
        <w:rPr>
          <w:lang w:val="fr-CA"/>
        </w:rPr>
        <w:t>.</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Ces violations de l</w:t>
      </w:r>
      <w:r w:rsidR="002D6B80">
        <w:rPr>
          <w:lang w:val="fr-CA"/>
        </w:rPr>
        <w:t>’</w:t>
      </w:r>
      <w:r w:rsidR="00781DB0" w:rsidRPr="00413A40">
        <w:rPr>
          <w:lang w:val="fr-CA"/>
        </w:rPr>
        <w:t>art.</w:t>
      </w:r>
      <w:r w:rsidR="00B029AB">
        <w:rPr>
          <w:lang w:val="fr-CA"/>
        </w:rPr>
        <w:t xml:space="preserve"> </w:t>
      </w:r>
      <w:r w:rsidR="00781DB0" w:rsidRPr="00413A40">
        <w:rPr>
          <w:lang w:val="fr-CA"/>
        </w:rPr>
        <w:t xml:space="preserve">12 de la </w:t>
      </w:r>
      <w:r w:rsidR="00781DB0" w:rsidRPr="00413A40">
        <w:rPr>
          <w:i/>
          <w:lang w:val="fr-CA"/>
        </w:rPr>
        <w:t>Charte</w:t>
      </w:r>
      <w:r w:rsidR="00781DB0" w:rsidRPr="00413A40">
        <w:rPr>
          <w:lang w:val="fr-CA"/>
        </w:rPr>
        <w:t xml:space="preserve"> ne peuvent se justifier par application de l</w:t>
      </w:r>
      <w:r w:rsidR="002D6B80">
        <w:rPr>
          <w:lang w:val="fr-CA"/>
        </w:rPr>
        <w:t>’</w:t>
      </w:r>
      <w:r w:rsidR="00781DB0" w:rsidRPr="00413A40">
        <w:rPr>
          <w:lang w:val="fr-CA"/>
        </w:rPr>
        <w:t>article premier</w:t>
      </w:r>
      <w:r w:rsidR="00781DB0" w:rsidRPr="00084013">
        <w:rPr>
          <w:lang w:val="fr-CA"/>
        </w:rPr>
        <w:t>.</w:t>
      </w:r>
      <w:r w:rsidR="00B62EA6">
        <w:rPr>
          <w:i/>
          <w:lang w:val="fr-CA"/>
        </w:rPr>
        <w:t xml:space="preserve"> </w:t>
      </w:r>
      <w:r w:rsidR="003C0F0E" w:rsidRPr="00B62EA6">
        <w:rPr>
          <w:lang w:val="fr-CA"/>
        </w:rPr>
        <w:t>L</w:t>
      </w:r>
      <w:r w:rsidR="002D6B80">
        <w:rPr>
          <w:lang w:val="fr-CA"/>
        </w:rPr>
        <w:t>’</w:t>
      </w:r>
      <w:r w:rsidR="00781DB0" w:rsidRPr="00413A40">
        <w:rPr>
          <w:lang w:val="fr-CA"/>
        </w:rPr>
        <w:t>État n</w:t>
      </w:r>
      <w:r w:rsidR="002D6B80">
        <w:rPr>
          <w:lang w:val="fr-CA"/>
        </w:rPr>
        <w:t>’</w:t>
      </w:r>
      <w:r w:rsidR="00781DB0" w:rsidRPr="00413A40">
        <w:rPr>
          <w:lang w:val="fr-CA"/>
        </w:rPr>
        <w:t xml:space="preserve">a pas établi que les peines minimales </w:t>
      </w:r>
      <w:r w:rsidR="00781DB0" w:rsidRPr="00413A40">
        <w:rPr>
          <w:lang w:val="fr-CA"/>
        </w:rPr>
        <w:lastRenderedPageBreak/>
        <w:t>obligatoires d</w:t>
      </w:r>
      <w:r w:rsidR="002D6B80">
        <w:rPr>
          <w:lang w:val="fr-CA"/>
        </w:rPr>
        <w:t>’</w:t>
      </w:r>
      <w:r w:rsidR="00781DB0" w:rsidRPr="00413A40">
        <w:rPr>
          <w:lang w:val="fr-CA"/>
        </w:rPr>
        <w:t xml:space="preserve">emprisonnement avaient un effet dissuasif, </w:t>
      </w:r>
      <w:r w:rsidR="003C0F0E" w:rsidRPr="00413A40">
        <w:rPr>
          <w:lang w:val="fr-CA"/>
        </w:rPr>
        <w:t xml:space="preserve">mais </w:t>
      </w:r>
      <w:r w:rsidR="00781DB0" w:rsidRPr="00413A40">
        <w:rPr>
          <w:lang w:val="fr-CA"/>
        </w:rPr>
        <w:t>il existe un lien rationnel entre ces peines et les objectifs de dénonciation et de châtiment. Toutefois, l</w:t>
      </w:r>
      <w:r w:rsidR="002D6B80">
        <w:rPr>
          <w:lang w:val="fr-CA"/>
        </w:rPr>
        <w:t>’</w:t>
      </w:r>
      <w:r w:rsidR="00781DB0" w:rsidRPr="00413A40">
        <w:rPr>
          <w:lang w:val="fr-CA"/>
        </w:rPr>
        <w:t>État n</w:t>
      </w:r>
      <w:r w:rsidR="002D6B80">
        <w:rPr>
          <w:lang w:val="fr-CA"/>
        </w:rPr>
        <w:t>’</w:t>
      </w:r>
      <w:r w:rsidR="00781DB0" w:rsidRPr="00413A40">
        <w:rPr>
          <w:lang w:val="fr-CA"/>
        </w:rPr>
        <w:t>a pas satisfait à l</w:t>
      </w:r>
      <w:r w:rsidR="002D6B80">
        <w:rPr>
          <w:lang w:val="fr-CA"/>
        </w:rPr>
        <w:t>’</w:t>
      </w:r>
      <w:r w:rsidR="00781DB0" w:rsidRPr="00413A40">
        <w:rPr>
          <w:lang w:val="fr-CA"/>
        </w:rPr>
        <w:t>exigence de l</w:t>
      </w:r>
      <w:r w:rsidR="002D6B80">
        <w:rPr>
          <w:lang w:val="fr-CA"/>
        </w:rPr>
        <w:t>’</w:t>
      </w:r>
      <w:r w:rsidR="00781DB0" w:rsidRPr="00413A40">
        <w:rPr>
          <w:lang w:val="fr-CA"/>
        </w:rPr>
        <w:t>atteinte minimale, car il existe des moyens moins préjudiciables d</w:t>
      </w:r>
      <w:r w:rsidR="002D6B80">
        <w:rPr>
          <w:lang w:val="fr-CA"/>
        </w:rPr>
        <w:t>’</w:t>
      </w:r>
      <w:r w:rsidR="00781DB0" w:rsidRPr="00413A40">
        <w:rPr>
          <w:lang w:val="fr-CA"/>
        </w:rPr>
        <w:t>atteindre l</w:t>
      </w:r>
      <w:r w:rsidR="002D6B80">
        <w:rPr>
          <w:lang w:val="fr-CA"/>
        </w:rPr>
        <w:t>’</w:t>
      </w:r>
      <w:r w:rsidR="00781DB0" w:rsidRPr="00413A40">
        <w:rPr>
          <w:lang w:val="fr-CA"/>
        </w:rPr>
        <w:t>objectif législatif. En outre, vu la conclusion selon laquelle les peines minimales obligatoires d</w:t>
      </w:r>
      <w:r w:rsidR="002D6B80">
        <w:rPr>
          <w:lang w:val="fr-CA"/>
        </w:rPr>
        <w:t>’</w:t>
      </w:r>
      <w:r w:rsidR="00781DB0" w:rsidRPr="00413A40">
        <w:rPr>
          <w:lang w:val="fr-CA"/>
        </w:rPr>
        <w:t xml:space="preserve">emprisonnement </w:t>
      </w:r>
      <w:r w:rsidR="003C0F0E" w:rsidRPr="00413A40">
        <w:rPr>
          <w:lang w:val="fr-CA"/>
        </w:rPr>
        <w:t>que prévoit le</w:t>
      </w:r>
      <w:r w:rsidR="00781DB0" w:rsidRPr="00413A40">
        <w:rPr>
          <w:lang w:val="fr-CA"/>
        </w:rPr>
        <w:t xml:space="preserve"> par.</w:t>
      </w:r>
      <w:r w:rsidR="00B029AB">
        <w:rPr>
          <w:lang w:val="fr-CA"/>
        </w:rPr>
        <w:t xml:space="preserve"> </w:t>
      </w:r>
      <w:r w:rsidR="00781DB0" w:rsidRPr="00413A40">
        <w:rPr>
          <w:lang w:val="fr-CA"/>
        </w:rPr>
        <w:t>95(2) lorsque le ministère public opte pour la mise en accusation sont totalement disproportionnées, la restriction ne peut se justifier sur le fondement de la proportionnalité pour les besoins de l</w:t>
      </w:r>
      <w:r w:rsidR="002D6B80">
        <w:rPr>
          <w:lang w:val="fr-CA"/>
        </w:rPr>
        <w:t>’</w:t>
      </w:r>
      <w:r w:rsidR="00781DB0" w:rsidRPr="00413A40">
        <w:rPr>
          <w:lang w:val="fr-CA"/>
        </w:rPr>
        <w:t>article premier. Les peines minimales obligatoires d</w:t>
      </w:r>
      <w:r w:rsidR="002D6B80">
        <w:rPr>
          <w:lang w:val="fr-CA"/>
        </w:rPr>
        <w:t>’</w:t>
      </w:r>
      <w:r w:rsidR="00781DB0" w:rsidRPr="00413A40">
        <w:rPr>
          <w:lang w:val="fr-CA"/>
        </w:rPr>
        <w:t>emprisonnement prévues au par.</w:t>
      </w:r>
      <w:r w:rsidR="00B029AB">
        <w:rPr>
          <w:lang w:val="fr-CA"/>
        </w:rPr>
        <w:t xml:space="preserve"> </w:t>
      </w:r>
      <w:r w:rsidR="00781DB0" w:rsidRPr="00413A40">
        <w:rPr>
          <w:lang w:val="fr-CA"/>
        </w:rPr>
        <w:t xml:space="preserve">95(2) sont donc inconstitutionnelles. </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Cette conclusion dispense de l</w:t>
      </w:r>
      <w:r w:rsidR="002D6B80">
        <w:rPr>
          <w:lang w:val="fr-CA"/>
        </w:rPr>
        <w:t>’</w:t>
      </w:r>
      <w:r w:rsidR="00781DB0" w:rsidRPr="00413A40">
        <w:rPr>
          <w:lang w:val="fr-CA"/>
        </w:rPr>
        <w:t>examen des prétentions de N et de C selon lesquelles le par.</w:t>
      </w:r>
      <w:r w:rsidR="00B029AB">
        <w:rPr>
          <w:lang w:val="fr-CA"/>
        </w:rPr>
        <w:t xml:space="preserve"> </w:t>
      </w:r>
      <w:r w:rsidR="00781DB0" w:rsidRPr="00413A40">
        <w:rPr>
          <w:lang w:val="fr-CA"/>
        </w:rPr>
        <w:t>95(2) contrevient à l</w:t>
      </w:r>
      <w:r w:rsidR="002D6B80">
        <w:rPr>
          <w:lang w:val="fr-CA"/>
        </w:rPr>
        <w:t>’</w:t>
      </w:r>
      <w:r w:rsidR="00781DB0" w:rsidRPr="00413A40">
        <w:rPr>
          <w:lang w:val="fr-CA"/>
        </w:rPr>
        <w:t>art.</w:t>
      </w:r>
      <w:r w:rsidR="00B029AB">
        <w:rPr>
          <w:lang w:val="fr-CA"/>
        </w:rPr>
        <w:t xml:space="preserve"> </w:t>
      </w:r>
      <w:r w:rsidR="00781DB0" w:rsidRPr="00413A40">
        <w:rPr>
          <w:lang w:val="fr-CA"/>
        </w:rPr>
        <w:t xml:space="preserve">7 de la </w:t>
      </w:r>
      <w:r w:rsidR="00781DB0" w:rsidRPr="00413A40">
        <w:rPr>
          <w:i/>
          <w:lang w:val="fr-CA"/>
        </w:rPr>
        <w:t>Charte</w:t>
      </w:r>
      <w:r w:rsidR="00781DB0" w:rsidRPr="00413A40">
        <w:rPr>
          <w:lang w:val="fr-CA"/>
        </w:rPr>
        <w:t xml:space="preserve">. </w:t>
      </w:r>
    </w:p>
    <w:p w:rsidR="00781DB0" w:rsidRPr="00413A40" w:rsidRDefault="00542E62" w:rsidP="00A659A4">
      <w:pPr>
        <w:pStyle w:val="SCCNormalDoubleSpacing"/>
        <w:spacing w:after="480"/>
        <w:rPr>
          <w:lang w:val="fr-CA"/>
        </w:rPr>
      </w:pPr>
      <w:r w:rsidRPr="00413A40">
        <w:rPr>
          <w:lang w:val="fr-CA"/>
        </w:rPr>
        <w:tab/>
      </w:r>
      <w:r w:rsidR="00781DB0" w:rsidRPr="00413A40">
        <w:rPr>
          <w:i/>
          <w:lang w:val="fr-CA"/>
        </w:rPr>
        <w:t>Les</w:t>
      </w:r>
      <w:r w:rsidR="00781DB0" w:rsidRPr="00413A40">
        <w:rPr>
          <w:lang w:val="fr-CA"/>
        </w:rPr>
        <w:t xml:space="preserve"> juges Rothstein, </w:t>
      </w:r>
      <w:r w:rsidR="00781DB0" w:rsidRPr="00084013">
        <w:rPr>
          <w:lang w:val="fr-CA"/>
        </w:rPr>
        <w:t>Moldaver</w:t>
      </w:r>
      <w:r w:rsidR="00781DB0" w:rsidRPr="00413A40">
        <w:rPr>
          <w:lang w:val="fr-CA"/>
        </w:rPr>
        <w:t xml:space="preserve"> et Wagner (dissidents)</w:t>
      </w:r>
      <w:r w:rsidR="00B029AB">
        <w:rPr>
          <w:lang w:val="fr-CA"/>
        </w:rPr>
        <w:t> :</w:t>
      </w:r>
      <w:r w:rsidR="00781DB0" w:rsidRPr="00413A40">
        <w:rPr>
          <w:lang w:val="fr-CA"/>
        </w:rPr>
        <w:t xml:space="preserve"> La démarche axée sur les situations hypothétiques raisonnables ne justifie pas l</w:t>
      </w:r>
      <w:r w:rsidR="002D6B80">
        <w:rPr>
          <w:lang w:val="fr-CA"/>
        </w:rPr>
        <w:t>’</w:t>
      </w:r>
      <w:r w:rsidR="00781DB0" w:rsidRPr="00413A40">
        <w:rPr>
          <w:lang w:val="fr-CA"/>
        </w:rPr>
        <w:t>invalidation du par.</w:t>
      </w:r>
      <w:r w:rsidR="00B029AB">
        <w:rPr>
          <w:lang w:val="fr-CA"/>
        </w:rPr>
        <w:t xml:space="preserve"> </w:t>
      </w:r>
      <w:r w:rsidR="00781DB0" w:rsidRPr="00413A40">
        <w:rPr>
          <w:lang w:val="fr-CA"/>
        </w:rPr>
        <w:t xml:space="preserve">95(2) du </w:t>
      </w:r>
      <w:r w:rsidR="00781DB0" w:rsidRPr="00413A40">
        <w:rPr>
          <w:i/>
          <w:lang w:val="fr-CA"/>
        </w:rPr>
        <w:t xml:space="preserve">Code criminel </w:t>
      </w:r>
      <w:r w:rsidR="00781DB0" w:rsidRPr="00413A40">
        <w:rPr>
          <w:lang w:val="fr-CA"/>
        </w:rPr>
        <w:t>sur le fondement de l</w:t>
      </w:r>
      <w:r w:rsidR="002D6B80">
        <w:rPr>
          <w:lang w:val="fr-CA"/>
        </w:rPr>
        <w:t>’</w:t>
      </w:r>
      <w:r w:rsidR="00781DB0" w:rsidRPr="00413A40">
        <w:rPr>
          <w:lang w:val="fr-CA"/>
        </w:rPr>
        <w:t>art.</w:t>
      </w:r>
      <w:r w:rsidR="00B029AB">
        <w:rPr>
          <w:lang w:val="fr-CA"/>
        </w:rPr>
        <w:t xml:space="preserve"> </w:t>
      </w:r>
      <w:r w:rsidR="00781DB0" w:rsidRPr="00413A40">
        <w:rPr>
          <w:lang w:val="fr-CA"/>
        </w:rPr>
        <w:t xml:space="preserve">12 de la </w:t>
      </w:r>
      <w:r w:rsidR="00781DB0" w:rsidRPr="00413A40">
        <w:rPr>
          <w:i/>
          <w:lang w:val="fr-CA"/>
        </w:rPr>
        <w:t>Charte</w:t>
      </w:r>
      <w:r w:rsidR="00781DB0" w:rsidRPr="00413A40">
        <w:rPr>
          <w:lang w:val="fr-CA"/>
        </w:rPr>
        <w:t>. Les situations hypothétiques d</w:t>
      </w:r>
      <w:r w:rsidR="002D6B80">
        <w:rPr>
          <w:lang w:val="fr-CA"/>
        </w:rPr>
        <w:t>’</w:t>
      </w:r>
      <w:r w:rsidR="00781DB0" w:rsidRPr="00413A40">
        <w:rPr>
          <w:lang w:val="fr-CA"/>
        </w:rPr>
        <w:t>infraction de type réglementaire qu</w:t>
      </w:r>
      <w:r w:rsidR="002D6B80">
        <w:rPr>
          <w:lang w:val="fr-CA"/>
        </w:rPr>
        <w:t>’</w:t>
      </w:r>
      <w:r w:rsidR="00781DB0" w:rsidRPr="00413A40">
        <w:rPr>
          <w:lang w:val="fr-CA"/>
        </w:rPr>
        <w:t>invoquent les juges majoritaires ne s</w:t>
      </w:r>
      <w:r w:rsidR="002D6B80">
        <w:rPr>
          <w:lang w:val="fr-CA"/>
        </w:rPr>
        <w:t>’</w:t>
      </w:r>
      <w:r w:rsidR="00781DB0" w:rsidRPr="00413A40">
        <w:rPr>
          <w:lang w:val="fr-CA"/>
        </w:rPr>
        <w:t>appuient ni sur l</w:t>
      </w:r>
      <w:r w:rsidR="002D6B80">
        <w:rPr>
          <w:lang w:val="fr-CA"/>
        </w:rPr>
        <w:t>’</w:t>
      </w:r>
      <w:r w:rsidR="00781DB0" w:rsidRPr="00413A40">
        <w:rPr>
          <w:lang w:val="fr-CA"/>
        </w:rPr>
        <w:t>expérience ni sur le bon sens. Premièrement, depuis l</w:t>
      </w:r>
      <w:r w:rsidR="002D6B80">
        <w:rPr>
          <w:lang w:val="fr-CA"/>
        </w:rPr>
        <w:t>’</w:t>
      </w:r>
      <w:r w:rsidR="00781DB0" w:rsidRPr="00413A40">
        <w:rPr>
          <w:lang w:val="fr-CA"/>
        </w:rPr>
        <w:t>entrée en vigueur du par.</w:t>
      </w:r>
      <w:r w:rsidR="00B029AB">
        <w:rPr>
          <w:lang w:val="fr-CA"/>
        </w:rPr>
        <w:t xml:space="preserve"> </w:t>
      </w:r>
      <w:r w:rsidR="00781DB0" w:rsidRPr="00413A40">
        <w:rPr>
          <w:lang w:val="fr-CA"/>
        </w:rPr>
        <w:t>95(2), il appert de l</w:t>
      </w:r>
      <w:r w:rsidR="002D6B80">
        <w:rPr>
          <w:lang w:val="fr-CA"/>
        </w:rPr>
        <w:t>’</w:t>
      </w:r>
      <w:r w:rsidR="00781DB0" w:rsidRPr="00413A40">
        <w:rPr>
          <w:lang w:val="fr-CA"/>
        </w:rPr>
        <w:t>expérience que, dans aucune affaire d</w:t>
      </w:r>
      <w:r w:rsidR="002D6B80">
        <w:rPr>
          <w:lang w:val="fr-CA"/>
        </w:rPr>
        <w:t>’</w:t>
      </w:r>
      <w:r w:rsidR="00781DB0" w:rsidRPr="00413A40">
        <w:rPr>
          <w:lang w:val="fr-CA"/>
        </w:rPr>
        <w:t>infraction de type réglementaire, la peine minimale obligatoire infligée a pu être tenue pour totalement disproportionnée. Qui plus est, les parties ne peuvent citer un seul cas où l</w:t>
      </w:r>
      <w:r w:rsidR="002D6B80">
        <w:rPr>
          <w:lang w:val="fr-CA"/>
        </w:rPr>
        <w:t>’</w:t>
      </w:r>
      <w:r w:rsidR="00781DB0" w:rsidRPr="00413A40">
        <w:rPr>
          <w:lang w:val="fr-CA"/>
        </w:rPr>
        <w:t>auteur d</w:t>
      </w:r>
      <w:r w:rsidR="002D6B80">
        <w:rPr>
          <w:lang w:val="fr-CA"/>
        </w:rPr>
        <w:t>’</w:t>
      </w:r>
      <w:r w:rsidR="00781DB0" w:rsidRPr="00413A40">
        <w:rPr>
          <w:lang w:val="fr-CA"/>
        </w:rPr>
        <w:t xml:space="preserve">une telle infraction a été poursuivi par voie de mise en accusation, encourant ainsi une peine minimale obligatoire. En fait, dans la seule décision relative </w:t>
      </w:r>
      <w:r w:rsidR="00781DB0" w:rsidRPr="00413A40">
        <w:rPr>
          <w:lang w:val="fr-CA"/>
        </w:rPr>
        <w:lastRenderedPageBreak/>
        <w:t xml:space="preserve">à une infraction de ce type et invoquée par les parties, le poursuivant a opté pour la procédure sommaire. </w:t>
      </w:r>
    </w:p>
    <w:p w:rsidR="00781DB0" w:rsidRPr="00413A40" w:rsidRDefault="00781DB0" w:rsidP="00A659A4">
      <w:pPr>
        <w:pStyle w:val="SCCNormalDoubleSpacing"/>
        <w:spacing w:after="480"/>
        <w:rPr>
          <w:lang w:val="fr-CA"/>
        </w:rPr>
      </w:pPr>
      <w:r w:rsidRPr="00413A40">
        <w:rPr>
          <w:lang w:val="fr-CA"/>
        </w:rPr>
        <w:tab/>
        <w:t>Deuxièmement, l</w:t>
      </w:r>
      <w:r w:rsidR="002D6B80">
        <w:rPr>
          <w:lang w:val="fr-CA"/>
        </w:rPr>
        <w:t>’</w:t>
      </w:r>
      <w:r w:rsidRPr="00413A40">
        <w:rPr>
          <w:lang w:val="fr-CA"/>
        </w:rPr>
        <w:t>application de la démarche axée sur les situations hypothétiques raisonnables, qui suppose que le ministère public optera pour la mise en accusation, alors qu</w:t>
      </w:r>
      <w:r w:rsidR="002D6B80">
        <w:rPr>
          <w:lang w:val="fr-CA"/>
        </w:rPr>
        <w:t>’</w:t>
      </w:r>
      <w:r w:rsidRPr="00413A40">
        <w:rPr>
          <w:lang w:val="fr-CA"/>
        </w:rPr>
        <w:t>il serait juste, équitable et approprié qu</w:t>
      </w:r>
      <w:r w:rsidR="002D6B80">
        <w:rPr>
          <w:lang w:val="fr-CA"/>
        </w:rPr>
        <w:t>’</w:t>
      </w:r>
      <w:r w:rsidRPr="00413A40">
        <w:rPr>
          <w:lang w:val="fr-CA"/>
        </w:rPr>
        <w:t>il opte pour la procédure sommaire, va à l</w:t>
      </w:r>
      <w:r w:rsidR="002D6B80">
        <w:rPr>
          <w:lang w:val="fr-CA"/>
        </w:rPr>
        <w:t>’</w:t>
      </w:r>
      <w:r w:rsidRPr="00413A40">
        <w:rPr>
          <w:lang w:val="fr-CA"/>
        </w:rPr>
        <w:t>encontre du bon sens. Le choix du mode de poursuite a délibérément été intégré au régime législatif et traduit clairement l</w:t>
      </w:r>
      <w:r w:rsidR="002D6B80">
        <w:rPr>
          <w:lang w:val="fr-CA"/>
        </w:rPr>
        <w:t>’</w:t>
      </w:r>
      <w:r w:rsidRPr="00413A40">
        <w:rPr>
          <w:lang w:val="fr-CA"/>
        </w:rPr>
        <w:t>intention du législateur de permettre au poursuivant de soumettre les cas les moins graves — les infractions de type réglementaire — à la procédure sommaire. Il est erroné d</w:t>
      </w:r>
      <w:r w:rsidR="002D6B80">
        <w:rPr>
          <w:lang w:val="fr-CA"/>
        </w:rPr>
        <w:t>’</w:t>
      </w:r>
      <w:r w:rsidRPr="00413A40">
        <w:rPr>
          <w:lang w:val="fr-CA"/>
        </w:rPr>
        <w:t>écarter cette réalité au moment de concevoir des situations hypothétiques raisonnables</w:t>
      </w:r>
      <w:r w:rsidR="007C1DEF" w:rsidRPr="00413A40">
        <w:rPr>
          <w:lang w:val="fr-CA"/>
        </w:rPr>
        <w:t xml:space="preserve">. </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La décision du législateur de relever les peines minimales obligatoires prévues à l</w:t>
      </w:r>
      <w:r w:rsidR="002D6B80">
        <w:rPr>
          <w:lang w:val="fr-CA"/>
        </w:rPr>
        <w:t>’</w:t>
      </w:r>
      <w:r w:rsidR="00781DB0" w:rsidRPr="00413A40">
        <w:rPr>
          <w:lang w:val="fr-CA"/>
        </w:rPr>
        <w:t>art.</w:t>
      </w:r>
      <w:r w:rsidR="00B029AB">
        <w:rPr>
          <w:lang w:val="fr-CA"/>
        </w:rPr>
        <w:t xml:space="preserve"> </w:t>
      </w:r>
      <w:r w:rsidR="00781DB0" w:rsidRPr="00413A40">
        <w:rPr>
          <w:lang w:val="fr-CA"/>
        </w:rPr>
        <w:t>95 est motivée par des objectifs valables et urgents, et il n</w:t>
      </w:r>
      <w:r w:rsidR="002D6B80">
        <w:rPr>
          <w:lang w:val="fr-CA"/>
        </w:rPr>
        <w:t>’</w:t>
      </w:r>
      <w:r w:rsidR="00781DB0" w:rsidRPr="00413A40">
        <w:rPr>
          <w:lang w:val="fr-CA"/>
        </w:rPr>
        <w:t>appartient pas à la Cour de contrecarrer les objectifs de politique générale de nos élus sur la foi d</w:t>
      </w:r>
      <w:r w:rsidR="002D6B80">
        <w:rPr>
          <w:lang w:val="fr-CA"/>
        </w:rPr>
        <w:t>’</w:t>
      </w:r>
      <w:r w:rsidR="00781DB0" w:rsidRPr="00413A40">
        <w:rPr>
          <w:lang w:val="fr-CA"/>
        </w:rPr>
        <w:t xml:space="preserve">hypothèses discutables ou de vagues conjectures. La Cour a mis les tribunaux en garde contre la prise en compte de situations hypothétiques qui sont </w:t>
      </w:r>
      <w:r w:rsidR="00B029AB">
        <w:rPr>
          <w:lang w:val="fr-CA"/>
        </w:rPr>
        <w:t>« </w:t>
      </w:r>
      <w:r w:rsidR="00781DB0" w:rsidRPr="00413A40">
        <w:rPr>
          <w:lang w:val="fr-CA"/>
        </w:rPr>
        <w:t>invraisemblables ou difficilement imaginables</w:t>
      </w:r>
      <w:r w:rsidR="00B029AB">
        <w:rPr>
          <w:lang w:val="fr-CA"/>
        </w:rPr>
        <w:t> »</w:t>
      </w:r>
      <w:r w:rsidR="00781DB0" w:rsidRPr="00413A40">
        <w:rPr>
          <w:lang w:val="fr-CA"/>
        </w:rPr>
        <w:t>. Le scénario hypothétique évoqué par les juges majoritaires est peu crédible. Il ne s</w:t>
      </w:r>
      <w:r w:rsidR="002D6B80">
        <w:rPr>
          <w:lang w:val="fr-CA"/>
        </w:rPr>
        <w:t>’</w:t>
      </w:r>
      <w:r w:rsidR="00781DB0" w:rsidRPr="00413A40">
        <w:rPr>
          <w:lang w:val="fr-CA"/>
        </w:rPr>
        <w:t>agit pas d</w:t>
      </w:r>
      <w:r w:rsidR="002D6B80">
        <w:rPr>
          <w:lang w:val="fr-CA"/>
        </w:rPr>
        <w:t>’</w:t>
      </w:r>
      <w:r w:rsidR="00781DB0" w:rsidRPr="00413A40">
        <w:rPr>
          <w:lang w:val="fr-CA"/>
        </w:rPr>
        <w:t>une assise valable pour réduire à néant la solution réfléchie apportée par le législateur à un problème à la fois grave et complexe.</w:t>
      </w:r>
    </w:p>
    <w:p w:rsidR="00781DB0" w:rsidRPr="00413A40" w:rsidRDefault="00781DB0" w:rsidP="00A659A4">
      <w:pPr>
        <w:pStyle w:val="SCCNormalDoubleSpacing"/>
        <w:spacing w:after="480"/>
        <w:rPr>
          <w:lang w:val="fr-CA"/>
        </w:rPr>
      </w:pPr>
      <w:r w:rsidRPr="00413A40">
        <w:rPr>
          <w:lang w:val="fr-CA"/>
        </w:rPr>
        <w:tab/>
        <w:t>Les juges majoritaires avancent une solution de rechange qui, selon eux, permettrait de réaliser les objectifs du législateur sans contrevenir à l</w:t>
      </w:r>
      <w:r w:rsidR="002D6B80">
        <w:rPr>
          <w:lang w:val="fr-CA"/>
        </w:rPr>
        <w:t>’</w:t>
      </w:r>
      <w:r w:rsidRPr="00413A40">
        <w:rPr>
          <w:lang w:val="fr-CA"/>
        </w:rPr>
        <w:t>art.</w:t>
      </w:r>
      <w:r w:rsidR="00B029AB">
        <w:rPr>
          <w:lang w:val="fr-CA"/>
        </w:rPr>
        <w:t xml:space="preserve"> </w:t>
      </w:r>
      <w:r w:rsidRPr="00413A40">
        <w:rPr>
          <w:lang w:val="fr-CA"/>
        </w:rPr>
        <w:t xml:space="preserve">12 de la </w:t>
      </w:r>
      <w:r w:rsidRPr="00413A40">
        <w:rPr>
          <w:i/>
          <w:lang w:val="fr-CA"/>
        </w:rPr>
        <w:lastRenderedPageBreak/>
        <w:t>Charte</w:t>
      </w:r>
      <w:r w:rsidRPr="00084013">
        <w:rPr>
          <w:lang w:val="fr-CA"/>
        </w:rPr>
        <w:t>.</w:t>
      </w:r>
      <w:r w:rsidRPr="00413A40">
        <w:rPr>
          <w:lang w:val="fr-CA"/>
        </w:rPr>
        <w:t xml:space="preserve"> Selon la solution qu</w:t>
      </w:r>
      <w:r w:rsidR="002D6B80">
        <w:rPr>
          <w:lang w:val="fr-CA"/>
        </w:rPr>
        <w:t>’</w:t>
      </w:r>
      <w:r w:rsidRPr="00413A40">
        <w:rPr>
          <w:lang w:val="fr-CA"/>
        </w:rPr>
        <w:t>ils proposent, le législateur pourrait établir les peines minimales obligatoires dans le cadre d</w:t>
      </w:r>
      <w:r w:rsidR="002D6B80">
        <w:rPr>
          <w:lang w:val="fr-CA"/>
        </w:rPr>
        <w:t>’</w:t>
      </w:r>
      <w:r w:rsidRPr="00413A40">
        <w:rPr>
          <w:lang w:val="fr-CA"/>
        </w:rPr>
        <w:t>une infraction révisée qui comporterait un élément en sus de ceux qui sont déjà présents au par.</w:t>
      </w:r>
      <w:r w:rsidR="00B029AB">
        <w:rPr>
          <w:lang w:val="fr-CA"/>
        </w:rPr>
        <w:t xml:space="preserve"> </w:t>
      </w:r>
      <w:r w:rsidRPr="00413A40">
        <w:rPr>
          <w:lang w:val="fr-CA"/>
        </w:rPr>
        <w:t xml:space="preserve">95(1). Par exemple, seul le comportement qui constituerait un </w:t>
      </w:r>
      <w:r w:rsidR="00B029AB">
        <w:rPr>
          <w:lang w:val="fr-CA"/>
        </w:rPr>
        <w:t>« </w:t>
      </w:r>
      <w:r w:rsidRPr="00413A40">
        <w:rPr>
          <w:lang w:val="fr-CA"/>
        </w:rPr>
        <w:t>acte criminel</w:t>
      </w:r>
      <w:r w:rsidR="00B029AB">
        <w:rPr>
          <w:lang w:val="fr-CA"/>
        </w:rPr>
        <w:t> »</w:t>
      </w:r>
      <w:r w:rsidRPr="00413A40">
        <w:rPr>
          <w:lang w:val="fr-CA"/>
        </w:rPr>
        <w:t xml:space="preserve"> ou qui </w:t>
      </w:r>
      <w:r w:rsidR="00B029AB">
        <w:rPr>
          <w:lang w:val="fr-CA"/>
        </w:rPr>
        <w:t>« </w:t>
      </w:r>
      <w:r w:rsidRPr="00413A40">
        <w:rPr>
          <w:lang w:val="fr-CA"/>
        </w:rPr>
        <w:t>présente[rait] un danger pour autrui</w:t>
      </w:r>
      <w:r w:rsidR="00B029AB">
        <w:rPr>
          <w:lang w:val="fr-CA"/>
        </w:rPr>
        <w:t> »</w:t>
      </w:r>
      <w:r w:rsidRPr="00413A40">
        <w:rPr>
          <w:lang w:val="fr-CA"/>
        </w:rPr>
        <w:t xml:space="preserve"> tomberait sous le coup de la disposition. La solution avancée présente deux difficultés.</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Premièrement, elle va à l</w:t>
      </w:r>
      <w:r w:rsidR="002D6B80">
        <w:rPr>
          <w:lang w:val="fr-CA"/>
        </w:rPr>
        <w:t>’</w:t>
      </w:r>
      <w:r w:rsidR="00781DB0" w:rsidRPr="00413A40">
        <w:rPr>
          <w:lang w:val="fr-CA"/>
        </w:rPr>
        <w:t>encontre du véritable objectif de l</w:t>
      </w:r>
      <w:r w:rsidR="002D6B80">
        <w:rPr>
          <w:lang w:val="fr-CA"/>
        </w:rPr>
        <w:t>’</w:t>
      </w:r>
      <w:r w:rsidR="00781DB0" w:rsidRPr="00413A40">
        <w:rPr>
          <w:lang w:val="fr-CA"/>
        </w:rPr>
        <w:t xml:space="preserve">établissement de peines minimales obligatoires </w:t>
      </w:r>
      <w:r w:rsidR="003C0F0E" w:rsidRPr="00413A40">
        <w:rPr>
          <w:lang w:val="fr-CA"/>
        </w:rPr>
        <w:t xml:space="preserve">pour </w:t>
      </w:r>
      <w:r w:rsidR="00781DB0" w:rsidRPr="00413A40">
        <w:rPr>
          <w:lang w:val="fr-CA"/>
        </w:rPr>
        <w:t xml:space="preserve">la </w:t>
      </w:r>
      <w:r w:rsidR="00781DB0" w:rsidRPr="00413A40">
        <w:rPr>
          <w:i/>
          <w:lang w:val="fr-CA"/>
        </w:rPr>
        <w:t>possession</w:t>
      </w:r>
      <w:r w:rsidR="00781DB0" w:rsidRPr="00413A40">
        <w:rPr>
          <w:lang w:val="fr-CA"/>
        </w:rPr>
        <w:t xml:space="preserve"> illégale d</w:t>
      </w:r>
      <w:r w:rsidR="002D6B80">
        <w:rPr>
          <w:lang w:val="fr-CA"/>
        </w:rPr>
        <w:t>’</w:t>
      </w:r>
      <w:r w:rsidR="00781DB0" w:rsidRPr="00413A40">
        <w:rPr>
          <w:lang w:val="fr-CA"/>
        </w:rPr>
        <w:t>une arme à feu prohibée ou à autorisation restreinte, chargée ou prête à l</w:t>
      </w:r>
      <w:r w:rsidR="002D6B80">
        <w:rPr>
          <w:lang w:val="fr-CA"/>
        </w:rPr>
        <w:t>’</w:t>
      </w:r>
      <w:r w:rsidR="00781DB0" w:rsidRPr="00413A40">
        <w:rPr>
          <w:lang w:val="fr-CA"/>
        </w:rPr>
        <w:t>être. L</w:t>
      </w:r>
      <w:r w:rsidR="002D6B80">
        <w:rPr>
          <w:lang w:val="fr-CA"/>
        </w:rPr>
        <w:t>’</w:t>
      </w:r>
      <w:r w:rsidR="00781DB0" w:rsidRPr="00413A40">
        <w:rPr>
          <w:lang w:val="fr-CA"/>
        </w:rPr>
        <w:t>article 95 criminalise la simple possession d</w:t>
      </w:r>
      <w:r w:rsidR="002D6B80">
        <w:rPr>
          <w:lang w:val="fr-CA"/>
        </w:rPr>
        <w:t>’</w:t>
      </w:r>
      <w:r w:rsidR="00781DB0" w:rsidRPr="00413A40">
        <w:rPr>
          <w:lang w:val="fr-CA"/>
        </w:rPr>
        <w:t>armes à feu qui sont fréquemment employées par des gangs ou d</w:t>
      </w:r>
      <w:r w:rsidR="002D6B80">
        <w:rPr>
          <w:lang w:val="fr-CA"/>
        </w:rPr>
        <w:t>’</w:t>
      </w:r>
      <w:r w:rsidR="00781DB0" w:rsidRPr="00413A40">
        <w:rPr>
          <w:lang w:val="fr-CA"/>
        </w:rPr>
        <w:t>autres délinquants dans leurs activités criminelles. Le législateur s</w:t>
      </w:r>
      <w:r w:rsidR="002D6B80">
        <w:rPr>
          <w:lang w:val="fr-CA"/>
        </w:rPr>
        <w:t>’</w:t>
      </w:r>
      <w:r w:rsidR="00781DB0" w:rsidRPr="00413A40">
        <w:rPr>
          <w:lang w:val="fr-CA"/>
        </w:rPr>
        <w:t>en prend à la simple possession pour une raison</w:t>
      </w:r>
      <w:r w:rsidR="00B029AB">
        <w:rPr>
          <w:lang w:val="fr-CA"/>
        </w:rPr>
        <w:t> :</w:t>
      </w:r>
      <w:r w:rsidR="00781DB0" w:rsidRPr="00413A40">
        <w:rPr>
          <w:lang w:val="fr-CA"/>
        </w:rPr>
        <w:t xml:space="preserve"> les armes à feu — en particulier celles que vise l</w:t>
      </w:r>
      <w:r w:rsidR="002D6B80">
        <w:rPr>
          <w:lang w:val="fr-CA"/>
        </w:rPr>
        <w:t>’</w:t>
      </w:r>
      <w:r w:rsidR="00781DB0" w:rsidRPr="00413A40">
        <w:rPr>
          <w:lang w:val="fr-CA"/>
        </w:rPr>
        <w:t>art.</w:t>
      </w:r>
      <w:r w:rsidR="00B029AB">
        <w:rPr>
          <w:lang w:val="fr-CA"/>
        </w:rPr>
        <w:t xml:space="preserve"> </w:t>
      </w:r>
      <w:r w:rsidR="00781DB0" w:rsidRPr="00413A40">
        <w:rPr>
          <w:lang w:val="fr-CA"/>
        </w:rPr>
        <w:t>95 — sont dangereuses en soi. Exception faite des responsables de l</w:t>
      </w:r>
      <w:r w:rsidR="002D6B80">
        <w:rPr>
          <w:lang w:val="fr-CA"/>
        </w:rPr>
        <w:t>’</w:t>
      </w:r>
      <w:r w:rsidR="00781DB0" w:rsidRPr="00413A40">
        <w:rPr>
          <w:lang w:val="fr-CA"/>
        </w:rPr>
        <w:t>application de la loi, ce sont surtout des criminels qui se servent des armes à feu prohibées ou à autorisation restreinte et qui intimident, blessent, mutilent et tuent. Étant donné le danger que présentent ces armes, le législateur pouvait fort bien conclure que leur simple possession devait emporter l</w:t>
      </w:r>
      <w:r w:rsidR="002D6B80">
        <w:rPr>
          <w:lang w:val="fr-CA"/>
        </w:rPr>
        <w:t>’</w:t>
      </w:r>
      <w:r w:rsidR="00781DB0" w:rsidRPr="00413A40">
        <w:rPr>
          <w:lang w:val="fr-CA"/>
        </w:rPr>
        <w:t>infliction d</w:t>
      </w:r>
      <w:r w:rsidR="002D6B80">
        <w:rPr>
          <w:lang w:val="fr-CA"/>
        </w:rPr>
        <w:t>’</w:t>
      </w:r>
      <w:r w:rsidR="00781DB0" w:rsidRPr="00413A40">
        <w:rPr>
          <w:lang w:val="fr-CA"/>
        </w:rPr>
        <w:t>une longue peine minimale obligatoire d</w:t>
      </w:r>
      <w:r w:rsidR="002D6B80">
        <w:rPr>
          <w:lang w:val="fr-CA"/>
        </w:rPr>
        <w:t>’</w:t>
      </w:r>
      <w:r w:rsidR="00781DB0" w:rsidRPr="00413A40">
        <w:rPr>
          <w:lang w:val="fr-CA"/>
        </w:rPr>
        <w:t xml:space="preserve">emprisonnement. </w:t>
      </w:r>
    </w:p>
    <w:p w:rsidR="00781DB0" w:rsidRPr="00413A40" w:rsidRDefault="00781DB0" w:rsidP="00A659A4">
      <w:pPr>
        <w:pStyle w:val="SCCNormalDoubleSpacing"/>
        <w:spacing w:after="480"/>
        <w:rPr>
          <w:lang w:val="fr-CA"/>
        </w:rPr>
      </w:pPr>
      <w:r w:rsidRPr="00413A40">
        <w:rPr>
          <w:lang w:val="fr-CA"/>
        </w:rPr>
        <w:tab/>
        <w:t>Deuxièmement, l</w:t>
      </w:r>
      <w:r w:rsidR="002D6B80">
        <w:rPr>
          <w:lang w:val="fr-CA"/>
        </w:rPr>
        <w:t>’</w:t>
      </w:r>
      <w:r w:rsidRPr="00413A40">
        <w:rPr>
          <w:lang w:val="fr-CA"/>
        </w:rPr>
        <w:t>ajout de nouveaux éléments à l</w:t>
      </w:r>
      <w:r w:rsidR="002D6B80">
        <w:rPr>
          <w:lang w:val="fr-CA"/>
        </w:rPr>
        <w:t>’</w:t>
      </w:r>
      <w:r w:rsidRPr="00413A40">
        <w:rPr>
          <w:lang w:val="fr-CA"/>
        </w:rPr>
        <w:t>infraction ferait indûment en sorte que les peines minimales obligatoires ne s</w:t>
      </w:r>
      <w:r w:rsidR="002D6B80">
        <w:rPr>
          <w:lang w:val="fr-CA"/>
        </w:rPr>
        <w:t>’</w:t>
      </w:r>
      <w:r w:rsidRPr="00413A40">
        <w:rPr>
          <w:lang w:val="fr-CA"/>
        </w:rPr>
        <w:t>appliquent pas dans tous les cas voulus par le législateur. Préciser que l</w:t>
      </w:r>
      <w:r w:rsidR="002D6B80">
        <w:rPr>
          <w:lang w:val="fr-CA"/>
        </w:rPr>
        <w:t>’</w:t>
      </w:r>
      <w:r w:rsidRPr="00413A40">
        <w:rPr>
          <w:lang w:val="fr-CA"/>
        </w:rPr>
        <w:t>infraction s</w:t>
      </w:r>
      <w:r w:rsidR="002D6B80">
        <w:rPr>
          <w:lang w:val="fr-CA"/>
        </w:rPr>
        <w:t>’</w:t>
      </w:r>
      <w:r w:rsidRPr="00413A40">
        <w:rPr>
          <w:lang w:val="fr-CA"/>
        </w:rPr>
        <w:t xml:space="preserve">entend seulement </w:t>
      </w:r>
      <w:r w:rsidR="00B029AB">
        <w:rPr>
          <w:lang w:val="fr-CA"/>
        </w:rPr>
        <w:t>« </w:t>
      </w:r>
      <w:r w:rsidR="00084013">
        <w:rPr>
          <w:lang w:val="fr-CA"/>
        </w:rPr>
        <w:t>[</w:t>
      </w:r>
      <w:r w:rsidRPr="00413A40">
        <w:rPr>
          <w:lang w:val="fr-CA"/>
        </w:rPr>
        <w:t>du</w:t>
      </w:r>
      <w:r w:rsidR="00084013">
        <w:rPr>
          <w:lang w:val="fr-CA"/>
        </w:rPr>
        <w:t>]</w:t>
      </w:r>
      <w:r w:rsidRPr="00413A40">
        <w:rPr>
          <w:lang w:val="fr-CA"/>
        </w:rPr>
        <w:t xml:space="preserve"> </w:t>
      </w:r>
      <w:r w:rsidRPr="00413A40">
        <w:rPr>
          <w:lang w:val="fr-CA"/>
        </w:rPr>
        <w:lastRenderedPageBreak/>
        <w:t>comportement ou [de] l</w:t>
      </w:r>
      <w:r w:rsidR="002D6B80">
        <w:rPr>
          <w:lang w:val="fr-CA"/>
        </w:rPr>
        <w:t>’</w:t>
      </w:r>
      <w:r w:rsidRPr="00413A40">
        <w:rPr>
          <w:lang w:val="fr-CA"/>
        </w:rPr>
        <w:t>acte criminel</w:t>
      </w:r>
      <w:r w:rsidR="00B029AB">
        <w:rPr>
          <w:lang w:val="fr-CA"/>
        </w:rPr>
        <w:t> »</w:t>
      </w:r>
      <w:r w:rsidRPr="00413A40">
        <w:rPr>
          <w:lang w:val="fr-CA"/>
        </w:rPr>
        <w:t xml:space="preserve"> pourrait soustraire certaines situations à l</w:t>
      </w:r>
      <w:r w:rsidR="002D6B80">
        <w:rPr>
          <w:lang w:val="fr-CA"/>
        </w:rPr>
        <w:t>’</w:t>
      </w:r>
      <w:r w:rsidRPr="00413A40">
        <w:rPr>
          <w:lang w:val="fr-CA"/>
        </w:rPr>
        <w:t>application de ces peines même lorsque leur imposition n</w:t>
      </w:r>
      <w:r w:rsidR="002D6B80">
        <w:rPr>
          <w:lang w:val="fr-CA"/>
        </w:rPr>
        <w:t>’</w:t>
      </w:r>
      <w:r w:rsidRPr="00413A40">
        <w:rPr>
          <w:lang w:val="fr-CA"/>
        </w:rPr>
        <w:t>est pas contestée. De même, préciser que seul est visé le comportement ou l</w:t>
      </w:r>
      <w:r w:rsidR="002D6B80">
        <w:rPr>
          <w:lang w:val="fr-CA"/>
        </w:rPr>
        <w:t>’</w:t>
      </w:r>
      <w:r w:rsidRPr="00413A40">
        <w:rPr>
          <w:lang w:val="fr-CA"/>
        </w:rPr>
        <w:t xml:space="preserve">acte criminel </w:t>
      </w:r>
      <w:r w:rsidR="00B029AB">
        <w:rPr>
          <w:lang w:val="fr-CA"/>
        </w:rPr>
        <w:t>« </w:t>
      </w:r>
      <w:r w:rsidRPr="00413A40">
        <w:rPr>
          <w:lang w:val="fr-CA"/>
        </w:rPr>
        <w:t>qui présente un danger pour autrui</w:t>
      </w:r>
      <w:r w:rsidR="00B029AB">
        <w:rPr>
          <w:lang w:val="fr-CA"/>
        </w:rPr>
        <w:t> »</w:t>
      </w:r>
      <w:r w:rsidRPr="00413A40">
        <w:rPr>
          <w:lang w:val="fr-CA"/>
        </w:rPr>
        <w:t xml:space="preserve"> pourrait exclure certaines situations auxquelles les peines minimales obligatoires prévues à l</w:t>
      </w:r>
      <w:r w:rsidR="002D6B80">
        <w:rPr>
          <w:lang w:val="fr-CA"/>
        </w:rPr>
        <w:t>’</w:t>
      </w:r>
      <w:r w:rsidRPr="00413A40">
        <w:rPr>
          <w:lang w:val="fr-CA"/>
        </w:rPr>
        <w:t>art.</w:t>
      </w:r>
      <w:r w:rsidR="00B029AB">
        <w:rPr>
          <w:lang w:val="fr-CA"/>
        </w:rPr>
        <w:t xml:space="preserve"> </w:t>
      </w:r>
      <w:r w:rsidRPr="00413A40">
        <w:rPr>
          <w:lang w:val="fr-CA"/>
        </w:rPr>
        <w:t>95 sont censées s</w:t>
      </w:r>
      <w:r w:rsidR="002D6B80">
        <w:rPr>
          <w:lang w:val="fr-CA"/>
        </w:rPr>
        <w:t>’</w:t>
      </w:r>
      <w:r w:rsidRPr="00413A40">
        <w:rPr>
          <w:lang w:val="fr-CA"/>
        </w:rPr>
        <w:t>appliquer.</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En somme, la démarche axée sur les situations hypothétiques raisonnables ne justifie pas l</w:t>
      </w:r>
      <w:r w:rsidR="002D6B80">
        <w:rPr>
          <w:lang w:val="fr-CA"/>
        </w:rPr>
        <w:t>’</w:t>
      </w:r>
      <w:r w:rsidR="00781DB0" w:rsidRPr="00413A40">
        <w:rPr>
          <w:lang w:val="fr-CA"/>
        </w:rPr>
        <w:t>invalidation des peines minimales obligatoires contestées. Quoi qu</w:t>
      </w:r>
      <w:r w:rsidR="002D6B80">
        <w:rPr>
          <w:lang w:val="fr-CA"/>
        </w:rPr>
        <w:t>’</w:t>
      </w:r>
      <w:r w:rsidR="00781DB0" w:rsidRPr="00413A40">
        <w:rPr>
          <w:lang w:val="fr-CA"/>
        </w:rPr>
        <w:t>il en soit, un cadre d</w:t>
      </w:r>
      <w:r w:rsidR="002D6B80">
        <w:rPr>
          <w:lang w:val="fr-CA"/>
        </w:rPr>
        <w:t>’</w:t>
      </w:r>
      <w:r w:rsidR="00781DB0" w:rsidRPr="00413A40">
        <w:rPr>
          <w:lang w:val="fr-CA"/>
        </w:rPr>
        <w:t>analyse différent s</w:t>
      </w:r>
      <w:r w:rsidR="002D6B80">
        <w:rPr>
          <w:lang w:val="fr-CA"/>
        </w:rPr>
        <w:t>’</w:t>
      </w:r>
      <w:r w:rsidR="00781DB0" w:rsidRPr="00413A40">
        <w:rPr>
          <w:lang w:val="fr-CA"/>
        </w:rPr>
        <w:t>impose en l</w:t>
      </w:r>
      <w:r w:rsidR="002D6B80">
        <w:rPr>
          <w:lang w:val="fr-CA"/>
        </w:rPr>
        <w:t>’</w:t>
      </w:r>
      <w:r w:rsidR="00781DB0" w:rsidRPr="00413A40">
        <w:rPr>
          <w:lang w:val="fr-CA"/>
        </w:rPr>
        <w:t>espèce. À ce jour, dans ses décisions relatives à l</w:t>
      </w:r>
      <w:r w:rsidR="002D6B80">
        <w:rPr>
          <w:lang w:val="fr-CA"/>
        </w:rPr>
        <w:t>’</w:t>
      </w:r>
      <w:r w:rsidR="00781DB0" w:rsidRPr="00413A40">
        <w:rPr>
          <w:lang w:val="fr-CA"/>
        </w:rPr>
        <w:t>art.</w:t>
      </w:r>
      <w:r w:rsidR="00B029AB">
        <w:rPr>
          <w:lang w:val="fr-CA"/>
        </w:rPr>
        <w:t xml:space="preserve"> </w:t>
      </w:r>
      <w:r w:rsidR="00781DB0" w:rsidRPr="00413A40">
        <w:rPr>
          <w:lang w:val="fr-CA"/>
        </w:rPr>
        <w:t>12, la Cour ne s</w:t>
      </w:r>
      <w:r w:rsidR="002D6B80">
        <w:rPr>
          <w:lang w:val="fr-CA"/>
        </w:rPr>
        <w:t>’</w:t>
      </w:r>
      <w:r w:rsidR="00781DB0" w:rsidRPr="00413A40">
        <w:rPr>
          <w:lang w:val="fr-CA"/>
        </w:rPr>
        <w:t>est penchée que sur la constitutionnalité de peines minimales obligatoires dans le contexte d</w:t>
      </w:r>
      <w:r w:rsidR="002D6B80">
        <w:rPr>
          <w:lang w:val="fr-CA"/>
        </w:rPr>
        <w:t>’</w:t>
      </w:r>
      <w:r w:rsidR="00781DB0" w:rsidRPr="00413A40">
        <w:rPr>
          <w:lang w:val="fr-CA"/>
        </w:rPr>
        <w:t>infractions qui ne se prêtaient qu</w:t>
      </w:r>
      <w:r w:rsidR="002D6B80">
        <w:rPr>
          <w:lang w:val="fr-CA"/>
        </w:rPr>
        <w:t>’</w:t>
      </w:r>
      <w:r w:rsidR="00781DB0" w:rsidRPr="00413A40">
        <w:rPr>
          <w:lang w:val="fr-CA"/>
        </w:rPr>
        <w:t>à la poursuite sur mise en accusation. C</w:t>
      </w:r>
      <w:r w:rsidR="002D6B80">
        <w:rPr>
          <w:lang w:val="fr-CA"/>
        </w:rPr>
        <w:t>’</w:t>
      </w:r>
      <w:r w:rsidR="00781DB0" w:rsidRPr="00413A40">
        <w:rPr>
          <w:lang w:val="fr-CA"/>
        </w:rPr>
        <w:t>est la première fois qu</w:t>
      </w:r>
      <w:r w:rsidR="002D6B80">
        <w:rPr>
          <w:lang w:val="fr-CA"/>
        </w:rPr>
        <w:t>’</w:t>
      </w:r>
      <w:r w:rsidR="00781DB0" w:rsidRPr="00413A40">
        <w:rPr>
          <w:lang w:val="fr-CA"/>
        </w:rPr>
        <w:t>elle est appelée à examiner la constitutionnalité de telles peines dans le cadre d</w:t>
      </w:r>
      <w:r w:rsidR="002D6B80">
        <w:rPr>
          <w:lang w:val="fr-CA"/>
        </w:rPr>
        <w:t>’</w:t>
      </w:r>
      <w:r w:rsidR="00781DB0" w:rsidRPr="00413A40">
        <w:rPr>
          <w:lang w:val="fr-CA"/>
        </w:rPr>
        <w:t>un régime mixte, ce qui commande un cadre d</w:t>
      </w:r>
      <w:r w:rsidR="002D6B80">
        <w:rPr>
          <w:lang w:val="fr-CA"/>
        </w:rPr>
        <w:t>’</w:t>
      </w:r>
      <w:r w:rsidR="00781DB0" w:rsidRPr="00413A40">
        <w:rPr>
          <w:lang w:val="fr-CA"/>
        </w:rPr>
        <w:t>analyse différent pour l</w:t>
      </w:r>
      <w:r w:rsidR="002D6B80">
        <w:rPr>
          <w:lang w:val="fr-CA"/>
        </w:rPr>
        <w:t>’</w:t>
      </w:r>
      <w:r w:rsidR="00781DB0" w:rsidRPr="00413A40">
        <w:rPr>
          <w:lang w:val="fr-CA"/>
        </w:rPr>
        <w:t>application de l</w:t>
      </w:r>
      <w:r w:rsidR="002D6B80">
        <w:rPr>
          <w:lang w:val="fr-CA"/>
        </w:rPr>
        <w:t>’</w:t>
      </w:r>
      <w:r w:rsidR="00781DB0" w:rsidRPr="00413A40">
        <w:rPr>
          <w:lang w:val="fr-CA"/>
        </w:rPr>
        <w:t>art.</w:t>
      </w:r>
      <w:r w:rsidR="00B029AB">
        <w:rPr>
          <w:lang w:val="fr-CA"/>
        </w:rPr>
        <w:t xml:space="preserve"> </w:t>
      </w:r>
      <w:r w:rsidR="00781DB0" w:rsidRPr="00413A40">
        <w:rPr>
          <w:lang w:val="fr-CA"/>
        </w:rPr>
        <w:t>12.</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L</w:t>
      </w:r>
      <w:r w:rsidR="002D6B80">
        <w:rPr>
          <w:lang w:val="fr-CA"/>
        </w:rPr>
        <w:t>’</w:t>
      </w:r>
      <w:r w:rsidR="00781DB0" w:rsidRPr="00413A40">
        <w:rPr>
          <w:lang w:val="fr-CA"/>
        </w:rPr>
        <w:t xml:space="preserve">analyse qui convient comporte deux étapes. Premièrement, le tribunal doit se demander si le régime mixte en question assure </w:t>
      </w:r>
      <w:r w:rsidR="00781DB0" w:rsidRPr="00413A40">
        <w:rPr>
          <w:i/>
          <w:lang w:val="fr-CA"/>
        </w:rPr>
        <w:t>de façon générale</w:t>
      </w:r>
      <w:r w:rsidR="00781DB0" w:rsidRPr="00413A40">
        <w:rPr>
          <w:lang w:val="fr-CA"/>
        </w:rPr>
        <w:t xml:space="preserve"> une protection adéquate contre l</w:t>
      </w:r>
      <w:r w:rsidR="002D6B80">
        <w:rPr>
          <w:lang w:val="fr-CA"/>
        </w:rPr>
        <w:t>’</w:t>
      </w:r>
      <w:r w:rsidR="00781DB0" w:rsidRPr="00413A40">
        <w:rPr>
          <w:lang w:val="fr-CA"/>
        </w:rPr>
        <w:t>imposition de peines totalement disproportionnées. Deuxièmement, il doit se demander si le ministère public a exercé son pouvoir discrétionnaire de manière qu</w:t>
      </w:r>
      <w:r w:rsidR="002D6B80">
        <w:rPr>
          <w:lang w:val="fr-CA"/>
        </w:rPr>
        <w:t>’</w:t>
      </w:r>
      <w:r w:rsidR="00781DB0" w:rsidRPr="00413A40">
        <w:rPr>
          <w:lang w:val="fr-CA"/>
        </w:rPr>
        <w:t>une peine totalement disproportionnée soit infligée</w:t>
      </w:r>
      <w:r w:rsidR="00781DB0" w:rsidRPr="00413A40">
        <w:rPr>
          <w:i/>
          <w:lang w:val="fr-CA"/>
        </w:rPr>
        <w:t xml:space="preserve"> à un délinquant en particulier</w:t>
      </w:r>
      <w:r w:rsidR="00781DB0" w:rsidRPr="00413A40">
        <w:rPr>
          <w:lang w:val="fr-CA"/>
        </w:rPr>
        <w:t>. Cette démarche en deux étapes offre un cadre d</w:t>
      </w:r>
      <w:r w:rsidR="002D6B80">
        <w:rPr>
          <w:lang w:val="fr-CA"/>
        </w:rPr>
        <w:t>’</w:t>
      </w:r>
      <w:r w:rsidR="00781DB0" w:rsidRPr="00413A40">
        <w:rPr>
          <w:lang w:val="fr-CA"/>
        </w:rPr>
        <w:t>analyse plus convaincant que la démarche axée sur les situations hypothétiques raisonnables lorsqu</w:t>
      </w:r>
      <w:r w:rsidR="002D6B80">
        <w:rPr>
          <w:lang w:val="fr-CA"/>
        </w:rPr>
        <w:t>’</w:t>
      </w:r>
      <w:r w:rsidR="00781DB0" w:rsidRPr="00413A40">
        <w:rPr>
          <w:lang w:val="fr-CA"/>
        </w:rPr>
        <w:t>il s</w:t>
      </w:r>
      <w:r w:rsidR="002D6B80">
        <w:rPr>
          <w:lang w:val="fr-CA"/>
        </w:rPr>
        <w:t>’</w:t>
      </w:r>
      <w:r w:rsidR="00781DB0" w:rsidRPr="00413A40">
        <w:rPr>
          <w:lang w:val="fr-CA"/>
        </w:rPr>
        <w:t>agit de statuer sur une contestation constitutionnelle qui se fonde sur l</w:t>
      </w:r>
      <w:r w:rsidR="002D6B80">
        <w:rPr>
          <w:lang w:val="fr-CA"/>
        </w:rPr>
        <w:t>’</w:t>
      </w:r>
      <w:r w:rsidR="00781DB0" w:rsidRPr="00413A40">
        <w:rPr>
          <w:lang w:val="fr-CA"/>
        </w:rPr>
        <w:t>art.</w:t>
      </w:r>
      <w:r w:rsidR="00B029AB">
        <w:rPr>
          <w:lang w:val="fr-CA"/>
        </w:rPr>
        <w:t xml:space="preserve"> </w:t>
      </w:r>
      <w:r w:rsidR="00781DB0" w:rsidRPr="00413A40">
        <w:rPr>
          <w:lang w:val="fr-CA"/>
        </w:rPr>
        <w:lastRenderedPageBreak/>
        <w:t>12 et qui vise une peine minimale obligatoire applicable dans le cadre d</w:t>
      </w:r>
      <w:r w:rsidR="002D6B80">
        <w:rPr>
          <w:lang w:val="fr-CA"/>
        </w:rPr>
        <w:t>’</w:t>
      </w:r>
      <w:r w:rsidR="00781DB0" w:rsidRPr="00413A40">
        <w:rPr>
          <w:lang w:val="fr-CA"/>
        </w:rPr>
        <w:t xml:space="preserve">un régime mixte. </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La première étape de l</w:t>
      </w:r>
      <w:r w:rsidR="002D6B80">
        <w:rPr>
          <w:lang w:val="fr-CA"/>
        </w:rPr>
        <w:t>’</w:t>
      </w:r>
      <w:r w:rsidR="00781DB0" w:rsidRPr="00413A40">
        <w:rPr>
          <w:lang w:val="fr-CA"/>
        </w:rPr>
        <w:t>analyse comporte deux volets. Le tribunal doit d</w:t>
      </w:r>
      <w:r w:rsidR="002D6B80">
        <w:rPr>
          <w:lang w:val="fr-CA"/>
        </w:rPr>
        <w:t>’</w:t>
      </w:r>
      <w:r w:rsidR="00781DB0" w:rsidRPr="00413A40">
        <w:rPr>
          <w:lang w:val="fr-CA"/>
        </w:rPr>
        <w:t>abord établir la fourchette des peines infligées sur déclaration de culpabilité à l</w:t>
      </w:r>
      <w:r w:rsidR="002D6B80">
        <w:rPr>
          <w:lang w:val="fr-CA"/>
        </w:rPr>
        <w:t>’</w:t>
      </w:r>
      <w:r w:rsidR="00781DB0" w:rsidRPr="00413A40">
        <w:rPr>
          <w:lang w:val="fr-CA"/>
        </w:rPr>
        <w:t>issue d</w:t>
      </w:r>
      <w:r w:rsidR="002D6B80">
        <w:rPr>
          <w:lang w:val="fr-CA"/>
        </w:rPr>
        <w:t>’</w:t>
      </w:r>
      <w:r w:rsidR="00781DB0" w:rsidRPr="00413A40">
        <w:rPr>
          <w:lang w:val="fr-CA"/>
        </w:rPr>
        <w:t>une mise en accusation suivant le régime de détermination de la peine qui existait avant l</w:t>
      </w:r>
      <w:r w:rsidR="002D6B80">
        <w:rPr>
          <w:lang w:val="fr-CA"/>
        </w:rPr>
        <w:t>’</w:t>
      </w:r>
      <w:r w:rsidR="00781DB0" w:rsidRPr="00413A40">
        <w:rPr>
          <w:lang w:val="fr-CA"/>
        </w:rPr>
        <w:t>adoption de la peine minimale obligatoire contestée. Pour le faire, il s</w:t>
      </w:r>
      <w:r w:rsidR="002D6B80">
        <w:rPr>
          <w:lang w:val="fr-CA"/>
        </w:rPr>
        <w:t>’</w:t>
      </w:r>
      <w:r w:rsidR="00781DB0" w:rsidRPr="00413A40">
        <w:rPr>
          <w:lang w:val="fr-CA"/>
        </w:rPr>
        <w:t>en remet aux peines effectivement imposées dans les cas répertoriés. Il circonscrit ensuite l</w:t>
      </w:r>
      <w:r w:rsidR="002D6B80">
        <w:rPr>
          <w:lang w:val="fr-CA"/>
        </w:rPr>
        <w:t>’</w:t>
      </w:r>
      <w:r w:rsidR="00781DB0" w:rsidRPr="00413A40">
        <w:rPr>
          <w:lang w:val="fr-CA"/>
        </w:rPr>
        <w:t>extrémité inférieure de cette fourchette. Cette extrémité inférieure constitue un indicateur objectif des peines qui conviennent dans les cas les moins graves de perpétration de l</w:t>
      </w:r>
      <w:r w:rsidR="002D6B80">
        <w:rPr>
          <w:lang w:val="fr-CA"/>
        </w:rPr>
        <w:t>’</w:t>
      </w:r>
      <w:r w:rsidR="00781DB0" w:rsidRPr="00413A40">
        <w:rPr>
          <w:lang w:val="fr-CA"/>
        </w:rPr>
        <w:t>infraction où il serait réaliste que le poursuivant opte pour la mise en accusation.</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En deuxième lieu, le tribunal compare la peine minimale obligatoire contestée et l</w:t>
      </w:r>
      <w:r w:rsidR="002D6B80">
        <w:rPr>
          <w:lang w:val="fr-CA"/>
        </w:rPr>
        <w:t>’</w:t>
      </w:r>
      <w:r w:rsidR="00781DB0" w:rsidRPr="00413A40">
        <w:rPr>
          <w:lang w:val="fr-CA"/>
        </w:rPr>
        <w:t>extrémité inférieure de la fourchette antérieure. Si la peine minimale obligatoire est totalement disproportionnée aux peines de l</w:t>
      </w:r>
      <w:r w:rsidR="002D6B80">
        <w:rPr>
          <w:lang w:val="fr-CA"/>
        </w:rPr>
        <w:t>’</w:t>
      </w:r>
      <w:r w:rsidR="00781DB0" w:rsidRPr="00413A40">
        <w:rPr>
          <w:lang w:val="fr-CA"/>
        </w:rPr>
        <w:t>extrémité inférieure, le régime n</w:t>
      </w:r>
      <w:r w:rsidR="002D6B80">
        <w:rPr>
          <w:lang w:val="fr-CA"/>
        </w:rPr>
        <w:t>’</w:t>
      </w:r>
      <w:r w:rsidR="00781DB0" w:rsidRPr="00413A40">
        <w:rPr>
          <w:lang w:val="fr-CA"/>
        </w:rPr>
        <w:t xml:space="preserve">assure pas </w:t>
      </w:r>
      <w:r w:rsidR="00781DB0" w:rsidRPr="00413A40">
        <w:rPr>
          <w:i/>
          <w:lang w:val="fr-CA"/>
        </w:rPr>
        <w:t>de façon générale</w:t>
      </w:r>
      <w:r w:rsidR="00781DB0" w:rsidRPr="00413A40">
        <w:rPr>
          <w:lang w:val="fr-CA"/>
        </w:rPr>
        <w:t xml:space="preserve"> une protection adéquate contre l</w:t>
      </w:r>
      <w:r w:rsidR="002D6B80">
        <w:rPr>
          <w:lang w:val="fr-CA"/>
        </w:rPr>
        <w:t>’</w:t>
      </w:r>
      <w:r w:rsidR="00781DB0" w:rsidRPr="00413A40">
        <w:rPr>
          <w:lang w:val="fr-CA"/>
        </w:rPr>
        <w:t>infliction de peines totalement disproportionnées. Au contraire, il expose directement un groupe déterminable de délinquants au risque de se voir infliger une peine cruelle et inusitée en violation de l</w:t>
      </w:r>
      <w:r w:rsidR="002D6B80">
        <w:rPr>
          <w:lang w:val="fr-CA"/>
        </w:rPr>
        <w:t>’</w:t>
      </w:r>
      <w:r w:rsidR="00781DB0" w:rsidRPr="00413A40">
        <w:rPr>
          <w:lang w:val="fr-CA"/>
        </w:rPr>
        <w:t>art.</w:t>
      </w:r>
      <w:r w:rsidR="00B029AB">
        <w:rPr>
          <w:lang w:val="fr-CA"/>
        </w:rPr>
        <w:t xml:space="preserve"> </w:t>
      </w:r>
      <w:r w:rsidR="00781DB0" w:rsidRPr="00413A40">
        <w:rPr>
          <w:lang w:val="fr-CA"/>
        </w:rPr>
        <w:t>12. La réparation qui s</w:t>
      </w:r>
      <w:r w:rsidR="002D6B80">
        <w:rPr>
          <w:lang w:val="fr-CA"/>
        </w:rPr>
        <w:t>’</w:t>
      </w:r>
      <w:r w:rsidR="00781DB0" w:rsidRPr="00413A40">
        <w:rPr>
          <w:lang w:val="fr-CA"/>
        </w:rPr>
        <w:t>impose alors relève du par.</w:t>
      </w:r>
      <w:r w:rsidR="00B029AB">
        <w:rPr>
          <w:lang w:val="fr-CA"/>
        </w:rPr>
        <w:t xml:space="preserve"> </w:t>
      </w:r>
      <w:r w:rsidR="00781DB0" w:rsidRPr="00413A40">
        <w:rPr>
          <w:lang w:val="fr-CA"/>
        </w:rPr>
        <w:t>52(1)</w:t>
      </w:r>
      <w:r w:rsidR="00CE0BBC">
        <w:rPr>
          <w:lang w:val="fr-CA"/>
        </w:rPr>
        <w:t xml:space="preserve"> de la </w:t>
      </w:r>
      <w:r w:rsidR="00CE0BBC" w:rsidRPr="00CE0BBC">
        <w:rPr>
          <w:i/>
          <w:lang w:val="fr-CA"/>
        </w:rPr>
        <w:t>Loi constitutionnelle de 1982</w:t>
      </w:r>
      <w:r w:rsidR="00781DB0" w:rsidRPr="00413A40">
        <w:rPr>
          <w:lang w:val="fr-CA"/>
        </w:rPr>
        <w:t>, et la peine minimale obligatoire doit être invalidée.</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S</w:t>
      </w:r>
      <w:r w:rsidR="002D6B80">
        <w:rPr>
          <w:lang w:val="fr-CA"/>
        </w:rPr>
        <w:t>’</w:t>
      </w:r>
      <w:r w:rsidR="00781DB0" w:rsidRPr="00413A40">
        <w:rPr>
          <w:lang w:val="fr-CA"/>
        </w:rPr>
        <w:t>il tient le régime pour valide, le tribunal passe à la deuxième étape de l</w:t>
      </w:r>
      <w:r w:rsidR="002D6B80">
        <w:rPr>
          <w:lang w:val="fr-CA"/>
        </w:rPr>
        <w:t>’</w:t>
      </w:r>
      <w:r w:rsidR="00781DB0" w:rsidRPr="00413A40">
        <w:rPr>
          <w:lang w:val="fr-CA"/>
        </w:rPr>
        <w:t xml:space="preserve">analyse et se demande si le poursuivant a exercé son pouvoir discrétionnaire de </w:t>
      </w:r>
      <w:r w:rsidR="00781DB0" w:rsidRPr="00413A40">
        <w:rPr>
          <w:lang w:val="fr-CA"/>
        </w:rPr>
        <w:lastRenderedPageBreak/>
        <w:t>manière qu</w:t>
      </w:r>
      <w:r w:rsidR="002D6B80">
        <w:rPr>
          <w:lang w:val="fr-CA"/>
        </w:rPr>
        <w:t>’</w:t>
      </w:r>
      <w:r w:rsidR="00781DB0" w:rsidRPr="00413A40">
        <w:rPr>
          <w:lang w:val="fr-CA"/>
        </w:rPr>
        <w:t>une peine totalement disproportionnée soit infligée au délinquant en cause. Dans les rares cas où la décision d</w:t>
      </w:r>
      <w:r w:rsidR="002D6B80">
        <w:rPr>
          <w:lang w:val="fr-CA"/>
        </w:rPr>
        <w:t>’</w:t>
      </w:r>
      <w:r w:rsidR="00781DB0" w:rsidRPr="00413A40">
        <w:rPr>
          <w:lang w:val="fr-CA"/>
        </w:rPr>
        <w:t>opter pour la mise en accusation mènera à l</w:t>
      </w:r>
      <w:r w:rsidR="002D6B80">
        <w:rPr>
          <w:lang w:val="fr-CA"/>
        </w:rPr>
        <w:t>’</w:t>
      </w:r>
      <w:r w:rsidR="00781DB0" w:rsidRPr="00413A40">
        <w:rPr>
          <w:lang w:val="fr-CA"/>
        </w:rPr>
        <w:t>imposition d</w:t>
      </w:r>
      <w:r w:rsidR="002D6B80">
        <w:rPr>
          <w:lang w:val="fr-CA"/>
        </w:rPr>
        <w:t>’</w:t>
      </w:r>
      <w:r w:rsidR="00781DB0" w:rsidRPr="00413A40">
        <w:rPr>
          <w:lang w:val="fr-CA"/>
        </w:rPr>
        <w:t>une peine totalement disproportionnée, une réparation pourra être obtenue sur le fondement du par.</w:t>
      </w:r>
      <w:r w:rsidR="00B029AB">
        <w:rPr>
          <w:lang w:val="fr-CA"/>
        </w:rPr>
        <w:t xml:space="preserve"> </w:t>
      </w:r>
      <w:r w:rsidR="00781DB0" w:rsidRPr="00413A40">
        <w:rPr>
          <w:lang w:val="fr-CA"/>
        </w:rPr>
        <w:t>24(1)</w:t>
      </w:r>
      <w:r w:rsidR="00CC6DB5">
        <w:rPr>
          <w:lang w:val="fr-CA"/>
        </w:rPr>
        <w:t xml:space="preserve"> de la </w:t>
      </w:r>
      <w:r w:rsidR="00CC6DB5">
        <w:rPr>
          <w:i/>
          <w:lang w:val="fr-CA"/>
        </w:rPr>
        <w:t>Charte</w:t>
      </w:r>
      <w:r w:rsidR="00781DB0" w:rsidRPr="00413A40">
        <w:rPr>
          <w:lang w:val="fr-CA"/>
        </w:rPr>
        <w:t>. Ainsi, l</w:t>
      </w:r>
      <w:r w:rsidR="002D6B80">
        <w:rPr>
          <w:lang w:val="fr-CA"/>
        </w:rPr>
        <w:t>’</w:t>
      </w:r>
      <w:r w:rsidR="00781DB0" w:rsidRPr="00413A40">
        <w:rPr>
          <w:lang w:val="fr-CA"/>
        </w:rPr>
        <w:t>accent est mis sur la constitutionnalité non pas de la loi comme telle, mais bien de l</w:t>
      </w:r>
      <w:r w:rsidR="002D6B80">
        <w:rPr>
          <w:lang w:val="fr-CA"/>
        </w:rPr>
        <w:t>’</w:t>
      </w:r>
      <w:r w:rsidR="00781DB0" w:rsidRPr="00413A40">
        <w:rPr>
          <w:lang w:val="fr-CA"/>
        </w:rPr>
        <w:t>acte de l</w:t>
      </w:r>
      <w:r w:rsidR="002D6B80">
        <w:rPr>
          <w:lang w:val="fr-CA"/>
        </w:rPr>
        <w:t>’</w:t>
      </w:r>
      <w:r w:rsidR="00781DB0" w:rsidRPr="00413A40">
        <w:rPr>
          <w:lang w:val="fr-CA"/>
        </w:rPr>
        <w:t>État, à savoir le choix du mode de poursuite, lequel relève du pouvoir discrétionnaire essentiel du poursuivant en matière de poursuites — un pouvoir dont l</w:t>
      </w:r>
      <w:r w:rsidR="002D6B80">
        <w:rPr>
          <w:lang w:val="fr-CA"/>
        </w:rPr>
        <w:t>’</w:t>
      </w:r>
      <w:r w:rsidR="00781DB0" w:rsidRPr="00413A40">
        <w:rPr>
          <w:lang w:val="fr-CA"/>
        </w:rPr>
        <w:t>exercice est susceptible de contrôle uniquement en cas d</w:t>
      </w:r>
      <w:r w:rsidR="002D6B80">
        <w:rPr>
          <w:lang w:val="fr-CA"/>
        </w:rPr>
        <w:t>’</w:t>
      </w:r>
      <w:r w:rsidR="00781DB0" w:rsidRPr="00413A40">
        <w:rPr>
          <w:lang w:val="fr-CA"/>
        </w:rPr>
        <w:t>abus de procédure.</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Lorsque le choix de la mise en accusation entraînerait l</w:t>
      </w:r>
      <w:r w:rsidR="002D6B80">
        <w:rPr>
          <w:lang w:val="fr-CA"/>
        </w:rPr>
        <w:t>’</w:t>
      </w:r>
      <w:r w:rsidR="00781DB0" w:rsidRPr="00413A40">
        <w:rPr>
          <w:lang w:val="fr-CA"/>
        </w:rPr>
        <w:t>imposition d</w:t>
      </w:r>
      <w:r w:rsidR="002D6B80">
        <w:rPr>
          <w:lang w:val="fr-CA"/>
        </w:rPr>
        <w:t>’</w:t>
      </w:r>
      <w:r w:rsidR="00781DB0" w:rsidRPr="00413A40">
        <w:rPr>
          <w:lang w:val="fr-CA"/>
        </w:rPr>
        <w:t>une peine totalement disproportionnée, il y a abus de procédure en soi contrairement à l</w:t>
      </w:r>
      <w:r w:rsidR="002D6B80">
        <w:rPr>
          <w:lang w:val="fr-CA"/>
        </w:rPr>
        <w:t>’</w:t>
      </w:r>
      <w:r w:rsidR="00781DB0" w:rsidRPr="00413A40">
        <w:rPr>
          <w:lang w:val="fr-CA"/>
        </w:rPr>
        <w:t>art.</w:t>
      </w:r>
      <w:r w:rsidR="00B029AB">
        <w:rPr>
          <w:lang w:val="fr-CA"/>
        </w:rPr>
        <w:t xml:space="preserve"> </w:t>
      </w:r>
      <w:r w:rsidR="00781DB0" w:rsidRPr="00413A40">
        <w:rPr>
          <w:lang w:val="fr-CA"/>
        </w:rPr>
        <w:t xml:space="preserve">12. Imposer une telle peine </w:t>
      </w:r>
      <w:r w:rsidR="00B029AB">
        <w:rPr>
          <w:lang w:val="fr-CA"/>
        </w:rPr>
        <w:t>« </w:t>
      </w:r>
      <w:r w:rsidR="00781DB0" w:rsidRPr="00413A40">
        <w:rPr>
          <w:lang w:val="fr-CA"/>
        </w:rPr>
        <w:t>miner[ait] les attentes de la société sur le plan de l</w:t>
      </w:r>
      <w:r w:rsidR="002D6B80">
        <w:rPr>
          <w:lang w:val="fr-CA"/>
        </w:rPr>
        <w:t>’</w:t>
      </w:r>
      <w:r w:rsidR="00781DB0" w:rsidRPr="00413A40">
        <w:rPr>
          <w:lang w:val="fr-CA"/>
        </w:rPr>
        <w:t>équité en matière d</w:t>
      </w:r>
      <w:r w:rsidR="002D6B80">
        <w:rPr>
          <w:lang w:val="fr-CA"/>
        </w:rPr>
        <w:t>’</w:t>
      </w:r>
      <w:r w:rsidR="00781DB0" w:rsidRPr="00413A40">
        <w:rPr>
          <w:lang w:val="fr-CA"/>
        </w:rPr>
        <w:t>administration de la justice</w:t>
      </w:r>
      <w:r w:rsidR="00B029AB">
        <w:rPr>
          <w:lang w:val="fr-CA"/>
        </w:rPr>
        <w:t> »</w:t>
      </w:r>
      <w:r w:rsidR="00781DB0" w:rsidRPr="00413A40">
        <w:rPr>
          <w:lang w:val="fr-CA"/>
        </w:rPr>
        <w:t xml:space="preserve">. La peine totalement disproportionnée est </w:t>
      </w:r>
      <w:r w:rsidR="00B029AB">
        <w:rPr>
          <w:lang w:val="fr-CA"/>
        </w:rPr>
        <w:t>« </w:t>
      </w:r>
      <w:r w:rsidR="00781DB0" w:rsidRPr="00413A40">
        <w:rPr>
          <w:lang w:val="fr-CA"/>
        </w:rPr>
        <w:t>excessi[ve] au point de ne pas être compatible avec la dignité humaine</w:t>
      </w:r>
      <w:r w:rsidR="00B029AB">
        <w:rPr>
          <w:lang w:val="fr-CA"/>
        </w:rPr>
        <w:t> »</w:t>
      </w:r>
      <w:r w:rsidR="00781DB0" w:rsidRPr="00413A40">
        <w:rPr>
          <w:lang w:val="fr-CA"/>
        </w:rPr>
        <w:t xml:space="preserve"> et elle est </w:t>
      </w:r>
      <w:r w:rsidR="00B029AB">
        <w:rPr>
          <w:lang w:val="fr-CA"/>
        </w:rPr>
        <w:t>« </w:t>
      </w:r>
      <w:r w:rsidR="00781DB0" w:rsidRPr="00413A40">
        <w:rPr>
          <w:lang w:val="fr-CA"/>
        </w:rPr>
        <w:t>odieuse ou intolérable</w:t>
      </w:r>
      <w:r w:rsidR="00B029AB">
        <w:rPr>
          <w:lang w:val="fr-CA"/>
        </w:rPr>
        <w:t> »</w:t>
      </w:r>
      <w:r w:rsidR="00781DB0" w:rsidRPr="00413A40">
        <w:rPr>
          <w:lang w:val="fr-CA"/>
        </w:rPr>
        <w:t xml:space="preserve"> pour la société. Elle porte atteinte au droit fondamental de l</w:t>
      </w:r>
      <w:r w:rsidR="002D6B80">
        <w:rPr>
          <w:lang w:val="fr-CA"/>
        </w:rPr>
        <w:t>’</w:t>
      </w:r>
      <w:r w:rsidR="00781DB0" w:rsidRPr="00413A40">
        <w:rPr>
          <w:lang w:val="fr-CA"/>
        </w:rPr>
        <w:t>accusé à la protection contre les peines cruelles et inusitées et elle est incompatible avec l</w:t>
      </w:r>
      <w:r w:rsidR="002D6B80">
        <w:rPr>
          <w:lang w:val="fr-CA"/>
        </w:rPr>
        <w:t>’</w:t>
      </w:r>
      <w:r w:rsidR="00781DB0" w:rsidRPr="00413A40">
        <w:rPr>
          <w:lang w:val="fr-CA"/>
        </w:rPr>
        <w:t>intégrité de notre système de justice. Si, par son objet ou son effet, l</w:t>
      </w:r>
      <w:r w:rsidR="002D6B80">
        <w:rPr>
          <w:lang w:val="fr-CA"/>
        </w:rPr>
        <w:t>’</w:t>
      </w:r>
      <w:r w:rsidR="00781DB0" w:rsidRPr="00413A40">
        <w:rPr>
          <w:lang w:val="fr-CA"/>
        </w:rPr>
        <w:t>exercice du pouvoir discrétionnaire en matière de poursuites mène à un tel résultat, il faut y voir un abus de procédure en soi.</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Il incombe au délinquant de prouver l</w:t>
      </w:r>
      <w:r w:rsidR="002D6B80">
        <w:rPr>
          <w:lang w:val="fr-CA"/>
        </w:rPr>
        <w:t>’</w:t>
      </w:r>
      <w:r w:rsidR="00781DB0" w:rsidRPr="00413A40">
        <w:rPr>
          <w:lang w:val="fr-CA"/>
        </w:rPr>
        <w:t>abus de procédure à l</w:t>
      </w:r>
      <w:r w:rsidR="002D6B80">
        <w:rPr>
          <w:lang w:val="fr-CA"/>
        </w:rPr>
        <w:t>’</w:t>
      </w:r>
      <w:r w:rsidR="00781DB0" w:rsidRPr="00413A40">
        <w:rPr>
          <w:lang w:val="fr-CA"/>
        </w:rPr>
        <w:t>étape de la détermination de la peine. Le délinquant qui s</w:t>
      </w:r>
      <w:r w:rsidR="002D6B80">
        <w:rPr>
          <w:lang w:val="fr-CA"/>
        </w:rPr>
        <w:t>’</w:t>
      </w:r>
      <w:r w:rsidR="00781DB0" w:rsidRPr="00413A40">
        <w:rPr>
          <w:lang w:val="fr-CA"/>
        </w:rPr>
        <w:t>acquitte de ce fardeau de preuve a droit à une réparation en vertu du par.</w:t>
      </w:r>
      <w:r w:rsidR="00B029AB">
        <w:rPr>
          <w:lang w:val="fr-CA"/>
        </w:rPr>
        <w:t xml:space="preserve"> </w:t>
      </w:r>
      <w:r w:rsidR="00781DB0" w:rsidRPr="00413A40">
        <w:rPr>
          <w:lang w:val="fr-CA"/>
        </w:rPr>
        <w:t xml:space="preserve">24(1). Dans la plupart des cas, la réparation </w:t>
      </w:r>
      <w:r w:rsidR="00781DB0" w:rsidRPr="00413A40">
        <w:rPr>
          <w:lang w:val="fr-CA"/>
        </w:rPr>
        <w:lastRenderedPageBreak/>
        <w:t>convenable et juste consiste à réduire la peine de façon qu</w:t>
      </w:r>
      <w:r w:rsidR="002D6B80">
        <w:rPr>
          <w:lang w:val="fr-CA"/>
        </w:rPr>
        <w:t>’</w:t>
      </w:r>
      <w:r w:rsidR="00781DB0" w:rsidRPr="00413A40">
        <w:rPr>
          <w:lang w:val="fr-CA"/>
        </w:rPr>
        <w:t>elle soit inférieure à la peine minimale obligatoire.</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Suivant le cadre d</w:t>
      </w:r>
      <w:r w:rsidR="002D6B80">
        <w:rPr>
          <w:lang w:val="fr-CA"/>
        </w:rPr>
        <w:t>’</w:t>
      </w:r>
      <w:r w:rsidR="00781DB0" w:rsidRPr="00413A40">
        <w:rPr>
          <w:lang w:val="fr-CA"/>
        </w:rPr>
        <w:t>analyse proposé, il incombe au tribunal, et non au poursuivant, de s</w:t>
      </w:r>
      <w:r w:rsidR="002D6B80">
        <w:rPr>
          <w:lang w:val="fr-CA"/>
        </w:rPr>
        <w:t>’</w:t>
      </w:r>
      <w:r w:rsidR="00781DB0" w:rsidRPr="00413A40">
        <w:rPr>
          <w:lang w:val="fr-CA"/>
        </w:rPr>
        <w:t>assurer du respect des exigences de la Constitution. Deux éléments de contrôle de la conformité à l</w:t>
      </w:r>
      <w:r w:rsidR="002D6B80">
        <w:rPr>
          <w:lang w:val="fr-CA"/>
        </w:rPr>
        <w:t>’</w:t>
      </w:r>
      <w:r w:rsidR="00781DB0" w:rsidRPr="00413A40">
        <w:rPr>
          <w:lang w:val="fr-CA"/>
        </w:rPr>
        <w:t>art.</w:t>
      </w:r>
      <w:r w:rsidR="00B029AB">
        <w:rPr>
          <w:lang w:val="fr-CA"/>
        </w:rPr>
        <w:t xml:space="preserve"> </w:t>
      </w:r>
      <w:r w:rsidR="00781DB0" w:rsidRPr="00413A40">
        <w:rPr>
          <w:lang w:val="fr-CA"/>
        </w:rPr>
        <w:t>12 sont prévus, et aucun ne tient à l</w:t>
      </w:r>
      <w:r w:rsidR="002D6B80">
        <w:rPr>
          <w:lang w:val="fr-CA"/>
        </w:rPr>
        <w:t>’</w:t>
      </w:r>
      <w:r w:rsidR="00781DB0" w:rsidRPr="00413A40">
        <w:rPr>
          <w:lang w:val="fr-CA"/>
        </w:rPr>
        <w:t>exercice du pouvoir discrétionnaire en matière de poursuites. Premièrement, lorsque le régime même de détermination de la peine est contesté, le tribunal peut le déclarer inconstitutionnel. Deuxièmement, lorsque le délinquant prétend que la peine minimale obligatoire est totalement disproportionnée dans son cas, le tribunal peut conclure à un abus de procédure en soi et accorder une réduction de peine en vertu du par.</w:t>
      </w:r>
      <w:r w:rsidR="00B029AB">
        <w:rPr>
          <w:lang w:val="fr-CA"/>
        </w:rPr>
        <w:t xml:space="preserve"> </w:t>
      </w:r>
      <w:r w:rsidR="00781DB0" w:rsidRPr="00413A40">
        <w:rPr>
          <w:lang w:val="fr-CA"/>
        </w:rPr>
        <w:t>24(1).</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 xml:space="preserve">Dans le dossier de N, le juge Code a conclu que, avant </w:t>
      </w:r>
      <w:r w:rsidR="003C0F0E" w:rsidRPr="00413A40">
        <w:rPr>
          <w:lang w:val="fr-CA"/>
        </w:rPr>
        <w:t>l</w:t>
      </w:r>
      <w:r w:rsidR="002D6B80">
        <w:rPr>
          <w:lang w:val="fr-CA"/>
        </w:rPr>
        <w:t>’</w:t>
      </w:r>
      <w:r w:rsidR="003C0F0E" w:rsidRPr="00413A40">
        <w:rPr>
          <w:lang w:val="fr-CA"/>
        </w:rPr>
        <w:t xml:space="preserve">application de </w:t>
      </w:r>
      <w:r w:rsidR="00781DB0" w:rsidRPr="00413A40">
        <w:rPr>
          <w:lang w:val="fr-CA"/>
        </w:rPr>
        <w:t>la peine minimale obligatoire de trois ans, la fourchette des peines infligées pour une première infraction à l</w:t>
      </w:r>
      <w:r w:rsidR="002D6B80">
        <w:rPr>
          <w:lang w:val="fr-CA"/>
        </w:rPr>
        <w:t>’</w:t>
      </w:r>
      <w:r w:rsidR="00781DB0" w:rsidRPr="00413A40">
        <w:rPr>
          <w:lang w:val="fr-CA"/>
        </w:rPr>
        <w:t>art.</w:t>
      </w:r>
      <w:r w:rsidR="00B029AB">
        <w:rPr>
          <w:lang w:val="fr-CA"/>
        </w:rPr>
        <w:t xml:space="preserve"> </w:t>
      </w:r>
      <w:r w:rsidR="00781DB0" w:rsidRPr="00413A40">
        <w:rPr>
          <w:lang w:val="fr-CA"/>
        </w:rPr>
        <w:t>95 allait de deux ans moins un jour à trois ans d</w:t>
      </w:r>
      <w:r w:rsidR="002D6B80">
        <w:rPr>
          <w:lang w:val="fr-CA"/>
        </w:rPr>
        <w:t>’</w:t>
      </w:r>
      <w:r w:rsidR="00781DB0" w:rsidRPr="00413A40">
        <w:rPr>
          <w:lang w:val="fr-CA"/>
        </w:rPr>
        <w:t>emprisonnement. La peine correspondant à l</w:t>
      </w:r>
      <w:r w:rsidR="002D6B80">
        <w:rPr>
          <w:lang w:val="fr-CA"/>
        </w:rPr>
        <w:t>’</w:t>
      </w:r>
      <w:r w:rsidR="00781DB0" w:rsidRPr="00413A40">
        <w:rPr>
          <w:lang w:val="fr-CA"/>
        </w:rPr>
        <w:t>extrémité inférieure de la fourchette était donc d</w:t>
      </w:r>
      <w:r w:rsidR="002D6B80">
        <w:rPr>
          <w:lang w:val="fr-CA"/>
        </w:rPr>
        <w:t>’</w:t>
      </w:r>
      <w:r w:rsidR="00781DB0" w:rsidRPr="00413A40">
        <w:rPr>
          <w:lang w:val="fr-CA"/>
        </w:rPr>
        <w:t>environ deux ans moins un jour d</w:t>
      </w:r>
      <w:r w:rsidR="002D6B80">
        <w:rPr>
          <w:lang w:val="fr-CA"/>
        </w:rPr>
        <w:t>’</w:t>
      </w:r>
      <w:r w:rsidR="00781DB0" w:rsidRPr="00413A40">
        <w:rPr>
          <w:lang w:val="fr-CA"/>
        </w:rPr>
        <w:t>emprisonnement. La peine minimale obligatoire de trois ans que prévoit actuellement le par.</w:t>
      </w:r>
      <w:r w:rsidR="00B029AB">
        <w:rPr>
          <w:lang w:val="fr-CA"/>
        </w:rPr>
        <w:t xml:space="preserve"> </w:t>
      </w:r>
      <w:r w:rsidR="00781DB0" w:rsidRPr="00413A40">
        <w:rPr>
          <w:lang w:val="fr-CA"/>
        </w:rPr>
        <w:t>95(2) pour une première infraction n</w:t>
      </w:r>
      <w:r w:rsidR="002D6B80">
        <w:rPr>
          <w:lang w:val="fr-CA"/>
        </w:rPr>
        <w:t>’</w:t>
      </w:r>
      <w:r w:rsidR="00781DB0" w:rsidRPr="00413A40">
        <w:rPr>
          <w:lang w:val="fr-CA"/>
        </w:rPr>
        <w:t>est pas totalement disproportionnée à la peine qui correspondait auparavant à l</w:t>
      </w:r>
      <w:r w:rsidR="002D6B80">
        <w:rPr>
          <w:lang w:val="fr-CA"/>
        </w:rPr>
        <w:t>’</w:t>
      </w:r>
      <w:r w:rsidR="00781DB0" w:rsidRPr="00413A40">
        <w:rPr>
          <w:lang w:val="fr-CA"/>
        </w:rPr>
        <w:t>extrémité inférieure de la fourchette. La peine minimale obligatoire ne viole donc pas l</w:t>
      </w:r>
      <w:r w:rsidR="002D6B80">
        <w:rPr>
          <w:lang w:val="fr-CA"/>
        </w:rPr>
        <w:t>’</w:t>
      </w:r>
      <w:r w:rsidR="00781DB0" w:rsidRPr="00413A40">
        <w:rPr>
          <w:lang w:val="fr-CA"/>
        </w:rPr>
        <w:t>art.</w:t>
      </w:r>
      <w:r w:rsidR="00B029AB">
        <w:rPr>
          <w:lang w:val="fr-CA"/>
        </w:rPr>
        <w:t xml:space="preserve"> </w:t>
      </w:r>
      <w:r w:rsidR="00781DB0" w:rsidRPr="00413A40">
        <w:rPr>
          <w:lang w:val="fr-CA"/>
        </w:rPr>
        <w:t>12 à la première étape du contrôle. Comme N reconnaît qu</w:t>
      </w:r>
      <w:r w:rsidR="002D6B80">
        <w:rPr>
          <w:lang w:val="fr-CA"/>
        </w:rPr>
        <w:t>’</w:t>
      </w:r>
      <w:r w:rsidR="00781DB0" w:rsidRPr="00413A40">
        <w:rPr>
          <w:lang w:val="fr-CA"/>
        </w:rPr>
        <w:t xml:space="preserve">une </w:t>
      </w:r>
      <w:r w:rsidR="00781DB0" w:rsidRPr="00413A40">
        <w:rPr>
          <w:lang w:val="fr-CA"/>
        </w:rPr>
        <w:lastRenderedPageBreak/>
        <w:t>peine de trois ans d</w:t>
      </w:r>
      <w:r w:rsidR="002D6B80">
        <w:rPr>
          <w:lang w:val="fr-CA"/>
        </w:rPr>
        <w:t>’</w:t>
      </w:r>
      <w:r w:rsidR="00781DB0" w:rsidRPr="00413A40">
        <w:rPr>
          <w:lang w:val="fr-CA"/>
        </w:rPr>
        <w:t>emprisonnement n</w:t>
      </w:r>
      <w:r w:rsidR="002D6B80">
        <w:rPr>
          <w:lang w:val="fr-CA"/>
        </w:rPr>
        <w:t>’</w:t>
      </w:r>
      <w:r w:rsidR="00781DB0" w:rsidRPr="00413A40">
        <w:rPr>
          <w:lang w:val="fr-CA"/>
        </w:rPr>
        <w:t>est pas totalement disproportionnée dans son cas, la deuxième étape du contrôle est aussi franchie.</w:t>
      </w:r>
    </w:p>
    <w:p w:rsidR="00781DB0" w:rsidRPr="00413A40" w:rsidRDefault="00542E62" w:rsidP="00A659A4">
      <w:pPr>
        <w:pStyle w:val="SCCNormalDoubleSpacing"/>
        <w:spacing w:after="480"/>
        <w:rPr>
          <w:lang w:val="fr-CA"/>
        </w:rPr>
      </w:pPr>
      <w:r w:rsidRPr="00413A40">
        <w:rPr>
          <w:lang w:val="fr-CA"/>
        </w:rPr>
        <w:tab/>
      </w:r>
      <w:r w:rsidR="00781DB0" w:rsidRPr="00413A40">
        <w:rPr>
          <w:lang w:val="fr-CA"/>
        </w:rPr>
        <w:t>Dans le dossier de C, la juge Backhouse n</w:t>
      </w:r>
      <w:r w:rsidR="002D6B80">
        <w:rPr>
          <w:lang w:val="fr-CA"/>
        </w:rPr>
        <w:t>’</w:t>
      </w:r>
      <w:r w:rsidR="00781DB0" w:rsidRPr="00413A40">
        <w:rPr>
          <w:lang w:val="fr-CA"/>
        </w:rPr>
        <w:t>a pas fait état de la fourchette des peines infligées en cas de récidive avant l</w:t>
      </w:r>
      <w:r w:rsidR="002D6B80">
        <w:rPr>
          <w:lang w:val="fr-CA"/>
        </w:rPr>
        <w:t>’</w:t>
      </w:r>
      <w:r w:rsidR="00781DB0" w:rsidRPr="00413A40">
        <w:rPr>
          <w:lang w:val="fr-CA"/>
        </w:rPr>
        <w:t>application de la peine minimale obligatoire de cinq ans. Le juge Code a toutefois souligné que même si la fourchette des peines infligées pour une première infraction allait de deux ans moins un jour à trois ans d</w:t>
      </w:r>
      <w:r w:rsidR="002D6B80">
        <w:rPr>
          <w:lang w:val="fr-CA"/>
        </w:rPr>
        <w:t>’</w:t>
      </w:r>
      <w:r w:rsidR="00781DB0" w:rsidRPr="00413A40">
        <w:rPr>
          <w:lang w:val="fr-CA"/>
        </w:rPr>
        <w:t>emprisonnement, des peines beaucoup plus longues étaient imposées aux récidivistes. Il est donc clair qu</w:t>
      </w:r>
      <w:r w:rsidR="002D6B80">
        <w:rPr>
          <w:lang w:val="fr-CA"/>
        </w:rPr>
        <w:t>’</w:t>
      </w:r>
      <w:r w:rsidR="00781DB0" w:rsidRPr="00413A40">
        <w:rPr>
          <w:lang w:val="fr-CA"/>
        </w:rPr>
        <w:t>une récidive aurait entraîné une peine d</w:t>
      </w:r>
      <w:r w:rsidR="002D6B80">
        <w:rPr>
          <w:lang w:val="fr-CA"/>
        </w:rPr>
        <w:t>’</w:t>
      </w:r>
      <w:r w:rsidR="00781DB0" w:rsidRPr="00413A40">
        <w:rPr>
          <w:lang w:val="fr-CA"/>
        </w:rPr>
        <w:t>emprisonnement de bien plus de trois ans — au moins quatre ou cinq ans. La peine minimale obligatoire actuelle de cinq ans d</w:t>
      </w:r>
      <w:r w:rsidR="002D6B80">
        <w:rPr>
          <w:lang w:val="fr-CA"/>
        </w:rPr>
        <w:t>’</w:t>
      </w:r>
      <w:r w:rsidR="00781DB0" w:rsidRPr="00413A40">
        <w:rPr>
          <w:lang w:val="fr-CA"/>
        </w:rPr>
        <w:t>emprisonnement n</w:t>
      </w:r>
      <w:r w:rsidR="002D6B80">
        <w:rPr>
          <w:lang w:val="fr-CA"/>
        </w:rPr>
        <w:t>’</w:t>
      </w:r>
      <w:r w:rsidR="00781DB0" w:rsidRPr="00413A40">
        <w:rPr>
          <w:lang w:val="fr-CA"/>
        </w:rPr>
        <w:t>est pas totalement disproportionnée à l</w:t>
      </w:r>
      <w:r w:rsidR="002D6B80">
        <w:rPr>
          <w:lang w:val="fr-CA"/>
        </w:rPr>
        <w:t>’</w:t>
      </w:r>
      <w:r w:rsidR="00781DB0" w:rsidRPr="00413A40">
        <w:rPr>
          <w:lang w:val="fr-CA"/>
        </w:rPr>
        <w:t>extrémité inférieure de la fourchette des peines auparavant infligées sous le régime de l</w:t>
      </w:r>
      <w:r w:rsidR="002D6B80">
        <w:rPr>
          <w:lang w:val="fr-CA"/>
        </w:rPr>
        <w:t>’</w:t>
      </w:r>
      <w:r w:rsidR="00781DB0" w:rsidRPr="00413A40">
        <w:rPr>
          <w:lang w:val="fr-CA"/>
        </w:rPr>
        <w:t>art.</w:t>
      </w:r>
      <w:r w:rsidR="00B029AB">
        <w:rPr>
          <w:lang w:val="fr-CA"/>
        </w:rPr>
        <w:t xml:space="preserve"> </w:t>
      </w:r>
      <w:r w:rsidR="00781DB0" w:rsidRPr="00413A40">
        <w:rPr>
          <w:lang w:val="fr-CA"/>
        </w:rPr>
        <w:t>95 en cas de récidive. À l</w:t>
      </w:r>
      <w:r w:rsidR="002D6B80">
        <w:rPr>
          <w:lang w:val="fr-CA"/>
        </w:rPr>
        <w:t>’</w:t>
      </w:r>
      <w:r w:rsidR="00781DB0" w:rsidRPr="00413A40">
        <w:rPr>
          <w:lang w:val="fr-CA"/>
        </w:rPr>
        <w:t>instar de N, C reconnaît que la peine minimale obligatoire n</w:t>
      </w:r>
      <w:r w:rsidR="002D6B80">
        <w:rPr>
          <w:lang w:val="fr-CA"/>
        </w:rPr>
        <w:t>’</w:t>
      </w:r>
      <w:r w:rsidR="00781DB0" w:rsidRPr="00413A40">
        <w:rPr>
          <w:lang w:val="fr-CA"/>
        </w:rPr>
        <w:t>est pas totalement disproportionnée en ce qui le concerne.</w:t>
      </w:r>
    </w:p>
    <w:p w:rsidR="00781DB0" w:rsidRPr="00084013" w:rsidRDefault="00542E62" w:rsidP="00A659A4">
      <w:pPr>
        <w:pStyle w:val="SCCNormalDoubleSpacing"/>
        <w:spacing w:after="480"/>
        <w:rPr>
          <w:lang w:val="fr-CA"/>
        </w:rPr>
      </w:pPr>
      <w:r w:rsidRPr="00413A40">
        <w:rPr>
          <w:lang w:val="fr-CA"/>
        </w:rPr>
        <w:tab/>
      </w:r>
      <w:r w:rsidR="00781DB0" w:rsidRPr="00413A40">
        <w:rPr>
          <w:lang w:val="fr-CA"/>
        </w:rPr>
        <w:t>En conclusion, ni le régime de détermination de la peine comme tel, ni son application à N ou à C ne contreviennent à l</w:t>
      </w:r>
      <w:r w:rsidR="002D6B80">
        <w:rPr>
          <w:lang w:val="fr-CA"/>
        </w:rPr>
        <w:t>’</w:t>
      </w:r>
      <w:r w:rsidR="00781DB0" w:rsidRPr="00413A40">
        <w:rPr>
          <w:lang w:val="fr-CA"/>
        </w:rPr>
        <w:t>art.</w:t>
      </w:r>
      <w:r w:rsidR="00B029AB">
        <w:rPr>
          <w:lang w:val="fr-CA"/>
        </w:rPr>
        <w:t xml:space="preserve"> </w:t>
      </w:r>
      <w:r w:rsidR="00781DB0" w:rsidRPr="00413A40">
        <w:rPr>
          <w:lang w:val="fr-CA"/>
        </w:rPr>
        <w:t xml:space="preserve">12 de la </w:t>
      </w:r>
      <w:r w:rsidR="00781DB0" w:rsidRPr="00413A40">
        <w:rPr>
          <w:i/>
          <w:lang w:val="fr-CA"/>
        </w:rPr>
        <w:t>Charte</w:t>
      </w:r>
      <w:r w:rsidR="00781DB0" w:rsidRPr="00413A40">
        <w:rPr>
          <w:lang w:val="fr-CA"/>
        </w:rPr>
        <w:t>. De plus, l</w:t>
      </w:r>
      <w:r w:rsidR="002D6B80">
        <w:rPr>
          <w:lang w:val="fr-CA"/>
        </w:rPr>
        <w:t>’</w:t>
      </w:r>
      <w:r w:rsidR="00781DB0" w:rsidRPr="00413A40">
        <w:rPr>
          <w:lang w:val="fr-CA"/>
        </w:rPr>
        <w:t>art.</w:t>
      </w:r>
      <w:r w:rsidR="00B029AB">
        <w:rPr>
          <w:lang w:val="fr-CA"/>
        </w:rPr>
        <w:t xml:space="preserve"> </w:t>
      </w:r>
      <w:r w:rsidR="00781DB0" w:rsidRPr="00413A40">
        <w:rPr>
          <w:lang w:val="fr-CA"/>
        </w:rPr>
        <w:t>95 n</w:t>
      </w:r>
      <w:r w:rsidR="002D6B80">
        <w:rPr>
          <w:lang w:val="fr-CA"/>
        </w:rPr>
        <w:t>’</w:t>
      </w:r>
      <w:r w:rsidR="00781DB0" w:rsidRPr="00413A40">
        <w:rPr>
          <w:lang w:val="fr-CA"/>
        </w:rPr>
        <w:t>est ni arbitraire ni d</w:t>
      </w:r>
      <w:r w:rsidR="002D6B80">
        <w:rPr>
          <w:lang w:val="fr-CA"/>
        </w:rPr>
        <w:t>’</w:t>
      </w:r>
      <w:r w:rsidR="00781DB0" w:rsidRPr="00413A40">
        <w:rPr>
          <w:lang w:val="fr-CA"/>
        </w:rPr>
        <w:t>une portée excessive, et ne porte donc pas atteinte au droit garanti par l</w:t>
      </w:r>
      <w:r w:rsidR="002D6B80">
        <w:rPr>
          <w:lang w:val="fr-CA"/>
        </w:rPr>
        <w:t>’</w:t>
      </w:r>
      <w:r w:rsidR="00781DB0" w:rsidRPr="00413A40">
        <w:rPr>
          <w:lang w:val="fr-CA"/>
        </w:rPr>
        <w:t>art.</w:t>
      </w:r>
      <w:r w:rsidR="00B029AB">
        <w:rPr>
          <w:lang w:val="fr-CA"/>
        </w:rPr>
        <w:t xml:space="preserve"> </w:t>
      </w:r>
      <w:r w:rsidR="00781DB0" w:rsidRPr="00413A40">
        <w:rPr>
          <w:lang w:val="fr-CA"/>
        </w:rPr>
        <w:t xml:space="preserve">7 de la </w:t>
      </w:r>
      <w:r w:rsidR="00781DB0" w:rsidRPr="00413A40">
        <w:rPr>
          <w:i/>
          <w:lang w:val="fr-CA"/>
        </w:rPr>
        <w:t>Charte</w:t>
      </w:r>
      <w:r w:rsidR="00781DB0" w:rsidRPr="00084013">
        <w:rPr>
          <w:lang w:val="fr-CA"/>
        </w:rPr>
        <w:t>.</w:t>
      </w:r>
    </w:p>
    <w:p w:rsidR="004D7D95" w:rsidRPr="00413A40" w:rsidRDefault="004D7D95" w:rsidP="00A659A4">
      <w:pPr>
        <w:pStyle w:val="SCCNormalDoubleSpacing"/>
        <w:spacing w:after="480"/>
        <w:rPr>
          <w:b/>
          <w:lang w:val="fr-CA"/>
        </w:rPr>
      </w:pPr>
      <w:r w:rsidRPr="00413A40">
        <w:rPr>
          <w:b/>
          <w:lang w:val="fr-CA"/>
        </w:rPr>
        <w:t>Jurisprudence</w:t>
      </w:r>
    </w:p>
    <w:p w:rsidR="00970584" w:rsidRPr="00413A40" w:rsidRDefault="00970584" w:rsidP="00A659A4">
      <w:pPr>
        <w:pStyle w:val="SCCNormalDoubleSpacing"/>
        <w:spacing w:after="480"/>
        <w:rPr>
          <w:lang w:val="fr-CA"/>
        </w:rPr>
      </w:pPr>
      <w:r w:rsidRPr="00413A40">
        <w:rPr>
          <w:lang w:val="fr-CA"/>
        </w:rPr>
        <w:t>Citée par la juge en chef McLachlin</w:t>
      </w:r>
    </w:p>
    <w:p w:rsidR="004D7D95" w:rsidRPr="00413A40" w:rsidRDefault="004D7D95" w:rsidP="00A659A4">
      <w:pPr>
        <w:pStyle w:val="SCCNormalDoubleSpacing"/>
        <w:spacing w:after="480"/>
        <w:rPr>
          <w:lang w:val="fr-CA"/>
        </w:rPr>
      </w:pPr>
      <w:r w:rsidRPr="00413A40">
        <w:rPr>
          <w:lang w:val="fr-CA"/>
        </w:rPr>
        <w:lastRenderedPageBreak/>
        <w:tab/>
      </w:r>
      <w:r w:rsidR="003C0171" w:rsidRPr="00413A40">
        <w:rPr>
          <w:b/>
          <w:lang w:val="fr-CA"/>
        </w:rPr>
        <w:t>Arrêts appliqués</w:t>
      </w:r>
      <w:r w:rsidR="00B029AB">
        <w:rPr>
          <w:b/>
          <w:lang w:val="fr-CA"/>
        </w:rPr>
        <w:t> :</w:t>
      </w:r>
      <w:r w:rsidR="003C0171" w:rsidRPr="00413A40">
        <w:rPr>
          <w:lang w:val="fr-CA"/>
        </w:rPr>
        <w:t xml:space="preserve"> </w:t>
      </w:r>
      <w:r w:rsidR="003C0171" w:rsidRPr="00413A40">
        <w:rPr>
          <w:i/>
          <w:lang w:val="fr-CA"/>
        </w:rPr>
        <w:t>R. c. Smith</w:t>
      </w:r>
      <w:r w:rsidR="003C0171" w:rsidRPr="00413A40">
        <w:rPr>
          <w:lang w:val="fr-CA"/>
        </w:rPr>
        <w:t xml:space="preserve">, [1987] 1 R.C.S. 1045; </w:t>
      </w:r>
      <w:r w:rsidR="003C0171" w:rsidRPr="00413A40">
        <w:rPr>
          <w:i/>
          <w:lang w:val="fr-CA"/>
        </w:rPr>
        <w:t>R. c. Morrisey</w:t>
      </w:r>
      <w:r w:rsidR="003C0171" w:rsidRPr="00413A40">
        <w:rPr>
          <w:lang w:val="fr-CA"/>
        </w:rPr>
        <w:t xml:space="preserve">, 2000 CSC 39, [2000] 2 R.C.S. 90; </w:t>
      </w:r>
      <w:r w:rsidR="003C0171" w:rsidRPr="00413A40">
        <w:rPr>
          <w:i/>
          <w:lang w:val="fr-CA"/>
        </w:rPr>
        <w:t>R. c. Goltz</w:t>
      </w:r>
      <w:r w:rsidR="003C0171" w:rsidRPr="00413A40">
        <w:rPr>
          <w:lang w:val="fr-CA"/>
        </w:rPr>
        <w:t xml:space="preserve">, [1991] 3 R.C.S. 485; </w:t>
      </w:r>
      <w:r w:rsidR="003C0171" w:rsidRPr="00413A40">
        <w:rPr>
          <w:b/>
          <w:lang w:val="fr-CA"/>
        </w:rPr>
        <w:t>a</w:t>
      </w:r>
      <w:r w:rsidRPr="00413A40">
        <w:rPr>
          <w:b/>
          <w:lang w:val="fr-CA"/>
        </w:rPr>
        <w:t>rrêts mentionnés</w:t>
      </w:r>
      <w:r w:rsidR="00B029AB">
        <w:rPr>
          <w:b/>
          <w:lang w:val="fr-CA"/>
        </w:rPr>
        <w:t> :</w:t>
      </w:r>
      <w:r w:rsidR="00B029AB">
        <w:rPr>
          <w:lang w:val="fr-CA"/>
        </w:rPr>
        <w:t xml:space="preserve"> </w:t>
      </w:r>
      <w:r w:rsidR="00030451" w:rsidRPr="00413A40">
        <w:rPr>
          <w:i/>
          <w:lang w:val="fr-CA"/>
        </w:rPr>
        <w:t>Renvoi relatif à la Loi sur les armes à feu (Can.)</w:t>
      </w:r>
      <w:r w:rsidR="00030451" w:rsidRPr="00413A40">
        <w:rPr>
          <w:lang w:val="fr-CA"/>
        </w:rPr>
        <w:t xml:space="preserve">, 2000 CSC 31, [2000] 1 R.C.S. 783; </w:t>
      </w:r>
      <w:r w:rsidR="00030451" w:rsidRPr="00413A40">
        <w:rPr>
          <w:i/>
          <w:lang w:val="fr-CA"/>
        </w:rPr>
        <w:t>R. c. M. (C.A.)</w:t>
      </w:r>
      <w:r w:rsidR="00030451" w:rsidRPr="00413A40">
        <w:rPr>
          <w:lang w:val="fr-CA"/>
        </w:rPr>
        <w:t xml:space="preserve">, [1996] 1 R.C.S. 500; </w:t>
      </w:r>
      <w:r w:rsidR="00030451" w:rsidRPr="00413A40">
        <w:rPr>
          <w:i/>
          <w:lang w:val="fr-CA"/>
        </w:rPr>
        <w:t>Renvoi sur la Motor Vehicle Act (C.</w:t>
      </w:r>
      <w:r w:rsidR="00B029AB">
        <w:rPr>
          <w:i/>
          <w:lang w:val="fr-CA"/>
        </w:rPr>
        <w:t>-</w:t>
      </w:r>
      <w:r w:rsidR="00030451" w:rsidRPr="00413A40">
        <w:rPr>
          <w:i/>
          <w:lang w:val="fr-CA"/>
        </w:rPr>
        <w:t>B.)</w:t>
      </w:r>
      <w:r w:rsidR="00030451" w:rsidRPr="00413A40">
        <w:rPr>
          <w:lang w:val="fr-CA"/>
        </w:rPr>
        <w:t xml:space="preserve">, [1985] 2 R.C.S. 486; </w:t>
      </w:r>
      <w:r w:rsidR="00030451" w:rsidRPr="00413A40">
        <w:rPr>
          <w:i/>
          <w:lang w:val="fr-CA"/>
        </w:rPr>
        <w:t>R. c. Ipeelee</w:t>
      </w:r>
      <w:r w:rsidR="00030451" w:rsidRPr="00413A40">
        <w:rPr>
          <w:lang w:val="fr-CA"/>
        </w:rPr>
        <w:t xml:space="preserve">, 2012 CSC 13, [2012] 1 R.C.S. 433; </w:t>
      </w:r>
      <w:r w:rsidR="00030451" w:rsidRPr="00413A40">
        <w:rPr>
          <w:i/>
          <w:lang w:val="fr-CA"/>
        </w:rPr>
        <w:t>R. c. Big M Drug Mart Ltd.</w:t>
      </w:r>
      <w:r w:rsidR="00030451" w:rsidRPr="00413A40">
        <w:rPr>
          <w:lang w:val="fr-CA"/>
        </w:rPr>
        <w:t xml:space="preserve">, [1985] 1 R.C.S. 295; </w:t>
      </w:r>
      <w:r w:rsidR="00030451" w:rsidRPr="00413A40">
        <w:rPr>
          <w:i/>
          <w:lang w:val="fr-CA"/>
        </w:rPr>
        <w:t>R. c. Morgentaler</w:t>
      </w:r>
      <w:r w:rsidR="00030451" w:rsidRPr="00413A40">
        <w:rPr>
          <w:lang w:val="fr-CA"/>
        </w:rPr>
        <w:t xml:space="preserve">, [1988] 1 R.C.S. 30; </w:t>
      </w:r>
      <w:r w:rsidR="00030451" w:rsidRPr="00413A40">
        <w:rPr>
          <w:i/>
          <w:lang w:val="fr-CA"/>
        </w:rPr>
        <w:t>R. c. Wholesale Travel Group Inc.</w:t>
      </w:r>
      <w:r w:rsidR="00030451" w:rsidRPr="00413A40">
        <w:rPr>
          <w:lang w:val="fr-CA"/>
        </w:rPr>
        <w:t xml:space="preserve">, [1991] 3 R.C.S. 154; </w:t>
      </w:r>
      <w:r w:rsidR="00030451" w:rsidRPr="00413A40">
        <w:rPr>
          <w:i/>
          <w:lang w:val="fr-CA"/>
        </w:rPr>
        <w:t>R. c. Heywood</w:t>
      </w:r>
      <w:r w:rsidR="00030451" w:rsidRPr="00413A40">
        <w:rPr>
          <w:lang w:val="fr-CA"/>
        </w:rPr>
        <w:t xml:space="preserve">, [1994] 3 R.C.S. 761; </w:t>
      </w:r>
      <w:r w:rsidR="00030451" w:rsidRPr="00413A40">
        <w:rPr>
          <w:i/>
          <w:lang w:val="fr-CA"/>
        </w:rPr>
        <w:t>R. c. Mills</w:t>
      </w:r>
      <w:r w:rsidR="00030451" w:rsidRPr="00413A40">
        <w:rPr>
          <w:lang w:val="fr-CA"/>
        </w:rPr>
        <w:t xml:space="preserve">, [1999] 3 R.C.S. 668; </w:t>
      </w:r>
      <w:r w:rsidR="00030451" w:rsidRPr="00413A40">
        <w:rPr>
          <w:i/>
          <w:lang w:val="fr-CA"/>
        </w:rPr>
        <w:t>R. c. Ferguson</w:t>
      </w:r>
      <w:r w:rsidR="00030451" w:rsidRPr="00413A40">
        <w:rPr>
          <w:lang w:val="fr-CA"/>
        </w:rPr>
        <w:t xml:space="preserve">, 2008 CSC 6, [2008] 1 R.C.S. 96; </w:t>
      </w:r>
      <w:r w:rsidR="00030451" w:rsidRPr="00413A40">
        <w:rPr>
          <w:i/>
          <w:lang w:val="fr-CA"/>
        </w:rPr>
        <w:t>R. c. Brown</w:t>
      </w:r>
      <w:r w:rsidR="00030451" w:rsidRPr="00413A40">
        <w:rPr>
          <w:lang w:val="fr-CA"/>
        </w:rPr>
        <w:t xml:space="preserve">, [1994] 3 R.C.S. 749; </w:t>
      </w:r>
      <w:r w:rsidR="00030451" w:rsidRPr="00413A40">
        <w:rPr>
          <w:i/>
          <w:lang w:val="fr-CA"/>
        </w:rPr>
        <w:t>Ontario (Procureur général) c. Fraser</w:t>
      </w:r>
      <w:r w:rsidR="00030451" w:rsidRPr="00413A40">
        <w:rPr>
          <w:lang w:val="fr-CA"/>
        </w:rPr>
        <w:t xml:space="preserve">, 2011 CSC 20, [2011] 2 R.C.S. 3; </w:t>
      </w:r>
      <w:r w:rsidR="00030451" w:rsidRPr="00413A40">
        <w:rPr>
          <w:i/>
          <w:lang w:val="fr-CA"/>
        </w:rPr>
        <w:t>Canada c. Craig</w:t>
      </w:r>
      <w:r w:rsidR="00030451" w:rsidRPr="00413A40">
        <w:rPr>
          <w:lang w:val="fr-CA"/>
        </w:rPr>
        <w:t xml:space="preserve">, 2012 CSC 43, [2012] 2 R.C.S. 489; </w:t>
      </w:r>
      <w:r w:rsidR="00030451" w:rsidRPr="00413A40">
        <w:rPr>
          <w:i/>
          <w:lang w:val="fr-CA"/>
        </w:rPr>
        <w:t>Canada (Procureur général) c. Bedford</w:t>
      </w:r>
      <w:r w:rsidR="00030451" w:rsidRPr="00413A40">
        <w:rPr>
          <w:lang w:val="fr-CA"/>
        </w:rPr>
        <w:t xml:space="preserve">, 2013 CSC 72, [2013] 3 R.C.S. 1101; </w:t>
      </w:r>
      <w:r w:rsidR="00F6699F" w:rsidRPr="00413A40">
        <w:rPr>
          <w:i/>
          <w:lang w:val="fr-CA"/>
        </w:rPr>
        <w:t>R. c. Henry</w:t>
      </w:r>
      <w:r w:rsidR="00F6699F" w:rsidRPr="00413A40">
        <w:rPr>
          <w:lang w:val="fr-CA"/>
        </w:rPr>
        <w:t xml:space="preserve">, 2005 CSC 76, [2005] 3 R.C.S. 609; </w:t>
      </w:r>
      <w:r w:rsidR="00030451" w:rsidRPr="00413A40">
        <w:rPr>
          <w:i/>
          <w:lang w:val="fr-CA"/>
        </w:rPr>
        <w:t>R. c. MacDonald</w:t>
      </w:r>
      <w:r w:rsidR="00030451" w:rsidRPr="00413A40">
        <w:rPr>
          <w:lang w:val="fr-CA"/>
        </w:rPr>
        <w:t xml:space="preserve">, 2014 CSC 3, [2014] 1 R.C.S. 37; </w:t>
      </w:r>
      <w:r w:rsidR="00030451" w:rsidRPr="00413A40">
        <w:rPr>
          <w:i/>
          <w:lang w:val="fr-CA"/>
        </w:rPr>
        <w:t>R. c. Anderson</w:t>
      </w:r>
      <w:r w:rsidR="00030451" w:rsidRPr="00413A40">
        <w:rPr>
          <w:lang w:val="fr-CA"/>
        </w:rPr>
        <w:t xml:space="preserve">, 2014 CSC 41, [2014] 2 R.C.S. 167; </w:t>
      </w:r>
      <w:r w:rsidR="00E833D6" w:rsidRPr="00413A40">
        <w:rPr>
          <w:i/>
          <w:lang w:val="fr-CA"/>
        </w:rPr>
        <w:t>Canada (Procureur général) c. PHS Community Services Society</w:t>
      </w:r>
      <w:r w:rsidR="00E833D6" w:rsidRPr="00413A40">
        <w:rPr>
          <w:lang w:val="fr-CA"/>
        </w:rPr>
        <w:t xml:space="preserve">, 2011 CSC 44, [2011] 3 R.C.S. 134; </w:t>
      </w:r>
      <w:r w:rsidR="00E833D6" w:rsidRPr="00413A40">
        <w:rPr>
          <w:i/>
          <w:lang w:val="fr-CA"/>
        </w:rPr>
        <w:t>Lavallee, Rackel &amp; Heintz c. Canada (Procureur général)</w:t>
      </w:r>
      <w:r w:rsidR="00E833D6" w:rsidRPr="00413A40">
        <w:rPr>
          <w:lang w:val="fr-CA"/>
        </w:rPr>
        <w:t xml:space="preserve">, 2002 CSC 61, [2002] 3 R.C.S. 209; </w:t>
      </w:r>
      <w:r w:rsidR="00E833D6" w:rsidRPr="00413A40">
        <w:rPr>
          <w:i/>
          <w:lang w:val="fr-CA"/>
        </w:rPr>
        <w:t>R. c. Bain</w:t>
      </w:r>
      <w:r w:rsidR="00E833D6" w:rsidRPr="00413A40">
        <w:rPr>
          <w:lang w:val="fr-CA"/>
        </w:rPr>
        <w:t xml:space="preserve">, [1992] 1 R.C.S. 91; </w:t>
      </w:r>
      <w:r w:rsidR="00E833D6" w:rsidRPr="00413A40">
        <w:rPr>
          <w:i/>
          <w:lang w:val="fr-CA"/>
        </w:rPr>
        <w:t>R. c. Smickle</w:t>
      </w:r>
      <w:r w:rsidR="00E833D6" w:rsidRPr="00413A40">
        <w:rPr>
          <w:lang w:val="fr-CA"/>
        </w:rPr>
        <w:t xml:space="preserve">, 2012 ONSC 602, 110 O.R. (3d) 25; </w:t>
      </w:r>
      <w:r w:rsidR="00F6699F" w:rsidRPr="00413A40">
        <w:rPr>
          <w:i/>
          <w:lang w:val="fr-CA"/>
        </w:rPr>
        <w:t>R. c. Oakes</w:t>
      </w:r>
      <w:r w:rsidR="00F6699F" w:rsidRPr="00413A40">
        <w:rPr>
          <w:lang w:val="fr-CA"/>
        </w:rPr>
        <w:t xml:space="preserve">, [1986] 1 R.C.S. 103; </w:t>
      </w:r>
      <w:r w:rsidR="00030451" w:rsidRPr="00413A40">
        <w:rPr>
          <w:i/>
          <w:lang w:val="fr-CA"/>
        </w:rPr>
        <w:t>RJR</w:t>
      </w:r>
      <w:r w:rsidR="00B029AB">
        <w:rPr>
          <w:i/>
          <w:lang w:val="fr-CA"/>
        </w:rPr>
        <w:t>-</w:t>
      </w:r>
      <w:r w:rsidR="00030451" w:rsidRPr="00413A40">
        <w:rPr>
          <w:i/>
          <w:lang w:val="fr-CA"/>
        </w:rPr>
        <w:t>MacDonald Inc. c. Canada (Procureur général)</w:t>
      </w:r>
      <w:r w:rsidR="00030451" w:rsidRPr="00413A40">
        <w:rPr>
          <w:lang w:val="fr-CA"/>
        </w:rPr>
        <w:t xml:space="preserve">, [1995] 3 R.C.S. 199; </w:t>
      </w:r>
      <w:r w:rsidR="00030451" w:rsidRPr="00413A40">
        <w:rPr>
          <w:i/>
          <w:lang w:val="fr-CA"/>
        </w:rPr>
        <w:t>Alberta c. Hutterian Brethren of Wilson Colony</w:t>
      </w:r>
      <w:r w:rsidR="00030451" w:rsidRPr="00413A40">
        <w:rPr>
          <w:lang w:val="fr-CA"/>
        </w:rPr>
        <w:t>, 2009 CSC 37, [2009] 2 R.C.S. 567.</w:t>
      </w:r>
    </w:p>
    <w:p w:rsidR="00B92F78" w:rsidRPr="00413A40" w:rsidRDefault="00B92F78" w:rsidP="00A659A4">
      <w:pPr>
        <w:pStyle w:val="SCCNormalDoubleSpacing"/>
        <w:spacing w:after="480"/>
        <w:rPr>
          <w:lang w:val="fr-CA"/>
        </w:rPr>
      </w:pPr>
      <w:r w:rsidRPr="00413A40">
        <w:rPr>
          <w:lang w:val="fr-CA"/>
        </w:rPr>
        <w:t>Citée par le juge Moldaver (dissident)</w:t>
      </w:r>
    </w:p>
    <w:p w:rsidR="00B92F78" w:rsidRPr="00413A40" w:rsidRDefault="00B92F78" w:rsidP="00A659A4">
      <w:pPr>
        <w:pStyle w:val="SCCNormalDoubleSpacing"/>
        <w:spacing w:before="480" w:after="480"/>
        <w:rPr>
          <w:lang w:val="fr-CA"/>
        </w:rPr>
      </w:pPr>
      <w:r w:rsidRPr="00413A40">
        <w:rPr>
          <w:lang w:val="fr-CA"/>
        </w:rPr>
        <w:lastRenderedPageBreak/>
        <w:tab/>
      </w:r>
      <w:r w:rsidR="00970584" w:rsidRPr="00413A40">
        <w:rPr>
          <w:i/>
          <w:lang w:val="fr-CA"/>
        </w:rPr>
        <w:t>R. c. Smith</w:t>
      </w:r>
      <w:r w:rsidR="00970584" w:rsidRPr="00413A40">
        <w:rPr>
          <w:lang w:val="fr-CA"/>
        </w:rPr>
        <w:t xml:space="preserve">, [1987] 1 R.C.S. 1045; </w:t>
      </w:r>
      <w:r w:rsidR="00970584" w:rsidRPr="00413A40">
        <w:rPr>
          <w:i/>
          <w:lang w:val="fr-CA"/>
        </w:rPr>
        <w:t>R. c. Goltz</w:t>
      </w:r>
      <w:r w:rsidR="00970584" w:rsidRPr="00413A40">
        <w:rPr>
          <w:lang w:val="fr-CA"/>
        </w:rPr>
        <w:t xml:space="preserve">, [1991] 3 R.C.S. 485; </w:t>
      </w:r>
      <w:r w:rsidR="00970584" w:rsidRPr="00413A40">
        <w:rPr>
          <w:i/>
          <w:lang w:val="fr-CA"/>
        </w:rPr>
        <w:t>R. c. Morrisey</w:t>
      </w:r>
      <w:r w:rsidR="00970584" w:rsidRPr="00413A40">
        <w:rPr>
          <w:lang w:val="fr-CA"/>
        </w:rPr>
        <w:t xml:space="preserve">, 2000 CSC 39, [2000] 2 R.C.S. 90; </w:t>
      </w:r>
      <w:r w:rsidRPr="00413A40">
        <w:rPr>
          <w:i/>
          <w:lang w:val="fr-CA"/>
        </w:rPr>
        <w:t xml:space="preserve">R. </w:t>
      </w:r>
      <w:r w:rsidR="00970584" w:rsidRPr="00413A40">
        <w:rPr>
          <w:i/>
          <w:lang w:val="fr-CA"/>
        </w:rPr>
        <w:t>c</w:t>
      </w:r>
      <w:r w:rsidRPr="00413A40">
        <w:rPr>
          <w:i/>
          <w:lang w:val="fr-CA"/>
        </w:rPr>
        <w:t>. Snobelen</w:t>
      </w:r>
      <w:r w:rsidR="00967A08" w:rsidRPr="00413A40">
        <w:rPr>
          <w:lang w:val="fr-CA"/>
        </w:rPr>
        <w:t>, [2008] O.J. No.</w:t>
      </w:r>
      <w:r w:rsidR="00B029AB">
        <w:rPr>
          <w:lang w:val="fr-CA"/>
        </w:rPr>
        <w:t xml:space="preserve"> </w:t>
      </w:r>
      <w:r w:rsidRPr="00413A40">
        <w:rPr>
          <w:lang w:val="fr-CA"/>
        </w:rPr>
        <w:t xml:space="preserve">6021 (QL); </w:t>
      </w:r>
      <w:r w:rsidR="00E833D6" w:rsidRPr="00413A40">
        <w:rPr>
          <w:i/>
          <w:lang w:val="fr-CA"/>
        </w:rPr>
        <w:t>R. c. MacDonald</w:t>
      </w:r>
      <w:r w:rsidR="00E833D6" w:rsidRPr="00413A40">
        <w:rPr>
          <w:lang w:val="fr-CA"/>
        </w:rPr>
        <w:t xml:space="preserve">, 2014 CSC 3, [2014] 1 R.C.S. 37; </w:t>
      </w:r>
      <w:r w:rsidRPr="00413A40">
        <w:rPr>
          <w:i/>
          <w:lang w:val="fr-CA"/>
        </w:rPr>
        <w:t xml:space="preserve">R. </w:t>
      </w:r>
      <w:r w:rsidR="00970584" w:rsidRPr="00413A40">
        <w:rPr>
          <w:i/>
          <w:lang w:val="fr-CA"/>
        </w:rPr>
        <w:t>c</w:t>
      </w:r>
      <w:r w:rsidRPr="00413A40">
        <w:rPr>
          <w:i/>
          <w:lang w:val="fr-CA"/>
        </w:rPr>
        <w:t>. Nasogaluak</w:t>
      </w:r>
      <w:r w:rsidRPr="00413A40">
        <w:rPr>
          <w:lang w:val="fr-CA"/>
        </w:rPr>
        <w:t xml:space="preserve">, 2010 </w:t>
      </w:r>
      <w:r w:rsidR="00970584" w:rsidRPr="00413A40">
        <w:rPr>
          <w:lang w:val="fr-CA"/>
        </w:rPr>
        <w:t>C</w:t>
      </w:r>
      <w:r w:rsidRPr="00413A40">
        <w:rPr>
          <w:lang w:val="fr-CA"/>
        </w:rPr>
        <w:t xml:space="preserve">SC 6, [2010] 1 </w:t>
      </w:r>
      <w:r w:rsidR="00970584" w:rsidRPr="00413A40">
        <w:rPr>
          <w:lang w:val="fr-CA"/>
        </w:rPr>
        <w:t>R.C.</w:t>
      </w:r>
      <w:r w:rsidRPr="00413A40">
        <w:rPr>
          <w:lang w:val="fr-CA"/>
        </w:rPr>
        <w:t xml:space="preserve">S. 206; </w:t>
      </w:r>
      <w:r w:rsidRPr="00413A40">
        <w:rPr>
          <w:i/>
          <w:lang w:val="fr-CA"/>
        </w:rPr>
        <w:t xml:space="preserve">R. </w:t>
      </w:r>
      <w:r w:rsidR="00970584" w:rsidRPr="00413A40">
        <w:rPr>
          <w:i/>
          <w:lang w:val="fr-CA"/>
        </w:rPr>
        <w:t>c</w:t>
      </w:r>
      <w:r w:rsidRPr="00413A40">
        <w:rPr>
          <w:i/>
          <w:lang w:val="fr-CA"/>
        </w:rPr>
        <w:t>. Felawka</w:t>
      </w:r>
      <w:r w:rsidRPr="00413A40">
        <w:rPr>
          <w:lang w:val="fr-CA"/>
        </w:rPr>
        <w:t xml:space="preserve">, [1993] 4 </w:t>
      </w:r>
      <w:r w:rsidR="00970584" w:rsidRPr="00413A40">
        <w:rPr>
          <w:lang w:val="fr-CA"/>
        </w:rPr>
        <w:t>R.C.</w:t>
      </w:r>
      <w:r w:rsidRPr="00413A40">
        <w:rPr>
          <w:lang w:val="fr-CA"/>
        </w:rPr>
        <w:t xml:space="preserve">S. 199; </w:t>
      </w:r>
      <w:r w:rsidRPr="00413A40">
        <w:rPr>
          <w:i/>
          <w:lang w:val="fr-CA"/>
        </w:rPr>
        <w:t xml:space="preserve">R. </w:t>
      </w:r>
      <w:r w:rsidR="00970584" w:rsidRPr="00413A40">
        <w:rPr>
          <w:i/>
          <w:lang w:val="fr-CA"/>
        </w:rPr>
        <w:t>c</w:t>
      </w:r>
      <w:r w:rsidRPr="00413A40">
        <w:rPr>
          <w:i/>
          <w:lang w:val="fr-CA"/>
        </w:rPr>
        <w:t>. Elliston</w:t>
      </w:r>
      <w:r w:rsidRPr="00413A40">
        <w:rPr>
          <w:lang w:val="fr-CA"/>
        </w:rPr>
        <w:t xml:space="preserve">, 2010 ONSC 6492, 225 C.R.R. (2d) 109; </w:t>
      </w:r>
      <w:r w:rsidRPr="00413A40">
        <w:rPr>
          <w:i/>
          <w:lang w:val="fr-CA"/>
        </w:rPr>
        <w:t xml:space="preserve">R. </w:t>
      </w:r>
      <w:r w:rsidR="00970584" w:rsidRPr="00413A40">
        <w:rPr>
          <w:i/>
          <w:lang w:val="fr-CA"/>
        </w:rPr>
        <w:t>c</w:t>
      </w:r>
      <w:r w:rsidRPr="00413A40">
        <w:rPr>
          <w:i/>
          <w:lang w:val="fr-CA"/>
        </w:rPr>
        <w:t>. Chin</w:t>
      </w:r>
      <w:r w:rsidRPr="00413A40">
        <w:rPr>
          <w:lang w:val="fr-CA"/>
        </w:rPr>
        <w:t xml:space="preserve">, 2009 ABCA 226, 457 A.R. 233; </w:t>
      </w:r>
      <w:r w:rsidRPr="00413A40">
        <w:rPr>
          <w:i/>
          <w:lang w:val="fr-CA"/>
        </w:rPr>
        <w:t>Canada (</w:t>
      </w:r>
      <w:r w:rsidR="00970584" w:rsidRPr="00413A40">
        <w:rPr>
          <w:i/>
          <w:lang w:val="fr-CA"/>
        </w:rPr>
        <w:t>Procureur général</w:t>
      </w:r>
      <w:r w:rsidRPr="00413A40">
        <w:rPr>
          <w:i/>
          <w:lang w:val="fr-CA"/>
        </w:rPr>
        <w:t xml:space="preserve">) </w:t>
      </w:r>
      <w:r w:rsidR="00970584" w:rsidRPr="00413A40">
        <w:rPr>
          <w:i/>
          <w:lang w:val="fr-CA"/>
        </w:rPr>
        <w:t>c</w:t>
      </w:r>
      <w:r w:rsidRPr="00413A40">
        <w:rPr>
          <w:i/>
          <w:lang w:val="fr-CA"/>
        </w:rPr>
        <w:t>. PHS Community Services Society</w:t>
      </w:r>
      <w:r w:rsidRPr="00413A40">
        <w:rPr>
          <w:lang w:val="fr-CA"/>
        </w:rPr>
        <w:t xml:space="preserve">, 2011 </w:t>
      </w:r>
      <w:r w:rsidR="00970584" w:rsidRPr="00413A40">
        <w:rPr>
          <w:lang w:val="fr-CA"/>
        </w:rPr>
        <w:t>C</w:t>
      </w:r>
      <w:r w:rsidRPr="00413A40">
        <w:rPr>
          <w:lang w:val="fr-CA"/>
        </w:rPr>
        <w:t xml:space="preserve">SC 44, [2011] 3 </w:t>
      </w:r>
      <w:r w:rsidR="00970584" w:rsidRPr="00413A40">
        <w:rPr>
          <w:lang w:val="fr-CA"/>
        </w:rPr>
        <w:t>R.C.</w:t>
      </w:r>
      <w:r w:rsidRPr="00413A40">
        <w:rPr>
          <w:lang w:val="fr-CA"/>
        </w:rPr>
        <w:t xml:space="preserve">S. 134; </w:t>
      </w:r>
      <w:r w:rsidRPr="00413A40">
        <w:rPr>
          <w:i/>
          <w:lang w:val="fr-CA"/>
        </w:rPr>
        <w:t xml:space="preserve">R. </w:t>
      </w:r>
      <w:r w:rsidR="00970584" w:rsidRPr="00413A40">
        <w:rPr>
          <w:i/>
          <w:lang w:val="fr-CA"/>
        </w:rPr>
        <w:t>c</w:t>
      </w:r>
      <w:r w:rsidRPr="00413A40">
        <w:rPr>
          <w:i/>
          <w:lang w:val="fr-CA"/>
        </w:rPr>
        <w:t>. Anderson</w:t>
      </w:r>
      <w:r w:rsidRPr="00413A40">
        <w:rPr>
          <w:lang w:val="fr-CA"/>
        </w:rPr>
        <w:t xml:space="preserve">, 2014 </w:t>
      </w:r>
      <w:r w:rsidR="00970584" w:rsidRPr="00413A40">
        <w:rPr>
          <w:lang w:val="fr-CA"/>
        </w:rPr>
        <w:t>C</w:t>
      </w:r>
      <w:r w:rsidRPr="00413A40">
        <w:rPr>
          <w:lang w:val="fr-CA"/>
        </w:rPr>
        <w:t xml:space="preserve">SC 41, [2014] 2 </w:t>
      </w:r>
      <w:r w:rsidR="00970584" w:rsidRPr="00413A40">
        <w:rPr>
          <w:lang w:val="fr-CA"/>
        </w:rPr>
        <w:t xml:space="preserve">R.C.S. </w:t>
      </w:r>
      <w:r w:rsidRPr="00413A40">
        <w:rPr>
          <w:lang w:val="fr-CA"/>
        </w:rPr>
        <w:t xml:space="preserve">167; </w:t>
      </w:r>
      <w:r w:rsidRPr="00413A40">
        <w:rPr>
          <w:i/>
          <w:lang w:val="fr-CA"/>
        </w:rPr>
        <w:t xml:space="preserve">R. </w:t>
      </w:r>
      <w:r w:rsidR="00970584" w:rsidRPr="00413A40">
        <w:rPr>
          <w:i/>
          <w:lang w:val="fr-CA"/>
        </w:rPr>
        <w:t>c</w:t>
      </w:r>
      <w:r w:rsidRPr="00413A40">
        <w:rPr>
          <w:i/>
          <w:lang w:val="fr-CA"/>
        </w:rPr>
        <w:t>. Nixon</w:t>
      </w:r>
      <w:r w:rsidRPr="00413A40">
        <w:rPr>
          <w:lang w:val="fr-CA"/>
        </w:rPr>
        <w:t xml:space="preserve">, 2011 </w:t>
      </w:r>
      <w:r w:rsidR="00970584" w:rsidRPr="00413A40">
        <w:rPr>
          <w:lang w:val="fr-CA"/>
        </w:rPr>
        <w:t xml:space="preserve">CSC </w:t>
      </w:r>
      <w:r w:rsidRPr="00413A40">
        <w:rPr>
          <w:lang w:val="fr-CA"/>
        </w:rPr>
        <w:t xml:space="preserve">34, [2011] 2 </w:t>
      </w:r>
      <w:r w:rsidR="00970584" w:rsidRPr="00413A40">
        <w:rPr>
          <w:lang w:val="fr-CA"/>
        </w:rPr>
        <w:t xml:space="preserve">R.C.S. </w:t>
      </w:r>
      <w:r w:rsidRPr="00413A40">
        <w:rPr>
          <w:lang w:val="fr-CA"/>
        </w:rPr>
        <w:t xml:space="preserve">566; </w:t>
      </w:r>
      <w:r w:rsidRPr="00413A40">
        <w:rPr>
          <w:i/>
          <w:lang w:val="fr-CA"/>
        </w:rPr>
        <w:t xml:space="preserve">R. </w:t>
      </w:r>
      <w:r w:rsidR="00970584" w:rsidRPr="00413A40">
        <w:rPr>
          <w:i/>
          <w:lang w:val="fr-CA"/>
        </w:rPr>
        <w:t>c</w:t>
      </w:r>
      <w:r w:rsidRPr="00413A40">
        <w:rPr>
          <w:i/>
          <w:lang w:val="fr-CA"/>
        </w:rPr>
        <w:t>. O</w:t>
      </w:r>
      <w:r w:rsidR="002D6B80">
        <w:rPr>
          <w:i/>
          <w:lang w:val="fr-CA"/>
        </w:rPr>
        <w:t>’</w:t>
      </w:r>
      <w:r w:rsidRPr="00413A40">
        <w:rPr>
          <w:i/>
          <w:lang w:val="fr-CA"/>
        </w:rPr>
        <w:t>Connor</w:t>
      </w:r>
      <w:r w:rsidRPr="00413A40">
        <w:rPr>
          <w:lang w:val="fr-CA"/>
        </w:rPr>
        <w:t xml:space="preserve">, [1995] 4 </w:t>
      </w:r>
      <w:r w:rsidR="00970584" w:rsidRPr="00413A40">
        <w:rPr>
          <w:lang w:val="fr-CA"/>
        </w:rPr>
        <w:t xml:space="preserve">R.C.S. </w:t>
      </w:r>
      <w:r w:rsidRPr="00413A40">
        <w:rPr>
          <w:lang w:val="fr-CA"/>
        </w:rPr>
        <w:t xml:space="preserve">411; </w:t>
      </w:r>
      <w:r w:rsidRPr="00413A40">
        <w:rPr>
          <w:i/>
          <w:lang w:val="fr-CA"/>
        </w:rPr>
        <w:t xml:space="preserve">R. </w:t>
      </w:r>
      <w:r w:rsidR="00970584" w:rsidRPr="00413A40">
        <w:rPr>
          <w:i/>
          <w:lang w:val="fr-CA"/>
        </w:rPr>
        <w:t>c</w:t>
      </w:r>
      <w:r w:rsidRPr="00413A40">
        <w:rPr>
          <w:i/>
          <w:lang w:val="fr-CA"/>
        </w:rPr>
        <w:t>. Babos</w:t>
      </w:r>
      <w:r w:rsidRPr="00413A40">
        <w:rPr>
          <w:lang w:val="fr-CA"/>
        </w:rPr>
        <w:t xml:space="preserve">, 2014 </w:t>
      </w:r>
      <w:r w:rsidR="00970584" w:rsidRPr="00413A40">
        <w:rPr>
          <w:lang w:val="fr-CA"/>
        </w:rPr>
        <w:t xml:space="preserve">CSC </w:t>
      </w:r>
      <w:r w:rsidRPr="00413A40">
        <w:rPr>
          <w:lang w:val="fr-CA"/>
        </w:rPr>
        <w:t xml:space="preserve">16, [2014] 1 </w:t>
      </w:r>
      <w:r w:rsidR="00970584" w:rsidRPr="00413A40">
        <w:rPr>
          <w:lang w:val="fr-CA"/>
        </w:rPr>
        <w:t xml:space="preserve">R.C.S. </w:t>
      </w:r>
      <w:r w:rsidRPr="00413A40">
        <w:rPr>
          <w:lang w:val="fr-CA"/>
        </w:rPr>
        <w:t xml:space="preserve">309; </w:t>
      </w:r>
      <w:r w:rsidRPr="00413A40">
        <w:rPr>
          <w:i/>
          <w:lang w:val="fr-CA"/>
        </w:rPr>
        <w:t xml:space="preserve">R. </w:t>
      </w:r>
      <w:r w:rsidR="00970584" w:rsidRPr="00413A40">
        <w:rPr>
          <w:i/>
          <w:lang w:val="fr-CA"/>
        </w:rPr>
        <w:t>c</w:t>
      </w:r>
      <w:r w:rsidRPr="00413A40">
        <w:rPr>
          <w:i/>
          <w:lang w:val="fr-CA"/>
        </w:rPr>
        <w:t>. Keyowski</w:t>
      </w:r>
      <w:r w:rsidRPr="00413A40">
        <w:rPr>
          <w:lang w:val="fr-CA"/>
        </w:rPr>
        <w:t xml:space="preserve">, [1988] 1 </w:t>
      </w:r>
      <w:r w:rsidR="00970584" w:rsidRPr="00413A40">
        <w:rPr>
          <w:lang w:val="fr-CA"/>
        </w:rPr>
        <w:t xml:space="preserve">R.C.S. </w:t>
      </w:r>
      <w:r w:rsidRPr="00413A40">
        <w:rPr>
          <w:lang w:val="fr-CA"/>
        </w:rPr>
        <w:t xml:space="preserve">657; </w:t>
      </w:r>
      <w:r w:rsidR="00E833D6" w:rsidRPr="00413A40">
        <w:rPr>
          <w:i/>
          <w:lang w:val="fr-CA"/>
        </w:rPr>
        <w:t>R. c. Jack</w:t>
      </w:r>
      <w:r w:rsidR="00E833D6" w:rsidRPr="00413A40">
        <w:rPr>
          <w:lang w:val="fr-CA"/>
        </w:rPr>
        <w:t xml:space="preserve"> (1996), 113 Man. R. (2d) 260; </w:t>
      </w:r>
      <w:r w:rsidR="00E833D6" w:rsidRPr="00413A40">
        <w:rPr>
          <w:i/>
          <w:lang w:val="fr-CA"/>
        </w:rPr>
        <w:t>R. c. Jack</w:t>
      </w:r>
      <w:r w:rsidR="00E833D6" w:rsidRPr="00413A40">
        <w:rPr>
          <w:lang w:val="fr-CA"/>
        </w:rPr>
        <w:t xml:space="preserve">, [1997] 2 R.C.S. 334; </w:t>
      </w:r>
      <w:r w:rsidRPr="00413A40">
        <w:rPr>
          <w:i/>
          <w:lang w:val="fr-CA"/>
        </w:rPr>
        <w:t xml:space="preserve">R. </w:t>
      </w:r>
      <w:r w:rsidR="00970584" w:rsidRPr="00413A40">
        <w:rPr>
          <w:i/>
          <w:lang w:val="fr-CA"/>
        </w:rPr>
        <w:t>c</w:t>
      </w:r>
      <w:r w:rsidRPr="00413A40">
        <w:rPr>
          <w:i/>
          <w:lang w:val="fr-CA"/>
        </w:rPr>
        <w:t>. Wiles</w:t>
      </w:r>
      <w:r w:rsidRPr="00413A40">
        <w:rPr>
          <w:lang w:val="fr-CA"/>
        </w:rPr>
        <w:t xml:space="preserve">, 2005 </w:t>
      </w:r>
      <w:r w:rsidR="00970584" w:rsidRPr="00413A40">
        <w:rPr>
          <w:lang w:val="fr-CA"/>
        </w:rPr>
        <w:t xml:space="preserve">CSC </w:t>
      </w:r>
      <w:r w:rsidRPr="00413A40">
        <w:rPr>
          <w:lang w:val="fr-CA"/>
        </w:rPr>
        <w:t xml:space="preserve">84, [2005] 3 </w:t>
      </w:r>
      <w:r w:rsidR="00970584" w:rsidRPr="00413A40">
        <w:rPr>
          <w:lang w:val="fr-CA"/>
        </w:rPr>
        <w:t xml:space="preserve">R.C.S. </w:t>
      </w:r>
      <w:r w:rsidRPr="00413A40">
        <w:rPr>
          <w:lang w:val="fr-CA"/>
        </w:rPr>
        <w:t xml:space="preserve">895; </w:t>
      </w:r>
      <w:r w:rsidRPr="00413A40">
        <w:rPr>
          <w:i/>
          <w:lang w:val="fr-CA"/>
        </w:rPr>
        <w:t xml:space="preserve">R. </w:t>
      </w:r>
      <w:r w:rsidR="00970584" w:rsidRPr="00413A40">
        <w:rPr>
          <w:i/>
          <w:lang w:val="fr-CA"/>
        </w:rPr>
        <w:t>c</w:t>
      </w:r>
      <w:r w:rsidRPr="00413A40">
        <w:rPr>
          <w:i/>
          <w:lang w:val="fr-CA"/>
        </w:rPr>
        <w:t>. Ferguson</w:t>
      </w:r>
      <w:r w:rsidRPr="00413A40">
        <w:rPr>
          <w:lang w:val="fr-CA"/>
        </w:rPr>
        <w:t xml:space="preserve">, 2008 </w:t>
      </w:r>
      <w:r w:rsidR="00970584" w:rsidRPr="00413A40">
        <w:rPr>
          <w:lang w:val="fr-CA"/>
        </w:rPr>
        <w:t>C</w:t>
      </w:r>
      <w:r w:rsidRPr="00413A40">
        <w:rPr>
          <w:lang w:val="fr-CA"/>
        </w:rPr>
        <w:t xml:space="preserve">SC 6, [2008] 1 </w:t>
      </w:r>
      <w:r w:rsidR="00970584" w:rsidRPr="00413A40">
        <w:rPr>
          <w:lang w:val="fr-CA"/>
        </w:rPr>
        <w:t xml:space="preserve">R.C.S. </w:t>
      </w:r>
      <w:r w:rsidRPr="00413A40">
        <w:rPr>
          <w:lang w:val="fr-CA"/>
        </w:rPr>
        <w:t xml:space="preserve">96; </w:t>
      </w:r>
      <w:r w:rsidR="00E833D6" w:rsidRPr="00413A40">
        <w:rPr>
          <w:i/>
          <w:lang w:val="fr-CA"/>
        </w:rPr>
        <w:t>R. c. Bain</w:t>
      </w:r>
      <w:r w:rsidR="00E833D6" w:rsidRPr="00413A40">
        <w:rPr>
          <w:lang w:val="fr-CA"/>
        </w:rPr>
        <w:t xml:space="preserve">, [1992] 1 R.C.S. 91; </w:t>
      </w:r>
      <w:r w:rsidRPr="00413A40">
        <w:rPr>
          <w:i/>
          <w:lang w:val="fr-CA"/>
        </w:rPr>
        <w:t xml:space="preserve">R. </w:t>
      </w:r>
      <w:r w:rsidR="00970584" w:rsidRPr="00413A40">
        <w:rPr>
          <w:i/>
          <w:lang w:val="fr-CA"/>
        </w:rPr>
        <w:t>c</w:t>
      </w:r>
      <w:r w:rsidRPr="00413A40">
        <w:rPr>
          <w:i/>
          <w:lang w:val="fr-CA"/>
        </w:rPr>
        <w:t>. Skolnick</w:t>
      </w:r>
      <w:r w:rsidRPr="00413A40">
        <w:rPr>
          <w:lang w:val="fr-CA"/>
        </w:rPr>
        <w:t xml:space="preserve">, [1982] 2 </w:t>
      </w:r>
      <w:r w:rsidR="00970584" w:rsidRPr="00413A40">
        <w:rPr>
          <w:lang w:val="fr-CA"/>
        </w:rPr>
        <w:t xml:space="preserve">R.C.S. </w:t>
      </w:r>
      <w:r w:rsidRPr="00413A40">
        <w:rPr>
          <w:lang w:val="fr-CA"/>
        </w:rPr>
        <w:t>47.</w:t>
      </w:r>
    </w:p>
    <w:p w:rsidR="004D7D95" w:rsidRPr="00413A40" w:rsidRDefault="004D7D95" w:rsidP="00A659A4">
      <w:pPr>
        <w:pStyle w:val="SCCNormalDoubleSpacing"/>
        <w:spacing w:after="720" w:line="240" w:lineRule="auto"/>
        <w:rPr>
          <w:b/>
          <w:lang w:val="fr-CA"/>
        </w:rPr>
      </w:pPr>
      <w:r w:rsidRPr="00413A40">
        <w:rPr>
          <w:b/>
          <w:lang w:val="fr-CA"/>
        </w:rPr>
        <w:t>Lois et règlements cités</w:t>
      </w:r>
    </w:p>
    <w:p w:rsidR="004C0B65" w:rsidRPr="00413A40" w:rsidRDefault="004C0B65" w:rsidP="00A659A4">
      <w:pPr>
        <w:pStyle w:val="SCCNormalDoubleSpacing"/>
        <w:spacing w:after="240" w:line="240" w:lineRule="auto"/>
        <w:ind w:left="539" w:hanging="539"/>
        <w:rPr>
          <w:lang w:val="fr-CA"/>
        </w:rPr>
      </w:pPr>
      <w:r w:rsidRPr="00413A40">
        <w:rPr>
          <w:i/>
          <w:lang w:val="fr-CA"/>
        </w:rPr>
        <w:t>Charte canadienne des droits et libertés</w:t>
      </w:r>
      <w:r w:rsidRPr="00413A40">
        <w:rPr>
          <w:lang w:val="fr-CA"/>
        </w:rPr>
        <w:t xml:space="preserve">, </w:t>
      </w:r>
      <w:r w:rsidR="00967A08" w:rsidRPr="00413A40">
        <w:rPr>
          <w:lang w:val="fr-CA"/>
        </w:rPr>
        <w:t>art.</w:t>
      </w:r>
      <w:r w:rsidR="00B029AB">
        <w:rPr>
          <w:lang w:val="fr-CA"/>
        </w:rPr>
        <w:t xml:space="preserve"> </w:t>
      </w:r>
      <w:r w:rsidRPr="00413A40">
        <w:rPr>
          <w:lang w:val="fr-CA"/>
        </w:rPr>
        <w:t>1, 7, 9, 12</w:t>
      </w:r>
      <w:r w:rsidR="005724EB" w:rsidRPr="00413A40">
        <w:rPr>
          <w:lang w:val="fr-CA"/>
        </w:rPr>
        <w:t>, 24(1)</w:t>
      </w:r>
      <w:r w:rsidRPr="00413A40">
        <w:rPr>
          <w:lang w:val="fr-CA"/>
        </w:rPr>
        <w:t>.</w:t>
      </w:r>
    </w:p>
    <w:p w:rsidR="004C0B65" w:rsidRPr="00413A40" w:rsidRDefault="004C0B65" w:rsidP="00A659A4">
      <w:pPr>
        <w:pStyle w:val="SCCNormalDoubleSpacing"/>
        <w:spacing w:after="240" w:line="240" w:lineRule="auto"/>
        <w:ind w:left="539" w:hanging="539"/>
        <w:rPr>
          <w:lang w:val="fr-CA"/>
        </w:rPr>
      </w:pPr>
      <w:r w:rsidRPr="00413A40">
        <w:rPr>
          <w:i/>
          <w:lang w:val="fr-CA"/>
        </w:rPr>
        <w:t>Code criminel</w:t>
      </w:r>
      <w:r w:rsidR="00F33B7E" w:rsidRPr="00413A40">
        <w:rPr>
          <w:lang w:val="fr-CA"/>
        </w:rPr>
        <w:t>, L.R.C. 1985, c.</w:t>
      </w:r>
      <w:r w:rsidR="00B029AB">
        <w:rPr>
          <w:lang w:val="fr-CA"/>
        </w:rPr>
        <w:t xml:space="preserve"> </w:t>
      </w:r>
      <w:r w:rsidRPr="00413A40">
        <w:rPr>
          <w:lang w:val="fr-CA"/>
        </w:rPr>
        <w:t>C</w:t>
      </w:r>
      <w:r w:rsidR="00B029AB">
        <w:rPr>
          <w:lang w:val="fr-CA"/>
        </w:rPr>
        <w:t>-</w:t>
      </w:r>
      <w:r w:rsidRPr="00413A40">
        <w:rPr>
          <w:lang w:val="fr-CA"/>
        </w:rPr>
        <w:t xml:space="preserve">46, </w:t>
      </w:r>
      <w:r w:rsidR="00967A08" w:rsidRPr="00413A40">
        <w:rPr>
          <w:lang w:val="fr-CA"/>
        </w:rPr>
        <w:t>art.</w:t>
      </w:r>
      <w:r w:rsidR="00B029AB">
        <w:rPr>
          <w:lang w:val="fr-CA"/>
        </w:rPr>
        <w:t xml:space="preserve"> </w:t>
      </w:r>
      <w:r w:rsidRPr="00413A40">
        <w:rPr>
          <w:lang w:val="fr-CA"/>
        </w:rPr>
        <w:t>84(1)</w:t>
      </w:r>
      <w:r w:rsidR="0041041E" w:rsidRPr="00413A40">
        <w:rPr>
          <w:lang w:val="fr-CA"/>
        </w:rPr>
        <w:t xml:space="preserve"> </w:t>
      </w:r>
      <w:r w:rsidR="00B029AB">
        <w:rPr>
          <w:lang w:val="fr-CA"/>
        </w:rPr>
        <w:t>« </w:t>
      </w:r>
      <w:r w:rsidR="00F0037B" w:rsidRPr="00413A40">
        <w:rPr>
          <w:lang w:val="fr-CA"/>
        </w:rPr>
        <w:t>arme à feu à autorisation restreinte</w:t>
      </w:r>
      <w:r w:rsidR="00B029AB">
        <w:rPr>
          <w:lang w:val="fr-CA"/>
        </w:rPr>
        <w:t> »</w:t>
      </w:r>
      <w:r w:rsidR="00F0037B" w:rsidRPr="00413A40">
        <w:rPr>
          <w:lang w:val="fr-CA"/>
        </w:rPr>
        <w:t xml:space="preserve">, </w:t>
      </w:r>
      <w:r w:rsidR="00B029AB">
        <w:rPr>
          <w:lang w:val="fr-CA"/>
        </w:rPr>
        <w:t>« </w:t>
      </w:r>
      <w:r w:rsidR="00F0037B" w:rsidRPr="00413A40">
        <w:rPr>
          <w:lang w:val="fr-CA"/>
        </w:rPr>
        <w:t>arme à feu prohibée</w:t>
      </w:r>
      <w:r w:rsidR="00B029AB">
        <w:rPr>
          <w:lang w:val="fr-CA"/>
        </w:rPr>
        <w:t> »</w:t>
      </w:r>
      <w:r w:rsidR="00F0037B" w:rsidRPr="00413A40">
        <w:rPr>
          <w:lang w:val="fr-CA"/>
        </w:rPr>
        <w:t xml:space="preserve">, </w:t>
      </w:r>
      <w:r w:rsidRPr="00413A40">
        <w:rPr>
          <w:lang w:val="fr-CA"/>
        </w:rPr>
        <w:t>(5), (6), 85(2), 95, 108(1)</w:t>
      </w:r>
      <w:r w:rsidRPr="00413A40">
        <w:rPr>
          <w:i/>
          <w:lang w:val="fr-CA"/>
        </w:rPr>
        <w:t>b</w:t>
      </w:r>
      <w:r w:rsidRPr="00413A40">
        <w:rPr>
          <w:lang w:val="fr-CA"/>
        </w:rPr>
        <w:t xml:space="preserve">), 109, 110, 111, 113, 117.01(1), 515(4.1), </w:t>
      </w:r>
      <w:r w:rsidR="00E833D6" w:rsidRPr="00413A40">
        <w:rPr>
          <w:lang w:val="fr-CA"/>
        </w:rPr>
        <w:t xml:space="preserve">579, </w:t>
      </w:r>
      <w:r w:rsidRPr="00413A40">
        <w:rPr>
          <w:lang w:val="fr-CA"/>
        </w:rPr>
        <w:t xml:space="preserve">718, 718.1, </w:t>
      </w:r>
      <w:r w:rsidR="00953136">
        <w:rPr>
          <w:lang w:val="fr-CA"/>
        </w:rPr>
        <w:t xml:space="preserve">718.2, </w:t>
      </w:r>
      <w:r w:rsidRPr="00413A40">
        <w:rPr>
          <w:lang w:val="fr-CA"/>
        </w:rPr>
        <w:t xml:space="preserve">732.1, 742.3, </w:t>
      </w:r>
      <w:r w:rsidR="00E833D6" w:rsidRPr="00413A40">
        <w:rPr>
          <w:lang w:val="fr-CA"/>
        </w:rPr>
        <w:t xml:space="preserve">786(2), </w:t>
      </w:r>
      <w:r w:rsidRPr="00413A40">
        <w:rPr>
          <w:lang w:val="fr-CA"/>
        </w:rPr>
        <w:t>810(3.1).</w:t>
      </w:r>
    </w:p>
    <w:p w:rsidR="00873C62" w:rsidRPr="00413A40" w:rsidRDefault="00873C62" w:rsidP="00A659A4">
      <w:pPr>
        <w:pStyle w:val="SCCNormalDoubleSpacing"/>
        <w:spacing w:after="240" w:line="240" w:lineRule="auto"/>
        <w:ind w:left="539" w:hanging="539"/>
        <w:rPr>
          <w:lang w:val="fr-CA"/>
        </w:rPr>
      </w:pPr>
      <w:r w:rsidRPr="00413A40">
        <w:rPr>
          <w:i/>
          <w:lang w:val="fr-CA"/>
        </w:rPr>
        <w:t>Loi constitutionnelle de 1982</w:t>
      </w:r>
      <w:r w:rsidRPr="00413A40">
        <w:rPr>
          <w:lang w:val="fr-CA"/>
        </w:rPr>
        <w:t xml:space="preserve">, </w:t>
      </w:r>
      <w:r w:rsidR="00967A08" w:rsidRPr="00413A40">
        <w:rPr>
          <w:lang w:val="fr-CA"/>
        </w:rPr>
        <w:t>art.</w:t>
      </w:r>
      <w:r w:rsidR="00B029AB">
        <w:rPr>
          <w:lang w:val="fr-CA"/>
        </w:rPr>
        <w:t xml:space="preserve"> </w:t>
      </w:r>
      <w:r w:rsidRPr="00413A40">
        <w:rPr>
          <w:lang w:val="fr-CA"/>
        </w:rPr>
        <w:t>52.</w:t>
      </w:r>
    </w:p>
    <w:p w:rsidR="005B3FF3" w:rsidRPr="00413A40" w:rsidRDefault="005B3FF3" w:rsidP="00A659A4">
      <w:pPr>
        <w:pStyle w:val="SCCNormalDoubleSpacing"/>
        <w:spacing w:after="240" w:line="240" w:lineRule="auto"/>
        <w:ind w:left="539" w:hanging="539"/>
        <w:rPr>
          <w:lang w:val="fr-CA"/>
        </w:rPr>
      </w:pPr>
      <w:r w:rsidRPr="00413A40">
        <w:rPr>
          <w:i/>
          <w:lang w:val="fr-CA"/>
        </w:rPr>
        <w:t>Loi réglementant certaines drogues et autres substances</w:t>
      </w:r>
      <w:r w:rsidRPr="00413A40">
        <w:rPr>
          <w:lang w:val="fr-CA"/>
        </w:rPr>
        <w:t>, L.C. 1996, c.</w:t>
      </w:r>
      <w:r w:rsidR="00B029AB">
        <w:rPr>
          <w:lang w:val="fr-CA"/>
        </w:rPr>
        <w:t xml:space="preserve"> </w:t>
      </w:r>
      <w:r w:rsidRPr="00413A40">
        <w:rPr>
          <w:lang w:val="fr-CA"/>
        </w:rPr>
        <w:t xml:space="preserve">19, </w:t>
      </w:r>
      <w:r w:rsidR="00967A08" w:rsidRPr="00413A40">
        <w:rPr>
          <w:lang w:val="fr-CA"/>
        </w:rPr>
        <w:t>art.</w:t>
      </w:r>
      <w:r w:rsidR="00B029AB">
        <w:rPr>
          <w:lang w:val="fr-CA"/>
        </w:rPr>
        <w:t xml:space="preserve"> </w:t>
      </w:r>
      <w:r w:rsidRPr="00413A40">
        <w:rPr>
          <w:lang w:val="fr-CA"/>
        </w:rPr>
        <w:t>4(1), 56.</w:t>
      </w:r>
    </w:p>
    <w:p w:rsidR="00873C62" w:rsidRPr="00413A40" w:rsidRDefault="00873C62" w:rsidP="00A659A4">
      <w:pPr>
        <w:pStyle w:val="SCCNormalDoubleSpacing"/>
        <w:spacing w:after="240" w:line="240" w:lineRule="auto"/>
        <w:ind w:left="539" w:hanging="539"/>
        <w:rPr>
          <w:lang w:val="fr-CA"/>
        </w:rPr>
      </w:pPr>
      <w:r w:rsidRPr="00413A40">
        <w:rPr>
          <w:i/>
          <w:lang w:val="fr-CA"/>
        </w:rPr>
        <w:t>Loi sur la lutte contre les crimes violents</w:t>
      </w:r>
      <w:r w:rsidR="00F33B7E" w:rsidRPr="00413A40">
        <w:rPr>
          <w:lang w:val="fr-CA"/>
        </w:rPr>
        <w:t>, L.C. 2008, c.</w:t>
      </w:r>
      <w:r w:rsidR="00B029AB">
        <w:rPr>
          <w:lang w:val="fr-CA"/>
        </w:rPr>
        <w:t xml:space="preserve"> </w:t>
      </w:r>
      <w:r w:rsidRPr="00413A40">
        <w:rPr>
          <w:lang w:val="fr-CA"/>
        </w:rPr>
        <w:t xml:space="preserve">6, </w:t>
      </w:r>
      <w:r w:rsidR="00967A08" w:rsidRPr="00413A40">
        <w:rPr>
          <w:lang w:val="fr-CA"/>
        </w:rPr>
        <w:t>art.</w:t>
      </w:r>
      <w:r w:rsidR="00B029AB">
        <w:rPr>
          <w:lang w:val="fr-CA"/>
        </w:rPr>
        <w:t xml:space="preserve"> </w:t>
      </w:r>
      <w:r w:rsidRPr="00413A40">
        <w:rPr>
          <w:lang w:val="fr-CA"/>
        </w:rPr>
        <w:t>8.</w:t>
      </w:r>
    </w:p>
    <w:p w:rsidR="004C0B65" w:rsidRPr="00413A40" w:rsidRDefault="004C0B65" w:rsidP="00A659A4">
      <w:pPr>
        <w:pStyle w:val="SCCNormalDoubleSpacing"/>
        <w:spacing w:after="240" w:line="240" w:lineRule="auto"/>
        <w:ind w:left="539" w:hanging="539"/>
        <w:rPr>
          <w:lang w:val="fr-CA"/>
        </w:rPr>
      </w:pPr>
      <w:r w:rsidRPr="00413A40">
        <w:rPr>
          <w:i/>
          <w:lang w:val="fr-CA"/>
        </w:rPr>
        <w:t>Loi sur les armes à feu</w:t>
      </w:r>
      <w:r w:rsidR="00F33B7E" w:rsidRPr="00413A40">
        <w:rPr>
          <w:lang w:val="fr-CA"/>
        </w:rPr>
        <w:t>, L.C. 1995, c.</w:t>
      </w:r>
      <w:r w:rsidR="00B029AB">
        <w:rPr>
          <w:lang w:val="fr-CA"/>
        </w:rPr>
        <w:t xml:space="preserve"> </w:t>
      </w:r>
      <w:r w:rsidRPr="00413A40">
        <w:rPr>
          <w:lang w:val="fr-CA"/>
        </w:rPr>
        <w:t xml:space="preserve">39, </w:t>
      </w:r>
      <w:r w:rsidR="00967A08" w:rsidRPr="00413A40">
        <w:rPr>
          <w:lang w:val="fr-CA"/>
        </w:rPr>
        <w:t>art.</w:t>
      </w:r>
      <w:r w:rsidR="00B029AB">
        <w:rPr>
          <w:lang w:val="fr-CA"/>
        </w:rPr>
        <w:t xml:space="preserve"> </w:t>
      </w:r>
      <w:r w:rsidRPr="00413A40">
        <w:rPr>
          <w:lang w:val="fr-CA"/>
        </w:rPr>
        <w:t>5, 7(2), 12, 12.1, 17, 19.</w:t>
      </w:r>
    </w:p>
    <w:p w:rsidR="004C0B65" w:rsidRPr="00413A40" w:rsidRDefault="00873C62" w:rsidP="00A659A4">
      <w:pPr>
        <w:pStyle w:val="SCCNormalDoubleSpacing"/>
        <w:spacing w:after="720" w:line="240" w:lineRule="auto"/>
        <w:ind w:left="539" w:hanging="539"/>
        <w:rPr>
          <w:lang w:val="fr-CA"/>
        </w:rPr>
      </w:pPr>
      <w:r w:rsidRPr="00413A40">
        <w:rPr>
          <w:i/>
          <w:lang w:val="fr-CA"/>
        </w:rPr>
        <w:t>Règlement sur l</w:t>
      </w:r>
      <w:r w:rsidR="002D6B80">
        <w:rPr>
          <w:i/>
          <w:lang w:val="fr-CA"/>
        </w:rPr>
        <w:t>’</w:t>
      </w:r>
      <w:r w:rsidRPr="00413A40">
        <w:rPr>
          <w:i/>
          <w:lang w:val="fr-CA"/>
        </w:rPr>
        <w:t>entreposage, l</w:t>
      </w:r>
      <w:r w:rsidR="002D6B80">
        <w:rPr>
          <w:i/>
          <w:lang w:val="fr-CA"/>
        </w:rPr>
        <w:t>’</w:t>
      </w:r>
      <w:r w:rsidRPr="00413A40">
        <w:rPr>
          <w:i/>
          <w:lang w:val="fr-CA"/>
        </w:rPr>
        <w:t>exposition, le transport et le maniement des armes à feu par des particuliers</w:t>
      </w:r>
      <w:r w:rsidR="004C0B65" w:rsidRPr="00413A40">
        <w:rPr>
          <w:lang w:val="fr-CA"/>
        </w:rPr>
        <w:t xml:space="preserve">, </w:t>
      </w:r>
      <w:r w:rsidRPr="00413A40">
        <w:rPr>
          <w:lang w:val="fr-CA"/>
        </w:rPr>
        <w:t>D</w:t>
      </w:r>
      <w:r w:rsidR="004C0B65" w:rsidRPr="00413A40">
        <w:rPr>
          <w:lang w:val="fr-CA"/>
        </w:rPr>
        <w:t>OR</w:t>
      </w:r>
      <w:r w:rsidRPr="00413A40">
        <w:rPr>
          <w:lang w:val="fr-CA"/>
        </w:rPr>
        <w:t>S</w:t>
      </w:r>
      <w:r w:rsidR="004C0B65" w:rsidRPr="00413A40">
        <w:rPr>
          <w:lang w:val="fr-CA"/>
        </w:rPr>
        <w:t>/98</w:t>
      </w:r>
      <w:r w:rsidR="00B029AB">
        <w:rPr>
          <w:lang w:val="fr-CA"/>
        </w:rPr>
        <w:t>-</w:t>
      </w:r>
      <w:r w:rsidR="004C0B65" w:rsidRPr="00413A40">
        <w:rPr>
          <w:lang w:val="fr-CA"/>
        </w:rPr>
        <w:t xml:space="preserve">209, </w:t>
      </w:r>
      <w:r w:rsidR="00967A08" w:rsidRPr="00413A40">
        <w:rPr>
          <w:lang w:val="fr-CA"/>
        </w:rPr>
        <w:t>art.</w:t>
      </w:r>
      <w:r w:rsidR="00B029AB">
        <w:rPr>
          <w:lang w:val="fr-CA"/>
        </w:rPr>
        <w:t xml:space="preserve"> </w:t>
      </w:r>
      <w:r w:rsidR="004C0B65" w:rsidRPr="00413A40">
        <w:rPr>
          <w:lang w:val="fr-CA"/>
        </w:rPr>
        <w:t>6, 7, 15.</w:t>
      </w:r>
    </w:p>
    <w:p w:rsidR="004D7D95" w:rsidRPr="00413A40" w:rsidRDefault="004D7D95" w:rsidP="00A659A4">
      <w:pPr>
        <w:pStyle w:val="SCCNormalDoubleSpacing"/>
        <w:spacing w:after="720" w:line="240" w:lineRule="auto"/>
        <w:rPr>
          <w:b/>
          <w:lang w:val="fr-CA"/>
        </w:rPr>
      </w:pPr>
      <w:r w:rsidRPr="00413A40">
        <w:rPr>
          <w:b/>
          <w:lang w:val="fr-CA"/>
        </w:rPr>
        <w:lastRenderedPageBreak/>
        <w:t>Doctrine et autres documents cités</w:t>
      </w:r>
    </w:p>
    <w:p w:rsidR="000C5322" w:rsidRPr="00413A40" w:rsidRDefault="000C5322" w:rsidP="00A659A4">
      <w:pPr>
        <w:pStyle w:val="SCCNormalDoubleSpacing"/>
        <w:spacing w:after="240" w:line="240" w:lineRule="auto"/>
        <w:ind w:left="547" w:hanging="547"/>
        <w:rPr>
          <w:lang w:val="fr-CA"/>
        </w:rPr>
      </w:pPr>
      <w:r w:rsidRPr="00413A40">
        <w:rPr>
          <w:lang w:val="fr-CA"/>
        </w:rPr>
        <w:t xml:space="preserve">Canada. Chambre des communes. Comité permanent de la justice et des droits de la personne. </w:t>
      </w:r>
      <w:r w:rsidRPr="00413A40">
        <w:rPr>
          <w:i/>
          <w:lang w:val="fr-CA"/>
        </w:rPr>
        <w:t>Témoigna</w:t>
      </w:r>
      <w:r w:rsidR="00C83BD1" w:rsidRPr="00413A40">
        <w:rPr>
          <w:i/>
          <w:lang w:val="fr-CA"/>
        </w:rPr>
        <w:t>ges</w:t>
      </w:r>
      <w:r w:rsidRPr="00413A40">
        <w:rPr>
          <w:lang w:val="fr-CA"/>
        </w:rPr>
        <w:t xml:space="preserve">, </w:t>
      </w:r>
      <w:r w:rsidR="00C83BD1" w:rsidRPr="00413A40">
        <w:rPr>
          <w:lang w:val="fr-CA"/>
        </w:rPr>
        <w:t>n</w:t>
      </w:r>
      <w:r w:rsidR="00C83BD1" w:rsidRPr="00413A40">
        <w:rPr>
          <w:vertAlign w:val="superscript"/>
          <w:lang w:val="fr-CA"/>
        </w:rPr>
        <w:t>o</w:t>
      </w:r>
      <w:r w:rsidR="00B029AB">
        <w:rPr>
          <w:lang w:val="fr-CA"/>
        </w:rPr>
        <w:t xml:space="preserve"> </w:t>
      </w:r>
      <w:r w:rsidR="00C83BD1" w:rsidRPr="00413A40">
        <w:rPr>
          <w:lang w:val="fr-CA"/>
        </w:rPr>
        <w:t>30, 1</w:t>
      </w:r>
      <w:r w:rsidR="00C83BD1" w:rsidRPr="00413A40">
        <w:rPr>
          <w:vertAlign w:val="superscript"/>
          <w:lang w:val="fr-CA"/>
        </w:rPr>
        <w:t>re</w:t>
      </w:r>
      <w:r w:rsidR="00C83BD1" w:rsidRPr="00413A40">
        <w:rPr>
          <w:lang w:val="fr-CA"/>
        </w:rPr>
        <w:t xml:space="preserve"> sess., 39</w:t>
      </w:r>
      <w:r w:rsidR="00C83BD1" w:rsidRPr="00413A40">
        <w:rPr>
          <w:vertAlign w:val="superscript"/>
          <w:lang w:val="fr-CA"/>
        </w:rPr>
        <w:t>e</w:t>
      </w:r>
      <w:r w:rsidR="00C83BD1" w:rsidRPr="00413A40">
        <w:rPr>
          <w:lang w:val="fr-CA"/>
        </w:rPr>
        <w:t xml:space="preserve"> lég., </w:t>
      </w:r>
      <w:r w:rsidR="00967A08" w:rsidRPr="00413A40">
        <w:rPr>
          <w:lang w:val="fr-CA"/>
        </w:rPr>
        <w:t>7</w:t>
      </w:r>
      <w:r w:rsidR="00B029AB">
        <w:rPr>
          <w:lang w:val="fr-CA"/>
        </w:rPr>
        <w:t xml:space="preserve"> </w:t>
      </w:r>
      <w:r w:rsidR="00C83BD1" w:rsidRPr="00413A40">
        <w:rPr>
          <w:lang w:val="fr-CA"/>
        </w:rPr>
        <w:t>novembre</w:t>
      </w:r>
      <w:r w:rsidRPr="00413A40">
        <w:rPr>
          <w:lang w:val="fr-CA"/>
        </w:rPr>
        <w:t xml:space="preserve"> 2006, </w:t>
      </w:r>
      <w:r w:rsidR="00967A08" w:rsidRPr="00413A40">
        <w:rPr>
          <w:lang w:val="fr-CA"/>
        </w:rPr>
        <w:t>p.</w:t>
      </w:r>
      <w:r w:rsidR="00B029AB">
        <w:rPr>
          <w:lang w:val="fr-CA"/>
        </w:rPr>
        <w:t xml:space="preserve"> </w:t>
      </w:r>
      <w:r w:rsidRPr="00413A40">
        <w:rPr>
          <w:lang w:val="fr-CA"/>
        </w:rPr>
        <w:t>1.</w:t>
      </w:r>
    </w:p>
    <w:p w:rsidR="000C5322" w:rsidRPr="00413A40" w:rsidRDefault="000C5322" w:rsidP="00A659A4">
      <w:pPr>
        <w:pStyle w:val="SCCNormalDoubleSpacing"/>
        <w:spacing w:after="240" w:line="240" w:lineRule="auto"/>
        <w:ind w:left="547" w:hanging="547"/>
        <w:rPr>
          <w:lang w:val="fr-CA"/>
        </w:rPr>
      </w:pPr>
      <w:r w:rsidRPr="00413A40">
        <w:rPr>
          <w:lang w:val="fr-CA"/>
        </w:rPr>
        <w:t xml:space="preserve">Canada. Chambre des communes. </w:t>
      </w:r>
      <w:r w:rsidR="00C83BD1" w:rsidRPr="00413A40">
        <w:rPr>
          <w:lang w:val="fr-CA"/>
        </w:rPr>
        <w:t xml:space="preserve">Comité permanent de la justice et des droits de la personne. </w:t>
      </w:r>
      <w:r w:rsidR="00C83BD1" w:rsidRPr="00413A40">
        <w:rPr>
          <w:i/>
          <w:lang w:val="fr-CA"/>
        </w:rPr>
        <w:t>Témoignages</w:t>
      </w:r>
      <w:r w:rsidR="00C83BD1" w:rsidRPr="00413A40">
        <w:rPr>
          <w:lang w:val="fr-CA"/>
        </w:rPr>
        <w:t>, n</w:t>
      </w:r>
      <w:r w:rsidR="00C83BD1" w:rsidRPr="00413A40">
        <w:rPr>
          <w:vertAlign w:val="superscript"/>
          <w:lang w:val="fr-CA"/>
        </w:rPr>
        <w:t>o</w:t>
      </w:r>
      <w:r w:rsidR="00B029AB">
        <w:rPr>
          <w:lang w:val="fr-CA"/>
        </w:rPr>
        <w:t xml:space="preserve"> </w:t>
      </w:r>
      <w:r w:rsidR="00C83BD1" w:rsidRPr="00413A40">
        <w:rPr>
          <w:lang w:val="fr-CA"/>
        </w:rPr>
        <w:t>34, 1</w:t>
      </w:r>
      <w:r w:rsidR="00C83BD1" w:rsidRPr="00413A40">
        <w:rPr>
          <w:vertAlign w:val="superscript"/>
          <w:lang w:val="fr-CA"/>
        </w:rPr>
        <w:t>re</w:t>
      </w:r>
      <w:r w:rsidR="00C83BD1" w:rsidRPr="00413A40">
        <w:rPr>
          <w:lang w:val="fr-CA"/>
        </w:rPr>
        <w:t xml:space="preserve"> sess., 39</w:t>
      </w:r>
      <w:r w:rsidR="00C83BD1" w:rsidRPr="00413A40">
        <w:rPr>
          <w:vertAlign w:val="superscript"/>
          <w:lang w:val="fr-CA"/>
        </w:rPr>
        <w:t>e</w:t>
      </w:r>
      <w:r w:rsidR="00C83BD1" w:rsidRPr="00413A40">
        <w:rPr>
          <w:lang w:val="fr-CA"/>
        </w:rPr>
        <w:t xml:space="preserve"> lég., </w:t>
      </w:r>
      <w:r w:rsidR="00967A08" w:rsidRPr="00413A40">
        <w:rPr>
          <w:lang w:val="fr-CA"/>
        </w:rPr>
        <w:t>23</w:t>
      </w:r>
      <w:r w:rsidR="00B029AB">
        <w:rPr>
          <w:lang w:val="fr-CA"/>
        </w:rPr>
        <w:t xml:space="preserve"> </w:t>
      </w:r>
      <w:r w:rsidR="00C83BD1" w:rsidRPr="00413A40">
        <w:rPr>
          <w:lang w:val="fr-CA"/>
        </w:rPr>
        <w:t>novembre</w:t>
      </w:r>
      <w:r w:rsidRPr="00413A40">
        <w:rPr>
          <w:lang w:val="fr-CA"/>
        </w:rPr>
        <w:t xml:space="preserve"> 2006, </w:t>
      </w:r>
      <w:r w:rsidR="00967A08" w:rsidRPr="00413A40">
        <w:rPr>
          <w:lang w:val="fr-CA"/>
        </w:rPr>
        <w:t>p.</w:t>
      </w:r>
      <w:r w:rsidR="00B029AB">
        <w:rPr>
          <w:lang w:val="fr-CA"/>
        </w:rPr>
        <w:t xml:space="preserve"> </w:t>
      </w:r>
      <w:r w:rsidRPr="00413A40">
        <w:rPr>
          <w:lang w:val="fr-CA"/>
        </w:rPr>
        <w:t>1</w:t>
      </w:r>
      <w:r w:rsidR="00B81542" w:rsidRPr="00413A40">
        <w:rPr>
          <w:lang w:val="fr-CA"/>
        </w:rPr>
        <w:t>, 3</w:t>
      </w:r>
      <w:r w:rsidR="00B029AB">
        <w:rPr>
          <w:lang w:val="fr-CA"/>
        </w:rPr>
        <w:t>-</w:t>
      </w:r>
      <w:r w:rsidR="00B81542" w:rsidRPr="00413A40">
        <w:rPr>
          <w:lang w:val="fr-CA"/>
        </w:rPr>
        <w:t>4</w:t>
      </w:r>
      <w:r w:rsidR="00591F0C" w:rsidRPr="00413A40">
        <w:rPr>
          <w:lang w:val="fr-CA"/>
        </w:rPr>
        <w:t xml:space="preserve"> et </w:t>
      </w:r>
      <w:r w:rsidRPr="00413A40">
        <w:rPr>
          <w:lang w:val="fr-CA"/>
        </w:rPr>
        <w:t>8.</w:t>
      </w:r>
    </w:p>
    <w:p w:rsidR="00951068" w:rsidRPr="00413A40" w:rsidRDefault="00951068" w:rsidP="00A659A4">
      <w:pPr>
        <w:pStyle w:val="SCCNormalDoubleSpacing"/>
        <w:spacing w:after="240" w:line="240" w:lineRule="auto"/>
        <w:ind w:left="547" w:hanging="547"/>
        <w:rPr>
          <w:lang w:val="fr-CA"/>
        </w:rPr>
      </w:pPr>
      <w:r w:rsidRPr="00413A40">
        <w:rPr>
          <w:lang w:val="fr-CA"/>
        </w:rPr>
        <w:t xml:space="preserve">Canada. Chambre des communes. </w:t>
      </w:r>
      <w:r w:rsidRPr="00413A40">
        <w:rPr>
          <w:i/>
          <w:lang w:val="fr-CA"/>
        </w:rPr>
        <w:t>Débats de la Chambre des communes</w:t>
      </w:r>
      <w:r w:rsidRPr="00413A40">
        <w:rPr>
          <w:lang w:val="fr-CA"/>
        </w:rPr>
        <w:t xml:space="preserve">, </w:t>
      </w:r>
      <w:r w:rsidR="00967A08" w:rsidRPr="00413A40">
        <w:rPr>
          <w:lang w:val="fr-CA"/>
        </w:rPr>
        <w:t>vol.</w:t>
      </w:r>
      <w:r w:rsidR="00B029AB">
        <w:rPr>
          <w:lang w:val="fr-CA"/>
        </w:rPr>
        <w:t xml:space="preserve"> </w:t>
      </w:r>
      <w:r w:rsidRPr="00413A40">
        <w:rPr>
          <w:lang w:val="fr-CA"/>
        </w:rPr>
        <w:t>141, n</w:t>
      </w:r>
      <w:r w:rsidRPr="00413A40">
        <w:rPr>
          <w:vertAlign w:val="superscript"/>
          <w:lang w:val="fr-CA"/>
        </w:rPr>
        <w:t>o</w:t>
      </w:r>
      <w:r w:rsidR="00B029AB">
        <w:rPr>
          <w:lang w:val="fr-CA"/>
        </w:rPr>
        <w:t xml:space="preserve"> </w:t>
      </w:r>
      <w:r w:rsidRPr="00413A40">
        <w:rPr>
          <w:lang w:val="fr-CA"/>
        </w:rPr>
        <w:t>33, 1</w:t>
      </w:r>
      <w:r w:rsidRPr="00413A40">
        <w:rPr>
          <w:vertAlign w:val="superscript"/>
          <w:lang w:val="fr-CA"/>
        </w:rPr>
        <w:t>re</w:t>
      </w:r>
      <w:r w:rsidRPr="00413A40">
        <w:rPr>
          <w:lang w:val="fr-CA"/>
        </w:rPr>
        <w:t xml:space="preserve"> sess., 39</w:t>
      </w:r>
      <w:r w:rsidRPr="00413A40">
        <w:rPr>
          <w:vertAlign w:val="superscript"/>
          <w:lang w:val="fr-CA"/>
        </w:rPr>
        <w:t>e</w:t>
      </w:r>
      <w:r w:rsidRPr="00413A40">
        <w:rPr>
          <w:lang w:val="fr-CA"/>
        </w:rPr>
        <w:t xml:space="preserve"> lég., </w:t>
      </w:r>
      <w:r w:rsidR="00967A08" w:rsidRPr="00413A40">
        <w:rPr>
          <w:lang w:val="fr-CA"/>
        </w:rPr>
        <w:t>5</w:t>
      </w:r>
      <w:r w:rsidR="00B029AB">
        <w:rPr>
          <w:lang w:val="fr-CA"/>
        </w:rPr>
        <w:t xml:space="preserve"> </w:t>
      </w:r>
      <w:r w:rsidRPr="00413A40">
        <w:rPr>
          <w:lang w:val="fr-CA"/>
        </w:rPr>
        <w:t xml:space="preserve">juin 2006, </w:t>
      </w:r>
      <w:r w:rsidR="00967A08" w:rsidRPr="00413A40">
        <w:rPr>
          <w:lang w:val="fr-CA"/>
        </w:rPr>
        <w:t>p.</w:t>
      </w:r>
      <w:r w:rsidR="00B029AB">
        <w:rPr>
          <w:lang w:val="fr-CA"/>
        </w:rPr>
        <w:t xml:space="preserve"> </w:t>
      </w:r>
      <w:r w:rsidRPr="00413A40">
        <w:rPr>
          <w:lang w:val="fr-CA"/>
        </w:rPr>
        <w:t>1941</w:t>
      </w:r>
      <w:r w:rsidR="00591F0C" w:rsidRPr="00413A40">
        <w:rPr>
          <w:lang w:val="fr-CA"/>
        </w:rPr>
        <w:t xml:space="preserve"> et 1943</w:t>
      </w:r>
      <w:r w:rsidRPr="00413A40">
        <w:rPr>
          <w:lang w:val="fr-CA"/>
        </w:rPr>
        <w:t>.</w:t>
      </w:r>
    </w:p>
    <w:p w:rsidR="004D7D95" w:rsidRPr="00413A40" w:rsidRDefault="004C0B65" w:rsidP="00A659A4">
      <w:pPr>
        <w:pStyle w:val="SCCNormalDoubleSpacing"/>
        <w:spacing w:after="240" w:line="240" w:lineRule="auto"/>
        <w:ind w:left="539" w:hanging="539"/>
        <w:rPr>
          <w:lang w:val="fr-CA"/>
        </w:rPr>
      </w:pPr>
      <w:r w:rsidRPr="00413A40">
        <w:rPr>
          <w:lang w:val="fr-CA"/>
        </w:rPr>
        <w:t xml:space="preserve">Canada. Commission canadienne sur la détermination de la peine. </w:t>
      </w:r>
      <w:r w:rsidRPr="00413A40">
        <w:rPr>
          <w:i/>
          <w:lang w:val="fr-CA"/>
        </w:rPr>
        <w:t>Réformer la sentence</w:t>
      </w:r>
      <w:r w:rsidR="00B029AB">
        <w:rPr>
          <w:i/>
          <w:lang w:val="fr-CA"/>
        </w:rPr>
        <w:t> :</w:t>
      </w:r>
      <w:r w:rsidRPr="00413A40">
        <w:rPr>
          <w:i/>
          <w:lang w:val="fr-CA"/>
        </w:rPr>
        <w:t xml:space="preserve"> une approche canadienne — Rapport de la Commission canadienne sur la détermination de la peine</w:t>
      </w:r>
      <w:r w:rsidRPr="00413A40">
        <w:rPr>
          <w:lang w:val="fr-CA"/>
        </w:rPr>
        <w:t>, Ottawa, La Commission, 1987.</w:t>
      </w:r>
    </w:p>
    <w:p w:rsidR="001339F2" w:rsidRPr="00413A40" w:rsidRDefault="001339F2" w:rsidP="00A659A4">
      <w:pPr>
        <w:pStyle w:val="SCCNormalDoubleSpacing"/>
        <w:spacing w:after="240" w:line="240" w:lineRule="auto"/>
        <w:ind w:left="539" w:hanging="539"/>
      </w:pPr>
      <w:r w:rsidRPr="00413A40">
        <w:t>Doob, Anthony</w:t>
      </w:r>
      <w:r w:rsidR="00B029AB">
        <w:t xml:space="preserve"> </w:t>
      </w:r>
      <w:r w:rsidRPr="00413A40">
        <w:t xml:space="preserve">N., and Carla Cesaroni. </w:t>
      </w:r>
      <w:r w:rsidR="00B029AB">
        <w:t>« </w:t>
      </w:r>
      <w:r w:rsidRPr="00413A40">
        <w:t>The Political Attractiveness of Mandatory Minimum Sentences</w:t>
      </w:r>
      <w:r w:rsidR="00B029AB">
        <w:t> »</w:t>
      </w:r>
      <w:r w:rsidRPr="00413A40">
        <w:t xml:space="preserve"> (2001), 39 </w:t>
      </w:r>
      <w:r w:rsidRPr="00413A40">
        <w:rPr>
          <w:i/>
        </w:rPr>
        <w:t>Osgoode Hall L.J.</w:t>
      </w:r>
      <w:r w:rsidRPr="00413A40">
        <w:t xml:space="preserve"> 287.</w:t>
      </w:r>
    </w:p>
    <w:p w:rsidR="00E10832" w:rsidRPr="00413A40" w:rsidRDefault="00E10832" w:rsidP="00A659A4">
      <w:pPr>
        <w:pStyle w:val="SCCNormalDoubleSpacing"/>
        <w:spacing w:after="240" w:line="240" w:lineRule="auto"/>
        <w:ind w:left="539" w:hanging="539"/>
      </w:pPr>
      <w:r w:rsidRPr="00413A40">
        <w:t>Doob, Anthony</w:t>
      </w:r>
      <w:r w:rsidR="00B029AB">
        <w:t xml:space="preserve"> </w:t>
      </w:r>
      <w:r w:rsidRPr="00413A40">
        <w:t xml:space="preserve">N., and Cheryl Marie Webster. </w:t>
      </w:r>
      <w:r w:rsidR="00B029AB">
        <w:t>« </w:t>
      </w:r>
      <w:r w:rsidRPr="00413A40">
        <w:t>Sentence Severity and Crime</w:t>
      </w:r>
      <w:r w:rsidR="00B029AB">
        <w:t> :</w:t>
      </w:r>
      <w:r w:rsidRPr="00413A40">
        <w:t xml:space="preserve"> Accepting the Null Hypothesis</w:t>
      </w:r>
      <w:r w:rsidR="00B029AB">
        <w:t> »</w:t>
      </w:r>
      <w:r w:rsidRPr="00413A40">
        <w:t xml:space="preserve"> (2003), 30 </w:t>
      </w:r>
      <w:r w:rsidRPr="00413A40">
        <w:rPr>
          <w:i/>
        </w:rPr>
        <w:t>Crime &amp; Just.</w:t>
      </w:r>
      <w:r w:rsidRPr="00413A40">
        <w:t xml:space="preserve"> 143.</w:t>
      </w:r>
    </w:p>
    <w:p w:rsidR="001207FA" w:rsidRPr="00413A40" w:rsidRDefault="001207FA" w:rsidP="00A659A4">
      <w:pPr>
        <w:pStyle w:val="SCCNormalDoubleSpacing"/>
        <w:spacing w:after="240" w:line="240" w:lineRule="auto"/>
        <w:ind w:left="547" w:hanging="547"/>
      </w:pPr>
      <w:r w:rsidRPr="00413A40">
        <w:t>Pomerance, Renee</w:t>
      </w:r>
      <w:r w:rsidR="00B029AB">
        <w:t xml:space="preserve"> </w:t>
      </w:r>
      <w:r w:rsidRPr="00413A40">
        <w:t xml:space="preserve">M. </w:t>
      </w:r>
      <w:r w:rsidR="00B029AB">
        <w:t>« </w:t>
      </w:r>
      <w:r w:rsidRPr="00413A40">
        <w:t>The New Approach to Sentencing in Canada</w:t>
      </w:r>
      <w:r w:rsidR="00B029AB">
        <w:t> :</w:t>
      </w:r>
      <w:r w:rsidRPr="00413A40">
        <w:t xml:space="preserve"> Reflections of a Trial Judge</w:t>
      </w:r>
      <w:r w:rsidR="00B029AB">
        <w:t> »</w:t>
      </w:r>
      <w:r w:rsidRPr="00413A40">
        <w:t xml:space="preserve"> (2013), 17 </w:t>
      </w:r>
      <w:r w:rsidRPr="00413A40">
        <w:rPr>
          <w:i/>
        </w:rPr>
        <w:t>Rev. can. D.</w:t>
      </w:r>
      <w:r w:rsidR="00967A08" w:rsidRPr="00413A40">
        <w:rPr>
          <w:i/>
        </w:rPr>
        <w:t>P.</w:t>
      </w:r>
      <w:r w:rsidR="00B029AB">
        <w:rPr>
          <w:i/>
        </w:rPr>
        <w:t xml:space="preserve"> </w:t>
      </w:r>
      <w:r w:rsidRPr="00413A40">
        <w:t>305.</w:t>
      </w:r>
    </w:p>
    <w:p w:rsidR="00E10832" w:rsidRPr="00413A40" w:rsidRDefault="00E10832" w:rsidP="00A659A4">
      <w:pPr>
        <w:pStyle w:val="SCCNormalDoubleSpacing"/>
        <w:spacing w:after="720" w:line="240" w:lineRule="auto"/>
        <w:ind w:left="539" w:hanging="539"/>
      </w:pPr>
      <w:r w:rsidRPr="00413A40">
        <w:t xml:space="preserve">Tonry, Michael. </w:t>
      </w:r>
      <w:r w:rsidR="00B029AB">
        <w:t>« </w:t>
      </w:r>
      <w:r w:rsidRPr="00413A40">
        <w:t>The Mostly Unintended Effects of Mandatory Penalties</w:t>
      </w:r>
      <w:r w:rsidR="00B029AB">
        <w:t> :</w:t>
      </w:r>
      <w:r w:rsidRPr="00413A40">
        <w:t xml:space="preserve"> Two Centuries of Consistent Findings</w:t>
      </w:r>
      <w:r w:rsidR="00B029AB">
        <w:t> »</w:t>
      </w:r>
      <w:r w:rsidRPr="00413A40">
        <w:t xml:space="preserve"> (2009), 38 </w:t>
      </w:r>
      <w:r w:rsidRPr="00413A40">
        <w:rPr>
          <w:i/>
        </w:rPr>
        <w:t>Crime &amp; Just.</w:t>
      </w:r>
      <w:r w:rsidRPr="00413A40">
        <w:t xml:space="preserve"> 65.</w:t>
      </w:r>
    </w:p>
    <w:p w:rsidR="007A0463" w:rsidRPr="00413A40" w:rsidRDefault="004D7D95" w:rsidP="00A659A4">
      <w:pPr>
        <w:pStyle w:val="SCCNormalDoubleSpacing"/>
        <w:spacing w:after="480"/>
        <w:rPr>
          <w:lang w:val="fr-CA"/>
        </w:rPr>
      </w:pPr>
      <w:r w:rsidRPr="00413A40">
        <w:rPr>
          <w:lang w:val="en-US"/>
        </w:rPr>
        <w:tab/>
      </w:r>
      <w:r w:rsidRPr="00413A40">
        <w:rPr>
          <w:lang w:val="fr-CA"/>
        </w:rPr>
        <w:t>POURVOI contre un arrêt de la Cour d</w:t>
      </w:r>
      <w:r w:rsidR="002D6B80">
        <w:rPr>
          <w:lang w:val="fr-CA"/>
        </w:rPr>
        <w:t>’</w:t>
      </w:r>
      <w:r w:rsidRPr="00413A40">
        <w:rPr>
          <w:lang w:val="fr-CA"/>
        </w:rPr>
        <w:t>appel de l</w:t>
      </w:r>
      <w:r w:rsidR="002D6B80">
        <w:rPr>
          <w:lang w:val="fr-CA"/>
        </w:rPr>
        <w:t>’</w:t>
      </w:r>
      <w:r w:rsidRPr="00413A40">
        <w:rPr>
          <w:lang w:val="fr-CA"/>
        </w:rPr>
        <w:t>Ontario</w:t>
      </w:r>
      <w:r w:rsidR="007A0463" w:rsidRPr="00413A40">
        <w:rPr>
          <w:lang w:val="fr-CA"/>
        </w:rPr>
        <w:t xml:space="preserve"> (les juges Doherty, Goudge, Cronk, Blair et Tulloch), 2013 ONCA 677, 117 O.R. (3d) 401, 311 O.A.C. 244, 303 C.C.C. (3d) 474, 296 C.R.R. (2d) 21, 5 C.R. (7th) 292, [2013] O.J. </w:t>
      </w:r>
      <w:r w:rsidR="00967A08" w:rsidRPr="00413A40">
        <w:rPr>
          <w:lang w:val="fr-CA"/>
        </w:rPr>
        <w:t>No.</w:t>
      </w:r>
      <w:r w:rsidR="00B029AB">
        <w:rPr>
          <w:lang w:val="fr-CA"/>
        </w:rPr>
        <w:t xml:space="preserve"> </w:t>
      </w:r>
      <w:r w:rsidR="007A0463" w:rsidRPr="00413A40">
        <w:rPr>
          <w:lang w:val="fr-CA"/>
        </w:rPr>
        <w:t>5120 (QL), 2013 CarswellOnt 15898</w:t>
      </w:r>
      <w:r w:rsidR="00455E5B" w:rsidRPr="00413A40">
        <w:rPr>
          <w:lang w:val="fr-CA"/>
        </w:rPr>
        <w:t xml:space="preserve"> (WL Can.)</w:t>
      </w:r>
      <w:r w:rsidR="007A0463" w:rsidRPr="00413A40">
        <w:rPr>
          <w:lang w:val="fr-CA"/>
        </w:rPr>
        <w:t xml:space="preserve">, </w:t>
      </w:r>
      <w:r w:rsidR="00EF39CA" w:rsidRPr="00413A40">
        <w:rPr>
          <w:lang w:val="fr-CA"/>
        </w:rPr>
        <w:t>qui a confirmé une décision du juge Code relative à la détermination de la peine</w:t>
      </w:r>
      <w:r w:rsidR="007A0463" w:rsidRPr="00413A40">
        <w:rPr>
          <w:lang w:val="fr-CA"/>
        </w:rPr>
        <w:t xml:space="preserve">, 2011 ONSC 4874, </w:t>
      </w:r>
      <w:r w:rsidR="006871BE" w:rsidRPr="00413A40">
        <w:rPr>
          <w:lang w:val="fr-CA"/>
        </w:rPr>
        <w:t xml:space="preserve">241 C.R.R. (2d) 306, </w:t>
      </w:r>
      <w:r w:rsidR="007A0463" w:rsidRPr="00413A40">
        <w:rPr>
          <w:lang w:val="fr-CA"/>
        </w:rPr>
        <w:t xml:space="preserve">275 C.C.C. (3d) 330, </w:t>
      </w:r>
      <w:r w:rsidR="00293638" w:rsidRPr="00413A40">
        <w:rPr>
          <w:lang w:val="fr-CA"/>
        </w:rPr>
        <w:t xml:space="preserve">[2011] O.J. </w:t>
      </w:r>
      <w:r w:rsidR="00967A08" w:rsidRPr="00413A40">
        <w:rPr>
          <w:lang w:val="fr-CA"/>
        </w:rPr>
        <w:t>No.</w:t>
      </w:r>
      <w:r w:rsidR="00B029AB">
        <w:rPr>
          <w:lang w:val="fr-CA"/>
        </w:rPr>
        <w:t xml:space="preserve"> </w:t>
      </w:r>
      <w:r w:rsidR="00293638" w:rsidRPr="00413A40">
        <w:rPr>
          <w:lang w:val="fr-CA"/>
        </w:rPr>
        <w:t>3878 (QL)</w:t>
      </w:r>
      <w:r w:rsidR="007A0463" w:rsidRPr="00413A40">
        <w:rPr>
          <w:lang w:val="fr-CA"/>
        </w:rPr>
        <w:t>, 2011 CarswellOnt 8821</w:t>
      </w:r>
      <w:r w:rsidR="00455E5B" w:rsidRPr="00413A40">
        <w:rPr>
          <w:lang w:val="fr-CA"/>
        </w:rPr>
        <w:t xml:space="preserve"> (WL Can.). </w:t>
      </w:r>
      <w:r w:rsidR="007A0463" w:rsidRPr="00413A40">
        <w:rPr>
          <w:lang w:val="fr-CA"/>
        </w:rPr>
        <w:t xml:space="preserve">Pourvoi </w:t>
      </w:r>
      <w:r w:rsidR="00C85727" w:rsidRPr="00413A40">
        <w:rPr>
          <w:lang w:val="fr-CA"/>
        </w:rPr>
        <w:t>rejeté</w:t>
      </w:r>
      <w:r w:rsidR="002A7B10" w:rsidRPr="00413A40">
        <w:rPr>
          <w:lang w:val="fr-CA"/>
        </w:rPr>
        <w:t>, le</w:t>
      </w:r>
      <w:r w:rsidR="00C85727" w:rsidRPr="00413A40">
        <w:rPr>
          <w:lang w:val="fr-CA"/>
        </w:rPr>
        <w:t>s</w:t>
      </w:r>
      <w:r w:rsidR="002A7B10" w:rsidRPr="00413A40">
        <w:rPr>
          <w:lang w:val="fr-CA"/>
        </w:rPr>
        <w:t xml:space="preserve"> juge</w:t>
      </w:r>
      <w:r w:rsidR="00C85727" w:rsidRPr="00413A40">
        <w:rPr>
          <w:lang w:val="fr-CA"/>
        </w:rPr>
        <w:t>s</w:t>
      </w:r>
      <w:r w:rsidR="002A7B10" w:rsidRPr="00413A40">
        <w:rPr>
          <w:lang w:val="fr-CA"/>
        </w:rPr>
        <w:t xml:space="preserve"> </w:t>
      </w:r>
      <w:r w:rsidR="00C85727" w:rsidRPr="00413A40">
        <w:rPr>
          <w:lang w:val="fr-CA"/>
        </w:rPr>
        <w:t>Rothstein, Moldaver et Wagner sont</w:t>
      </w:r>
      <w:r w:rsidR="002A7B10" w:rsidRPr="00413A40">
        <w:rPr>
          <w:lang w:val="fr-CA"/>
        </w:rPr>
        <w:t xml:space="preserve"> dissident</w:t>
      </w:r>
      <w:r w:rsidR="00C85727" w:rsidRPr="00413A40">
        <w:rPr>
          <w:lang w:val="fr-CA"/>
        </w:rPr>
        <w:t>s</w:t>
      </w:r>
      <w:r w:rsidR="007A0463" w:rsidRPr="00413A40">
        <w:rPr>
          <w:lang w:val="fr-CA"/>
        </w:rPr>
        <w:t>.</w:t>
      </w:r>
    </w:p>
    <w:p w:rsidR="00293638" w:rsidRPr="00413A40" w:rsidRDefault="00293638" w:rsidP="00A659A4">
      <w:pPr>
        <w:pStyle w:val="SCCNormalDoubleSpacing"/>
        <w:spacing w:after="480"/>
        <w:rPr>
          <w:lang w:val="fr-CA"/>
        </w:rPr>
      </w:pPr>
      <w:r w:rsidRPr="00413A40">
        <w:rPr>
          <w:lang w:val="fr-CA"/>
        </w:rPr>
        <w:lastRenderedPageBreak/>
        <w:tab/>
        <w:t>POURVOI contre un arrêt de la Cour d</w:t>
      </w:r>
      <w:r w:rsidR="002D6B80">
        <w:rPr>
          <w:lang w:val="fr-CA"/>
        </w:rPr>
        <w:t>’</w:t>
      </w:r>
      <w:r w:rsidRPr="00413A40">
        <w:rPr>
          <w:lang w:val="fr-CA"/>
        </w:rPr>
        <w:t>appel de l</w:t>
      </w:r>
      <w:r w:rsidR="002D6B80">
        <w:rPr>
          <w:lang w:val="fr-CA"/>
        </w:rPr>
        <w:t>’</w:t>
      </w:r>
      <w:r w:rsidRPr="00413A40">
        <w:rPr>
          <w:lang w:val="fr-CA"/>
        </w:rPr>
        <w:t xml:space="preserve">Ontario (les juges Doherty, Goudge, Cronk, Blair et Tulloch), 2013 ONCA 681, 117 O.R. (3d) 456, 311 O.A.C. 316, 303 C.C.C. (3d) 352, 296 C.R.R. (2d) 72, 5 C.R. (7th) 370, [2013] O.J. </w:t>
      </w:r>
      <w:r w:rsidR="00967A08" w:rsidRPr="00413A40">
        <w:rPr>
          <w:lang w:val="fr-CA"/>
        </w:rPr>
        <w:t>No.</w:t>
      </w:r>
      <w:r w:rsidR="00B029AB">
        <w:rPr>
          <w:lang w:val="fr-CA"/>
        </w:rPr>
        <w:t xml:space="preserve"> </w:t>
      </w:r>
      <w:r w:rsidRPr="00413A40">
        <w:rPr>
          <w:lang w:val="fr-CA"/>
        </w:rPr>
        <w:t>5115 (QL), 2013 CarswellOnt 15470</w:t>
      </w:r>
      <w:r w:rsidR="00455E5B" w:rsidRPr="00413A40">
        <w:rPr>
          <w:lang w:val="fr-CA"/>
        </w:rPr>
        <w:t xml:space="preserve"> (WL Can.)</w:t>
      </w:r>
      <w:r w:rsidRPr="00413A40">
        <w:rPr>
          <w:lang w:val="fr-CA"/>
        </w:rPr>
        <w:t xml:space="preserve">, </w:t>
      </w:r>
      <w:r w:rsidR="00EF39CA" w:rsidRPr="00413A40">
        <w:rPr>
          <w:lang w:val="fr-CA"/>
        </w:rPr>
        <w:t>qui a confirmé une décision de la juge Backhouse relative à la détermination de la peine</w:t>
      </w:r>
      <w:r w:rsidRPr="00413A40">
        <w:rPr>
          <w:lang w:val="fr-CA"/>
        </w:rPr>
        <w:t xml:space="preserve">, 2010 ONSC 5437, 262 C.C.C. (3d) 120, [2010] O.J. </w:t>
      </w:r>
      <w:r w:rsidR="00967A08" w:rsidRPr="00413A40">
        <w:rPr>
          <w:lang w:val="fr-CA"/>
        </w:rPr>
        <w:t>No.</w:t>
      </w:r>
      <w:r w:rsidR="00B029AB">
        <w:rPr>
          <w:lang w:val="fr-CA"/>
        </w:rPr>
        <w:t xml:space="preserve"> </w:t>
      </w:r>
      <w:r w:rsidRPr="00413A40">
        <w:rPr>
          <w:lang w:val="fr-CA"/>
        </w:rPr>
        <w:t>4209 (QL), 2010 CarswellOnt 7496</w:t>
      </w:r>
      <w:r w:rsidR="00455E5B" w:rsidRPr="00413A40">
        <w:rPr>
          <w:lang w:val="fr-CA"/>
        </w:rPr>
        <w:t xml:space="preserve"> (WL Can.). </w:t>
      </w:r>
      <w:r w:rsidR="001A7236" w:rsidRPr="00413A40">
        <w:rPr>
          <w:lang w:val="fr-CA"/>
        </w:rPr>
        <w:t>Pourvoi</w:t>
      </w:r>
      <w:r w:rsidRPr="00413A40">
        <w:rPr>
          <w:lang w:val="fr-CA"/>
        </w:rPr>
        <w:t xml:space="preserve"> </w:t>
      </w:r>
      <w:r w:rsidR="00C85727" w:rsidRPr="00413A40">
        <w:rPr>
          <w:lang w:val="fr-CA"/>
        </w:rPr>
        <w:t>rejeté</w:t>
      </w:r>
      <w:r w:rsidR="002A7B10" w:rsidRPr="00413A40">
        <w:rPr>
          <w:lang w:val="fr-CA"/>
        </w:rPr>
        <w:t xml:space="preserve">, </w:t>
      </w:r>
      <w:r w:rsidR="00C85727" w:rsidRPr="00413A40">
        <w:rPr>
          <w:lang w:val="fr-CA"/>
        </w:rPr>
        <w:t>les juges Rothstein, Moldaver et Wagner sont dissidents</w:t>
      </w:r>
      <w:r w:rsidRPr="00413A40">
        <w:rPr>
          <w:lang w:val="fr-CA"/>
        </w:rPr>
        <w:t>.</w:t>
      </w:r>
    </w:p>
    <w:p w:rsidR="00E83FCB" w:rsidRPr="00413A40" w:rsidRDefault="00E83FCB" w:rsidP="00A659A4">
      <w:pPr>
        <w:pStyle w:val="SCCNormalDoubleSpacing"/>
        <w:spacing w:after="480"/>
        <w:rPr>
          <w:lang w:val="fr-CA"/>
        </w:rPr>
      </w:pPr>
      <w:r w:rsidRPr="00413A40">
        <w:rPr>
          <w:lang w:val="fr-CA"/>
        </w:rPr>
        <w:tab/>
      </w:r>
      <w:r w:rsidRPr="002D6B80">
        <w:rPr>
          <w:i/>
          <w:lang w:val="fr-CA"/>
        </w:rPr>
        <w:t>Andreea Baiasu</w:t>
      </w:r>
      <w:r w:rsidRPr="00413A40">
        <w:rPr>
          <w:lang w:val="fr-CA"/>
        </w:rPr>
        <w:t>, pour l</w:t>
      </w:r>
      <w:r w:rsidR="002D6B80">
        <w:rPr>
          <w:lang w:val="fr-CA"/>
        </w:rPr>
        <w:t>’</w:t>
      </w:r>
      <w:r w:rsidRPr="00413A40">
        <w:rPr>
          <w:lang w:val="fr-CA"/>
        </w:rPr>
        <w:t>appelante Sa Majesté la Reine.</w:t>
      </w:r>
    </w:p>
    <w:p w:rsidR="00720A7B" w:rsidRPr="00413A40" w:rsidRDefault="008E74EE" w:rsidP="00A659A4">
      <w:pPr>
        <w:pStyle w:val="SCCNormalDoubleSpacing"/>
        <w:spacing w:after="480"/>
        <w:rPr>
          <w:lang w:val="fr-CA"/>
        </w:rPr>
      </w:pPr>
      <w:r w:rsidRPr="002D6B80">
        <w:rPr>
          <w:i/>
          <w:lang w:val="fr-CA"/>
        </w:rPr>
        <w:tab/>
      </w:r>
      <w:r w:rsidR="00967A08" w:rsidRPr="002D6B80">
        <w:rPr>
          <w:i/>
          <w:lang w:val="fr-CA"/>
        </w:rPr>
        <w:t>Nancy</w:t>
      </w:r>
      <w:r w:rsidR="00B029AB">
        <w:rPr>
          <w:i/>
          <w:lang w:val="fr-CA"/>
        </w:rPr>
        <w:t xml:space="preserve"> </w:t>
      </w:r>
      <w:r w:rsidR="008858D4" w:rsidRPr="002D6B80">
        <w:rPr>
          <w:i/>
          <w:lang w:val="fr-CA"/>
        </w:rPr>
        <w:t xml:space="preserve">L. </w:t>
      </w:r>
      <w:r w:rsidRPr="002D6B80">
        <w:rPr>
          <w:i/>
          <w:lang w:val="fr-CA"/>
        </w:rPr>
        <w:t>Dennison</w:t>
      </w:r>
      <w:r w:rsidRPr="00413A40">
        <w:rPr>
          <w:lang w:val="fr-CA"/>
        </w:rPr>
        <w:t xml:space="preserve"> et </w:t>
      </w:r>
      <w:r w:rsidR="00967A08" w:rsidRPr="002D6B80">
        <w:rPr>
          <w:i/>
          <w:lang w:val="fr-CA"/>
        </w:rPr>
        <w:t>Richard</w:t>
      </w:r>
      <w:r w:rsidR="00B029AB">
        <w:rPr>
          <w:i/>
          <w:lang w:val="fr-CA"/>
        </w:rPr>
        <w:t xml:space="preserve"> </w:t>
      </w:r>
      <w:r w:rsidR="008858D4" w:rsidRPr="002D6B80">
        <w:rPr>
          <w:i/>
          <w:lang w:val="fr-CA"/>
        </w:rPr>
        <w:t xml:space="preserve">A. </w:t>
      </w:r>
      <w:r w:rsidRPr="002D6B80">
        <w:rPr>
          <w:i/>
          <w:lang w:val="fr-CA"/>
        </w:rPr>
        <w:t>Kramer</w:t>
      </w:r>
      <w:r w:rsidRPr="00413A40">
        <w:rPr>
          <w:lang w:val="fr-CA"/>
        </w:rPr>
        <w:t>, pour l</w:t>
      </w:r>
      <w:r w:rsidR="002D6B80">
        <w:rPr>
          <w:lang w:val="fr-CA"/>
        </w:rPr>
        <w:t>’</w:t>
      </w:r>
      <w:r w:rsidRPr="00413A40">
        <w:rPr>
          <w:lang w:val="fr-CA"/>
        </w:rPr>
        <w:t>appelant</w:t>
      </w:r>
      <w:r w:rsidR="008858D4" w:rsidRPr="00413A40">
        <w:rPr>
          <w:lang w:val="fr-CA"/>
        </w:rPr>
        <w:t xml:space="preserve"> le procureur général du Canada</w:t>
      </w:r>
      <w:r w:rsidRPr="00413A40">
        <w:rPr>
          <w:lang w:val="fr-CA"/>
        </w:rPr>
        <w:t>.</w:t>
      </w:r>
    </w:p>
    <w:p w:rsidR="00720A7B" w:rsidRPr="00413A40" w:rsidRDefault="008E74EE" w:rsidP="00A659A4">
      <w:pPr>
        <w:pStyle w:val="SCCNormalDoubleSpacing"/>
        <w:spacing w:after="480"/>
        <w:rPr>
          <w:lang w:val="fr-CA"/>
        </w:rPr>
      </w:pPr>
      <w:r w:rsidRPr="002D6B80">
        <w:rPr>
          <w:i/>
          <w:lang w:val="fr-CA"/>
        </w:rPr>
        <w:tab/>
        <w:t>Dirk Derstine</w:t>
      </w:r>
      <w:r w:rsidR="008858D4" w:rsidRPr="002D6B80">
        <w:rPr>
          <w:i/>
          <w:lang w:val="fr-CA"/>
        </w:rPr>
        <w:t xml:space="preserve"> </w:t>
      </w:r>
      <w:r w:rsidR="008858D4" w:rsidRPr="00ED5BB3">
        <w:rPr>
          <w:lang w:val="fr-CA"/>
        </w:rPr>
        <w:t>et</w:t>
      </w:r>
      <w:r w:rsidR="008858D4" w:rsidRPr="002D6B80">
        <w:rPr>
          <w:i/>
          <w:lang w:val="fr-CA"/>
        </w:rPr>
        <w:t xml:space="preserve"> </w:t>
      </w:r>
      <w:r w:rsidRPr="002D6B80">
        <w:rPr>
          <w:i/>
          <w:lang w:val="fr-CA"/>
        </w:rPr>
        <w:t>Janani Shanmuganathan</w:t>
      </w:r>
      <w:r w:rsidRPr="00413A40">
        <w:rPr>
          <w:lang w:val="fr-CA"/>
        </w:rPr>
        <w:t>, pour l</w:t>
      </w:r>
      <w:r w:rsidR="002D6B80">
        <w:rPr>
          <w:lang w:val="fr-CA"/>
        </w:rPr>
        <w:t>’</w:t>
      </w:r>
      <w:r w:rsidRPr="00413A40">
        <w:rPr>
          <w:lang w:val="fr-CA"/>
        </w:rPr>
        <w:t>intimé</w:t>
      </w:r>
      <w:r w:rsidR="008858D4" w:rsidRPr="00413A40">
        <w:rPr>
          <w:lang w:val="fr-CA"/>
        </w:rPr>
        <w:t xml:space="preserve"> Hussein Jama Nur</w:t>
      </w:r>
      <w:r w:rsidRPr="00413A40">
        <w:rPr>
          <w:lang w:val="fr-CA"/>
        </w:rPr>
        <w:t>.</w:t>
      </w:r>
    </w:p>
    <w:p w:rsidR="00E83FCB" w:rsidRPr="00413A40" w:rsidRDefault="00E83FCB" w:rsidP="00A659A4">
      <w:pPr>
        <w:pStyle w:val="SCCNormalDoubleSpacing"/>
        <w:spacing w:after="480"/>
        <w:rPr>
          <w:lang w:val="fr-CA"/>
        </w:rPr>
      </w:pPr>
      <w:r w:rsidRPr="00413A40">
        <w:rPr>
          <w:lang w:val="fr-CA"/>
        </w:rPr>
        <w:tab/>
      </w:r>
      <w:r w:rsidRPr="00413A40">
        <w:rPr>
          <w:i/>
          <w:lang w:val="fr-CA"/>
        </w:rPr>
        <w:t xml:space="preserve">Carlos Rippell </w:t>
      </w:r>
      <w:r w:rsidR="008858D4" w:rsidRPr="00413A40">
        <w:rPr>
          <w:lang w:val="fr-CA"/>
        </w:rPr>
        <w:t>et</w:t>
      </w:r>
      <w:r w:rsidRPr="00413A40">
        <w:rPr>
          <w:lang w:val="fr-CA"/>
        </w:rPr>
        <w:t xml:space="preserve"> </w:t>
      </w:r>
      <w:r w:rsidRPr="00413A40">
        <w:rPr>
          <w:i/>
          <w:lang w:val="fr-CA"/>
        </w:rPr>
        <w:t>Michael Dineen</w:t>
      </w:r>
      <w:r w:rsidRPr="00413A40">
        <w:rPr>
          <w:lang w:val="fr-CA"/>
        </w:rPr>
        <w:t xml:space="preserve">, </w:t>
      </w:r>
      <w:r w:rsidR="008858D4" w:rsidRPr="00413A40">
        <w:rPr>
          <w:lang w:val="fr-CA"/>
        </w:rPr>
        <w:t>pour l</w:t>
      </w:r>
      <w:r w:rsidR="002D6B80">
        <w:rPr>
          <w:lang w:val="fr-CA"/>
        </w:rPr>
        <w:t>’</w:t>
      </w:r>
      <w:r w:rsidR="008858D4" w:rsidRPr="00413A40">
        <w:rPr>
          <w:lang w:val="fr-CA"/>
        </w:rPr>
        <w:t xml:space="preserve">intimé </w:t>
      </w:r>
      <w:r w:rsidRPr="00413A40">
        <w:rPr>
          <w:lang w:val="fr-CA"/>
        </w:rPr>
        <w:t>Sidney Charles.</w:t>
      </w:r>
    </w:p>
    <w:p w:rsidR="008858D4" w:rsidRPr="00413A40" w:rsidRDefault="008858D4" w:rsidP="00A659A4">
      <w:pPr>
        <w:pStyle w:val="SCCNormalDoubleSpacing"/>
        <w:spacing w:after="480"/>
        <w:rPr>
          <w:lang w:val="fr-CA"/>
        </w:rPr>
      </w:pPr>
      <w:r w:rsidRPr="002D6B80">
        <w:rPr>
          <w:i/>
          <w:lang w:val="fr-CA"/>
        </w:rPr>
        <w:tab/>
        <w:t>Julie Dassylva</w:t>
      </w:r>
      <w:r w:rsidRPr="00413A40">
        <w:rPr>
          <w:lang w:val="fr-CA"/>
        </w:rPr>
        <w:t xml:space="preserve"> et </w:t>
      </w:r>
      <w:r w:rsidRPr="002D6B80">
        <w:rPr>
          <w:i/>
          <w:lang w:val="fr-CA"/>
        </w:rPr>
        <w:t>Gilles Laporte</w:t>
      </w:r>
      <w:r w:rsidRPr="00413A40">
        <w:rPr>
          <w:lang w:val="fr-CA"/>
        </w:rPr>
        <w:t>, pour l</w:t>
      </w:r>
      <w:r w:rsidR="002D6B80">
        <w:rPr>
          <w:lang w:val="fr-CA"/>
        </w:rPr>
        <w:t>’</w:t>
      </w:r>
      <w:r w:rsidRPr="00413A40">
        <w:rPr>
          <w:lang w:val="fr-CA"/>
        </w:rPr>
        <w:t>intervenant le procureur général du Québec.</w:t>
      </w:r>
    </w:p>
    <w:p w:rsidR="008858D4" w:rsidRPr="00413A40" w:rsidRDefault="008858D4" w:rsidP="00A659A4">
      <w:pPr>
        <w:pStyle w:val="SCCNormalDoubleSpacing"/>
        <w:spacing w:after="480"/>
        <w:rPr>
          <w:lang w:val="fr-CA"/>
        </w:rPr>
      </w:pPr>
      <w:r w:rsidRPr="002D6B80">
        <w:rPr>
          <w:i/>
          <w:lang w:val="fr-CA"/>
        </w:rPr>
        <w:tab/>
      </w:r>
      <w:r w:rsidR="00926FBD" w:rsidRPr="002D6B80">
        <w:rPr>
          <w:i/>
          <w:lang w:val="fr-CA"/>
        </w:rPr>
        <w:t>Rodney</w:t>
      </w:r>
      <w:r w:rsidR="00B029AB">
        <w:rPr>
          <w:i/>
          <w:lang w:val="fr-CA"/>
        </w:rPr>
        <w:t xml:space="preserve"> </w:t>
      </w:r>
      <w:r w:rsidRPr="002D6B80">
        <w:rPr>
          <w:i/>
          <w:lang w:val="fr-CA"/>
        </w:rPr>
        <w:t>G. Garson</w:t>
      </w:r>
      <w:r w:rsidRPr="00413A40">
        <w:rPr>
          <w:lang w:val="fr-CA"/>
        </w:rPr>
        <w:t>, pour l</w:t>
      </w:r>
      <w:r w:rsidR="002D6B80">
        <w:rPr>
          <w:lang w:val="fr-CA"/>
        </w:rPr>
        <w:t>’</w:t>
      </w:r>
      <w:r w:rsidRPr="00413A40">
        <w:rPr>
          <w:lang w:val="fr-CA"/>
        </w:rPr>
        <w:t>intervenant le procureur général de la Colombie</w:t>
      </w:r>
      <w:r w:rsidR="00B029AB">
        <w:rPr>
          <w:lang w:val="fr-CA"/>
        </w:rPr>
        <w:t>-</w:t>
      </w:r>
      <w:r w:rsidRPr="00413A40">
        <w:rPr>
          <w:lang w:val="fr-CA"/>
        </w:rPr>
        <w:t>Britannique.</w:t>
      </w:r>
    </w:p>
    <w:p w:rsidR="008858D4" w:rsidRPr="00413A40" w:rsidRDefault="008858D4" w:rsidP="00A659A4">
      <w:pPr>
        <w:pStyle w:val="SCCNormalDoubleSpacing"/>
        <w:spacing w:after="480"/>
        <w:rPr>
          <w:lang w:val="fr-CA"/>
        </w:rPr>
      </w:pPr>
      <w:r w:rsidRPr="002D6B80">
        <w:rPr>
          <w:i/>
          <w:lang w:val="fr-CA"/>
        </w:rPr>
        <w:lastRenderedPageBreak/>
        <w:tab/>
      </w:r>
      <w:r w:rsidR="00926FBD" w:rsidRPr="002D6B80">
        <w:rPr>
          <w:i/>
          <w:lang w:val="fr-CA"/>
        </w:rPr>
        <w:t>Joshua</w:t>
      </w:r>
      <w:r w:rsidR="00B029AB">
        <w:rPr>
          <w:i/>
          <w:lang w:val="fr-CA"/>
        </w:rPr>
        <w:t xml:space="preserve"> </w:t>
      </w:r>
      <w:r w:rsidRPr="002D6B80">
        <w:rPr>
          <w:i/>
          <w:lang w:val="fr-CA"/>
        </w:rPr>
        <w:t>B. Hawkes</w:t>
      </w:r>
      <w:r w:rsidRPr="00084013">
        <w:rPr>
          <w:lang w:val="fr-CA"/>
        </w:rPr>
        <w:t>,</w:t>
      </w:r>
      <w:r w:rsidRPr="002D6B80">
        <w:rPr>
          <w:i/>
          <w:lang w:val="fr-CA"/>
        </w:rPr>
        <w:t xml:space="preserve"> c.r.</w:t>
      </w:r>
      <w:r w:rsidRPr="00413A40">
        <w:rPr>
          <w:lang w:val="fr-CA"/>
        </w:rPr>
        <w:t>, pour l</w:t>
      </w:r>
      <w:r w:rsidR="002D6B80">
        <w:rPr>
          <w:lang w:val="fr-CA"/>
        </w:rPr>
        <w:t>’</w:t>
      </w:r>
      <w:r w:rsidRPr="00413A40">
        <w:rPr>
          <w:lang w:val="fr-CA"/>
        </w:rPr>
        <w:t>intervenant le procureur général de l</w:t>
      </w:r>
      <w:r w:rsidR="002D6B80">
        <w:rPr>
          <w:lang w:val="fr-CA"/>
        </w:rPr>
        <w:t>’</w:t>
      </w:r>
      <w:r w:rsidRPr="00413A40">
        <w:rPr>
          <w:lang w:val="fr-CA"/>
        </w:rPr>
        <w:t>Alberta.</w:t>
      </w:r>
    </w:p>
    <w:p w:rsidR="008858D4" w:rsidRPr="00413A40" w:rsidRDefault="008858D4" w:rsidP="00A659A4">
      <w:pPr>
        <w:pStyle w:val="SCCNormalDoubleSpacing"/>
        <w:spacing w:after="480"/>
        <w:rPr>
          <w:lang w:val="fr-CA"/>
        </w:rPr>
      </w:pPr>
      <w:r w:rsidRPr="002D6B80">
        <w:rPr>
          <w:i/>
          <w:lang w:val="fr-CA"/>
        </w:rPr>
        <w:tab/>
      </w:r>
      <w:r w:rsidRPr="00CE6101">
        <w:rPr>
          <w:lang w:val="fr-CA"/>
        </w:rPr>
        <w:t>Argumentation écrite seulement par</w:t>
      </w:r>
      <w:r w:rsidRPr="002D6B80">
        <w:rPr>
          <w:i/>
          <w:lang w:val="fr-CA"/>
        </w:rPr>
        <w:t xml:space="preserve"> </w:t>
      </w:r>
      <w:r w:rsidR="00967A08" w:rsidRPr="002D6B80">
        <w:rPr>
          <w:i/>
          <w:lang w:val="fr-CA"/>
        </w:rPr>
        <w:t>Michael</w:t>
      </w:r>
      <w:r w:rsidR="00B029AB">
        <w:rPr>
          <w:i/>
          <w:lang w:val="fr-CA"/>
        </w:rPr>
        <w:t xml:space="preserve"> </w:t>
      </w:r>
      <w:r w:rsidRPr="002D6B80">
        <w:rPr>
          <w:i/>
          <w:lang w:val="fr-CA"/>
        </w:rPr>
        <w:t>A. Feder</w:t>
      </w:r>
      <w:r w:rsidRPr="00413A40">
        <w:rPr>
          <w:lang w:val="fr-CA"/>
        </w:rPr>
        <w:t xml:space="preserve">, </w:t>
      </w:r>
      <w:r w:rsidR="00967A08" w:rsidRPr="002D6B80">
        <w:rPr>
          <w:i/>
          <w:lang w:val="fr-CA"/>
        </w:rPr>
        <w:t>Julia</w:t>
      </w:r>
      <w:r w:rsidR="00B029AB">
        <w:rPr>
          <w:i/>
          <w:lang w:val="fr-CA"/>
        </w:rPr>
        <w:t xml:space="preserve"> </w:t>
      </w:r>
      <w:r w:rsidRPr="002D6B80">
        <w:rPr>
          <w:i/>
          <w:lang w:val="fr-CA"/>
        </w:rPr>
        <w:t>K. Lockhart</w:t>
      </w:r>
      <w:r w:rsidRPr="00413A40">
        <w:rPr>
          <w:lang w:val="fr-CA"/>
        </w:rPr>
        <w:t xml:space="preserve"> et </w:t>
      </w:r>
      <w:r w:rsidRPr="002D6B80">
        <w:rPr>
          <w:i/>
          <w:lang w:val="fr-CA"/>
        </w:rPr>
        <w:t>Adrienne Smith</w:t>
      </w:r>
      <w:r w:rsidRPr="00413A40">
        <w:rPr>
          <w:lang w:val="fr-CA"/>
        </w:rPr>
        <w:t>, pour l</w:t>
      </w:r>
      <w:r w:rsidR="002D6B80">
        <w:rPr>
          <w:lang w:val="fr-CA"/>
        </w:rPr>
        <w:t>’</w:t>
      </w:r>
      <w:r w:rsidRPr="00413A40">
        <w:rPr>
          <w:lang w:val="fr-CA"/>
        </w:rPr>
        <w:t>intervenant</w:t>
      </w:r>
      <w:r w:rsidR="005F264D" w:rsidRPr="00413A40">
        <w:rPr>
          <w:lang w:val="fr-CA"/>
        </w:rPr>
        <w:t>e</w:t>
      </w:r>
      <w:r w:rsidRPr="00413A40">
        <w:rPr>
          <w:lang w:val="fr-CA"/>
        </w:rPr>
        <w:t xml:space="preserve"> Pivot Legal Society.</w:t>
      </w:r>
    </w:p>
    <w:p w:rsidR="008858D4" w:rsidRPr="00413A40" w:rsidRDefault="008858D4" w:rsidP="00A659A4">
      <w:pPr>
        <w:pStyle w:val="SCCNormalDoubleSpacing"/>
        <w:spacing w:after="480"/>
        <w:rPr>
          <w:lang w:val="fr-CA"/>
        </w:rPr>
      </w:pPr>
      <w:r w:rsidRPr="002D6B80">
        <w:rPr>
          <w:i/>
          <w:lang w:val="fr-CA"/>
        </w:rPr>
        <w:tab/>
      </w:r>
      <w:r w:rsidR="00926FBD" w:rsidRPr="002D6B80">
        <w:rPr>
          <w:i/>
          <w:lang w:val="fr-CA"/>
        </w:rPr>
        <w:t>Bruce</w:t>
      </w:r>
      <w:r w:rsidR="00B029AB">
        <w:rPr>
          <w:i/>
          <w:lang w:val="fr-CA"/>
        </w:rPr>
        <w:t xml:space="preserve"> </w:t>
      </w:r>
      <w:r w:rsidRPr="002D6B80">
        <w:rPr>
          <w:i/>
          <w:lang w:val="fr-CA"/>
        </w:rPr>
        <w:t>F. Simpson</w:t>
      </w:r>
      <w:r w:rsidRPr="00413A40">
        <w:rPr>
          <w:lang w:val="fr-CA"/>
        </w:rPr>
        <w:t xml:space="preserve">, </w:t>
      </w:r>
      <w:r w:rsidR="006529FC" w:rsidRPr="00413A40">
        <w:rPr>
          <w:lang w:val="fr-CA"/>
        </w:rPr>
        <w:t>pour l</w:t>
      </w:r>
      <w:r w:rsidR="002D6B80">
        <w:rPr>
          <w:lang w:val="fr-CA"/>
        </w:rPr>
        <w:t>’</w:t>
      </w:r>
      <w:r w:rsidR="006529FC" w:rsidRPr="00413A40">
        <w:rPr>
          <w:lang w:val="fr-CA"/>
        </w:rPr>
        <w:t xml:space="preserve">intervenante la Société </w:t>
      </w:r>
      <w:r w:rsidRPr="00413A40">
        <w:rPr>
          <w:lang w:val="fr-CA"/>
        </w:rPr>
        <w:t xml:space="preserve">John Howard </w:t>
      </w:r>
      <w:r w:rsidR="006529FC" w:rsidRPr="00413A40">
        <w:rPr>
          <w:lang w:val="fr-CA"/>
        </w:rPr>
        <w:t>du</w:t>
      </w:r>
      <w:r w:rsidRPr="00413A40">
        <w:rPr>
          <w:lang w:val="fr-CA"/>
        </w:rPr>
        <w:t xml:space="preserve"> Canada.</w:t>
      </w:r>
    </w:p>
    <w:p w:rsidR="008858D4" w:rsidRPr="00413A40" w:rsidRDefault="008858D4" w:rsidP="00A659A4">
      <w:pPr>
        <w:pStyle w:val="SCCNormalDoubleSpacing"/>
        <w:spacing w:after="480"/>
        <w:rPr>
          <w:lang w:val="fr-CA"/>
        </w:rPr>
      </w:pPr>
      <w:r w:rsidRPr="002D6B80">
        <w:rPr>
          <w:i/>
          <w:lang w:val="fr-CA"/>
        </w:rPr>
        <w:tab/>
        <w:t>Kimberly Potter</w:t>
      </w:r>
      <w:r w:rsidRPr="00413A40">
        <w:rPr>
          <w:lang w:val="fr-CA"/>
        </w:rPr>
        <w:t xml:space="preserve">, </w:t>
      </w:r>
      <w:r w:rsidR="006529FC" w:rsidRPr="00413A40">
        <w:rPr>
          <w:lang w:val="fr-CA"/>
        </w:rPr>
        <w:t>pour l</w:t>
      </w:r>
      <w:r w:rsidR="002D6B80">
        <w:rPr>
          <w:lang w:val="fr-CA"/>
        </w:rPr>
        <w:t>’</w:t>
      </w:r>
      <w:r w:rsidR="006529FC" w:rsidRPr="00413A40">
        <w:rPr>
          <w:lang w:val="fr-CA"/>
        </w:rPr>
        <w:t>intervenante l</w:t>
      </w:r>
      <w:r w:rsidR="002D6B80">
        <w:rPr>
          <w:lang w:val="fr-CA"/>
        </w:rPr>
        <w:t>’</w:t>
      </w:r>
      <w:r w:rsidR="006529FC" w:rsidRPr="00413A40">
        <w:rPr>
          <w:lang w:val="fr-CA"/>
        </w:rPr>
        <w:t>Association canadienne des libertés civiles</w:t>
      </w:r>
      <w:r w:rsidRPr="00413A40">
        <w:rPr>
          <w:lang w:val="fr-CA"/>
        </w:rPr>
        <w:t>.</w:t>
      </w:r>
    </w:p>
    <w:p w:rsidR="008858D4" w:rsidRPr="00413A40" w:rsidRDefault="008858D4" w:rsidP="00A659A4">
      <w:pPr>
        <w:pStyle w:val="SCCNormalDoubleSpacing"/>
        <w:spacing w:after="480"/>
        <w:rPr>
          <w:lang w:val="fr-CA"/>
        </w:rPr>
      </w:pPr>
      <w:r w:rsidRPr="002D6B80">
        <w:rPr>
          <w:i/>
          <w:lang w:val="fr-CA"/>
        </w:rPr>
        <w:tab/>
      </w:r>
      <w:r w:rsidR="00926FBD" w:rsidRPr="002D6B80">
        <w:rPr>
          <w:i/>
          <w:lang w:val="fr-CA"/>
        </w:rPr>
        <w:t>Nader</w:t>
      </w:r>
      <w:r w:rsidR="00B029AB">
        <w:rPr>
          <w:i/>
          <w:lang w:val="fr-CA"/>
        </w:rPr>
        <w:t xml:space="preserve"> </w:t>
      </w:r>
      <w:r w:rsidRPr="002D6B80">
        <w:rPr>
          <w:i/>
          <w:lang w:val="fr-CA"/>
        </w:rPr>
        <w:t>R. Hasan</w:t>
      </w:r>
      <w:r w:rsidRPr="00413A40">
        <w:rPr>
          <w:lang w:val="fr-CA"/>
        </w:rPr>
        <w:t xml:space="preserve"> </w:t>
      </w:r>
      <w:r w:rsidR="00A47E88" w:rsidRPr="00413A40">
        <w:rPr>
          <w:lang w:val="fr-CA"/>
        </w:rPr>
        <w:t>et</w:t>
      </w:r>
      <w:r w:rsidRPr="00413A40">
        <w:rPr>
          <w:lang w:val="fr-CA"/>
        </w:rPr>
        <w:t xml:space="preserve"> </w:t>
      </w:r>
      <w:r w:rsidRPr="002D6B80">
        <w:rPr>
          <w:i/>
          <w:lang w:val="fr-CA"/>
        </w:rPr>
        <w:t>Gerald Chan</w:t>
      </w:r>
      <w:r w:rsidRPr="00413A40">
        <w:rPr>
          <w:lang w:val="fr-CA"/>
        </w:rPr>
        <w:t xml:space="preserve">, </w:t>
      </w:r>
      <w:r w:rsidR="00A47E88" w:rsidRPr="00413A40">
        <w:rPr>
          <w:lang w:val="fr-CA"/>
        </w:rPr>
        <w:t>pour l</w:t>
      </w:r>
      <w:r w:rsidR="002D6B80">
        <w:rPr>
          <w:lang w:val="fr-CA"/>
        </w:rPr>
        <w:t>’</w:t>
      </w:r>
      <w:r w:rsidR="00A47E88" w:rsidRPr="00413A40">
        <w:rPr>
          <w:lang w:val="fr-CA"/>
        </w:rPr>
        <w:t>intervenante l</w:t>
      </w:r>
      <w:r w:rsidR="002D6B80">
        <w:rPr>
          <w:lang w:val="fr-CA"/>
        </w:rPr>
        <w:t>’</w:t>
      </w:r>
      <w:r w:rsidR="00A47E88" w:rsidRPr="00413A40">
        <w:rPr>
          <w:lang w:val="fr-CA"/>
        </w:rPr>
        <w:t>Association des libertés civiles de la Colombie</w:t>
      </w:r>
      <w:r w:rsidR="00B029AB">
        <w:rPr>
          <w:lang w:val="fr-CA"/>
        </w:rPr>
        <w:t>-</w:t>
      </w:r>
      <w:r w:rsidR="00A47E88" w:rsidRPr="00413A40">
        <w:rPr>
          <w:lang w:val="fr-CA"/>
        </w:rPr>
        <w:t>Britannique</w:t>
      </w:r>
      <w:r w:rsidRPr="00413A40">
        <w:rPr>
          <w:lang w:val="fr-CA"/>
        </w:rPr>
        <w:t>.</w:t>
      </w:r>
    </w:p>
    <w:p w:rsidR="008858D4" w:rsidRPr="00413A40" w:rsidRDefault="008858D4" w:rsidP="00A659A4">
      <w:pPr>
        <w:pStyle w:val="SCCNormalDoubleSpacing"/>
        <w:spacing w:after="480"/>
        <w:rPr>
          <w:lang w:val="fr-CA"/>
        </w:rPr>
      </w:pPr>
      <w:r w:rsidRPr="002D6B80">
        <w:rPr>
          <w:i/>
          <w:lang w:val="fr-CA"/>
        </w:rPr>
        <w:tab/>
      </w:r>
      <w:r w:rsidR="00926FBD" w:rsidRPr="002D6B80">
        <w:rPr>
          <w:i/>
          <w:lang w:val="fr-CA"/>
        </w:rPr>
        <w:t>Anil</w:t>
      </w:r>
      <w:r w:rsidR="00B029AB">
        <w:rPr>
          <w:i/>
          <w:lang w:val="fr-CA"/>
        </w:rPr>
        <w:t xml:space="preserve"> </w:t>
      </w:r>
      <w:r w:rsidRPr="002D6B80">
        <w:rPr>
          <w:i/>
          <w:lang w:val="fr-CA"/>
        </w:rPr>
        <w:t>K. Kapoor</w:t>
      </w:r>
      <w:r w:rsidRPr="00413A40">
        <w:rPr>
          <w:lang w:val="fr-CA"/>
        </w:rPr>
        <w:t xml:space="preserve"> </w:t>
      </w:r>
      <w:r w:rsidR="00A47E88" w:rsidRPr="00413A40">
        <w:rPr>
          <w:lang w:val="fr-CA"/>
        </w:rPr>
        <w:t>et</w:t>
      </w:r>
      <w:r w:rsidRPr="00413A40">
        <w:rPr>
          <w:lang w:val="fr-CA"/>
        </w:rPr>
        <w:t xml:space="preserve"> </w:t>
      </w:r>
      <w:r w:rsidR="00926FBD" w:rsidRPr="002D6B80">
        <w:rPr>
          <w:i/>
          <w:lang w:val="fr-CA"/>
        </w:rPr>
        <w:t>Lindsay</w:t>
      </w:r>
      <w:r w:rsidR="00B029AB">
        <w:rPr>
          <w:i/>
          <w:lang w:val="fr-CA"/>
        </w:rPr>
        <w:t xml:space="preserve"> </w:t>
      </w:r>
      <w:r w:rsidRPr="002D6B80">
        <w:rPr>
          <w:i/>
          <w:lang w:val="fr-CA"/>
        </w:rPr>
        <w:t>E. Trevelyan</w:t>
      </w:r>
      <w:r w:rsidRPr="00413A40">
        <w:rPr>
          <w:lang w:val="fr-CA"/>
        </w:rPr>
        <w:t xml:space="preserve">, </w:t>
      </w:r>
      <w:r w:rsidR="00A47E88" w:rsidRPr="00413A40">
        <w:rPr>
          <w:lang w:val="fr-CA"/>
        </w:rPr>
        <w:t>pour l</w:t>
      </w:r>
      <w:r w:rsidR="002D6B80">
        <w:rPr>
          <w:lang w:val="fr-CA"/>
        </w:rPr>
        <w:t>’</w:t>
      </w:r>
      <w:r w:rsidR="00A47E88" w:rsidRPr="00413A40">
        <w:rPr>
          <w:lang w:val="fr-CA"/>
        </w:rPr>
        <w:t xml:space="preserve">intervenante </w:t>
      </w:r>
      <w:r w:rsidRPr="00413A40">
        <w:rPr>
          <w:lang w:val="fr-CA"/>
        </w:rPr>
        <w:t>Advocates</w:t>
      </w:r>
      <w:r w:rsidR="002D6B80">
        <w:rPr>
          <w:lang w:val="fr-CA"/>
        </w:rPr>
        <w:t>’</w:t>
      </w:r>
      <w:r w:rsidRPr="00413A40">
        <w:rPr>
          <w:lang w:val="fr-CA"/>
        </w:rPr>
        <w:t xml:space="preserve"> Society.</w:t>
      </w:r>
    </w:p>
    <w:p w:rsidR="008858D4" w:rsidRPr="00413A40" w:rsidRDefault="008858D4" w:rsidP="00A659A4">
      <w:pPr>
        <w:pStyle w:val="SCCNormalDoubleSpacing"/>
        <w:spacing w:after="480"/>
        <w:rPr>
          <w:lang w:val="fr-CA"/>
        </w:rPr>
      </w:pPr>
      <w:r w:rsidRPr="002D6B80">
        <w:rPr>
          <w:i/>
          <w:lang w:val="fr-CA"/>
        </w:rPr>
        <w:tab/>
      </w:r>
      <w:r w:rsidR="00926FBD" w:rsidRPr="002D6B80">
        <w:rPr>
          <w:i/>
          <w:lang w:val="fr-CA"/>
        </w:rPr>
        <w:t>Eric</w:t>
      </w:r>
      <w:r w:rsidR="00B029AB">
        <w:rPr>
          <w:i/>
          <w:lang w:val="fr-CA"/>
        </w:rPr>
        <w:t xml:space="preserve"> </w:t>
      </w:r>
      <w:r w:rsidRPr="002D6B80">
        <w:rPr>
          <w:i/>
          <w:lang w:val="fr-CA"/>
        </w:rPr>
        <w:t>V. Gottardi</w:t>
      </w:r>
      <w:r w:rsidRPr="00413A40">
        <w:rPr>
          <w:lang w:val="fr-CA"/>
        </w:rPr>
        <w:t xml:space="preserve"> </w:t>
      </w:r>
      <w:r w:rsidR="00A47E88" w:rsidRPr="00413A40">
        <w:rPr>
          <w:lang w:val="fr-CA"/>
        </w:rPr>
        <w:t>et</w:t>
      </w:r>
      <w:r w:rsidRPr="00413A40">
        <w:rPr>
          <w:lang w:val="fr-CA"/>
        </w:rPr>
        <w:t xml:space="preserve"> </w:t>
      </w:r>
      <w:r w:rsidRPr="002D6B80">
        <w:rPr>
          <w:i/>
          <w:lang w:val="fr-CA"/>
        </w:rPr>
        <w:t>Nikos Harris</w:t>
      </w:r>
      <w:r w:rsidRPr="00413A40">
        <w:rPr>
          <w:lang w:val="fr-CA"/>
        </w:rPr>
        <w:t xml:space="preserve">, </w:t>
      </w:r>
      <w:r w:rsidR="00A47E88" w:rsidRPr="00413A40">
        <w:rPr>
          <w:lang w:val="fr-CA"/>
        </w:rPr>
        <w:t>pour l</w:t>
      </w:r>
      <w:r w:rsidR="002D6B80">
        <w:rPr>
          <w:lang w:val="fr-CA"/>
        </w:rPr>
        <w:t>’</w:t>
      </w:r>
      <w:r w:rsidR="00A47E88" w:rsidRPr="00413A40">
        <w:rPr>
          <w:lang w:val="fr-CA"/>
        </w:rPr>
        <w:t>intervenante l</w:t>
      </w:r>
      <w:r w:rsidR="002D6B80">
        <w:rPr>
          <w:lang w:val="fr-CA"/>
        </w:rPr>
        <w:t>’</w:t>
      </w:r>
      <w:r w:rsidR="00A47E88" w:rsidRPr="00413A40">
        <w:rPr>
          <w:lang w:val="fr-CA"/>
        </w:rPr>
        <w:t>Association du Barreau canadien</w:t>
      </w:r>
      <w:r w:rsidRPr="00413A40">
        <w:rPr>
          <w:lang w:val="fr-CA"/>
        </w:rPr>
        <w:t>.</w:t>
      </w:r>
    </w:p>
    <w:p w:rsidR="008858D4" w:rsidRPr="00413A40" w:rsidRDefault="008858D4" w:rsidP="00A659A4">
      <w:pPr>
        <w:pStyle w:val="SCCNormalDoubleSpacing"/>
        <w:spacing w:after="480"/>
        <w:rPr>
          <w:lang w:val="fr-CA"/>
        </w:rPr>
      </w:pPr>
      <w:r w:rsidRPr="002D6B80">
        <w:rPr>
          <w:i/>
          <w:lang w:val="fr-CA"/>
        </w:rPr>
        <w:tab/>
        <w:t>Solomon Friedman</w:t>
      </w:r>
      <w:r w:rsidRPr="00413A40">
        <w:rPr>
          <w:lang w:val="fr-CA"/>
        </w:rPr>
        <w:t xml:space="preserve">, </w:t>
      </w:r>
      <w:r w:rsidR="00A47E88" w:rsidRPr="00413A40">
        <w:rPr>
          <w:lang w:val="fr-CA"/>
        </w:rPr>
        <w:t>pour l</w:t>
      </w:r>
      <w:r w:rsidR="002D6B80">
        <w:rPr>
          <w:lang w:val="fr-CA"/>
        </w:rPr>
        <w:t>’</w:t>
      </w:r>
      <w:r w:rsidR="00A47E88" w:rsidRPr="00413A40">
        <w:rPr>
          <w:lang w:val="fr-CA"/>
        </w:rPr>
        <w:t>intervenante l</w:t>
      </w:r>
      <w:r w:rsidR="002D6B80">
        <w:rPr>
          <w:lang w:val="fr-CA"/>
        </w:rPr>
        <w:t>’</w:t>
      </w:r>
      <w:r w:rsidR="00A47E88" w:rsidRPr="00413A40">
        <w:rPr>
          <w:lang w:val="fr-CA"/>
        </w:rPr>
        <w:t>Association canadienne pour les armes à feu</w:t>
      </w:r>
      <w:r w:rsidRPr="00413A40">
        <w:rPr>
          <w:lang w:val="fr-CA"/>
        </w:rPr>
        <w:t>.</w:t>
      </w:r>
    </w:p>
    <w:p w:rsidR="008858D4" w:rsidRPr="00413A40" w:rsidRDefault="008858D4" w:rsidP="00A659A4">
      <w:pPr>
        <w:pStyle w:val="SCCNormalDoubleSpacing"/>
        <w:spacing w:after="480"/>
        <w:rPr>
          <w:lang w:val="fr-CA"/>
        </w:rPr>
      </w:pPr>
      <w:r w:rsidRPr="002D6B80">
        <w:rPr>
          <w:i/>
          <w:lang w:val="fr-CA"/>
        </w:rPr>
        <w:lastRenderedPageBreak/>
        <w:tab/>
        <w:t>Joanna L. Birenbaum</w:t>
      </w:r>
      <w:r w:rsidRPr="00413A40">
        <w:rPr>
          <w:lang w:val="fr-CA"/>
        </w:rPr>
        <w:t xml:space="preserve">, </w:t>
      </w:r>
      <w:r w:rsidR="00A47E88" w:rsidRPr="00413A40">
        <w:rPr>
          <w:lang w:val="fr-CA"/>
        </w:rPr>
        <w:t>pour l</w:t>
      </w:r>
      <w:r w:rsidR="002D6B80">
        <w:rPr>
          <w:lang w:val="fr-CA"/>
        </w:rPr>
        <w:t>’</w:t>
      </w:r>
      <w:r w:rsidR="00A47E88" w:rsidRPr="00413A40">
        <w:rPr>
          <w:lang w:val="fr-CA"/>
        </w:rPr>
        <w:t>intervenante l</w:t>
      </w:r>
      <w:r w:rsidR="002D6B80">
        <w:rPr>
          <w:lang w:val="fr-CA"/>
        </w:rPr>
        <w:t>’</w:t>
      </w:r>
      <w:r w:rsidR="00A47E88" w:rsidRPr="00413A40">
        <w:rPr>
          <w:lang w:val="fr-CA"/>
        </w:rPr>
        <w:t>Association canadienne pour l</w:t>
      </w:r>
      <w:r w:rsidR="002D6B80">
        <w:rPr>
          <w:lang w:val="fr-CA"/>
        </w:rPr>
        <w:t>’</w:t>
      </w:r>
      <w:r w:rsidR="00A47E88" w:rsidRPr="00413A40">
        <w:rPr>
          <w:lang w:val="fr-CA"/>
        </w:rPr>
        <w:t>intégration communautaire</w:t>
      </w:r>
      <w:r w:rsidRPr="00413A40">
        <w:rPr>
          <w:lang w:val="fr-CA"/>
        </w:rPr>
        <w:t>.</w:t>
      </w:r>
    </w:p>
    <w:p w:rsidR="008858D4" w:rsidRPr="00413A40" w:rsidRDefault="008858D4" w:rsidP="00A659A4">
      <w:pPr>
        <w:pStyle w:val="SCCNormalDoubleSpacing"/>
        <w:spacing w:after="480"/>
        <w:rPr>
          <w:lang w:val="fr-CA"/>
        </w:rPr>
      </w:pPr>
      <w:r w:rsidRPr="002D6B80">
        <w:rPr>
          <w:i/>
          <w:lang w:val="fr-CA"/>
        </w:rPr>
        <w:tab/>
        <w:t xml:space="preserve">Faisal Mirza </w:t>
      </w:r>
      <w:r w:rsidR="00A47E88" w:rsidRPr="00CE6101">
        <w:rPr>
          <w:lang w:val="fr-CA"/>
        </w:rPr>
        <w:t>et</w:t>
      </w:r>
      <w:r w:rsidRPr="002D6B80">
        <w:rPr>
          <w:i/>
          <w:lang w:val="fr-CA"/>
        </w:rPr>
        <w:t xml:space="preserve"> </w:t>
      </w:r>
      <w:r w:rsidR="00926FBD" w:rsidRPr="002D6B80">
        <w:rPr>
          <w:i/>
          <w:lang w:val="fr-CA"/>
        </w:rPr>
        <w:t>Anthony</w:t>
      </w:r>
      <w:r w:rsidR="00B029AB">
        <w:rPr>
          <w:i/>
          <w:lang w:val="fr-CA"/>
        </w:rPr>
        <w:t xml:space="preserve"> </w:t>
      </w:r>
      <w:r w:rsidRPr="002D6B80">
        <w:rPr>
          <w:i/>
          <w:lang w:val="fr-CA"/>
        </w:rPr>
        <w:t>N. Morgan</w:t>
      </w:r>
      <w:r w:rsidRPr="00413A40">
        <w:rPr>
          <w:lang w:val="fr-CA"/>
        </w:rPr>
        <w:t xml:space="preserve">, </w:t>
      </w:r>
      <w:r w:rsidR="00A47E88" w:rsidRPr="00413A40">
        <w:rPr>
          <w:lang w:val="fr-CA"/>
        </w:rPr>
        <w:t>pour l</w:t>
      </w:r>
      <w:r w:rsidR="002D6B80">
        <w:rPr>
          <w:lang w:val="fr-CA"/>
        </w:rPr>
        <w:t>’</w:t>
      </w:r>
      <w:r w:rsidR="00A47E88" w:rsidRPr="00413A40">
        <w:rPr>
          <w:lang w:val="fr-CA"/>
        </w:rPr>
        <w:t xml:space="preserve">intervenante </w:t>
      </w:r>
      <w:r w:rsidR="00360713" w:rsidRPr="00413A40">
        <w:rPr>
          <w:lang w:val="fr-CA"/>
        </w:rPr>
        <w:t xml:space="preserve">la Clinique </w:t>
      </w:r>
      <w:r w:rsidR="00C95B20" w:rsidRPr="00413A40">
        <w:rPr>
          <w:lang w:val="fr-CA"/>
        </w:rPr>
        <w:t>j</w:t>
      </w:r>
      <w:r w:rsidR="00360713" w:rsidRPr="00413A40">
        <w:rPr>
          <w:lang w:val="fr-CA"/>
        </w:rPr>
        <w:t xml:space="preserve">uridique </w:t>
      </w:r>
      <w:r w:rsidR="00C95B20" w:rsidRPr="00413A40">
        <w:rPr>
          <w:lang w:val="fr-CA"/>
        </w:rPr>
        <w:t>a</w:t>
      </w:r>
      <w:r w:rsidR="00360713" w:rsidRPr="00413A40">
        <w:rPr>
          <w:lang w:val="fr-CA"/>
        </w:rPr>
        <w:t xml:space="preserve">fricaine </w:t>
      </w:r>
      <w:r w:rsidR="00C95B20" w:rsidRPr="00413A40">
        <w:rPr>
          <w:lang w:val="fr-CA"/>
        </w:rPr>
        <w:t>c</w:t>
      </w:r>
      <w:r w:rsidR="00360713" w:rsidRPr="00413A40">
        <w:rPr>
          <w:lang w:val="fr-CA"/>
        </w:rPr>
        <w:t>anadienne</w:t>
      </w:r>
      <w:r w:rsidRPr="00413A40">
        <w:rPr>
          <w:lang w:val="fr-CA"/>
        </w:rPr>
        <w:t>.</w:t>
      </w:r>
    </w:p>
    <w:p w:rsidR="002A4851" w:rsidRDefault="00084013" w:rsidP="00A659A4">
      <w:pPr>
        <w:pStyle w:val="SCCNormalDoubleSpacing"/>
        <w:spacing w:after="480"/>
        <w:rPr>
          <w:lang w:val="fr-CA"/>
        </w:rPr>
      </w:pPr>
      <w:r>
        <w:rPr>
          <w:lang w:val="fr-CA"/>
        </w:rPr>
        <w:tab/>
        <w:t>Version française du jugement de la juge en chef McLachlin et des juges LeBel, Abella, Cromwell, Karakatsanis et Gascon rendu par</w:t>
      </w:r>
    </w:p>
    <w:p w:rsidR="002A4851" w:rsidRPr="00017532" w:rsidRDefault="00EA26A9" w:rsidP="00A659A4">
      <w:pPr>
        <w:pStyle w:val="JudgeJuge"/>
        <w:spacing w:before="480"/>
        <w:jc w:val="both"/>
        <w:rPr>
          <w:lang w:val="fr-CA"/>
        </w:rPr>
      </w:pPr>
      <w:r>
        <w:rPr>
          <w:lang w:val="fr-CA"/>
        </w:rPr>
        <w:tab/>
        <w:t>La J</w:t>
      </w:r>
      <w:r w:rsidR="002A4851" w:rsidRPr="00017532">
        <w:rPr>
          <w:lang w:val="fr-CA"/>
        </w:rPr>
        <w:t xml:space="preserve">uge en chef — </w:t>
      </w:r>
    </w:p>
    <w:p w:rsidR="002A4851" w:rsidRPr="00017532" w:rsidRDefault="002A4851" w:rsidP="00A659A4">
      <w:pPr>
        <w:pStyle w:val="Title1LevelTitre1Niveau-AltL"/>
        <w:ind w:left="578" w:hanging="578"/>
        <w:jc w:val="both"/>
        <w:rPr>
          <w:rFonts w:cs="Times New Roman"/>
          <w:lang w:val="fr-CA"/>
        </w:rPr>
      </w:pPr>
      <w:r w:rsidRPr="00017532">
        <w:rPr>
          <w:rFonts w:cs="Times New Roman"/>
          <w:lang w:val="fr-CA"/>
        </w:rPr>
        <w:t>Aperçu</w:t>
      </w:r>
    </w:p>
    <w:p w:rsidR="002A4851" w:rsidRPr="00017532" w:rsidRDefault="002A4851" w:rsidP="00A659A4">
      <w:pPr>
        <w:pStyle w:val="ParaNoNdepar-AltN"/>
        <w:rPr>
          <w:rFonts w:cs="Times New Roman"/>
          <w:lang w:val="fr-CA"/>
        </w:rPr>
      </w:pPr>
      <w:r w:rsidRPr="00017532">
        <w:rPr>
          <w:rFonts w:cs="Times New Roman"/>
          <w:lang w:val="fr-CA"/>
        </w:rPr>
        <w:t>Les crimes liés aux armes à feu exposent les Canadiennes et les Canadiens à de graves dangers. Le législateur a donc résolu d</w:t>
      </w:r>
      <w:r>
        <w:rPr>
          <w:rFonts w:cs="Times New Roman"/>
          <w:lang w:val="fr-CA"/>
        </w:rPr>
        <w:t>’</w:t>
      </w:r>
      <w:r w:rsidRPr="00017532">
        <w:rPr>
          <w:rFonts w:cs="Times New Roman"/>
          <w:lang w:val="fr-CA"/>
        </w:rPr>
        <w:t>interdire carrément la possession de certaines armes et de restreindre celle d</w:t>
      </w:r>
      <w:r>
        <w:rPr>
          <w:rFonts w:cs="Times New Roman"/>
          <w:lang w:val="fr-CA"/>
        </w:rPr>
        <w:t>’</w:t>
      </w:r>
      <w:r w:rsidRPr="00017532">
        <w:rPr>
          <w:rFonts w:cs="Times New Roman"/>
          <w:lang w:val="fr-CA"/>
        </w:rPr>
        <w:t xml:space="preserve">autres armes. Le </w:t>
      </w:r>
      <w:r w:rsidRPr="00017532">
        <w:rPr>
          <w:rFonts w:cs="Times New Roman"/>
          <w:i/>
          <w:lang w:val="fr-CA"/>
        </w:rPr>
        <w:t>Code criminel</w:t>
      </w:r>
      <w:r w:rsidRPr="00017532">
        <w:rPr>
          <w:rFonts w:cs="Times New Roman"/>
          <w:lang w:val="fr-CA"/>
        </w:rPr>
        <w:t>, L.R.C. 1985, c.</w:t>
      </w:r>
      <w:r w:rsidR="00B029AB">
        <w:rPr>
          <w:rFonts w:cs="Times New Roman"/>
          <w:lang w:val="fr-CA"/>
        </w:rPr>
        <w:t xml:space="preserve"> </w:t>
      </w:r>
      <w:r w:rsidRPr="00017532">
        <w:rPr>
          <w:rFonts w:cs="Times New Roman"/>
          <w:lang w:val="fr-CA"/>
        </w:rPr>
        <w:t>C</w:t>
      </w:r>
      <w:r w:rsidR="00B029AB">
        <w:rPr>
          <w:rFonts w:cs="Times New Roman"/>
          <w:lang w:val="fr-CA"/>
        </w:rPr>
        <w:t>-</w:t>
      </w:r>
      <w:r w:rsidRPr="00017532">
        <w:rPr>
          <w:rFonts w:cs="Times New Roman"/>
          <w:lang w:val="fr-CA"/>
        </w:rPr>
        <w:t>46</w:t>
      </w:r>
      <w:r>
        <w:rPr>
          <w:rFonts w:cs="Times New Roman"/>
          <w:lang w:val="fr-CA"/>
        </w:rPr>
        <w:t>,</w:t>
      </w:r>
      <w:r w:rsidRPr="00017532">
        <w:rPr>
          <w:rFonts w:cs="Times New Roman"/>
          <w:lang w:val="fr-CA"/>
        </w:rPr>
        <w:t xml:space="preserve"> prévoit de lourdes peines lorsqu</w:t>
      </w:r>
      <w:r>
        <w:rPr>
          <w:rFonts w:cs="Times New Roman"/>
          <w:lang w:val="fr-CA"/>
        </w:rPr>
        <w:t>’</w:t>
      </w:r>
      <w:r w:rsidRPr="00017532">
        <w:rPr>
          <w:rFonts w:cs="Times New Roman"/>
          <w:lang w:val="fr-CA"/>
        </w:rPr>
        <w:t>il y a infraction aux dispositions ainsi créées</w:t>
      </w:r>
      <w:r>
        <w:rPr>
          <w:rFonts w:cs="Times New Roman"/>
          <w:lang w:val="fr-CA"/>
        </w:rPr>
        <w:t xml:space="preserve">. </w:t>
      </w:r>
    </w:p>
    <w:p w:rsidR="002A4851" w:rsidRPr="00017532" w:rsidRDefault="002A4851" w:rsidP="00A659A4">
      <w:pPr>
        <w:pStyle w:val="ParaNoNdepar-AltN"/>
        <w:rPr>
          <w:rFonts w:cs="Times New Roman"/>
          <w:lang w:val="fr-CA"/>
        </w:rPr>
      </w:pPr>
      <w:r w:rsidRPr="00017532">
        <w:rPr>
          <w:rFonts w:cs="Times New Roman"/>
          <w:lang w:val="fr-CA"/>
        </w:rPr>
        <w:t>L</w:t>
      </w:r>
      <w:r>
        <w:rPr>
          <w:rFonts w:cs="Times New Roman"/>
          <w:lang w:val="fr-CA"/>
        </w:rPr>
        <w:t>’</w:t>
      </w:r>
      <w:r w:rsidRPr="00017532">
        <w:rPr>
          <w:rFonts w:cs="Times New Roman"/>
          <w:lang w:val="fr-CA"/>
        </w:rPr>
        <w:t>alinéa</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84013">
        <w:rPr>
          <w:rFonts w:cs="Times New Roman"/>
          <w:lang w:val="fr-CA"/>
        </w:rPr>
        <w:t>)</w:t>
      </w:r>
      <w:r w:rsidRPr="00017532">
        <w:rPr>
          <w:rFonts w:cs="Times New Roman"/>
          <w:lang w:val="fr-CA"/>
        </w:rPr>
        <w:t xml:space="preserve"> prévoit des peines minimales obligatoires pour la possession sans autorisation d</w:t>
      </w:r>
      <w:r>
        <w:rPr>
          <w:rFonts w:cs="Times New Roman"/>
          <w:lang w:val="fr-CA"/>
        </w:rPr>
        <w:t>’</w:t>
      </w:r>
      <w:r w:rsidRPr="00017532">
        <w:rPr>
          <w:rFonts w:cs="Times New Roman"/>
          <w:lang w:val="fr-CA"/>
        </w:rPr>
        <w:t>une arme à feu prohibée ou à autorisation restreinte lorsque l</w:t>
      </w:r>
      <w:r>
        <w:rPr>
          <w:rFonts w:cs="Times New Roman"/>
          <w:lang w:val="fr-CA"/>
        </w:rPr>
        <w:t>’</w:t>
      </w:r>
      <w:r w:rsidRPr="00017532">
        <w:rPr>
          <w:rFonts w:cs="Times New Roman"/>
          <w:lang w:val="fr-CA"/>
        </w:rPr>
        <w:t>arme est chargée ou que des munitions sont facilement accessibles (par.</w:t>
      </w:r>
      <w:r w:rsidR="00B029AB">
        <w:rPr>
          <w:rFonts w:cs="Times New Roman"/>
          <w:lang w:val="fr-CA"/>
        </w:rPr>
        <w:t xml:space="preserve"> </w:t>
      </w:r>
      <w:r w:rsidRPr="00017532">
        <w:rPr>
          <w:rFonts w:cs="Times New Roman"/>
          <w:lang w:val="fr-CA"/>
        </w:rPr>
        <w:t>95(1)), à savoir trois ans s</w:t>
      </w:r>
      <w:r>
        <w:rPr>
          <w:rFonts w:cs="Times New Roman"/>
          <w:lang w:val="fr-CA"/>
        </w:rPr>
        <w:t>’</w:t>
      </w:r>
      <w:r w:rsidRPr="00017532">
        <w:rPr>
          <w:rFonts w:cs="Times New Roman"/>
          <w:lang w:val="fr-CA"/>
        </w:rPr>
        <w:t>il s</w:t>
      </w:r>
      <w:r>
        <w:rPr>
          <w:rFonts w:cs="Times New Roman"/>
          <w:lang w:val="fr-CA"/>
        </w:rPr>
        <w:t>’</w:t>
      </w:r>
      <w:r w:rsidRPr="00017532">
        <w:rPr>
          <w:rFonts w:cs="Times New Roman"/>
          <w:lang w:val="fr-CA"/>
        </w:rPr>
        <w:t>agit d</w:t>
      </w:r>
      <w:r>
        <w:rPr>
          <w:rFonts w:cs="Times New Roman"/>
          <w:lang w:val="fr-CA"/>
        </w:rPr>
        <w:t>’</w:t>
      </w:r>
      <w:r w:rsidRPr="00017532">
        <w:rPr>
          <w:rFonts w:cs="Times New Roman"/>
          <w:lang w:val="fr-CA"/>
        </w:rPr>
        <w:t>une première infraction et cinq</w:t>
      </w:r>
      <w:r w:rsidR="00B029AB">
        <w:rPr>
          <w:rFonts w:cs="Times New Roman"/>
          <w:lang w:val="fr-CA"/>
        </w:rPr>
        <w:t xml:space="preserve"> </w:t>
      </w:r>
      <w:r w:rsidRPr="00017532">
        <w:rPr>
          <w:rFonts w:cs="Times New Roman"/>
          <w:lang w:val="fr-CA"/>
        </w:rPr>
        <w:t>ans s</w:t>
      </w:r>
      <w:r>
        <w:rPr>
          <w:rFonts w:cs="Times New Roman"/>
          <w:lang w:val="fr-CA"/>
        </w:rPr>
        <w:t>’</w:t>
      </w:r>
      <w:r w:rsidRPr="00017532">
        <w:rPr>
          <w:rFonts w:cs="Times New Roman"/>
          <w:lang w:val="fr-CA"/>
        </w:rPr>
        <w:t>il s</w:t>
      </w:r>
      <w:r>
        <w:rPr>
          <w:rFonts w:cs="Times New Roman"/>
          <w:lang w:val="fr-CA"/>
        </w:rPr>
        <w:t>’</w:t>
      </w:r>
      <w:r w:rsidRPr="00017532">
        <w:rPr>
          <w:rFonts w:cs="Times New Roman"/>
          <w:lang w:val="fr-CA"/>
        </w:rPr>
        <w:t>agit d</w:t>
      </w:r>
      <w:r>
        <w:rPr>
          <w:rFonts w:cs="Times New Roman"/>
          <w:lang w:val="fr-CA"/>
        </w:rPr>
        <w:t>’</w:t>
      </w:r>
      <w:r w:rsidRPr="00017532">
        <w:rPr>
          <w:rFonts w:cs="Times New Roman"/>
          <w:lang w:val="fr-CA"/>
        </w:rPr>
        <w:t>une récidive.</w:t>
      </w:r>
    </w:p>
    <w:p w:rsidR="002A4851" w:rsidRPr="00017532" w:rsidRDefault="002A4851" w:rsidP="00A659A4">
      <w:pPr>
        <w:pStyle w:val="ParaNoNdepar-AltN"/>
        <w:rPr>
          <w:rFonts w:cs="Times New Roman"/>
          <w:lang w:val="fr-CA"/>
        </w:rPr>
      </w:pPr>
      <w:r w:rsidRPr="00017532">
        <w:rPr>
          <w:rFonts w:cs="Times New Roman"/>
          <w:lang w:val="fr-CA"/>
        </w:rPr>
        <w:lastRenderedPageBreak/>
        <w:t>Les intimés, Hussein Jama</w:t>
      </w:r>
      <w:r w:rsidR="00B029AB">
        <w:rPr>
          <w:rFonts w:cs="Times New Roman"/>
          <w:lang w:val="fr-CA"/>
        </w:rPr>
        <w:t xml:space="preserve"> </w:t>
      </w:r>
      <w:r w:rsidRPr="00017532">
        <w:rPr>
          <w:rFonts w:cs="Times New Roman"/>
          <w:lang w:val="fr-CA"/>
        </w:rPr>
        <w:t>Nur et S</w:t>
      </w:r>
      <w:r w:rsidR="00084013">
        <w:rPr>
          <w:rFonts w:cs="Times New Roman"/>
          <w:lang w:val="fr-CA"/>
        </w:rPr>
        <w:t>i</w:t>
      </w:r>
      <w:r w:rsidRPr="00017532">
        <w:rPr>
          <w:rFonts w:cs="Times New Roman"/>
          <w:lang w:val="fr-CA"/>
        </w:rPr>
        <w:t>dney Charles, ont été déclarés coupables de l</w:t>
      </w:r>
      <w:r>
        <w:rPr>
          <w:rFonts w:cs="Times New Roman"/>
          <w:lang w:val="fr-CA"/>
        </w:rPr>
        <w:t>’</w:t>
      </w:r>
      <w:r w:rsidRPr="00017532">
        <w:rPr>
          <w:rFonts w:cs="Times New Roman"/>
          <w:lang w:val="fr-CA"/>
        </w:rPr>
        <w:t>infraction établie au par.</w:t>
      </w:r>
      <w:r w:rsidR="00B029AB">
        <w:rPr>
          <w:rFonts w:cs="Times New Roman"/>
          <w:lang w:val="fr-CA"/>
        </w:rPr>
        <w:t xml:space="preserve"> </w:t>
      </w:r>
      <w:r w:rsidRPr="00017532">
        <w:rPr>
          <w:rFonts w:cs="Times New Roman"/>
          <w:lang w:val="fr-CA"/>
        </w:rPr>
        <w:t>95(1). Ils font valoir que les peines minimales obligatoires que prévoit l</w:t>
      </w:r>
      <w:r>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84013">
        <w:rPr>
          <w:rFonts w:cs="Times New Roman"/>
          <w:lang w:val="fr-CA"/>
        </w:rPr>
        <w:t>)</w:t>
      </w:r>
      <w:r w:rsidRPr="00017532">
        <w:rPr>
          <w:rFonts w:cs="Times New Roman"/>
          <w:lang w:val="fr-CA"/>
        </w:rPr>
        <w:t xml:space="preserve"> sont inconstitutionnelles car elles se traduisent parfois par des peines totalement disproportionnées, ce qui contrevient à la protection contre les peines cruelles et inusitées garantie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 canadienne des droits et libertés</w:t>
      </w:r>
      <w:r w:rsidRPr="00084013">
        <w:rPr>
          <w:rFonts w:cs="Times New Roman"/>
          <w:lang w:val="fr-CA"/>
        </w:rPr>
        <w:t>.</w:t>
      </w:r>
      <w:r w:rsidRPr="00017532">
        <w:rPr>
          <w:rFonts w:cs="Times New Roman"/>
          <w:lang w:val="fr-CA"/>
        </w:rPr>
        <w:t xml:space="preserve"> La Cour d</w:t>
      </w:r>
      <w:r>
        <w:rPr>
          <w:rFonts w:cs="Times New Roman"/>
          <w:lang w:val="fr-CA"/>
        </w:rPr>
        <w:t>’</w:t>
      </w:r>
      <w:r w:rsidRPr="00017532">
        <w:rPr>
          <w:rFonts w:cs="Times New Roman"/>
          <w:lang w:val="fr-CA"/>
        </w:rPr>
        <w:t>appel de l</w:t>
      </w:r>
      <w:r>
        <w:rPr>
          <w:rFonts w:cs="Times New Roman"/>
          <w:lang w:val="fr-CA"/>
        </w:rPr>
        <w:t>’</w:t>
      </w:r>
      <w:r w:rsidRPr="00017532">
        <w:rPr>
          <w:rFonts w:cs="Times New Roman"/>
          <w:lang w:val="fr-CA"/>
        </w:rPr>
        <w:t>Ontario leur a donné raison et a statué que les peines minimales obligatoires prévues à l</w:t>
      </w:r>
      <w:r>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84013">
        <w:rPr>
          <w:rFonts w:cs="Times New Roman"/>
          <w:lang w:val="fr-CA"/>
        </w:rPr>
        <w:t>)</w:t>
      </w:r>
      <w:r w:rsidRPr="00017532">
        <w:rPr>
          <w:rFonts w:cs="Times New Roman"/>
          <w:lang w:val="fr-CA"/>
        </w:rPr>
        <w:t xml:space="preserve"> étaient inconstitutionnelles. </w:t>
      </w:r>
    </w:p>
    <w:p w:rsidR="002A4851" w:rsidRPr="00017532" w:rsidRDefault="002A4851" w:rsidP="00A659A4">
      <w:pPr>
        <w:pStyle w:val="ParaNoNdepar-AltN"/>
        <w:rPr>
          <w:rFonts w:cs="Times New Roman"/>
          <w:lang w:val="fr-CA"/>
        </w:rPr>
      </w:pPr>
      <w:r w:rsidRPr="00017532">
        <w:rPr>
          <w:rFonts w:cs="Times New Roman"/>
          <w:lang w:val="fr-CA"/>
        </w:rPr>
        <w:t>Je conviens avec la Cour d</w:t>
      </w:r>
      <w:r>
        <w:rPr>
          <w:rFonts w:cs="Times New Roman"/>
          <w:lang w:val="fr-CA"/>
        </w:rPr>
        <w:t>’</w:t>
      </w:r>
      <w:r w:rsidRPr="00017532">
        <w:rPr>
          <w:rFonts w:cs="Times New Roman"/>
          <w:lang w:val="fr-CA"/>
        </w:rPr>
        <w:t>appel que les peines minimales obligatoires prévues à l</w:t>
      </w:r>
      <w:r>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84013">
        <w:rPr>
          <w:rFonts w:cs="Times New Roman"/>
          <w:lang w:val="fr-CA"/>
        </w:rPr>
        <w:t>)</w:t>
      </w:r>
      <w:r w:rsidRPr="00017532">
        <w:rPr>
          <w:rFonts w:cs="Times New Roman"/>
          <w:lang w:val="fr-CA"/>
        </w:rPr>
        <w:t xml:space="preserve"> du </w:t>
      </w:r>
      <w:r w:rsidRPr="00017532">
        <w:rPr>
          <w:rFonts w:cs="Times New Roman"/>
          <w:i/>
          <w:lang w:val="fr-CA"/>
        </w:rPr>
        <w:t>Code criminel</w:t>
      </w:r>
      <w:r w:rsidRPr="00017532">
        <w:rPr>
          <w:rFonts w:cs="Times New Roman"/>
          <w:lang w:val="fr-CA"/>
        </w:rPr>
        <w:t xml:space="preserve"> contreviennent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Ces peines sont donc inopérantes par application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52 de la </w:t>
      </w:r>
      <w:r w:rsidRPr="00017532">
        <w:rPr>
          <w:rFonts w:cs="Times New Roman"/>
          <w:i/>
          <w:lang w:val="fr-CA"/>
        </w:rPr>
        <w:t>Loi constitutionnelle de 1982</w:t>
      </w:r>
      <w:r w:rsidRPr="00017532">
        <w:rPr>
          <w:rFonts w:cs="Times New Roman"/>
          <w:lang w:val="fr-CA"/>
        </w:rPr>
        <w:t>. Dans la plupart des cas — dont ceux de MM.</w:t>
      </w:r>
      <w:r w:rsidR="00B029AB">
        <w:rPr>
          <w:rFonts w:cs="Times New Roman"/>
          <w:lang w:val="fr-CA"/>
        </w:rPr>
        <w:t xml:space="preserve"> </w:t>
      </w:r>
      <w:r w:rsidRPr="00017532">
        <w:rPr>
          <w:rFonts w:cs="Times New Roman"/>
          <w:lang w:val="fr-CA"/>
        </w:rPr>
        <w:t>Nur et Charles —, les peines minimales obligatoires de trois et cinq</w:t>
      </w:r>
      <w:r w:rsidR="00B029AB">
        <w:rPr>
          <w:rFonts w:cs="Times New Roman"/>
          <w:lang w:val="fr-CA"/>
        </w:rPr>
        <w:t xml:space="preserve"> </w:t>
      </w:r>
      <w:r w:rsidRPr="00017532">
        <w:rPr>
          <w:rFonts w:cs="Times New Roman"/>
          <w:lang w:val="fr-CA"/>
        </w:rPr>
        <w:t>ans ne constituent pas des peines cruelles et inusitées. Mais dans certaines situations raisonnablement prévisibles tombant sous le coup du par.</w:t>
      </w:r>
      <w:r w:rsidR="00B029AB">
        <w:rPr>
          <w:rFonts w:cs="Times New Roman"/>
          <w:lang w:val="fr-CA"/>
        </w:rPr>
        <w:t xml:space="preserve"> </w:t>
      </w:r>
      <w:r w:rsidRPr="00017532">
        <w:rPr>
          <w:rFonts w:cs="Times New Roman"/>
          <w:lang w:val="fr-CA"/>
        </w:rPr>
        <w:t>95(1), elles peuvent l</w:t>
      </w:r>
      <w:r>
        <w:rPr>
          <w:rFonts w:cs="Times New Roman"/>
          <w:lang w:val="fr-CA"/>
        </w:rPr>
        <w:t>’</w:t>
      </w:r>
      <w:r w:rsidRPr="00017532">
        <w:rPr>
          <w:rFonts w:cs="Times New Roman"/>
          <w:lang w:val="fr-CA"/>
        </w:rPr>
        <w:t>être. Il n</w:t>
      </w:r>
      <w:r>
        <w:rPr>
          <w:rFonts w:cs="Times New Roman"/>
          <w:lang w:val="fr-CA"/>
        </w:rPr>
        <w:t>’</w:t>
      </w:r>
      <w:r w:rsidRPr="00017532">
        <w:rPr>
          <w:rFonts w:cs="Times New Roman"/>
          <w:lang w:val="fr-CA"/>
        </w:rPr>
        <w:t>a pas été démontré qu</w:t>
      </w:r>
      <w:r>
        <w:rPr>
          <w:rFonts w:cs="Times New Roman"/>
          <w:lang w:val="fr-CA"/>
        </w:rPr>
        <w:t>’</w:t>
      </w:r>
      <w:r w:rsidRPr="00017532">
        <w:rPr>
          <w:rFonts w:cs="Times New Roman"/>
          <w:lang w:val="fr-CA"/>
        </w:rPr>
        <w:t>elles sont alors justifiées au regard de l</w:t>
      </w:r>
      <w:r>
        <w:rPr>
          <w:rFonts w:cs="Times New Roman"/>
          <w:lang w:val="fr-CA"/>
        </w:rPr>
        <w:t>’</w:t>
      </w:r>
      <w:r w:rsidRPr="00017532">
        <w:rPr>
          <w:rFonts w:cs="Times New Roman"/>
          <w:lang w:val="fr-CA"/>
        </w:rPr>
        <w:t xml:space="preserve">article premier de la </w:t>
      </w:r>
      <w:r w:rsidRPr="00017532">
        <w:rPr>
          <w:rFonts w:cs="Times New Roman"/>
          <w:i/>
          <w:lang w:val="fr-CA"/>
        </w:rPr>
        <w:t>Charte</w:t>
      </w:r>
      <w:r w:rsidRPr="00017532">
        <w:rPr>
          <w:rFonts w:cs="Times New Roman"/>
          <w:lang w:val="fr-CA"/>
        </w:rPr>
        <w:t>. Dans sa version actuelle, l</w:t>
      </w:r>
      <w:r>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84013">
        <w:rPr>
          <w:rFonts w:cs="Times New Roman"/>
          <w:lang w:val="fr-CA"/>
        </w:rPr>
        <w:t>)</w:t>
      </w:r>
      <w:r w:rsidRPr="00017532">
        <w:rPr>
          <w:rFonts w:cs="Times New Roman"/>
          <w:lang w:val="fr-CA"/>
        </w:rPr>
        <w:t xml:space="preserve"> est donc inconstitutionnel, une conclusion qui dispense de l</w:t>
      </w:r>
      <w:r>
        <w:rPr>
          <w:rFonts w:cs="Times New Roman"/>
          <w:lang w:val="fr-CA"/>
        </w:rPr>
        <w:t>’</w:t>
      </w:r>
      <w:r w:rsidRPr="00017532">
        <w:rPr>
          <w:rFonts w:cs="Times New Roman"/>
          <w:lang w:val="fr-CA"/>
        </w:rPr>
        <w:t>examen des prétentions des intimés selon lesquelles l</w:t>
      </w:r>
      <w:r>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84013">
        <w:rPr>
          <w:rFonts w:cs="Times New Roman"/>
          <w:lang w:val="fr-CA"/>
        </w:rPr>
        <w:t>)</w:t>
      </w:r>
      <w:r w:rsidRPr="00017532">
        <w:rPr>
          <w:rFonts w:cs="Times New Roman"/>
          <w:lang w:val="fr-CA"/>
        </w:rPr>
        <w:t xml:space="preserve"> contrevient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 de la </w:t>
      </w:r>
      <w:r w:rsidRPr="00017532">
        <w:rPr>
          <w:rFonts w:cs="Times New Roman"/>
          <w:i/>
          <w:lang w:val="fr-CA"/>
        </w:rPr>
        <w:t>Charte</w:t>
      </w:r>
      <w:r w:rsidRPr="00017532">
        <w:rPr>
          <w:rFonts w:cs="Times New Roman"/>
          <w:lang w:val="fr-CA"/>
        </w:rPr>
        <w:t xml:space="preserve">. </w:t>
      </w:r>
    </w:p>
    <w:p w:rsidR="002A4851" w:rsidRPr="00017532" w:rsidRDefault="002A4851" w:rsidP="00A659A4">
      <w:pPr>
        <w:pStyle w:val="ParaNoNdepar-AltN"/>
        <w:rPr>
          <w:rFonts w:cs="Times New Roman"/>
          <w:lang w:val="fr-CA"/>
        </w:rPr>
      </w:pPr>
      <w:r w:rsidRPr="00017532">
        <w:rPr>
          <w:rFonts w:cs="Times New Roman"/>
          <w:lang w:val="fr-CA"/>
        </w:rPr>
        <w:t>Les tribunaux peuvent néanmoins infliger des peines exemplaires axées sur la dissuasion et la dénonciation lorsque les circonstances s</w:t>
      </w:r>
      <w:r>
        <w:rPr>
          <w:rFonts w:cs="Times New Roman"/>
          <w:lang w:val="fr-CA"/>
        </w:rPr>
        <w:t>’</w:t>
      </w:r>
      <w:r w:rsidRPr="00017532">
        <w:rPr>
          <w:rFonts w:cs="Times New Roman"/>
          <w:lang w:val="fr-CA"/>
        </w:rPr>
        <w:t>y prêtent, comme c</w:t>
      </w:r>
      <w:r>
        <w:rPr>
          <w:rFonts w:cs="Times New Roman"/>
          <w:lang w:val="fr-CA"/>
        </w:rPr>
        <w:t>’</w:t>
      </w:r>
      <w:r w:rsidRPr="00017532">
        <w:rPr>
          <w:rFonts w:cs="Times New Roman"/>
          <w:lang w:val="fr-CA"/>
        </w:rPr>
        <w:t xml:space="preserve">est </w:t>
      </w:r>
      <w:r w:rsidRPr="00017532">
        <w:rPr>
          <w:rFonts w:cs="Times New Roman"/>
          <w:lang w:val="fr-CA"/>
        </w:rPr>
        <w:lastRenderedPageBreak/>
        <w:t>le cas pour MM.</w:t>
      </w:r>
      <w:r w:rsidR="00B029AB">
        <w:rPr>
          <w:rFonts w:cs="Times New Roman"/>
          <w:lang w:val="fr-CA"/>
        </w:rPr>
        <w:t xml:space="preserve"> </w:t>
      </w:r>
      <w:r w:rsidRPr="00017532">
        <w:rPr>
          <w:rFonts w:cs="Times New Roman"/>
          <w:lang w:val="fr-CA"/>
        </w:rPr>
        <w:t>Nur et Charles. À l</w:t>
      </w:r>
      <w:r>
        <w:rPr>
          <w:rFonts w:cs="Times New Roman"/>
          <w:lang w:val="fr-CA"/>
        </w:rPr>
        <w:t>’</w:t>
      </w:r>
      <w:r w:rsidRPr="00017532">
        <w:rPr>
          <w:rFonts w:cs="Times New Roman"/>
          <w:lang w:val="fr-CA"/>
        </w:rPr>
        <w:t>instar de la Cour d</w:t>
      </w:r>
      <w:r>
        <w:rPr>
          <w:rFonts w:cs="Times New Roman"/>
          <w:lang w:val="fr-CA"/>
        </w:rPr>
        <w:t>’</w:t>
      </w:r>
      <w:r w:rsidRPr="00017532">
        <w:rPr>
          <w:rFonts w:cs="Times New Roman"/>
          <w:lang w:val="fr-CA"/>
        </w:rPr>
        <w:t>appel, je suis d</w:t>
      </w:r>
      <w:r>
        <w:rPr>
          <w:rFonts w:cs="Times New Roman"/>
          <w:lang w:val="fr-CA"/>
        </w:rPr>
        <w:t>’</w:t>
      </w:r>
      <w:r w:rsidRPr="00017532">
        <w:rPr>
          <w:rFonts w:cs="Times New Roman"/>
          <w:lang w:val="fr-CA"/>
        </w:rPr>
        <w:t>avis de confirmer les peines infligées en première instance.</w:t>
      </w:r>
    </w:p>
    <w:p w:rsidR="002A4851" w:rsidRPr="00017532" w:rsidRDefault="002A4851" w:rsidP="00A659A4">
      <w:pPr>
        <w:pStyle w:val="Title1LevelTitre1Niveau-AltL"/>
        <w:ind w:left="578" w:hanging="578"/>
        <w:jc w:val="both"/>
        <w:rPr>
          <w:rFonts w:cs="Times New Roman"/>
          <w:lang w:val="fr-CA"/>
        </w:rPr>
      </w:pPr>
      <w:r w:rsidRPr="00017532">
        <w:rPr>
          <w:rFonts w:cs="Times New Roman"/>
          <w:lang w:val="fr-CA"/>
        </w:rPr>
        <w:t>Historique législatif</w:t>
      </w:r>
    </w:p>
    <w:p w:rsidR="002A4851" w:rsidRPr="00017532" w:rsidRDefault="002A4851" w:rsidP="00A659A4">
      <w:pPr>
        <w:pStyle w:val="ParaNoNdepar-AltN"/>
        <w:rPr>
          <w:rFonts w:cs="Times New Roman"/>
          <w:lang w:val="fr-CA"/>
        </w:rPr>
      </w:pPr>
      <w:r w:rsidRPr="00017532">
        <w:rPr>
          <w:rFonts w:cs="Times New Roman"/>
          <w:lang w:val="fr-CA"/>
        </w:rPr>
        <w:t>Les infractions liées aux armes à feu sont graves. Le législateur a voulu protéger la population contre les blessures par balle et décourager la perpétration de telles infractions au moyen d</w:t>
      </w:r>
      <w:r>
        <w:rPr>
          <w:rFonts w:cs="Times New Roman"/>
          <w:lang w:val="fr-CA"/>
        </w:rPr>
        <w:t>’</w:t>
      </w:r>
      <w:r w:rsidRPr="00017532">
        <w:rPr>
          <w:rFonts w:cs="Times New Roman"/>
          <w:lang w:val="fr-CA"/>
        </w:rPr>
        <w:t>un régime strict exigeant permis et certificat d</w:t>
      </w:r>
      <w:r>
        <w:rPr>
          <w:rFonts w:cs="Times New Roman"/>
          <w:lang w:val="fr-CA"/>
        </w:rPr>
        <w:t>’</w:t>
      </w:r>
      <w:r w:rsidRPr="00017532">
        <w:rPr>
          <w:rFonts w:cs="Times New Roman"/>
          <w:lang w:val="fr-CA"/>
        </w:rPr>
        <w:t>enregistrement (</w:t>
      </w:r>
      <w:r w:rsidRPr="00017532">
        <w:rPr>
          <w:rFonts w:cs="Times New Roman"/>
          <w:i/>
          <w:lang w:val="fr-CA"/>
        </w:rPr>
        <w:t>Loi sur les armes à feu</w:t>
      </w:r>
      <w:r w:rsidRPr="00017532">
        <w:rPr>
          <w:rFonts w:cs="Times New Roman"/>
          <w:lang w:val="fr-CA"/>
        </w:rPr>
        <w:t>, L.C. 1995, c.</w:t>
      </w:r>
      <w:r w:rsidR="00B029AB">
        <w:rPr>
          <w:rFonts w:cs="Times New Roman"/>
          <w:lang w:val="fr-CA"/>
        </w:rPr>
        <w:t xml:space="preserve"> </w:t>
      </w:r>
      <w:r w:rsidRPr="00017532">
        <w:rPr>
          <w:rFonts w:cs="Times New Roman"/>
          <w:lang w:val="fr-CA"/>
        </w:rPr>
        <w:t>39) et prévoyant des interdictions (partie</w:t>
      </w:r>
      <w:r w:rsidR="00B029AB">
        <w:rPr>
          <w:rFonts w:cs="Times New Roman"/>
          <w:lang w:val="fr-CA"/>
        </w:rPr>
        <w:t xml:space="preserve"> </w:t>
      </w:r>
      <w:r w:rsidRPr="00017532">
        <w:rPr>
          <w:rFonts w:cs="Times New Roman"/>
          <w:lang w:val="fr-CA"/>
        </w:rPr>
        <w:t xml:space="preserve">III du </w:t>
      </w:r>
      <w:r w:rsidRPr="00017532">
        <w:rPr>
          <w:rFonts w:cs="Times New Roman"/>
          <w:i/>
          <w:lang w:val="fr-CA"/>
        </w:rPr>
        <w:t>Code criminel</w:t>
      </w:r>
      <w:r w:rsidRPr="00017532">
        <w:rPr>
          <w:rFonts w:cs="Times New Roman"/>
          <w:lang w:val="fr-CA"/>
        </w:rPr>
        <w:t>) (</w:t>
      </w:r>
      <w:r w:rsidRPr="00017532">
        <w:rPr>
          <w:rFonts w:cs="Times New Roman"/>
          <w:i/>
          <w:lang w:val="fr-CA"/>
        </w:rPr>
        <w:t>Renvoi relatif à la Loi sur les armes à feu</w:t>
      </w:r>
      <w:r w:rsidRPr="00017532">
        <w:rPr>
          <w:rFonts w:cs="Times New Roman"/>
          <w:lang w:val="fr-CA"/>
        </w:rPr>
        <w:t xml:space="preserve"> </w:t>
      </w:r>
      <w:r w:rsidRPr="00084013">
        <w:rPr>
          <w:rFonts w:cs="Times New Roman"/>
          <w:i/>
          <w:lang w:val="fr-CA"/>
        </w:rPr>
        <w:t>(Can.)</w:t>
      </w:r>
      <w:r w:rsidRPr="00017532">
        <w:rPr>
          <w:rFonts w:cs="Times New Roman"/>
          <w:lang w:val="fr-CA"/>
        </w:rPr>
        <w:t xml:space="preserve">, 2000 CSC 31, [2000] 1 R.C.S. 783 (le </w:t>
      </w:r>
      <w:r w:rsidR="00B029AB">
        <w:rPr>
          <w:rFonts w:cs="Times New Roman"/>
          <w:lang w:val="fr-CA"/>
        </w:rPr>
        <w:t>« </w:t>
      </w:r>
      <w:r w:rsidRPr="00017532">
        <w:rPr>
          <w:rFonts w:cs="Times New Roman"/>
          <w:i/>
          <w:lang w:val="fr-CA"/>
        </w:rPr>
        <w:t>Renvoi relatif aux armes à feu</w:t>
      </w:r>
      <w:r w:rsidR="00B029AB">
        <w:rPr>
          <w:rFonts w:cs="Times New Roman"/>
          <w:lang w:val="fr-CA"/>
        </w:rPr>
        <w:t> »</w:t>
      </w:r>
      <w:r w:rsidRPr="00017532">
        <w:rPr>
          <w:rFonts w:cs="Times New Roman"/>
          <w:lang w:val="fr-CA"/>
        </w:rPr>
        <w:t>)).</w:t>
      </w:r>
    </w:p>
    <w:p w:rsidR="002A4851" w:rsidRPr="00017532" w:rsidRDefault="002A4851" w:rsidP="00A659A4">
      <w:pPr>
        <w:pStyle w:val="ParaNoNdepar-AltN"/>
        <w:rPr>
          <w:rFonts w:cs="Times New Roman"/>
          <w:lang w:val="fr-CA"/>
        </w:rPr>
      </w:pPr>
      <w:r w:rsidRPr="00017532">
        <w:rPr>
          <w:rFonts w:cs="Times New Roman"/>
          <w:lang w:val="fr-CA"/>
        </w:rPr>
        <w:t xml:space="preserve">Le </w:t>
      </w:r>
      <w:r w:rsidRPr="00017532">
        <w:rPr>
          <w:rFonts w:cs="Times New Roman"/>
          <w:i/>
          <w:lang w:val="fr-CA"/>
        </w:rPr>
        <w:t>Code criminel</w:t>
      </w:r>
      <w:r w:rsidRPr="00017532">
        <w:rPr>
          <w:rFonts w:cs="Times New Roman"/>
          <w:lang w:val="fr-CA"/>
        </w:rPr>
        <w:t xml:space="preserve"> prévoit des restrictions et des sanctions importantes dans le cas de deux types d</w:t>
      </w:r>
      <w:r>
        <w:rPr>
          <w:rFonts w:cs="Times New Roman"/>
          <w:lang w:val="fr-CA"/>
        </w:rPr>
        <w:t>’</w:t>
      </w:r>
      <w:r w:rsidRPr="00017532">
        <w:rPr>
          <w:rFonts w:cs="Times New Roman"/>
          <w:lang w:val="fr-CA"/>
        </w:rPr>
        <w:t>armes à feu. Mentionnons d</w:t>
      </w:r>
      <w:r>
        <w:rPr>
          <w:rFonts w:cs="Times New Roman"/>
          <w:lang w:val="fr-CA"/>
        </w:rPr>
        <w:t>’</w:t>
      </w:r>
      <w:r w:rsidRPr="00017532">
        <w:rPr>
          <w:rFonts w:cs="Times New Roman"/>
          <w:lang w:val="fr-CA"/>
        </w:rPr>
        <w:t>abord l</w:t>
      </w:r>
      <w:r>
        <w:rPr>
          <w:rFonts w:cs="Times New Roman"/>
          <w:lang w:val="fr-CA"/>
        </w:rPr>
        <w:t>’</w:t>
      </w:r>
      <w:r w:rsidR="00B029AB">
        <w:rPr>
          <w:rFonts w:cs="Times New Roman"/>
          <w:lang w:val="fr-CA"/>
        </w:rPr>
        <w:t>« </w:t>
      </w:r>
      <w:r w:rsidRPr="00017532">
        <w:rPr>
          <w:rFonts w:cs="Times New Roman"/>
          <w:lang w:val="fr-CA"/>
        </w:rPr>
        <w:t>arme à feu prohibée</w:t>
      </w:r>
      <w:r w:rsidR="00B029AB">
        <w:rPr>
          <w:rFonts w:cs="Times New Roman"/>
          <w:lang w:val="fr-CA"/>
        </w:rPr>
        <w:t> »</w:t>
      </w:r>
      <w:r w:rsidRPr="00017532">
        <w:rPr>
          <w:rFonts w:cs="Times New Roman"/>
          <w:lang w:val="fr-CA"/>
        </w:rPr>
        <w:t>, qui englobe l</w:t>
      </w:r>
      <w:r>
        <w:rPr>
          <w:rFonts w:cs="Times New Roman"/>
          <w:lang w:val="fr-CA"/>
        </w:rPr>
        <w:t>’</w:t>
      </w:r>
      <w:r w:rsidRPr="00017532">
        <w:rPr>
          <w:rFonts w:cs="Times New Roman"/>
          <w:lang w:val="fr-CA"/>
        </w:rPr>
        <w:t>arme de poing pourvue d</w:t>
      </w:r>
      <w:r>
        <w:rPr>
          <w:rFonts w:cs="Times New Roman"/>
          <w:lang w:val="fr-CA"/>
        </w:rPr>
        <w:t>’</w:t>
      </w:r>
      <w:r w:rsidRPr="00017532">
        <w:rPr>
          <w:rFonts w:cs="Times New Roman"/>
          <w:lang w:val="fr-CA"/>
        </w:rPr>
        <w:t>un canon court, la carabine ou le fusil de chasse scié et l</w:t>
      </w:r>
      <w:r>
        <w:rPr>
          <w:rFonts w:cs="Times New Roman"/>
          <w:lang w:val="fr-CA"/>
        </w:rPr>
        <w:t>’</w:t>
      </w:r>
      <w:r w:rsidRPr="00017532">
        <w:rPr>
          <w:rFonts w:cs="Times New Roman"/>
          <w:lang w:val="fr-CA"/>
        </w:rPr>
        <w:t>arme à feu automatique (</w:t>
      </w:r>
      <w:r w:rsidRPr="00017532">
        <w:rPr>
          <w:rFonts w:cs="Times New Roman"/>
          <w:i/>
          <w:lang w:val="fr-CA"/>
        </w:rPr>
        <w:t>Code criminel</w:t>
      </w:r>
      <w:r w:rsidRPr="00017532">
        <w:rPr>
          <w:rFonts w:cs="Times New Roman"/>
          <w:lang w:val="fr-CA"/>
        </w:rPr>
        <w:t>, par.</w:t>
      </w:r>
      <w:r w:rsidR="00B029AB">
        <w:rPr>
          <w:rFonts w:cs="Times New Roman"/>
          <w:lang w:val="fr-CA"/>
        </w:rPr>
        <w:t xml:space="preserve"> </w:t>
      </w:r>
      <w:r w:rsidRPr="00017532">
        <w:rPr>
          <w:rFonts w:cs="Times New Roman"/>
          <w:lang w:val="fr-CA"/>
        </w:rPr>
        <w:t>84(1)). Sa possession est illégale, sauf lorsque le propriétaire possédait l</w:t>
      </w:r>
      <w:r>
        <w:rPr>
          <w:rFonts w:cs="Times New Roman"/>
          <w:lang w:val="fr-CA"/>
        </w:rPr>
        <w:t>’</w:t>
      </w:r>
      <w:r w:rsidRPr="00017532">
        <w:rPr>
          <w:rFonts w:cs="Times New Roman"/>
          <w:lang w:val="fr-CA"/>
        </w:rPr>
        <w:t>arme avant l</w:t>
      </w:r>
      <w:r>
        <w:rPr>
          <w:rFonts w:cs="Times New Roman"/>
          <w:lang w:val="fr-CA"/>
        </w:rPr>
        <w:t>’</w:t>
      </w:r>
      <w:r w:rsidRPr="00017532">
        <w:rPr>
          <w:rFonts w:cs="Times New Roman"/>
          <w:lang w:val="fr-CA"/>
        </w:rPr>
        <w:t>entrée en vigueur de l</w:t>
      </w:r>
      <w:r>
        <w:rPr>
          <w:rFonts w:cs="Times New Roman"/>
          <w:lang w:val="fr-CA"/>
        </w:rPr>
        <w:t>’</w:t>
      </w:r>
      <w:r w:rsidRPr="00017532">
        <w:rPr>
          <w:rFonts w:cs="Times New Roman"/>
          <w:lang w:val="fr-CA"/>
        </w:rPr>
        <w:t>interdiction (</w:t>
      </w:r>
      <w:r w:rsidRPr="00017532">
        <w:rPr>
          <w:rFonts w:cs="Times New Roman"/>
          <w:i/>
          <w:lang w:val="fr-CA"/>
        </w:rPr>
        <w:t>Loi sur les armes à feu</w:t>
      </w:r>
      <w:r w:rsidRPr="00017532">
        <w:rPr>
          <w:rFonts w:cs="Times New Roman"/>
          <w:lang w:val="fr-CA"/>
        </w:rPr>
        <w:t>, art.</w:t>
      </w:r>
      <w:r w:rsidR="00B029AB">
        <w:rPr>
          <w:rFonts w:cs="Times New Roman"/>
          <w:lang w:val="fr-CA"/>
        </w:rPr>
        <w:t xml:space="preserve"> </w:t>
      </w:r>
      <w:r w:rsidRPr="00017532">
        <w:rPr>
          <w:rFonts w:cs="Times New Roman"/>
          <w:lang w:val="fr-CA"/>
        </w:rPr>
        <w:t>12). Ce droit acquis vaut pour les proches parents du particulier. Vient ensuite l</w:t>
      </w:r>
      <w:r>
        <w:rPr>
          <w:rFonts w:cs="Times New Roman"/>
          <w:lang w:val="fr-CA"/>
        </w:rPr>
        <w:t>’</w:t>
      </w:r>
      <w:r w:rsidR="00B029AB">
        <w:rPr>
          <w:rFonts w:cs="Times New Roman"/>
          <w:lang w:val="fr-CA"/>
        </w:rPr>
        <w:t>« </w:t>
      </w:r>
      <w:r w:rsidRPr="00017532">
        <w:rPr>
          <w:rFonts w:cs="Times New Roman"/>
          <w:lang w:val="fr-CA"/>
        </w:rPr>
        <w:t>arme à feu à autorisation restreinte</w:t>
      </w:r>
      <w:r w:rsidR="00B029AB">
        <w:rPr>
          <w:rFonts w:cs="Times New Roman"/>
          <w:lang w:val="fr-CA"/>
        </w:rPr>
        <w:t> »</w:t>
      </w:r>
      <w:r w:rsidRPr="00017532">
        <w:rPr>
          <w:rFonts w:cs="Times New Roman"/>
          <w:lang w:val="fr-CA"/>
        </w:rPr>
        <w:t>, qui s</w:t>
      </w:r>
      <w:r>
        <w:rPr>
          <w:rFonts w:cs="Times New Roman"/>
          <w:lang w:val="fr-CA"/>
        </w:rPr>
        <w:t>’</w:t>
      </w:r>
      <w:r w:rsidRPr="00017532">
        <w:rPr>
          <w:rFonts w:cs="Times New Roman"/>
          <w:lang w:val="fr-CA"/>
        </w:rPr>
        <w:t>entend de toute arme de poing qui n</w:t>
      </w:r>
      <w:r>
        <w:rPr>
          <w:rFonts w:cs="Times New Roman"/>
          <w:lang w:val="fr-CA"/>
        </w:rPr>
        <w:t>’</w:t>
      </w:r>
      <w:r w:rsidRPr="00017532">
        <w:rPr>
          <w:rFonts w:cs="Times New Roman"/>
          <w:lang w:val="fr-CA"/>
        </w:rPr>
        <w:t>est pas une arme à feu prohibée, de certaines armes à feu semi</w:t>
      </w:r>
      <w:r w:rsidR="00B029AB">
        <w:rPr>
          <w:rFonts w:cs="Times New Roman"/>
          <w:lang w:val="fr-CA"/>
        </w:rPr>
        <w:t>-</w:t>
      </w:r>
      <w:r w:rsidRPr="00017532">
        <w:rPr>
          <w:rFonts w:cs="Times New Roman"/>
          <w:lang w:val="fr-CA"/>
        </w:rPr>
        <w:t>automatiques et de certaines armes à feu mesurant moins d</w:t>
      </w:r>
      <w:r>
        <w:rPr>
          <w:rFonts w:cs="Times New Roman"/>
          <w:lang w:val="fr-CA"/>
        </w:rPr>
        <w:t>’</w:t>
      </w:r>
      <w:r w:rsidRPr="00017532">
        <w:rPr>
          <w:rFonts w:cs="Times New Roman"/>
          <w:lang w:val="fr-CA"/>
        </w:rPr>
        <w:t>une longueur donnée (</w:t>
      </w:r>
      <w:r w:rsidRPr="00017532">
        <w:rPr>
          <w:rFonts w:cs="Times New Roman"/>
          <w:i/>
          <w:lang w:val="fr-CA"/>
        </w:rPr>
        <w:t>Code criminel</w:t>
      </w:r>
      <w:r w:rsidRPr="00017532">
        <w:rPr>
          <w:rFonts w:cs="Times New Roman"/>
          <w:lang w:val="fr-CA"/>
        </w:rPr>
        <w:t>, par.</w:t>
      </w:r>
      <w:r w:rsidR="00B029AB">
        <w:rPr>
          <w:rFonts w:cs="Times New Roman"/>
          <w:lang w:val="fr-CA"/>
        </w:rPr>
        <w:t xml:space="preserve"> </w:t>
      </w:r>
      <w:r w:rsidRPr="00017532">
        <w:rPr>
          <w:rFonts w:cs="Times New Roman"/>
          <w:lang w:val="fr-CA"/>
        </w:rPr>
        <w:t>84(1)). Dangereuses en soi, ces armes sont couramment utilisées lors de la perpétration d</w:t>
      </w:r>
      <w:r>
        <w:rPr>
          <w:rFonts w:cs="Times New Roman"/>
          <w:lang w:val="fr-CA"/>
        </w:rPr>
        <w:t>’</w:t>
      </w:r>
      <w:r w:rsidRPr="00017532">
        <w:rPr>
          <w:rFonts w:cs="Times New Roman"/>
          <w:lang w:val="fr-CA"/>
        </w:rPr>
        <w:t>actes criminels.</w:t>
      </w:r>
    </w:p>
    <w:p w:rsidR="002A4851" w:rsidRPr="00017532" w:rsidRDefault="002A4851" w:rsidP="00A659A4">
      <w:pPr>
        <w:pStyle w:val="ParaNoNdepar-AltN"/>
        <w:rPr>
          <w:rFonts w:cs="Times New Roman"/>
          <w:lang w:val="fr-CA"/>
        </w:rPr>
      </w:pPr>
      <w:r w:rsidRPr="00017532">
        <w:rPr>
          <w:rFonts w:cs="Times New Roman"/>
          <w:lang w:val="fr-CA"/>
        </w:rPr>
        <w:lastRenderedPageBreak/>
        <w:t>Posséder une arme à feu exige l</w:t>
      </w:r>
      <w:r>
        <w:rPr>
          <w:rFonts w:cs="Times New Roman"/>
          <w:lang w:val="fr-CA"/>
        </w:rPr>
        <w:t>’</w:t>
      </w:r>
      <w:r w:rsidRPr="00017532">
        <w:rPr>
          <w:rFonts w:cs="Times New Roman"/>
          <w:lang w:val="fr-CA"/>
        </w:rPr>
        <w:t>obtention d</w:t>
      </w:r>
      <w:r>
        <w:rPr>
          <w:rFonts w:cs="Times New Roman"/>
          <w:lang w:val="fr-CA"/>
        </w:rPr>
        <w:t>’</w:t>
      </w:r>
      <w:r w:rsidRPr="00017532">
        <w:rPr>
          <w:rFonts w:cs="Times New Roman"/>
          <w:lang w:val="fr-CA"/>
        </w:rPr>
        <w:t xml:space="preserve">un permis conformément à la </w:t>
      </w:r>
      <w:r w:rsidRPr="00017532">
        <w:rPr>
          <w:rFonts w:cs="Times New Roman"/>
          <w:i/>
          <w:lang w:val="fr-CA"/>
        </w:rPr>
        <w:t>Loi sur les armes à feu</w:t>
      </w:r>
      <w:r w:rsidRPr="00017532">
        <w:rPr>
          <w:rFonts w:cs="Times New Roman"/>
          <w:lang w:val="fr-CA"/>
        </w:rPr>
        <w:t>. Une personne peut obtenir un permis de possession d</w:t>
      </w:r>
      <w:r>
        <w:rPr>
          <w:rFonts w:cs="Times New Roman"/>
          <w:lang w:val="fr-CA"/>
        </w:rPr>
        <w:t>’</w:t>
      </w:r>
      <w:r w:rsidRPr="00017532">
        <w:rPr>
          <w:rFonts w:cs="Times New Roman"/>
          <w:lang w:val="fr-CA"/>
        </w:rPr>
        <w:t>une arme à feu prohibée ou à autorisation restreinte, mais seulement si elle respecte certains critères stricts (</w:t>
      </w:r>
      <w:r w:rsidRPr="00017532">
        <w:rPr>
          <w:rFonts w:cs="Times New Roman"/>
          <w:i/>
          <w:lang w:val="fr-CA"/>
        </w:rPr>
        <w:t>Loi sur les armes à feu</w:t>
      </w:r>
      <w:r w:rsidRPr="00017532">
        <w:rPr>
          <w:rFonts w:cs="Times New Roman"/>
          <w:lang w:val="fr-CA"/>
        </w:rPr>
        <w:t>, par.</w:t>
      </w:r>
      <w:r w:rsidR="00B029AB">
        <w:rPr>
          <w:rFonts w:cs="Times New Roman"/>
          <w:lang w:val="fr-CA"/>
        </w:rPr>
        <w:t xml:space="preserve"> </w:t>
      </w:r>
      <w:r w:rsidRPr="00017532">
        <w:rPr>
          <w:rFonts w:cs="Times New Roman"/>
          <w:lang w:val="fr-CA"/>
        </w:rPr>
        <w:t>7(2) et art.</w:t>
      </w:r>
      <w:r w:rsidR="00B029AB">
        <w:rPr>
          <w:rFonts w:cs="Times New Roman"/>
          <w:lang w:val="fr-CA"/>
        </w:rPr>
        <w:t xml:space="preserve"> </w:t>
      </w:r>
      <w:r w:rsidRPr="00017532">
        <w:rPr>
          <w:rFonts w:cs="Times New Roman"/>
          <w:lang w:val="fr-CA"/>
        </w:rPr>
        <w:t xml:space="preserve">12). La </w:t>
      </w:r>
      <w:r w:rsidRPr="00017532">
        <w:rPr>
          <w:rFonts w:cs="Times New Roman"/>
          <w:i/>
          <w:lang w:val="fr-CA"/>
        </w:rPr>
        <w:t>Loi sur les armes à feu</w:t>
      </w:r>
      <w:r w:rsidRPr="00017532">
        <w:rPr>
          <w:rFonts w:cs="Times New Roman"/>
          <w:lang w:val="fr-CA"/>
        </w:rPr>
        <w:t xml:space="preserve"> restreint alors les lieux où elle peut être en possession de l</w:t>
      </w:r>
      <w:r>
        <w:rPr>
          <w:rFonts w:cs="Times New Roman"/>
          <w:lang w:val="fr-CA"/>
        </w:rPr>
        <w:t>’</w:t>
      </w:r>
      <w:r w:rsidRPr="00017532">
        <w:rPr>
          <w:rFonts w:cs="Times New Roman"/>
          <w:lang w:val="fr-CA"/>
        </w:rPr>
        <w:t>arme à feu prohibée ou à autorisation restreinte (art.</w:t>
      </w:r>
      <w:r w:rsidR="00B029AB">
        <w:rPr>
          <w:rFonts w:cs="Times New Roman"/>
          <w:lang w:val="fr-CA"/>
        </w:rPr>
        <w:t xml:space="preserve"> </w:t>
      </w:r>
      <w:r w:rsidRPr="00017532">
        <w:rPr>
          <w:rFonts w:cs="Times New Roman"/>
          <w:lang w:val="fr-CA"/>
        </w:rPr>
        <w:t>17). Le contrôleur des armes à feu peut, dans l</w:t>
      </w:r>
      <w:r>
        <w:rPr>
          <w:rFonts w:cs="Times New Roman"/>
          <w:lang w:val="fr-CA"/>
        </w:rPr>
        <w:t>’</w:t>
      </w:r>
      <w:r w:rsidRPr="00017532">
        <w:rPr>
          <w:rFonts w:cs="Times New Roman"/>
          <w:lang w:val="fr-CA"/>
        </w:rPr>
        <w:t>intérêt de la sécurité publique, refuser de délivrer un permis à une personne (art.</w:t>
      </w:r>
      <w:r w:rsidR="00B029AB">
        <w:rPr>
          <w:rFonts w:cs="Times New Roman"/>
          <w:lang w:val="fr-CA"/>
        </w:rPr>
        <w:t xml:space="preserve"> </w:t>
      </w:r>
      <w:r w:rsidRPr="00017532">
        <w:rPr>
          <w:rFonts w:cs="Times New Roman"/>
          <w:lang w:val="fr-CA"/>
        </w:rPr>
        <w:t>5). Le titulaire d</w:t>
      </w:r>
      <w:r>
        <w:rPr>
          <w:rFonts w:cs="Times New Roman"/>
          <w:lang w:val="fr-CA"/>
        </w:rPr>
        <w:t>’</w:t>
      </w:r>
      <w:r w:rsidRPr="00017532">
        <w:rPr>
          <w:rFonts w:cs="Times New Roman"/>
          <w:lang w:val="fr-CA"/>
        </w:rPr>
        <w:t>un permis doit obtenir l</w:t>
      </w:r>
      <w:r>
        <w:rPr>
          <w:rFonts w:cs="Times New Roman"/>
          <w:lang w:val="fr-CA"/>
        </w:rPr>
        <w:t>’</w:t>
      </w:r>
      <w:r w:rsidRPr="00017532">
        <w:rPr>
          <w:rFonts w:cs="Times New Roman"/>
          <w:lang w:val="fr-CA"/>
        </w:rPr>
        <w:t>autorisation de transporter une arme à feu d</w:t>
      </w:r>
      <w:r>
        <w:rPr>
          <w:rFonts w:cs="Times New Roman"/>
          <w:lang w:val="fr-CA"/>
        </w:rPr>
        <w:t>’</w:t>
      </w:r>
      <w:r w:rsidRPr="00017532">
        <w:rPr>
          <w:rFonts w:cs="Times New Roman"/>
          <w:lang w:val="fr-CA"/>
        </w:rPr>
        <w:t>un lieu précis à un autre (art.</w:t>
      </w:r>
      <w:r w:rsidR="00B029AB">
        <w:rPr>
          <w:rFonts w:cs="Times New Roman"/>
          <w:lang w:val="fr-CA"/>
        </w:rPr>
        <w:t xml:space="preserve"> </w:t>
      </w:r>
      <w:r w:rsidRPr="00017532">
        <w:rPr>
          <w:rFonts w:cs="Times New Roman"/>
          <w:lang w:val="fr-CA"/>
        </w:rPr>
        <w:t>19). La Loi exige en outre qu</w:t>
      </w:r>
      <w:r>
        <w:rPr>
          <w:rFonts w:cs="Times New Roman"/>
          <w:lang w:val="fr-CA"/>
        </w:rPr>
        <w:t>’</w:t>
      </w:r>
      <w:r w:rsidRPr="00017532">
        <w:rPr>
          <w:rFonts w:cs="Times New Roman"/>
          <w:lang w:val="fr-CA"/>
        </w:rPr>
        <w:t>une personne</w:t>
      </w:r>
      <w:r>
        <w:rPr>
          <w:rFonts w:cs="Times New Roman"/>
          <w:lang w:val="fr-CA"/>
        </w:rPr>
        <w:t xml:space="preserve"> </w:t>
      </w:r>
      <w:r w:rsidRPr="00017532">
        <w:rPr>
          <w:rFonts w:cs="Times New Roman"/>
          <w:lang w:val="fr-CA"/>
        </w:rPr>
        <w:t>obtienne un certificat d</w:t>
      </w:r>
      <w:r>
        <w:rPr>
          <w:rFonts w:cs="Times New Roman"/>
          <w:lang w:val="fr-CA"/>
        </w:rPr>
        <w:t>’</w:t>
      </w:r>
      <w:r w:rsidRPr="00017532">
        <w:rPr>
          <w:rFonts w:cs="Times New Roman"/>
          <w:lang w:val="fr-CA"/>
        </w:rPr>
        <w:t>enregistrement de son arme à feu (art.</w:t>
      </w:r>
      <w:r w:rsidR="00B029AB">
        <w:rPr>
          <w:rFonts w:cs="Times New Roman"/>
          <w:lang w:val="fr-CA"/>
        </w:rPr>
        <w:t xml:space="preserve"> </w:t>
      </w:r>
      <w:r w:rsidRPr="00017532">
        <w:rPr>
          <w:rFonts w:cs="Times New Roman"/>
          <w:lang w:val="fr-CA"/>
        </w:rPr>
        <w:t>12.1).</w:t>
      </w:r>
    </w:p>
    <w:p w:rsidR="002A4851" w:rsidRPr="00017532" w:rsidRDefault="002A4851" w:rsidP="00A659A4">
      <w:pPr>
        <w:pStyle w:val="ParaNoNdepar-AltN"/>
        <w:rPr>
          <w:rFonts w:cs="Times New Roman"/>
          <w:lang w:val="fr-CA"/>
        </w:rPr>
      </w:pPr>
      <w:r w:rsidRPr="00017532">
        <w:rPr>
          <w:rFonts w:cs="Times New Roman"/>
          <w:lang w:val="fr-CA"/>
        </w:rPr>
        <w:t>L</w:t>
      </w:r>
      <w:r>
        <w:rPr>
          <w:rFonts w:cs="Times New Roman"/>
          <w:lang w:val="fr-CA"/>
        </w:rPr>
        <w:t>’</w:t>
      </w:r>
      <w:r w:rsidRPr="00017532">
        <w:rPr>
          <w:rFonts w:cs="Times New Roman"/>
          <w:lang w:val="fr-CA"/>
        </w:rPr>
        <w:t>arme à feu prohibée ou à autorisation restreinte doit être entreposée, non chargée et rendue inopérante par un dispositif de verrouillage sécuritaire, dans un contenant verrouillé ou dans une chambre forte, un coffre</w:t>
      </w:r>
      <w:r w:rsidR="00B029AB">
        <w:rPr>
          <w:rFonts w:cs="Times New Roman"/>
          <w:lang w:val="fr-CA"/>
        </w:rPr>
        <w:t>-</w:t>
      </w:r>
      <w:r w:rsidRPr="00017532">
        <w:rPr>
          <w:rFonts w:cs="Times New Roman"/>
          <w:lang w:val="fr-CA"/>
        </w:rPr>
        <w:t>fort ou une pièce construit</w:t>
      </w:r>
      <w:r w:rsidR="00AF17FD">
        <w:rPr>
          <w:rFonts w:cs="Times New Roman"/>
          <w:lang w:val="fr-CA"/>
        </w:rPr>
        <w:t>s</w:t>
      </w:r>
      <w:r w:rsidRPr="00017532">
        <w:rPr>
          <w:rFonts w:cs="Times New Roman"/>
          <w:lang w:val="fr-CA"/>
        </w:rPr>
        <w:t xml:space="preserve"> ou modifié</w:t>
      </w:r>
      <w:r w:rsidR="00AF17FD">
        <w:rPr>
          <w:rFonts w:cs="Times New Roman"/>
          <w:lang w:val="fr-CA"/>
        </w:rPr>
        <w:t>s</w:t>
      </w:r>
      <w:r w:rsidRPr="00017532">
        <w:rPr>
          <w:rFonts w:cs="Times New Roman"/>
          <w:lang w:val="fr-CA"/>
        </w:rPr>
        <w:t xml:space="preserve"> expressément pour l</w:t>
      </w:r>
      <w:r>
        <w:rPr>
          <w:rFonts w:cs="Times New Roman"/>
          <w:lang w:val="fr-CA"/>
        </w:rPr>
        <w:t>’</w:t>
      </w:r>
      <w:r w:rsidRPr="00017532">
        <w:rPr>
          <w:rFonts w:cs="Times New Roman"/>
          <w:lang w:val="fr-CA"/>
        </w:rPr>
        <w:t>entreposage sécuritaire des armes à feu. Les munitions ne peuvent être entreposées avec elle que si elle est non chargée et que le tout est entreposé dans une pièce ou un contenant gardé bien verrouillé et construit de façon qu</w:t>
      </w:r>
      <w:r>
        <w:rPr>
          <w:rFonts w:cs="Times New Roman"/>
          <w:lang w:val="fr-CA"/>
        </w:rPr>
        <w:t>’</w:t>
      </w:r>
      <w:r w:rsidRPr="00017532">
        <w:rPr>
          <w:rFonts w:cs="Times New Roman"/>
          <w:lang w:val="fr-CA"/>
        </w:rPr>
        <w:t>on ne peut le forcer facilement (</w:t>
      </w:r>
      <w:r w:rsidRPr="00017532">
        <w:rPr>
          <w:rFonts w:cs="Times New Roman"/>
          <w:i/>
          <w:lang w:val="fr-CA"/>
        </w:rPr>
        <w:t>Règlement sur l</w:t>
      </w:r>
      <w:r>
        <w:rPr>
          <w:rFonts w:cs="Times New Roman"/>
          <w:i/>
          <w:lang w:val="fr-CA"/>
        </w:rPr>
        <w:t>’</w:t>
      </w:r>
      <w:r w:rsidRPr="00017532">
        <w:rPr>
          <w:rFonts w:cs="Times New Roman"/>
          <w:i/>
          <w:lang w:val="fr-CA"/>
        </w:rPr>
        <w:t>entreposage, l</w:t>
      </w:r>
      <w:r>
        <w:rPr>
          <w:rFonts w:cs="Times New Roman"/>
          <w:i/>
          <w:lang w:val="fr-CA"/>
        </w:rPr>
        <w:t>’</w:t>
      </w:r>
      <w:r w:rsidRPr="00017532">
        <w:rPr>
          <w:rFonts w:cs="Times New Roman"/>
          <w:i/>
          <w:lang w:val="fr-CA"/>
        </w:rPr>
        <w:t>exposition, le transport et le maniement des armes à feu par des particuliers</w:t>
      </w:r>
      <w:r w:rsidRPr="00017532">
        <w:rPr>
          <w:rFonts w:cs="Times New Roman"/>
          <w:lang w:val="fr-CA"/>
        </w:rPr>
        <w:t>, DORS/98</w:t>
      </w:r>
      <w:r w:rsidR="00B029AB">
        <w:rPr>
          <w:rFonts w:cs="Times New Roman"/>
          <w:lang w:val="fr-CA"/>
        </w:rPr>
        <w:t>-</w:t>
      </w:r>
      <w:r w:rsidRPr="00017532">
        <w:rPr>
          <w:rFonts w:cs="Times New Roman"/>
          <w:lang w:val="fr-CA"/>
        </w:rPr>
        <w:t>209, art.</w:t>
      </w:r>
      <w:r w:rsidR="00B029AB">
        <w:rPr>
          <w:rFonts w:cs="Times New Roman"/>
          <w:lang w:val="fr-CA"/>
        </w:rPr>
        <w:t xml:space="preserve"> </w:t>
      </w:r>
      <w:r w:rsidRPr="00017532">
        <w:rPr>
          <w:rFonts w:cs="Times New Roman"/>
          <w:lang w:val="fr-CA"/>
        </w:rPr>
        <w:t>6 et 7). Une arme à feu ne peut être chargée qu</w:t>
      </w:r>
      <w:r>
        <w:rPr>
          <w:rFonts w:cs="Times New Roman"/>
          <w:lang w:val="fr-CA"/>
        </w:rPr>
        <w:t>’</w:t>
      </w:r>
      <w:r w:rsidRPr="00017532">
        <w:rPr>
          <w:rFonts w:cs="Times New Roman"/>
          <w:lang w:val="fr-CA"/>
        </w:rPr>
        <w:t>à l</w:t>
      </w:r>
      <w:r>
        <w:rPr>
          <w:rFonts w:cs="Times New Roman"/>
          <w:lang w:val="fr-CA"/>
        </w:rPr>
        <w:t>’</w:t>
      </w:r>
      <w:r w:rsidRPr="00017532">
        <w:rPr>
          <w:rFonts w:cs="Times New Roman"/>
          <w:lang w:val="fr-CA"/>
        </w:rPr>
        <w:t>endroit où il est permis de s</w:t>
      </w:r>
      <w:r>
        <w:rPr>
          <w:rFonts w:cs="Times New Roman"/>
          <w:lang w:val="fr-CA"/>
        </w:rPr>
        <w:t>’</w:t>
      </w:r>
      <w:r w:rsidRPr="00017532">
        <w:rPr>
          <w:rFonts w:cs="Times New Roman"/>
          <w:lang w:val="fr-CA"/>
        </w:rPr>
        <w:t>en servir (art.</w:t>
      </w:r>
      <w:r w:rsidR="00B029AB">
        <w:rPr>
          <w:rFonts w:cs="Times New Roman"/>
          <w:lang w:val="fr-CA"/>
        </w:rPr>
        <w:t xml:space="preserve"> </w:t>
      </w:r>
      <w:r w:rsidRPr="00017532">
        <w:rPr>
          <w:rFonts w:cs="Times New Roman"/>
          <w:lang w:val="fr-CA"/>
        </w:rPr>
        <w:t>15).</w:t>
      </w:r>
    </w:p>
    <w:p w:rsidR="002A4851" w:rsidRPr="00017532" w:rsidRDefault="002A4851" w:rsidP="00A659A4">
      <w:pPr>
        <w:pStyle w:val="ParaNoNdepar-AltN"/>
        <w:rPr>
          <w:rFonts w:cs="Times New Roman"/>
          <w:lang w:val="fr-CA"/>
        </w:rPr>
      </w:pPr>
      <w:r w:rsidRPr="00017532">
        <w:rPr>
          <w:rFonts w:cs="Times New Roman"/>
          <w:lang w:val="fr-CA"/>
        </w:rPr>
        <w:lastRenderedPageBreak/>
        <w:t xml:space="preserve">Ces règles établies sous le régime de la </w:t>
      </w:r>
      <w:r w:rsidRPr="00017532">
        <w:rPr>
          <w:rFonts w:cs="Times New Roman"/>
          <w:i/>
          <w:lang w:val="fr-CA"/>
        </w:rPr>
        <w:t>Loi sur les armes à feu</w:t>
      </w:r>
      <w:r w:rsidRPr="00017532">
        <w:rPr>
          <w:rFonts w:cs="Times New Roman"/>
          <w:lang w:val="fr-CA"/>
        </w:rPr>
        <w:t xml:space="preserve"> en matière de permis et d</w:t>
      </w:r>
      <w:r>
        <w:rPr>
          <w:rFonts w:cs="Times New Roman"/>
          <w:lang w:val="fr-CA"/>
        </w:rPr>
        <w:t>’</w:t>
      </w:r>
      <w:r w:rsidRPr="00017532">
        <w:rPr>
          <w:rFonts w:cs="Times New Roman"/>
          <w:lang w:val="fr-CA"/>
        </w:rPr>
        <w:t>enregistrement se doublent d</w:t>
      </w:r>
      <w:r>
        <w:rPr>
          <w:rFonts w:cs="Times New Roman"/>
          <w:lang w:val="fr-CA"/>
        </w:rPr>
        <w:t>’</w:t>
      </w:r>
      <w:r w:rsidRPr="00017532">
        <w:rPr>
          <w:rFonts w:cs="Times New Roman"/>
          <w:lang w:val="fr-CA"/>
        </w:rPr>
        <w:t>une série d</w:t>
      </w:r>
      <w:r>
        <w:rPr>
          <w:rFonts w:cs="Times New Roman"/>
          <w:lang w:val="fr-CA"/>
        </w:rPr>
        <w:t>’</w:t>
      </w:r>
      <w:r w:rsidRPr="00017532">
        <w:rPr>
          <w:rFonts w:cs="Times New Roman"/>
          <w:lang w:val="fr-CA"/>
        </w:rPr>
        <w:t xml:space="preserve">infractions prévues au </w:t>
      </w:r>
      <w:r w:rsidRPr="00017532">
        <w:rPr>
          <w:rFonts w:cs="Times New Roman"/>
          <w:i/>
          <w:lang w:val="fr-CA"/>
        </w:rPr>
        <w:t>Code criminel</w:t>
      </w:r>
      <w:r w:rsidRPr="00017532">
        <w:rPr>
          <w:rFonts w:cs="Times New Roman"/>
          <w:lang w:val="fr-CA"/>
        </w:rPr>
        <w:t xml:space="preserve"> qui criminalisent la possession d</w:t>
      </w:r>
      <w:r>
        <w:rPr>
          <w:rFonts w:cs="Times New Roman"/>
          <w:lang w:val="fr-CA"/>
        </w:rPr>
        <w:t>’</w:t>
      </w:r>
      <w:r w:rsidRPr="00017532">
        <w:rPr>
          <w:rFonts w:cs="Times New Roman"/>
          <w:lang w:val="fr-CA"/>
        </w:rPr>
        <w:t xml:space="preserve">une arme à feu dont la possession contrevient à la </w:t>
      </w:r>
      <w:r w:rsidRPr="00017532">
        <w:rPr>
          <w:rFonts w:cs="Times New Roman"/>
          <w:i/>
          <w:lang w:val="fr-CA"/>
        </w:rPr>
        <w:t>Loi sur les armes à feu</w:t>
      </w:r>
      <w:r w:rsidRPr="00017532">
        <w:rPr>
          <w:rFonts w:cs="Times New Roman"/>
          <w:lang w:val="fr-CA"/>
        </w:rPr>
        <w:t>. Les pourvois portent sur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95 du </w:t>
      </w:r>
      <w:r w:rsidRPr="00017532">
        <w:rPr>
          <w:rFonts w:cs="Times New Roman"/>
          <w:i/>
          <w:lang w:val="fr-CA"/>
        </w:rPr>
        <w:t>Code criminel</w:t>
      </w:r>
      <w:r w:rsidRPr="00017532">
        <w:rPr>
          <w:rFonts w:cs="Times New Roman"/>
          <w:lang w:val="fr-CA"/>
        </w:rPr>
        <w:t>, dont la version pertinente est entrée en vigueur en décembre 1998 (L.C. 1995, c.</w:t>
      </w:r>
      <w:r w:rsidR="00B029AB">
        <w:rPr>
          <w:rFonts w:cs="Times New Roman"/>
          <w:lang w:val="fr-CA"/>
        </w:rPr>
        <w:t xml:space="preserve"> </w:t>
      </w:r>
      <w:r w:rsidRPr="00017532">
        <w:rPr>
          <w:rFonts w:cs="Times New Roman"/>
          <w:lang w:val="fr-CA"/>
        </w:rPr>
        <w:t>39, art.</w:t>
      </w:r>
      <w:r w:rsidR="00B029AB">
        <w:rPr>
          <w:rFonts w:cs="Times New Roman"/>
          <w:lang w:val="fr-CA"/>
        </w:rPr>
        <w:t xml:space="preserve"> </w:t>
      </w:r>
      <w:r w:rsidRPr="00017532">
        <w:rPr>
          <w:rFonts w:cs="Times New Roman"/>
          <w:lang w:val="fr-CA"/>
        </w:rPr>
        <w:t>139) et interdit la possession d</w:t>
      </w:r>
      <w:r>
        <w:rPr>
          <w:rFonts w:cs="Times New Roman"/>
          <w:lang w:val="fr-CA"/>
        </w:rPr>
        <w:t>’</w:t>
      </w:r>
      <w:r w:rsidRPr="00017532">
        <w:rPr>
          <w:rFonts w:cs="Times New Roman"/>
          <w:lang w:val="fr-CA"/>
        </w:rPr>
        <w:t>une arme à feu prohibée ou à utilisation restreinte chargée et celle d</w:t>
      </w:r>
      <w:r>
        <w:rPr>
          <w:rFonts w:cs="Times New Roman"/>
          <w:lang w:val="fr-CA"/>
        </w:rPr>
        <w:t>’</w:t>
      </w:r>
      <w:r w:rsidRPr="00017532">
        <w:rPr>
          <w:rFonts w:cs="Times New Roman"/>
          <w:lang w:val="fr-CA"/>
        </w:rPr>
        <w:t>une telle arme à feu non chargée avec des munitions facilement accessibles qui peuvent être utilisées avec elle (par.</w:t>
      </w:r>
      <w:r w:rsidR="00B029AB">
        <w:rPr>
          <w:rFonts w:cs="Times New Roman"/>
          <w:lang w:val="fr-CA"/>
        </w:rPr>
        <w:t xml:space="preserve"> </w:t>
      </w:r>
      <w:r w:rsidRPr="00017532">
        <w:rPr>
          <w:rFonts w:cs="Times New Roman"/>
          <w:lang w:val="fr-CA"/>
        </w:rPr>
        <w:t>95(1))</w:t>
      </w:r>
      <w:r>
        <w:rPr>
          <w:rFonts w:cs="Times New Roman"/>
          <w:lang w:val="fr-CA"/>
        </w:rPr>
        <w:t xml:space="preserve">. </w:t>
      </w:r>
      <w:r w:rsidRPr="00017532">
        <w:rPr>
          <w:rFonts w:cs="Times New Roman"/>
          <w:lang w:val="fr-CA"/>
        </w:rPr>
        <w:t>L</w:t>
      </w:r>
      <w:r>
        <w:rPr>
          <w:rFonts w:cs="Times New Roman"/>
          <w:lang w:val="fr-CA"/>
        </w:rPr>
        <w:t>’</w:t>
      </w:r>
      <w:r w:rsidRPr="00017532">
        <w:rPr>
          <w:rFonts w:cs="Times New Roman"/>
          <w:lang w:val="fr-CA"/>
        </w:rPr>
        <w:t>infraction est perpétrée par la personne en possession d</w:t>
      </w:r>
      <w:r>
        <w:rPr>
          <w:rFonts w:cs="Times New Roman"/>
          <w:lang w:val="fr-CA"/>
        </w:rPr>
        <w:t>’</w:t>
      </w:r>
      <w:r w:rsidRPr="00017532">
        <w:rPr>
          <w:rFonts w:cs="Times New Roman"/>
          <w:lang w:val="fr-CA"/>
        </w:rPr>
        <w:t>une arme à feu prohibée ou à autorisation restreinte qui n</w:t>
      </w:r>
      <w:r>
        <w:rPr>
          <w:rFonts w:cs="Times New Roman"/>
          <w:lang w:val="fr-CA"/>
        </w:rPr>
        <w:t>’</w:t>
      </w:r>
      <w:r w:rsidRPr="00017532">
        <w:rPr>
          <w:rFonts w:cs="Times New Roman"/>
          <w:lang w:val="fr-CA"/>
        </w:rPr>
        <w:t>a pas une autorisation ou un permis pour le lieu en cause, ou qui n</w:t>
      </w:r>
      <w:r>
        <w:rPr>
          <w:rFonts w:cs="Times New Roman"/>
          <w:lang w:val="fr-CA"/>
        </w:rPr>
        <w:t>’</w:t>
      </w:r>
      <w:r w:rsidRPr="00017532">
        <w:rPr>
          <w:rFonts w:cs="Times New Roman"/>
          <w:lang w:val="fr-CA"/>
        </w:rPr>
        <w:t>a pas de certificat d</w:t>
      </w:r>
      <w:r>
        <w:rPr>
          <w:rFonts w:cs="Times New Roman"/>
          <w:lang w:val="fr-CA"/>
        </w:rPr>
        <w:t>’</w:t>
      </w:r>
      <w:r w:rsidRPr="00017532">
        <w:rPr>
          <w:rFonts w:cs="Times New Roman"/>
          <w:lang w:val="fr-CA"/>
        </w:rPr>
        <w:t>enregistrement de l</w:t>
      </w:r>
      <w:r>
        <w:rPr>
          <w:rFonts w:cs="Times New Roman"/>
          <w:lang w:val="fr-CA"/>
        </w:rPr>
        <w:t>’</w:t>
      </w:r>
      <w:r w:rsidRPr="00017532">
        <w:rPr>
          <w:rFonts w:cs="Times New Roman"/>
          <w:lang w:val="fr-CA"/>
        </w:rPr>
        <w:t>arme à feu.</w:t>
      </w:r>
    </w:p>
    <w:p w:rsidR="002A4851" w:rsidRPr="00017532" w:rsidRDefault="002A4851" w:rsidP="00A659A4">
      <w:pPr>
        <w:pStyle w:val="ParaNoNdepar-AltN"/>
        <w:rPr>
          <w:rFonts w:cs="Times New Roman"/>
          <w:lang w:val="fr-CA"/>
        </w:rPr>
      </w:pPr>
      <w:r w:rsidRPr="00017532">
        <w:rPr>
          <w:rFonts w:cs="Times New Roman"/>
          <w:lang w:val="fr-CA"/>
        </w:rPr>
        <w:t>Les intimés contestent la constitutionnalité des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 xml:space="preserve">)(i) et (ii) du </w:t>
      </w:r>
      <w:r w:rsidRPr="00017532">
        <w:rPr>
          <w:rFonts w:cs="Times New Roman"/>
          <w:i/>
          <w:lang w:val="fr-CA"/>
        </w:rPr>
        <w:t>Code criminel</w:t>
      </w:r>
      <w:r w:rsidRPr="00017532">
        <w:rPr>
          <w:rFonts w:cs="Times New Roman"/>
          <w:lang w:val="fr-CA"/>
        </w:rPr>
        <w:t>, dont voici la version applicable au moment considéré</w:t>
      </w:r>
      <w:r w:rsidR="00B029AB">
        <w:rPr>
          <w:rFonts w:cs="Times New Roman"/>
          <w:lang w:val="fr-CA"/>
        </w:rPr>
        <w:t> :</w:t>
      </w:r>
    </w:p>
    <w:p w:rsidR="002A4851" w:rsidRPr="00017532" w:rsidRDefault="002A4851" w:rsidP="0063035F">
      <w:pPr>
        <w:pStyle w:val="Citation-AltC"/>
        <w:tabs>
          <w:tab w:val="left" w:pos="1530"/>
        </w:tabs>
        <w:spacing w:after="240"/>
        <w:ind w:hanging="1166"/>
        <w:contextualSpacing w:val="0"/>
        <w:rPr>
          <w:lang w:val="fr-CA"/>
        </w:rPr>
      </w:pPr>
      <w:r w:rsidRPr="00017532">
        <w:rPr>
          <w:rStyle w:val="sectionlabel"/>
          <w:lang w:val="fr-CA"/>
        </w:rPr>
        <w:tab/>
      </w:r>
      <w:r w:rsidR="00084013">
        <w:rPr>
          <w:rStyle w:val="sectionlabel"/>
          <w:b w:val="0"/>
          <w:lang w:val="fr-CA"/>
        </w:rPr>
        <w:tab/>
      </w:r>
      <w:r w:rsidRPr="00017532">
        <w:rPr>
          <w:rStyle w:val="sectionlabel"/>
          <w:lang w:val="fr-CA"/>
        </w:rPr>
        <w:t>95.</w:t>
      </w:r>
      <w:r w:rsidR="00B029AB">
        <w:rPr>
          <w:lang w:val="fr-CA"/>
        </w:rPr>
        <w:t xml:space="preserve"> </w:t>
      </w:r>
      <w:r w:rsidRPr="00017532">
        <w:rPr>
          <w:lang w:val="fr-CA"/>
        </w:rPr>
        <w:t>(1)</w:t>
      </w:r>
      <w:r w:rsidR="00B029AB">
        <w:rPr>
          <w:lang w:val="fr-CA"/>
        </w:rPr>
        <w:t xml:space="preserve"> </w:t>
      </w:r>
      <w:r w:rsidRPr="00017532">
        <w:rPr>
          <w:lang w:val="fr-CA"/>
        </w:rPr>
        <w:t>Sous réserve du paragraphe</w:t>
      </w:r>
      <w:r w:rsidR="00B029AB">
        <w:rPr>
          <w:lang w:val="fr-CA"/>
        </w:rPr>
        <w:t xml:space="preserve"> </w:t>
      </w:r>
      <w:r w:rsidRPr="00017532">
        <w:rPr>
          <w:lang w:val="fr-CA"/>
        </w:rPr>
        <w:t>(3), commet une infraction quiconque a en sa possession dans un lieu quelconque soit une arme à feu prohibée ou une arme à feu à autorisation restreinte chargées, soit une telle arme non chargée avec des munitions facilement accessibles qui peuvent être utilisées avec celle</w:t>
      </w:r>
      <w:r w:rsidR="00B029AB">
        <w:rPr>
          <w:lang w:val="fr-CA"/>
        </w:rPr>
        <w:t>-</w:t>
      </w:r>
      <w:r w:rsidRPr="00017532">
        <w:rPr>
          <w:lang w:val="fr-CA"/>
        </w:rPr>
        <w:t>ci, sans être titulaire à la fois :</w:t>
      </w:r>
    </w:p>
    <w:p w:rsidR="002A4851" w:rsidRPr="00017532" w:rsidRDefault="002A4851" w:rsidP="00A659A4">
      <w:pPr>
        <w:pStyle w:val="Citation-AltC"/>
        <w:tabs>
          <w:tab w:val="left" w:pos="1560"/>
        </w:tabs>
        <w:spacing w:after="240"/>
        <w:ind w:left="1200" w:hanging="1200"/>
        <w:contextualSpacing w:val="0"/>
        <w:rPr>
          <w:lang w:val="fr-CA"/>
        </w:rPr>
      </w:pPr>
      <w:r w:rsidRPr="00017532">
        <w:rPr>
          <w:rStyle w:val="Emphasis"/>
          <w:lang w:val="fr-CA"/>
        </w:rPr>
        <w:tab/>
      </w:r>
      <w:r w:rsidRPr="00017532">
        <w:rPr>
          <w:rStyle w:val="Emphasis"/>
          <w:lang w:val="fr-CA"/>
        </w:rPr>
        <w:tab/>
        <w:t>a</w:t>
      </w:r>
      <w:r w:rsidRPr="00017532">
        <w:rPr>
          <w:lang w:val="fr-CA"/>
        </w:rPr>
        <w:t>)</w:t>
      </w:r>
      <w:r w:rsidR="00B029AB">
        <w:rPr>
          <w:lang w:val="fr-CA"/>
        </w:rPr>
        <w:t xml:space="preserve"> </w:t>
      </w:r>
      <w:r w:rsidRPr="00017532">
        <w:rPr>
          <w:lang w:val="fr-CA"/>
        </w:rPr>
        <w:t>d</w:t>
      </w:r>
      <w:r>
        <w:rPr>
          <w:lang w:val="fr-CA"/>
        </w:rPr>
        <w:t>’</w:t>
      </w:r>
      <w:r w:rsidRPr="00017532">
        <w:rPr>
          <w:lang w:val="fr-CA"/>
        </w:rPr>
        <w:t>une autorisation ou d</w:t>
      </w:r>
      <w:r>
        <w:rPr>
          <w:lang w:val="fr-CA"/>
        </w:rPr>
        <w:t>’</w:t>
      </w:r>
      <w:r w:rsidRPr="00017532">
        <w:rPr>
          <w:lang w:val="fr-CA"/>
        </w:rPr>
        <w:t>un permis qui l</w:t>
      </w:r>
      <w:r>
        <w:rPr>
          <w:lang w:val="fr-CA"/>
        </w:rPr>
        <w:t>’</w:t>
      </w:r>
      <w:r w:rsidRPr="00017532">
        <w:rPr>
          <w:lang w:val="fr-CA"/>
        </w:rPr>
        <w:t>y autorise dans ce lieu;</w:t>
      </w:r>
    </w:p>
    <w:p w:rsidR="002A4851" w:rsidRPr="00017532" w:rsidRDefault="002A4851" w:rsidP="00A659A4">
      <w:pPr>
        <w:pStyle w:val="Citation-AltC"/>
        <w:tabs>
          <w:tab w:val="left" w:pos="1560"/>
        </w:tabs>
        <w:spacing w:after="240"/>
        <w:ind w:left="1200" w:hanging="1200"/>
        <w:contextualSpacing w:val="0"/>
        <w:rPr>
          <w:lang w:val="fr-CA"/>
        </w:rPr>
      </w:pPr>
      <w:r w:rsidRPr="00017532">
        <w:rPr>
          <w:rStyle w:val="Emphasis"/>
          <w:lang w:val="fr-CA"/>
        </w:rPr>
        <w:tab/>
      </w:r>
      <w:r w:rsidRPr="00017532">
        <w:rPr>
          <w:rStyle w:val="Emphasis"/>
          <w:lang w:val="fr-CA"/>
        </w:rPr>
        <w:tab/>
        <w:t>b</w:t>
      </w:r>
      <w:r w:rsidRPr="00017532">
        <w:rPr>
          <w:lang w:val="fr-CA"/>
        </w:rPr>
        <w:t>)</w:t>
      </w:r>
      <w:r w:rsidR="00B029AB">
        <w:rPr>
          <w:lang w:val="fr-CA"/>
        </w:rPr>
        <w:t xml:space="preserve"> </w:t>
      </w:r>
      <w:r w:rsidRPr="00017532">
        <w:rPr>
          <w:lang w:val="fr-CA"/>
        </w:rPr>
        <w:t>du certificat d</w:t>
      </w:r>
      <w:r>
        <w:rPr>
          <w:lang w:val="fr-CA"/>
        </w:rPr>
        <w:t>’</w:t>
      </w:r>
      <w:r w:rsidRPr="00017532">
        <w:rPr>
          <w:lang w:val="fr-CA"/>
        </w:rPr>
        <w:t>enregistrement de l</w:t>
      </w:r>
      <w:r>
        <w:rPr>
          <w:lang w:val="fr-CA"/>
        </w:rPr>
        <w:t>’</w:t>
      </w:r>
      <w:r w:rsidRPr="00017532">
        <w:rPr>
          <w:lang w:val="fr-CA"/>
        </w:rPr>
        <w:t>arme.</w:t>
      </w:r>
    </w:p>
    <w:p w:rsidR="002A4851" w:rsidRPr="00017532" w:rsidRDefault="00084013" w:rsidP="00A659A4">
      <w:pPr>
        <w:pStyle w:val="Citation-AltC"/>
        <w:tabs>
          <w:tab w:val="left" w:pos="1530"/>
        </w:tabs>
        <w:spacing w:after="240"/>
        <w:ind w:hanging="1166"/>
        <w:contextualSpacing w:val="0"/>
        <w:rPr>
          <w:lang w:val="fr-CA"/>
        </w:rPr>
      </w:pPr>
      <w:r>
        <w:rPr>
          <w:lang w:val="fr-CA"/>
        </w:rPr>
        <w:tab/>
      </w:r>
      <w:r>
        <w:rPr>
          <w:lang w:val="fr-CA"/>
        </w:rPr>
        <w:tab/>
      </w:r>
      <w:r w:rsidR="002A4851" w:rsidRPr="00017532">
        <w:rPr>
          <w:lang w:val="fr-CA"/>
        </w:rPr>
        <w:t>(2)</w:t>
      </w:r>
      <w:r w:rsidR="00B029AB">
        <w:rPr>
          <w:lang w:val="fr-CA"/>
        </w:rPr>
        <w:t xml:space="preserve"> </w:t>
      </w:r>
      <w:r w:rsidR="002A4851" w:rsidRPr="00017532">
        <w:rPr>
          <w:lang w:val="fr-CA"/>
        </w:rPr>
        <w:t>Quiconque commet l</w:t>
      </w:r>
      <w:r w:rsidR="002A4851">
        <w:rPr>
          <w:lang w:val="fr-CA"/>
        </w:rPr>
        <w:t>’</w:t>
      </w:r>
      <w:r w:rsidR="002A4851" w:rsidRPr="00017532">
        <w:rPr>
          <w:lang w:val="fr-CA"/>
        </w:rPr>
        <w:t>infraction prévue au paragraphe</w:t>
      </w:r>
      <w:r w:rsidR="00B029AB">
        <w:rPr>
          <w:lang w:val="fr-CA"/>
        </w:rPr>
        <w:t xml:space="preserve"> </w:t>
      </w:r>
      <w:r w:rsidR="002A4851" w:rsidRPr="00017532">
        <w:rPr>
          <w:lang w:val="fr-CA"/>
        </w:rPr>
        <w:t>(1) est coupable</w:t>
      </w:r>
      <w:r w:rsidR="00B029AB">
        <w:rPr>
          <w:lang w:val="fr-CA"/>
        </w:rPr>
        <w:t> :</w:t>
      </w:r>
    </w:p>
    <w:p w:rsidR="002A4851" w:rsidRPr="00017532" w:rsidRDefault="002A4851" w:rsidP="00A659A4">
      <w:pPr>
        <w:pStyle w:val="Citation-AltC"/>
        <w:spacing w:after="240"/>
        <w:ind w:left="1555" w:hanging="1555"/>
        <w:contextualSpacing w:val="0"/>
        <w:rPr>
          <w:lang w:val="fr-CA"/>
        </w:rPr>
      </w:pPr>
      <w:r w:rsidRPr="00017532">
        <w:rPr>
          <w:rStyle w:val="Emphasis"/>
          <w:lang w:val="fr-CA"/>
        </w:rPr>
        <w:tab/>
        <w:t>a</w:t>
      </w:r>
      <w:r w:rsidRPr="00017532">
        <w:rPr>
          <w:lang w:val="fr-CA"/>
        </w:rPr>
        <w:t>)</w:t>
      </w:r>
      <w:r w:rsidR="00B029AB">
        <w:rPr>
          <w:lang w:val="fr-CA"/>
        </w:rPr>
        <w:t xml:space="preserve"> </w:t>
      </w:r>
      <w:r w:rsidRPr="00017532">
        <w:rPr>
          <w:lang w:val="fr-CA"/>
        </w:rPr>
        <w:t>soit d</w:t>
      </w:r>
      <w:r>
        <w:rPr>
          <w:lang w:val="fr-CA"/>
        </w:rPr>
        <w:t>’</w:t>
      </w:r>
      <w:r w:rsidRPr="00017532">
        <w:rPr>
          <w:lang w:val="fr-CA"/>
        </w:rPr>
        <w:t>un acte criminel passible d</w:t>
      </w:r>
      <w:r>
        <w:rPr>
          <w:lang w:val="fr-CA"/>
        </w:rPr>
        <w:t>’</w:t>
      </w:r>
      <w:r w:rsidRPr="00017532">
        <w:rPr>
          <w:lang w:val="fr-CA"/>
        </w:rPr>
        <w:t>un emprisonnement maximal de dix ans, la peine minimale étant</w:t>
      </w:r>
      <w:r w:rsidR="00B029AB">
        <w:rPr>
          <w:lang w:val="fr-CA"/>
        </w:rPr>
        <w:t> :</w:t>
      </w:r>
    </w:p>
    <w:p w:rsidR="002A4851" w:rsidRPr="00017532" w:rsidRDefault="002A4851" w:rsidP="00A659A4">
      <w:pPr>
        <w:pStyle w:val="Citation-AltC"/>
        <w:spacing w:after="240"/>
        <w:ind w:left="1920" w:hanging="1920"/>
        <w:contextualSpacing w:val="0"/>
        <w:rPr>
          <w:lang w:val="fr-CA"/>
        </w:rPr>
      </w:pPr>
      <w:r w:rsidRPr="00017532">
        <w:rPr>
          <w:lang w:val="fr-CA"/>
        </w:rPr>
        <w:tab/>
        <w:t>(i)</w:t>
      </w:r>
      <w:r w:rsidR="00B029AB">
        <w:rPr>
          <w:lang w:val="fr-CA"/>
        </w:rPr>
        <w:t xml:space="preserve"> </w:t>
      </w:r>
      <w:r w:rsidRPr="00017532">
        <w:rPr>
          <w:lang w:val="fr-CA"/>
        </w:rPr>
        <w:t>de trois ans, dans le cas d</w:t>
      </w:r>
      <w:r>
        <w:rPr>
          <w:lang w:val="fr-CA"/>
        </w:rPr>
        <w:t>’</w:t>
      </w:r>
      <w:r w:rsidRPr="00017532">
        <w:rPr>
          <w:lang w:val="fr-CA"/>
        </w:rPr>
        <w:t>une première infraction,</w:t>
      </w:r>
    </w:p>
    <w:p w:rsidR="002A4851" w:rsidRPr="00017532" w:rsidRDefault="002A4851" w:rsidP="00A659A4">
      <w:pPr>
        <w:pStyle w:val="Citation-AltC"/>
        <w:spacing w:after="240"/>
        <w:ind w:left="1920" w:hanging="1920"/>
        <w:contextualSpacing w:val="0"/>
        <w:rPr>
          <w:lang w:val="fr-CA"/>
        </w:rPr>
      </w:pPr>
      <w:r w:rsidRPr="00017532">
        <w:rPr>
          <w:lang w:val="fr-CA"/>
        </w:rPr>
        <w:lastRenderedPageBreak/>
        <w:tab/>
        <w:t>(ii)</w:t>
      </w:r>
      <w:r w:rsidR="00B029AB">
        <w:rPr>
          <w:lang w:val="fr-CA"/>
        </w:rPr>
        <w:t xml:space="preserve"> </w:t>
      </w:r>
      <w:r w:rsidRPr="00017532">
        <w:rPr>
          <w:lang w:val="fr-CA"/>
        </w:rPr>
        <w:t>de cinq ans, en cas de récidive;</w:t>
      </w:r>
    </w:p>
    <w:p w:rsidR="002A4851" w:rsidRPr="00017532" w:rsidRDefault="002A4851" w:rsidP="00A659A4">
      <w:pPr>
        <w:pStyle w:val="Citation-AltC"/>
        <w:spacing w:after="240"/>
        <w:ind w:left="1555" w:hanging="1555"/>
        <w:contextualSpacing w:val="0"/>
        <w:rPr>
          <w:lang w:val="fr-CA"/>
        </w:rPr>
      </w:pPr>
      <w:r w:rsidRPr="00017532">
        <w:rPr>
          <w:rStyle w:val="Emphasis"/>
          <w:lang w:val="fr-CA"/>
        </w:rPr>
        <w:tab/>
        <w:t>b</w:t>
      </w:r>
      <w:r w:rsidRPr="00017532">
        <w:rPr>
          <w:lang w:val="fr-CA"/>
        </w:rPr>
        <w:t>)</w:t>
      </w:r>
      <w:r w:rsidR="00B029AB">
        <w:rPr>
          <w:lang w:val="fr-CA"/>
        </w:rPr>
        <w:t xml:space="preserve"> </w:t>
      </w:r>
      <w:r w:rsidRPr="00017532">
        <w:rPr>
          <w:lang w:val="fr-CA"/>
        </w:rPr>
        <w:t>soit d</w:t>
      </w:r>
      <w:r>
        <w:rPr>
          <w:lang w:val="fr-CA"/>
        </w:rPr>
        <w:t>’</w:t>
      </w:r>
      <w:r w:rsidRPr="00017532">
        <w:rPr>
          <w:lang w:val="fr-CA"/>
        </w:rPr>
        <w:t>une infraction punissable, sur déclaration de culpabilité par procédure sommaire, d</w:t>
      </w:r>
      <w:r>
        <w:rPr>
          <w:lang w:val="fr-CA"/>
        </w:rPr>
        <w:t>’</w:t>
      </w:r>
      <w:r w:rsidRPr="00017532">
        <w:rPr>
          <w:lang w:val="fr-CA"/>
        </w:rPr>
        <w:t>un emprisonnement maximal de un an.</w:t>
      </w:r>
    </w:p>
    <w:p w:rsidR="002A4851" w:rsidRPr="00017532" w:rsidRDefault="00084013" w:rsidP="00A659A4">
      <w:pPr>
        <w:pStyle w:val="Citation-AltC"/>
        <w:tabs>
          <w:tab w:val="left" w:pos="1530"/>
        </w:tabs>
        <w:spacing w:after="240"/>
        <w:ind w:hanging="1166"/>
        <w:contextualSpacing w:val="0"/>
        <w:rPr>
          <w:lang w:val="fr-CA"/>
        </w:rPr>
      </w:pPr>
      <w:r>
        <w:rPr>
          <w:lang w:val="fr-CA"/>
        </w:rPr>
        <w:tab/>
      </w:r>
      <w:r>
        <w:rPr>
          <w:lang w:val="fr-CA"/>
        </w:rPr>
        <w:tab/>
      </w:r>
      <w:r w:rsidR="002A4851" w:rsidRPr="00017532">
        <w:rPr>
          <w:lang w:val="fr-CA"/>
        </w:rPr>
        <w:t>(3)</w:t>
      </w:r>
      <w:r w:rsidR="00B029AB">
        <w:rPr>
          <w:lang w:val="fr-CA"/>
        </w:rPr>
        <w:t xml:space="preserve"> </w:t>
      </w:r>
      <w:r w:rsidR="002A4851" w:rsidRPr="00017532">
        <w:rPr>
          <w:lang w:val="fr-CA"/>
        </w:rPr>
        <w:t>Le paragraphe</w:t>
      </w:r>
      <w:r w:rsidR="00B029AB">
        <w:rPr>
          <w:lang w:val="fr-CA"/>
        </w:rPr>
        <w:t xml:space="preserve"> </w:t>
      </w:r>
      <w:r w:rsidR="002A4851" w:rsidRPr="00017532">
        <w:rPr>
          <w:lang w:val="fr-CA"/>
        </w:rPr>
        <w:t>(1) ne s</w:t>
      </w:r>
      <w:r w:rsidR="002A4851">
        <w:rPr>
          <w:lang w:val="fr-CA"/>
        </w:rPr>
        <w:t>’</w:t>
      </w:r>
      <w:r w:rsidR="002A4851" w:rsidRPr="00017532">
        <w:rPr>
          <w:lang w:val="fr-CA"/>
        </w:rPr>
        <w:t>applique pas à quiconque utilise une arme à feu sous la surveillance directe d</w:t>
      </w:r>
      <w:r w:rsidR="002A4851">
        <w:rPr>
          <w:lang w:val="fr-CA"/>
        </w:rPr>
        <w:t>’</w:t>
      </w:r>
      <w:r w:rsidR="002A4851" w:rsidRPr="00017532">
        <w:rPr>
          <w:lang w:val="fr-CA"/>
        </w:rPr>
        <w:t>une personne qui en a la possession légale, de la manière dont celle</w:t>
      </w:r>
      <w:r w:rsidR="00B029AB">
        <w:rPr>
          <w:lang w:val="fr-CA"/>
        </w:rPr>
        <w:t>-</w:t>
      </w:r>
      <w:r w:rsidR="002A4851" w:rsidRPr="00017532">
        <w:rPr>
          <w:lang w:val="fr-CA"/>
        </w:rPr>
        <w:t>ci peut légalement s</w:t>
      </w:r>
      <w:r w:rsidR="002A4851">
        <w:rPr>
          <w:lang w:val="fr-CA"/>
        </w:rPr>
        <w:t>’</w:t>
      </w:r>
      <w:r w:rsidR="002A4851" w:rsidRPr="00017532">
        <w:rPr>
          <w:lang w:val="fr-CA"/>
        </w:rPr>
        <w:t>en servir.</w:t>
      </w:r>
    </w:p>
    <w:p w:rsidR="002A4851" w:rsidRPr="00017532" w:rsidRDefault="002A4851" w:rsidP="00A659A4">
      <w:pPr>
        <w:pStyle w:val="ParaNoNdepar-AltN"/>
        <w:rPr>
          <w:rFonts w:cs="Times New Roman"/>
          <w:lang w:val="fr-CA"/>
        </w:rPr>
      </w:pPr>
      <w:r w:rsidRPr="00017532">
        <w:rPr>
          <w:rFonts w:cs="Times New Roman"/>
          <w:lang w:val="fr-CA"/>
        </w:rPr>
        <w:t>L</w:t>
      </w:r>
      <w:r>
        <w:rPr>
          <w:rFonts w:cs="Times New Roman"/>
          <w:lang w:val="fr-CA"/>
        </w:rPr>
        <w:t>’</w:t>
      </w:r>
      <w:r w:rsidRPr="00017532">
        <w:rPr>
          <w:rFonts w:cs="Times New Roman"/>
          <w:lang w:val="fr-CA"/>
        </w:rPr>
        <w:t>article</w:t>
      </w:r>
      <w:r w:rsidR="00B029AB">
        <w:rPr>
          <w:rFonts w:cs="Times New Roman"/>
          <w:lang w:val="fr-CA"/>
        </w:rPr>
        <w:t xml:space="preserve"> </w:t>
      </w:r>
      <w:r w:rsidRPr="00017532">
        <w:rPr>
          <w:rFonts w:cs="Times New Roman"/>
          <w:lang w:val="fr-CA"/>
        </w:rPr>
        <w:t>95 crée une infraction mixte qui rend passible, sur mise en accusation, d</w:t>
      </w:r>
      <w:r>
        <w:rPr>
          <w:rFonts w:cs="Times New Roman"/>
          <w:lang w:val="fr-CA"/>
        </w:rPr>
        <w:t>’</w:t>
      </w:r>
      <w:r w:rsidRPr="00017532">
        <w:rPr>
          <w:rFonts w:cs="Times New Roman"/>
          <w:lang w:val="fr-CA"/>
        </w:rPr>
        <w:t>une peine carcérale d</w:t>
      </w:r>
      <w:r>
        <w:rPr>
          <w:rFonts w:cs="Times New Roman"/>
          <w:lang w:val="fr-CA"/>
        </w:rPr>
        <w:t>’</w:t>
      </w:r>
      <w:r w:rsidRPr="00017532">
        <w:rPr>
          <w:rFonts w:cs="Times New Roman"/>
          <w:lang w:val="fr-CA"/>
        </w:rPr>
        <w:t>au plus 10</w:t>
      </w:r>
      <w:r w:rsidR="00B029AB">
        <w:rPr>
          <w:rFonts w:cs="Times New Roman"/>
          <w:lang w:val="fr-CA"/>
        </w:rPr>
        <w:t xml:space="preserve"> </w:t>
      </w:r>
      <w:r w:rsidRPr="00017532">
        <w:rPr>
          <w:rFonts w:cs="Times New Roman"/>
          <w:lang w:val="fr-CA"/>
        </w:rPr>
        <w:t>ans. Dans sa version initiale, la disposition prévoyait une peine minimale d</w:t>
      </w:r>
      <w:r>
        <w:rPr>
          <w:rFonts w:cs="Times New Roman"/>
          <w:lang w:val="fr-CA"/>
        </w:rPr>
        <w:t>’</w:t>
      </w:r>
      <w:r w:rsidRPr="00017532">
        <w:rPr>
          <w:rFonts w:cs="Times New Roman"/>
          <w:lang w:val="fr-CA"/>
        </w:rPr>
        <w:t>un an lorsque le poursuivant optait pour la mise en accusation et une peine maximale d</w:t>
      </w:r>
      <w:r>
        <w:rPr>
          <w:rFonts w:cs="Times New Roman"/>
          <w:lang w:val="fr-CA"/>
        </w:rPr>
        <w:t>’</w:t>
      </w:r>
      <w:r w:rsidRPr="00017532">
        <w:rPr>
          <w:rFonts w:cs="Times New Roman"/>
          <w:lang w:val="fr-CA"/>
        </w:rPr>
        <w:t>un an lorsqu</w:t>
      </w:r>
      <w:r>
        <w:rPr>
          <w:rFonts w:cs="Times New Roman"/>
          <w:lang w:val="fr-CA"/>
        </w:rPr>
        <w:t>’</w:t>
      </w:r>
      <w:r w:rsidRPr="00017532">
        <w:rPr>
          <w:rFonts w:cs="Times New Roman"/>
          <w:lang w:val="fr-CA"/>
        </w:rPr>
        <w:t>il optait pour la procédure sommaire. En mai 2008, le législateur a porté la peine carcérale minimale à trois ans pour une première infraction et à cinq</w:t>
      </w:r>
      <w:r w:rsidR="00B029AB">
        <w:rPr>
          <w:rFonts w:cs="Times New Roman"/>
          <w:lang w:val="fr-CA"/>
        </w:rPr>
        <w:t xml:space="preserve"> </w:t>
      </w:r>
      <w:r w:rsidRPr="00017532">
        <w:rPr>
          <w:rFonts w:cs="Times New Roman"/>
          <w:lang w:val="fr-CA"/>
        </w:rPr>
        <w:t>ans pour une récidive, lorsqu</w:t>
      </w:r>
      <w:r>
        <w:rPr>
          <w:rFonts w:cs="Times New Roman"/>
          <w:lang w:val="fr-CA"/>
        </w:rPr>
        <w:t>’</w:t>
      </w:r>
      <w:r w:rsidRPr="00017532">
        <w:rPr>
          <w:rFonts w:cs="Times New Roman"/>
          <w:lang w:val="fr-CA"/>
        </w:rPr>
        <w:t>il y avait mise en accusation (L.C. 2008, c.</w:t>
      </w:r>
      <w:r w:rsidR="00B029AB">
        <w:rPr>
          <w:rFonts w:cs="Times New Roman"/>
          <w:lang w:val="fr-CA"/>
        </w:rPr>
        <w:t xml:space="preserve"> </w:t>
      </w:r>
      <w:r w:rsidRPr="00017532">
        <w:rPr>
          <w:rFonts w:cs="Times New Roman"/>
          <w:lang w:val="fr-CA"/>
        </w:rPr>
        <w:t>6, art.</w:t>
      </w:r>
      <w:r w:rsidR="00B029AB">
        <w:rPr>
          <w:rFonts w:cs="Times New Roman"/>
          <w:lang w:val="fr-CA"/>
        </w:rPr>
        <w:t xml:space="preserve"> </w:t>
      </w:r>
      <w:r w:rsidRPr="00017532">
        <w:rPr>
          <w:rFonts w:cs="Times New Roman"/>
          <w:lang w:val="fr-CA"/>
        </w:rPr>
        <w:t>8). Il n</w:t>
      </w:r>
      <w:r>
        <w:rPr>
          <w:rFonts w:cs="Times New Roman"/>
          <w:lang w:val="fr-CA"/>
        </w:rPr>
        <w:t>’</w:t>
      </w:r>
      <w:r w:rsidRPr="00017532">
        <w:rPr>
          <w:rFonts w:cs="Times New Roman"/>
          <w:lang w:val="fr-CA"/>
        </w:rPr>
        <w:t>a cependant pas modifié la peine maximale d</w:t>
      </w:r>
      <w:r>
        <w:rPr>
          <w:rFonts w:cs="Times New Roman"/>
          <w:lang w:val="fr-CA"/>
        </w:rPr>
        <w:t>’</w:t>
      </w:r>
      <w:r w:rsidRPr="00017532">
        <w:rPr>
          <w:rFonts w:cs="Times New Roman"/>
          <w:lang w:val="fr-CA"/>
        </w:rPr>
        <w:t>un an encourue lorsque le poursuivant opte pour la procédure sommaire. Il existe donc un écart de deux ans entre la peine maximale applicable sur procédure sommaire et la peine minimale applicable sur mise en accusation. M.</w:t>
      </w:r>
      <w:r w:rsidR="00B029AB">
        <w:rPr>
          <w:rFonts w:cs="Times New Roman"/>
          <w:lang w:val="fr-CA"/>
        </w:rPr>
        <w:t xml:space="preserve"> </w:t>
      </w:r>
      <w:r w:rsidRPr="00017532">
        <w:rPr>
          <w:rFonts w:cs="Times New Roman"/>
          <w:lang w:val="fr-CA"/>
        </w:rPr>
        <w:t>Nur conteste cet écart sur le fondement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 de la </w:t>
      </w:r>
      <w:r w:rsidRPr="00017532">
        <w:rPr>
          <w:rFonts w:cs="Times New Roman"/>
          <w:i/>
          <w:lang w:val="fr-CA"/>
        </w:rPr>
        <w:t>Charte</w:t>
      </w:r>
      <w:r>
        <w:rPr>
          <w:rFonts w:cs="Times New Roman"/>
          <w:lang w:val="fr-CA"/>
        </w:rPr>
        <w:t xml:space="preserve">. </w:t>
      </w:r>
    </w:p>
    <w:p w:rsidR="002A4851" w:rsidRPr="00017532" w:rsidRDefault="002A4851" w:rsidP="00A659A4">
      <w:pPr>
        <w:pStyle w:val="ParaNoNdepar-AltN"/>
        <w:rPr>
          <w:rFonts w:cs="Times New Roman"/>
          <w:lang w:val="fr-CA"/>
        </w:rPr>
      </w:pPr>
      <w:r w:rsidRPr="00017532">
        <w:rPr>
          <w:rFonts w:cs="Times New Roman"/>
          <w:lang w:val="fr-CA"/>
        </w:rPr>
        <w:t>Il appert de l</w:t>
      </w:r>
      <w:r>
        <w:rPr>
          <w:rFonts w:cs="Times New Roman"/>
          <w:lang w:val="fr-CA"/>
        </w:rPr>
        <w:t>’</w:t>
      </w:r>
      <w:r w:rsidRPr="00017532">
        <w:rPr>
          <w:rFonts w:cs="Times New Roman"/>
          <w:lang w:val="fr-CA"/>
        </w:rPr>
        <w:t xml:space="preserve">examen des dispositions du </w:t>
      </w:r>
      <w:r w:rsidRPr="00017532">
        <w:rPr>
          <w:rFonts w:cs="Times New Roman"/>
          <w:i/>
          <w:lang w:val="fr-CA"/>
        </w:rPr>
        <w:t>Code criminel</w:t>
      </w:r>
      <w:r w:rsidRPr="00017532">
        <w:rPr>
          <w:rFonts w:cs="Times New Roman"/>
          <w:lang w:val="fr-CA"/>
        </w:rPr>
        <w:t xml:space="preserve"> sur les armes à feu que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95 prévoit une peine plus lourde que toute autre disposition relative à la seule possession. Les peines carcérales minimales obligatoires d</w:t>
      </w:r>
      <w:r>
        <w:rPr>
          <w:rFonts w:cs="Times New Roman"/>
          <w:lang w:val="fr-CA"/>
        </w:rPr>
        <w:t>’</w:t>
      </w:r>
      <w:r w:rsidRPr="00017532">
        <w:rPr>
          <w:rFonts w:cs="Times New Roman"/>
          <w:lang w:val="fr-CA"/>
        </w:rPr>
        <w:t>emprisonnement prévues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95 tiennent compte de deux circonstances aggravantes. Elles s</w:t>
      </w:r>
      <w:r>
        <w:rPr>
          <w:rFonts w:cs="Times New Roman"/>
          <w:lang w:val="fr-CA"/>
        </w:rPr>
        <w:t>’</w:t>
      </w:r>
      <w:r w:rsidRPr="00017532">
        <w:rPr>
          <w:rFonts w:cs="Times New Roman"/>
          <w:lang w:val="fr-CA"/>
        </w:rPr>
        <w:t>appliquent en effet à la possession d</w:t>
      </w:r>
      <w:r>
        <w:rPr>
          <w:rFonts w:cs="Times New Roman"/>
          <w:lang w:val="fr-CA"/>
        </w:rPr>
        <w:t>’</w:t>
      </w:r>
      <w:r w:rsidRPr="00017532">
        <w:rPr>
          <w:rFonts w:cs="Times New Roman"/>
          <w:lang w:val="fr-CA"/>
        </w:rPr>
        <w:t>une arme prohibée ou d</w:t>
      </w:r>
      <w:r>
        <w:rPr>
          <w:rFonts w:cs="Times New Roman"/>
          <w:lang w:val="fr-CA"/>
        </w:rPr>
        <w:t>’</w:t>
      </w:r>
      <w:r w:rsidRPr="00017532">
        <w:rPr>
          <w:rFonts w:cs="Times New Roman"/>
          <w:lang w:val="fr-CA"/>
        </w:rPr>
        <w:t xml:space="preserve">une arme à autorisation restreinte, lesquelles présentent le plus grand risque qui soit pour la </w:t>
      </w:r>
      <w:r w:rsidRPr="00017532">
        <w:rPr>
          <w:rFonts w:cs="Times New Roman"/>
          <w:lang w:val="fr-CA"/>
        </w:rPr>
        <w:lastRenderedPageBreak/>
        <w:t>sécurité publique, et seulement lorsque l</w:t>
      </w:r>
      <w:r>
        <w:rPr>
          <w:rFonts w:cs="Times New Roman"/>
          <w:lang w:val="fr-CA"/>
        </w:rPr>
        <w:t>’</w:t>
      </w:r>
      <w:r w:rsidRPr="00017532">
        <w:rPr>
          <w:rFonts w:cs="Times New Roman"/>
          <w:lang w:val="fr-CA"/>
        </w:rPr>
        <w:t>arme est chargée ou que ses munitions sont facilement accessibles.</w:t>
      </w:r>
    </w:p>
    <w:p w:rsidR="002A4851" w:rsidRPr="00017532" w:rsidRDefault="002A4851" w:rsidP="00A659A4">
      <w:pPr>
        <w:pStyle w:val="ParaNoNdepar-AltN"/>
        <w:rPr>
          <w:rFonts w:cs="Times New Roman"/>
          <w:lang w:val="fr-CA"/>
        </w:rPr>
      </w:pPr>
      <w:r w:rsidRPr="00017532">
        <w:rPr>
          <w:rFonts w:cs="Times New Roman"/>
          <w:lang w:val="fr-CA"/>
        </w:rPr>
        <w:t>Le sous</w:t>
      </w:r>
      <w:r w:rsidR="00B029AB">
        <w:rPr>
          <w:rFonts w:cs="Times New Roman"/>
          <w:lang w:val="fr-CA"/>
        </w:rPr>
        <w:t>-</w:t>
      </w:r>
      <w:r w:rsidRPr="00017532">
        <w:rPr>
          <w:rFonts w:cs="Times New Roman"/>
          <w:lang w:val="fr-CA"/>
        </w:rPr>
        <w:t>alinéa</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)(ii) prévoit une peine carcérale obligatoire d</w:t>
      </w:r>
      <w:r>
        <w:rPr>
          <w:rFonts w:cs="Times New Roman"/>
          <w:lang w:val="fr-CA"/>
        </w:rPr>
        <w:t>’</w:t>
      </w:r>
      <w:r w:rsidRPr="00017532">
        <w:rPr>
          <w:rFonts w:cs="Times New Roman"/>
          <w:lang w:val="fr-CA"/>
        </w:rPr>
        <w:t>au moins cinq</w:t>
      </w:r>
      <w:r w:rsidR="00B029AB">
        <w:rPr>
          <w:rFonts w:cs="Times New Roman"/>
          <w:lang w:val="fr-CA"/>
        </w:rPr>
        <w:t xml:space="preserve"> </w:t>
      </w:r>
      <w:r w:rsidRPr="00017532">
        <w:rPr>
          <w:rFonts w:cs="Times New Roman"/>
          <w:lang w:val="fr-CA"/>
        </w:rPr>
        <w:t>ans en cas de récidive. Pour déterminer s</w:t>
      </w:r>
      <w:r>
        <w:rPr>
          <w:rFonts w:cs="Times New Roman"/>
          <w:lang w:val="fr-CA"/>
        </w:rPr>
        <w:t>’</w:t>
      </w:r>
      <w:r w:rsidRPr="00017532">
        <w:rPr>
          <w:rFonts w:cs="Times New Roman"/>
          <w:lang w:val="fr-CA"/>
        </w:rPr>
        <w:t>il y a récidive au sens du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)(ii), il faut se reporter aux par.</w:t>
      </w:r>
      <w:r w:rsidR="00B029AB">
        <w:rPr>
          <w:rFonts w:cs="Times New Roman"/>
          <w:lang w:val="fr-CA"/>
        </w:rPr>
        <w:t xml:space="preserve"> </w:t>
      </w:r>
      <w:r w:rsidRPr="00017532">
        <w:rPr>
          <w:rFonts w:cs="Times New Roman"/>
          <w:lang w:val="fr-CA"/>
        </w:rPr>
        <w:t>84(5) et (6)</w:t>
      </w:r>
      <w:r w:rsidR="00B029AB">
        <w:rPr>
          <w:rFonts w:cs="Times New Roman"/>
          <w:lang w:val="fr-CA"/>
        </w:rPr>
        <w:t> :</w:t>
      </w:r>
    </w:p>
    <w:p w:rsidR="002A4851" w:rsidRPr="00017532" w:rsidRDefault="002A4851" w:rsidP="00A659A4">
      <w:pPr>
        <w:pStyle w:val="Citation-AltC"/>
        <w:tabs>
          <w:tab w:val="left" w:pos="1530"/>
        </w:tabs>
        <w:spacing w:after="240"/>
        <w:ind w:hanging="1166"/>
        <w:contextualSpacing w:val="0"/>
        <w:rPr>
          <w:lang w:val="fr-CA"/>
        </w:rPr>
      </w:pPr>
      <w:r>
        <w:rPr>
          <w:lang w:val="fr-CA"/>
        </w:rPr>
        <w:tab/>
      </w:r>
      <w:r w:rsidR="00084013">
        <w:rPr>
          <w:lang w:val="fr-CA"/>
        </w:rPr>
        <w:tab/>
      </w:r>
      <w:r w:rsidRPr="00017532">
        <w:rPr>
          <w:lang w:val="fr-CA"/>
        </w:rPr>
        <w:t>(5)</w:t>
      </w:r>
      <w:r w:rsidR="00B029AB">
        <w:rPr>
          <w:lang w:val="fr-CA"/>
        </w:rPr>
        <w:t xml:space="preserve"> </w:t>
      </w:r>
      <w:r w:rsidRPr="00017532">
        <w:rPr>
          <w:lang w:val="fr-CA"/>
        </w:rPr>
        <w:t>Lorsqu</w:t>
      </w:r>
      <w:r>
        <w:rPr>
          <w:lang w:val="fr-CA"/>
        </w:rPr>
        <w:t>’</w:t>
      </w:r>
      <w:r w:rsidRPr="00017532">
        <w:rPr>
          <w:lang w:val="fr-CA"/>
        </w:rPr>
        <w:t>il s</w:t>
      </w:r>
      <w:r>
        <w:rPr>
          <w:lang w:val="fr-CA"/>
        </w:rPr>
        <w:t>’</w:t>
      </w:r>
      <w:r w:rsidRPr="00017532">
        <w:rPr>
          <w:lang w:val="fr-CA"/>
        </w:rPr>
        <w:t>agit de décider, pour l</w:t>
      </w:r>
      <w:r>
        <w:rPr>
          <w:lang w:val="fr-CA"/>
        </w:rPr>
        <w:t>’</w:t>
      </w:r>
      <w:r w:rsidRPr="00017532">
        <w:rPr>
          <w:lang w:val="fr-CA"/>
        </w:rPr>
        <w:t>application des paragraphes</w:t>
      </w:r>
      <w:r w:rsidR="00B029AB">
        <w:rPr>
          <w:lang w:val="fr-CA"/>
        </w:rPr>
        <w:t xml:space="preserve"> </w:t>
      </w:r>
      <w:r w:rsidRPr="00017532">
        <w:rPr>
          <w:lang w:val="fr-CA"/>
        </w:rPr>
        <w:t>85(3), 95(2), 99(2), 100(2) ou 103(2), si la personne déclarée coupable se trouve en état de récidive, il est tenu compte de toute condamnation antérieure à l</w:t>
      </w:r>
      <w:r>
        <w:rPr>
          <w:lang w:val="fr-CA"/>
        </w:rPr>
        <w:t>’</w:t>
      </w:r>
      <w:r w:rsidRPr="00017532">
        <w:rPr>
          <w:lang w:val="fr-CA"/>
        </w:rPr>
        <w:t>égard :</w:t>
      </w:r>
    </w:p>
    <w:p w:rsidR="002A4851" w:rsidRPr="00017532" w:rsidRDefault="002A4851" w:rsidP="00A659A4">
      <w:pPr>
        <w:pStyle w:val="Citation-AltC"/>
        <w:spacing w:after="240"/>
        <w:ind w:left="1555" w:hanging="1555"/>
        <w:contextualSpacing w:val="0"/>
        <w:rPr>
          <w:lang w:val="fr-CA"/>
        </w:rPr>
      </w:pPr>
      <w:r w:rsidRPr="00017532">
        <w:rPr>
          <w:rStyle w:val="Emphasis"/>
          <w:lang w:val="fr-CA"/>
        </w:rPr>
        <w:tab/>
        <w:t>a</w:t>
      </w:r>
      <w:r w:rsidRPr="00017532">
        <w:rPr>
          <w:lang w:val="fr-CA"/>
        </w:rPr>
        <w:t>)</w:t>
      </w:r>
      <w:r w:rsidR="00B029AB">
        <w:rPr>
          <w:lang w:val="fr-CA"/>
        </w:rPr>
        <w:t xml:space="preserve"> </w:t>
      </w:r>
      <w:r w:rsidRPr="00017532">
        <w:rPr>
          <w:lang w:val="fr-CA"/>
        </w:rPr>
        <w:t>d</w:t>
      </w:r>
      <w:r>
        <w:rPr>
          <w:lang w:val="fr-CA"/>
        </w:rPr>
        <w:t>’</w:t>
      </w:r>
      <w:r w:rsidRPr="00017532">
        <w:rPr>
          <w:lang w:val="fr-CA"/>
        </w:rPr>
        <w:t>une infraction prévue aux articles 85, 95, 96, 98, 98.1, 99, 100, 102 ou 103 ou au paragraphe</w:t>
      </w:r>
      <w:r w:rsidR="00B029AB">
        <w:rPr>
          <w:lang w:val="fr-CA"/>
        </w:rPr>
        <w:t xml:space="preserve"> </w:t>
      </w:r>
      <w:r w:rsidRPr="00017532">
        <w:rPr>
          <w:lang w:val="fr-CA"/>
        </w:rPr>
        <w:t>117.01(1);</w:t>
      </w:r>
    </w:p>
    <w:p w:rsidR="002A4851" w:rsidRPr="00017532" w:rsidRDefault="002A4851" w:rsidP="00A659A4">
      <w:pPr>
        <w:pStyle w:val="Citation-AltC"/>
        <w:spacing w:after="240"/>
        <w:ind w:left="1555" w:hanging="1555"/>
        <w:contextualSpacing w:val="0"/>
        <w:rPr>
          <w:lang w:val="fr-CA"/>
        </w:rPr>
      </w:pPr>
      <w:r w:rsidRPr="00017532">
        <w:rPr>
          <w:rStyle w:val="Emphasis"/>
          <w:lang w:val="fr-CA"/>
        </w:rPr>
        <w:tab/>
        <w:t>b</w:t>
      </w:r>
      <w:r w:rsidRPr="00017532">
        <w:rPr>
          <w:lang w:val="fr-CA"/>
        </w:rPr>
        <w:t>)</w:t>
      </w:r>
      <w:r w:rsidR="00B029AB">
        <w:rPr>
          <w:lang w:val="fr-CA"/>
        </w:rPr>
        <w:t xml:space="preserve"> </w:t>
      </w:r>
      <w:r w:rsidRPr="00017532">
        <w:rPr>
          <w:lang w:val="fr-CA"/>
        </w:rPr>
        <w:t>d</w:t>
      </w:r>
      <w:r>
        <w:rPr>
          <w:lang w:val="fr-CA"/>
        </w:rPr>
        <w:t>’</w:t>
      </w:r>
      <w:r w:rsidRPr="00017532">
        <w:rPr>
          <w:lang w:val="fr-CA"/>
        </w:rPr>
        <w:t>une infraction prévue aux articles</w:t>
      </w:r>
      <w:r w:rsidR="00B029AB">
        <w:rPr>
          <w:lang w:val="fr-CA"/>
        </w:rPr>
        <w:t xml:space="preserve"> </w:t>
      </w:r>
      <w:r w:rsidRPr="00017532">
        <w:rPr>
          <w:lang w:val="fr-CA"/>
        </w:rPr>
        <w:t>244 ou 244.2;</w:t>
      </w:r>
    </w:p>
    <w:p w:rsidR="002A4851" w:rsidRPr="00017532" w:rsidRDefault="002A4851" w:rsidP="00A659A4">
      <w:pPr>
        <w:pStyle w:val="Citation-AltC"/>
        <w:spacing w:after="240"/>
        <w:ind w:left="1555" w:hanging="1555"/>
        <w:contextualSpacing w:val="0"/>
        <w:rPr>
          <w:lang w:val="fr-CA"/>
        </w:rPr>
      </w:pPr>
      <w:r w:rsidRPr="00017532">
        <w:rPr>
          <w:rStyle w:val="Emphasis"/>
          <w:lang w:val="fr-CA"/>
        </w:rPr>
        <w:tab/>
        <w:t>c</w:t>
      </w:r>
      <w:r w:rsidRPr="00017532">
        <w:rPr>
          <w:lang w:val="fr-CA"/>
        </w:rPr>
        <w:t>)</w:t>
      </w:r>
      <w:r w:rsidR="00B029AB">
        <w:rPr>
          <w:lang w:val="fr-CA"/>
        </w:rPr>
        <w:t xml:space="preserve"> </w:t>
      </w:r>
      <w:r w:rsidRPr="00017532">
        <w:rPr>
          <w:lang w:val="fr-CA"/>
        </w:rPr>
        <w:t>d</w:t>
      </w:r>
      <w:r>
        <w:rPr>
          <w:lang w:val="fr-CA"/>
        </w:rPr>
        <w:t>’</w:t>
      </w:r>
      <w:r w:rsidRPr="00017532">
        <w:rPr>
          <w:lang w:val="fr-CA"/>
        </w:rPr>
        <w:t>une infraction prévue aux articles 220, 236, 239, 272 ou 273, au paragraphe 279(1) ou aux articles 279.1, 344 ou 346, s</w:t>
      </w:r>
      <w:r>
        <w:rPr>
          <w:lang w:val="fr-CA"/>
        </w:rPr>
        <w:t>’</w:t>
      </w:r>
      <w:r w:rsidRPr="00017532">
        <w:rPr>
          <w:lang w:val="fr-CA"/>
        </w:rPr>
        <w:t>il y a usage d</w:t>
      </w:r>
      <w:r>
        <w:rPr>
          <w:lang w:val="fr-CA"/>
        </w:rPr>
        <w:t>’</w:t>
      </w:r>
      <w:r w:rsidRPr="00017532">
        <w:rPr>
          <w:lang w:val="fr-CA"/>
        </w:rPr>
        <w:t>une arme à feu lors de la perpétration.</w:t>
      </w:r>
    </w:p>
    <w:p w:rsidR="002A4851" w:rsidRPr="00017532" w:rsidRDefault="002A4851" w:rsidP="00A659A4">
      <w:pPr>
        <w:pStyle w:val="Citation-AltC"/>
        <w:spacing w:after="240"/>
        <w:ind w:hanging="1166"/>
        <w:contextualSpacing w:val="0"/>
        <w:rPr>
          <w:lang w:val="fr-CA"/>
        </w:rPr>
      </w:pPr>
      <w:r>
        <w:rPr>
          <w:lang w:val="fr-CA"/>
        </w:rPr>
        <w:tab/>
      </w:r>
      <w:r w:rsidRPr="00017532">
        <w:rPr>
          <w:lang w:val="fr-CA"/>
        </w:rPr>
        <w:t>Toutefois, il n</w:t>
      </w:r>
      <w:r>
        <w:rPr>
          <w:lang w:val="fr-CA"/>
        </w:rPr>
        <w:t>’</w:t>
      </w:r>
      <w:r w:rsidRPr="00017532">
        <w:rPr>
          <w:lang w:val="fr-CA"/>
        </w:rPr>
        <w:t>est pas tenu compte des condamnations précédant de plus de dix ans la condamnation à l</w:t>
      </w:r>
      <w:r>
        <w:rPr>
          <w:lang w:val="fr-CA"/>
        </w:rPr>
        <w:t>’</w:t>
      </w:r>
      <w:r w:rsidRPr="00017532">
        <w:rPr>
          <w:lang w:val="fr-CA"/>
        </w:rPr>
        <w:t>égard de laquelle la peine doit être déterminée, compte non tenu du temps passé sous garde.</w:t>
      </w:r>
    </w:p>
    <w:p w:rsidR="002A4851" w:rsidRPr="00017532" w:rsidRDefault="002A4851" w:rsidP="00A659A4">
      <w:pPr>
        <w:pStyle w:val="Citation-AltC"/>
        <w:tabs>
          <w:tab w:val="left" w:pos="1530"/>
        </w:tabs>
        <w:spacing w:after="240"/>
        <w:ind w:hanging="1166"/>
        <w:contextualSpacing w:val="0"/>
        <w:rPr>
          <w:lang w:val="fr-CA"/>
        </w:rPr>
      </w:pPr>
      <w:r>
        <w:rPr>
          <w:b/>
          <w:lang w:val="fr-CA"/>
        </w:rPr>
        <w:tab/>
      </w:r>
      <w:r w:rsidR="00084013">
        <w:rPr>
          <w:b/>
          <w:lang w:val="fr-CA"/>
        </w:rPr>
        <w:tab/>
      </w:r>
      <w:r w:rsidRPr="00017532">
        <w:rPr>
          <w:lang w:val="fr-CA"/>
        </w:rPr>
        <w:t>(6)</w:t>
      </w:r>
      <w:r w:rsidR="00B029AB">
        <w:rPr>
          <w:lang w:val="fr-CA"/>
        </w:rPr>
        <w:t xml:space="preserve"> </w:t>
      </w:r>
      <w:r w:rsidRPr="00017532">
        <w:rPr>
          <w:lang w:val="fr-CA"/>
        </w:rPr>
        <w:t>Pour l</w:t>
      </w:r>
      <w:r>
        <w:rPr>
          <w:lang w:val="fr-CA"/>
        </w:rPr>
        <w:t>’</w:t>
      </w:r>
      <w:r w:rsidRPr="00017532">
        <w:rPr>
          <w:lang w:val="fr-CA"/>
        </w:rPr>
        <w:t>application du paragraphe</w:t>
      </w:r>
      <w:r w:rsidR="00B029AB">
        <w:rPr>
          <w:lang w:val="fr-CA"/>
        </w:rPr>
        <w:t xml:space="preserve"> </w:t>
      </w:r>
      <w:r w:rsidRPr="00017532">
        <w:rPr>
          <w:lang w:val="fr-CA"/>
        </w:rPr>
        <w:t>(5), il est tenu compte de l</w:t>
      </w:r>
      <w:r>
        <w:rPr>
          <w:lang w:val="fr-CA"/>
        </w:rPr>
        <w:t>’</w:t>
      </w:r>
      <w:r w:rsidRPr="00017532">
        <w:rPr>
          <w:lang w:val="fr-CA"/>
        </w:rPr>
        <w:t>ordre des déclarations de culpabilité et non de l</w:t>
      </w:r>
      <w:r>
        <w:rPr>
          <w:lang w:val="fr-CA"/>
        </w:rPr>
        <w:t>’</w:t>
      </w:r>
      <w:r w:rsidRPr="00017532">
        <w:rPr>
          <w:lang w:val="fr-CA"/>
        </w:rPr>
        <w:t>ordre de perpétration des infractions, ni du fait qu</w:t>
      </w:r>
      <w:r>
        <w:rPr>
          <w:lang w:val="fr-CA"/>
        </w:rPr>
        <w:t>’</w:t>
      </w:r>
      <w:r w:rsidRPr="00017532">
        <w:rPr>
          <w:lang w:val="fr-CA"/>
        </w:rPr>
        <w:t>une infraction a été commise avant ou après une déclaration de culpabilité.</w:t>
      </w:r>
    </w:p>
    <w:p w:rsidR="002A4851" w:rsidRPr="00017532" w:rsidRDefault="002A4851" w:rsidP="00A659A4">
      <w:pPr>
        <w:pStyle w:val="ParaNoNdepar-AltN"/>
        <w:rPr>
          <w:rFonts w:cs="Times New Roman"/>
          <w:lang w:val="fr-CA"/>
        </w:rPr>
      </w:pPr>
      <w:r w:rsidRPr="00017532">
        <w:rPr>
          <w:rFonts w:cs="Times New Roman"/>
          <w:lang w:val="fr-CA"/>
        </w:rPr>
        <w:t>M. Charles tient les par.</w:t>
      </w:r>
      <w:r w:rsidR="00B029AB">
        <w:rPr>
          <w:rFonts w:cs="Times New Roman"/>
          <w:lang w:val="fr-CA"/>
        </w:rPr>
        <w:t xml:space="preserve"> </w:t>
      </w:r>
      <w:r w:rsidRPr="00017532">
        <w:rPr>
          <w:rFonts w:cs="Times New Roman"/>
          <w:lang w:val="fr-CA"/>
        </w:rPr>
        <w:t>84(5) et (6) pour inconstitutionnels et contraires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 de la </w:t>
      </w:r>
      <w:r w:rsidRPr="00017532">
        <w:rPr>
          <w:rFonts w:cs="Times New Roman"/>
          <w:i/>
          <w:lang w:val="fr-CA"/>
        </w:rPr>
        <w:t>Charte</w:t>
      </w:r>
      <w:r w:rsidRPr="00017532">
        <w:rPr>
          <w:rFonts w:cs="Times New Roman"/>
          <w:lang w:val="fr-CA"/>
        </w:rPr>
        <w:t xml:space="preserve"> du fait que leur portée est excessive et qu</w:t>
      </w:r>
      <w:r>
        <w:rPr>
          <w:rFonts w:cs="Times New Roman"/>
          <w:lang w:val="fr-CA"/>
        </w:rPr>
        <w:t>’</w:t>
      </w:r>
      <w:r w:rsidRPr="00017532">
        <w:rPr>
          <w:rFonts w:cs="Times New Roman"/>
          <w:lang w:val="fr-CA"/>
        </w:rPr>
        <w:t>ils sont arbitraires.</w:t>
      </w:r>
    </w:p>
    <w:p w:rsidR="002A4851" w:rsidRPr="00017532" w:rsidRDefault="002A4851" w:rsidP="00A659A4">
      <w:pPr>
        <w:pStyle w:val="ParaNoNdepar-AltN"/>
        <w:rPr>
          <w:rFonts w:cs="Times New Roman"/>
          <w:lang w:val="fr-CA"/>
        </w:rPr>
      </w:pPr>
      <w:r w:rsidRPr="00017532">
        <w:rPr>
          <w:rFonts w:cs="Times New Roman"/>
          <w:lang w:val="fr-CA"/>
        </w:rPr>
        <w:t xml:space="preserve">Voici le texte des dispositions pertinentes de la </w:t>
      </w:r>
      <w:r w:rsidRPr="00017532">
        <w:rPr>
          <w:rFonts w:cs="Times New Roman"/>
          <w:i/>
          <w:lang w:val="fr-CA"/>
        </w:rPr>
        <w:t>Charte</w:t>
      </w:r>
      <w:r w:rsidR="00084013">
        <w:rPr>
          <w:rFonts w:cs="Times New Roman"/>
          <w:lang w:val="fr-CA"/>
        </w:rPr>
        <w:t> :</w:t>
      </w:r>
    </w:p>
    <w:p w:rsidR="002A4851" w:rsidRPr="00017532" w:rsidRDefault="002A4851" w:rsidP="00A659A4">
      <w:pPr>
        <w:pStyle w:val="Citation-AltC"/>
        <w:tabs>
          <w:tab w:val="left" w:pos="1530"/>
        </w:tabs>
        <w:spacing w:after="240"/>
        <w:ind w:hanging="1166"/>
        <w:contextualSpacing w:val="0"/>
        <w:rPr>
          <w:lang w:val="fr-CA"/>
        </w:rPr>
      </w:pPr>
      <w:r>
        <w:rPr>
          <w:rStyle w:val="sectionlabel"/>
          <w:lang w:val="fr-CA"/>
        </w:rPr>
        <w:lastRenderedPageBreak/>
        <w:tab/>
      </w:r>
      <w:r w:rsidR="00084013">
        <w:rPr>
          <w:rStyle w:val="sectionlabel"/>
          <w:b w:val="0"/>
          <w:lang w:val="fr-CA"/>
        </w:rPr>
        <w:tab/>
      </w:r>
      <w:r w:rsidRPr="00017532">
        <w:rPr>
          <w:rStyle w:val="sectionlabel"/>
          <w:lang w:val="fr-CA"/>
        </w:rPr>
        <w:t>1.</w:t>
      </w:r>
      <w:r w:rsidR="00B029AB">
        <w:rPr>
          <w:lang w:val="fr-CA"/>
        </w:rPr>
        <w:t xml:space="preserve"> </w:t>
      </w:r>
      <w:r w:rsidRPr="00017532">
        <w:rPr>
          <w:lang w:val="fr-CA"/>
        </w:rPr>
        <w:t xml:space="preserve">La </w:t>
      </w:r>
      <w:r w:rsidRPr="00017532">
        <w:rPr>
          <w:rStyle w:val="HTMLCite"/>
          <w:rFonts w:eastAsiaTheme="majorEastAsia"/>
          <w:lang w:val="fr-CA"/>
        </w:rPr>
        <w:t>Charte canadienne des droits et libertés</w:t>
      </w:r>
      <w:r w:rsidRPr="00017532">
        <w:rPr>
          <w:lang w:val="fr-CA"/>
        </w:rPr>
        <w:t xml:space="preserve"> garantit les droits et libertés qui y sont énoncés. Ils ne peuvent être restreints que par une règle de droit, dans des limites qui soient raisonnables et dont la justification puisse se démontrer dans le cadre d</w:t>
      </w:r>
      <w:r>
        <w:rPr>
          <w:lang w:val="fr-CA"/>
        </w:rPr>
        <w:t>’</w:t>
      </w:r>
      <w:r w:rsidRPr="00017532">
        <w:rPr>
          <w:lang w:val="fr-CA"/>
        </w:rPr>
        <w:t>une société libre et démocratique.</w:t>
      </w:r>
    </w:p>
    <w:p w:rsidR="002A4851" w:rsidRPr="00017532" w:rsidRDefault="002A4851" w:rsidP="00A659A4">
      <w:pPr>
        <w:pStyle w:val="Citation-AltC"/>
        <w:tabs>
          <w:tab w:val="left" w:pos="1530"/>
        </w:tabs>
        <w:spacing w:after="240"/>
        <w:ind w:hanging="1166"/>
        <w:contextualSpacing w:val="0"/>
        <w:rPr>
          <w:lang w:val="fr-CA"/>
        </w:rPr>
      </w:pPr>
      <w:r>
        <w:rPr>
          <w:b/>
          <w:bCs/>
          <w:lang w:val="fr-CA"/>
        </w:rPr>
        <w:tab/>
      </w:r>
      <w:r w:rsidR="00084013">
        <w:rPr>
          <w:bCs/>
          <w:lang w:val="fr-CA"/>
        </w:rPr>
        <w:tab/>
      </w:r>
      <w:r w:rsidRPr="00017532">
        <w:rPr>
          <w:b/>
          <w:bCs/>
          <w:lang w:val="fr-CA"/>
        </w:rPr>
        <w:t>7.</w:t>
      </w:r>
      <w:r w:rsidR="00B029AB">
        <w:rPr>
          <w:lang w:val="fr-CA"/>
        </w:rPr>
        <w:t xml:space="preserve"> </w:t>
      </w:r>
      <w:r w:rsidRPr="00017532">
        <w:rPr>
          <w:lang w:val="fr-CA"/>
        </w:rPr>
        <w:t>Chacun a droit à la vie, à la liberté et à la sécurité de sa personne; il ne peut être porté atteinte à ce droit qu</w:t>
      </w:r>
      <w:r>
        <w:rPr>
          <w:lang w:val="fr-CA"/>
        </w:rPr>
        <w:t>’</w:t>
      </w:r>
      <w:r w:rsidRPr="00017532">
        <w:rPr>
          <w:lang w:val="fr-CA"/>
        </w:rPr>
        <w:t>en conformité avec les principes de justice fondamentale.</w:t>
      </w:r>
    </w:p>
    <w:p w:rsidR="002A4851" w:rsidRPr="00017532" w:rsidRDefault="002A4851" w:rsidP="00A659A4">
      <w:pPr>
        <w:pStyle w:val="Citation-AltC"/>
        <w:tabs>
          <w:tab w:val="left" w:pos="1530"/>
        </w:tabs>
        <w:spacing w:after="240"/>
        <w:ind w:hanging="1166"/>
        <w:contextualSpacing w:val="0"/>
        <w:rPr>
          <w:b/>
          <w:lang w:val="fr-CA"/>
        </w:rPr>
      </w:pPr>
      <w:r>
        <w:rPr>
          <w:b/>
          <w:bCs/>
          <w:lang w:val="fr-CA"/>
        </w:rPr>
        <w:tab/>
      </w:r>
      <w:r w:rsidR="00084013">
        <w:rPr>
          <w:b/>
          <w:bCs/>
          <w:lang w:val="fr-CA"/>
        </w:rPr>
        <w:tab/>
      </w:r>
      <w:r w:rsidRPr="00017532">
        <w:rPr>
          <w:b/>
          <w:bCs/>
          <w:lang w:val="fr-CA"/>
        </w:rPr>
        <w:t>12.</w:t>
      </w:r>
      <w:r w:rsidR="00B029AB">
        <w:rPr>
          <w:b/>
          <w:lang w:val="fr-CA"/>
        </w:rPr>
        <w:t xml:space="preserve"> </w:t>
      </w:r>
      <w:r w:rsidRPr="00017532">
        <w:rPr>
          <w:lang w:val="fr-CA"/>
        </w:rPr>
        <w:t>Chacun a droit à la protection contre tous traitements ou peines cruels et inusités.</w:t>
      </w:r>
    </w:p>
    <w:p w:rsidR="002A4851" w:rsidRPr="00017532" w:rsidRDefault="002A4851" w:rsidP="00A659A4">
      <w:pPr>
        <w:pStyle w:val="Title1LevelTitre1Niveau-AltL"/>
        <w:ind w:left="578" w:hanging="578"/>
        <w:jc w:val="both"/>
        <w:rPr>
          <w:rFonts w:cs="Times New Roman"/>
          <w:lang w:val="fr-CA"/>
        </w:rPr>
      </w:pPr>
      <w:r w:rsidRPr="00017532">
        <w:rPr>
          <w:rFonts w:cs="Times New Roman"/>
          <w:lang w:val="fr-CA"/>
        </w:rPr>
        <w:t>Faits et genèse de l</w:t>
      </w:r>
      <w:r>
        <w:rPr>
          <w:rFonts w:cs="Times New Roman"/>
          <w:lang w:val="fr-CA"/>
        </w:rPr>
        <w:t>’</w:t>
      </w:r>
      <w:r w:rsidRPr="00017532">
        <w:rPr>
          <w:rFonts w:cs="Times New Roman"/>
          <w:lang w:val="fr-CA"/>
        </w:rPr>
        <w:t>instance</w:t>
      </w:r>
    </w:p>
    <w:p w:rsidR="002A4851" w:rsidRPr="00017532" w:rsidRDefault="002A4851" w:rsidP="00A659A4">
      <w:pPr>
        <w:pStyle w:val="Title2LevelTitre2Niveau"/>
        <w:spacing w:before="0"/>
        <w:ind w:left="578" w:hanging="578"/>
        <w:rPr>
          <w:rFonts w:cs="Times New Roman"/>
          <w:lang w:val="fr-CA"/>
        </w:rPr>
      </w:pPr>
      <w:r w:rsidRPr="00017532">
        <w:rPr>
          <w:rFonts w:cs="Times New Roman"/>
          <w:lang w:val="fr-CA"/>
        </w:rPr>
        <w:t>Dossier</w:t>
      </w:r>
      <w:r w:rsidR="00B029AB">
        <w:rPr>
          <w:rFonts w:cs="Times New Roman"/>
          <w:lang w:val="fr-CA"/>
        </w:rPr>
        <w:t xml:space="preserve"> </w:t>
      </w:r>
      <w:r w:rsidRPr="00017532">
        <w:rPr>
          <w:rFonts w:cs="Times New Roman"/>
          <w:lang w:val="fr-CA"/>
        </w:rPr>
        <w:t>Nur</w:t>
      </w:r>
    </w:p>
    <w:p w:rsidR="002A4851" w:rsidRPr="00017532" w:rsidRDefault="002A4851" w:rsidP="00A659A4">
      <w:pPr>
        <w:pStyle w:val="ParaNoNdepar-AltN"/>
        <w:rPr>
          <w:rFonts w:cs="Times New Roman"/>
          <w:lang w:val="fr-CA"/>
        </w:rPr>
      </w:pPr>
      <w:r w:rsidRPr="00017532">
        <w:rPr>
          <w:rFonts w:cs="Times New Roman"/>
          <w:lang w:val="fr-CA"/>
        </w:rPr>
        <w:t>Un soir de janvier 2009, à Toronto, un jeune homme est entré dans un centre communautaire situé près de l</w:t>
      </w:r>
      <w:r>
        <w:rPr>
          <w:rFonts w:cs="Times New Roman"/>
          <w:lang w:val="fr-CA"/>
        </w:rPr>
        <w:t>’</w:t>
      </w:r>
      <w:r w:rsidRPr="00017532">
        <w:rPr>
          <w:rFonts w:cs="Times New Roman"/>
          <w:lang w:val="fr-CA"/>
        </w:rPr>
        <w:t>intersection de la rue Jane et de l</w:t>
      </w:r>
      <w:r>
        <w:rPr>
          <w:rFonts w:cs="Times New Roman"/>
          <w:lang w:val="fr-CA"/>
        </w:rPr>
        <w:t>’</w:t>
      </w:r>
      <w:r w:rsidRPr="00017532">
        <w:rPr>
          <w:rFonts w:cs="Times New Roman"/>
          <w:lang w:val="fr-CA"/>
        </w:rPr>
        <w:t>avenue Finch.</w:t>
      </w:r>
      <w:r w:rsidR="00B029AB">
        <w:rPr>
          <w:rFonts w:cs="Times New Roman"/>
          <w:lang w:val="fr-CA"/>
        </w:rPr>
        <w:t xml:space="preserve"> </w:t>
      </w:r>
      <w:r w:rsidRPr="00017532">
        <w:rPr>
          <w:rFonts w:cs="Times New Roman"/>
          <w:lang w:val="fr-CA"/>
        </w:rPr>
        <w:t>Il a dit à un employé qu</w:t>
      </w:r>
      <w:r>
        <w:rPr>
          <w:rFonts w:cs="Times New Roman"/>
          <w:lang w:val="fr-CA"/>
        </w:rPr>
        <w:t>’</w:t>
      </w:r>
      <w:r w:rsidRPr="00017532">
        <w:rPr>
          <w:rFonts w:cs="Times New Roman"/>
          <w:lang w:val="fr-CA"/>
        </w:rPr>
        <w:t>il avait peur de quelqu</w:t>
      </w:r>
      <w:r>
        <w:rPr>
          <w:rFonts w:cs="Times New Roman"/>
          <w:lang w:val="fr-CA"/>
        </w:rPr>
        <w:t>’</w:t>
      </w:r>
      <w:r w:rsidRPr="00017532">
        <w:rPr>
          <w:rFonts w:cs="Times New Roman"/>
          <w:lang w:val="fr-CA"/>
        </w:rPr>
        <w:t>un qui l</w:t>
      </w:r>
      <w:r>
        <w:rPr>
          <w:rFonts w:cs="Times New Roman"/>
          <w:lang w:val="fr-CA"/>
        </w:rPr>
        <w:t>’</w:t>
      </w:r>
      <w:r w:rsidRPr="00017532">
        <w:rPr>
          <w:rFonts w:cs="Times New Roman"/>
          <w:lang w:val="fr-CA"/>
        </w:rPr>
        <w:t>attendait à l</w:t>
      </w:r>
      <w:r>
        <w:rPr>
          <w:rFonts w:cs="Times New Roman"/>
          <w:lang w:val="fr-CA"/>
        </w:rPr>
        <w:t>’</w:t>
      </w:r>
      <w:r w:rsidRPr="00017532">
        <w:rPr>
          <w:rFonts w:cs="Times New Roman"/>
          <w:lang w:val="fr-CA"/>
        </w:rPr>
        <w:t>extérieur et qui en avait après lui. L</w:t>
      </w:r>
      <w:r>
        <w:rPr>
          <w:rFonts w:cs="Times New Roman"/>
          <w:lang w:val="fr-CA"/>
        </w:rPr>
        <w:t>’</w:t>
      </w:r>
      <w:r w:rsidRPr="00017532">
        <w:rPr>
          <w:rFonts w:cs="Times New Roman"/>
          <w:lang w:val="fr-CA"/>
        </w:rPr>
        <w:t>employé a aperçu une personne à l</w:t>
      </w:r>
      <w:r>
        <w:rPr>
          <w:rFonts w:cs="Times New Roman"/>
          <w:lang w:val="fr-CA"/>
        </w:rPr>
        <w:t>’</w:t>
      </w:r>
      <w:r w:rsidRPr="00017532">
        <w:rPr>
          <w:rFonts w:cs="Times New Roman"/>
          <w:lang w:val="fr-CA"/>
        </w:rPr>
        <w:t>air menaçant qui attendait à l</w:t>
      </w:r>
      <w:r>
        <w:rPr>
          <w:rFonts w:cs="Times New Roman"/>
          <w:lang w:val="fr-CA"/>
        </w:rPr>
        <w:t>’</w:t>
      </w:r>
      <w:r w:rsidRPr="00017532">
        <w:rPr>
          <w:rFonts w:cs="Times New Roman"/>
          <w:lang w:val="fr-CA"/>
        </w:rPr>
        <w:t>extérieur. Le quartier connaissait un taux très élevé de criminalité, et le recours aux armes à feu y constituait un problème grave. Le surveillant a verrouillé les lieux et appelé la police. À leur arrivée, les policiers ont vu quatre hommes, dont M. Nur, près de l</w:t>
      </w:r>
      <w:r>
        <w:rPr>
          <w:rFonts w:cs="Times New Roman"/>
          <w:lang w:val="fr-CA"/>
        </w:rPr>
        <w:t>’</w:t>
      </w:r>
      <w:r w:rsidRPr="00017532">
        <w:rPr>
          <w:rFonts w:cs="Times New Roman"/>
          <w:lang w:val="fr-CA"/>
        </w:rPr>
        <w:t>une des entrées. Lorsqu</w:t>
      </w:r>
      <w:r>
        <w:rPr>
          <w:rFonts w:cs="Times New Roman"/>
          <w:lang w:val="fr-CA"/>
        </w:rPr>
        <w:t>’</w:t>
      </w:r>
      <w:r w:rsidRPr="00017532">
        <w:rPr>
          <w:rFonts w:cs="Times New Roman"/>
          <w:lang w:val="fr-CA"/>
        </w:rPr>
        <w:t>un agent s</w:t>
      </w:r>
      <w:r>
        <w:rPr>
          <w:rFonts w:cs="Times New Roman"/>
          <w:lang w:val="fr-CA"/>
        </w:rPr>
        <w:t>’</w:t>
      </w:r>
      <w:r w:rsidRPr="00017532">
        <w:rPr>
          <w:rFonts w:cs="Times New Roman"/>
          <w:lang w:val="fr-CA"/>
        </w:rPr>
        <w:t>est approché, les hommes ont pris la fuite dans des directions différentes</w:t>
      </w:r>
      <w:r>
        <w:rPr>
          <w:rFonts w:cs="Times New Roman"/>
          <w:lang w:val="fr-CA"/>
        </w:rPr>
        <w:t xml:space="preserve">. </w:t>
      </w:r>
    </w:p>
    <w:p w:rsidR="002A4851" w:rsidRPr="00017532" w:rsidRDefault="002A4851" w:rsidP="00A659A4">
      <w:pPr>
        <w:pStyle w:val="ParaNoNdepar-AltN"/>
        <w:rPr>
          <w:rFonts w:cs="Times New Roman"/>
          <w:lang w:val="fr-CA"/>
        </w:rPr>
      </w:pPr>
      <w:r w:rsidRPr="00017532">
        <w:rPr>
          <w:rFonts w:cs="Times New Roman"/>
          <w:lang w:val="fr-CA"/>
        </w:rPr>
        <w:t>Pris en chasse par le policier, M.</w:t>
      </w:r>
      <w:r w:rsidR="00B029AB">
        <w:rPr>
          <w:rFonts w:cs="Times New Roman"/>
          <w:lang w:val="fr-CA"/>
        </w:rPr>
        <w:t xml:space="preserve"> </w:t>
      </w:r>
      <w:r w:rsidRPr="00017532">
        <w:rPr>
          <w:rFonts w:cs="Times New Roman"/>
          <w:lang w:val="fr-CA"/>
        </w:rPr>
        <w:t>Nur serrait sa main gauche contre son corps et semblait dissimuler un objet. Au moment où l</w:t>
      </w:r>
      <w:r>
        <w:rPr>
          <w:rFonts w:cs="Times New Roman"/>
          <w:lang w:val="fr-CA"/>
        </w:rPr>
        <w:t>’</w:t>
      </w:r>
      <w:r w:rsidRPr="00017532">
        <w:rPr>
          <w:rFonts w:cs="Times New Roman"/>
          <w:lang w:val="fr-CA"/>
        </w:rPr>
        <w:t>agent allait le rattraper, M.</w:t>
      </w:r>
      <w:r w:rsidR="00B029AB">
        <w:rPr>
          <w:rFonts w:cs="Times New Roman"/>
          <w:lang w:val="fr-CA"/>
        </w:rPr>
        <w:t xml:space="preserve"> </w:t>
      </w:r>
      <w:r w:rsidRPr="00017532">
        <w:rPr>
          <w:rFonts w:cs="Times New Roman"/>
          <w:lang w:val="fr-CA"/>
        </w:rPr>
        <w:t>Nur s</w:t>
      </w:r>
      <w:r>
        <w:rPr>
          <w:rFonts w:cs="Times New Roman"/>
          <w:lang w:val="fr-CA"/>
        </w:rPr>
        <w:t>’</w:t>
      </w:r>
      <w:r w:rsidRPr="00017532">
        <w:rPr>
          <w:rFonts w:cs="Times New Roman"/>
          <w:lang w:val="fr-CA"/>
        </w:rPr>
        <w:t>est débarrassé d</w:t>
      </w:r>
      <w:r>
        <w:rPr>
          <w:rFonts w:cs="Times New Roman"/>
          <w:lang w:val="fr-CA"/>
        </w:rPr>
        <w:t>’</w:t>
      </w:r>
      <w:r w:rsidRPr="00017532">
        <w:rPr>
          <w:rFonts w:cs="Times New Roman"/>
          <w:lang w:val="fr-CA"/>
        </w:rPr>
        <w:t>un objet. Quelques instants plus tard, M.</w:t>
      </w:r>
      <w:r w:rsidR="00B029AB">
        <w:rPr>
          <w:rFonts w:cs="Times New Roman"/>
          <w:lang w:val="fr-CA"/>
        </w:rPr>
        <w:t xml:space="preserve"> </w:t>
      </w:r>
      <w:r w:rsidRPr="00017532">
        <w:rPr>
          <w:rFonts w:cs="Times New Roman"/>
          <w:lang w:val="fr-CA"/>
        </w:rPr>
        <w:t xml:space="preserve">Nur était immobilisé </w:t>
      </w:r>
      <w:r w:rsidRPr="00017532">
        <w:rPr>
          <w:rFonts w:cs="Times New Roman"/>
          <w:lang w:val="fr-CA"/>
        </w:rPr>
        <w:lastRenderedPageBreak/>
        <w:t>et mis en état d</w:t>
      </w:r>
      <w:r>
        <w:rPr>
          <w:rFonts w:cs="Times New Roman"/>
          <w:lang w:val="fr-CA"/>
        </w:rPr>
        <w:t>’</w:t>
      </w:r>
      <w:r w:rsidRPr="00017532">
        <w:rPr>
          <w:rFonts w:cs="Times New Roman"/>
          <w:lang w:val="fr-CA"/>
        </w:rPr>
        <w:t>arrestation. Le policier est revenu sur ses pas à l</w:t>
      </w:r>
      <w:r>
        <w:rPr>
          <w:rFonts w:cs="Times New Roman"/>
          <w:lang w:val="fr-CA"/>
        </w:rPr>
        <w:t>’</w:t>
      </w:r>
      <w:r w:rsidRPr="00017532">
        <w:rPr>
          <w:rFonts w:cs="Times New Roman"/>
          <w:lang w:val="fr-CA"/>
        </w:rPr>
        <w:t>endroit où il avait vu M.</w:t>
      </w:r>
      <w:r w:rsidR="00B029AB">
        <w:rPr>
          <w:rFonts w:cs="Times New Roman"/>
          <w:lang w:val="fr-CA"/>
        </w:rPr>
        <w:t xml:space="preserve"> </w:t>
      </w:r>
      <w:r w:rsidRPr="00017532">
        <w:rPr>
          <w:rFonts w:cs="Times New Roman"/>
          <w:lang w:val="fr-CA"/>
        </w:rPr>
        <w:t>Nur jeter un objet par terre. Il a trouvé une arme de poing chargée sous une voiture garée. Il s</w:t>
      </w:r>
      <w:r>
        <w:rPr>
          <w:rFonts w:cs="Times New Roman"/>
          <w:lang w:val="fr-CA"/>
        </w:rPr>
        <w:t>’</w:t>
      </w:r>
      <w:r w:rsidRPr="00017532">
        <w:rPr>
          <w:rFonts w:cs="Times New Roman"/>
          <w:lang w:val="fr-CA"/>
        </w:rPr>
        <w:t>agissait d</w:t>
      </w:r>
      <w:r>
        <w:rPr>
          <w:rFonts w:cs="Times New Roman"/>
          <w:lang w:val="fr-CA"/>
        </w:rPr>
        <w:t>’</w:t>
      </w:r>
      <w:r w:rsidRPr="00017532">
        <w:rPr>
          <w:rFonts w:cs="Times New Roman"/>
          <w:lang w:val="fr-CA"/>
        </w:rPr>
        <w:t>un pistolet semi</w:t>
      </w:r>
      <w:r w:rsidR="00B029AB">
        <w:rPr>
          <w:rFonts w:cs="Times New Roman"/>
          <w:lang w:val="fr-CA"/>
        </w:rPr>
        <w:t>-</w:t>
      </w:r>
      <w:r w:rsidRPr="00017532">
        <w:rPr>
          <w:rFonts w:cs="Times New Roman"/>
          <w:lang w:val="fr-CA"/>
        </w:rPr>
        <w:t>automatique de calibre</w:t>
      </w:r>
      <w:r w:rsidR="00B029AB">
        <w:rPr>
          <w:rFonts w:cs="Times New Roman"/>
          <w:lang w:val="fr-CA"/>
        </w:rPr>
        <w:t xml:space="preserve"> </w:t>
      </w:r>
      <w:r w:rsidRPr="00017532">
        <w:rPr>
          <w:rFonts w:cs="Times New Roman"/>
          <w:lang w:val="fr-CA"/>
        </w:rPr>
        <w:t>22 en état de marche muni d</w:t>
      </w:r>
      <w:r>
        <w:rPr>
          <w:rFonts w:cs="Times New Roman"/>
          <w:lang w:val="fr-CA"/>
        </w:rPr>
        <w:t>’</w:t>
      </w:r>
      <w:r w:rsidRPr="00017532">
        <w:rPr>
          <w:rFonts w:cs="Times New Roman"/>
          <w:lang w:val="fr-CA"/>
        </w:rPr>
        <w:t>un chargeur grande dimension</w:t>
      </w:r>
      <w:r w:rsidR="00084013">
        <w:rPr>
          <w:rFonts w:cs="Times New Roman"/>
          <w:lang w:val="fr-CA"/>
        </w:rPr>
        <w:t>, une arme à feu prohibée</w:t>
      </w:r>
      <w:r w:rsidRPr="00017532">
        <w:rPr>
          <w:rFonts w:cs="Times New Roman"/>
          <w:lang w:val="fr-CA"/>
        </w:rPr>
        <w:t>. L</w:t>
      </w:r>
      <w:r>
        <w:rPr>
          <w:rFonts w:cs="Times New Roman"/>
          <w:lang w:val="fr-CA"/>
        </w:rPr>
        <w:t>’</w:t>
      </w:r>
      <w:r w:rsidRPr="00017532">
        <w:rPr>
          <w:rFonts w:cs="Times New Roman"/>
          <w:lang w:val="fr-CA"/>
        </w:rPr>
        <w:t>arme contenait 2</w:t>
      </w:r>
      <w:r>
        <w:rPr>
          <w:rFonts w:cs="Times New Roman"/>
          <w:lang w:val="fr-CA"/>
        </w:rPr>
        <w:t>3</w:t>
      </w:r>
      <w:r w:rsidR="00B029AB">
        <w:rPr>
          <w:rFonts w:cs="Times New Roman"/>
          <w:lang w:val="fr-CA"/>
        </w:rPr>
        <w:t xml:space="preserve"> </w:t>
      </w:r>
      <w:r w:rsidRPr="00017532">
        <w:rPr>
          <w:rFonts w:cs="Times New Roman"/>
          <w:lang w:val="fr-CA"/>
        </w:rPr>
        <w:t>balles, dont une dans l</w:t>
      </w:r>
      <w:r w:rsidR="00084013">
        <w:rPr>
          <w:rFonts w:cs="Times New Roman"/>
          <w:lang w:val="fr-CA"/>
        </w:rPr>
        <w:t>a chambre</w:t>
      </w:r>
      <w:r w:rsidRPr="00017532">
        <w:rPr>
          <w:rFonts w:cs="Times New Roman"/>
          <w:lang w:val="fr-CA"/>
        </w:rPr>
        <w:t>. Lorsqu</w:t>
      </w:r>
      <w:r>
        <w:rPr>
          <w:rFonts w:cs="Times New Roman"/>
          <w:lang w:val="fr-CA"/>
        </w:rPr>
        <w:t>’</w:t>
      </w:r>
      <w:r w:rsidRPr="00017532">
        <w:rPr>
          <w:rFonts w:cs="Times New Roman"/>
          <w:lang w:val="fr-CA"/>
        </w:rPr>
        <w:t>il est en bon état de marche, le pistolet permet de tirer ses 24</w:t>
      </w:r>
      <w:r w:rsidR="00B029AB">
        <w:rPr>
          <w:rFonts w:cs="Times New Roman"/>
          <w:lang w:val="fr-CA"/>
        </w:rPr>
        <w:t xml:space="preserve"> </w:t>
      </w:r>
      <w:r w:rsidRPr="00017532">
        <w:rPr>
          <w:rFonts w:cs="Times New Roman"/>
          <w:lang w:val="fr-CA"/>
        </w:rPr>
        <w:t>balles en 3,5</w:t>
      </w:r>
      <w:r w:rsidR="00B029AB">
        <w:rPr>
          <w:rFonts w:cs="Times New Roman"/>
          <w:lang w:val="fr-CA"/>
        </w:rPr>
        <w:t xml:space="preserve"> </w:t>
      </w:r>
      <w:r w:rsidRPr="00017532">
        <w:rPr>
          <w:rFonts w:cs="Times New Roman"/>
          <w:lang w:val="fr-CA"/>
        </w:rPr>
        <w:t>secondes.</w:t>
      </w:r>
    </w:p>
    <w:p w:rsidR="002A4851" w:rsidRPr="00017532" w:rsidRDefault="002A4851" w:rsidP="00A659A4">
      <w:pPr>
        <w:pStyle w:val="ParaNoNdepar-AltN"/>
        <w:rPr>
          <w:rFonts w:cs="Times New Roman"/>
          <w:lang w:val="fr-CA"/>
        </w:rPr>
      </w:pPr>
      <w:r w:rsidRPr="00017532">
        <w:rPr>
          <w:rFonts w:cs="Times New Roman"/>
          <w:lang w:val="fr-CA"/>
        </w:rPr>
        <w:t>Il n</w:t>
      </w:r>
      <w:r>
        <w:rPr>
          <w:rFonts w:cs="Times New Roman"/>
          <w:lang w:val="fr-CA"/>
        </w:rPr>
        <w:t>’</w:t>
      </w:r>
      <w:r w:rsidRPr="00017532">
        <w:rPr>
          <w:rFonts w:cs="Times New Roman"/>
          <w:lang w:val="fr-CA"/>
        </w:rPr>
        <w:t>a pas été établi que M.</w:t>
      </w:r>
      <w:r w:rsidR="00B029AB">
        <w:rPr>
          <w:rFonts w:cs="Times New Roman"/>
          <w:lang w:val="fr-CA"/>
        </w:rPr>
        <w:t xml:space="preserve"> </w:t>
      </w:r>
      <w:r w:rsidRPr="00017532">
        <w:rPr>
          <w:rFonts w:cs="Times New Roman"/>
          <w:lang w:val="fr-CA"/>
        </w:rPr>
        <w:t>Nur avait quoi que ce soit à voir avec le comportement menaçant, et aucun élément n</w:t>
      </w:r>
      <w:r>
        <w:rPr>
          <w:rFonts w:cs="Times New Roman"/>
          <w:lang w:val="fr-CA"/>
        </w:rPr>
        <w:t>’</w:t>
      </w:r>
      <w:r w:rsidRPr="00017532">
        <w:rPr>
          <w:rFonts w:cs="Times New Roman"/>
          <w:lang w:val="fr-CA"/>
        </w:rPr>
        <w:t>a clairement indiqué le moment à partir duquel M.</w:t>
      </w:r>
      <w:r w:rsidR="00B029AB">
        <w:rPr>
          <w:rFonts w:cs="Times New Roman"/>
          <w:lang w:val="fr-CA"/>
        </w:rPr>
        <w:t xml:space="preserve"> </w:t>
      </w:r>
      <w:r w:rsidRPr="00017532">
        <w:rPr>
          <w:rFonts w:cs="Times New Roman"/>
          <w:lang w:val="fr-CA"/>
        </w:rPr>
        <w:t>Nur avait eu l</w:t>
      </w:r>
      <w:r>
        <w:rPr>
          <w:rFonts w:cs="Times New Roman"/>
          <w:lang w:val="fr-CA"/>
        </w:rPr>
        <w:t>’</w:t>
      </w:r>
      <w:r w:rsidRPr="00017532">
        <w:rPr>
          <w:rFonts w:cs="Times New Roman"/>
          <w:lang w:val="fr-CA"/>
        </w:rPr>
        <w:t>arme chargée en sa possession, la durée de cette possession, ou la manière dont il était entré en possession de l</w:t>
      </w:r>
      <w:r>
        <w:rPr>
          <w:rFonts w:cs="Times New Roman"/>
          <w:lang w:val="fr-CA"/>
        </w:rPr>
        <w:t>’</w:t>
      </w:r>
      <w:r w:rsidRPr="00017532">
        <w:rPr>
          <w:rFonts w:cs="Times New Roman"/>
          <w:lang w:val="fr-CA"/>
        </w:rPr>
        <w:t>arme</w:t>
      </w:r>
      <w:r>
        <w:rPr>
          <w:rFonts w:cs="Times New Roman"/>
          <w:lang w:val="fr-CA"/>
        </w:rPr>
        <w:t xml:space="preserve">. </w:t>
      </w:r>
      <w:r w:rsidRPr="00017532">
        <w:rPr>
          <w:rFonts w:cs="Times New Roman"/>
          <w:lang w:val="fr-CA"/>
        </w:rPr>
        <w:t xml:space="preserve"> </w:t>
      </w:r>
    </w:p>
    <w:p w:rsidR="002A4851" w:rsidRPr="00017532" w:rsidRDefault="002A4851" w:rsidP="00A659A4">
      <w:pPr>
        <w:pStyle w:val="Title3LevelTitre3Niveau"/>
        <w:ind w:left="1156" w:hanging="578"/>
        <w:jc w:val="both"/>
        <w:rPr>
          <w:rFonts w:cs="Times New Roman"/>
          <w:lang w:val="fr-CA"/>
        </w:rPr>
      </w:pPr>
      <w:r w:rsidRPr="00017532">
        <w:rPr>
          <w:rFonts w:cs="Times New Roman"/>
          <w:lang w:val="fr-CA"/>
        </w:rPr>
        <w:t>Cour supérieure de justice de l</w:t>
      </w:r>
      <w:r>
        <w:rPr>
          <w:rFonts w:cs="Times New Roman"/>
          <w:lang w:val="fr-CA"/>
        </w:rPr>
        <w:t>’</w:t>
      </w:r>
      <w:r w:rsidRPr="00017532">
        <w:rPr>
          <w:rFonts w:cs="Times New Roman"/>
          <w:lang w:val="fr-CA"/>
        </w:rPr>
        <w:t>Ontario</w:t>
      </w:r>
    </w:p>
    <w:p w:rsidR="002A4851" w:rsidRPr="00017532" w:rsidRDefault="002A4851" w:rsidP="00A659A4">
      <w:pPr>
        <w:pStyle w:val="ParaNoNdepar-AltN"/>
        <w:rPr>
          <w:rFonts w:cs="Times New Roman"/>
          <w:lang w:val="fr-CA"/>
        </w:rPr>
      </w:pPr>
      <w:r w:rsidRPr="00017532">
        <w:rPr>
          <w:rFonts w:cs="Times New Roman"/>
          <w:lang w:val="fr-CA"/>
        </w:rPr>
        <w:t>M.</w:t>
      </w:r>
      <w:r w:rsidR="00B029AB">
        <w:rPr>
          <w:rFonts w:cs="Times New Roman"/>
          <w:lang w:val="fr-CA"/>
        </w:rPr>
        <w:t xml:space="preserve"> </w:t>
      </w:r>
      <w:r w:rsidRPr="00017532">
        <w:rPr>
          <w:rFonts w:cs="Times New Roman"/>
          <w:lang w:val="fr-CA"/>
        </w:rPr>
        <w:t>Nur a été accusé d</w:t>
      </w:r>
      <w:r>
        <w:rPr>
          <w:rFonts w:cs="Times New Roman"/>
          <w:lang w:val="fr-CA"/>
        </w:rPr>
        <w:t>’</w:t>
      </w:r>
      <w:r w:rsidRPr="00017532">
        <w:rPr>
          <w:rFonts w:cs="Times New Roman"/>
          <w:lang w:val="fr-CA"/>
        </w:rPr>
        <w:t>un chef de possession d</w:t>
      </w:r>
      <w:r>
        <w:rPr>
          <w:rFonts w:cs="Times New Roman"/>
          <w:lang w:val="fr-CA"/>
        </w:rPr>
        <w:t>’</w:t>
      </w:r>
      <w:r w:rsidRPr="00017532">
        <w:rPr>
          <w:rFonts w:cs="Times New Roman"/>
          <w:lang w:val="fr-CA"/>
        </w:rPr>
        <w:t>une arme à feu prohibée chargée, une infraction prévue au par.</w:t>
      </w:r>
      <w:r w:rsidR="00B029AB">
        <w:rPr>
          <w:rFonts w:cs="Times New Roman"/>
          <w:lang w:val="fr-CA"/>
        </w:rPr>
        <w:t xml:space="preserve"> </w:t>
      </w:r>
      <w:r w:rsidRPr="00017532">
        <w:rPr>
          <w:rFonts w:cs="Times New Roman"/>
          <w:lang w:val="fr-CA"/>
        </w:rPr>
        <w:t xml:space="preserve">95(1) du </w:t>
      </w:r>
      <w:r w:rsidRPr="00017532">
        <w:rPr>
          <w:rFonts w:cs="Times New Roman"/>
          <w:i/>
          <w:lang w:val="fr-CA"/>
        </w:rPr>
        <w:t>Code criminel</w:t>
      </w:r>
      <w:r w:rsidRPr="00017532">
        <w:rPr>
          <w:rFonts w:cs="Times New Roman"/>
          <w:lang w:val="fr-CA"/>
        </w:rPr>
        <w:t>. Après avoir été mis en accusation, M.</w:t>
      </w:r>
      <w:r w:rsidR="00B029AB">
        <w:rPr>
          <w:rFonts w:cs="Times New Roman"/>
          <w:lang w:val="fr-CA"/>
        </w:rPr>
        <w:t xml:space="preserve"> </w:t>
      </w:r>
      <w:r w:rsidRPr="00017532">
        <w:rPr>
          <w:rFonts w:cs="Times New Roman"/>
          <w:lang w:val="fr-CA"/>
        </w:rPr>
        <w:t>Nur a opté pour un procès devant juge seul. Il a finalement plaidé coupable, mais n</w:t>
      </w:r>
      <w:r>
        <w:rPr>
          <w:rFonts w:cs="Times New Roman"/>
          <w:lang w:val="fr-CA"/>
        </w:rPr>
        <w:t>’</w:t>
      </w:r>
      <w:r w:rsidRPr="00017532">
        <w:rPr>
          <w:rFonts w:cs="Times New Roman"/>
          <w:lang w:val="fr-CA"/>
        </w:rPr>
        <w:t>a reconnu aucun autre fait que ceux qui étaient essentiels à son plaidoyer. À l</w:t>
      </w:r>
      <w:r>
        <w:rPr>
          <w:rFonts w:cs="Times New Roman"/>
          <w:lang w:val="fr-CA"/>
        </w:rPr>
        <w:t>’</w:t>
      </w:r>
      <w:r w:rsidRPr="00017532">
        <w:rPr>
          <w:rFonts w:cs="Times New Roman"/>
          <w:lang w:val="fr-CA"/>
        </w:rPr>
        <w:t>audience de détermination de la peine, M.</w:t>
      </w:r>
      <w:r w:rsidR="00B029AB">
        <w:rPr>
          <w:rFonts w:cs="Times New Roman"/>
          <w:lang w:val="fr-CA"/>
        </w:rPr>
        <w:t xml:space="preserve"> </w:t>
      </w:r>
      <w:r w:rsidRPr="00017532">
        <w:rPr>
          <w:rFonts w:cs="Times New Roman"/>
          <w:lang w:val="fr-CA"/>
        </w:rPr>
        <w:t>Nur a mis le poursuivant au défi de prouver les circonstances aggravantes invoquées. Il a également contesté la constitutionnalité de la peine minimale obligatoire de trois</w:t>
      </w:r>
      <w:r w:rsidR="00B029AB">
        <w:rPr>
          <w:rFonts w:cs="Times New Roman"/>
          <w:lang w:val="fr-CA"/>
        </w:rPr>
        <w:t xml:space="preserve"> </w:t>
      </w:r>
      <w:r w:rsidRPr="00017532">
        <w:rPr>
          <w:rFonts w:cs="Times New Roman"/>
          <w:lang w:val="fr-CA"/>
        </w:rPr>
        <w:t>ans prévue au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w:t>
      </w:r>
    </w:p>
    <w:p w:rsidR="002A4851" w:rsidRPr="00017532" w:rsidRDefault="002A4851" w:rsidP="00A659A4">
      <w:pPr>
        <w:pStyle w:val="ParaNoNdepar-AltN"/>
        <w:rPr>
          <w:rFonts w:cs="Times New Roman"/>
          <w:lang w:val="fr-CA"/>
        </w:rPr>
      </w:pPr>
      <w:r w:rsidRPr="00017532">
        <w:rPr>
          <w:rFonts w:cs="Times New Roman"/>
          <w:lang w:val="fr-CA"/>
        </w:rPr>
        <w:lastRenderedPageBreak/>
        <w:t>M.</w:t>
      </w:r>
      <w:r w:rsidR="00B029AB">
        <w:rPr>
          <w:rFonts w:cs="Times New Roman"/>
          <w:lang w:val="fr-CA"/>
        </w:rPr>
        <w:t xml:space="preserve"> </w:t>
      </w:r>
      <w:r w:rsidRPr="00017532">
        <w:rPr>
          <w:rFonts w:cs="Times New Roman"/>
          <w:lang w:val="fr-CA"/>
        </w:rPr>
        <w:t>Nur est issu d</w:t>
      </w:r>
      <w:r>
        <w:rPr>
          <w:rFonts w:cs="Times New Roman"/>
          <w:lang w:val="fr-CA"/>
        </w:rPr>
        <w:t>’</w:t>
      </w:r>
      <w:r w:rsidRPr="00017532">
        <w:rPr>
          <w:rFonts w:cs="Times New Roman"/>
          <w:lang w:val="fr-CA"/>
        </w:rPr>
        <w:t>une famille de réfugiés soutenante et respectueuse des lois. Au moment de l</w:t>
      </w:r>
      <w:r>
        <w:rPr>
          <w:rFonts w:cs="Times New Roman"/>
          <w:lang w:val="fr-CA"/>
        </w:rPr>
        <w:t>’</w:t>
      </w:r>
      <w:r w:rsidRPr="00017532">
        <w:rPr>
          <w:rFonts w:cs="Times New Roman"/>
          <w:lang w:val="fr-CA"/>
        </w:rPr>
        <w:t>infraction, il avait 19</w:t>
      </w:r>
      <w:r w:rsidR="00B029AB">
        <w:rPr>
          <w:rFonts w:cs="Times New Roman"/>
          <w:lang w:val="fr-CA"/>
        </w:rPr>
        <w:t xml:space="preserve"> </w:t>
      </w:r>
      <w:r w:rsidRPr="00017532">
        <w:rPr>
          <w:rFonts w:cs="Times New Roman"/>
          <w:lang w:val="fr-CA"/>
        </w:rPr>
        <w:t>ans et fréquentait l</w:t>
      </w:r>
      <w:r>
        <w:rPr>
          <w:rFonts w:cs="Times New Roman"/>
          <w:lang w:val="fr-CA"/>
        </w:rPr>
        <w:t>’</w:t>
      </w:r>
      <w:r w:rsidRPr="00017532">
        <w:rPr>
          <w:rFonts w:cs="Times New Roman"/>
          <w:lang w:val="fr-CA"/>
        </w:rPr>
        <w:t>école secondaire. Il avait de bonnes notes et espérait fréquenter un jour l</w:t>
      </w:r>
      <w:r>
        <w:rPr>
          <w:rFonts w:cs="Times New Roman"/>
          <w:lang w:val="fr-CA"/>
        </w:rPr>
        <w:t>’</w:t>
      </w:r>
      <w:r w:rsidRPr="00017532">
        <w:rPr>
          <w:rFonts w:cs="Times New Roman"/>
          <w:lang w:val="fr-CA"/>
        </w:rPr>
        <w:t>université. Il avait eu quelques emplois à temps partiel et faisait du bénévolat dans la collectivité. Ses enseignants et ses anciens employeurs ont souligné ses bons résultats et ses grandes perspectives d</w:t>
      </w:r>
      <w:r>
        <w:rPr>
          <w:rFonts w:cs="Times New Roman"/>
          <w:lang w:val="fr-CA"/>
        </w:rPr>
        <w:t>’</w:t>
      </w:r>
      <w:r w:rsidRPr="00017532">
        <w:rPr>
          <w:rFonts w:cs="Times New Roman"/>
          <w:lang w:val="fr-CA"/>
        </w:rPr>
        <w:t>avenir. Pour reprendre les propos d</w:t>
      </w:r>
      <w:r>
        <w:rPr>
          <w:rFonts w:cs="Times New Roman"/>
          <w:lang w:val="fr-CA"/>
        </w:rPr>
        <w:t>’</w:t>
      </w:r>
      <w:r w:rsidRPr="00017532">
        <w:rPr>
          <w:rFonts w:cs="Times New Roman"/>
          <w:lang w:val="fr-CA"/>
        </w:rPr>
        <w:t>un enseignant, M.</w:t>
      </w:r>
      <w:r w:rsidR="00B029AB">
        <w:rPr>
          <w:rFonts w:cs="Times New Roman"/>
          <w:lang w:val="fr-CA"/>
        </w:rPr>
        <w:t xml:space="preserve"> </w:t>
      </w:r>
      <w:r w:rsidRPr="00017532">
        <w:rPr>
          <w:rFonts w:cs="Times New Roman"/>
          <w:lang w:val="fr-CA"/>
        </w:rPr>
        <w:t>Nur était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un étudiant exceptionnel et un athlète qui excellait tant en classe que sur le terrain de basketball [.</w:t>
      </w:r>
      <w:r w:rsidR="00B029AB">
        <w:rPr>
          <w:rFonts w:cs="Times New Roman"/>
          <w:lang w:val="fr-CA"/>
        </w:rPr>
        <w:t xml:space="preserve"> </w:t>
      </w:r>
      <w:r w:rsidRPr="00017532">
        <w:rPr>
          <w:rFonts w:cs="Times New Roman"/>
          <w:lang w:val="fr-CA"/>
        </w:rPr>
        <w:t>.</w:t>
      </w:r>
      <w:r w:rsidR="00B029AB">
        <w:rPr>
          <w:rFonts w:cs="Times New Roman"/>
          <w:lang w:val="fr-CA"/>
        </w:rPr>
        <w:t xml:space="preserve"> </w:t>
      </w:r>
      <w:r w:rsidRPr="00017532">
        <w:rPr>
          <w:rFonts w:cs="Times New Roman"/>
          <w:lang w:val="fr-CA"/>
        </w:rPr>
        <w:t>.] un jeune extrêmement doué dont les aptitudes aux études se doublaient d</w:t>
      </w:r>
      <w:r>
        <w:rPr>
          <w:rFonts w:cs="Times New Roman"/>
          <w:lang w:val="fr-CA"/>
        </w:rPr>
        <w:t>’</w:t>
      </w:r>
      <w:r w:rsidRPr="00017532">
        <w:rPr>
          <w:rFonts w:cs="Times New Roman"/>
          <w:lang w:val="fr-CA"/>
        </w:rPr>
        <w:t>un grand sens du leadership</w:t>
      </w:r>
      <w:r w:rsidR="00B029AB">
        <w:rPr>
          <w:rFonts w:cs="Times New Roman"/>
          <w:lang w:val="fr-CA"/>
        </w:rPr>
        <w:t> »</w:t>
      </w:r>
      <w:r w:rsidRPr="00017532">
        <w:rPr>
          <w:rFonts w:cs="Times New Roman"/>
          <w:lang w:val="fr-CA"/>
        </w:rPr>
        <w:t xml:space="preserve"> (2011 ONSC 4874, 241 C.R.R. (2d) 306, par.</w:t>
      </w:r>
      <w:r w:rsidR="00B029AB">
        <w:rPr>
          <w:rFonts w:cs="Times New Roman"/>
          <w:lang w:val="fr-CA"/>
        </w:rPr>
        <w:t xml:space="preserve"> </w:t>
      </w:r>
      <w:r w:rsidRPr="00017532">
        <w:rPr>
          <w:rFonts w:cs="Times New Roman"/>
          <w:lang w:val="fr-CA"/>
        </w:rPr>
        <w:t>34). M.</w:t>
      </w:r>
      <w:r w:rsidR="00B029AB">
        <w:rPr>
          <w:rFonts w:cs="Times New Roman"/>
          <w:lang w:val="fr-CA"/>
        </w:rPr>
        <w:t xml:space="preserve"> </w:t>
      </w:r>
      <w:r w:rsidRPr="00017532">
        <w:rPr>
          <w:rFonts w:cs="Times New Roman"/>
          <w:lang w:val="fr-CA"/>
        </w:rPr>
        <w:t>Nur n</w:t>
      </w:r>
      <w:r>
        <w:rPr>
          <w:rFonts w:cs="Times New Roman"/>
          <w:lang w:val="fr-CA"/>
        </w:rPr>
        <w:t>’</w:t>
      </w:r>
      <w:r w:rsidRPr="00017532">
        <w:rPr>
          <w:rFonts w:cs="Times New Roman"/>
          <w:lang w:val="fr-CA"/>
        </w:rPr>
        <w:t>avait pas de casier judiciaire</w:t>
      </w:r>
      <w:r>
        <w:rPr>
          <w:rFonts w:cs="Times New Roman"/>
          <w:lang w:val="fr-CA"/>
        </w:rPr>
        <w:t xml:space="preserve">. </w:t>
      </w:r>
    </w:p>
    <w:p w:rsidR="002A4851" w:rsidRPr="00017532" w:rsidRDefault="002A4851" w:rsidP="00A659A4">
      <w:pPr>
        <w:pStyle w:val="ParaNoNdepar-AltN"/>
        <w:rPr>
          <w:rFonts w:cs="Times New Roman"/>
          <w:lang w:val="fr-CA"/>
        </w:rPr>
      </w:pPr>
      <w:r w:rsidRPr="00017532">
        <w:rPr>
          <w:rFonts w:cs="Times New Roman"/>
          <w:lang w:val="fr-CA"/>
        </w:rPr>
        <w:t>Selon le juge du procès, la peine minimale obligatoire de trois</w:t>
      </w:r>
      <w:r w:rsidR="00B029AB">
        <w:rPr>
          <w:rFonts w:cs="Times New Roman"/>
          <w:lang w:val="fr-CA"/>
        </w:rPr>
        <w:t xml:space="preserve"> </w:t>
      </w:r>
      <w:r w:rsidRPr="00017532">
        <w:rPr>
          <w:rFonts w:cs="Times New Roman"/>
          <w:lang w:val="fr-CA"/>
        </w:rPr>
        <w:t>ans ne contrevient pas aux art.</w:t>
      </w:r>
      <w:r w:rsidR="00B029AB">
        <w:rPr>
          <w:rFonts w:cs="Times New Roman"/>
          <w:lang w:val="fr-CA"/>
        </w:rPr>
        <w:t xml:space="preserve"> </w:t>
      </w:r>
      <w:r w:rsidRPr="00017532">
        <w:rPr>
          <w:rFonts w:cs="Times New Roman"/>
          <w:lang w:val="fr-CA"/>
        </w:rPr>
        <w:t xml:space="preserve">12 et 15 de la </w:t>
      </w:r>
      <w:r w:rsidRPr="00017532">
        <w:rPr>
          <w:rFonts w:cs="Times New Roman"/>
          <w:i/>
          <w:lang w:val="fr-CA"/>
        </w:rPr>
        <w:t>Charte</w:t>
      </w:r>
      <w:r w:rsidRPr="00017532">
        <w:rPr>
          <w:rFonts w:cs="Times New Roman"/>
          <w:lang w:val="fr-CA"/>
        </w:rPr>
        <w:t>. Il conclut toutefois que l</w:t>
      </w:r>
      <w:r>
        <w:rPr>
          <w:rFonts w:cs="Times New Roman"/>
          <w:lang w:val="fr-CA"/>
        </w:rPr>
        <w:t>’</w:t>
      </w:r>
      <w:r w:rsidRPr="00017532">
        <w:rPr>
          <w:rFonts w:cs="Times New Roman"/>
          <w:lang w:val="fr-CA"/>
        </w:rPr>
        <w:t>écart de deux</w:t>
      </w:r>
      <w:r w:rsidR="00B029AB">
        <w:rPr>
          <w:rFonts w:cs="Times New Roman"/>
          <w:lang w:val="fr-CA"/>
        </w:rPr>
        <w:t xml:space="preserve"> </w:t>
      </w:r>
      <w:r w:rsidRPr="00017532">
        <w:rPr>
          <w:rFonts w:cs="Times New Roman"/>
          <w:lang w:val="fr-CA"/>
        </w:rPr>
        <w:t>ans entre la peine maximale d</w:t>
      </w:r>
      <w:r>
        <w:rPr>
          <w:rFonts w:cs="Times New Roman"/>
          <w:lang w:val="fr-CA"/>
        </w:rPr>
        <w:t>’</w:t>
      </w:r>
      <w:r w:rsidRPr="00017532">
        <w:rPr>
          <w:rFonts w:cs="Times New Roman"/>
          <w:lang w:val="fr-CA"/>
        </w:rPr>
        <w:t>un an — sur procédure sommaire — et la peine minimale de trois</w:t>
      </w:r>
      <w:r w:rsidR="00B029AB">
        <w:rPr>
          <w:rFonts w:cs="Times New Roman"/>
          <w:lang w:val="fr-CA"/>
        </w:rPr>
        <w:t xml:space="preserve"> </w:t>
      </w:r>
      <w:r w:rsidRPr="00017532">
        <w:rPr>
          <w:rFonts w:cs="Times New Roman"/>
          <w:lang w:val="fr-CA"/>
        </w:rPr>
        <w:t>ans — sur mise en accusation — ne respecte pas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 de la </w:t>
      </w:r>
      <w:r w:rsidRPr="00017532">
        <w:rPr>
          <w:rFonts w:cs="Times New Roman"/>
          <w:i/>
          <w:lang w:val="fr-CA"/>
        </w:rPr>
        <w:t>Charte</w:t>
      </w:r>
      <w:r w:rsidRPr="00017532">
        <w:rPr>
          <w:rFonts w:cs="Times New Roman"/>
          <w:lang w:val="fr-CA"/>
        </w:rPr>
        <w:t xml:space="preserve"> parce qu</w:t>
      </w:r>
      <w:r>
        <w:rPr>
          <w:rFonts w:cs="Times New Roman"/>
          <w:lang w:val="fr-CA"/>
        </w:rPr>
        <w:t>’</w:t>
      </w:r>
      <w:r w:rsidRPr="00017532">
        <w:rPr>
          <w:rFonts w:cs="Times New Roman"/>
          <w:lang w:val="fr-CA"/>
        </w:rPr>
        <w:t>il est arbitraire et qu</w:t>
      </w:r>
      <w:r>
        <w:rPr>
          <w:rFonts w:cs="Times New Roman"/>
          <w:lang w:val="fr-CA"/>
        </w:rPr>
        <w:t>’</w:t>
      </w:r>
      <w:r w:rsidRPr="00017532">
        <w:rPr>
          <w:rFonts w:cs="Times New Roman"/>
          <w:lang w:val="fr-CA"/>
        </w:rPr>
        <w:t>il ne peut se justifier par application de l</w:t>
      </w:r>
      <w:r>
        <w:rPr>
          <w:rFonts w:cs="Times New Roman"/>
          <w:lang w:val="fr-CA"/>
        </w:rPr>
        <w:t>’</w:t>
      </w:r>
      <w:r w:rsidRPr="00017532">
        <w:rPr>
          <w:rFonts w:cs="Times New Roman"/>
          <w:lang w:val="fr-CA"/>
        </w:rPr>
        <w:t>article premier. Le juge arrive néanmoins à la conclusion que cet écart ne pénalise pas M.</w:t>
      </w:r>
      <w:r w:rsidR="00B029AB">
        <w:rPr>
          <w:rFonts w:cs="Times New Roman"/>
          <w:lang w:val="fr-CA"/>
        </w:rPr>
        <w:t xml:space="preserve"> </w:t>
      </w:r>
      <w:r w:rsidRPr="00017532">
        <w:rPr>
          <w:rFonts w:cs="Times New Roman"/>
          <w:lang w:val="fr-CA"/>
        </w:rPr>
        <w:t>Nur. À son avis, l</w:t>
      </w:r>
      <w:r>
        <w:rPr>
          <w:rFonts w:cs="Times New Roman"/>
          <w:lang w:val="fr-CA"/>
        </w:rPr>
        <w:t>’</w:t>
      </w:r>
      <w:r w:rsidRPr="00017532">
        <w:rPr>
          <w:rFonts w:cs="Times New Roman"/>
          <w:lang w:val="fr-CA"/>
        </w:rPr>
        <w:t>écart ne pose un problème constitutionnel que dans un nombre infime de cas, à savoir ceux où le poursuivant aurait raisonnablement opté pour la procédure sommaire n</w:t>
      </w:r>
      <w:r>
        <w:rPr>
          <w:rFonts w:cs="Times New Roman"/>
          <w:lang w:val="fr-CA"/>
        </w:rPr>
        <w:t>’</w:t>
      </w:r>
      <w:r w:rsidRPr="00017532">
        <w:rPr>
          <w:rFonts w:cs="Times New Roman"/>
          <w:lang w:val="fr-CA"/>
        </w:rPr>
        <w:t>eût été l</w:t>
      </w:r>
      <w:r>
        <w:rPr>
          <w:rFonts w:cs="Times New Roman"/>
          <w:lang w:val="fr-CA"/>
        </w:rPr>
        <w:t>’</w:t>
      </w:r>
      <w:r w:rsidRPr="00017532">
        <w:rPr>
          <w:rFonts w:cs="Times New Roman"/>
          <w:lang w:val="fr-CA"/>
        </w:rPr>
        <w:t>écart arbitraire de deux ans. Il conclut que, dans le cas de M.</w:t>
      </w:r>
      <w:r w:rsidR="00B029AB">
        <w:rPr>
          <w:rFonts w:cs="Times New Roman"/>
          <w:lang w:val="fr-CA"/>
        </w:rPr>
        <w:t xml:space="preserve"> </w:t>
      </w:r>
      <w:r w:rsidRPr="00017532">
        <w:rPr>
          <w:rFonts w:cs="Times New Roman"/>
          <w:lang w:val="fr-CA"/>
        </w:rPr>
        <w:t>Nur, le poursuivant n</w:t>
      </w:r>
      <w:r>
        <w:rPr>
          <w:rFonts w:cs="Times New Roman"/>
          <w:lang w:val="fr-CA"/>
        </w:rPr>
        <w:t>’</w:t>
      </w:r>
      <w:r w:rsidRPr="00017532">
        <w:rPr>
          <w:rFonts w:cs="Times New Roman"/>
          <w:lang w:val="fr-CA"/>
        </w:rPr>
        <w:t>aurait pas opté pour la procédure sommaire peu importe la peine maximale alors applicable. Il rejette donc la prétention fondée sur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7.</w:t>
      </w:r>
    </w:p>
    <w:p w:rsidR="002A4851" w:rsidRPr="00017532" w:rsidRDefault="002A4851" w:rsidP="00A659A4">
      <w:pPr>
        <w:pStyle w:val="ParaNoNdepar-AltN"/>
        <w:rPr>
          <w:rFonts w:cs="Times New Roman"/>
          <w:lang w:val="fr-CA"/>
        </w:rPr>
      </w:pPr>
      <w:r w:rsidRPr="00017532">
        <w:rPr>
          <w:rFonts w:cs="Times New Roman"/>
          <w:lang w:val="fr-CA"/>
        </w:rPr>
        <w:lastRenderedPageBreak/>
        <w:t>Selon le juge, une peine de 40</w:t>
      </w:r>
      <w:r w:rsidR="00B029AB">
        <w:rPr>
          <w:rFonts w:cs="Times New Roman"/>
          <w:lang w:val="fr-CA"/>
        </w:rPr>
        <w:t xml:space="preserve"> </w:t>
      </w:r>
      <w:r w:rsidRPr="00017532">
        <w:rPr>
          <w:rFonts w:cs="Times New Roman"/>
          <w:lang w:val="fr-CA"/>
        </w:rPr>
        <w:t>mois est appropriée et tient compte de la nature de l</w:t>
      </w:r>
      <w:r>
        <w:rPr>
          <w:rFonts w:cs="Times New Roman"/>
          <w:lang w:val="fr-CA"/>
        </w:rPr>
        <w:t>’</w:t>
      </w:r>
      <w:r w:rsidRPr="00017532">
        <w:rPr>
          <w:rFonts w:cs="Times New Roman"/>
          <w:lang w:val="fr-CA"/>
        </w:rPr>
        <w:t>infraction et de la situation du délinquant, eu égard au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seuil ascendant</w:t>
      </w:r>
      <w:r w:rsidR="00B029AB">
        <w:rPr>
          <w:rFonts w:cs="Times New Roman"/>
          <w:lang w:val="fr-CA"/>
        </w:rPr>
        <w:t> »</w:t>
      </w:r>
      <w:r w:rsidRPr="00017532">
        <w:rPr>
          <w:rFonts w:cs="Times New Roman"/>
          <w:lang w:val="fr-CA"/>
        </w:rPr>
        <w:t xml:space="preserve"> que constitue la peine minimale obligatoire. M.</w:t>
      </w:r>
      <w:r w:rsidR="00B029AB">
        <w:rPr>
          <w:rFonts w:cs="Times New Roman"/>
          <w:lang w:val="fr-CA"/>
        </w:rPr>
        <w:t xml:space="preserve"> </w:t>
      </w:r>
      <w:r w:rsidRPr="00017532">
        <w:rPr>
          <w:rFonts w:cs="Times New Roman"/>
          <w:lang w:val="fr-CA"/>
        </w:rPr>
        <w:t>Nur s</w:t>
      </w:r>
      <w:r>
        <w:rPr>
          <w:rFonts w:cs="Times New Roman"/>
          <w:lang w:val="fr-CA"/>
        </w:rPr>
        <w:t>’</w:t>
      </w:r>
      <w:r w:rsidRPr="00017532">
        <w:rPr>
          <w:rFonts w:cs="Times New Roman"/>
          <w:lang w:val="fr-CA"/>
        </w:rPr>
        <w:t>est vu refuser la liberté sous caution et a passé 26</w:t>
      </w:r>
      <w:r w:rsidR="00B029AB">
        <w:rPr>
          <w:rFonts w:cs="Times New Roman"/>
          <w:lang w:val="fr-CA"/>
        </w:rPr>
        <w:t xml:space="preserve"> </w:t>
      </w:r>
      <w:r w:rsidRPr="00017532">
        <w:rPr>
          <w:rFonts w:cs="Times New Roman"/>
          <w:lang w:val="fr-CA"/>
        </w:rPr>
        <w:t>mois sous garde. Lors de la détermination de sa peine, on lui a accordé des crédits pour une période de détention présentencielle de 20</w:t>
      </w:r>
      <w:r w:rsidR="00B029AB">
        <w:rPr>
          <w:rFonts w:cs="Times New Roman"/>
          <w:lang w:val="fr-CA"/>
        </w:rPr>
        <w:t xml:space="preserve"> </w:t>
      </w:r>
      <w:r w:rsidRPr="00017532">
        <w:rPr>
          <w:rFonts w:cs="Times New Roman"/>
          <w:lang w:val="fr-CA"/>
        </w:rPr>
        <w:t>mois à raison de deux jours contre un. Le juge lui a donc infligé une peine carcérale d</w:t>
      </w:r>
      <w:r>
        <w:rPr>
          <w:rFonts w:cs="Times New Roman"/>
          <w:lang w:val="fr-CA"/>
        </w:rPr>
        <w:t>’</w:t>
      </w:r>
      <w:r w:rsidRPr="00017532">
        <w:rPr>
          <w:rFonts w:cs="Times New Roman"/>
          <w:lang w:val="fr-CA"/>
        </w:rPr>
        <w:t>un jour assortie d</w:t>
      </w:r>
      <w:r>
        <w:rPr>
          <w:rFonts w:cs="Times New Roman"/>
          <w:lang w:val="fr-CA"/>
        </w:rPr>
        <w:t>’</w:t>
      </w:r>
      <w:r w:rsidRPr="00017532">
        <w:rPr>
          <w:rFonts w:cs="Times New Roman"/>
          <w:lang w:val="fr-CA"/>
        </w:rPr>
        <w:t>une période de probation de deux ans</w:t>
      </w:r>
      <w:r>
        <w:rPr>
          <w:rFonts w:cs="Times New Roman"/>
          <w:lang w:val="fr-CA"/>
        </w:rPr>
        <w:t xml:space="preserve">. </w:t>
      </w:r>
    </w:p>
    <w:p w:rsidR="002A4851" w:rsidRPr="00017532" w:rsidRDefault="002A4851" w:rsidP="00A659A4">
      <w:pPr>
        <w:pStyle w:val="Title3LevelTitre3Niveau"/>
        <w:ind w:left="1156" w:hanging="578"/>
        <w:jc w:val="both"/>
        <w:rPr>
          <w:rFonts w:cs="Times New Roman"/>
          <w:lang w:val="fr-CA"/>
        </w:rPr>
      </w:pPr>
      <w:r w:rsidRPr="00017532">
        <w:rPr>
          <w:rFonts w:cs="Times New Roman"/>
          <w:lang w:val="fr-CA"/>
        </w:rPr>
        <w:t>Cour d</w:t>
      </w:r>
      <w:r>
        <w:rPr>
          <w:rFonts w:cs="Times New Roman"/>
          <w:lang w:val="fr-CA"/>
        </w:rPr>
        <w:t>’</w:t>
      </w:r>
      <w:r w:rsidRPr="00017532">
        <w:rPr>
          <w:rFonts w:cs="Times New Roman"/>
          <w:lang w:val="fr-CA"/>
        </w:rPr>
        <w:t>appel de l</w:t>
      </w:r>
      <w:r>
        <w:rPr>
          <w:rFonts w:cs="Times New Roman"/>
          <w:lang w:val="fr-CA"/>
        </w:rPr>
        <w:t>’</w:t>
      </w:r>
      <w:r w:rsidRPr="00017532">
        <w:rPr>
          <w:rFonts w:cs="Times New Roman"/>
          <w:lang w:val="fr-CA"/>
        </w:rPr>
        <w:t>Ontario, 2013 ONCA 677, 117 O.R. (3d) 401</w:t>
      </w:r>
    </w:p>
    <w:p w:rsidR="002A4851" w:rsidRPr="00017532" w:rsidRDefault="002A4851" w:rsidP="00A659A4">
      <w:pPr>
        <w:pStyle w:val="ParaNoNdepar-AltN"/>
        <w:rPr>
          <w:rFonts w:cs="Times New Roman"/>
          <w:lang w:val="fr-CA"/>
        </w:rPr>
      </w:pPr>
      <w:r w:rsidRPr="00017532">
        <w:rPr>
          <w:rFonts w:cs="Times New Roman"/>
          <w:lang w:val="fr-CA"/>
        </w:rPr>
        <w:t>M.</w:t>
      </w:r>
      <w:r w:rsidR="00B029AB">
        <w:rPr>
          <w:rFonts w:cs="Times New Roman"/>
          <w:lang w:val="fr-CA"/>
        </w:rPr>
        <w:t xml:space="preserve"> </w:t>
      </w:r>
      <w:r w:rsidRPr="00017532">
        <w:rPr>
          <w:rFonts w:cs="Times New Roman"/>
          <w:lang w:val="fr-CA"/>
        </w:rPr>
        <w:t>Nur a interjeté appel à la Cour d</w:t>
      </w:r>
      <w:r>
        <w:rPr>
          <w:rFonts w:cs="Times New Roman"/>
          <w:lang w:val="fr-CA"/>
        </w:rPr>
        <w:t>’</w:t>
      </w:r>
      <w:r w:rsidRPr="00017532">
        <w:rPr>
          <w:rFonts w:cs="Times New Roman"/>
          <w:lang w:val="fr-CA"/>
        </w:rPr>
        <w:t>appel, qui a entendu l</w:t>
      </w:r>
      <w:r>
        <w:rPr>
          <w:rFonts w:cs="Times New Roman"/>
          <w:lang w:val="fr-CA"/>
        </w:rPr>
        <w:t>’</w:t>
      </w:r>
      <w:r w:rsidRPr="00017532">
        <w:rPr>
          <w:rFonts w:cs="Times New Roman"/>
          <w:lang w:val="fr-CA"/>
        </w:rPr>
        <w:t xml:space="preserve">affaire, de même que cinq autres dossiers de contestation constitutionnelle visant diverses dispositions du </w:t>
      </w:r>
      <w:r w:rsidRPr="00017532">
        <w:rPr>
          <w:rFonts w:cs="Times New Roman"/>
          <w:i/>
          <w:lang w:val="fr-CA"/>
        </w:rPr>
        <w:t>Code criminel</w:t>
      </w:r>
      <w:r w:rsidRPr="00017532">
        <w:rPr>
          <w:rFonts w:cs="Times New Roman"/>
          <w:lang w:val="fr-CA"/>
        </w:rPr>
        <w:t xml:space="preserve"> qui imposent des peines minimales obligatoires pour diverses infractions liées aux armes à feu ou qui se rapportent à pareille imposition.</w:t>
      </w:r>
    </w:p>
    <w:p w:rsidR="002A4851" w:rsidRPr="00017532" w:rsidRDefault="002A4851" w:rsidP="00A659A4">
      <w:pPr>
        <w:pStyle w:val="ParaNoNdepar-AltN"/>
        <w:rPr>
          <w:rFonts w:cs="Times New Roman"/>
          <w:lang w:val="fr-CA"/>
        </w:rPr>
      </w:pPr>
      <w:r w:rsidRPr="00017532">
        <w:rPr>
          <w:rFonts w:cs="Times New Roman"/>
          <w:lang w:val="fr-CA"/>
        </w:rPr>
        <w:t>Au nom de la Cour d</w:t>
      </w:r>
      <w:r>
        <w:rPr>
          <w:rFonts w:cs="Times New Roman"/>
          <w:lang w:val="fr-CA"/>
        </w:rPr>
        <w:t>’</w:t>
      </w:r>
      <w:r w:rsidRPr="00017532">
        <w:rPr>
          <w:rFonts w:cs="Times New Roman"/>
          <w:lang w:val="fr-CA"/>
        </w:rPr>
        <w:t>appel, le juge Doherty accueille l</w:t>
      </w:r>
      <w:r>
        <w:rPr>
          <w:rFonts w:cs="Times New Roman"/>
          <w:lang w:val="fr-CA"/>
        </w:rPr>
        <w:t>’</w:t>
      </w:r>
      <w:r w:rsidRPr="00017532">
        <w:rPr>
          <w:rFonts w:cs="Times New Roman"/>
          <w:lang w:val="fr-CA"/>
        </w:rPr>
        <w:t>appel. Il estime que la peine minimale obligatoire de trois</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emprisonnement prévue au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 contrevient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xml:space="preserve"> dans la situation hypothétique raisonnable où l</w:t>
      </w:r>
      <w:r>
        <w:rPr>
          <w:rFonts w:cs="Times New Roman"/>
          <w:lang w:val="fr-CA"/>
        </w:rPr>
        <w:t>’</w:t>
      </w:r>
      <w:r w:rsidRPr="00017532">
        <w:rPr>
          <w:rFonts w:cs="Times New Roman"/>
          <w:lang w:val="fr-CA"/>
        </w:rPr>
        <w:t>infraction commise se situe à l</w:t>
      </w:r>
      <w:r>
        <w:rPr>
          <w:rFonts w:cs="Times New Roman"/>
          <w:lang w:val="fr-CA"/>
        </w:rPr>
        <w:t>’</w:t>
      </w:r>
      <w:r w:rsidRPr="00017532">
        <w:rPr>
          <w:rFonts w:cs="Times New Roman"/>
          <w:lang w:val="fr-CA"/>
        </w:rPr>
        <w:t>extrémité du continuum d</w:t>
      </w:r>
      <w:r>
        <w:rPr>
          <w:rFonts w:cs="Times New Roman"/>
          <w:lang w:val="fr-CA"/>
        </w:rPr>
        <w:t>’</w:t>
      </w:r>
      <w:r w:rsidRPr="00017532">
        <w:rPr>
          <w:rFonts w:cs="Times New Roman"/>
          <w:lang w:val="fr-CA"/>
        </w:rPr>
        <w:t>application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95 correspondant aux infractions réglementaires et que la disposition qui prévoit la peine minimale ne peut être sauvegardée par application de l</w:t>
      </w:r>
      <w:r>
        <w:rPr>
          <w:rFonts w:cs="Times New Roman"/>
          <w:lang w:val="fr-CA"/>
        </w:rPr>
        <w:t>’</w:t>
      </w:r>
      <w:r w:rsidRPr="00017532">
        <w:rPr>
          <w:rFonts w:cs="Times New Roman"/>
          <w:lang w:val="fr-CA"/>
        </w:rPr>
        <w:t>article premier. La réparation qui lui paraît convenable consiste à déclarer inopérant le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 dans la mesure où il prévoit une peine minimale obligatoire de trois</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 xml:space="preserve">emprisonnement lorsque le poursuivant opte pour la mise en accusation. La </w:t>
      </w:r>
      <w:r w:rsidRPr="00017532">
        <w:rPr>
          <w:rFonts w:cs="Times New Roman"/>
          <w:lang w:val="fr-CA"/>
        </w:rPr>
        <w:lastRenderedPageBreak/>
        <w:t>déclaration d</w:t>
      </w:r>
      <w:r>
        <w:rPr>
          <w:rFonts w:cs="Times New Roman"/>
          <w:lang w:val="fr-CA"/>
        </w:rPr>
        <w:t>’</w:t>
      </w:r>
      <w:r w:rsidRPr="00017532">
        <w:rPr>
          <w:rFonts w:cs="Times New Roman"/>
          <w:lang w:val="fr-CA"/>
        </w:rPr>
        <w:t>invalidité ne s</w:t>
      </w:r>
      <w:r>
        <w:rPr>
          <w:rFonts w:cs="Times New Roman"/>
          <w:lang w:val="fr-CA"/>
        </w:rPr>
        <w:t>’</w:t>
      </w:r>
      <w:r w:rsidRPr="00017532">
        <w:rPr>
          <w:rFonts w:cs="Times New Roman"/>
          <w:lang w:val="fr-CA"/>
        </w:rPr>
        <w:t>applique pas à la peine maximale de 10</w:t>
      </w:r>
      <w:r w:rsidR="00B029AB">
        <w:rPr>
          <w:rFonts w:cs="Times New Roman"/>
          <w:lang w:val="fr-CA"/>
        </w:rPr>
        <w:t xml:space="preserve"> </w:t>
      </w:r>
      <w:r w:rsidRPr="00017532">
        <w:rPr>
          <w:rFonts w:cs="Times New Roman"/>
          <w:lang w:val="fr-CA"/>
        </w:rPr>
        <w:t>ans prévue à l</w:t>
      </w:r>
      <w:r>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 Selon le juge Doherty, son analyse n</w:t>
      </w:r>
      <w:r>
        <w:rPr>
          <w:rFonts w:cs="Times New Roman"/>
          <w:lang w:val="fr-CA"/>
        </w:rPr>
        <w:t>’</w:t>
      </w:r>
      <w:r w:rsidRPr="00017532">
        <w:rPr>
          <w:rFonts w:cs="Times New Roman"/>
          <w:lang w:val="fr-CA"/>
        </w:rPr>
        <w:t>empêche toutefois pas le législateur de conserver la peine minimale obligatoire de trois</w:t>
      </w:r>
      <w:r w:rsidR="00B029AB">
        <w:rPr>
          <w:rFonts w:cs="Times New Roman"/>
          <w:lang w:val="fr-CA"/>
        </w:rPr>
        <w:t xml:space="preserve"> </w:t>
      </w:r>
      <w:r w:rsidRPr="00017532">
        <w:rPr>
          <w:rFonts w:cs="Times New Roman"/>
          <w:lang w:val="fr-CA"/>
        </w:rPr>
        <w:t>ans dans le cas d</w:t>
      </w:r>
      <w:r>
        <w:rPr>
          <w:rFonts w:cs="Times New Roman"/>
          <w:lang w:val="fr-CA"/>
        </w:rPr>
        <w:t>’</w:t>
      </w:r>
      <w:r w:rsidRPr="00017532">
        <w:rPr>
          <w:rFonts w:cs="Times New Roman"/>
          <w:lang w:val="fr-CA"/>
        </w:rPr>
        <w:t>un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vrai crime</w:t>
      </w:r>
      <w:r w:rsidR="00B029AB">
        <w:rPr>
          <w:rFonts w:cs="Times New Roman"/>
          <w:lang w:val="fr-CA"/>
        </w:rPr>
        <w:t> »</w:t>
      </w:r>
      <w:r w:rsidRPr="00017532">
        <w:rPr>
          <w:rFonts w:cs="Times New Roman"/>
          <w:lang w:val="fr-CA"/>
        </w:rPr>
        <w:t xml:space="preserve"> qui se situe à l</w:t>
      </w:r>
      <w:r>
        <w:rPr>
          <w:rFonts w:cs="Times New Roman"/>
          <w:lang w:val="fr-CA"/>
        </w:rPr>
        <w:t>’</w:t>
      </w:r>
      <w:r w:rsidRPr="00017532">
        <w:rPr>
          <w:rFonts w:cs="Times New Roman"/>
          <w:lang w:val="fr-CA"/>
        </w:rPr>
        <w:t>autre extrémité du continuum d</w:t>
      </w:r>
      <w:r>
        <w:rPr>
          <w:rFonts w:cs="Times New Roman"/>
          <w:lang w:val="fr-CA"/>
        </w:rPr>
        <w:t>’</w:t>
      </w:r>
      <w:r w:rsidRPr="00017532">
        <w:rPr>
          <w:rFonts w:cs="Times New Roman"/>
          <w:lang w:val="fr-CA"/>
        </w:rPr>
        <w:t>application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95, c</w:t>
      </w:r>
      <w:r>
        <w:rPr>
          <w:rFonts w:cs="Times New Roman"/>
          <w:lang w:val="fr-CA"/>
        </w:rPr>
        <w:t>’</w:t>
      </w:r>
      <w:r w:rsidRPr="00017532">
        <w:rPr>
          <w:rFonts w:cs="Times New Roman"/>
          <w:lang w:val="fr-CA"/>
        </w:rPr>
        <w:t>est</w:t>
      </w:r>
      <w:r w:rsidR="00B029AB">
        <w:rPr>
          <w:rFonts w:cs="Times New Roman"/>
          <w:lang w:val="fr-CA"/>
        </w:rPr>
        <w:t>-</w:t>
      </w:r>
      <w:r w:rsidRPr="00017532">
        <w:rPr>
          <w:rFonts w:cs="Times New Roman"/>
          <w:lang w:val="fr-CA"/>
        </w:rPr>
        <w:t>à</w:t>
      </w:r>
      <w:r w:rsidR="00B029AB">
        <w:rPr>
          <w:rFonts w:cs="Times New Roman"/>
          <w:lang w:val="fr-CA"/>
        </w:rPr>
        <w:t>-</w:t>
      </w:r>
      <w:r w:rsidRPr="00017532">
        <w:rPr>
          <w:rFonts w:cs="Times New Roman"/>
          <w:lang w:val="fr-CA"/>
        </w:rPr>
        <w:t xml:space="preserve">dire une infraction perpétrée par une </w:t>
      </w:r>
      <w:r w:rsidR="00B029AB">
        <w:rPr>
          <w:rFonts w:cs="Times New Roman"/>
          <w:lang w:val="fr-CA"/>
        </w:rPr>
        <w:t>« </w:t>
      </w:r>
      <w:r w:rsidRPr="00017532">
        <w:rPr>
          <w:rFonts w:cs="Times New Roman"/>
          <w:lang w:val="fr-CA"/>
        </w:rPr>
        <w:t>personne munie d</w:t>
      </w:r>
      <w:r>
        <w:rPr>
          <w:rFonts w:cs="Times New Roman"/>
          <w:lang w:val="fr-CA"/>
        </w:rPr>
        <w:t>’</w:t>
      </w:r>
      <w:r w:rsidRPr="00017532">
        <w:rPr>
          <w:rFonts w:cs="Times New Roman"/>
          <w:lang w:val="fr-CA"/>
        </w:rPr>
        <w:t>une arme à feu prohibée ou à autorisation restreinte chargée qu</w:t>
      </w:r>
      <w:r>
        <w:rPr>
          <w:rFonts w:cs="Times New Roman"/>
          <w:lang w:val="fr-CA"/>
        </w:rPr>
        <w:t>’</w:t>
      </w:r>
      <w:r w:rsidRPr="00017532">
        <w:rPr>
          <w:rFonts w:cs="Times New Roman"/>
          <w:lang w:val="fr-CA"/>
        </w:rPr>
        <w:t>elle n</w:t>
      </w:r>
      <w:r>
        <w:rPr>
          <w:rFonts w:cs="Times New Roman"/>
          <w:lang w:val="fr-CA"/>
        </w:rPr>
        <w:t>’</w:t>
      </w:r>
      <w:r w:rsidRPr="00017532">
        <w:rPr>
          <w:rFonts w:cs="Times New Roman"/>
          <w:lang w:val="fr-CA"/>
        </w:rPr>
        <w:t>est censée posséder nulle part et à aucun moment et qui prend part à un acte criminel ou qui expose autrui à un danger</w:t>
      </w:r>
      <w:r w:rsidR="00B029AB">
        <w:rPr>
          <w:rFonts w:cs="Times New Roman"/>
          <w:lang w:val="fr-CA"/>
        </w:rPr>
        <w:t> »</w:t>
      </w:r>
      <w:r w:rsidRPr="00017532">
        <w:rPr>
          <w:rFonts w:cs="Times New Roman"/>
          <w:lang w:val="fr-CA"/>
        </w:rPr>
        <w:t xml:space="preserve"> (par.</w:t>
      </w:r>
      <w:r w:rsidR="00B029AB">
        <w:rPr>
          <w:rFonts w:cs="Times New Roman"/>
          <w:lang w:val="fr-CA"/>
        </w:rPr>
        <w:t xml:space="preserve"> </w:t>
      </w:r>
      <w:r w:rsidRPr="00017532">
        <w:rPr>
          <w:rFonts w:cs="Times New Roman"/>
          <w:lang w:val="fr-CA"/>
        </w:rPr>
        <w:t>206). Le juge conclut qu</w:t>
      </w:r>
      <w:r>
        <w:rPr>
          <w:rFonts w:cs="Times New Roman"/>
          <w:lang w:val="fr-CA"/>
        </w:rPr>
        <w:t>’</w:t>
      </w:r>
      <w:r w:rsidRPr="00017532">
        <w:rPr>
          <w:rFonts w:cs="Times New Roman"/>
          <w:lang w:val="fr-CA"/>
        </w:rPr>
        <w:t>une peine exemplaire, axée sur la dissuasion et la dénonciation, doit continuer d</w:t>
      </w:r>
      <w:r>
        <w:rPr>
          <w:rFonts w:cs="Times New Roman"/>
          <w:lang w:val="fr-CA"/>
        </w:rPr>
        <w:t>’</w:t>
      </w:r>
      <w:r w:rsidRPr="00017532">
        <w:rPr>
          <w:rFonts w:cs="Times New Roman"/>
          <w:lang w:val="fr-CA"/>
        </w:rPr>
        <w:t>être infligée à un tel délinquant.</w:t>
      </w:r>
    </w:p>
    <w:p w:rsidR="002A4851" w:rsidRPr="00017532" w:rsidRDefault="002A4851" w:rsidP="00A659A4">
      <w:pPr>
        <w:pStyle w:val="ParaNoNdepar-AltN"/>
        <w:rPr>
          <w:rFonts w:cs="Times New Roman"/>
          <w:lang w:val="fr-CA"/>
        </w:rPr>
      </w:pPr>
      <w:r w:rsidRPr="00017532">
        <w:rPr>
          <w:rFonts w:cs="Times New Roman"/>
          <w:lang w:val="fr-CA"/>
        </w:rPr>
        <w:t>La Cour d</w:t>
      </w:r>
      <w:r>
        <w:rPr>
          <w:rFonts w:cs="Times New Roman"/>
          <w:lang w:val="fr-CA"/>
        </w:rPr>
        <w:t>’</w:t>
      </w:r>
      <w:r w:rsidRPr="00017532">
        <w:rPr>
          <w:rFonts w:cs="Times New Roman"/>
          <w:lang w:val="fr-CA"/>
        </w:rPr>
        <w:t>appel considère que malgré l</w:t>
      </w:r>
      <w:r>
        <w:rPr>
          <w:rFonts w:cs="Times New Roman"/>
          <w:lang w:val="fr-CA"/>
        </w:rPr>
        <w:t>’</w:t>
      </w:r>
      <w:r w:rsidRPr="00017532">
        <w:rPr>
          <w:rFonts w:cs="Times New Roman"/>
          <w:lang w:val="fr-CA"/>
        </w:rPr>
        <w:t>existence de circonstances atténuantes, la peine infligée en première instance est appropriée et doit être confirmée.</w:t>
      </w:r>
    </w:p>
    <w:p w:rsidR="002A4851" w:rsidRPr="00017532" w:rsidRDefault="002A4851" w:rsidP="00A659A4">
      <w:pPr>
        <w:pStyle w:val="Title2LevelTitre2Niveau"/>
        <w:ind w:left="578" w:hanging="578"/>
        <w:rPr>
          <w:rFonts w:cs="Times New Roman"/>
          <w:lang w:val="fr-CA"/>
        </w:rPr>
      </w:pPr>
      <w:r w:rsidRPr="00017532">
        <w:rPr>
          <w:rFonts w:cs="Times New Roman"/>
          <w:lang w:val="fr-CA"/>
        </w:rPr>
        <w:t>Dossier Charles</w:t>
      </w:r>
    </w:p>
    <w:p w:rsidR="002A4851" w:rsidRPr="00017532" w:rsidRDefault="002A4851" w:rsidP="00A659A4">
      <w:pPr>
        <w:pStyle w:val="ParaNoNdepar-AltN"/>
        <w:rPr>
          <w:rFonts w:cs="Times New Roman"/>
          <w:lang w:val="fr-CA"/>
        </w:rPr>
      </w:pPr>
      <w:r w:rsidRPr="00017532">
        <w:rPr>
          <w:rFonts w:cs="Times New Roman"/>
          <w:lang w:val="fr-CA"/>
        </w:rPr>
        <w:t>En mai 2008, après le signalement d</w:t>
      </w:r>
      <w:r>
        <w:rPr>
          <w:rFonts w:cs="Times New Roman"/>
          <w:lang w:val="fr-CA"/>
        </w:rPr>
        <w:t>’</w:t>
      </w:r>
      <w:r w:rsidRPr="00017532">
        <w:rPr>
          <w:rFonts w:cs="Times New Roman"/>
          <w:lang w:val="fr-CA"/>
        </w:rPr>
        <w:t>un incident à la maison de chambres de Toronto où habitaient M.</w:t>
      </w:r>
      <w:r w:rsidR="00B029AB">
        <w:rPr>
          <w:rFonts w:cs="Times New Roman"/>
          <w:lang w:val="fr-CA"/>
        </w:rPr>
        <w:t xml:space="preserve"> </w:t>
      </w:r>
      <w:r w:rsidRPr="00017532">
        <w:rPr>
          <w:rFonts w:cs="Times New Roman"/>
          <w:lang w:val="fr-CA"/>
        </w:rPr>
        <w:t>Charles et un autre homme, les policiers se sont rendus sur place et ont établi un périmètre de sécurité. En fouillant les lieux, l</w:t>
      </w:r>
      <w:r>
        <w:rPr>
          <w:rFonts w:cs="Times New Roman"/>
          <w:lang w:val="fr-CA"/>
        </w:rPr>
        <w:t>’</w:t>
      </w:r>
      <w:r w:rsidRPr="00017532">
        <w:rPr>
          <w:rFonts w:cs="Times New Roman"/>
          <w:lang w:val="fr-CA"/>
        </w:rPr>
        <w:t>équipe d</w:t>
      </w:r>
      <w:r>
        <w:rPr>
          <w:rFonts w:cs="Times New Roman"/>
          <w:lang w:val="fr-CA"/>
        </w:rPr>
        <w:t>’</w:t>
      </w:r>
      <w:r w:rsidRPr="00017532">
        <w:rPr>
          <w:rFonts w:cs="Times New Roman"/>
          <w:lang w:val="fr-CA"/>
        </w:rPr>
        <w:t>intervention d</w:t>
      </w:r>
      <w:r>
        <w:rPr>
          <w:rFonts w:cs="Times New Roman"/>
          <w:lang w:val="fr-CA"/>
        </w:rPr>
        <w:t>’</w:t>
      </w:r>
      <w:r w:rsidRPr="00017532">
        <w:rPr>
          <w:rFonts w:cs="Times New Roman"/>
          <w:lang w:val="fr-CA"/>
        </w:rPr>
        <w:t>urgence a découvert dans la chambre de M.</w:t>
      </w:r>
      <w:r w:rsidR="00B029AB">
        <w:rPr>
          <w:rFonts w:cs="Times New Roman"/>
          <w:lang w:val="fr-CA"/>
        </w:rPr>
        <w:t xml:space="preserve"> </w:t>
      </w:r>
      <w:r w:rsidRPr="00017532">
        <w:rPr>
          <w:rFonts w:cs="Times New Roman"/>
          <w:lang w:val="fr-CA"/>
        </w:rPr>
        <w:t>Charles une arme de poing semi</w:t>
      </w:r>
      <w:r w:rsidR="00B029AB">
        <w:rPr>
          <w:rFonts w:cs="Times New Roman"/>
          <w:lang w:val="fr-CA"/>
        </w:rPr>
        <w:t>-</w:t>
      </w:r>
      <w:r w:rsidRPr="00017532">
        <w:rPr>
          <w:rFonts w:cs="Times New Roman"/>
          <w:lang w:val="fr-CA"/>
        </w:rPr>
        <w:t>automatique Ruger chargée et des munitions. L</w:t>
      </w:r>
      <w:r>
        <w:rPr>
          <w:rFonts w:cs="Times New Roman"/>
          <w:lang w:val="fr-CA"/>
        </w:rPr>
        <w:t>’</w:t>
      </w:r>
      <w:r w:rsidRPr="00017532">
        <w:rPr>
          <w:rFonts w:cs="Times New Roman"/>
          <w:lang w:val="fr-CA"/>
        </w:rPr>
        <w:t>arme était munie d</w:t>
      </w:r>
      <w:r>
        <w:rPr>
          <w:rFonts w:cs="Times New Roman"/>
          <w:lang w:val="fr-CA"/>
        </w:rPr>
        <w:t>’</w:t>
      </w:r>
      <w:r w:rsidRPr="00017532">
        <w:rPr>
          <w:rFonts w:cs="Times New Roman"/>
          <w:lang w:val="fr-CA"/>
        </w:rPr>
        <w:t xml:space="preserve">un chargeur grande capacité — un dispositif prohibé suivant le </w:t>
      </w:r>
      <w:r w:rsidRPr="00017532">
        <w:rPr>
          <w:rFonts w:cs="Times New Roman"/>
          <w:i/>
          <w:lang w:val="fr-CA"/>
        </w:rPr>
        <w:t>Code criminel</w:t>
      </w:r>
      <w:r w:rsidRPr="00017532">
        <w:rPr>
          <w:rFonts w:cs="Times New Roman"/>
          <w:lang w:val="fr-CA"/>
        </w:rPr>
        <w:t xml:space="preserve"> — contenant 13</w:t>
      </w:r>
      <w:r w:rsidR="00B029AB">
        <w:rPr>
          <w:rFonts w:cs="Times New Roman"/>
          <w:lang w:val="fr-CA"/>
        </w:rPr>
        <w:t xml:space="preserve"> </w:t>
      </w:r>
      <w:r w:rsidRPr="00017532">
        <w:rPr>
          <w:rFonts w:cs="Times New Roman"/>
          <w:lang w:val="fr-CA"/>
        </w:rPr>
        <w:t xml:space="preserve"> balles 9 mm. D</w:t>
      </w:r>
      <w:r>
        <w:rPr>
          <w:rFonts w:cs="Times New Roman"/>
          <w:lang w:val="fr-CA"/>
        </w:rPr>
        <w:t>’</w:t>
      </w:r>
      <w:r w:rsidRPr="00017532">
        <w:rPr>
          <w:rFonts w:cs="Times New Roman"/>
          <w:lang w:val="fr-CA"/>
        </w:rPr>
        <w:t>autres munitions ont été trouvées sur le lit de M.</w:t>
      </w:r>
      <w:r w:rsidR="00B029AB">
        <w:rPr>
          <w:rFonts w:cs="Times New Roman"/>
          <w:lang w:val="fr-CA"/>
        </w:rPr>
        <w:t xml:space="preserve"> </w:t>
      </w:r>
      <w:r w:rsidRPr="00017532">
        <w:rPr>
          <w:rFonts w:cs="Times New Roman"/>
          <w:lang w:val="fr-CA"/>
        </w:rPr>
        <w:t>Charles, près de l</w:t>
      </w:r>
      <w:r>
        <w:rPr>
          <w:rFonts w:cs="Times New Roman"/>
          <w:lang w:val="fr-CA"/>
        </w:rPr>
        <w:t>’</w:t>
      </w:r>
      <w:r w:rsidRPr="00017532">
        <w:rPr>
          <w:rFonts w:cs="Times New Roman"/>
          <w:lang w:val="fr-CA"/>
        </w:rPr>
        <w:t>arme. Le numéro de série de l</w:t>
      </w:r>
      <w:r>
        <w:rPr>
          <w:rFonts w:cs="Times New Roman"/>
          <w:lang w:val="fr-CA"/>
        </w:rPr>
        <w:t>’</w:t>
      </w:r>
      <w:r w:rsidRPr="00017532">
        <w:rPr>
          <w:rFonts w:cs="Times New Roman"/>
          <w:lang w:val="fr-CA"/>
        </w:rPr>
        <w:t>arme avait été effacé</w:t>
      </w:r>
      <w:r>
        <w:rPr>
          <w:rFonts w:cs="Times New Roman"/>
          <w:lang w:val="fr-CA"/>
        </w:rPr>
        <w:t xml:space="preserve">. </w:t>
      </w:r>
      <w:r w:rsidRPr="00017532">
        <w:rPr>
          <w:rFonts w:cs="Times New Roman"/>
          <w:lang w:val="fr-CA"/>
        </w:rPr>
        <w:t>M.</w:t>
      </w:r>
      <w:r w:rsidR="00B029AB">
        <w:rPr>
          <w:rFonts w:cs="Times New Roman"/>
          <w:lang w:val="fr-CA"/>
        </w:rPr>
        <w:t xml:space="preserve"> </w:t>
      </w:r>
      <w:r w:rsidRPr="00017532">
        <w:rPr>
          <w:rFonts w:cs="Times New Roman"/>
          <w:lang w:val="fr-CA"/>
        </w:rPr>
        <w:t xml:space="preserve">Charles a </w:t>
      </w:r>
      <w:r w:rsidRPr="00017532">
        <w:rPr>
          <w:rFonts w:cs="Times New Roman"/>
          <w:lang w:val="fr-CA"/>
        </w:rPr>
        <w:lastRenderedPageBreak/>
        <w:t>reconnu qu</w:t>
      </w:r>
      <w:r>
        <w:rPr>
          <w:rFonts w:cs="Times New Roman"/>
          <w:lang w:val="fr-CA"/>
        </w:rPr>
        <w:t>’</w:t>
      </w:r>
      <w:r w:rsidRPr="00017532">
        <w:rPr>
          <w:rFonts w:cs="Times New Roman"/>
          <w:lang w:val="fr-CA"/>
        </w:rPr>
        <w:t>il n</w:t>
      </w:r>
      <w:r>
        <w:rPr>
          <w:rFonts w:cs="Times New Roman"/>
          <w:lang w:val="fr-CA"/>
        </w:rPr>
        <w:t>’</w:t>
      </w:r>
      <w:r w:rsidRPr="00017532">
        <w:rPr>
          <w:rFonts w:cs="Times New Roman"/>
          <w:lang w:val="fr-CA"/>
        </w:rPr>
        <w:t>avait ni permis de possession, ni certificat d</w:t>
      </w:r>
      <w:r>
        <w:rPr>
          <w:rFonts w:cs="Times New Roman"/>
          <w:lang w:val="fr-CA"/>
        </w:rPr>
        <w:t>’</w:t>
      </w:r>
      <w:r w:rsidRPr="00017532">
        <w:rPr>
          <w:rFonts w:cs="Times New Roman"/>
          <w:lang w:val="fr-CA"/>
        </w:rPr>
        <w:t>enregistrement valide. Il a été arrêté et accusé de diverses infractions relatives aux armes à feu.</w:t>
      </w:r>
    </w:p>
    <w:p w:rsidR="002A4851" w:rsidRPr="00017532" w:rsidRDefault="002A4851" w:rsidP="00A659A4">
      <w:pPr>
        <w:pStyle w:val="Title3LevelTitre3Niveau"/>
        <w:ind w:left="1156" w:hanging="578"/>
        <w:jc w:val="both"/>
        <w:rPr>
          <w:rFonts w:cs="Times New Roman"/>
          <w:lang w:val="fr-CA"/>
        </w:rPr>
      </w:pPr>
      <w:r w:rsidRPr="00017532">
        <w:rPr>
          <w:rFonts w:cs="Times New Roman"/>
          <w:lang w:val="fr-CA"/>
        </w:rPr>
        <w:t>Cour supérieure de justice de l</w:t>
      </w:r>
      <w:r>
        <w:rPr>
          <w:rFonts w:cs="Times New Roman"/>
          <w:lang w:val="fr-CA"/>
        </w:rPr>
        <w:t>’</w:t>
      </w:r>
      <w:r w:rsidRPr="00017532">
        <w:rPr>
          <w:rFonts w:cs="Times New Roman"/>
          <w:lang w:val="fr-CA"/>
        </w:rPr>
        <w:t>Ontario</w:t>
      </w:r>
    </w:p>
    <w:p w:rsidR="002A4851" w:rsidRPr="00017532" w:rsidRDefault="002A4851" w:rsidP="00A659A4">
      <w:pPr>
        <w:pStyle w:val="ParaNoNdepar-AltN"/>
        <w:rPr>
          <w:rFonts w:cs="Times New Roman"/>
          <w:lang w:val="fr-CA"/>
        </w:rPr>
      </w:pPr>
      <w:r w:rsidRPr="00017532">
        <w:rPr>
          <w:rFonts w:cs="Times New Roman"/>
          <w:lang w:val="fr-CA"/>
        </w:rPr>
        <w:t>Le poursuivant a opté pour la mise en accusation. M.</w:t>
      </w:r>
      <w:r w:rsidR="00B029AB">
        <w:rPr>
          <w:rFonts w:cs="Times New Roman"/>
          <w:lang w:val="fr-CA"/>
        </w:rPr>
        <w:t xml:space="preserve"> </w:t>
      </w:r>
      <w:r w:rsidRPr="00017532">
        <w:rPr>
          <w:rFonts w:cs="Times New Roman"/>
          <w:lang w:val="fr-CA"/>
        </w:rPr>
        <w:t>Charles a plaidé coupable à l</w:t>
      </w:r>
      <w:r>
        <w:rPr>
          <w:rFonts w:cs="Times New Roman"/>
          <w:lang w:val="fr-CA"/>
        </w:rPr>
        <w:t>’</w:t>
      </w:r>
      <w:r w:rsidRPr="00017532">
        <w:rPr>
          <w:rFonts w:cs="Times New Roman"/>
          <w:lang w:val="fr-CA"/>
        </w:rPr>
        <w:t>accusation de possession d</w:t>
      </w:r>
      <w:r>
        <w:rPr>
          <w:rFonts w:cs="Times New Roman"/>
          <w:lang w:val="fr-CA"/>
        </w:rPr>
        <w:t>’</w:t>
      </w:r>
      <w:r w:rsidRPr="00017532">
        <w:rPr>
          <w:rFonts w:cs="Times New Roman"/>
          <w:lang w:val="fr-CA"/>
        </w:rPr>
        <w:t>une arme à feu prohibée chargée, une infraction prévue au par.</w:t>
      </w:r>
      <w:r w:rsidR="00B029AB">
        <w:rPr>
          <w:rFonts w:cs="Times New Roman"/>
          <w:lang w:val="fr-CA"/>
        </w:rPr>
        <w:t xml:space="preserve"> </w:t>
      </w:r>
      <w:r w:rsidRPr="00017532">
        <w:rPr>
          <w:rFonts w:cs="Times New Roman"/>
          <w:lang w:val="fr-CA"/>
        </w:rPr>
        <w:t xml:space="preserve">95(1) du </w:t>
      </w:r>
      <w:r w:rsidRPr="00017532">
        <w:rPr>
          <w:rFonts w:cs="Times New Roman"/>
          <w:i/>
          <w:lang w:val="fr-CA"/>
        </w:rPr>
        <w:t>Code criminel</w:t>
      </w:r>
      <w:r w:rsidRPr="00017532">
        <w:rPr>
          <w:rFonts w:cs="Times New Roman"/>
          <w:lang w:val="fr-CA"/>
        </w:rPr>
        <w:t>. Il a aussi plaidé coupable aux accusations suivantes</w:t>
      </w:r>
      <w:r w:rsidR="00B029AB">
        <w:rPr>
          <w:rFonts w:cs="Times New Roman"/>
          <w:lang w:val="fr-CA"/>
        </w:rPr>
        <w:t> :</w:t>
      </w:r>
      <w:r w:rsidRPr="00017532">
        <w:rPr>
          <w:rFonts w:cs="Times New Roman"/>
          <w:lang w:val="fr-CA"/>
        </w:rPr>
        <w:t xml:space="preserve"> possession d</w:t>
      </w:r>
      <w:r>
        <w:rPr>
          <w:rFonts w:cs="Times New Roman"/>
          <w:lang w:val="fr-CA"/>
        </w:rPr>
        <w:t>’</w:t>
      </w:r>
      <w:r w:rsidRPr="00017532">
        <w:rPr>
          <w:rFonts w:cs="Times New Roman"/>
          <w:lang w:val="fr-CA"/>
        </w:rPr>
        <w:t>une arme à feu dont il savait que le numéro de série avait été maquillé (</w:t>
      </w:r>
      <w:r w:rsidR="00A24434">
        <w:rPr>
          <w:rFonts w:cs="Times New Roman"/>
          <w:lang w:val="fr-CA"/>
        </w:rPr>
        <w:t xml:space="preserve">al. </w:t>
      </w:r>
      <w:r w:rsidRPr="00017532">
        <w:rPr>
          <w:rFonts w:cs="Times New Roman"/>
          <w:lang w:val="fr-CA"/>
        </w:rPr>
        <w:t>108(1)</w:t>
      </w:r>
      <w:r w:rsidRPr="00017532">
        <w:rPr>
          <w:rFonts w:cs="Times New Roman"/>
          <w:i/>
          <w:lang w:val="fr-CA"/>
        </w:rPr>
        <w:t>b</w:t>
      </w:r>
      <w:r w:rsidRPr="00017532">
        <w:rPr>
          <w:rFonts w:cs="Times New Roman"/>
          <w:lang w:val="fr-CA"/>
        </w:rPr>
        <w:t>)), possession d</w:t>
      </w:r>
      <w:r>
        <w:rPr>
          <w:rFonts w:cs="Times New Roman"/>
          <w:lang w:val="fr-CA"/>
        </w:rPr>
        <w:t>’</w:t>
      </w:r>
      <w:r w:rsidRPr="00017532">
        <w:rPr>
          <w:rFonts w:cs="Times New Roman"/>
          <w:lang w:val="fr-CA"/>
        </w:rPr>
        <w:t>une arme à feu malgré une ordonnance qui le lui interdisait (</w:t>
      </w:r>
      <w:r w:rsidR="00A24434">
        <w:rPr>
          <w:rFonts w:cs="Times New Roman"/>
          <w:lang w:val="fr-CA"/>
        </w:rPr>
        <w:t xml:space="preserve">par. </w:t>
      </w:r>
      <w:r w:rsidRPr="00017532">
        <w:rPr>
          <w:rFonts w:cs="Times New Roman"/>
          <w:lang w:val="fr-CA"/>
        </w:rPr>
        <w:t>117.01(1)), possession d</w:t>
      </w:r>
      <w:r>
        <w:rPr>
          <w:rFonts w:cs="Times New Roman"/>
          <w:lang w:val="fr-CA"/>
        </w:rPr>
        <w:t>’</w:t>
      </w:r>
      <w:r w:rsidRPr="00017532">
        <w:rPr>
          <w:rFonts w:cs="Times New Roman"/>
          <w:lang w:val="fr-CA"/>
        </w:rPr>
        <w:t>une arme à feu sans permis (</w:t>
      </w:r>
      <w:r w:rsidR="00A24434">
        <w:rPr>
          <w:rFonts w:cs="Times New Roman"/>
          <w:lang w:val="fr-CA"/>
        </w:rPr>
        <w:t xml:space="preserve">par. </w:t>
      </w:r>
      <w:r w:rsidRPr="00017532">
        <w:rPr>
          <w:rFonts w:cs="Times New Roman"/>
          <w:lang w:val="fr-CA"/>
        </w:rPr>
        <w:t>91(1)) et possession de munitions malgré une ordonnance qui le lui interdisait (</w:t>
      </w:r>
      <w:r w:rsidR="00A24434">
        <w:rPr>
          <w:rFonts w:cs="Times New Roman"/>
          <w:lang w:val="fr-CA"/>
        </w:rPr>
        <w:t xml:space="preserve">par. </w:t>
      </w:r>
      <w:r w:rsidRPr="00017532">
        <w:rPr>
          <w:rFonts w:cs="Times New Roman"/>
          <w:lang w:val="fr-CA"/>
        </w:rPr>
        <w:t xml:space="preserve">117.01(1)). </w:t>
      </w:r>
    </w:p>
    <w:p w:rsidR="002A4851" w:rsidRPr="00017532" w:rsidRDefault="002A4851" w:rsidP="00A659A4">
      <w:pPr>
        <w:pStyle w:val="ParaNoNdepar-AltN"/>
        <w:rPr>
          <w:rFonts w:cs="Times New Roman"/>
          <w:lang w:val="fr-CA"/>
        </w:rPr>
      </w:pPr>
      <w:r w:rsidRPr="00017532">
        <w:rPr>
          <w:rFonts w:cs="Times New Roman"/>
          <w:lang w:val="fr-CA"/>
        </w:rPr>
        <w:t>M.</w:t>
      </w:r>
      <w:r w:rsidR="00B029AB">
        <w:rPr>
          <w:rFonts w:cs="Times New Roman"/>
          <w:lang w:val="fr-CA"/>
        </w:rPr>
        <w:t xml:space="preserve"> </w:t>
      </w:r>
      <w:r w:rsidRPr="00017532">
        <w:rPr>
          <w:rFonts w:cs="Times New Roman"/>
          <w:lang w:val="fr-CA"/>
        </w:rPr>
        <w:t>Charles a un lourd casier judiciaire et a commis de graves infractions. Au moment de déterminer sa peine, il comptait environ 20</w:t>
      </w:r>
      <w:r w:rsidR="00B029AB">
        <w:rPr>
          <w:rFonts w:cs="Times New Roman"/>
          <w:lang w:val="fr-CA"/>
        </w:rPr>
        <w:t xml:space="preserve"> </w:t>
      </w:r>
      <w:r w:rsidRPr="00017532">
        <w:rPr>
          <w:rFonts w:cs="Times New Roman"/>
          <w:lang w:val="fr-CA"/>
        </w:rPr>
        <w:t>déclarations de culpabilité, dont cinq pour des crimes avec violence et cinq autres pour des infractions liées aux armes à feu. Deux de ces déclarations de culpabilité valent (suivant les par.</w:t>
      </w:r>
      <w:r w:rsidR="00B029AB">
        <w:rPr>
          <w:rFonts w:cs="Times New Roman"/>
          <w:lang w:val="fr-CA"/>
        </w:rPr>
        <w:t xml:space="preserve"> </w:t>
      </w:r>
      <w:r w:rsidRPr="00017532">
        <w:rPr>
          <w:rFonts w:cs="Times New Roman"/>
          <w:lang w:val="fr-CA"/>
        </w:rPr>
        <w:t>84(5) et (6)) pour l</w:t>
      </w:r>
      <w:r>
        <w:rPr>
          <w:rFonts w:cs="Times New Roman"/>
          <w:lang w:val="fr-CA"/>
        </w:rPr>
        <w:t>’</w:t>
      </w:r>
      <w:r w:rsidRPr="00017532">
        <w:rPr>
          <w:rFonts w:cs="Times New Roman"/>
          <w:lang w:val="fr-CA"/>
        </w:rPr>
        <w:t>application de la peine minimale obligatoire du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)(ii).</w:t>
      </w:r>
    </w:p>
    <w:p w:rsidR="002A4851" w:rsidRPr="00017532" w:rsidRDefault="002A4851" w:rsidP="00A659A4">
      <w:pPr>
        <w:pStyle w:val="ParaNoNdepar-AltN"/>
        <w:rPr>
          <w:rFonts w:cs="Times New Roman"/>
          <w:lang w:val="fr-CA"/>
        </w:rPr>
      </w:pPr>
      <w:r w:rsidRPr="00017532">
        <w:rPr>
          <w:rFonts w:cs="Times New Roman"/>
          <w:lang w:val="fr-CA"/>
        </w:rPr>
        <w:t>La première remonte à 2002. M.</w:t>
      </w:r>
      <w:r w:rsidR="00B029AB">
        <w:rPr>
          <w:rFonts w:cs="Times New Roman"/>
          <w:lang w:val="fr-CA"/>
        </w:rPr>
        <w:t xml:space="preserve"> </w:t>
      </w:r>
      <w:r w:rsidRPr="00017532">
        <w:rPr>
          <w:rFonts w:cs="Times New Roman"/>
          <w:lang w:val="fr-CA"/>
        </w:rPr>
        <w:t>Charles avait plaidé coupable à l</w:t>
      </w:r>
      <w:r>
        <w:rPr>
          <w:rFonts w:cs="Times New Roman"/>
          <w:lang w:val="fr-CA"/>
        </w:rPr>
        <w:t>’</w:t>
      </w:r>
      <w:r w:rsidRPr="00017532">
        <w:rPr>
          <w:rFonts w:cs="Times New Roman"/>
          <w:lang w:val="fr-CA"/>
        </w:rPr>
        <w:t>accusation d</w:t>
      </w:r>
      <w:r>
        <w:rPr>
          <w:rFonts w:cs="Times New Roman"/>
          <w:lang w:val="fr-CA"/>
        </w:rPr>
        <w:t>’</w:t>
      </w:r>
      <w:r w:rsidRPr="00017532">
        <w:rPr>
          <w:rFonts w:cs="Times New Roman"/>
          <w:lang w:val="fr-CA"/>
        </w:rPr>
        <w:t>avoir été en possession de munitions malgré une ordonnance qui lui interdisait la possession d</w:t>
      </w:r>
      <w:r>
        <w:rPr>
          <w:rFonts w:cs="Times New Roman"/>
          <w:lang w:val="fr-CA"/>
        </w:rPr>
        <w:t>’</w:t>
      </w:r>
      <w:r w:rsidRPr="00017532">
        <w:rPr>
          <w:rFonts w:cs="Times New Roman"/>
          <w:lang w:val="fr-CA"/>
        </w:rPr>
        <w:t>une arme à feu (</w:t>
      </w:r>
      <w:r w:rsidR="00A24434">
        <w:rPr>
          <w:rFonts w:cs="Times New Roman"/>
          <w:lang w:val="fr-CA"/>
        </w:rPr>
        <w:t xml:space="preserve">par. </w:t>
      </w:r>
      <w:r w:rsidRPr="00017532">
        <w:rPr>
          <w:rFonts w:cs="Times New Roman"/>
          <w:lang w:val="fr-CA"/>
        </w:rPr>
        <w:t xml:space="preserve">117.01(1) du </w:t>
      </w:r>
      <w:r w:rsidRPr="00017532">
        <w:rPr>
          <w:rFonts w:cs="Times New Roman"/>
          <w:i/>
          <w:lang w:val="fr-CA"/>
        </w:rPr>
        <w:t>Code criminel</w:t>
      </w:r>
      <w:r w:rsidRPr="00017532">
        <w:rPr>
          <w:rFonts w:cs="Times New Roman"/>
          <w:lang w:val="fr-CA"/>
        </w:rPr>
        <w:t>). L</w:t>
      </w:r>
      <w:r>
        <w:rPr>
          <w:rFonts w:cs="Times New Roman"/>
          <w:lang w:val="fr-CA"/>
        </w:rPr>
        <w:t>’</w:t>
      </w:r>
      <w:r w:rsidRPr="00017532">
        <w:rPr>
          <w:rFonts w:cs="Times New Roman"/>
          <w:lang w:val="fr-CA"/>
        </w:rPr>
        <w:t>accusation avait été portée par suite d</w:t>
      </w:r>
      <w:r>
        <w:rPr>
          <w:rFonts w:cs="Times New Roman"/>
          <w:lang w:val="fr-CA"/>
        </w:rPr>
        <w:t>’</w:t>
      </w:r>
      <w:r w:rsidRPr="00017532">
        <w:rPr>
          <w:rFonts w:cs="Times New Roman"/>
          <w:lang w:val="fr-CA"/>
        </w:rPr>
        <w:t>une altercation avec sa grand</w:t>
      </w:r>
      <w:r w:rsidR="00B029AB">
        <w:rPr>
          <w:rFonts w:cs="Times New Roman"/>
          <w:lang w:val="fr-CA"/>
        </w:rPr>
        <w:t>-</w:t>
      </w:r>
      <w:r w:rsidRPr="00017532">
        <w:rPr>
          <w:rFonts w:cs="Times New Roman"/>
          <w:lang w:val="fr-CA"/>
        </w:rPr>
        <w:t xml:space="preserve">mère au sujet </w:t>
      </w:r>
      <w:r w:rsidRPr="00017532">
        <w:rPr>
          <w:rFonts w:cs="Times New Roman"/>
          <w:lang w:val="fr-CA"/>
        </w:rPr>
        <w:lastRenderedPageBreak/>
        <w:t>d</w:t>
      </w:r>
      <w:r>
        <w:rPr>
          <w:rFonts w:cs="Times New Roman"/>
          <w:lang w:val="fr-CA"/>
        </w:rPr>
        <w:t>’</w:t>
      </w:r>
      <w:r w:rsidRPr="00017532">
        <w:rPr>
          <w:rFonts w:cs="Times New Roman"/>
          <w:lang w:val="fr-CA"/>
        </w:rPr>
        <w:t>une arme de poing. Les policiers étaient alors intervenus et avaient trouvé une boîte verrouillée contenant une balle de calibre .38 ainsi que des papiers d</w:t>
      </w:r>
      <w:r>
        <w:rPr>
          <w:rFonts w:cs="Times New Roman"/>
          <w:lang w:val="fr-CA"/>
        </w:rPr>
        <w:t>’</w:t>
      </w:r>
      <w:r w:rsidRPr="00017532">
        <w:rPr>
          <w:rFonts w:cs="Times New Roman"/>
          <w:lang w:val="fr-CA"/>
        </w:rPr>
        <w:t>identité appartenant à M.</w:t>
      </w:r>
      <w:r w:rsidR="00B029AB">
        <w:rPr>
          <w:rFonts w:cs="Times New Roman"/>
          <w:lang w:val="fr-CA"/>
        </w:rPr>
        <w:t xml:space="preserve"> </w:t>
      </w:r>
      <w:r w:rsidRPr="00017532">
        <w:rPr>
          <w:rFonts w:cs="Times New Roman"/>
          <w:lang w:val="fr-CA"/>
        </w:rPr>
        <w:t>Charles. Lorsqu</w:t>
      </w:r>
      <w:r>
        <w:rPr>
          <w:rFonts w:cs="Times New Roman"/>
          <w:lang w:val="fr-CA"/>
        </w:rPr>
        <w:t>’</w:t>
      </w:r>
      <w:r w:rsidRPr="00017532">
        <w:rPr>
          <w:rFonts w:cs="Times New Roman"/>
          <w:lang w:val="fr-CA"/>
        </w:rPr>
        <w:t>ils étaient revenus l</w:t>
      </w:r>
      <w:r>
        <w:rPr>
          <w:rFonts w:cs="Times New Roman"/>
          <w:lang w:val="fr-CA"/>
        </w:rPr>
        <w:t>’</w:t>
      </w:r>
      <w:r w:rsidRPr="00017532">
        <w:rPr>
          <w:rFonts w:cs="Times New Roman"/>
          <w:lang w:val="fr-CA"/>
        </w:rPr>
        <w:t>arrêter, les policiers avaient trouvé en sa possession de grandes quantités de crack, des balances électroniques, un téléphone portable, des ciseaux et un tournevis</w:t>
      </w:r>
      <w:r>
        <w:rPr>
          <w:rFonts w:cs="Times New Roman"/>
          <w:lang w:val="fr-CA"/>
        </w:rPr>
        <w:t xml:space="preserve">. </w:t>
      </w:r>
      <w:r w:rsidRPr="00017532">
        <w:rPr>
          <w:rFonts w:cs="Times New Roman"/>
          <w:lang w:val="fr-CA"/>
        </w:rPr>
        <w:t>M.</w:t>
      </w:r>
      <w:r w:rsidR="00B029AB">
        <w:rPr>
          <w:rFonts w:cs="Times New Roman"/>
          <w:lang w:val="fr-CA"/>
        </w:rPr>
        <w:t xml:space="preserve"> </w:t>
      </w:r>
      <w:r w:rsidRPr="00017532">
        <w:rPr>
          <w:rFonts w:cs="Times New Roman"/>
          <w:lang w:val="fr-CA"/>
        </w:rPr>
        <w:t>Charles a été accusé de possession de munitions malgré une ordonnance d</w:t>
      </w:r>
      <w:r>
        <w:rPr>
          <w:rFonts w:cs="Times New Roman"/>
          <w:lang w:val="fr-CA"/>
        </w:rPr>
        <w:t>’</w:t>
      </w:r>
      <w:r w:rsidRPr="00017532">
        <w:rPr>
          <w:rFonts w:cs="Times New Roman"/>
          <w:lang w:val="fr-CA"/>
        </w:rPr>
        <w:t>interdiction et de possession de cocaïne en vue d</w:t>
      </w:r>
      <w:r>
        <w:rPr>
          <w:rFonts w:cs="Times New Roman"/>
          <w:lang w:val="fr-CA"/>
        </w:rPr>
        <w:t>’</w:t>
      </w:r>
      <w:r w:rsidRPr="00017532">
        <w:rPr>
          <w:rFonts w:cs="Times New Roman"/>
          <w:lang w:val="fr-CA"/>
        </w:rPr>
        <w:t>en faire le trafic. Le dossier révèle qu</w:t>
      </w:r>
      <w:r>
        <w:rPr>
          <w:rFonts w:cs="Times New Roman"/>
          <w:lang w:val="fr-CA"/>
        </w:rPr>
        <w:t>’</w:t>
      </w:r>
      <w:r w:rsidRPr="00017532">
        <w:rPr>
          <w:rFonts w:cs="Times New Roman"/>
          <w:lang w:val="fr-CA"/>
        </w:rPr>
        <w:t>il a été condamné à deux mois d</w:t>
      </w:r>
      <w:r>
        <w:rPr>
          <w:rFonts w:cs="Times New Roman"/>
          <w:lang w:val="fr-CA"/>
        </w:rPr>
        <w:t>’</w:t>
      </w:r>
      <w:r w:rsidRPr="00017532">
        <w:rPr>
          <w:rFonts w:cs="Times New Roman"/>
          <w:lang w:val="fr-CA"/>
        </w:rPr>
        <w:t>emprisonnement pour chacun des chefs, à purger concurremment, en sus de ses 96 jours de détention présentencielle.</w:t>
      </w:r>
    </w:p>
    <w:p w:rsidR="002A4851" w:rsidRPr="00017532" w:rsidRDefault="002A4851" w:rsidP="00A659A4">
      <w:pPr>
        <w:pStyle w:val="ParaNoNdepar-AltN"/>
        <w:rPr>
          <w:rFonts w:cs="Times New Roman"/>
          <w:lang w:val="fr-CA"/>
        </w:rPr>
      </w:pPr>
      <w:r w:rsidRPr="00017532">
        <w:rPr>
          <w:rFonts w:cs="Times New Roman"/>
          <w:lang w:val="fr-CA"/>
        </w:rPr>
        <w:t>La deuxième déclaration de culpabilité remonte à 2004. Sur le fondement du par.</w:t>
      </w:r>
      <w:r w:rsidR="00B029AB">
        <w:rPr>
          <w:rFonts w:cs="Times New Roman"/>
          <w:lang w:val="fr-CA"/>
        </w:rPr>
        <w:t xml:space="preserve"> </w:t>
      </w:r>
      <w:r w:rsidRPr="00017532">
        <w:rPr>
          <w:rFonts w:cs="Times New Roman"/>
          <w:lang w:val="fr-CA"/>
        </w:rPr>
        <w:t xml:space="preserve">85(2) du </w:t>
      </w:r>
      <w:r w:rsidRPr="00017532">
        <w:rPr>
          <w:rFonts w:cs="Times New Roman"/>
          <w:i/>
          <w:lang w:val="fr-CA"/>
        </w:rPr>
        <w:t>Code criminel</w:t>
      </w:r>
      <w:r w:rsidRPr="00017532">
        <w:rPr>
          <w:rFonts w:cs="Times New Roman"/>
          <w:lang w:val="fr-CA"/>
        </w:rPr>
        <w:t>, il a été accusé du vol qualifié d</w:t>
      </w:r>
      <w:r>
        <w:rPr>
          <w:rFonts w:cs="Times New Roman"/>
          <w:lang w:val="fr-CA"/>
        </w:rPr>
        <w:t>’</w:t>
      </w:r>
      <w:r w:rsidRPr="00017532">
        <w:rPr>
          <w:rFonts w:cs="Times New Roman"/>
          <w:lang w:val="fr-CA"/>
        </w:rPr>
        <w:t>une agence de placement avec trois complices</w:t>
      </w:r>
      <w:r>
        <w:rPr>
          <w:rFonts w:cs="Times New Roman"/>
          <w:lang w:val="fr-CA"/>
        </w:rPr>
        <w:t xml:space="preserve">. </w:t>
      </w:r>
      <w:r w:rsidRPr="00017532">
        <w:rPr>
          <w:rFonts w:cs="Times New Roman"/>
          <w:lang w:val="fr-CA"/>
        </w:rPr>
        <w:t>Il avait utilisé une fausse arme à feu et masqué son visage dans un dessein criminel. M.</w:t>
      </w:r>
      <w:r w:rsidR="00B029AB">
        <w:rPr>
          <w:rFonts w:cs="Times New Roman"/>
          <w:lang w:val="fr-CA"/>
        </w:rPr>
        <w:t xml:space="preserve"> </w:t>
      </w:r>
      <w:r w:rsidRPr="00017532">
        <w:rPr>
          <w:rFonts w:cs="Times New Roman"/>
          <w:lang w:val="fr-CA"/>
        </w:rPr>
        <w:t>Charles a plaidé coupable. Il a été condamné à une peine carcérale de 18</w:t>
      </w:r>
      <w:r w:rsidR="00B029AB">
        <w:rPr>
          <w:rFonts w:cs="Times New Roman"/>
          <w:lang w:val="fr-CA"/>
        </w:rPr>
        <w:t xml:space="preserve"> </w:t>
      </w:r>
      <w:r w:rsidRPr="00017532">
        <w:rPr>
          <w:rFonts w:cs="Times New Roman"/>
          <w:lang w:val="fr-CA"/>
        </w:rPr>
        <w:t>mois et demi pour chacun des chefs, à purger concurremment, après l</w:t>
      </w:r>
      <w:r>
        <w:rPr>
          <w:rFonts w:cs="Times New Roman"/>
          <w:lang w:val="fr-CA"/>
        </w:rPr>
        <w:t>’</w:t>
      </w:r>
      <w:r w:rsidRPr="00017532">
        <w:rPr>
          <w:rFonts w:cs="Times New Roman"/>
          <w:lang w:val="fr-CA"/>
        </w:rPr>
        <w:t>octroi d</w:t>
      </w:r>
      <w:r>
        <w:rPr>
          <w:rFonts w:cs="Times New Roman"/>
          <w:lang w:val="fr-CA"/>
        </w:rPr>
        <w:t>’</w:t>
      </w:r>
      <w:r w:rsidRPr="00017532">
        <w:rPr>
          <w:rFonts w:cs="Times New Roman"/>
          <w:lang w:val="fr-CA"/>
        </w:rPr>
        <w:t>un crédit pour détention présentencielle de quatre mois et demi.</w:t>
      </w:r>
    </w:p>
    <w:p w:rsidR="002A4851" w:rsidRPr="00017532" w:rsidRDefault="002A4851" w:rsidP="00A659A4">
      <w:pPr>
        <w:pStyle w:val="ParaNoNdepar-AltN"/>
        <w:rPr>
          <w:rFonts w:cs="Times New Roman"/>
          <w:lang w:val="fr-CA"/>
        </w:rPr>
      </w:pPr>
      <w:r w:rsidRPr="00017532">
        <w:rPr>
          <w:rFonts w:cs="Times New Roman"/>
          <w:lang w:val="fr-CA"/>
        </w:rPr>
        <w:t>Lors de la détermination de sa peine pour l</w:t>
      </w:r>
      <w:r>
        <w:rPr>
          <w:rFonts w:cs="Times New Roman"/>
          <w:lang w:val="fr-CA"/>
        </w:rPr>
        <w:t>’</w:t>
      </w:r>
      <w:r w:rsidRPr="00017532">
        <w:rPr>
          <w:rFonts w:cs="Times New Roman"/>
          <w:lang w:val="fr-CA"/>
        </w:rPr>
        <w:t>infraction visée en l</w:t>
      </w:r>
      <w:r>
        <w:rPr>
          <w:rFonts w:cs="Times New Roman"/>
          <w:lang w:val="fr-CA"/>
        </w:rPr>
        <w:t>’</w:t>
      </w:r>
      <w:r w:rsidRPr="00017532">
        <w:rPr>
          <w:rFonts w:cs="Times New Roman"/>
          <w:lang w:val="fr-CA"/>
        </w:rPr>
        <w:t>espèce, M.</w:t>
      </w:r>
      <w:r w:rsidR="00B029AB">
        <w:rPr>
          <w:rFonts w:cs="Times New Roman"/>
          <w:lang w:val="fr-CA"/>
        </w:rPr>
        <w:t xml:space="preserve"> </w:t>
      </w:r>
      <w:r w:rsidRPr="00017532">
        <w:rPr>
          <w:rFonts w:cs="Times New Roman"/>
          <w:lang w:val="fr-CA"/>
        </w:rPr>
        <w:t>Charles a contesté la constitutionnalité de la peine minimale obligatoire de cinq</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emprisonnement requise par le poursuivant. Il a soutenu que l</w:t>
      </w:r>
      <w:r>
        <w:rPr>
          <w:rFonts w:cs="Times New Roman"/>
          <w:lang w:val="fr-CA"/>
        </w:rPr>
        <w:t>’</w:t>
      </w:r>
      <w:r w:rsidRPr="00017532">
        <w:rPr>
          <w:rFonts w:cs="Times New Roman"/>
          <w:lang w:val="fr-CA"/>
        </w:rPr>
        <w:t>effet combiné de l</w:t>
      </w:r>
      <w:r>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84(5)</w:t>
      </w:r>
      <w:r w:rsidRPr="00017532">
        <w:rPr>
          <w:rFonts w:cs="Times New Roman"/>
          <w:i/>
          <w:lang w:val="fr-CA"/>
        </w:rPr>
        <w:t>a</w:t>
      </w:r>
      <w:r w:rsidRPr="00017532">
        <w:rPr>
          <w:rFonts w:cs="Times New Roman"/>
          <w:lang w:val="fr-CA"/>
        </w:rPr>
        <w:t>) et du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)(ii) contrevenait aux art.</w:t>
      </w:r>
      <w:r w:rsidR="00B029AB">
        <w:rPr>
          <w:rFonts w:cs="Times New Roman"/>
          <w:lang w:val="fr-CA"/>
        </w:rPr>
        <w:t xml:space="preserve"> </w:t>
      </w:r>
      <w:r w:rsidRPr="00017532">
        <w:rPr>
          <w:rFonts w:cs="Times New Roman"/>
          <w:lang w:val="fr-CA"/>
        </w:rPr>
        <w:t xml:space="preserve">7, 9 et 12 de la </w:t>
      </w:r>
      <w:r w:rsidRPr="00017532">
        <w:rPr>
          <w:rFonts w:cs="Times New Roman"/>
          <w:i/>
          <w:lang w:val="fr-CA"/>
        </w:rPr>
        <w:t>Charte</w:t>
      </w:r>
      <w:r w:rsidRPr="00017532">
        <w:rPr>
          <w:rFonts w:cs="Times New Roman"/>
          <w:lang w:val="fr-CA"/>
        </w:rPr>
        <w:t>, mais il a reconnu par la suite que l</w:t>
      </w:r>
      <w:r>
        <w:rPr>
          <w:rFonts w:cs="Times New Roman"/>
          <w:lang w:val="fr-CA"/>
        </w:rPr>
        <w:t>’</w:t>
      </w:r>
      <w:r w:rsidRPr="00017532">
        <w:rPr>
          <w:rFonts w:cs="Times New Roman"/>
          <w:lang w:val="fr-CA"/>
        </w:rPr>
        <w:t xml:space="preserve">issue de la contestation constitutionnelle fondée </w:t>
      </w:r>
      <w:r w:rsidRPr="00017532">
        <w:rPr>
          <w:rFonts w:cs="Times New Roman"/>
          <w:lang w:val="fr-CA"/>
        </w:rPr>
        <w:lastRenderedPageBreak/>
        <w:t>sur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déterminerait le sort de celles fondées sur les deux autres articles. Il a fait valoir que, pour l</w:t>
      </w:r>
      <w:r>
        <w:rPr>
          <w:rFonts w:cs="Times New Roman"/>
          <w:lang w:val="fr-CA"/>
        </w:rPr>
        <w:t>’</w:t>
      </w:r>
      <w:r w:rsidRPr="00017532">
        <w:rPr>
          <w:rFonts w:cs="Times New Roman"/>
          <w:lang w:val="fr-CA"/>
        </w:rPr>
        <w:t>application du par.</w:t>
      </w:r>
      <w:r w:rsidR="00B029AB">
        <w:rPr>
          <w:rFonts w:cs="Times New Roman"/>
          <w:lang w:val="fr-CA"/>
        </w:rPr>
        <w:t xml:space="preserve"> </w:t>
      </w:r>
      <w:r w:rsidRPr="00017532">
        <w:rPr>
          <w:rFonts w:cs="Times New Roman"/>
          <w:lang w:val="fr-CA"/>
        </w:rPr>
        <w:t>95(2), il est contraire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xml:space="preserve"> de compter au nombre des infractions antérieures celles énumérées à l</w:t>
      </w:r>
      <w:r>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84(5)</w:t>
      </w:r>
      <w:r w:rsidRPr="00017532">
        <w:rPr>
          <w:rFonts w:cs="Times New Roman"/>
          <w:i/>
          <w:lang w:val="fr-CA"/>
        </w:rPr>
        <w:t>a</w:t>
      </w:r>
      <w:r w:rsidRPr="00017532">
        <w:rPr>
          <w:rFonts w:cs="Times New Roman"/>
          <w:lang w:val="fr-CA"/>
        </w:rPr>
        <w:t>) qui ne comportent pas la possession d</w:t>
      </w:r>
      <w:r>
        <w:rPr>
          <w:rFonts w:cs="Times New Roman"/>
          <w:lang w:val="fr-CA"/>
        </w:rPr>
        <w:t>’</w:t>
      </w:r>
      <w:r w:rsidRPr="00017532">
        <w:rPr>
          <w:rFonts w:cs="Times New Roman"/>
          <w:lang w:val="fr-CA"/>
        </w:rPr>
        <w:t>une arme à feu.</w:t>
      </w:r>
    </w:p>
    <w:p w:rsidR="002A4851" w:rsidRPr="00017532" w:rsidRDefault="002A4851" w:rsidP="00A659A4">
      <w:pPr>
        <w:pStyle w:val="ParaNoNdepar-AltN"/>
        <w:rPr>
          <w:rFonts w:cs="Times New Roman"/>
          <w:lang w:val="fr-CA"/>
        </w:rPr>
      </w:pPr>
      <w:r w:rsidRPr="00017532">
        <w:rPr>
          <w:rFonts w:cs="Times New Roman"/>
          <w:lang w:val="fr-CA"/>
        </w:rPr>
        <w:t>La juge du procès rejette la contestation fondée sur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À son avis, la peine minimale obligatoire de cinq</w:t>
      </w:r>
      <w:r w:rsidR="00B029AB">
        <w:rPr>
          <w:rFonts w:cs="Times New Roman"/>
          <w:lang w:val="fr-CA"/>
        </w:rPr>
        <w:t xml:space="preserve"> </w:t>
      </w:r>
      <w:r w:rsidRPr="00017532">
        <w:rPr>
          <w:rFonts w:cs="Times New Roman"/>
          <w:lang w:val="fr-CA"/>
        </w:rPr>
        <w:t>ans prévue au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)(ii) n</w:t>
      </w:r>
      <w:r>
        <w:rPr>
          <w:rFonts w:cs="Times New Roman"/>
          <w:lang w:val="fr-CA"/>
        </w:rPr>
        <w:t>’</w:t>
      </w:r>
      <w:r w:rsidRPr="00017532">
        <w:rPr>
          <w:rFonts w:cs="Times New Roman"/>
          <w:lang w:val="fr-CA"/>
        </w:rPr>
        <w:t>est pas totalement disproportionnée dans le cas de M.</w:t>
      </w:r>
      <w:r w:rsidR="00B029AB">
        <w:rPr>
          <w:rFonts w:cs="Times New Roman"/>
          <w:lang w:val="fr-CA"/>
        </w:rPr>
        <w:t xml:space="preserve"> </w:t>
      </w:r>
      <w:r w:rsidRPr="00017532">
        <w:rPr>
          <w:rFonts w:cs="Times New Roman"/>
          <w:lang w:val="fr-CA"/>
        </w:rPr>
        <w:t>Charles étant donné la gravité de ses crimes. Ce dernier n</w:t>
      </w:r>
      <w:r>
        <w:rPr>
          <w:rFonts w:cs="Times New Roman"/>
          <w:lang w:val="fr-CA"/>
        </w:rPr>
        <w:t>’</w:t>
      </w:r>
      <w:r w:rsidRPr="00017532">
        <w:rPr>
          <w:rFonts w:cs="Times New Roman"/>
          <w:lang w:val="fr-CA"/>
        </w:rPr>
        <w:t>a d</w:t>
      </w:r>
      <w:r>
        <w:rPr>
          <w:rFonts w:cs="Times New Roman"/>
          <w:lang w:val="fr-CA"/>
        </w:rPr>
        <w:t>’</w:t>
      </w:r>
      <w:r w:rsidRPr="00017532">
        <w:rPr>
          <w:rFonts w:cs="Times New Roman"/>
          <w:lang w:val="fr-CA"/>
        </w:rPr>
        <w:t>ailleurs invoqué aucune situation hypothétique raisonnable où il aurait été totalement disproportionné qu</w:t>
      </w:r>
      <w:r>
        <w:rPr>
          <w:rFonts w:cs="Times New Roman"/>
          <w:lang w:val="fr-CA"/>
        </w:rPr>
        <w:t>’</w:t>
      </w:r>
      <w:r w:rsidRPr="00017532">
        <w:rPr>
          <w:rFonts w:cs="Times New Roman"/>
          <w:lang w:val="fr-CA"/>
        </w:rPr>
        <w:t>un délinquant précédemment déclaré coupable d</w:t>
      </w:r>
      <w:r>
        <w:rPr>
          <w:rFonts w:cs="Times New Roman"/>
          <w:lang w:val="fr-CA"/>
        </w:rPr>
        <w:t>’</w:t>
      </w:r>
      <w:r w:rsidRPr="00017532">
        <w:rPr>
          <w:rFonts w:cs="Times New Roman"/>
          <w:lang w:val="fr-CA"/>
        </w:rPr>
        <w:t>une infraction prévue aux par.</w:t>
      </w:r>
      <w:r w:rsidR="00B029AB">
        <w:rPr>
          <w:rFonts w:cs="Times New Roman"/>
          <w:lang w:val="fr-CA"/>
        </w:rPr>
        <w:t xml:space="preserve"> </w:t>
      </w:r>
      <w:r w:rsidRPr="00017532">
        <w:rPr>
          <w:rFonts w:cs="Times New Roman"/>
          <w:lang w:val="fr-CA"/>
        </w:rPr>
        <w:t>85(2) ou 117.01(1) se voit infliger la peine minimale obligatoire de cinq</w:t>
      </w:r>
      <w:r w:rsidR="00B029AB">
        <w:rPr>
          <w:rFonts w:cs="Times New Roman"/>
          <w:lang w:val="fr-CA"/>
        </w:rPr>
        <w:t xml:space="preserve"> </w:t>
      </w:r>
      <w:r w:rsidRPr="00017532">
        <w:rPr>
          <w:rFonts w:cs="Times New Roman"/>
          <w:lang w:val="fr-CA"/>
        </w:rPr>
        <w:t>ans pour avoir contrevenu au par.</w:t>
      </w:r>
      <w:r w:rsidR="00B029AB">
        <w:rPr>
          <w:rFonts w:cs="Times New Roman"/>
          <w:lang w:val="fr-CA"/>
        </w:rPr>
        <w:t xml:space="preserve"> </w:t>
      </w:r>
      <w:r w:rsidRPr="00017532">
        <w:rPr>
          <w:rFonts w:cs="Times New Roman"/>
          <w:lang w:val="fr-CA"/>
        </w:rPr>
        <w:t>95(1). La juge le condamne à une peine carcérale de sept</w:t>
      </w:r>
      <w:r w:rsidR="00B029AB">
        <w:rPr>
          <w:rFonts w:cs="Times New Roman"/>
          <w:lang w:val="fr-CA"/>
        </w:rPr>
        <w:t xml:space="preserve"> </w:t>
      </w:r>
      <w:r w:rsidRPr="00017532">
        <w:rPr>
          <w:rFonts w:cs="Times New Roman"/>
          <w:lang w:val="fr-CA"/>
        </w:rPr>
        <w:t>ans, réduite de cinq</w:t>
      </w:r>
      <w:r w:rsidR="00B029AB">
        <w:rPr>
          <w:rFonts w:cs="Times New Roman"/>
          <w:lang w:val="fr-CA"/>
        </w:rPr>
        <w:t xml:space="preserve"> </w:t>
      </w:r>
      <w:r w:rsidRPr="00017532">
        <w:rPr>
          <w:rFonts w:cs="Times New Roman"/>
          <w:lang w:val="fr-CA"/>
        </w:rPr>
        <w:t>ans après l</w:t>
      </w:r>
      <w:r>
        <w:rPr>
          <w:rFonts w:cs="Times New Roman"/>
          <w:lang w:val="fr-CA"/>
        </w:rPr>
        <w:t>’</w:t>
      </w:r>
      <w:r w:rsidRPr="00017532">
        <w:rPr>
          <w:rFonts w:cs="Times New Roman"/>
          <w:lang w:val="fr-CA"/>
        </w:rPr>
        <w:t>octroi d</w:t>
      </w:r>
      <w:r>
        <w:rPr>
          <w:rFonts w:cs="Times New Roman"/>
          <w:lang w:val="fr-CA"/>
        </w:rPr>
        <w:t>’</w:t>
      </w:r>
      <w:r w:rsidRPr="00017532">
        <w:rPr>
          <w:rFonts w:cs="Times New Roman"/>
          <w:lang w:val="fr-CA"/>
        </w:rPr>
        <w:t>un crédit à raison de deux jours contre un pour la détention présentencielle d</w:t>
      </w:r>
      <w:r>
        <w:rPr>
          <w:rFonts w:cs="Times New Roman"/>
          <w:lang w:val="fr-CA"/>
        </w:rPr>
        <w:t>’</w:t>
      </w:r>
      <w:r w:rsidRPr="00017532">
        <w:rPr>
          <w:rFonts w:cs="Times New Roman"/>
          <w:lang w:val="fr-CA"/>
        </w:rPr>
        <w:t>une durée de deux</w:t>
      </w:r>
      <w:r w:rsidR="00B029AB">
        <w:rPr>
          <w:rFonts w:cs="Times New Roman"/>
          <w:lang w:val="fr-CA"/>
        </w:rPr>
        <w:t xml:space="preserve"> </w:t>
      </w:r>
      <w:r w:rsidRPr="00017532">
        <w:rPr>
          <w:rFonts w:cs="Times New Roman"/>
          <w:lang w:val="fr-CA"/>
        </w:rPr>
        <w:t>ans et six</w:t>
      </w:r>
      <w:r w:rsidR="00B029AB">
        <w:rPr>
          <w:rFonts w:cs="Times New Roman"/>
          <w:lang w:val="fr-CA"/>
        </w:rPr>
        <w:t xml:space="preserve"> </w:t>
      </w:r>
      <w:r w:rsidRPr="00017532">
        <w:rPr>
          <w:rFonts w:cs="Times New Roman"/>
          <w:lang w:val="fr-CA"/>
        </w:rPr>
        <w:t>mois (2010 ONSC 8035, 222 C.R.R. (3d) 118).</w:t>
      </w:r>
    </w:p>
    <w:p w:rsidR="002A4851" w:rsidRPr="00017532" w:rsidRDefault="002A4851" w:rsidP="00A659A4">
      <w:pPr>
        <w:pStyle w:val="Title3LevelTitre3Niveau"/>
        <w:ind w:left="1156" w:hanging="578"/>
        <w:jc w:val="both"/>
        <w:rPr>
          <w:rFonts w:cs="Times New Roman"/>
          <w:lang w:val="fr-CA"/>
        </w:rPr>
      </w:pPr>
      <w:r w:rsidRPr="00017532">
        <w:rPr>
          <w:rFonts w:cs="Times New Roman"/>
          <w:lang w:val="fr-CA"/>
        </w:rPr>
        <w:t>Cour d</w:t>
      </w:r>
      <w:r>
        <w:rPr>
          <w:rFonts w:cs="Times New Roman"/>
          <w:lang w:val="fr-CA"/>
        </w:rPr>
        <w:t>’</w:t>
      </w:r>
      <w:r w:rsidRPr="00017532">
        <w:rPr>
          <w:rFonts w:cs="Times New Roman"/>
          <w:lang w:val="fr-CA"/>
        </w:rPr>
        <w:t>appel de l</w:t>
      </w:r>
      <w:r>
        <w:rPr>
          <w:rFonts w:cs="Times New Roman"/>
          <w:lang w:val="fr-CA"/>
        </w:rPr>
        <w:t>’</w:t>
      </w:r>
      <w:r w:rsidRPr="00017532">
        <w:rPr>
          <w:rFonts w:cs="Times New Roman"/>
          <w:lang w:val="fr-CA"/>
        </w:rPr>
        <w:t>Ontario, 2013 ONCA 681, 117 O.R. (3d) 456</w:t>
      </w:r>
    </w:p>
    <w:p w:rsidR="002A4851" w:rsidRPr="00017532" w:rsidRDefault="002A4851" w:rsidP="00A659A4">
      <w:pPr>
        <w:pStyle w:val="ParaNoNdepar-AltN"/>
        <w:rPr>
          <w:rFonts w:cs="Times New Roman"/>
          <w:lang w:val="fr-CA"/>
        </w:rPr>
      </w:pPr>
      <w:r w:rsidRPr="00017532">
        <w:rPr>
          <w:rFonts w:cs="Times New Roman"/>
          <w:lang w:val="fr-CA"/>
        </w:rPr>
        <w:t>M.</w:t>
      </w:r>
      <w:r w:rsidR="00B029AB">
        <w:rPr>
          <w:rFonts w:cs="Times New Roman"/>
          <w:lang w:val="fr-CA"/>
        </w:rPr>
        <w:t xml:space="preserve"> </w:t>
      </w:r>
      <w:r w:rsidRPr="00017532">
        <w:rPr>
          <w:rFonts w:cs="Times New Roman"/>
          <w:lang w:val="fr-CA"/>
        </w:rPr>
        <w:t>Charles s</w:t>
      </w:r>
      <w:r>
        <w:rPr>
          <w:rFonts w:cs="Times New Roman"/>
          <w:lang w:val="fr-CA"/>
        </w:rPr>
        <w:t>’</w:t>
      </w:r>
      <w:r w:rsidRPr="00017532">
        <w:rPr>
          <w:rFonts w:cs="Times New Roman"/>
          <w:lang w:val="fr-CA"/>
        </w:rPr>
        <w:t>est pourvu en Cour d</w:t>
      </w:r>
      <w:r>
        <w:rPr>
          <w:rFonts w:cs="Times New Roman"/>
          <w:lang w:val="fr-CA"/>
        </w:rPr>
        <w:t>’</w:t>
      </w:r>
      <w:r w:rsidRPr="00017532">
        <w:rPr>
          <w:rFonts w:cs="Times New Roman"/>
          <w:lang w:val="fr-CA"/>
        </w:rPr>
        <w:t>appel, qui a regroupé son dossier avec celui de M. Nur et quatre autres dossiers de contestation constitutionnelle de peines minimales obligatoires prévues à l</w:t>
      </w:r>
      <w:r>
        <w:rPr>
          <w:rFonts w:cs="Times New Roman"/>
          <w:lang w:val="fr-CA"/>
        </w:rPr>
        <w:t>’</w:t>
      </w:r>
      <w:r w:rsidRPr="00017532">
        <w:rPr>
          <w:rFonts w:cs="Times New Roman"/>
          <w:lang w:val="fr-CA"/>
        </w:rPr>
        <w:t>égard de diverses infractions liées aux armes à feu.</w:t>
      </w:r>
    </w:p>
    <w:p w:rsidR="002A4851" w:rsidRPr="00017532" w:rsidRDefault="002A4851" w:rsidP="00A659A4">
      <w:pPr>
        <w:pStyle w:val="ParaNoNdepar-AltN"/>
        <w:rPr>
          <w:rFonts w:cs="Times New Roman"/>
          <w:lang w:val="fr-CA"/>
        </w:rPr>
      </w:pPr>
      <w:r w:rsidRPr="00017532">
        <w:rPr>
          <w:rFonts w:cs="Times New Roman"/>
          <w:lang w:val="fr-CA"/>
        </w:rPr>
        <w:t>Au nom de la Cour d</w:t>
      </w:r>
      <w:r>
        <w:rPr>
          <w:rFonts w:cs="Times New Roman"/>
          <w:lang w:val="fr-CA"/>
        </w:rPr>
        <w:t>’</w:t>
      </w:r>
      <w:r w:rsidRPr="00017532">
        <w:rPr>
          <w:rFonts w:cs="Times New Roman"/>
          <w:lang w:val="fr-CA"/>
        </w:rPr>
        <w:t>appel, la juge Cronk conclut que la peine minimale obligatoire de cinq</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emprisonnement qui s</w:t>
      </w:r>
      <w:r>
        <w:rPr>
          <w:rFonts w:cs="Times New Roman"/>
          <w:lang w:val="fr-CA"/>
        </w:rPr>
        <w:t>’</w:t>
      </w:r>
      <w:r w:rsidRPr="00017532">
        <w:rPr>
          <w:rFonts w:cs="Times New Roman"/>
          <w:lang w:val="fr-CA"/>
        </w:rPr>
        <w:t xml:space="preserve">applique en cas de récidive est </w:t>
      </w:r>
      <w:r w:rsidRPr="00017532">
        <w:rPr>
          <w:rFonts w:cs="Times New Roman"/>
          <w:lang w:val="fr-CA"/>
        </w:rPr>
        <w:lastRenderedPageBreak/>
        <w:t>totalement disproportionnée si l</w:t>
      </w:r>
      <w:r>
        <w:rPr>
          <w:rFonts w:cs="Times New Roman"/>
          <w:lang w:val="fr-CA"/>
        </w:rPr>
        <w:t>’</w:t>
      </w:r>
      <w:r w:rsidRPr="00017532">
        <w:rPr>
          <w:rFonts w:cs="Times New Roman"/>
          <w:lang w:val="fr-CA"/>
        </w:rPr>
        <w:t>on considère la situation hypothétique raisonnable où l</w:t>
      </w:r>
      <w:r>
        <w:rPr>
          <w:rFonts w:cs="Times New Roman"/>
          <w:lang w:val="fr-CA"/>
        </w:rPr>
        <w:t>’</w:t>
      </w:r>
      <w:r w:rsidRPr="00017532">
        <w:rPr>
          <w:rFonts w:cs="Times New Roman"/>
          <w:lang w:val="fr-CA"/>
        </w:rPr>
        <w:t xml:space="preserve">infraction est de </w:t>
      </w:r>
      <w:r>
        <w:rPr>
          <w:rFonts w:cs="Times New Roman"/>
          <w:lang w:val="fr-CA"/>
        </w:rPr>
        <w:t>type</w:t>
      </w:r>
      <w:r w:rsidRPr="00017532">
        <w:rPr>
          <w:rFonts w:cs="Times New Roman"/>
          <w:lang w:val="fr-CA"/>
        </w:rPr>
        <w:t xml:space="preserve"> réglementaire, à supposer même que le délinquant hypothétique ait précédemment été reconnu coupable d</w:t>
      </w:r>
      <w:r>
        <w:rPr>
          <w:rFonts w:cs="Times New Roman"/>
          <w:lang w:val="fr-CA"/>
        </w:rPr>
        <w:t>’</w:t>
      </w:r>
      <w:r w:rsidRPr="00017532">
        <w:rPr>
          <w:rFonts w:cs="Times New Roman"/>
          <w:lang w:val="fr-CA"/>
        </w:rPr>
        <w:t>une infraction visée au par.</w:t>
      </w:r>
      <w:r w:rsidR="00B029AB">
        <w:rPr>
          <w:rFonts w:cs="Times New Roman"/>
          <w:lang w:val="fr-CA"/>
        </w:rPr>
        <w:t xml:space="preserve"> </w:t>
      </w:r>
      <w:r w:rsidRPr="00017532">
        <w:rPr>
          <w:rFonts w:cs="Times New Roman"/>
          <w:lang w:val="fr-CA"/>
        </w:rPr>
        <w:t>84(5). Elle déclare donc le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)(ii) inopérant dans la mesure où il prévoit une peine minimale obligatoire de cinq</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emprisonnement en cas de récidive lorsque le poursuivant opte pour la mise en accusation. Elle rejette toutefois les prétentions de M.</w:t>
      </w:r>
      <w:r w:rsidR="00B029AB">
        <w:rPr>
          <w:rFonts w:cs="Times New Roman"/>
          <w:lang w:val="fr-CA"/>
        </w:rPr>
        <w:t xml:space="preserve"> </w:t>
      </w:r>
      <w:r w:rsidRPr="00017532">
        <w:rPr>
          <w:rFonts w:cs="Times New Roman"/>
          <w:lang w:val="fr-CA"/>
        </w:rPr>
        <w:t>Charles fondées sur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 de la </w:t>
      </w:r>
      <w:r w:rsidRPr="00017532">
        <w:rPr>
          <w:rFonts w:cs="Times New Roman"/>
          <w:i/>
          <w:lang w:val="fr-CA"/>
        </w:rPr>
        <w:t>Charte</w:t>
      </w:r>
      <w:r w:rsidRPr="00017532">
        <w:rPr>
          <w:rFonts w:cs="Times New Roman"/>
          <w:lang w:val="fr-CA"/>
        </w:rPr>
        <w:t>, estimant que les dispositions contestées ne sont pas arbitraires et que leur portée n</w:t>
      </w:r>
      <w:r>
        <w:rPr>
          <w:rFonts w:cs="Times New Roman"/>
          <w:lang w:val="fr-CA"/>
        </w:rPr>
        <w:t>’</w:t>
      </w:r>
      <w:r w:rsidRPr="00017532">
        <w:rPr>
          <w:rFonts w:cs="Times New Roman"/>
          <w:lang w:val="fr-CA"/>
        </w:rPr>
        <w:t>est pas excessive, de sorte qu</w:t>
      </w:r>
      <w:r>
        <w:rPr>
          <w:rFonts w:cs="Times New Roman"/>
          <w:lang w:val="fr-CA"/>
        </w:rPr>
        <w:t>’</w:t>
      </w:r>
      <w:r w:rsidRPr="00017532">
        <w:rPr>
          <w:rFonts w:cs="Times New Roman"/>
          <w:lang w:val="fr-CA"/>
        </w:rPr>
        <w:t>elles ne contreviennent pas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 </w:t>
      </w:r>
    </w:p>
    <w:p w:rsidR="002A4851" w:rsidRPr="00017532" w:rsidRDefault="002A4851" w:rsidP="00A659A4">
      <w:pPr>
        <w:pStyle w:val="ParaNoNdepar-AltN"/>
        <w:rPr>
          <w:rFonts w:cs="Times New Roman"/>
          <w:lang w:val="fr-CA"/>
        </w:rPr>
      </w:pPr>
      <w:r w:rsidRPr="00017532">
        <w:rPr>
          <w:rFonts w:cs="Times New Roman"/>
          <w:lang w:val="fr-CA"/>
        </w:rPr>
        <w:t>M.</w:t>
      </w:r>
      <w:r w:rsidR="00B029AB">
        <w:rPr>
          <w:rFonts w:cs="Times New Roman"/>
          <w:lang w:val="fr-CA"/>
        </w:rPr>
        <w:t xml:space="preserve"> </w:t>
      </w:r>
      <w:r w:rsidRPr="00017532">
        <w:rPr>
          <w:rFonts w:cs="Times New Roman"/>
          <w:lang w:val="fr-CA"/>
        </w:rPr>
        <w:t>Charles ne contestait pas par ailleurs la peine globale dont il avait écopé et il reconnaissait qu</w:t>
      </w:r>
      <w:r>
        <w:rPr>
          <w:rFonts w:cs="Times New Roman"/>
          <w:lang w:val="fr-CA"/>
        </w:rPr>
        <w:t>’</w:t>
      </w:r>
      <w:r w:rsidRPr="00017532">
        <w:rPr>
          <w:rFonts w:cs="Times New Roman"/>
          <w:lang w:val="fr-CA"/>
        </w:rPr>
        <w:t>une peine carcérale de cinq ans pour infraction au par.</w:t>
      </w:r>
      <w:r w:rsidR="00B029AB">
        <w:rPr>
          <w:rFonts w:cs="Times New Roman"/>
          <w:lang w:val="fr-CA"/>
        </w:rPr>
        <w:t xml:space="preserve"> </w:t>
      </w:r>
      <w:r w:rsidRPr="00017532">
        <w:rPr>
          <w:rFonts w:cs="Times New Roman"/>
          <w:lang w:val="fr-CA"/>
        </w:rPr>
        <w:t>95(1) serait appropriée dans son cas à lui même si la peine minimale obligatoire ne s</w:t>
      </w:r>
      <w:r>
        <w:rPr>
          <w:rFonts w:cs="Times New Roman"/>
          <w:lang w:val="fr-CA"/>
        </w:rPr>
        <w:t>’</w:t>
      </w:r>
      <w:r w:rsidRPr="00017532">
        <w:rPr>
          <w:rFonts w:cs="Times New Roman"/>
          <w:lang w:val="fr-CA"/>
        </w:rPr>
        <w:t>appliquait pas. Par conséquent, la juge Cronk confirme la peine infligée en première instance.</w:t>
      </w:r>
    </w:p>
    <w:p w:rsidR="002A4851" w:rsidRPr="00017532" w:rsidRDefault="002A4851" w:rsidP="00A659A4">
      <w:pPr>
        <w:pStyle w:val="Title1LevelTitre1Niveau-AltL"/>
        <w:ind w:left="578" w:hanging="578"/>
        <w:jc w:val="both"/>
        <w:rPr>
          <w:rFonts w:cs="Times New Roman"/>
          <w:lang w:val="fr-CA"/>
        </w:rPr>
      </w:pPr>
      <w:r w:rsidRPr="00017532">
        <w:rPr>
          <w:rFonts w:cs="Times New Roman"/>
          <w:lang w:val="fr-CA"/>
        </w:rPr>
        <w:t>Questions en litige</w:t>
      </w:r>
    </w:p>
    <w:p w:rsidR="002A4851" w:rsidRPr="00017532" w:rsidRDefault="002A4851" w:rsidP="00A659A4">
      <w:pPr>
        <w:pStyle w:val="ParaNoNdepar-AltN"/>
        <w:rPr>
          <w:rFonts w:cs="Times New Roman"/>
          <w:lang w:val="fr-CA"/>
        </w:rPr>
      </w:pPr>
      <w:r w:rsidRPr="00017532">
        <w:rPr>
          <w:rFonts w:cs="Times New Roman"/>
          <w:lang w:val="fr-CA"/>
        </w:rPr>
        <w:t>Le pourvoi soulève les questions suivantes</w:t>
      </w:r>
      <w:r w:rsidR="00B029AB">
        <w:rPr>
          <w:rFonts w:cs="Times New Roman"/>
          <w:lang w:val="fr-CA"/>
        </w:rPr>
        <w:t> :</w:t>
      </w:r>
    </w:p>
    <w:p w:rsidR="002A4851" w:rsidRPr="00017532" w:rsidRDefault="002A4851" w:rsidP="00A659A4">
      <w:pPr>
        <w:pStyle w:val="Citation-AltC"/>
        <w:spacing w:after="480" w:line="480" w:lineRule="auto"/>
        <w:ind w:left="720" w:hanging="720"/>
        <w:contextualSpacing w:val="0"/>
        <w:rPr>
          <w:lang w:val="fr-CA"/>
        </w:rPr>
      </w:pPr>
      <w:r w:rsidRPr="00017532">
        <w:rPr>
          <w:lang w:val="fr-CA"/>
        </w:rPr>
        <w:t>a)</w:t>
      </w:r>
      <w:r w:rsidRPr="00017532">
        <w:rPr>
          <w:lang w:val="fr-CA"/>
        </w:rPr>
        <w:tab/>
        <w:t>Les peines minimales obligatoires d</w:t>
      </w:r>
      <w:r>
        <w:rPr>
          <w:lang w:val="fr-CA"/>
        </w:rPr>
        <w:t>’</w:t>
      </w:r>
      <w:r w:rsidRPr="00017532">
        <w:rPr>
          <w:lang w:val="fr-CA"/>
        </w:rPr>
        <w:t>emprisonnement prévues aux sous</w:t>
      </w:r>
      <w:r w:rsidR="00B029AB">
        <w:rPr>
          <w:lang w:val="fr-CA"/>
        </w:rPr>
        <w:t>-</w:t>
      </w:r>
      <w:r w:rsidRPr="00017532">
        <w:rPr>
          <w:lang w:val="fr-CA"/>
        </w:rPr>
        <w:t>al.</w:t>
      </w:r>
      <w:r w:rsidR="00B029AB">
        <w:rPr>
          <w:lang w:val="fr-CA"/>
        </w:rPr>
        <w:t xml:space="preserve"> </w:t>
      </w:r>
      <w:r w:rsidRPr="00017532">
        <w:rPr>
          <w:lang w:val="fr-CA"/>
        </w:rPr>
        <w:t>95(2)</w:t>
      </w:r>
      <w:r w:rsidRPr="00017532">
        <w:rPr>
          <w:i/>
          <w:lang w:val="fr-CA"/>
        </w:rPr>
        <w:t>a</w:t>
      </w:r>
      <w:r w:rsidRPr="00017532">
        <w:rPr>
          <w:lang w:val="fr-CA"/>
        </w:rPr>
        <w:t xml:space="preserve">)(i) et (ii) du </w:t>
      </w:r>
      <w:r w:rsidRPr="00017532">
        <w:rPr>
          <w:i/>
          <w:lang w:val="fr-CA"/>
        </w:rPr>
        <w:t>Code criminel</w:t>
      </w:r>
      <w:r w:rsidRPr="00017532">
        <w:rPr>
          <w:lang w:val="fr-CA"/>
        </w:rPr>
        <w:t xml:space="preserve"> contreviennent</w:t>
      </w:r>
      <w:r w:rsidR="00B029AB">
        <w:rPr>
          <w:lang w:val="fr-CA"/>
        </w:rPr>
        <w:t>-</w:t>
      </w:r>
      <w:r w:rsidRPr="00017532">
        <w:rPr>
          <w:lang w:val="fr-CA"/>
        </w:rPr>
        <w:t>elles à l</w:t>
      </w:r>
      <w:r>
        <w:rPr>
          <w:lang w:val="fr-CA"/>
        </w:rPr>
        <w:t>’</w:t>
      </w:r>
      <w:r w:rsidRPr="00017532">
        <w:rPr>
          <w:lang w:val="fr-CA"/>
        </w:rPr>
        <w:t>art.</w:t>
      </w:r>
      <w:r w:rsidR="00B029AB">
        <w:rPr>
          <w:lang w:val="fr-CA"/>
        </w:rPr>
        <w:t xml:space="preserve"> </w:t>
      </w:r>
      <w:r w:rsidRPr="00017532">
        <w:rPr>
          <w:lang w:val="fr-CA"/>
        </w:rPr>
        <w:t xml:space="preserve">12 de la </w:t>
      </w:r>
      <w:r w:rsidRPr="00017532">
        <w:rPr>
          <w:i/>
          <w:lang w:val="fr-CA"/>
        </w:rPr>
        <w:t>Charte</w:t>
      </w:r>
      <w:r w:rsidRPr="00017532">
        <w:rPr>
          <w:lang w:val="fr-CA"/>
        </w:rPr>
        <w:t>?</w:t>
      </w:r>
    </w:p>
    <w:p w:rsidR="002A4851" w:rsidRPr="00017532" w:rsidRDefault="002A4851" w:rsidP="00A659A4">
      <w:pPr>
        <w:pStyle w:val="Citation-AltC"/>
        <w:spacing w:after="480" w:line="480" w:lineRule="auto"/>
        <w:ind w:left="720" w:hanging="720"/>
        <w:contextualSpacing w:val="0"/>
        <w:rPr>
          <w:lang w:val="fr-CA"/>
        </w:rPr>
      </w:pPr>
      <w:r w:rsidRPr="00017532">
        <w:rPr>
          <w:lang w:val="fr-CA"/>
        </w:rPr>
        <w:lastRenderedPageBreak/>
        <w:t>b)</w:t>
      </w:r>
      <w:r w:rsidRPr="00017532">
        <w:rPr>
          <w:lang w:val="fr-CA"/>
        </w:rPr>
        <w:tab/>
        <w:t>Les peines minimales obligatoires d</w:t>
      </w:r>
      <w:r>
        <w:rPr>
          <w:lang w:val="fr-CA"/>
        </w:rPr>
        <w:t>’</w:t>
      </w:r>
      <w:r w:rsidRPr="00017532">
        <w:rPr>
          <w:lang w:val="fr-CA"/>
        </w:rPr>
        <w:t>emprisonnement prévues aux sous</w:t>
      </w:r>
      <w:r w:rsidR="00B029AB">
        <w:rPr>
          <w:lang w:val="fr-CA"/>
        </w:rPr>
        <w:t>-</w:t>
      </w:r>
      <w:r w:rsidRPr="00017532">
        <w:rPr>
          <w:lang w:val="fr-CA"/>
        </w:rPr>
        <w:t>al.</w:t>
      </w:r>
      <w:r w:rsidR="00B029AB">
        <w:rPr>
          <w:lang w:val="fr-CA"/>
        </w:rPr>
        <w:t xml:space="preserve"> </w:t>
      </w:r>
      <w:r w:rsidRPr="00017532">
        <w:rPr>
          <w:lang w:val="fr-CA"/>
        </w:rPr>
        <w:t>95(2)</w:t>
      </w:r>
      <w:r w:rsidRPr="00017532">
        <w:rPr>
          <w:i/>
          <w:lang w:val="fr-CA"/>
        </w:rPr>
        <w:t>a</w:t>
      </w:r>
      <w:r w:rsidRPr="00017532">
        <w:rPr>
          <w:lang w:val="fr-CA"/>
        </w:rPr>
        <w:t xml:space="preserve">)(i) et (ii) du </w:t>
      </w:r>
      <w:r w:rsidRPr="00017532">
        <w:rPr>
          <w:i/>
          <w:lang w:val="fr-CA"/>
        </w:rPr>
        <w:t>Code criminel</w:t>
      </w:r>
      <w:r w:rsidRPr="00017532">
        <w:rPr>
          <w:lang w:val="fr-CA"/>
        </w:rPr>
        <w:t xml:space="preserve"> contreviennent</w:t>
      </w:r>
      <w:r w:rsidR="00B029AB">
        <w:rPr>
          <w:lang w:val="fr-CA"/>
        </w:rPr>
        <w:t>-</w:t>
      </w:r>
      <w:r w:rsidRPr="00017532">
        <w:rPr>
          <w:lang w:val="fr-CA"/>
        </w:rPr>
        <w:t>elles à l</w:t>
      </w:r>
      <w:r>
        <w:rPr>
          <w:lang w:val="fr-CA"/>
        </w:rPr>
        <w:t>’</w:t>
      </w:r>
      <w:r w:rsidRPr="00017532">
        <w:rPr>
          <w:lang w:val="fr-CA"/>
        </w:rPr>
        <w:t>art.</w:t>
      </w:r>
      <w:r w:rsidR="00B029AB">
        <w:rPr>
          <w:lang w:val="fr-CA"/>
        </w:rPr>
        <w:t xml:space="preserve"> </w:t>
      </w:r>
      <w:r w:rsidRPr="00017532">
        <w:rPr>
          <w:lang w:val="fr-CA"/>
        </w:rPr>
        <w:t xml:space="preserve">7 de la </w:t>
      </w:r>
      <w:r w:rsidRPr="00017532">
        <w:rPr>
          <w:i/>
          <w:lang w:val="fr-CA"/>
        </w:rPr>
        <w:t>Charte</w:t>
      </w:r>
      <w:r w:rsidRPr="00017532">
        <w:rPr>
          <w:lang w:val="fr-CA"/>
        </w:rPr>
        <w:t>?</w:t>
      </w:r>
    </w:p>
    <w:p w:rsidR="002A4851" w:rsidRPr="00017532" w:rsidRDefault="002A4851" w:rsidP="00A659A4">
      <w:pPr>
        <w:pStyle w:val="Citation-AltC"/>
        <w:spacing w:after="480" w:line="480" w:lineRule="auto"/>
        <w:ind w:left="720" w:hanging="720"/>
        <w:contextualSpacing w:val="0"/>
        <w:rPr>
          <w:lang w:val="fr-CA"/>
        </w:rPr>
      </w:pPr>
      <w:r w:rsidRPr="00017532">
        <w:rPr>
          <w:lang w:val="fr-CA"/>
        </w:rPr>
        <w:t>c)</w:t>
      </w:r>
      <w:r w:rsidRPr="00017532">
        <w:rPr>
          <w:lang w:val="fr-CA"/>
        </w:rPr>
        <w:tab/>
        <w:t>Dans l</w:t>
      </w:r>
      <w:r>
        <w:rPr>
          <w:lang w:val="fr-CA"/>
        </w:rPr>
        <w:t>’</w:t>
      </w:r>
      <w:r w:rsidRPr="00017532">
        <w:rPr>
          <w:lang w:val="fr-CA"/>
        </w:rPr>
        <w:t>affirmative, sont</w:t>
      </w:r>
      <w:r w:rsidR="00B029AB">
        <w:rPr>
          <w:lang w:val="fr-CA"/>
        </w:rPr>
        <w:t>-</w:t>
      </w:r>
      <w:r w:rsidRPr="00017532">
        <w:rPr>
          <w:lang w:val="fr-CA"/>
        </w:rPr>
        <w:t>elles sauvegardées par application de l</w:t>
      </w:r>
      <w:r>
        <w:rPr>
          <w:lang w:val="fr-CA"/>
        </w:rPr>
        <w:t>’</w:t>
      </w:r>
      <w:r w:rsidRPr="00017532">
        <w:rPr>
          <w:lang w:val="fr-CA"/>
        </w:rPr>
        <w:t xml:space="preserve">article premier de la </w:t>
      </w:r>
      <w:r w:rsidRPr="00017532">
        <w:rPr>
          <w:i/>
          <w:lang w:val="fr-CA"/>
        </w:rPr>
        <w:t>Charte</w:t>
      </w:r>
      <w:r w:rsidRPr="00017532">
        <w:rPr>
          <w:lang w:val="fr-CA"/>
        </w:rPr>
        <w:t>?</w:t>
      </w:r>
    </w:p>
    <w:p w:rsidR="002A4851" w:rsidRPr="00017532" w:rsidRDefault="002A4851" w:rsidP="00A659A4">
      <w:pPr>
        <w:pStyle w:val="Title1LevelTitre1Niveau-AltL"/>
        <w:ind w:left="578" w:hanging="578"/>
        <w:jc w:val="both"/>
        <w:rPr>
          <w:rFonts w:cs="Times New Roman"/>
          <w:lang w:val="fr-CA"/>
        </w:rPr>
      </w:pPr>
      <w:r w:rsidRPr="00017532">
        <w:rPr>
          <w:rFonts w:cs="Times New Roman"/>
          <w:lang w:val="fr-CA"/>
        </w:rPr>
        <w:t>Analyse</w:t>
      </w:r>
    </w:p>
    <w:p w:rsidR="002A4851" w:rsidRPr="00017532" w:rsidRDefault="002A4851" w:rsidP="00A659A4">
      <w:pPr>
        <w:pStyle w:val="Title2LevelTitre2Niveau"/>
        <w:ind w:left="578" w:hanging="578"/>
        <w:rPr>
          <w:rFonts w:cs="Times New Roman"/>
          <w:lang w:val="fr-CA"/>
        </w:rPr>
      </w:pPr>
      <w:r w:rsidRPr="00017532">
        <w:rPr>
          <w:rFonts w:cs="Times New Roman"/>
          <w:lang w:val="fr-CA"/>
        </w:rPr>
        <w:t>Les peines minimales obligatoires d</w:t>
      </w:r>
      <w:r>
        <w:rPr>
          <w:rFonts w:cs="Times New Roman"/>
          <w:lang w:val="fr-CA"/>
        </w:rPr>
        <w:t>’</w:t>
      </w:r>
      <w:r w:rsidRPr="00017532">
        <w:rPr>
          <w:rFonts w:cs="Times New Roman"/>
          <w:lang w:val="fr-CA"/>
        </w:rPr>
        <w:t>emprisonnement prévues aux sous</w:t>
      </w:r>
      <w:r w:rsidR="00B029AB">
        <w:rPr>
          <w:rFonts w:cs="Times New Roman"/>
          <w:lang w:val="fr-CA"/>
        </w:rPr>
        <w:t>-</w:t>
      </w:r>
      <w:r w:rsidRPr="00017532">
        <w:rPr>
          <w:rFonts w:cs="Times New Roman"/>
          <w:lang w:val="fr-CA"/>
        </w:rPr>
        <w:t>al</w:t>
      </w:r>
      <w:r w:rsidR="00084013">
        <w:rPr>
          <w:rFonts w:cs="Times New Roman"/>
          <w:lang w:val="fr-CA"/>
        </w:rPr>
        <w:t>.</w:t>
      </w:r>
      <w:r w:rsidR="00B029AB">
        <w:rPr>
          <w:rFonts w:cs="Times New Roman"/>
          <w:lang w:val="fr-CA"/>
        </w:rPr>
        <w:t xml:space="preserve"> </w:t>
      </w:r>
      <w:r w:rsidRPr="00017532">
        <w:rPr>
          <w:rFonts w:cs="Times New Roman"/>
          <w:lang w:val="fr-CA"/>
        </w:rPr>
        <w:t>95(2)</w:t>
      </w:r>
      <w:r w:rsidRPr="00084013">
        <w:rPr>
          <w:rFonts w:cs="Times New Roman"/>
          <w:lang w:val="fr-CA"/>
        </w:rPr>
        <w:t>a</w:t>
      </w:r>
      <w:r w:rsidRPr="00017532">
        <w:rPr>
          <w:rFonts w:cs="Times New Roman"/>
          <w:lang w:val="fr-CA"/>
        </w:rPr>
        <w:t>)(i) et (ii) contreviennent</w:t>
      </w:r>
      <w:r w:rsidR="00B029AB">
        <w:rPr>
          <w:rFonts w:cs="Times New Roman"/>
          <w:lang w:val="fr-CA"/>
        </w:rPr>
        <w:t>-</w:t>
      </w:r>
      <w:r w:rsidRPr="00017532">
        <w:rPr>
          <w:rFonts w:cs="Times New Roman"/>
          <w:lang w:val="fr-CA"/>
        </w:rPr>
        <w:t>elles à l</w:t>
      </w:r>
      <w:r>
        <w:rPr>
          <w:rFonts w:cs="Times New Roman"/>
          <w:lang w:val="fr-CA"/>
        </w:rPr>
        <w:t>’</w:t>
      </w:r>
      <w:r w:rsidRPr="00017532">
        <w:rPr>
          <w:rFonts w:cs="Times New Roman"/>
          <w:lang w:val="fr-CA"/>
        </w:rPr>
        <w:t>art</w:t>
      </w:r>
      <w:r w:rsidR="00084013">
        <w:rPr>
          <w:rFonts w:cs="Times New Roman"/>
          <w:lang w:val="fr-CA"/>
        </w:rPr>
        <w:t>.</w:t>
      </w:r>
      <w:r w:rsidR="00B029AB">
        <w:rPr>
          <w:rFonts w:cs="Times New Roman"/>
          <w:lang w:val="fr-CA"/>
        </w:rPr>
        <w:t xml:space="preserve"> </w:t>
      </w:r>
      <w:r w:rsidRPr="00017532">
        <w:rPr>
          <w:rFonts w:cs="Times New Roman"/>
          <w:lang w:val="fr-CA"/>
        </w:rPr>
        <w:t xml:space="preserve">12 de la Charte? </w:t>
      </w:r>
    </w:p>
    <w:p w:rsidR="002A4851" w:rsidRPr="00017532" w:rsidRDefault="002A4851" w:rsidP="00A659A4">
      <w:pPr>
        <w:pStyle w:val="Title3LevelTitre3Niveau"/>
        <w:ind w:left="1156" w:hanging="578"/>
        <w:jc w:val="both"/>
        <w:rPr>
          <w:rFonts w:cs="Times New Roman"/>
          <w:lang w:val="fr-CA"/>
        </w:rPr>
      </w:pPr>
      <w:r w:rsidRPr="00017532">
        <w:rPr>
          <w:rFonts w:cs="Times New Roman"/>
          <w:lang w:val="fr-CA"/>
        </w:rPr>
        <w:t>Le critère permettant de déterminer s</w:t>
      </w:r>
      <w:r>
        <w:rPr>
          <w:rFonts w:cs="Times New Roman"/>
          <w:lang w:val="fr-CA"/>
        </w:rPr>
        <w:t>’</w:t>
      </w:r>
      <w:r w:rsidRPr="00017532">
        <w:rPr>
          <w:rFonts w:cs="Times New Roman"/>
          <w:lang w:val="fr-CA"/>
        </w:rPr>
        <w:t>il y a violation ou non de l</w:t>
      </w:r>
      <w:r>
        <w:rPr>
          <w:rFonts w:cs="Times New Roman"/>
          <w:lang w:val="fr-CA"/>
        </w:rPr>
        <w:t>’</w:t>
      </w:r>
      <w:r w:rsidR="0063035F">
        <w:rPr>
          <w:rFonts w:cs="Times New Roman"/>
          <w:lang w:val="fr-CA"/>
        </w:rPr>
        <w:t>art.</w:t>
      </w:r>
      <w:r w:rsidR="00B029AB">
        <w:rPr>
          <w:rFonts w:cs="Times New Roman"/>
          <w:lang w:val="fr-CA"/>
        </w:rPr>
        <w:t xml:space="preserve"> </w:t>
      </w:r>
      <w:r w:rsidRPr="00017532">
        <w:rPr>
          <w:rFonts w:cs="Times New Roman"/>
          <w:lang w:val="fr-CA"/>
        </w:rPr>
        <w:t>12</w:t>
      </w:r>
    </w:p>
    <w:p w:rsidR="002A4851" w:rsidRPr="00017532" w:rsidRDefault="002A4851" w:rsidP="00A659A4">
      <w:pPr>
        <w:pStyle w:val="ParaNoNdepar-AltN"/>
        <w:rPr>
          <w:rFonts w:cs="Times New Roman"/>
          <w:lang w:val="fr-CA"/>
        </w:rPr>
      </w:pPr>
      <w:r w:rsidRPr="00017532">
        <w:rPr>
          <w:rFonts w:cs="Times New Roman"/>
          <w:lang w:val="fr-CA"/>
        </w:rPr>
        <w:t>L</w:t>
      </w:r>
      <w:r>
        <w:rPr>
          <w:rFonts w:cs="Times New Roman"/>
          <w:lang w:val="fr-CA"/>
        </w:rPr>
        <w:t>’</w:t>
      </w:r>
      <w:r w:rsidRPr="00017532">
        <w:rPr>
          <w:rFonts w:cs="Times New Roman"/>
          <w:lang w:val="fr-CA"/>
        </w:rPr>
        <w:t>article</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xml:space="preserve"> énonce que chacun a droit à la protection contre toutes peines cruelles et inusitées. La question à trancher est celle de savoir si les peines minimales obligatoires prévues au par.</w:t>
      </w:r>
      <w:r w:rsidR="00B029AB">
        <w:rPr>
          <w:rFonts w:cs="Times New Roman"/>
          <w:lang w:val="fr-CA"/>
        </w:rPr>
        <w:t xml:space="preserve"> </w:t>
      </w:r>
      <w:r w:rsidRPr="00017532">
        <w:rPr>
          <w:rFonts w:cs="Times New Roman"/>
          <w:lang w:val="fr-CA"/>
        </w:rPr>
        <w:t>95(2) portent atteinte à cette garantie. Les intimés soutiennent que c</w:t>
      </w:r>
      <w:r>
        <w:rPr>
          <w:rFonts w:cs="Times New Roman"/>
          <w:lang w:val="fr-CA"/>
        </w:rPr>
        <w:t>’</w:t>
      </w:r>
      <w:r w:rsidRPr="00017532">
        <w:rPr>
          <w:rFonts w:cs="Times New Roman"/>
          <w:lang w:val="fr-CA"/>
        </w:rPr>
        <w:t>est le cas parce que la disposition s</w:t>
      </w:r>
      <w:r>
        <w:rPr>
          <w:rFonts w:cs="Times New Roman"/>
          <w:lang w:val="fr-CA"/>
        </w:rPr>
        <w:t>’</w:t>
      </w:r>
      <w:r w:rsidRPr="00017532">
        <w:rPr>
          <w:rFonts w:cs="Times New Roman"/>
          <w:lang w:val="fr-CA"/>
        </w:rPr>
        <w:t>applique à des actes qui ne constituent pas de véritables actes criminels, par exemple les infractions réglementaires. La procureure générale de l</w:t>
      </w:r>
      <w:r>
        <w:rPr>
          <w:rFonts w:cs="Times New Roman"/>
          <w:lang w:val="fr-CA"/>
        </w:rPr>
        <w:t>’</w:t>
      </w:r>
      <w:r w:rsidRPr="00017532">
        <w:rPr>
          <w:rFonts w:cs="Times New Roman"/>
          <w:lang w:val="fr-CA"/>
        </w:rPr>
        <w:t>Ontario rétorque que cet exemple correspond à une situation hypothétique inadmissible, qu</w:t>
      </w:r>
      <w:r>
        <w:rPr>
          <w:rFonts w:cs="Times New Roman"/>
          <w:lang w:val="fr-CA"/>
        </w:rPr>
        <w:t>’</w:t>
      </w:r>
      <w:r w:rsidRPr="00017532">
        <w:rPr>
          <w:rFonts w:cs="Times New Roman"/>
          <w:lang w:val="fr-CA"/>
        </w:rPr>
        <w:t>il ne doit pas être pris en compte dans l</w:t>
      </w:r>
      <w:r>
        <w:rPr>
          <w:rFonts w:cs="Times New Roman"/>
          <w:lang w:val="fr-CA"/>
        </w:rPr>
        <w:t>’</w:t>
      </w:r>
      <w:r w:rsidRPr="00017532">
        <w:rPr>
          <w:rFonts w:cs="Times New Roman"/>
          <w:lang w:val="fr-CA"/>
        </w:rPr>
        <w:t>analyse constitutionnelle et que, de toute manière, le ministère public optera pour la procédure sommaire dans le cas d</w:t>
      </w:r>
      <w:r>
        <w:rPr>
          <w:rFonts w:cs="Times New Roman"/>
          <w:lang w:val="fr-CA"/>
        </w:rPr>
        <w:t>’</w:t>
      </w:r>
      <w:r w:rsidRPr="00017532">
        <w:rPr>
          <w:rFonts w:cs="Times New Roman"/>
          <w:lang w:val="fr-CA"/>
        </w:rPr>
        <w:t>une infraction comportant une culpabilité moindre, ce qui écartera l</w:t>
      </w:r>
      <w:r>
        <w:rPr>
          <w:rFonts w:cs="Times New Roman"/>
          <w:lang w:val="fr-CA"/>
        </w:rPr>
        <w:t>’</w:t>
      </w:r>
      <w:r w:rsidRPr="00017532">
        <w:rPr>
          <w:rFonts w:cs="Times New Roman"/>
          <w:lang w:val="fr-CA"/>
        </w:rPr>
        <w:t>application des peines minimales obligatoires.</w:t>
      </w:r>
    </w:p>
    <w:p w:rsidR="002A4851" w:rsidRPr="00017532" w:rsidRDefault="002A4851" w:rsidP="00A659A4">
      <w:pPr>
        <w:pStyle w:val="ParaNoNdepar-AltN"/>
        <w:rPr>
          <w:rFonts w:cs="Times New Roman"/>
          <w:lang w:val="fr-CA"/>
        </w:rPr>
      </w:pPr>
      <w:r w:rsidRPr="00017532">
        <w:rPr>
          <w:rFonts w:cs="Times New Roman"/>
          <w:lang w:val="fr-CA"/>
        </w:rPr>
        <w:lastRenderedPageBreak/>
        <w:t>La Cour place la barre haute lorsqu</w:t>
      </w:r>
      <w:r>
        <w:rPr>
          <w:rFonts w:cs="Times New Roman"/>
          <w:lang w:val="fr-CA"/>
        </w:rPr>
        <w:t>’</w:t>
      </w:r>
      <w:r w:rsidRPr="00017532">
        <w:rPr>
          <w:rFonts w:cs="Times New Roman"/>
          <w:lang w:val="fr-CA"/>
        </w:rPr>
        <w:t>il s</w:t>
      </w:r>
      <w:r>
        <w:rPr>
          <w:rFonts w:cs="Times New Roman"/>
          <w:lang w:val="fr-CA"/>
        </w:rPr>
        <w:t>’</w:t>
      </w:r>
      <w:r w:rsidRPr="00017532">
        <w:rPr>
          <w:rFonts w:cs="Times New Roman"/>
          <w:lang w:val="fr-CA"/>
        </w:rPr>
        <w:t xml:space="preserve">agit de tenir une peine pour </w:t>
      </w:r>
      <w:r w:rsidR="00B029AB">
        <w:rPr>
          <w:rFonts w:cs="Times New Roman"/>
          <w:lang w:val="fr-CA"/>
        </w:rPr>
        <w:t>« </w:t>
      </w:r>
      <w:r w:rsidRPr="00017532">
        <w:rPr>
          <w:rFonts w:cs="Times New Roman"/>
          <w:lang w:val="fr-CA"/>
        </w:rPr>
        <w:t>cruel[le] et inusité[e]</w:t>
      </w:r>
      <w:r w:rsidR="00B029AB">
        <w:rPr>
          <w:rFonts w:cs="Times New Roman"/>
          <w:lang w:val="fr-CA"/>
        </w:rPr>
        <w:t> »</w:t>
      </w:r>
      <w:r w:rsidRPr="00017532">
        <w:rPr>
          <w:rFonts w:cs="Times New Roman"/>
          <w:lang w:val="fr-CA"/>
        </w:rPr>
        <w:t xml:space="preserve"> au sens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La peine doit en effet être totalement disproportionnée à celle qui convient eu égard à la nature de l</w:t>
      </w:r>
      <w:r>
        <w:rPr>
          <w:rFonts w:cs="Times New Roman"/>
          <w:lang w:val="fr-CA"/>
        </w:rPr>
        <w:t>’</w:t>
      </w:r>
      <w:r w:rsidRPr="00017532">
        <w:rPr>
          <w:rFonts w:cs="Times New Roman"/>
          <w:lang w:val="fr-CA"/>
        </w:rPr>
        <w:t>infraction et à la situation du délinquant (</w:t>
      </w:r>
      <w:r w:rsidRPr="00017532">
        <w:rPr>
          <w:rFonts w:cs="Times New Roman"/>
          <w:i/>
          <w:lang w:val="fr-CA"/>
        </w:rPr>
        <w:t>R. c. Smith</w:t>
      </w:r>
      <w:r w:rsidRPr="00017532">
        <w:rPr>
          <w:rFonts w:cs="Times New Roman"/>
          <w:lang w:val="fr-CA"/>
        </w:rPr>
        <w:t>, [1987] 1 R.C.S. 1045, p.</w:t>
      </w:r>
      <w:r w:rsidR="00B029AB">
        <w:rPr>
          <w:rFonts w:cs="Times New Roman"/>
          <w:lang w:val="fr-CA"/>
        </w:rPr>
        <w:t xml:space="preserve"> </w:t>
      </w:r>
      <w:r w:rsidRPr="00017532">
        <w:rPr>
          <w:rFonts w:cs="Times New Roman"/>
          <w:lang w:val="fr-CA"/>
        </w:rPr>
        <w:t>1</w:t>
      </w:r>
      <w:r w:rsidR="00A24434">
        <w:rPr>
          <w:rFonts w:cs="Times New Roman"/>
          <w:lang w:val="fr-CA"/>
        </w:rPr>
        <w:t>073). Le juge Lamer (plus tard J</w:t>
      </w:r>
      <w:r w:rsidRPr="00017532">
        <w:rPr>
          <w:rFonts w:cs="Times New Roman"/>
          <w:lang w:val="fr-CA"/>
        </w:rPr>
        <w:t>uge en chef) explique à la p.</w:t>
      </w:r>
      <w:r w:rsidR="00B029AB">
        <w:rPr>
          <w:rFonts w:cs="Times New Roman"/>
          <w:lang w:val="fr-CA"/>
        </w:rPr>
        <w:t xml:space="preserve"> </w:t>
      </w:r>
      <w:r w:rsidRPr="00017532">
        <w:rPr>
          <w:rFonts w:cs="Times New Roman"/>
          <w:lang w:val="fr-CA"/>
        </w:rPr>
        <w:t xml:space="preserve">1072 que le critère de la disproportion [totale] </w:t>
      </w:r>
      <w:r w:rsidR="00B029AB">
        <w:rPr>
          <w:rFonts w:cs="Times New Roman"/>
          <w:lang w:val="fr-CA"/>
        </w:rPr>
        <w:t>« </w:t>
      </w:r>
      <w:r w:rsidRPr="00017532">
        <w:rPr>
          <w:rFonts w:cs="Times New Roman"/>
          <w:lang w:val="fr-CA"/>
        </w:rPr>
        <w:t>vise les peines qui sont plus que simplement excessives</w:t>
      </w:r>
      <w:r w:rsidR="00B029AB">
        <w:rPr>
          <w:rFonts w:cs="Times New Roman"/>
          <w:lang w:val="fr-CA"/>
        </w:rPr>
        <w:t> »</w:t>
      </w:r>
      <w:r w:rsidRPr="00017532">
        <w:rPr>
          <w:rFonts w:cs="Times New Roman"/>
          <w:lang w:val="fr-CA"/>
        </w:rPr>
        <w:t>. Il ajoute</w:t>
      </w:r>
      <w:r w:rsidR="00B029AB">
        <w:rPr>
          <w:rFonts w:cs="Times New Roman"/>
          <w:lang w:val="fr-CA"/>
        </w:rPr>
        <w:t> :</w:t>
      </w:r>
      <w:r w:rsidRPr="00017532">
        <w:rPr>
          <w:rFonts w:cs="Times New Roman"/>
          <w:lang w:val="fr-CA"/>
        </w:rPr>
        <w:t xml:space="preserve"> </w:t>
      </w:r>
      <w:r w:rsidR="00B029AB">
        <w:rPr>
          <w:rFonts w:cs="Times New Roman"/>
          <w:lang w:val="fr-CA"/>
        </w:rPr>
        <w:t>« </w:t>
      </w:r>
      <w:r w:rsidRPr="00017532">
        <w:rPr>
          <w:rFonts w:cs="Times New Roman"/>
          <w:lang w:val="fr-CA"/>
        </w:rPr>
        <w:t xml:space="preserve">Il faut éviter de considérer que toute peine disproportionnée ou excessive est contraire à la Constitution </w:t>
      </w:r>
      <w:r w:rsidR="00B029AB">
        <w:rPr>
          <w:rFonts w:cs="Times New Roman"/>
          <w:lang w:val="fr-CA"/>
        </w:rPr>
        <w:t>. . .</w:t>
      </w:r>
      <w:r w:rsidR="00084013">
        <w:rPr>
          <w:rFonts w:cs="Times New Roman"/>
          <w:lang w:val="fr-CA"/>
        </w:rPr>
        <w:t xml:space="preserve"> </w:t>
      </w:r>
      <w:r w:rsidRPr="00017532">
        <w:rPr>
          <w:rFonts w:cs="Times New Roman"/>
          <w:lang w:val="fr-CA"/>
        </w:rPr>
        <w:t xml:space="preserve">» Une peine prescrite peut être totalement disproportionnée dans le cas du délinquant en cause ou peut avoir sur une autre personne un effet totalement disproportionné, la disposition étant dès lors inconstitutionnelle. </w:t>
      </w:r>
    </w:p>
    <w:p w:rsidR="002A4851" w:rsidRPr="00017532" w:rsidRDefault="002A4851" w:rsidP="00A659A4">
      <w:pPr>
        <w:pStyle w:val="ParaNoNdepar-AltN"/>
        <w:rPr>
          <w:rFonts w:cs="Times New Roman"/>
          <w:lang w:val="fr-CA"/>
        </w:rPr>
      </w:pPr>
      <w:r w:rsidRPr="00017532">
        <w:rPr>
          <w:rFonts w:cs="Times New Roman"/>
          <w:lang w:val="fr-CA"/>
        </w:rPr>
        <w:t>Pour déterminer la peine appropriée aux fins de la comparaison qui s</w:t>
      </w:r>
      <w:r>
        <w:rPr>
          <w:rFonts w:cs="Times New Roman"/>
          <w:lang w:val="fr-CA"/>
        </w:rPr>
        <w:t>’</w:t>
      </w:r>
      <w:r w:rsidRPr="00017532">
        <w:rPr>
          <w:rFonts w:cs="Times New Roman"/>
          <w:lang w:val="fr-CA"/>
        </w:rPr>
        <w:t>impose dès lors, il faut tenir compte des objectifs de détermination de la peine énoncés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718 du </w:t>
      </w:r>
      <w:r w:rsidRPr="00017532">
        <w:rPr>
          <w:rFonts w:cs="Times New Roman"/>
          <w:i/>
          <w:lang w:val="fr-CA"/>
        </w:rPr>
        <w:t>Code criminel</w:t>
      </w:r>
      <w:r w:rsidRPr="00084013">
        <w:rPr>
          <w:rFonts w:cs="Times New Roman"/>
          <w:lang w:val="fr-CA"/>
        </w:rPr>
        <w:t>,</w:t>
      </w:r>
      <w:r w:rsidRPr="00017532">
        <w:rPr>
          <w:rFonts w:cs="Times New Roman"/>
          <w:lang w:val="fr-CA"/>
        </w:rPr>
        <w:t xml:space="preserve"> qui précise ce qui suit à l</w:t>
      </w:r>
      <w:r>
        <w:rPr>
          <w:rFonts w:cs="Times New Roman"/>
          <w:lang w:val="fr-CA"/>
        </w:rPr>
        <w:t>’</w:t>
      </w:r>
      <w:r w:rsidRPr="00017532">
        <w:rPr>
          <w:rFonts w:cs="Times New Roman"/>
          <w:lang w:val="fr-CA"/>
        </w:rPr>
        <w:t>intention du tribunal appelé à déterminer la peine</w:t>
      </w:r>
      <w:r w:rsidR="00B029AB">
        <w:rPr>
          <w:rFonts w:cs="Times New Roman"/>
          <w:lang w:val="fr-CA"/>
        </w:rPr>
        <w:t> :</w:t>
      </w:r>
      <w:r w:rsidRPr="00017532">
        <w:rPr>
          <w:rFonts w:cs="Times New Roman"/>
          <w:lang w:val="fr-CA"/>
        </w:rPr>
        <w:t xml:space="preserve">  </w:t>
      </w:r>
    </w:p>
    <w:p w:rsidR="002A4851" w:rsidRPr="00017532" w:rsidRDefault="002A4851" w:rsidP="00A659A4">
      <w:pPr>
        <w:pStyle w:val="Citation-AltC"/>
        <w:tabs>
          <w:tab w:val="left" w:pos="1530"/>
        </w:tabs>
        <w:spacing w:after="240"/>
        <w:ind w:left="1168" w:hanging="1168"/>
        <w:contextualSpacing w:val="0"/>
        <w:rPr>
          <w:lang w:val="fr-CA"/>
        </w:rPr>
      </w:pPr>
      <w:r w:rsidRPr="00017532">
        <w:rPr>
          <w:rStyle w:val="sectionlabel"/>
          <w:lang w:val="fr-CA"/>
        </w:rPr>
        <w:tab/>
      </w:r>
      <w:r w:rsidR="00084013">
        <w:rPr>
          <w:rStyle w:val="sectionlabel"/>
          <w:b w:val="0"/>
          <w:lang w:val="fr-CA"/>
        </w:rPr>
        <w:tab/>
      </w:r>
      <w:r w:rsidRPr="00017532">
        <w:rPr>
          <w:rStyle w:val="sectionlabel"/>
          <w:lang w:val="fr-CA"/>
        </w:rPr>
        <w:t>718.</w:t>
      </w:r>
      <w:r w:rsidR="00B029AB">
        <w:rPr>
          <w:lang w:val="fr-CA"/>
        </w:rPr>
        <w:t xml:space="preserve"> </w:t>
      </w:r>
      <w:r w:rsidRPr="00017532">
        <w:rPr>
          <w:lang w:val="fr-CA"/>
        </w:rPr>
        <w:t>Le prononcé des peines a pour objectif essentiel de contribuer, parallèlement à d</w:t>
      </w:r>
      <w:r>
        <w:rPr>
          <w:lang w:val="fr-CA"/>
        </w:rPr>
        <w:t>’</w:t>
      </w:r>
      <w:r w:rsidRPr="00017532">
        <w:rPr>
          <w:lang w:val="fr-CA"/>
        </w:rPr>
        <w:t>autres initiatives de prévention du crime, au respect de la loi et au maintien d</w:t>
      </w:r>
      <w:r>
        <w:rPr>
          <w:lang w:val="fr-CA"/>
        </w:rPr>
        <w:t>’</w:t>
      </w:r>
      <w:r w:rsidRPr="00017532">
        <w:rPr>
          <w:lang w:val="fr-CA"/>
        </w:rPr>
        <w:t>une société juste, paisible et sûre par l</w:t>
      </w:r>
      <w:r>
        <w:rPr>
          <w:lang w:val="fr-CA"/>
        </w:rPr>
        <w:t>’</w:t>
      </w:r>
      <w:r w:rsidRPr="00017532">
        <w:rPr>
          <w:lang w:val="fr-CA"/>
        </w:rPr>
        <w:t>infliction de sanctions justes visant un ou plusieurs des objectifs suivants</w:t>
      </w:r>
      <w:r w:rsidR="00B029AB">
        <w:rPr>
          <w:lang w:val="fr-CA"/>
        </w:rPr>
        <w:t> :</w:t>
      </w:r>
    </w:p>
    <w:p w:rsidR="002A4851" w:rsidRPr="00017532" w:rsidRDefault="002A4851" w:rsidP="00A659A4">
      <w:pPr>
        <w:pStyle w:val="Citation-AltC"/>
        <w:spacing w:line="480" w:lineRule="auto"/>
        <w:ind w:left="1530"/>
        <w:rPr>
          <w:lang w:val="fr-CA"/>
        </w:rPr>
      </w:pPr>
      <w:r w:rsidRPr="00017532">
        <w:rPr>
          <w:rStyle w:val="Emphasis"/>
          <w:lang w:val="fr-CA"/>
        </w:rPr>
        <w:t>a</w:t>
      </w:r>
      <w:r w:rsidRPr="00017532">
        <w:rPr>
          <w:lang w:val="fr-CA"/>
        </w:rPr>
        <w:t>)</w:t>
      </w:r>
      <w:r w:rsidR="00B029AB">
        <w:rPr>
          <w:lang w:val="fr-CA"/>
        </w:rPr>
        <w:t xml:space="preserve"> </w:t>
      </w:r>
      <w:r w:rsidRPr="00017532">
        <w:rPr>
          <w:lang w:val="fr-CA"/>
        </w:rPr>
        <w:t>dénoncer le comportement illégal;</w:t>
      </w:r>
    </w:p>
    <w:p w:rsidR="002A4851" w:rsidRPr="00017532" w:rsidRDefault="002A4851" w:rsidP="00A659A4">
      <w:pPr>
        <w:pStyle w:val="Citation-AltC"/>
        <w:tabs>
          <w:tab w:val="left" w:pos="1530"/>
        </w:tabs>
        <w:spacing w:after="240"/>
        <w:ind w:left="1530"/>
        <w:contextualSpacing w:val="0"/>
        <w:rPr>
          <w:lang w:val="fr-CA"/>
        </w:rPr>
      </w:pPr>
      <w:r w:rsidRPr="00017532">
        <w:rPr>
          <w:rStyle w:val="Emphasis"/>
          <w:lang w:val="fr-CA"/>
        </w:rPr>
        <w:t>b</w:t>
      </w:r>
      <w:r w:rsidRPr="00017532">
        <w:rPr>
          <w:lang w:val="fr-CA"/>
        </w:rPr>
        <w:t>)</w:t>
      </w:r>
      <w:r w:rsidR="00B029AB">
        <w:rPr>
          <w:lang w:val="fr-CA"/>
        </w:rPr>
        <w:t xml:space="preserve"> </w:t>
      </w:r>
      <w:r w:rsidRPr="00017532">
        <w:rPr>
          <w:lang w:val="fr-CA"/>
        </w:rPr>
        <w:t>dissuader les délinquants, et quiconque, de commettre des infractions;</w:t>
      </w:r>
    </w:p>
    <w:p w:rsidR="002A4851" w:rsidRPr="00017532" w:rsidRDefault="002A4851" w:rsidP="00A659A4">
      <w:pPr>
        <w:pStyle w:val="Citation-AltC"/>
        <w:tabs>
          <w:tab w:val="left" w:pos="1530"/>
        </w:tabs>
        <w:spacing w:after="240"/>
        <w:ind w:left="1530"/>
        <w:contextualSpacing w:val="0"/>
        <w:rPr>
          <w:lang w:val="fr-CA"/>
        </w:rPr>
      </w:pPr>
      <w:r w:rsidRPr="00017532">
        <w:rPr>
          <w:rStyle w:val="Emphasis"/>
          <w:lang w:val="fr-CA"/>
        </w:rPr>
        <w:t>c</w:t>
      </w:r>
      <w:r w:rsidRPr="00017532">
        <w:rPr>
          <w:lang w:val="fr-CA"/>
        </w:rPr>
        <w:t>)</w:t>
      </w:r>
      <w:r w:rsidR="00B029AB">
        <w:rPr>
          <w:lang w:val="fr-CA"/>
        </w:rPr>
        <w:t xml:space="preserve"> </w:t>
      </w:r>
      <w:r w:rsidRPr="00017532">
        <w:rPr>
          <w:lang w:val="fr-CA"/>
        </w:rPr>
        <w:t>isoler, au besoin, les délinquants du reste de la société;</w:t>
      </w:r>
    </w:p>
    <w:p w:rsidR="002A4851" w:rsidRPr="00017532" w:rsidRDefault="002A4851" w:rsidP="00A659A4">
      <w:pPr>
        <w:pStyle w:val="Citation-AltC"/>
        <w:tabs>
          <w:tab w:val="left" w:pos="1530"/>
        </w:tabs>
        <w:spacing w:after="240"/>
        <w:ind w:left="1530"/>
        <w:contextualSpacing w:val="0"/>
        <w:rPr>
          <w:lang w:val="fr-CA"/>
        </w:rPr>
      </w:pPr>
      <w:r w:rsidRPr="00017532">
        <w:rPr>
          <w:rStyle w:val="Emphasis"/>
          <w:lang w:val="fr-CA"/>
        </w:rPr>
        <w:t>d</w:t>
      </w:r>
      <w:r w:rsidRPr="00017532">
        <w:rPr>
          <w:lang w:val="fr-CA"/>
        </w:rPr>
        <w:t>)</w:t>
      </w:r>
      <w:r w:rsidR="00B029AB">
        <w:rPr>
          <w:lang w:val="fr-CA"/>
        </w:rPr>
        <w:t xml:space="preserve"> </w:t>
      </w:r>
      <w:r w:rsidRPr="00017532">
        <w:rPr>
          <w:lang w:val="fr-CA"/>
        </w:rPr>
        <w:t>favoriser la réinsertion sociale des délinquants;</w:t>
      </w:r>
    </w:p>
    <w:p w:rsidR="002A4851" w:rsidRPr="00017532" w:rsidRDefault="002A4851" w:rsidP="00A659A4">
      <w:pPr>
        <w:pStyle w:val="Citation-AltC"/>
        <w:tabs>
          <w:tab w:val="left" w:pos="1530"/>
        </w:tabs>
        <w:spacing w:after="240"/>
        <w:ind w:left="1530"/>
        <w:contextualSpacing w:val="0"/>
        <w:rPr>
          <w:lang w:val="fr-CA"/>
        </w:rPr>
      </w:pPr>
      <w:r w:rsidRPr="00017532">
        <w:rPr>
          <w:rStyle w:val="Emphasis"/>
          <w:lang w:val="fr-CA"/>
        </w:rPr>
        <w:lastRenderedPageBreak/>
        <w:t>e</w:t>
      </w:r>
      <w:r w:rsidRPr="00017532">
        <w:rPr>
          <w:lang w:val="fr-CA"/>
        </w:rPr>
        <w:t>)</w:t>
      </w:r>
      <w:r w:rsidR="00B029AB">
        <w:rPr>
          <w:lang w:val="fr-CA"/>
        </w:rPr>
        <w:t xml:space="preserve"> </w:t>
      </w:r>
      <w:r w:rsidRPr="00017532">
        <w:rPr>
          <w:lang w:val="fr-CA"/>
        </w:rPr>
        <w:t>assurer la réparation des torts causés aux victimes ou à la collectivité;</w:t>
      </w:r>
    </w:p>
    <w:p w:rsidR="002A4851" w:rsidRPr="00017532" w:rsidRDefault="002A4851" w:rsidP="00A659A4">
      <w:pPr>
        <w:pStyle w:val="Citation-AltC"/>
        <w:tabs>
          <w:tab w:val="left" w:pos="1530"/>
        </w:tabs>
        <w:spacing w:after="240"/>
        <w:ind w:left="1530"/>
        <w:contextualSpacing w:val="0"/>
        <w:rPr>
          <w:lang w:val="fr-CA"/>
        </w:rPr>
      </w:pPr>
      <w:r w:rsidRPr="00017532">
        <w:rPr>
          <w:rStyle w:val="Emphasis"/>
          <w:lang w:val="fr-CA"/>
        </w:rPr>
        <w:t>f</w:t>
      </w:r>
      <w:r w:rsidRPr="00017532">
        <w:rPr>
          <w:lang w:val="fr-CA"/>
        </w:rPr>
        <w:t>)</w:t>
      </w:r>
      <w:r w:rsidR="00B029AB">
        <w:rPr>
          <w:lang w:val="fr-CA"/>
        </w:rPr>
        <w:t xml:space="preserve"> </w:t>
      </w:r>
      <w:r w:rsidRPr="00017532">
        <w:rPr>
          <w:lang w:val="fr-CA"/>
        </w:rPr>
        <w:t>susciter la conscience de leurs responsabilités chez les délinquants, notamment par la reconnaissance du tort qu</w:t>
      </w:r>
      <w:r>
        <w:rPr>
          <w:lang w:val="fr-CA"/>
        </w:rPr>
        <w:t>’</w:t>
      </w:r>
      <w:r w:rsidRPr="00017532">
        <w:rPr>
          <w:lang w:val="fr-CA"/>
        </w:rPr>
        <w:t>ils ont causé aux victimes et à la collectivité.</w:t>
      </w:r>
    </w:p>
    <w:p w:rsidR="002A4851" w:rsidRPr="00017532" w:rsidRDefault="002A4851" w:rsidP="00A659A4">
      <w:pPr>
        <w:pStyle w:val="ParaNoNdepar-AltN"/>
        <w:rPr>
          <w:rFonts w:cs="Times New Roman"/>
          <w:lang w:val="fr-CA"/>
        </w:rPr>
      </w:pPr>
      <w:r w:rsidRPr="00017532">
        <w:rPr>
          <w:rFonts w:cs="Times New Roman"/>
          <w:lang w:val="fr-CA"/>
        </w:rPr>
        <w:t>Le juge qui détermine la peine doit également tenir compte des circonstances aggravantes et atténuantes, y compris celles énumérées aux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718.2</w:t>
      </w:r>
      <w:r w:rsidRPr="00017532">
        <w:rPr>
          <w:rFonts w:cs="Times New Roman"/>
          <w:i/>
          <w:lang w:val="fr-CA"/>
        </w:rPr>
        <w:t>a</w:t>
      </w:r>
      <w:r w:rsidRPr="00017532">
        <w:rPr>
          <w:rFonts w:cs="Times New Roman"/>
          <w:lang w:val="fr-CA"/>
        </w:rPr>
        <w:t>)(i) à (iv), du principe de l</w:t>
      </w:r>
      <w:r>
        <w:rPr>
          <w:rFonts w:cs="Times New Roman"/>
          <w:lang w:val="fr-CA"/>
        </w:rPr>
        <w:t>’</w:t>
      </w:r>
      <w:r w:rsidRPr="00017532">
        <w:rPr>
          <w:rFonts w:cs="Times New Roman"/>
          <w:lang w:val="fr-CA"/>
        </w:rPr>
        <w:t>infliction de peines semblables à celles infligées à des délinquants pour des infractions semblables commises dans des circonstances semblables (al.</w:t>
      </w:r>
      <w:r w:rsidR="00B029AB">
        <w:rPr>
          <w:rFonts w:cs="Times New Roman"/>
          <w:lang w:val="fr-CA"/>
        </w:rPr>
        <w:t xml:space="preserve"> </w:t>
      </w:r>
      <w:r w:rsidRPr="00017532">
        <w:rPr>
          <w:rFonts w:cs="Times New Roman"/>
          <w:lang w:val="fr-CA"/>
        </w:rPr>
        <w:t>718.2</w:t>
      </w:r>
      <w:r w:rsidRPr="00017532">
        <w:rPr>
          <w:rFonts w:cs="Times New Roman"/>
          <w:i/>
          <w:lang w:val="fr-CA"/>
        </w:rPr>
        <w:t>b</w:t>
      </w:r>
      <w:r w:rsidRPr="00017532">
        <w:rPr>
          <w:rFonts w:cs="Times New Roman"/>
          <w:lang w:val="fr-CA"/>
        </w:rPr>
        <w:t>)</w:t>
      </w:r>
      <w:r w:rsidR="00A24434">
        <w:rPr>
          <w:rFonts w:cs="Times New Roman"/>
          <w:lang w:val="fr-CA"/>
        </w:rPr>
        <w:t>)</w:t>
      </w:r>
      <w:r w:rsidRPr="00017532">
        <w:rPr>
          <w:rFonts w:cs="Times New Roman"/>
          <w:lang w:val="fr-CA"/>
        </w:rPr>
        <w:t>, de l</w:t>
      </w:r>
      <w:r>
        <w:rPr>
          <w:rFonts w:cs="Times New Roman"/>
          <w:lang w:val="fr-CA"/>
        </w:rPr>
        <w:t>’</w:t>
      </w:r>
      <w:r w:rsidRPr="00017532">
        <w:rPr>
          <w:rFonts w:cs="Times New Roman"/>
          <w:lang w:val="fr-CA"/>
        </w:rPr>
        <w:t>obligation d</w:t>
      </w:r>
      <w:r>
        <w:rPr>
          <w:rFonts w:cs="Times New Roman"/>
          <w:lang w:val="fr-CA"/>
        </w:rPr>
        <w:t>’</w:t>
      </w:r>
      <w:r w:rsidRPr="00017532">
        <w:rPr>
          <w:rFonts w:cs="Times New Roman"/>
          <w:lang w:val="fr-CA"/>
        </w:rPr>
        <w:t>éviter l</w:t>
      </w:r>
      <w:r>
        <w:rPr>
          <w:rFonts w:cs="Times New Roman"/>
          <w:lang w:val="fr-CA"/>
        </w:rPr>
        <w:t>’</w:t>
      </w:r>
      <w:r w:rsidRPr="00017532">
        <w:rPr>
          <w:rFonts w:cs="Times New Roman"/>
          <w:lang w:val="fr-CA"/>
        </w:rPr>
        <w:t>excès de nature ou de durée dans l</w:t>
      </w:r>
      <w:r>
        <w:rPr>
          <w:rFonts w:cs="Times New Roman"/>
          <w:lang w:val="fr-CA"/>
        </w:rPr>
        <w:t>’</w:t>
      </w:r>
      <w:r w:rsidRPr="00017532">
        <w:rPr>
          <w:rFonts w:cs="Times New Roman"/>
          <w:lang w:val="fr-CA"/>
        </w:rPr>
        <w:t>infliction de peines consécutives (al.</w:t>
      </w:r>
      <w:r w:rsidR="00B029AB">
        <w:rPr>
          <w:rFonts w:cs="Times New Roman"/>
          <w:lang w:val="fr-CA"/>
        </w:rPr>
        <w:t xml:space="preserve"> </w:t>
      </w:r>
      <w:r w:rsidRPr="00017532">
        <w:rPr>
          <w:rFonts w:cs="Times New Roman"/>
          <w:lang w:val="fr-CA"/>
        </w:rPr>
        <w:t>718.</w:t>
      </w:r>
      <w:r w:rsidRPr="00A24434">
        <w:rPr>
          <w:rFonts w:cs="Times New Roman"/>
          <w:lang w:val="fr-CA"/>
        </w:rPr>
        <w:t>2</w:t>
      </w:r>
      <w:r w:rsidRPr="00017532">
        <w:rPr>
          <w:rFonts w:cs="Times New Roman"/>
          <w:i/>
          <w:lang w:val="fr-CA"/>
        </w:rPr>
        <w:t>c</w:t>
      </w:r>
      <w:r w:rsidRPr="00205E49">
        <w:rPr>
          <w:rFonts w:cs="Times New Roman"/>
          <w:lang w:val="fr-CA"/>
        </w:rPr>
        <w:t>)</w:t>
      </w:r>
      <w:r w:rsidRPr="00017532">
        <w:rPr>
          <w:rFonts w:cs="Times New Roman"/>
          <w:lang w:val="fr-CA"/>
        </w:rPr>
        <w:t>) et de l</w:t>
      </w:r>
      <w:r>
        <w:rPr>
          <w:rFonts w:cs="Times New Roman"/>
          <w:lang w:val="fr-CA"/>
        </w:rPr>
        <w:t>’</w:t>
      </w:r>
      <w:r w:rsidRPr="00017532">
        <w:rPr>
          <w:rFonts w:cs="Times New Roman"/>
          <w:lang w:val="fr-CA"/>
        </w:rPr>
        <w:t>obligation de faire preuve de retenue dans l</w:t>
      </w:r>
      <w:r>
        <w:rPr>
          <w:rFonts w:cs="Times New Roman"/>
          <w:lang w:val="fr-CA"/>
        </w:rPr>
        <w:t>’</w:t>
      </w:r>
      <w:r w:rsidRPr="00017532">
        <w:rPr>
          <w:rFonts w:cs="Times New Roman"/>
          <w:lang w:val="fr-CA"/>
        </w:rPr>
        <w:t>infliction d</w:t>
      </w:r>
      <w:r>
        <w:rPr>
          <w:rFonts w:cs="Times New Roman"/>
          <w:lang w:val="fr-CA"/>
        </w:rPr>
        <w:t>’</w:t>
      </w:r>
      <w:r w:rsidRPr="00017532">
        <w:rPr>
          <w:rFonts w:cs="Times New Roman"/>
          <w:lang w:val="fr-CA"/>
        </w:rPr>
        <w:t>une peine carcérale (al.</w:t>
      </w:r>
      <w:r w:rsidR="00B029AB">
        <w:rPr>
          <w:rFonts w:cs="Times New Roman"/>
          <w:lang w:val="fr-CA"/>
        </w:rPr>
        <w:t xml:space="preserve"> </w:t>
      </w:r>
      <w:r w:rsidRPr="00017532">
        <w:rPr>
          <w:rFonts w:cs="Times New Roman"/>
          <w:lang w:val="fr-CA"/>
        </w:rPr>
        <w:t>718.2</w:t>
      </w:r>
      <w:r w:rsidRPr="00017532">
        <w:rPr>
          <w:rFonts w:cs="Times New Roman"/>
          <w:i/>
          <w:lang w:val="fr-CA"/>
        </w:rPr>
        <w:t>d</w:t>
      </w:r>
      <w:r w:rsidRPr="00017532">
        <w:rPr>
          <w:rFonts w:cs="Times New Roman"/>
          <w:lang w:val="fr-CA"/>
        </w:rPr>
        <w:t xml:space="preserve">) et </w:t>
      </w:r>
      <w:r w:rsidRPr="00017532">
        <w:rPr>
          <w:rFonts w:cs="Times New Roman"/>
          <w:i/>
          <w:lang w:val="fr-CA"/>
        </w:rPr>
        <w:t>e</w:t>
      </w:r>
      <w:r w:rsidRPr="00017532">
        <w:rPr>
          <w:rFonts w:cs="Times New Roman"/>
          <w:lang w:val="fr-CA"/>
        </w:rPr>
        <w:t>))</w:t>
      </w:r>
      <w:r>
        <w:rPr>
          <w:rFonts w:cs="Times New Roman"/>
          <w:lang w:val="fr-CA"/>
        </w:rPr>
        <w:t xml:space="preserve">. </w:t>
      </w:r>
    </w:p>
    <w:p w:rsidR="002A4851" w:rsidRPr="00017532" w:rsidRDefault="002A4851" w:rsidP="00A659A4">
      <w:pPr>
        <w:pStyle w:val="ParaNoNdepar-AltN"/>
        <w:rPr>
          <w:rFonts w:cs="Times New Roman"/>
          <w:lang w:val="fr-CA"/>
        </w:rPr>
      </w:pPr>
      <w:r w:rsidRPr="00017532">
        <w:rPr>
          <w:rFonts w:cs="Times New Roman"/>
          <w:lang w:val="fr-CA"/>
        </w:rPr>
        <w:t>Pour concilier ces différents objectifs, le principe fondamental de la détermination de la peine suivant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718.1 du </w:t>
      </w:r>
      <w:r w:rsidRPr="00017532">
        <w:rPr>
          <w:rFonts w:cs="Times New Roman"/>
          <w:i/>
          <w:lang w:val="fr-CA"/>
        </w:rPr>
        <w:t>Code criminel</w:t>
      </w:r>
      <w:r w:rsidRPr="00017532">
        <w:rPr>
          <w:rFonts w:cs="Times New Roman"/>
          <w:lang w:val="fr-CA"/>
        </w:rPr>
        <w:t xml:space="preserve"> veut que </w:t>
      </w:r>
      <w:r w:rsidR="00B029AB">
        <w:rPr>
          <w:rFonts w:cs="Times New Roman"/>
          <w:lang w:val="fr-CA"/>
        </w:rPr>
        <w:t>« </w:t>
      </w:r>
      <w:r w:rsidRPr="00017532">
        <w:rPr>
          <w:rFonts w:cs="Times New Roman"/>
          <w:lang w:val="fr-CA"/>
        </w:rPr>
        <w:t>[l]a peine [soit] proportionnelle à la gravité de l</w:t>
      </w:r>
      <w:r>
        <w:rPr>
          <w:rFonts w:cs="Times New Roman"/>
          <w:lang w:val="fr-CA"/>
        </w:rPr>
        <w:t>’</w:t>
      </w:r>
      <w:r w:rsidRPr="00017532">
        <w:rPr>
          <w:rFonts w:cs="Times New Roman"/>
          <w:lang w:val="fr-CA"/>
        </w:rPr>
        <w:t>infraction et au degré de responsabilité du délinquant</w:t>
      </w:r>
      <w:r w:rsidR="00205E49">
        <w:rPr>
          <w:rFonts w:cs="Times New Roman"/>
          <w:lang w:val="fr-CA"/>
        </w:rPr>
        <w:t>.</w:t>
      </w:r>
      <w:r w:rsidR="00B029AB">
        <w:rPr>
          <w:rFonts w:cs="Times New Roman"/>
          <w:lang w:val="fr-CA"/>
        </w:rPr>
        <w:t> »</w:t>
      </w:r>
      <w:r w:rsidRPr="00017532">
        <w:rPr>
          <w:rFonts w:cs="Times New Roman"/>
          <w:lang w:val="fr-CA"/>
        </w:rPr>
        <w:t xml:space="preserve"> </w:t>
      </w:r>
    </w:p>
    <w:p w:rsidR="002A4851" w:rsidRPr="00017532" w:rsidRDefault="002A4851" w:rsidP="00A659A4">
      <w:pPr>
        <w:pStyle w:val="ParaNoNdepar-AltN"/>
        <w:rPr>
          <w:rFonts w:cs="Times New Roman"/>
          <w:lang w:val="fr-CA"/>
        </w:rPr>
      </w:pPr>
      <w:r w:rsidRPr="00017532">
        <w:rPr>
          <w:rFonts w:cs="Times New Roman"/>
          <w:lang w:val="fr-CA"/>
        </w:rPr>
        <w:t>Il n</w:t>
      </w:r>
      <w:r>
        <w:rPr>
          <w:rFonts w:cs="Times New Roman"/>
          <w:lang w:val="fr-CA"/>
        </w:rPr>
        <w:t>’</w:t>
      </w:r>
      <w:r w:rsidRPr="00017532">
        <w:rPr>
          <w:rFonts w:cs="Times New Roman"/>
          <w:lang w:val="fr-CA"/>
        </w:rPr>
        <w:t>est donc pas étonnant, au vu de toutes ces exigences, que l</w:t>
      </w:r>
      <w:r>
        <w:rPr>
          <w:rFonts w:cs="Times New Roman"/>
          <w:lang w:val="fr-CA"/>
        </w:rPr>
        <w:t>’</w:t>
      </w:r>
      <w:r w:rsidRPr="00017532">
        <w:rPr>
          <w:rFonts w:cs="Times New Roman"/>
          <w:lang w:val="fr-CA"/>
        </w:rPr>
        <w:t>entreprise qui consiste à imposer une peine proportionnelle fasse grandement appel à l</w:t>
      </w:r>
      <w:r>
        <w:rPr>
          <w:rFonts w:cs="Times New Roman"/>
          <w:lang w:val="fr-CA"/>
        </w:rPr>
        <w:t>’</w:t>
      </w:r>
      <w:r w:rsidRPr="00017532">
        <w:rPr>
          <w:rFonts w:cs="Times New Roman"/>
          <w:lang w:val="fr-CA"/>
        </w:rPr>
        <w:t>individualisation et prenne en compte la gravité de l</w:t>
      </w:r>
      <w:r>
        <w:rPr>
          <w:rFonts w:cs="Times New Roman"/>
          <w:lang w:val="fr-CA"/>
        </w:rPr>
        <w:t>’</w:t>
      </w:r>
      <w:r w:rsidRPr="00017532">
        <w:rPr>
          <w:rFonts w:cs="Times New Roman"/>
          <w:lang w:val="fr-CA"/>
        </w:rPr>
        <w:t>infraction, la culpabilité morale du délinquant et le préjudice causé par le crime (</w:t>
      </w:r>
      <w:r w:rsidRPr="00017532">
        <w:rPr>
          <w:rFonts w:cs="Times New Roman"/>
          <w:i/>
          <w:lang w:val="fr-CA"/>
        </w:rPr>
        <w:t>R. c. M</w:t>
      </w:r>
      <w:r w:rsidR="00205E49">
        <w:rPr>
          <w:rFonts w:cs="Times New Roman"/>
          <w:i/>
          <w:lang w:val="fr-CA"/>
        </w:rPr>
        <w:t>.</w:t>
      </w:r>
      <w:r w:rsidRPr="00017532">
        <w:rPr>
          <w:rFonts w:cs="Times New Roman"/>
          <w:i/>
          <w:lang w:val="fr-CA"/>
        </w:rPr>
        <w:t xml:space="preserve"> (C.A.)</w:t>
      </w:r>
      <w:r w:rsidRPr="00017532">
        <w:rPr>
          <w:rFonts w:cs="Times New Roman"/>
          <w:lang w:val="fr-CA"/>
        </w:rPr>
        <w:t>, [1996] 1 R.C.S. 500, par.</w:t>
      </w:r>
      <w:r w:rsidR="00B029AB">
        <w:rPr>
          <w:rFonts w:cs="Times New Roman"/>
          <w:lang w:val="fr-CA"/>
        </w:rPr>
        <w:t xml:space="preserve"> </w:t>
      </w:r>
      <w:r w:rsidRPr="00017532">
        <w:rPr>
          <w:rFonts w:cs="Times New Roman"/>
          <w:lang w:val="fr-CA"/>
        </w:rPr>
        <w:t xml:space="preserve">80). Dans le </w:t>
      </w:r>
      <w:r w:rsidRPr="00017532">
        <w:rPr>
          <w:rFonts w:cs="Times New Roman"/>
          <w:i/>
          <w:lang w:val="fr-CA"/>
        </w:rPr>
        <w:t>Renvoi sur la Motor Vehicle Act (C.</w:t>
      </w:r>
      <w:r w:rsidR="00B029AB">
        <w:rPr>
          <w:rFonts w:cs="Times New Roman"/>
          <w:i/>
          <w:lang w:val="fr-CA"/>
        </w:rPr>
        <w:t>-</w:t>
      </w:r>
      <w:r w:rsidRPr="00017532">
        <w:rPr>
          <w:rFonts w:cs="Times New Roman"/>
          <w:i/>
          <w:lang w:val="fr-CA"/>
        </w:rPr>
        <w:t>B.)</w:t>
      </w:r>
      <w:r w:rsidRPr="00017532">
        <w:rPr>
          <w:rFonts w:cs="Times New Roman"/>
          <w:lang w:val="fr-CA"/>
        </w:rPr>
        <w:t>, [1985] 2 R.C.S. 486, p.</w:t>
      </w:r>
      <w:r w:rsidR="00B029AB">
        <w:rPr>
          <w:rFonts w:cs="Times New Roman"/>
          <w:lang w:val="fr-CA"/>
        </w:rPr>
        <w:t xml:space="preserve"> </w:t>
      </w:r>
      <w:r w:rsidRPr="00017532">
        <w:rPr>
          <w:rFonts w:cs="Times New Roman"/>
          <w:lang w:val="fr-CA"/>
        </w:rPr>
        <w:t xml:space="preserve">533, la juge Wilson dit que </w:t>
      </w:r>
      <w:r w:rsidR="00B029AB">
        <w:rPr>
          <w:rFonts w:cs="Times New Roman"/>
          <w:lang w:val="fr-CA"/>
        </w:rPr>
        <w:t>« </w:t>
      </w:r>
      <w:r w:rsidRPr="00017532">
        <w:rPr>
          <w:rFonts w:cs="Times New Roman"/>
          <w:lang w:val="fr-CA"/>
        </w:rPr>
        <w:t>[c]e n</w:t>
      </w:r>
      <w:r>
        <w:rPr>
          <w:rFonts w:cs="Times New Roman"/>
          <w:lang w:val="fr-CA"/>
        </w:rPr>
        <w:t>’</w:t>
      </w:r>
      <w:r w:rsidRPr="00017532">
        <w:rPr>
          <w:rFonts w:cs="Times New Roman"/>
          <w:lang w:val="fr-CA"/>
        </w:rPr>
        <w:t xml:space="preserve">est que dans ce cas que le public peut être convaincu que le contrevenant “méritait” la punition qui lui a été infligée et avoir </w:t>
      </w:r>
      <w:r w:rsidRPr="00017532">
        <w:rPr>
          <w:rFonts w:cs="Times New Roman"/>
          <w:lang w:val="fr-CA"/>
        </w:rPr>
        <w:lastRenderedPageBreak/>
        <w:t>confiance dans l</w:t>
      </w:r>
      <w:r>
        <w:rPr>
          <w:rFonts w:cs="Times New Roman"/>
          <w:lang w:val="fr-CA"/>
        </w:rPr>
        <w:t>’</w:t>
      </w:r>
      <w:r w:rsidRPr="00017532">
        <w:rPr>
          <w:rFonts w:cs="Times New Roman"/>
          <w:lang w:val="fr-CA"/>
        </w:rPr>
        <w:t>équité et la rationalité du système</w:t>
      </w:r>
      <w:r w:rsidR="00B029AB">
        <w:rPr>
          <w:rFonts w:cs="Times New Roman"/>
          <w:lang w:val="fr-CA"/>
        </w:rPr>
        <w:t> »</w:t>
      </w:r>
      <w:r w:rsidRPr="00017532">
        <w:rPr>
          <w:rFonts w:cs="Times New Roman"/>
          <w:lang w:val="fr-CA"/>
        </w:rPr>
        <w:t>. Pour reprendre les propos du juge LeBel dans l</w:t>
      </w:r>
      <w:r>
        <w:rPr>
          <w:rFonts w:cs="Times New Roman"/>
          <w:lang w:val="fr-CA"/>
        </w:rPr>
        <w:t>’</w:t>
      </w:r>
      <w:r w:rsidRPr="00017532">
        <w:rPr>
          <w:rFonts w:cs="Times New Roman"/>
          <w:lang w:val="fr-CA"/>
        </w:rPr>
        <w:t xml:space="preserve">arrêt </w:t>
      </w:r>
      <w:r w:rsidRPr="00017532">
        <w:rPr>
          <w:rFonts w:cs="Times New Roman"/>
          <w:i/>
          <w:lang w:val="fr-CA"/>
        </w:rPr>
        <w:t>R. c.</w:t>
      </w:r>
      <w:r w:rsidRPr="00017532">
        <w:rPr>
          <w:rFonts w:cs="Times New Roman"/>
          <w:lang w:val="fr-CA"/>
        </w:rPr>
        <w:t xml:space="preserve"> </w:t>
      </w:r>
      <w:r w:rsidRPr="00017532">
        <w:rPr>
          <w:rFonts w:cs="Times New Roman"/>
          <w:i/>
          <w:lang w:val="fr-CA"/>
        </w:rPr>
        <w:t>Ipeelee</w:t>
      </w:r>
      <w:r w:rsidRPr="00017532">
        <w:rPr>
          <w:rFonts w:cs="Times New Roman"/>
          <w:lang w:val="fr-CA"/>
        </w:rPr>
        <w:t>, 2012 CSC 13, [2012] 1 R.C.S. 433</w:t>
      </w:r>
      <w:r w:rsidR="00B029AB">
        <w:rPr>
          <w:rFonts w:cs="Times New Roman"/>
          <w:lang w:val="fr-CA"/>
        </w:rPr>
        <w:t> :</w:t>
      </w:r>
    </w:p>
    <w:p w:rsidR="00205E49" w:rsidRDefault="002A4851" w:rsidP="00A659A4">
      <w:pPr>
        <w:pStyle w:val="Citation-AltC"/>
        <w:ind w:hanging="1166"/>
        <w:rPr>
          <w:lang w:val="fr-CA"/>
        </w:rPr>
      </w:pPr>
      <w:r w:rsidRPr="00017532">
        <w:rPr>
          <w:lang w:val="fr-CA"/>
        </w:rPr>
        <w:tab/>
        <w:t xml:space="preserve">La proportionnalité représente la condition </w:t>
      </w:r>
      <w:r w:rsidRPr="00017532">
        <w:rPr>
          <w:i/>
          <w:iCs/>
          <w:lang w:val="fr-CA"/>
        </w:rPr>
        <w:t>sine qua non</w:t>
      </w:r>
      <w:r w:rsidRPr="00017532">
        <w:rPr>
          <w:lang w:val="fr-CA"/>
        </w:rPr>
        <w:t xml:space="preserve"> d</w:t>
      </w:r>
      <w:r>
        <w:rPr>
          <w:lang w:val="fr-CA"/>
        </w:rPr>
        <w:t>’</w:t>
      </w:r>
      <w:r w:rsidRPr="00017532">
        <w:rPr>
          <w:lang w:val="fr-CA"/>
        </w:rPr>
        <w:t>une sanction juste</w:t>
      </w:r>
      <w:r>
        <w:rPr>
          <w:lang w:val="fr-CA"/>
        </w:rPr>
        <w:t xml:space="preserve">. </w:t>
      </w:r>
      <w:r w:rsidRPr="00017532">
        <w:rPr>
          <w:lang w:val="fr-CA"/>
        </w:rPr>
        <w:t>Premièrement, la reconnaissance de ce principe garantit que la peine reflète la gravité de l</w:t>
      </w:r>
      <w:r>
        <w:rPr>
          <w:lang w:val="fr-CA"/>
        </w:rPr>
        <w:t>’</w:t>
      </w:r>
      <w:r w:rsidRPr="00017532">
        <w:rPr>
          <w:lang w:val="fr-CA"/>
        </w:rPr>
        <w:t>infraction et crée ainsi un lien étroit avec l</w:t>
      </w:r>
      <w:r>
        <w:rPr>
          <w:lang w:val="fr-CA"/>
        </w:rPr>
        <w:t>’</w:t>
      </w:r>
      <w:r w:rsidRPr="00017532">
        <w:rPr>
          <w:lang w:val="fr-CA"/>
        </w:rPr>
        <w:t>objectif de dénonciation</w:t>
      </w:r>
      <w:r>
        <w:rPr>
          <w:lang w:val="fr-CA"/>
        </w:rPr>
        <w:t xml:space="preserve">. </w:t>
      </w:r>
      <w:r w:rsidRPr="00017532">
        <w:rPr>
          <w:lang w:val="fr-CA"/>
        </w:rPr>
        <w:t>La proportionnalité favorise ainsi la justice envers les victimes et assure la confiance du public dans le système de justice</w:t>
      </w:r>
      <w:r>
        <w:rPr>
          <w:lang w:val="fr-CA"/>
        </w:rPr>
        <w:t>.</w:t>
      </w:r>
    </w:p>
    <w:p w:rsidR="00205E49" w:rsidRDefault="00205E49" w:rsidP="00A659A4">
      <w:pPr>
        <w:pStyle w:val="Citation-AltC"/>
        <w:ind w:hanging="1166"/>
        <w:rPr>
          <w:lang w:val="fr-CA"/>
        </w:rPr>
      </w:pPr>
    </w:p>
    <w:p w:rsidR="00205E49" w:rsidRDefault="002A4851" w:rsidP="00B53804">
      <w:pPr>
        <w:pStyle w:val="Citation-AltC"/>
        <w:jc w:val="center"/>
        <w:rPr>
          <w:lang w:val="fr-CA"/>
        </w:rPr>
      </w:pPr>
      <w:r w:rsidRPr="00017532">
        <w:rPr>
          <w:lang w:val="fr-CA"/>
        </w:rPr>
        <w:t>.</w:t>
      </w:r>
      <w:r w:rsidR="00B029AB">
        <w:rPr>
          <w:lang w:val="fr-CA"/>
        </w:rPr>
        <w:t xml:space="preserve"> </w:t>
      </w:r>
      <w:r w:rsidRPr="00017532">
        <w:rPr>
          <w:lang w:val="fr-CA"/>
        </w:rPr>
        <w:t>.</w:t>
      </w:r>
      <w:r w:rsidR="00B029AB">
        <w:rPr>
          <w:lang w:val="fr-CA"/>
        </w:rPr>
        <w:t xml:space="preserve"> </w:t>
      </w:r>
      <w:r w:rsidRPr="00017532">
        <w:rPr>
          <w:lang w:val="fr-CA"/>
        </w:rPr>
        <w:t>.</w:t>
      </w:r>
    </w:p>
    <w:p w:rsidR="00205E49" w:rsidRDefault="00205E49" w:rsidP="00A659A4">
      <w:pPr>
        <w:pStyle w:val="Citation-AltC"/>
        <w:rPr>
          <w:lang w:val="fr-CA"/>
        </w:rPr>
      </w:pPr>
    </w:p>
    <w:p w:rsidR="002A4851" w:rsidRPr="00017532" w:rsidRDefault="002A4851" w:rsidP="00A659A4">
      <w:pPr>
        <w:pStyle w:val="Citation-AltC"/>
        <w:rPr>
          <w:lang w:val="fr-CA"/>
        </w:rPr>
      </w:pPr>
      <w:r w:rsidRPr="00017532">
        <w:rPr>
          <w:lang w:val="fr-CA"/>
        </w:rPr>
        <w:t>Deuxièmement, le principe de proportionnalité garantit que la peine n</w:t>
      </w:r>
      <w:r>
        <w:rPr>
          <w:lang w:val="fr-CA"/>
        </w:rPr>
        <w:t>’</w:t>
      </w:r>
      <w:r w:rsidRPr="00017532">
        <w:rPr>
          <w:lang w:val="fr-CA"/>
        </w:rPr>
        <w:t>excède pas ce qui est approprié compte tenu de la culpabilité morale du délinquant</w:t>
      </w:r>
      <w:r>
        <w:rPr>
          <w:lang w:val="fr-CA"/>
        </w:rPr>
        <w:t xml:space="preserve">. </w:t>
      </w:r>
      <w:r w:rsidRPr="00017532">
        <w:rPr>
          <w:lang w:val="fr-CA"/>
        </w:rPr>
        <w:t>En ce sens, il joue un rôle restrictif et assure la justice de la peine envers le délinquant</w:t>
      </w:r>
      <w:r>
        <w:rPr>
          <w:lang w:val="fr-CA"/>
        </w:rPr>
        <w:t xml:space="preserve">. </w:t>
      </w:r>
      <w:r w:rsidRPr="00017532">
        <w:rPr>
          <w:lang w:val="fr-CA"/>
        </w:rPr>
        <w:t>En droit pénal canadien, une sanction juste prend en compte les deux optiques de la proportionnalité et n</w:t>
      </w:r>
      <w:r>
        <w:rPr>
          <w:lang w:val="fr-CA"/>
        </w:rPr>
        <w:t>’</w:t>
      </w:r>
      <w:r w:rsidRPr="00017532">
        <w:rPr>
          <w:lang w:val="fr-CA"/>
        </w:rPr>
        <w:t>en privilégie aucune par rapport à l</w:t>
      </w:r>
      <w:r>
        <w:rPr>
          <w:lang w:val="fr-CA"/>
        </w:rPr>
        <w:t>’</w:t>
      </w:r>
      <w:r w:rsidRPr="00017532">
        <w:rPr>
          <w:lang w:val="fr-CA"/>
        </w:rPr>
        <w:t>autre. [par.</w:t>
      </w:r>
      <w:r w:rsidR="00B029AB">
        <w:rPr>
          <w:lang w:val="fr-CA"/>
        </w:rPr>
        <w:t xml:space="preserve"> </w:t>
      </w:r>
      <w:r w:rsidRPr="00017532">
        <w:rPr>
          <w:lang w:val="fr-CA"/>
        </w:rPr>
        <w:t xml:space="preserve">37] </w:t>
      </w:r>
    </w:p>
    <w:p w:rsidR="002A4851" w:rsidRPr="00017532" w:rsidRDefault="002A4851" w:rsidP="00A659A4">
      <w:pPr>
        <w:pStyle w:val="ParaNoNdepar-AltN"/>
        <w:rPr>
          <w:rFonts w:cs="Times New Roman"/>
          <w:lang w:val="fr-CA"/>
        </w:rPr>
      </w:pPr>
      <w:r w:rsidRPr="00017532">
        <w:rPr>
          <w:rFonts w:cs="Times New Roman"/>
          <w:lang w:val="fr-CA"/>
        </w:rPr>
        <w:t>La peine minimale obligatoire est en soi susceptible de s</w:t>
      </w:r>
      <w:r>
        <w:rPr>
          <w:rFonts w:cs="Times New Roman"/>
          <w:lang w:val="fr-CA"/>
        </w:rPr>
        <w:t>’</w:t>
      </w:r>
      <w:r w:rsidRPr="00017532">
        <w:rPr>
          <w:rFonts w:cs="Times New Roman"/>
          <w:lang w:val="fr-CA"/>
        </w:rPr>
        <w:t>écarter du principe de proportionnalité lors de la détermination de la peine. Elle est davantage axée sur la dénonciation, la dissuasion générale et le châtiment que sur ce qui constitue une peine appropriée au vu de la gravité de l</w:t>
      </w:r>
      <w:r>
        <w:rPr>
          <w:rFonts w:cs="Times New Roman"/>
          <w:lang w:val="fr-CA"/>
        </w:rPr>
        <w:t>’</w:t>
      </w:r>
      <w:r w:rsidRPr="00017532">
        <w:rPr>
          <w:rFonts w:cs="Times New Roman"/>
          <w:lang w:val="fr-CA"/>
        </w:rPr>
        <w:t>infraction, de la culpabilité morale du délinquant et du préjudice causé. Implacable, la peine minimale obligatoire est susceptible d</w:t>
      </w:r>
      <w:r>
        <w:rPr>
          <w:rFonts w:cs="Times New Roman"/>
          <w:lang w:val="fr-CA"/>
        </w:rPr>
        <w:t>’</w:t>
      </w:r>
      <w:r w:rsidRPr="00017532">
        <w:rPr>
          <w:rFonts w:cs="Times New Roman"/>
          <w:lang w:val="fr-CA"/>
        </w:rPr>
        <w:t>empêcher le tribunal d</w:t>
      </w:r>
      <w:r>
        <w:rPr>
          <w:rFonts w:cs="Times New Roman"/>
          <w:lang w:val="fr-CA"/>
        </w:rPr>
        <w:t>’</w:t>
      </w:r>
      <w:r w:rsidRPr="00017532">
        <w:rPr>
          <w:rFonts w:cs="Times New Roman"/>
          <w:lang w:val="fr-CA"/>
        </w:rPr>
        <w:t>arrêter une peine proportionnelle se situant à l</w:t>
      </w:r>
      <w:r>
        <w:rPr>
          <w:rFonts w:cs="Times New Roman"/>
          <w:lang w:val="fr-CA"/>
        </w:rPr>
        <w:t>’</w:t>
      </w:r>
      <w:r w:rsidRPr="00017532">
        <w:rPr>
          <w:rFonts w:cs="Times New Roman"/>
          <w:lang w:val="fr-CA"/>
        </w:rPr>
        <w:t>extrémité inférieure de la fourchette. Dans certains cas extrêmes, elle peut même emporter l</w:t>
      </w:r>
      <w:r>
        <w:rPr>
          <w:rFonts w:cs="Times New Roman"/>
          <w:lang w:val="fr-CA"/>
        </w:rPr>
        <w:t>’</w:t>
      </w:r>
      <w:r w:rsidRPr="00017532">
        <w:rPr>
          <w:rFonts w:cs="Times New Roman"/>
          <w:lang w:val="fr-CA"/>
        </w:rPr>
        <w:t>infliction d</w:t>
      </w:r>
      <w:r>
        <w:rPr>
          <w:rFonts w:cs="Times New Roman"/>
          <w:lang w:val="fr-CA"/>
        </w:rPr>
        <w:t>’</w:t>
      </w:r>
      <w:r w:rsidRPr="00017532">
        <w:rPr>
          <w:rFonts w:cs="Times New Roman"/>
          <w:lang w:val="fr-CA"/>
        </w:rPr>
        <w:t>une peine injuste, le délinquant n</w:t>
      </w:r>
      <w:r>
        <w:rPr>
          <w:rFonts w:cs="Times New Roman"/>
          <w:lang w:val="fr-CA"/>
        </w:rPr>
        <w:t>’</w:t>
      </w:r>
      <w:r w:rsidRPr="00017532">
        <w:rPr>
          <w:rFonts w:cs="Times New Roman"/>
          <w:lang w:val="fr-CA"/>
        </w:rPr>
        <w:t>étant plus au centre du processus, et ce, d</w:t>
      </w:r>
      <w:r>
        <w:rPr>
          <w:rFonts w:cs="Times New Roman"/>
          <w:lang w:val="fr-CA"/>
        </w:rPr>
        <w:t>’</w:t>
      </w:r>
      <w:r w:rsidRPr="00017532">
        <w:rPr>
          <w:rFonts w:cs="Times New Roman"/>
          <w:lang w:val="fr-CA"/>
        </w:rPr>
        <w:t>une manière qui contrevient au principe de proportionnalité. Elle modifie le processus général de la détermination de la peine, lequel prend appui sur l</w:t>
      </w:r>
      <w:r>
        <w:rPr>
          <w:rFonts w:cs="Times New Roman"/>
          <w:lang w:val="fr-CA"/>
        </w:rPr>
        <w:t>’</w:t>
      </w:r>
      <w:r w:rsidRPr="00017532">
        <w:rPr>
          <w:rFonts w:cs="Times New Roman"/>
          <w:lang w:val="fr-CA"/>
        </w:rPr>
        <w:t xml:space="preserve">examen de tous les éléments pertinents pour arriver à un résultat proportionné. Elle </w:t>
      </w:r>
      <w:r w:rsidRPr="00017532">
        <w:rPr>
          <w:rFonts w:cs="Times New Roman"/>
          <w:lang w:val="fr-CA"/>
        </w:rPr>
        <w:lastRenderedPageBreak/>
        <w:t>influe sur le résultat en modifiant le processus judiciaire habituel de détermination de la peine.</w:t>
      </w:r>
    </w:p>
    <w:p w:rsidR="002A4851" w:rsidRPr="00017532" w:rsidRDefault="002A4851" w:rsidP="00A659A4">
      <w:pPr>
        <w:pStyle w:val="ParaNoNdepar-AltN"/>
        <w:rPr>
          <w:rFonts w:cs="Times New Roman"/>
          <w:lang w:val="fr-CA"/>
        </w:rPr>
      </w:pPr>
      <w:r w:rsidRPr="00017532">
        <w:rPr>
          <w:rFonts w:cs="Times New Roman"/>
          <w:lang w:val="fr-CA"/>
        </w:rPr>
        <w:t>La dissuasion générale, à savoir l</w:t>
      </w:r>
      <w:r>
        <w:rPr>
          <w:rFonts w:cs="Times New Roman"/>
          <w:lang w:val="fr-CA"/>
        </w:rPr>
        <w:t>’</w:t>
      </w:r>
      <w:r w:rsidRPr="00017532">
        <w:rPr>
          <w:rFonts w:cs="Times New Roman"/>
          <w:lang w:val="fr-CA"/>
        </w:rPr>
        <w:t>infliction d</w:t>
      </w:r>
      <w:r>
        <w:rPr>
          <w:rFonts w:cs="Times New Roman"/>
          <w:lang w:val="fr-CA"/>
        </w:rPr>
        <w:t>’</w:t>
      </w:r>
      <w:r w:rsidRPr="00017532">
        <w:rPr>
          <w:rFonts w:cs="Times New Roman"/>
          <w:lang w:val="fr-CA"/>
        </w:rPr>
        <w:t>une peine pour transmettre un message de nature à dissuader les autres citoyens de contrevenir à la loi, importe. Or, cette seule considération ne saurait empêcher la disproportion totale</w:t>
      </w:r>
      <w:r w:rsidR="00B029AB">
        <w:rPr>
          <w:rFonts w:cs="Times New Roman"/>
          <w:lang w:val="fr-CA"/>
        </w:rPr>
        <w:t> :</w:t>
      </w:r>
      <w:r w:rsidRPr="00017532">
        <w:rPr>
          <w:rFonts w:cs="Times New Roman"/>
          <w:lang w:val="fr-CA"/>
        </w:rPr>
        <w:t xml:space="preserve"> </w:t>
      </w:r>
      <w:r w:rsidR="00B029AB">
        <w:rPr>
          <w:rFonts w:cs="Times New Roman"/>
          <w:lang w:val="fr-CA"/>
        </w:rPr>
        <w:t>« </w:t>
      </w:r>
      <w:r w:rsidRPr="00017532">
        <w:rPr>
          <w:rFonts w:cs="Times New Roman"/>
          <w:lang w:val="fr-CA"/>
        </w:rPr>
        <w:t>[l]a dissuasion générale peut justifier l</w:t>
      </w:r>
      <w:r>
        <w:rPr>
          <w:rFonts w:cs="Times New Roman"/>
          <w:lang w:val="fr-CA"/>
        </w:rPr>
        <w:t>’</w:t>
      </w:r>
      <w:r w:rsidRPr="00017532">
        <w:rPr>
          <w:rFonts w:cs="Times New Roman"/>
          <w:lang w:val="fr-CA"/>
        </w:rPr>
        <w:t>infliction d</w:t>
      </w:r>
      <w:r>
        <w:rPr>
          <w:rFonts w:cs="Times New Roman"/>
          <w:lang w:val="fr-CA"/>
        </w:rPr>
        <w:t>’</w:t>
      </w:r>
      <w:r w:rsidRPr="00017532">
        <w:rPr>
          <w:rFonts w:cs="Times New Roman"/>
          <w:lang w:val="fr-CA"/>
        </w:rPr>
        <w:t>une peine qui, quoique sévère, se situe à l</w:t>
      </w:r>
      <w:r>
        <w:rPr>
          <w:rFonts w:cs="Times New Roman"/>
          <w:lang w:val="fr-CA"/>
        </w:rPr>
        <w:t>’</w:t>
      </w:r>
      <w:r w:rsidRPr="00017532">
        <w:rPr>
          <w:rFonts w:cs="Times New Roman"/>
          <w:lang w:val="fr-CA"/>
        </w:rPr>
        <w:t>intérieur de la fourchette des peines qui ne sont pas cruelles et inusitées</w:t>
      </w:r>
      <w:r w:rsidR="00B029AB">
        <w:rPr>
          <w:rFonts w:cs="Times New Roman"/>
          <w:lang w:val="fr-CA"/>
        </w:rPr>
        <w:t> »</w:t>
      </w:r>
      <w:r w:rsidRPr="00017532">
        <w:rPr>
          <w:rFonts w:cs="Times New Roman"/>
          <w:lang w:val="fr-CA"/>
        </w:rPr>
        <w:t xml:space="preserve"> (</w:t>
      </w:r>
      <w:r w:rsidRPr="00017532">
        <w:rPr>
          <w:rFonts w:cs="Times New Roman"/>
          <w:i/>
          <w:lang w:val="fr-CA"/>
        </w:rPr>
        <w:t>R. c. Morrisey</w:t>
      </w:r>
      <w:r w:rsidRPr="00017532">
        <w:rPr>
          <w:rFonts w:cs="Times New Roman"/>
          <w:lang w:val="fr-CA"/>
        </w:rPr>
        <w:t>, 2000 CSC 39, [200</w:t>
      </w:r>
      <w:r>
        <w:rPr>
          <w:rFonts w:cs="Times New Roman"/>
          <w:lang w:val="fr-CA"/>
        </w:rPr>
        <w:t>0</w:t>
      </w:r>
      <w:r w:rsidRPr="00017532">
        <w:rPr>
          <w:rFonts w:cs="Times New Roman"/>
          <w:lang w:val="fr-CA"/>
        </w:rPr>
        <w:t>] 2 R.C.S. 90, par.</w:t>
      </w:r>
      <w:r w:rsidR="00B029AB">
        <w:rPr>
          <w:rFonts w:cs="Times New Roman"/>
          <w:lang w:val="fr-CA"/>
        </w:rPr>
        <w:t xml:space="preserve"> </w:t>
      </w:r>
      <w:r w:rsidRPr="00017532">
        <w:rPr>
          <w:rFonts w:cs="Times New Roman"/>
          <w:lang w:val="fr-CA"/>
        </w:rPr>
        <w:t>45, le juge Gonthier). Pour simplifier, on ne peut infliger à une personne une peine totalement disproportionnée à la seule fin de dissuader ses concitoyens de désobéir à la loi.</w:t>
      </w:r>
    </w:p>
    <w:p w:rsidR="002A4851" w:rsidRPr="00017532" w:rsidRDefault="002A4851" w:rsidP="00A659A4">
      <w:pPr>
        <w:pStyle w:val="ParaNoNdepar-AltN"/>
        <w:rPr>
          <w:rFonts w:cs="Times New Roman"/>
          <w:lang w:val="fr-CA"/>
        </w:rPr>
      </w:pPr>
      <w:r w:rsidRPr="00017532">
        <w:rPr>
          <w:rFonts w:cs="Times New Roman"/>
          <w:lang w:val="fr-CA"/>
        </w:rPr>
        <w:t>En bref, statuer sur une disposition prévoyant une peine minimale obligatoire dont on allègue l</w:t>
      </w:r>
      <w:r>
        <w:rPr>
          <w:rFonts w:cs="Times New Roman"/>
          <w:lang w:val="fr-CA"/>
        </w:rPr>
        <w:t>’</w:t>
      </w:r>
      <w:r w:rsidRPr="00017532">
        <w:rPr>
          <w:rFonts w:cs="Times New Roman"/>
          <w:lang w:val="fr-CA"/>
        </w:rPr>
        <w:t>inconstitutionnalité parce qu</w:t>
      </w:r>
      <w:r>
        <w:rPr>
          <w:rFonts w:cs="Times New Roman"/>
          <w:lang w:val="fr-CA"/>
        </w:rPr>
        <w:t>’</w:t>
      </w:r>
      <w:r w:rsidRPr="00017532">
        <w:rPr>
          <w:rFonts w:cs="Times New Roman"/>
          <w:lang w:val="fr-CA"/>
        </w:rPr>
        <w:t>elle infligerait une peine cruelle et inusitée contrairement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xml:space="preserve"> commande une analyse en deux</w:t>
      </w:r>
      <w:r w:rsidR="00B029AB">
        <w:rPr>
          <w:rFonts w:cs="Times New Roman"/>
          <w:lang w:val="fr-CA"/>
        </w:rPr>
        <w:t xml:space="preserve"> </w:t>
      </w:r>
      <w:r w:rsidRPr="00017532">
        <w:rPr>
          <w:rFonts w:cs="Times New Roman"/>
          <w:lang w:val="fr-CA"/>
        </w:rPr>
        <w:t>étapes. Premièrement, le tribunal doit déterminer ce qui constituerait une peine proportionnée à l</w:t>
      </w:r>
      <w:r>
        <w:rPr>
          <w:rFonts w:cs="Times New Roman"/>
          <w:lang w:val="fr-CA"/>
        </w:rPr>
        <w:t>’</w:t>
      </w:r>
      <w:r w:rsidRPr="00017532">
        <w:rPr>
          <w:rFonts w:cs="Times New Roman"/>
          <w:lang w:val="fr-CA"/>
        </w:rPr>
        <w:t xml:space="preserve">infraction eu égard aux objectifs et aux principes de détermination de la peine établis par le </w:t>
      </w:r>
      <w:r w:rsidRPr="00017532">
        <w:rPr>
          <w:rFonts w:cs="Times New Roman"/>
          <w:i/>
          <w:lang w:val="fr-CA"/>
        </w:rPr>
        <w:t>Code criminel</w:t>
      </w:r>
      <w:r w:rsidRPr="00017532">
        <w:rPr>
          <w:rFonts w:cs="Times New Roman"/>
          <w:lang w:val="fr-CA"/>
        </w:rPr>
        <w:t>. Deuxièmement, il lui faut décider si la disposition contraint à l</w:t>
      </w:r>
      <w:r>
        <w:rPr>
          <w:rFonts w:cs="Times New Roman"/>
          <w:lang w:val="fr-CA"/>
        </w:rPr>
        <w:t>’</w:t>
      </w:r>
      <w:r w:rsidRPr="00017532">
        <w:rPr>
          <w:rFonts w:cs="Times New Roman"/>
          <w:lang w:val="fr-CA"/>
        </w:rPr>
        <w:t>infliction d</w:t>
      </w:r>
      <w:r>
        <w:rPr>
          <w:rFonts w:cs="Times New Roman"/>
          <w:lang w:val="fr-CA"/>
        </w:rPr>
        <w:t>’</w:t>
      </w:r>
      <w:r w:rsidRPr="00017532">
        <w:rPr>
          <w:rFonts w:cs="Times New Roman"/>
          <w:lang w:val="fr-CA"/>
        </w:rPr>
        <w:t>une peine totalement disproportionnée à la peine juste et proportionnée. Dans l</w:t>
      </w:r>
      <w:r>
        <w:rPr>
          <w:rFonts w:cs="Times New Roman"/>
          <w:lang w:val="fr-CA"/>
        </w:rPr>
        <w:t>’</w:t>
      </w:r>
      <w:r w:rsidRPr="00017532">
        <w:rPr>
          <w:rFonts w:cs="Times New Roman"/>
          <w:lang w:val="fr-CA"/>
        </w:rPr>
        <w:t>affirmative, la disposition en cause est incompatible avec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et de ce fait inopérante, sauf justification par application de l</w:t>
      </w:r>
      <w:r>
        <w:rPr>
          <w:rFonts w:cs="Times New Roman"/>
          <w:lang w:val="fr-CA"/>
        </w:rPr>
        <w:t>’</w:t>
      </w:r>
      <w:r w:rsidRPr="00017532">
        <w:rPr>
          <w:rFonts w:cs="Times New Roman"/>
          <w:lang w:val="fr-CA"/>
        </w:rPr>
        <w:t xml:space="preserve">article premier de la </w:t>
      </w:r>
      <w:r w:rsidRPr="00017532">
        <w:rPr>
          <w:rFonts w:cs="Times New Roman"/>
          <w:i/>
          <w:lang w:val="fr-CA"/>
        </w:rPr>
        <w:t>Charte</w:t>
      </w:r>
      <w:r w:rsidRPr="00017532">
        <w:rPr>
          <w:rFonts w:cs="Times New Roman"/>
          <w:lang w:val="fr-CA"/>
        </w:rPr>
        <w:t>.</w:t>
      </w:r>
    </w:p>
    <w:p w:rsidR="002A4851" w:rsidRPr="00017532" w:rsidRDefault="002A4851" w:rsidP="00A659A4">
      <w:pPr>
        <w:pStyle w:val="Title3LevelTitre3Niveau"/>
        <w:ind w:left="1156" w:hanging="578"/>
        <w:jc w:val="both"/>
        <w:rPr>
          <w:rFonts w:cs="Times New Roman"/>
          <w:lang w:val="fr-CA"/>
        </w:rPr>
      </w:pPr>
      <w:r w:rsidRPr="00017532">
        <w:rPr>
          <w:rFonts w:cs="Times New Roman"/>
          <w:lang w:val="fr-CA"/>
        </w:rPr>
        <w:t>Quelle situation prendre en compte dans l</w:t>
      </w:r>
      <w:r>
        <w:rPr>
          <w:rFonts w:cs="Times New Roman"/>
          <w:lang w:val="fr-CA"/>
        </w:rPr>
        <w:t>’</w:t>
      </w:r>
      <w:r w:rsidRPr="00017532">
        <w:rPr>
          <w:rFonts w:cs="Times New Roman"/>
          <w:lang w:val="fr-CA"/>
        </w:rPr>
        <w:t>analyse fondée sur l</w:t>
      </w:r>
      <w:r>
        <w:rPr>
          <w:rFonts w:cs="Times New Roman"/>
          <w:lang w:val="fr-CA"/>
        </w:rPr>
        <w:t>’</w:t>
      </w:r>
      <w:r w:rsidRPr="00017532">
        <w:rPr>
          <w:rFonts w:cs="Times New Roman"/>
          <w:lang w:val="fr-CA"/>
        </w:rPr>
        <w:t>art</w:t>
      </w:r>
      <w:r w:rsidR="00205E49">
        <w:rPr>
          <w:rFonts w:cs="Times New Roman"/>
          <w:lang w:val="fr-CA"/>
        </w:rPr>
        <w:t>.</w:t>
      </w:r>
      <w:r w:rsidR="00B029AB">
        <w:rPr>
          <w:rFonts w:cs="Times New Roman"/>
          <w:lang w:val="fr-CA"/>
        </w:rPr>
        <w:t xml:space="preserve"> </w:t>
      </w:r>
      <w:r w:rsidRPr="00017532">
        <w:rPr>
          <w:rFonts w:cs="Times New Roman"/>
          <w:lang w:val="fr-CA"/>
        </w:rPr>
        <w:t xml:space="preserve">12? </w:t>
      </w:r>
    </w:p>
    <w:p w:rsidR="002A4851" w:rsidRPr="00017532" w:rsidRDefault="002A4851" w:rsidP="00A659A4">
      <w:pPr>
        <w:pStyle w:val="ParaNoNdepar-AltN"/>
        <w:rPr>
          <w:rFonts w:cs="Times New Roman"/>
          <w:lang w:val="fr-CA"/>
        </w:rPr>
      </w:pPr>
      <w:r w:rsidRPr="00017532">
        <w:rPr>
          <w:rFonts w:cs="Times New Roman"/>
          <w:lang w:val="fr-CA"/>
        </w:rPr>
        <w:lastRenderedPageBreak/>
        <w:t>Nous avons vu que, dans le cadre de la contestation constitutionnelle fondée sur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d</w:t>
      </w:r>
      <w:r>
        <w:rPr>
          <w:rFonts w:cs="Times New Roman"/>
          <w:lang w:val="fr-CA"/>
        </w:rPr>
        <w:t>’</w:t>
      </w:r>
      <w:r w:rsidRPr="00017532">
        <w:rPr>
          <w:rFonts w:cs="Times New Roman"/>
          <w:lang w:val="fr-CA"/>
        </w:rPr>
        <w:t>une disposition prévoyant une peine minimale obligatoire, on compare la peine juste et proportionnée et la peine minimale obligatoire. Se pose alors la question qui se trouve au cœur de la présente affaire. Dans l</w:t>
      </w:r>
      <w:r>
        <w:rPr>
          <w:rFonts w:cs="Times New Roman"/>
          <w:lang w:val="fr-CA"/>
        </w:rPr>
        <w:t>’</w:t>
      </w:r>
      <w:r w:rsidRPr="00017532">
        <w:rPr>
          <w:rFonts w:cs="Times New Roman"/>
          <w:lang w:val="fr-CA"/>
        </w:rPr>
        <w:t>examen de la constitutionnalité de la disposition contestée, quel délinquant le tribunal prend</w:t>
      </w:r>
      <w:r w:rsidR="00B029AB">
        <w:rPr>
          <w:rFonts w:cs="Times New Roman"/>
          <w:lang w:val="fr-CA"/>
        </w:rPr>
        <w:t>-</w:t>
      </w:r>
      <w:r w:rsidRPr="00017532">
        <w:rPr>
          <w:rFonts w:cs="Times New Roman"/>
          <w:lang w:val="fr-CA"/>
        </w:rPr>
        <w:t xml:space="preserve">il </w:t>
      </w:r>
      <w:r>
        <w:rPr>
          <w:rFonts w:cs="Times New Roman"/>
          <w:lang w:val="fr-CA"/>
        </w:rPr>
        <w:t xml:space="preserve">en </w:t>
      </w:r>
      <w:r w:rsidRPr="00017532">
        <w:rPr>
          <w:rFonts w:cs="Times New Roman"/>
          <w:lang w:val="fr-CA"/>
        </w:rPr>
        <w:t>considération? S</w:t>
      </w:r>
      <w:r>
        <w:rPr>
          <w:rFonts w:cs="Times New Roman"/>
          <w:lang w:val="fr-CA"/>
        </w:rPr>
        <w:t>’</w:t>
      </w:r>
      <w:r w:rsidRPr="00017532">
        <w:rPr>
          <w:rFonts w:cs="Times New Roman"/>
          <w:lang w:val="fr-CA"/>
        </w:rPr>
        <w:t>en tient</w:t>
      </w:r>
      <w:r w:rsidR="00B029AB">
        <w:rPr>
          <w:rFonts w:cs="Times New Roman"/>
          <w:lang w:val="fr-CA"/>
        </w:rPr>
        <w:t>-</w:t>
      </w:r>
      <w:r w:rsidRPr="00017532">
        <w:rPr>
          <w:rFonts w:cs="Times New Roman"/>
          <w:lang w:val="fr-CA"/>
        </w:rPr>
        <w:t>il à l</w:t>
      </w:r>
      <w:r>
        <w:rPr>
          <w:rFonts w:cs="Times New Roman"/>
          <w:lang w:val="fr-CA"/>
        </w:rPr>
        <w:t>’</w:t>
      </w:r>
      <w:r w:rsidRPr="00017532">
        <w:rPr>
          <w:rFonts w:cs="Times New Roman"/>
          <w:lang w:val="fr-CA"/>
        </w:rPr>
        <w:t>auteur du recours fondé sur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ou doit</w:t>
      </w:r>
      <w:r w:rsidR="00B029AB">
        <w:rPr>
          <w:rFonts w:cs="Times New Roman"/>
          <w:lang w:val="fr-CA"/>
        </w:rPr>
        <w:t>-</w:t>
      </w:r>
      <w:r w:rsidRPr="00017532">
        <w:rPr>
          <w:rFonts w:cs="Times New Roman"/>
          <w:lang w:val="fr-CA"/>
        </w:rPr>
        <w:t>il également, si besoin est, considérer l</w:t>
      </w:r>
      <w:r>
        <w:rPr>
          <w:rFonts w:cs="Times New Roman"/>
          <w:lang w:val="fr-CA"/>
        </w:rPr>
        <w:t>’</w:t>
      </w:r>
      <w:r w:rsidRPr="00017532">
        <w:rPr>
          <w:rFonts w:cs="Times New Roman"/>
          <w:lang w:val="fr-CA"/>
        </w:rPr>
        <w:t>effet de la disposition sur d</w:t>
      </w:r>
      <w:r>
        <w:rPr>
          <w:rFonts w:cs="Times New Roman"/>
          <w:lang w:val="fr-CA"/>
        </w:rPr>
        <w:t>’</w:t>
      </w:r>
      <w:r w:rsidRPr="00017532">
        <w:rPr>
          <w:rFonts w:cs="Times New Roman"/>
          <w:lang w:val="fr-CA"/>
        </w:rPr>
        <w:t>autres personnes raisonnablement susceptibles de tomber sous le coup de celle</w:t>
      </w:r>
      <w:r w:rsidR="00B029AB">
        <w:rPr>
          <w:rFonts w:cs="Times New Roman"/>
          <w:lang w:val="fr-CA"/>
        </w:rPr>
        <w:t>-</w:t>
      </w:r>
      <w:r w:rsidRPr="00017532">
        <w:rPr>
          <w:rFonts w:cs="Times New Roman"/>
          <w:lang w:val="fr-CA"/>
        </w:rPr>
        <w:t xml:space="preserve">ci? </w:t>
      </w:r>
    </w:p>
    <w:p w:rsidR="002A4851" w:rsidRPr="00017532" w:rsidRDefault="002A4851" w:rsidP="00A659A4">
      <w:pPr>
        <w:pStyle w:val="ParaNoNdepar-AltN"/>
        <w:rPr>
          <w:rFonts w:cs="Times New Roman"/>
          <w:lang w:val="fr-CA"/>
        </w:rPr>
      </w:pPr>
      <w:r w:rsidRPr="00017532">
        <w:rPr>
          <w:rFonts w:cs="Times New Roman"/>
          <w:lang w:val="fr-CA"/>
        </w:rPr>
        <w:t>MM.</w:t>
      </w:r>
      <w:r w:rsidR="00B029AB">
        <w:rPr>
          <w:rFonts w:cs="Times New Roman"/>
          <w:lang w:val="fr-CA"/>
        </w:rPr>
        <w:t xml:space="preserve"> </w:t>
      </w:r>
      <w:r w:rsidRPr="00017532">
        <w:rPr>
          <w:rFonts w:cs="Times New Roman"/>
          <w:lang w:val="fr-CA"/>
        </w:rPr>
        <w:t>Nur et Charles font valoir non pas que les peines minimales obligatoires d</w:t>
      </w:r>
      <w:r>
        <w:rPr>
          <w:rFonts w:cs="Times New Roman"/>
          <w:lang w:val="fr-CA"/>
        </w:rPr>
        <w:t>’</w:t>
      </w:r>
      <w:r w:rsidRPr="00017532">
        <w:rPr>
          <w:rFonts w:cs="Times New Roman"/>
          <w:lang w:val="fr-CA"/>
        </w:rPr>
        <w:t>emprisonnement prévues au par.</w:t>
      </w:r>
      <w:r w:rsidR="00B029AB">
        <w:rPr>
          <w:rFonts w:cs="Times New Roman"/>
          <w:lang w:val="fr-CA"/>
        </w:rPr>
        <w:t xml:space="preserve"> </w:t>
      </w:r>
      <w:r w:rsidRPr="00017532">
        <w:rPr>
          <w:rFonts w:cs="Times New Roman"/>
          <w:lang w:val="fr-CA"/>
        </w:rPr>
        <w:t>95(2) sont totalement disproportionnées dans leur cas, mais bien que ces peines contreviennent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lorsqu</w:t>
      </w:r>
      <w:r>
        <w:rPr>
          <w:rFonts w:cs="Times New Roman"/>
          <w:lang w:val="fr-CA"/>
        </w:rPr>
        <w:t>’</w:t>
      </w:r>
      <w:r w:rsidRPr="00017532">
        <w:rPr>
          <w:rFonts w:cs="Times New Roman"/>
          <w:lang w:val="fr-CA"/>
        </w:rPr>
        <w:t>elles s</w:t>
      </w:r>
      <w:r>
        <w:rPr>
          <w:rFonts w:cs="Times New Roman"/>
          <w:lang w:val="fr-CA"/>
        </w:rPr>
        <w:t>’</w:t>
      </w:r>
      <w:r w:rsidRPr="00017532">
        <w:rPr>
          <w:rFonts w:cs="Times New Roman"/>
          <w:lang w:val="fr-CA"/>
        </w:rPr>
        <w:t>appliquent à d</w:t>
      </w:r>
      <w:r>
        <w:rPr>
          <w:rFonts w:cs="Times New Roman"/>
          <w:lang w:val="fr-CA"/>
        </w:rPr>
        <w:t>’</w:t>
      </w:r>
      <w:r w:rsidRPr="00017532">
        <w:rPr>
          <w:rFonts w:cs="Times New Roman"/>
          <w:lang w:val="fr-CA"/>
        </w:rPr>
        <w:t>autres délinquants. La procureure générale de l</w:t>
      </w:r>
      <w:r>
        <w:rPr>
          <w:rFonts w:cs="Times New Roman"/>
          <w:lang w:val="fr-CA"/>
        </w:rPr>
        <w:t>’</w:t>
      </w:r>
      <w:r w:rsidRPr="00017532">
        <w:rPr>
          <w:rFonts w:cs="Times New Roman"/>
          <w:lang w:val="fr-CA"/>
        </w:rPr>
        <w:t>Ontario, avec l</w:t>
      </w:r>
      <w:r>
        <w:rPr>
          <w:rFonts w:cs="Times New Roman"/>
          <w:lang w:val="fr-CA"/>
        </w:rPr>
        <w:t>’</w:t>
      </w:r>
      <w:r w:rsidRPr="00017532">
        <w:rPr>
          <w:rFonts w:cs="Times New Roman"/>
          <w:lang w:val="fr-CA"/>
        </w:rPr>
        <w:t>appui d</w:t>
      </w:r>
      <w:r>
        <w:rPr>
          <w:rFonts w:cs="Times New Roman"/>
          <w:lang w:val="fr-CA"/>
        </w:rPr>
        <w:t>’</w:t>
      </w:r>
      <w:r w:rsidRPr="00017532">
        <w:rPr>
          <w:rFonts w:cs="Times New Roman"/>
          <w:lang w:val="fr-CA"/>
        </w:rPr>
        <w:t>homologues, rétorque que le critère doit s</w:t>
      </w:r>
      <w:r>
        <w:rPr>
          <w:rFonts w:cs="Times New Roman"/>
          <w:lang w:val="fr-CA"/>
        </w:rPr>
        <w:t>’</w:t>
      </w:r>
      <w:r w:rsidRPr="00017532">
        <w:rPr>
          <w:rFonts w:cs="Times New Roman"/>
          <w:lang w:val="fr-CA"/>
        </w:rPr>
        <w:t>attacher principalement, voire uniquement, à la situation du délinquant qui saisit le tribunal. (Selon elle, le tribunal doit se demander si la peine minimale obligatoire est totalement disproportionnée eu égard à la raison d</w:t>
      </w:r>
      <w:r>
        <w:rPr>
          <w:rFonts w:cs="Times New Roman"/>
          <w:lang w:val="fr-CA"/>
        </w:rPr>
        <w:t>’</w:t>
      </w:r>
      <w:r w:rsidRPr="00017532">
        <w:rPr>
          <w:rFonts w:cs="Times New Roman"/>
          <w:lang w:val="fr-CA"/>
        </w:rPr>
        <w:t>être de l</w:t>
      </w:r>
      <w:r>
        <w:rPr>
          <w:rFonts w:cs="Times New Roman"/>
          <w:lang w:val="fr-CA"/>
        </w:rPr>
        <w:t>’</w:t>
      </w:r>
      <w:r w:rsidRPr="00017532">
        <w:rPr>
          <w:rFonts w:cs="Times New Roman"/>
          <w:lang w:val="fr-CA"/>
        </w:rPr>
        <w:t xml:space="preserve">infraction et à la gravité des actes réprimés, non seulement dans le cas </w:t>
      </w:r>
      <w:r w:rsidRPr="00017532">
        <w:rPr>
          <w:rFonts w:cs="Times New Roman"/>
          <w:i/>
          <w:lang w:val="fr-CA"/>
        </w:rPr>
        <w:t xml:space="preserve">concret </w:t>
      </w:r>
      <w:r w:rsidRPr="00017532">
        <w:rPr>
          <w:rFonts w:cs="Times New Roman"/>
          <w:lang w:val="fr-CA"/>
        </w:rPr>
        <w:t>dont il est saisi, mais également dans d</w:t>
      </w:r>
      <w:r>
        <w:rPr>
          <w:rFonts w:cs="Times New Roman"/>
          <w:lang w:val="fr-CA"/>
        </w:rPr>
        <w:t>’</w:t>
      </w:r>
      <w:r w:rsidRPr="00017532">
        <w:rPr>
          <w:rFonts w:cs="Times New Roman"/>
          <w:lang w:val="fr-CA"/>
        </w:rPr>
        <w:t xml:space="preserve">autres situations </w:t>
      </w:r>
      <w:r w:rsidRPr="00017532">
        <w:rPr>
          <w:rFonts w:cs="Times New Roman"/>
          <w:i/>
          <w:lang w:val="fr-CA"/>
        </w:rPr>
        <w:t>concrètes</w:t>
      </w:r>
      <w:r w:rsidRPr="00017532">
        <w:rPr>
          <w:rFonts w:cs="Times New Roman"/>
          <w:lang w:val="fr-CA"/>
        </w:rPr>
        <w:t xml:space="preserve"> courantes (m.a. (Nur), par.</w:t>
      </w:r>
      <w:r w:rsidR="00B029AB">
        <w:rPr>
          <w:rFonts w:cs="Times New Roman"/>
          <w:lang w:val="fr-CA"/>
        </w:rPr>
        <w:t xml:space="preserve"> </w:t>
      </w:r>
      <w:r w:rsidRPr="00017532">
        <w:rPr>
          <w:rFonts w:cs="Times New Roman"/>
          <w:lang w:val="fr-CA"/>
        </w:rPr>
        <w:t>41). Son homologue de la Colombie</w:t>
      </w:r>
      <w:r w:rsidR="00B029AB">
        <w:rPr>
          <w:rFonts w:cs="Times New Roman"/>
          <w:lang w:val="fr-CA"/>
        </w:rPr>
        <w:t>-</w:t>
      </w:r>
      <w:r w:rsidRPr="00017532">
        <w:rPr>
          <w:rFonts w:cs="Times New Roman"/>
          <w:lang w:val="fr-CA"/>
        </w:rPr>
        <w:t>Britannique va plus loin et prétend que l</w:t>
      </w:r>
      <w:r>
        <w:rPr>
          <w:rFonts w:cs="Times New Roman"/>
          <w:lang w:val="fr-CA"/>
        </w:rPr>
        <w:t>’</w:t>
      </w:r>
      <w:r w:rsidRPr="00017532">
        <w:rPr>
          <w:rFonts w:cs="Times New Roman"/>
          <w:lang w:val="fr-CA"/>
        </w:rPr>
        <w:t>analyse ne doit porter que sur la situation du délinquant qui est à l</w:t>
      </w:r>
      <w:r>
        <w:rPr>
          <w:rFonts w:cs="Times New Roman"/>
          <w:lang w:val="fr-CA"/>
        </w:rPr>
        <w:t>’</w:t>
      </w:r>
      <w:r w:rsidRPr="00017532">
        <w:rPr>
          <w:rFonts w:cs="Times New Roman"/>
          <w:lang w:val="fr-CA"/>
        </w:rPr>
        <w:t>origine de l</w:t>
      </w:r>
      <w:r>
        <w:rPr>
          <w:rFonts w:cs="Times New Roman"/>
          <w:lang w:val="fr-CA"/>
        </w:rPr>
        <w:t>’</w:t>
      </w:r>
      <w:r w:rsidRPr="00017532">
        <w:rPr>
          <w:rFonts w:cs="Times New Roman"/>
          <w:lang w:val="fr-CA"/>
        </w:rPr>
        <w:t xml:space="preserve">instance.) </w:t>
      </w:r>
    </w:p>
    <w:p w:rsidR="002A4851" w:rsidRPr="00017532" w:rsidRDefault="002A4851" w:rsidP="00A659A4">
      <w:pPr>
        <w:pStyle w:val="ParaNoNdepar-AltN"/>
        <w:rPr>
          <w:rFonts w:cs="Times New Roman"/>
          <w:lang w:val="fr-CA"/>
        </w:rPr>
      </w:pPr>
      <w:r w:rsidRPr="00017532">
        <w:rPr>
          <w:rFonts w:cs="Times New Roman"/>
          <w:lang w:val="fr-CA"/>
        </w:rPr>
        <w:lastRenderedPageBreak/>
        <w:t>Pour les motifs qui suivent, je conclus que ne pas tenir compte des applications raisonnablement prévisibles d</w:t>
      </w:r>
      <w:r>
        <w:rPr>
          <w:rFonts w:cs="Times New Roman"/>
          <w:lang w:val="fr-CA"/>
        </w:rPr>
        <w:t>’</w:t>
      </w:r>
      <w:r w:rsidRPr="00017532">
        <w:rPr>
          <w:rFonts w:cs="Times New Roman"/>
          <w:lang w:val="fr-CA"/>
        </w:rPr>
        <w:t>une disposition créant une peine minimale obligatoire irait à l</w:t>
      </w:r>
      <w:r>
        <w:rPr>
          <w:rFonts w:cs="Times New Roman"/>
          <w:lang w:val="fr-CA"/>
        </w:rPr>
        <w:t>’</w:t>
      </w:r>
      <w:r w:rsidRPr="00017532">
        <w:rPr>
          <w:rFonts w:cs="Times New Roman"/>
          <w:lang w:val="fr-CA"/>
        </w:rPr>
        <w:t>encontre de la jurisprudence établie de la Cour et limiterait de manière artificielle l</w:t>
      </w:r>
      <w:r>
        <w:rPr>
          <w:rFonts w:cs="Times New Roman"/>
          <w:lang w:val="fr-CA"/>
        </w:rPr>
        <w:t>’</w:t>
      </w:r>
      <w:r w:rsidRPr="00017532">
        <w:rPr>
          <w:rFonts w:cs="Times New Roman"/>
          <w:lang w:val="fr-CA"/>
        </w:rPr>
        <w:t>analyse portant sur la constitutionnalité de la disposition.</w:t>
      </w:r>
    </w:p>
    <w:p w:rsidR="002A4851" w:rsidRPr="00017532" w:rsidRDefault="002A4851" w:rsidP="00A659A4">
      <w:pPr>
        <w:pStyle w:val="ParaNoNdepar-AltN"/>
        <w:rPr>
          <w:rFonts w:cs="Times New Roman"/>
          <w:lang w:val="fr-CA"/>
        </w:rPr>
      </w:pPr>
      <w:r w:rsidRPr="00017532">
        <w:rPr>
          <w:rFonts w:cs="Times New Roman"/>
          <w:lang w:val="fr-CA"/>
        </w:rPr>
        <w:t>Ne faire porter l</w:t>
      </w:r>
      <w:r>
        <w:rPr>
          <w:rFonts w:cs="Times New Roman"/>
          <w:lang w:val="fr-CA"/>
        </w:rPr>
        <w:t>’</w:t>
      </w:r>
      <w:r w:rsidRPr="00017532">
        <w:rPr>
          <w:rFonts w:cs="Times New Roman"/>
          <w:lang w:val="fr-CA"/>
        </w:rPr>
        <w:t>examen que sur la situation du délinquant en cause va à l</w:t>
      </w:r>
      <w:r>
        <w:rPr>
          <w:rFonts w:cs="Times New Roman"/>
          <w:lang w:val="fr-CA"/>
        </w:rPr>
        <w:t>’</w:t>
      </w:r>
      <w:r w:rsidRPr="00017532">
        <w:rPr>
          <w:rFonts w:cs="Times New Roman"/>
          <w:lang w:val="fr-CA"/>
        </w:rPr>
        <w:t xml:space="preserve">encontre de la jurisprudence de la Cour, établie de longue date, concernant le contrôle constitutionnel au regard de la </w:t>
      </w:r>
      <w:r w:rsidRPr="00017532">
        <w:rPr>
          <w:rFonts w:cs="Times New Roman"/>
          <w:i/>
          <w:lang w:val="fr-CA"/>
        </w:rPr>
        <w:t>Charte</w:t>
      </w:r>
      <w:r w:rsidRPr="00017532">
        <w:rPr>
          <w:rFonts w:cs="Times New Roman"/>
          <w:lang w:val="fr-CA"/>
        </w:rPr>
        <w:t xml:space="preserve"> en général et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en particulier. </w:t>
      </w:r>
    </w:p>
    <w:p w:rsidR="002A4851" w:rsidRPr="00017532" w:rsidRDefault="002A4851" w:rsidP="00A659A4">
      <w:pPr>
        <w:pStyle w:val="ParaNoNdepar-AltN"/>
        <w:rPr>
          <w:rFonts w:cs="Times New Roman"/>
          <w:lang w:val="fr-CA"/>
        </w:rPr>
      </w:pPr>
      <w:r w:rsidRPr="00017532">
        <w:rPr>
          <w:rFonts w:cs="Times New Roman"/>
          <w:lang w:val="fr-CA"/>
        </w:rPr>
        <w:t>Considérons d</w:t>
      </w:r>
      <w:r>
        <w:rPr>
          <w:rFonts w:cs="Times New Roman"/>
          <w:lang w:val="fr-CA"/>
        </w:rPr>
        <w:t>’</w:t>
      </w:r>
      <w:r w:rsidRPr="00017532">
        <w:rPr>
          <w:rFonts w:cs="Times New Roman"/>
          <w:lang w:val="fr-CA"/>
        </w:rPr>
        <w:t xml:space="preserve">abord la jurisprudence sur le contrôle constitutionnel effectué au regard de la </w:t>
      </w:r>
      <w:r w:rsidRPr="00017532">
        <w:rPr>
          <w:rFonts w:cs="Times New Roman"/>
          <w:i/>
          <w:lang w:val="fr-CA"/>
        </w:rPr>
        <w:t>Charte</w:t>
      </w:r>
      <w:r w:rsidRPr="00017532">
        <w:rPr>
          <w:rFonts w:cs="Times New Roman"/>
          <w:lang w:val="fr-CA"/>
        </w:rPr>
        <w:t xml:space="preserve"> en général.</w:t>
      </w:r>
      <w:r w:rsidR="00B029AB">
        <w:rPr>
          <w:rFonts w:cs="Times New Roman"/>
          <w:lang w:val="fr-CA"/>
        </w:rPr>
        <w:t xml:space="preserve"> </w:t>
      </w:r>
      <w:r w:rsidRPr="00017532">
        <w:rPr>
          <w:rFonts w:cs="Times New Roman"/>
          <w:lang w:val="fr-CA"/>
        </w:rPr>
        <w:t>La Cour a toujours estimé qu</w:t>
      </w:r>
      <w:r>
        <w:rPr>
          <w:rFonts w:cs="Times New Roman"/>
          <w:lang w:val="fr-CA"/>
        </w:rPr>
        <w:t>’</w:t>
      </w:r>
      <w:r w:rsidRPr="00017532">
        <w:rPr>
          <w:rFonts w:cs="Times New Roman"/>
          <w:lang w:val="fr-CA"/>
        </w:rPr>
        <w:t>une personne pouvait contester une disposition législative sur le fondement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52 de la </w:t>
      </w:r>
      <w:r w:rsidRPr="00017532">
        <w:rPr>
          <w:rFonts w:cs="Times New Roman"/>
          <w:i/>
          <w:lang w:val="fr-CA"/>
        </w:rPr>
        <w:t>Loi constitutionnelle de 1982</w:t>
      </w:r>
      <w:r w:rsidRPr="00017532">
        <w:rPr>
          <w:rFonts w:cs="Times New Roman"/>
          <w:lang w:val="fr-CA"/>
        </w:rPr>
        <w:t xml:space="preserve"> même lorsque ses propres droits n</w:t>
      </w:r>
      <w:r>
        <w:rPr>
          <w:rFonts w:cs="Times New Roman"/>
          <w:lang w:val="fr-CA"/>
        </w:rPr>
        <w:t>’</w:t>
      </w:r>
      <w:r w:rsidRPr="00017532">
        <w:rPr>
          <w:rFonts w:cs="Times New Roman"/>
          <w:lang w:val="fr-CA"/>
        </w:rPr>
        <w:t>étaient pas bafoués par la disposition (</w:t>
      </w:r>
      <w:r w:rsidRPr="00017532">
        <w:rPr>
          <w:rFonts w:cs="Times New Roman"/>
          <w:i/>
          <w:lang w:val="fr-CA"/>
        </w:rPr>
        <w:t>R. c</w:t>
      </w:r>
      <w:r>
        <w:rPr>
          <w:rFonts w:cs="Times New Roman"/>
          <w:i/>
          <w:lang w:val="fr-CA"/>
        </w:rPr>
        <w:t>.</w:t>
      </w:r>
      <w:r w:rsidRPr="00017532">
        <w:rPr>
          <w:rFonts w:cs="Times New Roman"/>
          <w:i/>
          <w:lang w:val="fr-CA"/>
        </w:rPr>
        <w:t xml:space="preserve"> Big M Drug Mart Ltd.</w:t>
      </w:r>
      <w:r w:rsidRPr="00017532">
        <w:rPr>
          <w:rFonts w:cs="Times New Roman"/>
          <w:lang w:val="fr-CA"/>
        </w:rPr>
        <w:t>, [1985] 1 R.C.S. 295, p.</w:t>
      </w:r>
      <w:r w:rsidR="00B029AB">
        <w:rPr>
          <w:rFonts w:cs="Times New Roman"/>
          <w:lang w:val="fr-CA"/>
        </w:rPr>
        <w:t xml:space="preserve"> </w:t>
      </w:r>
      <w:r w:rsidRPr="00017532">
        <w:rPr>
          <w:rFonts w:cs="Times New Roman"/>
          <w:lang w:val="fr-CA"/>
        </w:rPr>
        <w:t xml:space="preserve">314; </w:t>
      </w:r>
      <w:r w:rsidRPr="00017532">
        <w:rPr>
          <w:rFonts w:cs="Times New Roman"/>
          <w:i/>
          <w:lang w:val="fr-CA"/>
        </w:rPr>
        <w:t>R. c. Morgentaler</w:t>
      </w:r>
      <w:r w:rsidRPr="00017532">
        <w:rPr>
          <w:rFonts w:cs="Times New Roman"/>
          <w:lang w:val="fr-CA"/>
        </w:rPr>
        <w:t xml:space="preserve">, [1988] 1 R.C.S. 30; </w:t>
      </w:r>
      <w:r w:rsidRPr="00017532">
        <w:rPr>
          <w:rFonts w:cs="Times New Roman"/>
          <w:i/>
          <w:lang w:val="fr-CA"/>
        </w:rPr>
        <w:t>R. c. Wholesale Travel Group Inc.</w:t>
      </w:r>
      <w:r w:rsidRPr="00017532">
        <w:rPr>
          <w:rFonts w:cs="Times New Roman"/>
          <w:lang w:val="fr-CA"/>
        </w:rPr>
        <w:t xml:space="preserve">, [1991] 3 R.C.S. 154; </w:t>
      </w:r>
      <w:r w:rsidRPr="00017532">
        <w:rPr>
          <w:rFonts w:cs="Times New Roman"/>
          <w:i/>
          <w:lang w:val="fr-CA"/>
        </w:rPr>
        <w:t xml:space="preserve">R. </w:t>
      </w:r>
      <w:r>
        <w:rPr>
          <w:rFonts w:cs="Times New Roman"/>
          <w:i/>
          <w:lang w:val="fr-CA"/>
        </w:rPr>
        <w:t>c</w:t>
      </w:r>
      <w:r w:rsidRPr="00017532">
        <w:rPr>
          <w:rFonts w:cs="Times New Roman"/>
          <w:i/>
          <w:lang w:val="fr-CA"/>
        </w:rPr>
        <w:t>. Heywood</w:t>
      </w:r>
      <w:r w:rsidRPr="00017532">
        <w:rPr>
          <w:rFonts w:cs="Times New Roman"/>
          <w:lang w:val="fr-CA"/>
        </w:rPr>
        <w:t xml:space="preserve">, [1994] 3 R.C.S. 761; </w:t>
      </w:r>
      <w:r w:rsidRPr="00017532">
        <w:rPr>
          <w:rFonts w:cs="Times New Roman"/>
          <w:i/>
          <w:lang w:val="fr-CA"/>
        </w:rPr>
        <w:t>R. c. Mills</w:t>
      </w:r>
      <w:r w:rsidRPr="00017532">
        <w:rPr>
          <w:rFonts w:cs="Times New Roman"/>
          <w:lang w:val="fr-CA"/>
        </w:rPr>
        <w:t xml:space="preserve">, [1999] 3 R.C.S. 668; </w:t>
      </w:r>
      <w:r w:rsidRPr="00017532">
        <w:rPr>
          <w:rFonts w:cs="Times New Roman"/>
          <w:i/>
          <w:lang w:val="fr-CA"/>
        </w:rPr>
        <w:t>R. c.</w:t>
      </w:r>
      <w:r w:rsidRPr="00017532">
        <w:rPr>
          <w:rFonts w:cs="Times New Roman"/>
          <w:lang w:val="fr-CA"/>
        </w:rPr>
        <w:t xml:space="preserve"> </w:t>
      </w:r>
      <w:r w:rsidRPr="00017532">
        <w:rPr>
          <w:rFonts w:cs="Times New Roman"/>
          <w:i/>
          <w:lang w:val="fr-CA"/>
        </w:rPr>
        <w:t>Ferguson</w:t>
      </w:r>
      <w:r w:rsidRPr="00017532">
        <w:rPr>
          <w:rFonts w:cs="Times New Roman"/>
          <w:lang w:val="fr-CA"/>
        </w:rPr>
        <w:t>, 2008 CSC 6, [2008] 1 R.C.S. 96, par.</w:t>
      </w:r>
      <w:r w:rsidR="00B029AB">
        <w:rPr>
          <w:rFonts w:cs="Times New Roman"/>
          <w:lang w:val="fr-CA"/>
        </w:rPr>
        <w:t xml:space="preserve"> </w:t>
      </w:r>
      <w:r w:rsidRPr="00017532">
        <w:rPr>
          <w:rFonts w:cs="Times New Roman"/>
          <w:lang w:val="fr-CA"/>
        </w:rPr>
        <w:t>58</w:t>
      </w:r>
      <w:r w:rsidR="00B029AB">
        <w:rPr>
          <w:rFonts w:cs="Times New Roman"/>
          <w:lang w:val="fr-CA"/>
        </w:rPr>
        <w:t>-</w:t>
      </w:r>
      <w:r w:rsidRPr="00017532">
        <w:rPr>
          <w:rFonts w:cs="Times New Roman"/>
          <w:lang w:val="fr-CA"/>
        </w:rPr>
        <w:t>66). Comme je l</w:t>
      </w:r>
      <w:r>
        <w:rPr>
          <w:rFonts w:cs="Times New Roman"/>
          <w:lang w:val="fr-CA"/>
        </w:rPr>
        <w:t>’</w:t>
      </w:r>
      <w:r w:rsidRPr="00017532">
        <w:rPr>
          <w:rFonts w:cs="Times New Roman"/>
          <w:lang w:val="fr-CA"/>
        </w:rPr>
        <w:t>indique dans l</w:t>
      </w:r>
      <w:r>
        <w:rPr>
          <w:rFonts w:cs="Times New Roman"/>
          <w:lang w:val="fr-CA"/>
        </w:rPr>
        <w:t>’</w:t>
      </w:r>
      <w:r w:rsidRPr="00017532">
        <w:rPr>
          <w:rFonts w:cs="Times New Roman"/>
          <w:lang w:val="fr-CA"/>
        </w:rPr>
        <w:t xml:space="preserve">arrêt </w:t>
      </w:r>
      <w:r w:rsidRPr="00017532">
        <w:rPr>
          <w:rFonts w:cs="Times New Roman"/>
          <w:i/>
          <w:lang w:val="fr-CA"/>
        </w:rPr>
        <w:t>Ferguson</w:t>
      </w:r>
      <w:r w:rsidRPr="00017532">
        <w:rPr>
          <w:rFonts w:cs="Times New Roman"/>
          <w:lang w:val="fr-CA"/>
        </w:rPr>
        <w:t xml:space="preserve">, </w:t>
      </w:r>
      <w:r w:rsidR="00B029AB">
        <w:rPr>
          <w:rFonts w:cs="Times New Roman"/>
          <w:lang w:val="fr-CA"/>
        </w:rPr>
        <w:t>« </w:t>
      </w:r>
      <w:r w:rsidRPr="00017532">
        <w:rPr>
          <w:rFonts w:cs="Times New Roman"/>
          <w:lang w:val="fr-CA"/>
        </w:rPr>
        <w:t>[u]n demandeur qui a par ailleurs qualité pour agir peut généralement solliciter une déclaration d</w:t>
      </w:r>
      <w:r>
        <w:rPr>
          <w:rFonts w:cs="Times New Roman"/>
          <w:lang w:val="fr-CA"/>
        </w:rPr>
        <w:t>’</w:t>
      </w:r>
      <w:r w:rsidRPr="00017532">
        <w:rPr>
          <w:rFonts w:cs="Times New Roman"/>
          <w:lang w:val="fr-CA"/>
        </w:rPr>
        <w:t>invalidité en application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52 au motif qu</w:t>
      </w:r>
      <w:r>
        <w:rPr>
          <w:rFonts w:cs="Times New Roman"/>
          <w:lang w:val="fr-CA"/>
        </w:rPr>
        <w:t>’</w:t>
      </w:r>
      <w:r w:rsidRPr="00017532">
        <w:rPr>
          <w:rFonts w:cs="Times New Roman"/>
          <w:lang w:val="fr-CA"/>
        </w:rPr>
        <w:t>une disposition a des effets inconstitutionnels pour lui</w:t>
      </w:r>
      <w:r w:rsidR="00B029AB">
        <w:rPr>
          <w:rFonts w:cs="Times New Roman"/>
          <w:lang w:val="fr-CA"/>
        </w:rPr>
        <w:t>-</w:t>
      </w:r>
      <w:r w:rsidRPr="00017532">
        <w:rPr>
          <w:rFonts w:cs="Times New Roman"/>
          <w:lang w:val="fr-CA"/>
        </w:rPr>
        <w:t>même ou pour des tiers</w:t>
      </w:r>
      <w:r w:rsidR="00B029AB">
        <w:rPr>
          <w:rFonts w:cs="Times New Roman"/>
          <w:lang w:val="fr-CA"/>
        </w:rPr>
        <w:t> »</w:t>
      </w:r>
      <w:r w:rsidRPr="00017532">
        <w:rPr>
          <w:rFonts w:cs="Times New Roman"/>
          <w:lang w:val="fr-CA"/>
        </w:rPr>
        <w:t xml:space="preserve"> (par.</w:t>
      </w:r>
      <w:r w:rsidR="00B029AB">
        <w:rPr>
          <w:rFonts w:cs="Times New Roman"/>
          <w:lang w:val="fr-CA"/>
        </w:rPr>
        <w:t xml:space="preserve"> </w:t>
      </w:r>
      <w:r w:rsidRPr="00017532">
        <w:rPr>
          <w:rFonts w:cs="Times New Roman"/>
          <w:lang w:val="fr-CA"/>
        </w:rPr>
        <w:t xml:space="preserve">59). Il en est ainsi parce que </w:t>
      </w:r>
      <w:r w:rsidR="00B029AB">
        <w:rPr>
          <w:rFonts w:cs="Times New Roman"/>
          <w:lang w:val="fr-CA"/>
        </w:rPr>
        <w:t>« </w:t>
      </w:r>
      <w:r w:rsidRPr="00017532">
        <w:rPr>
          <w:rFonts w:cs="Times New Roman"/>
          <w:lang w:val="fr-CA"/>
        </w:rPr>
        <w:t>[c]</w:t>
      </w:r>
      <w:r>
        <w:rPr>
          <w:rFonts w:cs="Times New Roman"/>
          <w:lang w:val="fr-CA"/>
        </w:rPr>
        <w:t>’</w:t>
      </w:r>
      <w:r w:rsidRPr="00017532">
        <w:rPr>
          <w:rFonts w:cs="Times New Roman"/>
          <w:lang w:val="fr-CA"/>
        </w:rPr>
        <w:t>est la nature de la loi, et non pas le statut de l</w:t>
      </w:r>
      <w:r>
        <w:rPr>
          <w:rFonts w:cs="Times New Roman"/>
          <w:lang w:val="fr-CA"/>
        </w:rPr>
        <w:t>’</w:t>
      </w:r>
      <w:r w:rsidRPr="00017532">
        <w:rPr>
          <w:rFonts w:cs="Times New Roman"/>
          <w:lang w:val="fr-CA"/>
        </w:rPr>
        <w:t>accusé, qui est en question</w:t>
      </w:r>
      <w:r w:rsidR="00B029AB">
        <w:rPr>
          <w:rFonts w:cs="Times New Roman"/>
          <w:lang w:val="fr-CA"/>
        </w:rPr>
        <w:t> »</w:t>
      </w:r>
      <w:r w:rsidRPr="00017532">
        <w:rPr>
          <w:rFonts w:cs="Times New Roman"/>
          <w:lang w:val="fr-CA"/>
        </w:rPr>
        <w:t xml:space="preserve"> (</w:t>
      </w:r>
      <w:r w:rsidRPr="00017532">
        <w:rPr>
          <w:rFonts w:cs="Times New Roman"/>
          <w:i/>
          <w:lang w:val="fr-CA"/>
        </w:rPr>
        <w:t>Big M</w:t>
      </w:r>
      <w:r w:rsidRPr="00017532">
        <w:rPr>
          <w:rFonts w:cs="Times New Roman"/>
          <w:lang w:val="fr-CA"/>
        </w:rPr>
        <w:t>, p.</w:t>
      </w:r>
      <w:r w:rsidR="00B029AB">
        <w:rPr>
          <w:rFonts w:cs="Times New Roman"/>
          <w:lang w:val="fr-CA"/>
        </w:rPr>
        <w:t xml:space="preserve"> </w:t>
      </w:r>
      <w:r w:rsidRPr="00017532">
        <w:rPr>
          <w:rFonts w:cs="Times New Roman"/>
          <w:lang w:val="fr-CA"/>
        </w:rPr>
        <w:t>314, le juge Dickson). Non seulement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52 de la </w:t>
      </w:r>
      <w:r w:rsidRPr="00017532">
        <w:rPr>
          <w:rFonts w:cs="Times New Roman"/>
          <w:i/>
          <w:lang w:val="fr-CA"/>
        </w:rPr>
        <w:t>Loi constitutionnelle de 1982</w:t>
      </w:r>
      <w:r w:rsidRPr="00017532">
        <w:rPr>
          <w:rFonts w:cs="Times New Roman"/>
          <w:lang w:val="fr-CA"/>
        </w:rPr>
        <w:t xml:space="preserve"> consacre la primauté de la Constitution, mais il </w:t>
      </w:r>
      <w:r w:rsidRPr="00017532">
        <w:rPr>
          <w:rFonts w:cs="Times New Roman"/>
          <w:lang w:val="fr-CA"/>
        </w:rPr>
        <w:lastRenderedPageBreak/>
        <w:t>dispose que celle</w:t>
      </w:r>
      <w:r w:rsidR="00B029AB">
        <w:rPr>
          <w:rFonts w:cs="Times New Roman"/>
          <w:lang w:val="fr-CA"/>
        </w:rPr>
        <w:t>-</w:t>
      </w:r>
      <w:r w:rsidRPr="00017532">
        <w:rPr>
          <w:rFonts w:cs="Times New Roman"/>
          <w:lang w:val="fr-CA"/>
        </w:rPr>
        <w:t xml:space="preserve">ci </w:t>
      </w:r>
      <w:r w:rsidR="00B029AB">
        <w:rPr>
          <w:rFonts w:cs="Times New Roman"/>
          <w:lang w:val="fr-CA"/>
        </w:rPr>
        <w:t>« </w:t>
      </w:r>
      <w:r w:rsidRPr="00017532">
        <w:rPr>
          <w:rFonts w:cs="Times New Roman"/>
          <w:lang w:val="fr-CA"/>
        </w:rPr>
        <w:t>rend inopérantes les dispositions incompatibles de toute autre règle de droit</w:t>
      </w:r>
      <w:r w:rsidR="00B029AB">
        <w:rPr>
          <w:rFonts w:cs="Times New Roman"/>
          <w:lang w:val="fr-CA"/>
        </w:rPr>
        <w:t> »</w:t>
      </w:r>
      <w:r w:rsidRPr="00017532">
        <w:rPr>
          <w:rFonts w:cs="Times New Roman"/>
          <w:lang w:val="fr-CA"/>
        </w:rPr>
        <w:t>. Si une loi inconstitutionnelle ne pouvait être contestée qu</w:t>
      </w:r>
      <w:r>
        <w:rPr>
          <w:rFonts w:cs="Times New Roman"/>
          <w:lang w:val="fr-CA"/>
        </w:rPr>
        <w:t>’</w:t>
      </w:r>
      <w:r w:rsidRPr="00017532">
        <w:rPr>
          <w:rFonts w:cs="Times New Roman"/>
          <w:lang w:val="fr-CA"/>
        </w:rPr>
        <w:t>au regard des faits précis d</w:t>
      </w:r>
      <w:r>
        <w:rPr>
          <w:rFonts w:cs="Times New Roman"/>
          <w:lang w:val="fr-CA"/>
        </w:rPr>
        <w:t>’</w:t>
      </w:r>
      <w:r w:rsidRPr="00017532">
        <w:rPr>
          <w:rFonts w:cs="Times New Roman"/>
          <w:lang w:val="fr-CA"/>
        </w:rPr>
        <w:t>une instance donnée, des lois invalides pourraient demeurer en vigueur indéfiniment, ce qui irait à l</w:t>
      </w:r>
      <w:r>
        <w:rPr>
          <w:rFonts w:cs="Times New Roman"/>
          <w:lang w:val="fr-CA"/>
        </w:rPr>
        <w:t>’</w:t>
      </w:r>
      <w:r w:rsidRPr="00017532">
        <w:rPr>
          <w:rFonts w:cs="Times New Roman"/>
          <w:lang w:val="fr-CA"/>
        </w:rPr>
        <w:t>encontre de la primauté du droit. Nul ne doit être soumis à une loi inconstitutionnelle (</w:t>
      </w:r>
      <w:r w:rsidRPr="00017532">
        <w:rPr>
          <w:rFonts w:cs="Times New Roman"/>
          <w:i/>
          <w:lang w:val="fr-CA"/>
        </w:rPr>
        <w:t>Big M</w:t>
      </w:r>
      <w:r w:rsidRPr="00017532">
        <w:rPr>
          <w:rFonts w:cs="Times New Roman"/>
          <w:lang w:val="fr-CA"/>
        </w:rPr>
        <w:t>, p.</w:t>
      </w:r>
      <w:r w:rsidR="00B029AB">
        <w:rPr>
          <w:rFonts w:cs="Times New Roman"/>
          <w:lang w:val="fr-CA"/>
        </w:rPr>
        <w:t xml:space="preserve"> </w:t>
      </w:r>
      <w:r w:rsidRPr="00017532">
        <w:rPr>
          <w:rFonts w:cs="Times New Roman"/>
          <w:lang w:val="fr-CA"/>
        </w:rPr>
        <w:t>313). Est ainsi consacré le principe de l</w:t>
      </w:r>
      <w:r>
        <w:rPr>
          <w:rFonts w:cs="Times New Roman"/>
          <w:lang w:val="fr-CA"/>
        </w:rPr>
        <w:t>’</w:t>
      </w:r>
      <w:r w:rsidRPr="00017532">
        <w:rPr>
          <w:rFonts w:cs="Times New Roman"/>
          <w:lang w:val="fr-CA"/>
        </w:rPr>
        <w:t xml:space="preserve">appartenance de la </w:t>
      </w:r>
      <w:r>
        <w:rPr>
          <w:rFonts w:cs="Times New Roman"/>
          <w:lang w:val="fr-CA"/>
        </w:rPr>
        <w:t>Constitution</w:t>
      </w:r>
      <w:r w:rsidRPr="00017532">
        <w:rPr>
          <w:rFonts w:cs="Times New Roman"/>
          <w:lang w:val="fr-CA"/>
        </w:rPr>
        <w:t xml:space="preserve"> à tous les citoyens, lesquels possèdent en commun le droit à l</w:t>
      </w:r>
      <w:r>
        <w:rPr>
          <w:rFonts w:cs="Times New Roman"/>
          <w:lang w:val="fr-CA"/>
        </w:rPr>
        <w:t>’</w:t>
      </w:r>
      <w:r w:rsidRPr="00017532">
        <w:rPr>
          <w:rFonts w:cs="Times New Roman"/>
          <w:lang w:val="fr-CA"/>
        </w:rPr>
        <w:t>application constitutionnelle des lois canadiennes.</w:t>
      </w:r>
    </w:p>
    <w:p w:rsidR="002A4851" w:rsidRPr="00017532" w:rsidRDefault="002A4851" w:rsidP="00A659A4">
      <w:pPr>
        <w:pStyle w:val="ParaNoNdepar-AltN"/>
        <w:rPr>
          <w:rFonts w:cs="Times New Roman"/>
          <w:lang w:val="fr-CA"/>
        </w:rPr>
      </w:pPr>
      <w:r w:rsidRPr="00017532">
        <w:rPr>
          <w:rFonts w:cs="Times New Roman"/>
          <w:lang w:val="fr-CA"/>
        </w:rPr>
        <w:t>L</w:t>
      </w:r>
      <w:r>
        <w:rPr>
          <w:rFonts w:cs="Times New Roman"/>
          <w:lang w:val="fr-CA"/>
        </w:rPr>
        <w:t>’</w:t>
      </w:r>
      <w:r w:rsidRPr="00017532">
        <w:rPr>
          <w:rFonts w:cs="Times New Roman"/>
          <w:lang w:val="fr-CA"/>
        </w:rPr>
        <w:t>argument selon lequel l</w:t>
      </w:r>
      <w:r>
        <w:rPr>
          <w:rFonts w:cs="Times New Roman"/>
          <w:lang w:val="fr-CA"/>
        </w:rPr>
        <w:t>’</w:t>
      </w:r>
      <w:r w:rsidRPr="00017532">
        <w:rPr>
          <w:rFonts w:cs="Times New Roman"/>
          <w:lang w:val="fr-CA"/>
        </w:rPr>
        <w:t>analyse doit s</w:t>
      </w:r>
      <w:r>
        <w:rPr>
          <w:rFonts w:cs="Times New Roman"/>
          <w:lang w:val="fr-CA"/>
        </w:rPr>
        <w:t>’</w:t>
      </w:r>
      <w:r w:rsidRPr="00017532">
        <w:rPr>
          <w:rFonts w:cs="Times New Roman"/>
          <w:lang w:val="fr-CA"/>
        </w:rPr>
        <w:t>attacher principalement, voire uniquement, à la situation du délinquant qui saisit le tribunal va également à l</w:t>
      </w:r>
      <w:r>
        <w:rPr>
          <w:rFonts w:cs="Times New Roman"/>
          <w:lang w:val="fr-CA"/>
        </w:rPr>
        <w:t>’</w:t>
      </w:r>
      <w:r w:rsidRPr="00017532">
        <w:rPr>
          <w:rFonts w:cs="Times New Roman"/>
          <w:lang w:val="fr-CA"/>
        </w:rPr>
        <w:t>encontre de la jurisprudence de la Cour sur le contrôle constitutionnel d</w:t>
      </w:r>
      <w:r>
        <w:rPr>
          <w:rFonts w:cs="Times New Roman"/>
          <w:lang w:val="fr-CA"/>
        </w:rPr>
        <w:t>’</w:t>
      </w:r>
      <w:r w:rsidRPr="00017532">
        <w:rPr>
          <w:rFonts w:cs="Times New Roman"/>
          <w:lang w:val="fr-CA"/>
        </w:rPr>
        <w:t>une peine minimale obligatoire au regard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La Cour a parfois dit de ce contrôle qu</w:t>
      </w:r>
      <w:r>
        <w:rPr>
          <w:rFonts w:cs="Times New Roman"/>
          <w:lang w:val="fr-CA"/>
        </w:rPr>
        <w:t>’</w:t>
      </w:r>
      <w:r w:rsidRPr="00017532">
        <w:rPr>
          <w:rFonts w:cs="Times New Roman"/>
          <w:lang w:val="fr-CA"/>
        </w:rPr>
        <w:t xml:space="preserve">il était effectué en fonction de </w:t>
      </w:r>
      <w:r w:rsidR="00B029AB">
        <w:rPr>
          <w:rFonts w:cs="Times New Roman"/>
          <w:lang w:val="fr-CA"/>
        </w:rPr>
        <w:t>« </w:t>
      </w:r>
      <w:r w:rsidRPr="00017532">
        <w:rPr>
          <w:rFonts w:cs="Times New Roman"/>
          <w:lang w:val="fr-CA"/>
        </w:rPr>
        <w:t>situations hypothétiques raisonnables</w:t>
      </w:r>
      <w:r w:rsidR="00B029AB">
        <w:rPr>
          <w:rFonts w:cs="Times New Roman"/>
          <w:lang w:val="fr-CA"/>
        </w:rPr>
        <w:t> »</w:t>
      </w:r>
      <w:r w:rsidRPr="00017532">
        <w:rPr>
          <w:rFonts w:cs="Times New Roman"/>
          <w:lang w:val="fr-CA"/>
        </w:rPr>
        <w:t>. La procureure générale de l</w:t>
      </w:r>
      <w:r>
        <w:rPr>
          <w:rFonts w:cs="Times New Roman"/>
          <w:lang w:val="fr-CA"/>
        </w:rPr>
        <w:t>’</w:t>
      </w:r>
      <w:r w:rsidRPr="00017532">
        <w:rPr>
          <w:rFonts w:cs="Times New Roman"/>
          <w:lang w:val="fr-CA"/>
        </w:rPr>
        <w:t>Ontario admet que les décisions rendues sur le fondement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militent en faveur de la prise en compte de la situation d</w:t>
      </w:r>
      <w:r>
        <w:rPr>
          <w:rFonts w:cs="Times New Roman"/>
          <w:lang w:val="fr-CA"/>
        </w:rPr>
        <w:t>’</w:t>
      </w:r>
      <w:r w:rsidRPr="00017532">
        <w:rPr>
          <w:rFonts w:cs="Times New Roman"/>
          <w:lang w:val="fr-CA"/>
        </w:rPr>
        <w:t>autres personnes que l</w:t>
      </w:r>
      <w:r>
        <w:rPr>
          <w:rFonts w:cs="Times New Roman"/>
          <w:lang w:val="fr-CA"/>
        </w:rPr>
        <w:t>’</w:t>
      </w:r>
      <w:r w:rsidRPr="00017532">
        <w:rPr>
          <w:rFonts w:cs="Times New Roman"/>
          <w:lang w:val="fr-CA"/>
        </w:rPr>
        <w:t xml:space="preserve">auteur de la contestation, mais elle nous demande de revenir sur ces décisions. Elle affirme que les décisions qui définissent la </w:t>
      </w:r>
      <w:r w:rsidR="00B029AB">
        <w:rPr>
          <w:rFonts w:cs="Times New Roman"/>
          <w:lang w:val="fr-CA"/>
        </w:rPr>
        <w:t>« </w:t>
      </w:r>
      <w:r w:rsidRPr="00017532">
        <w:rPr>
          <w:rFonts w:cs="Times New Roman"/>
          <w:lang w:val="fr-CA"/>
        </w:rPr>
        <w:t>situation hypothétique raisonnable</w:t>
      </w:r>
      <w:r w:rsidR="00B029AB">
        <w:rPr>
          <w:rFonts w:cs="Times New Roman"/>
          <w:lang w:val="fr-CA"/>
        </w:rPr>
        <w:t> »</w:t>
      </w:r>
      <w:r w:rsidRPr="00017532">
        <w:rPr>
          <w:rFonts w:cs="Times New Roman"/>
          <w:lang w:val="fr-CA"/>
        </w:rPr>
        <w:t xml:space="preserve"> sont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inconciliables entre elles</w:t>
      </w:r>
      <w:r w:rsidR="00B029AB">
        <w:rPr>
          <w:rFonts w:cs="Times New Roman"/>
          <w:lang w:val="fr-CA"/>
        </w:rPr>
        <w:t> »</w:t>
      </w:r>
      <w:r w:rsidRPr="00017532">
        <w:rPr>
          <w:rFonts w:cs="Times New Roman"/>
          <w:lang w:val="fr-CA"/>
        </w:rPr>
        <w:t>. L</w:t>
      </w:r>
      <w:r>
        <w:rPr>
          <w:rFonts w:cs="Times New Roman"/>
          <w:lang w:val="fr-CA"/>
        </w:rPr>
        <w:t>’</w:t>
      </w:r>
      <w:r w:rsidRPr="00017532">
        <w:rPr>
          <w:rFonts w:cs="Times New Roman"/>
          <w:lang w:val="fr-CA"/>
        </w:rPr>
        <w:t>examen de la jurisprudence lui donne malheureusement tort.</w:t>
      </w:r>
    </w:p>
    <w:p w:rsidR="002A4851" w:rsidRPr="00017532" w:rsidRDefault="002A4851" w:rsidP="00A659A4">
      <w:pPr>
        <w:pStyle w:val="ParaNoNdepar-AltN"/>
        <w:rPr>
          <w:rFonts w:cs="Times New Roman"/>
          <w:lang w:val="fr-CA"/>
        </w:rPr>
      </w:pPr>
      <w:r w:rsidRPr="00017532">
        <w:rPr>
          <w:rFonts w:cs="Times New Roman"/>
          <w:lang w:val="fr-CA"/>
        </w:rPr>
        <w:t>Dans l</w:t>
      </w:r>
      <w:r>
        <w:rPr>
          <w:rFonts w:cs="Times New Roman"/>
          <w:lang w:val="fr-CA"/>
        </w:rPr>
        <w:t>’</w:t>
      </w:r>
      <w:r w:rsidRPr="00017532">
        <w:rPr>
          <w:rFonts w:cs="Times New Roman"/>
          <w:lang w:val="fr-CA"/>
        </w:rPr>
        <w:t>arrêt</w:t>
      </w:r>
      <w:r w:rsidRPr="00017532">
        <w:rPr>
          <w:rFonts w:cs="Times New Roman"/>
          <w:i/>
          <w:lang w:val="fr-CA"/>
        </w:rPr>
        <w:t xml:space="preserve"> Smith</w:t>
      </w:r>
      <w:r w:rsidRPr="00017532">
        <w:rPr>
          <w:rFonts w:cs="Times New Roman"/>
          <w:lang w:val="fr-CA"/>
        </w:rPr>
        <w:t>, le premier rendu sur ce point, les juges majoritaires de la Cour, par la voix du juge Lamer (plus tard Juge en chef), ont invalidé une peine minimale obligatoire de sept ans d</w:t>
      </w:r>
      <w:r>
        <w:rPr>
          <w:rFonts w:cs="Times New Roman"/>
          <w:lang w:val="fr-CA"/>
        </w:rPr>
        <w:t>’</w:t>
      </w:r>
      <w:r w:rsidRPr="00017532">
        <w:rPr>
          <w:rFonts w:cs="Times New Roman"/>
          <w:lang w:val="fr-CA"/>
        </w:rPr>
        <w:t>emprisonnement prévue pour l</w:t>
      </w:r>
      <w:r>
        <w:rPr>
          <w:rFonts w:cs="Times New Roman"/>
          <w:lang w:val="fr-CA"/>
        </w:rPr>
        <w:t>’</w:t>
      </w:r>
      <w:r w:rsidRPr="00017532">
        <w:rPr>
          <w:rFonts w:cs="Times New Roman"/>
          <w:lang w:val="fr-CA"/>
        </w:rPr>
        <w:t xml:space="preserve">importation de </w:t>
      </w:r>
      <w:r w:rsidRPr="00017532">
        <w:rPr>
          <w:rFonts w:cs="Times New Roman"/>
          <w:lang w:val="fr-CA"/>
        </w:rPr>
        <w:lastRenderedPageBreak/>
        <w:t>stupéfiants au motif que la disposition qui la prévoyait pouvait s</w:t>
      </w:r>
      <w:r>
        <w:rPr>
          <w:rFonts w:cs="Times New Roman"/>
          <w:lang w:val="fr-CA"/>
        </w:rPr>
        <w:t>’</w:t>
      </w:r>
      <w:r w:rsidRPr="00017532">
        <w:rPr>
          <w:rFonts w:cs="Times New Roman"/>
          <w:lang w:val="fr-CA"/>
        </w:rPr>
        <w:t>appliquer à un étudiant qui, de retour des États</w:t>
      </w:r>
      <w:r w:rsidR="00B029AB">
        <w:rPr>
          <w:rFonts w:cs="Times New Roman"/>
          <w:lang w:val="fr-CA"/>
        </w:rPr>
        <w:t>-</w:t>
      </w:r>
      <w:r w:rsidRPr="00017532">
        <w:rPr>
          <w:rFonts w:cs="Times New Roman"/>
          <w:lang w:val="fr-CA"/>
        </w:rPr>
        <w:t>Unis, était trouvé en possession de son premier joint de marijuana. La Cour a alors reconnu que, à quelques exceptions près, une longue peine carcérale était indiquée pour les personnes qui importaient de la drogue au pays. Elle a cependant statué que, dans la mesure où il était totalement disproportionné qu</w:t>
      </w:r>
      <w:r>
        <w:rPr>
          <w:rFonts w:cs="Times New Roman"/>
          <w:lang w:val="fr-CA"/>
        </w:rPr>
        <w:t>’</w:t>
      </w:r>
      <w:r w:rsidRPr="00017532">
        <w:rPr>
          <w:rFonts w:cs="Times New Roman"/>
          <w:lang w:val="fr-CA"/>
        </w:rPr>
        <w:t>une peine carcérale de sept ans s</w:t>
      </w:r>
      <w:r>
        <w:rPr>
          <w:rFonts w:cs="Times New Roman"/>
          <w:lang w:val="fr-CA"/>
        </w:rPr>
        <w:t>’</w:t>
      </w:r>
      <w:r w:rsidRPr="00017532">
        <w:rPr>
          <w:rFonts w:cs="Times New Roman"/>
          <w:lang w:val="fr-CA"/>
        </w:rPr>
        <w:t>applique à certaines personnes, la peine prévue contrevenait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qui garantit la protection de chacun contre les peines cruelles et inusitées.</w:t>
      </w:r>
    </w:p>
    <w:p w:rsidR="002A4851" w:rsidRPr="00017532" w:rsidRDefault="002A4851" w:rsidP="00A659A4">
      <w:pPr>
        <w:pStyle w:val="ParaNoNdepar-AltN"/>
        <w:rPr>
          <w:rFonts w:cs="Times New Roman"/>
          <w:lang w:val="fr-CA"/>
        </w:rPr>
      </w:pPr>
      <w:r w:rsidRPr="00017532">
        <w:rPr>
          <w:rFonts w:cs="Times New Roman"/>
          <w:lang w:val="fr-CA"/>
        </w:rPr>
        <w:t>Quelques années plus tard, dans l</w:t>
      </w:r>
      <w:r>
        <w:rPr>
          <w:rFonts w:cs="Times New Roman"/>
          <w:lang w:val="fr-CA"/>
        </w:rPr>
        <w:t>’</w:t>
      </w:r>
      <w:r w:rsidRPr="00017532">
        <w:rPr>
          <w:rFonts w:cs="Times New Roman"/>
          <w:lang w:val="fr-CA"/>
        </w:rPr>
        <w:t xml:space="preserve">arrêt </w:t>
      </w:r>
      <w:r w:rsidRPr="00017532">
        <w:rPr>
          <w:rFonts w:cs="Times New Roman"/>
          <w:i/>
          <w:lang w:val="fr-CA"/>
        </w:rPr>
        <w:t>R. c.</w:t>
      </w:r>
      <w:r w:rsidRPr="00017532">
        <w:rPr>
          <w:rFonts w:cs="Times New Roman"/>
          <w:lang w:val="fr-CA"/>
        </w:rPr>
        <w:t xml:space="preserve"> </w:t>
      </w:r>
      <w:r w:rsidRPr="00017532">
        <w:rPr>
          <w:rFonts w:cs="Times New Roman"/>
          <w:i/>
          <w:lang w:val="fr-CA"/>
        </w:rPr>
        <w:t>Goltz</w:t>
      </w:r>
      <w:r w:rsidRPr="00017532">
        <w:rPr>
          <w:rFonts w:cs="Times New Roman"/>
          <w:lang w:val="fr-CA"/>
        </w:rPr>
        <w:t>, [1991] 3 R.C.S. 485, le juge Gonthier, au nom des juges majoritaires de la Cour, confirmait que, lorsqu</w:t>
      </w:r>
      <w:r>
        <w:rPr>
          <w:rFonts w:cs="Times New Roman"/>
          <w:lang w:val="fr-CA"/>
        </w:rPr>
        <w:t>’</w:t>
      </w:r>
      <w:r w:rsidRPr="00017532">
        <w:rPr>
          <w:rFonts w:cs="Times New Roman"/>
          <w:lang w:val="fr-CA"/>
        </w:rPr>
        <w:t>il se fondait sur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le contrôle constitutionnel d</w:t>
      </w:r>
      <w:r>
        <w:rPr>
          <w:rFonts w:cs="Times New Roman"/>
          <w:lang w:val="fr-CA"/>
        </w:rPr>
        <w:t>’</w:t>
      </w:r>
      <w:r w:rsidRPr="00017532">
        <w:rPr>
          <w:rFonts w:cs="Times New Roman"/>
          <w:lang w:val="fr-CA"/>
        </w:rPr>
        <w:t>une disposition prévoyant une peine minimale obligatoire d</w:t>
      </w:r>
      <w:r>
        <w:rPr>
          <w:rFonts w:cs="Times New Roman"/>
          <w:lang w:val="fr-CA"/>
        </w:rPr>
        <w:t>’</w:t>
      </w:r>
      <w:r w:rsidRPr="00017532">
        <w:rPr>
          <w:rFonts w:cs="Times New Roman"/>
          <w:lang w:val="fr-CA"/>
        </w:rPr>
        <w:t>emprisonnement pouvait s</w:t>
      </w:r>
      <w:r>
        <w:rPr>
          <w:rFonts w:cs="Times New Roman"/>
          <w:lang w:val="fr-CA"/>
        </w:rPr>
        <w:t>’</w:t>
      </w:r>
      <w:r w:rsidRPr="00017532">
        <w:rPr>
          <w:rFonts w:cs="Times New Roman"/>
          <w:lang w:val="fr-CA"/>
        </w:rPr>
        <w:t>effectuer en fonction d</w:t>
      </w:r>
      <w:r>
        <w:rPr>
          <w:rFonts w:cs="Times New Roman"/>
          <w:lang w:val="fr-CA"/>
        </w:rPr>
        <w:t>’</w:t>
      </w:r>
      <w:r w:rsidRPr="00017532">
        <w:rPr>
          <w:rFonts w:cs="Times New Roman"/>
          <w:lang w:val="fr-CA"/>
        </w:rPr>
        <w:t>une autre situation que celle du délinquant en cause, et il se prononçait sur la portée de ce contrôle. Une disposition ne devait pas être déclarée inconstitutionnelle en fonction de situations éventuelles peu susceptibles de se présenter. Il fallait s</w:t>
      </w:r>
      <w:r>
        <w:rPr>
          <w:rFonts w:cs="Times New Roman"/>
          <w:lang w:val="fr-CA"/>
        </w:rPr>
        <w:t>’</w:t>
      </w:r>
      <w:r w:rsidRPr="00017532">
        <w:rPr>
          <w:rFonts w:cs="Times New Roman"/>
          <w:lang w:val="fr-CA"/>
        </w:rPr>
        <w:t xml:space="preserve">attacher à des </w:t>
      </w:r>
      <w:r w:rsidR="00B029AB">
        <w:rPr>
          <w:rFonts w:cs="Times New Roman"/>
          <w:lang w:val="fr-CA"/>
        </w:rPr>
        <w:t>« </w:t>
      </w:r>
      <w:r w:rsidRPr="00205E49">
        <w:rPr>
          <w:rFonts w:cs="Times New Roman"/>
          <w:u w:val="single"/>
          <w:lang w:val="fr-CA"/>
        </w:rPr>
        <w:t>circonstances hypothétiques raisonnables</w:t>
      </w:r>
      <w:r w:rsidRPr="00017532">
        <w:rPr>
          <w:rFonts w:cs="Times New Roman"/>
          <w:lang w:val="fr-CA"/>
        </w:rPr>
        <w:t>, par opposition à des situations invraisemblables ou difficilement imaginables</w:t>
      </w:r>
      <w:r w:rsidR="00B029AB">
        <w:rPr>
          <w:rFonts w:cs="Times New Roman"/>
          <w:lang w:val="fr-CA"/>
        </w:rPr>
        <w:t> »</w:t>
      </w:r>
      <w:r w:rsidRPr="00017532">
        <w:rPr>
          <w:rFonts w:cs="Times New Roman"/>
          <w:lang w:val="fr-CA"/>
        </w:rPr>
        <w:t xml:space="preserve"> (p.</w:t>
      </w:r>
      <w:r w:rsidR="00B029AB">
        <w:rPr>
          <w:rFonts w:cs="Times New Roman"/>
          <w:lang w:val="fr-CA"/>
        </w:rPr>
        <w:t xml:space="preserve"> </w:t>
      </w:r>
      <w:r w:rsidR="002A7F74">
        <w:rPr>
          <w:rFonts w:cs="Times New Roman"/>
          <w:lang w:val="fr-CA"/>
        </w:rPr>
        <w:t>506</w:t>
      </w:r>
      <w:r w:rsidRPr="00017532">
        <w:rPr>
          <w:rFonts w:cs="Times New Roman"/>
          <w:lang w:val="fr-CA"/>
        </w:rPr>
        <w:t xml:space="preserve"> </w:t>
      </w:r>
      <w:r w:rsidR="00205E49">
        <w:rPr>
          <w:rFonts w:cs="Times New Roman"/>
          <w:lang w:val="fr-CA"/>
        </w:rPr>
        <w:t>(souligné</w:t>
      </w:r>
      <w:r w:rsidRPr="00017532">
        <w:rPr>
          <w:rFonts w:cs="Times New Roman"/>
          <w:lang w:val="fr-CA"/>
        </w:rPr>
        <w:t xml:space="preserve"> dans l</w:t>
      </w:r>
      <w:r>
        <w:rPr>
          <w:rFonts w:cs="Times New Roman"/>
          <w:lang w:val="fr-CA"/>
        </w:rPr>
        <w:t>’</w:t>
      </w:r>
      <w:r w:rsidRPr="00017532">
        <w:rPr>
          <w:rFonts w:cs="Times New Roman"/>
          <w:lang w:val="fr-CA"/>
        </w:rPr>
        <w:t>original</w:t>
      </w:r>
      <w:r w:rsidR="00205E49">
        <w:rPr>
          <w:rFonts w:cs="Times New Roman"/>
          <w:lang w:val="fr-CA"/>
        </w:rPr>
        <w:t>)</w:t>
      </w:r>
      <w:r w:rsidRPr="00017532">
        <w:rPr>
          <w:rFonts w:cs="Times New Roman"/>
          <w:lang w:val="fr-CA"/>
        </w:rPr>
        <w:t>). La Cour a confirmé la peine minimale de sept jours d</w:t>
      </w:r>
      <w:r>
        <w:rPr>
          <w:rFonts w:cs="Times New Roman"/>
          <w:lang w:val="fr-CA"/>
        </w:rPr>
        <w:t>’</w:t>
      </w:r>
      <w:r w:rsidRPr="00017532">
        <w:rPr>
          <w:rFonts w:cs="Times New Roman"/>
          <w:lang w:val="fr-CA"/>
        </w:rPr>
        <w:t>emprisonnement infligée pour conduite d</w:t>
      </w:r>
      <w:r>
        <w:rPr>
          <w:rFonts w:cs="Times New Roman"/>
          <w:lang w:val="fr-CA"/>
        </w:rPr>
        <w:t>’</w:t>
      </w:r>
      <w:r w:rsidRPr="00017532">
        <w:rPr>
          <w:rFonts w:cs="Times New Roman"/>
          <w:lang w:val="fr-CA"/>
        </w:rPr>
        <w:t>un véhicule malgré une interdiction de prendre le volant.</w:t>
      </w:r>
    </w:p>
    <w:p w:rsidR="002A4851" w:rsidRPr="00017532" w:rsidRDefault="002A4851" w:rsidP="00A659A4">
      <w:pPr>
        <w:pStyle w:val="ParaNoNdepar-AltN"/>
        <w:rPr>
          <w:rFonts w:cs="Times New Roman"/>
          <w:lang w:val="fr-CA"/>
        </w:rPr>
      </w:pPr>
      <w:r w:rsidRPr="00017532">
        <w:rPr>
          <w:rFonts w:cs="Times New Roman"/>
          <w:lang w:val="fr-CA"/>
        </w:rPr>
        <w:lastRenderedPageBreak/>
        <w:t>Dans l</w:t>
      </w:r>
      <w:r>
        <w:rPr>
          <w:rFonts w:cs="Times New Roman"/>
          <w:lang w:val="fr-CA"/>
        </w:rPr>
        <w:t>’</w:t>
      </w:r>
      <w:r w:rsidRPr="00017532">
        <w:rPr>
          <w:rFonts w:cs="Times New Roman"/>
          <w:lang w:val="fr-CA"/>
        </w:rPr>
        <w:t xml:space="preserve">arrêt </w:t>
      </w:r>
      <w:r w:rsidRPr="00017532">
        <w:rPr>
          <w:rFonts w:cs="Times New Roman"/>
          <w:i/>
          <w:lang w:val="fr-CA"/>
        </w:rPr>
        <w:t>Morrisey</w:t>
      </w:r>
      <w:r w:rsidRPr="00017532">
        <w:rPr>
          <w:rFonts w:cs="Times New Roman"/>
          <w:lang w:val="fr-CA"/>
        </w:rPr>
        <w:t>, la Cour s</w:t>
      </w:r>
      <w:r>
        <w:rPr>
          <w:rFonts w:cs="Times New Roman"/>
          <w:lang w:val="fr-CA"/>
        </w:rPr>
        <w:t>’</w:t>
      </w:r>
      <w:r w:rsidRPr="00017532">
        <w:rPr>
          <w:rFonts w:cs="Times New Roman"/>
          <w:lang w:val="fr-CA"/>
        </w:rPr>
        <w:t xml:space="preserve">est de nouveau prononcée sur ce point, toujours par la voix du juge Gonthier, au nom des juges majoritaires, opinant que </w:t>
      </w:r>
      <w:r w:rsidR="00B029AB">
        <w:rPr>
          <w:rFonts w:cs="Times New Roman"/>
          <w:lang w:val="fr-CA"/>
        </w:rPr>
        <w:t>« </w:t>
      </w:r>
      <w:r w:rsidRPr="00017532">
        <w:rPr>
          <w:rFonts w:cs="Times New Roman"/>
          <w:lang w:val="fr-CA"/>
        </w:rPr>
        <w:t>[l]</w:t>
      </w:r>
      <w:r>
        <w:rPr>
          <w:rFonts w:cs="Times New Roman"/>
          <w:lang w:val="fr-CA"/>
        </w:rPr>
        <w:t>’</w:t>
      </w:r>
      <w:r w:rsidRPr="00017532">
        <w:rPr>
          <w:rFonts w:cs="Times New Roman"/>
          <w:lang w:val="fr-CA"/>
        </w:rPr>
        <w:t>on ne saurait trop insister sur le caractère raisonnable de l</w:t>
      </w:r>
      <w:r>
        <w:rPr>
          <w:rFonts w:cs="Times New Roman"/>
          <w:lang w:val="fr-CA"/>
        </w:rPr>
        <w:t>’</w:t>
      </w:r>
      <w:r w:rsidRPr="00017532">
        <w:rPr>
          <w:rFonts w:cs="Times New Roman"/>
          <w:lang w:val="fr-CA"/>
        </w:rPr>
        <w:t>hypothèse</w:t>
      </w:r>
      <w:r w:rsidR="00B029AB">
        <w:rPr>
          <w:rFonts w:cs="Times New Roman"/>
          <w:lang w:val="fr-CA"/>
        </w:rPr>
        <w:t> »</w:t>
      </w:r>
      <w:r w:rsidRPr="00017532">
        <w:rPr>
          <w:rFonts w:cs="Times New Roman"/>
          <w:lang w:val="fr-CA"/>
        </w:rPr>
        <w:t xml:space="preserve"> (par.</w:t>
      </w:r>
      <w:r w:rsidR="00B029AB">
        <w:rPr>
          <w:rFonts w:cs="Times New Roman"/>
          <w:lang w:val="fr-CA"/>
        </w:rPr>
        <w:t xml:space="preserve"> </w:t>
      </w:r>
      <w:r w:rsidRPr="00017532">
        <w:rPr>
          <w:rFonts w:cs="Times New Roman"/>
          <w:lang w:val="fr-CA"/>
        </w:rPr>
        <w:t>30). La Cour a confirmé la peine minimale obligatoire de quatre ans d</w:t>
      </w:r>
      <w:r>
        <w:rPr>
          <w:rFonts w:cs="Times New Roman"/>
          <w:lang w:val="fr-CA"/>
        </w:rPr>
        <w:t>’</w:t>
      </w:r>
      <w:r w:rsidRPr="00017532">
        <w:rPr>
          <w:rFonts w:cs="Times New Roman"/>
          <w:lang w:val="fr-CA"/>
        </w:rPr>
        <w:t>emprisonnement pour négligence criminelle causant la mort par suite de l</w:t>
      </w:r>
      <w:r>
        <w:rPr>
          <w:rFonts w:cs="Times New Roman"/>
          <w:lang w:val="fr-CA"/>
        </w:rPr>
        <w:t>’</w:t>
      </w:r>
      <w:r w:rsidRPr="00017532">
        <w:rPr>
          <w:rFonts w:cs="Times New Roman"/>
          <w:lang w:val="fr-CA"/>
        </w:rPr>
        <w:t>usage d</w:t>
      </w:r>
      <w:r>
        <w:rPr>
          <w:rFonts w:cs="Times New Roman"/>
          <w:lang w:val="fr-CA"/>
        </w:rPr>
        <w:t>’</w:t>
      </w:r>
      <w:r w:rsidRPr="00017532">
        <w:rPr>
          <w:rFonts w:cs="Times New Roman"/>
          <w:lang w:val="fr-CA"/>
        </w:rPr>
        <w:t>une arme à feu.</w:t>
      </w:r>
    </w:p>
    <w:p w:rsidR="002A4851" w:rsidRPr="00017532" w:rsidRDefault="002A4851" w:rsidP="00A659A4">
      <w:pPr>
        <w:pStyle w:val="ParaNoNdepar-AltN"/>
        <w:rPr>
          <w:rFonts w:cs="Times New Roman"/>
          <w:lang w:val="fr-CA"/>
        </w:rPr>
      </w:pPr>
      <w:r w:rsidRPr="00017532">
        <w:rPr>
          <w:rFonts w:cs="Times New Roman"/>
          <w:lang w:val="fr-CA"/>
        </w:rPr>
        <w:t xml:space="preserve">Ce sont les trois seuls arrêts qui portent directement sur les situations ou les </w:t>
      </w:r>
      <w:r w:rsidR="00B029AB">
        <w:rPr>
          <w:rFonts w:cs="Times New Roman"/>
          <w:lang w:val="fr-CA"/>
        </w:rPr>
        <w:t>« </w:t>
      </w:r>
      <w:r w:rsidRPr="00017532">
        <w:rPr>
          <w:rFonts w:cs="Times New Roman"/>
          <w:lang w:val="fr-CA"/>
        </w:rPr>
        <w:t>hypothèses</w:t>
      </w:r>
      <w:r w:rsidR="00B029AB">
        <w:rPr>
          <w:rFonts w:cs="Times New Roman"/>
          <w:lang w:val="fr-CA"/>
        </w:rPr>
        <w:t> »</w:t>
      </w:r>
      <w:r w:rsidRPr="00017532">
        <w:rPr>
          <w:rFonts w:cs="Times New Roman"/>
          <w:lang w:val="fr-CA"/>
        </w:rPr>
        <w:t xml:space="preserve"> que le tribunal doit considérer pour statuer sur la constitutionnalité — au regard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 d</w:t>
      </w:r>
      <w:r>
        <w:rPr>
          <w:rFonts w:cs="Times New Roman"/>
          <w:lang w:val="fr-CA"/>
        </w:rPr>
        <w:t>’</w:t>
      </w:r>
      <w:r w:rsidRPr="00017532">
        <w:rPr>
          <w:rFonts w:cs="Times New Roman"/>
          <w:lang w:val="fr-CA"/>
        </w:rPr>
        <w:t>une disposition prévoyant une peine minimale obligatoire</w:t>
      </w:r>
      <w:r w:rsidRPr="00017532">
        <w:rPr>
          <w:rStyle w:val="FootnoteReference"/>
          <w:rFonts w:cs="Times New Roman"/>
          <w:lang w:val="fr-CA"/>
        </w:rPr>
        <w:footnoteReference w:id="1"/>
      </w:r>
      <w:r w:rsidRPr="00017532">
        <w:rPr>
          <w:rFonts w:cs="Times New Roman"/>
          <w:lang w:val="fr-CA"/>
        </w:rPr>
        <w:t xml:space="preserve">. À mon sens, ils ne permettent pas de conclure que les décisions rendues en la matière sont </w:t>
      </w:r>
      <w:r w:rsidR="00B029AB">
        <w:rPr>
          <w:rFonts w:cs="Times New Roman"/>
          <w:lang w:val="fr-CA"/>
        </w:rPr>
        <w:t>« </w:t>
      </w:r>
      <w:r w:rsidRPr="00017532">
        <w:rPr>
          <w:rFonts w:cs="Times New Roman"/>
          <w:lang w:val="fr-CA"/>
        </w:rPr>
        <w:t>inconciliables entre elles</w:t>
      </w:r>
      <w:r w:rsidR="00B029AB">
        <w:rPr>
          <w:rFonts w:cs="Times New Roman"/>
          <w:lang w:val="fr-CA"/>
        </w:rPr>
        <w:t> »</w:t>
      </w:r>
      <w:r w:rsidRPr="00017532">
        <w:rPr>
          <w:rFonts w:cs="Times New Roman"/>
          <w:lang w:val="fr-CA"/>
        </w:rPr>
        <w:t xml:space="preserve">. Une notion est commune aux deux seuls arrêts — </w:t>
      </w:r>
      <w:r w:rsidRPr="00017532">
        <w:rPr>
          <w:rFonts w:cs="Times New Roman"/>
          <w:i/>
          <w:lang w:val="fr-CA"/>
        </w:rPr>
        <w:t xml:space="preserve">Goltz </w:t>
      </w:r>
      <w:r w:rsidRPr="00017532">
        <w:rPr>
          <w:rFonts w:cs="Times New Roman"/>
          <w:lang w:val="fr-CA"/>
        </w:rPr>
        <w:t xml:space="preserve">et </w:t>
      </w:r>
      <w:r w:rsidRPr="00017532">
        <w:rPr>
          <w:rFonts w:cs="Times New Roman"/>
          <w:i/>
          <w:lang w:val="fr-CA"/>
        </w:rPr>
        <w:t xml:space="preserve">Morrisey </w:t>
      </w:r>
      <w:r w:rsidRPr="00017532">
        <w:rPr>
          <w:rFonts w:cs="Times New Roman"/>
          <w:lang w:val="fr-CA"/>
        </w:rPr>
        <w:t>—</w:t>
      </w:r>
      <w:r w:rsidR="00B029AB">
        <w:rPr>
          <w:rFonts w:cs="Times New Roman"/>
          <w:lang w:val="fr-CA"/>
        </w:rPr>
        <w:t xml:space="preserve"> </w:t>
      </w:r>
      <w:r w:rsidRPr="00017532">
        <w:rPr>
          <w:rFonts w:cs="Times New Roman"/>
          <w:lang w:val="fr-CA"/>
        </w:rPr>
        <w:t>qui approfondissent le sujet</w:t>
      </w:r>
      <w:r w:rsidR="00B029AB">
        <w:rPr>
          <w:rFonts w:cs="Times New Roman"/>
          <w:lang w:val="fr-CA"/>
        </w:rPr>
        <w:t> :</w:t>
      </w:r>
      <w:r w:rsidRPr="00017532">
        <w:rPr>
          <w:rFonts w:cs="Times New Roman"/>
          <w:lang w:val="fr-CA"/>
        </w:rPr>
        <w:t xml:space="preserve"> la prévisibilité raisonnable. Dans </w:t>
      </w:r>
      <w:r w:rsidRPr="00017532">
        <w:rPr>
          <w:rFonts w:cs="Times New Roman"/>
          <w:i/>
          <w:lang w:val="fr-CA"/>
        </w:rPr>
        <w:t>Goltz</w:t>
      </w:r>
      <w:r w:rsidRPr="00017532">
        <w:rPr>
          <w:rFonts w:cs="Times New Roman"/>
          <w:lang w:val="fr-CA"/>
        </w:rPr>
        <w:t xml:space="preserve">, le juge Gonthier renvoie à des </w:t>
      </w:r>
      <w:r w:rsidR="00B029AB">
        <w:rPr>
          <w:rFonts w:cs="Times New Roman"/>
          <w:lang w:val="fr-CA"/>
        </w:rPr>
        <w:t>« </w:t>
      </w:r>
      <w:r w:rsidRPr="00017532">
        <w:rPr>
          <w:rFonts w:cs="Times New Roman"/>
          <w:lang w:val="fr-CA"/>
        </w:rPr>
        <w:t>situations hypothétiques raisonnables</w:t>
      </w:r>
      <w:r w:rsidR="00B029AB">
        <w:rPr>
          <w:rFonts w:cs="Times New Roman"/>
          <w:lang w:val="fr-CA"/>
        </w:rPr>
        <w:t> »</w:t>
      </w:r>
      <w:r w:rsidRPr="00017532">
        <w:rPr>
          <w:rFonts w:cs="Times New Roman"/>
          <w:lang w:val="fr-CA"/>
        </w:rPr>
        <w:t xml:space="preserve"> lorsqu</w:t>
      </w:r>
      <w:r>
        <w:rPr>
          <w:rFonts w:cs="Times New Roman"/>
          <w:lang w:val="fr-CA"/>
        </w:rPr>
        <w:t>’</w:t>
      </w:r>
      <w:r w:rsidRPr="00017532">
        <w:rPr>
          <w:rFonts w:cs="Times New Roman"/>
          <w:lang w:val="fr-CA"/>
        </w:rPr>
        <w:t xml:space="preserve">il parle de </w:t>
      </w:r>
      <w:r w:rsidRPr="00017532">
        <w:rPr>
          <w:rFonts w:cs="Times New Roman"/>
          <w:i/>
          <w:lang w:val="fr-CA"/>
        </w:rPr>
        <w:t>situations dont on peut raisonnablement prévoir qu</w:t>
      </w:r>
      <w:r>
        <w:rPr>
          <w:rFonts w:cs="Times New Roman"/>
          <w:i/>
          <w:lang w:val="fr-CA"/>
        </w:rPr>
        <w:t>’</w:t>
      </w:r>
      <w:r w:rsidRPr="00017532">
        <w:rPr>
          <w:rFonts w:cs="Times New Roman"/>
          <w:i/>
          <w:lang w:val="fr-CA"/>
        </w:rPr>
        <w:t>elles se présenteront</w:t>
      </w:r>
      <w:r w:rsidRPr="00017532">
        <w:rPr>
          <w:rFonts w:cs="Times New Roman"/>
          <w:lang w:val="fr-CA"/>
        </w:rPr>
        <w:t xml:space="preserve">, non à des situations </w:t>
      </w:r>
      <w:r w:rsidR="00B029AB">
        <w:rPr>
          <w:rFonts w:cs="Times New Roman"/>
          <w:lang w:val="fr-CA"/>
        </w:rPr>
        <w:t>« </w:t>
      </w:r>
      <w:r w:rsidRPr="00017532">
        <w:rPr>
          <w:rFonts w:cs="Times New Roman"/>
          <w:lang w:val="fr-CA"/>
        </w:rPr>
        <w:t>invraisemblables</w:t>
      </w:r>
      <w:r w:rsidR="00B029AB">
        <w:rPr>
          <w:rFonts w:cs="Times New Roman"/>
          <w:lang w:val="fr-CA"/>
        </w:rPr>
        <w:t> »</w:t>
      </w:r>
      <w:r w:rsidRPr="00017532">
        <w:rPr>
          <w:rFonts w:cs="Times New Roman"/>
          <w:lang w:val="fr-CA"/>
        </w:rPr>
        <w:t xml:space="preserve"> ou </w:t>
      </w:r>
      <w:r w:rsidR="00B029AB">
        <w:rPr>
          <w:rFonts w:cs="Times New Roman"/>
          <w:lang w:val="fr-CA"/>
        </w:rPr>
        <w:t>« </w:t>
      </w:r>
      <w:r w:rsidRPr="00017532">
        <w:rPr>
          <w:rFonts w:cs="Times New Roman"/>
          <w:lang w:val="fr-CA"/>
        </w:rPr>
        <w:t>difficilement imaginables</w:t>
      </w:r>
      <w:r w:rsidR="00B029AB">
        <w:rPr>
          <w:rFonts w:cs="Times New Roman"/>
          <w:lang w:val="fr-CA"/>
        </w:rPr>
        <w:t> »</w:t>
      </w:r>
      <w:r w:rsidRPr="00017532">
        <w:rPr>
          <w:rFonts w:cs="Times New Roman"/>
          <w:lang w:val="fr-CA"/>
        </w:rPr>
        <w:t>,</w:t>
      </w:r>
      <w:r>
        <w:rPr>
          <w:rFonts w:cs="Times New Roman"/>
          <w:lang w:val="fr-CA"/>
        </w:rPr>
        <w:t xml:space="preserve"> </w:t>
      </w:r>
      <w:r w:rsidRPr="00017532">
        <w:rPr>
          <w:rFonts w:cs="Times New Roman"/>
          <w:lang w:val="fr-CA"/>
        </w:rPr>
        <w:t xml:space="preserve">mais bien à des situations </w:t>
      </w:r>
      <w:r w:rsidR="00B029AB">
        <w:rPr>
          <w:rFonts w:cs="Times New Roman"/>
          <w:lang w:val="fr-CA"/>
        </w:rPr>
        <w:t>« </w:t>
      </w:r>
      <w:r w:rsidRPr="00017532">
        <w:rPr>
          <w:rFonts w:cs="Times New Roman"/>
          <w:lang w:val="fr-CA"/>
        </w:rPr>
        <w:t>raisonnables</w:t>
      </w:r>
      <w:r w:rsidR="00B029AB">
        <w:rPr>
          <w:rFonts w:cs="Times New Roman"/>
          <w:lang w:val="fr-CA"/>
        </w:rPr>
        <w:t> »</w:t>
      </w:r>
      <w:r w:rsidRPr="00017532">
        <w:rPr>
          <w:rFonts w:cs="Times New Roman"/>
          <w:lang w:val="fr-CA"/>
        </w:rPr>
        <w:t xml:space="preserve">. Le premier arrêt rendu sur ce point — </w:t>
      </w:r>
      <w:r w:rsidRPr="00017532">
        <w:rPr>
          <w:rFonts w:cs="Times New Roman"/>
          <w:i/>
          <w:lang w:val="fr-CA"/>
        </w:rPr>
        <w:t xml:space="preserve">Smith </w:t>
      </w:r>
      <w:r w:rsidRPr="00017532">
        <w:rPr>
          <w:rFonts w:cs="Times New Roman"/>
          <w:lang w:val="fr-CA"/>
        </w:rPr>
        <w:t>— n</w:t>
      </w:r>
      <w:r>
        <w:rPr>
          <w:rFonts w:cs="Times New Roman"/>
          <w:lang w:val="fr-CA"/>
        </w:rPr>
        <w:t>’</w:t>
      </w:r>
      <w:r w:rsidRPr="00017532">
        <w:rPr>
          <w:rFonts w:cs="Times New Roman"/>
          <w:lang w:val="fr-CA"/>
        </w:rPr>
        <w:t xml:space="preserve">est pas incompatible en termes de terminologie et de résultat avec la notion dégagée dans les arrêts </w:t>
      </w:r>
      <w:r w:rsidRPr="00017532">
        <w:rPr>
          <w:rFonts w:cs="Times New Roman"/>
          <w:i/>
          <w:lang w:val="fr-CA"/>
        </w:rPr>
        <w:t xml:space="preserve">Goltz </w:t>
      </w:r>
      <w:r w:rsidRPr="00017532">
        <w:rPr>
          <w:rFonts w:cs="Times New Roman"/>
          <w:lang w:val="fr-CA"/>
        </w:rPr>
        <w:t xml:space="preserve">et </w:t>
      </w:r>
      <w:r w:rsidRPr="00017532">
        <w:rPr>
          <w:rFonts w:cs="Times New Roman"/>
          <w:i/>
          <w:lang w:val="fr-CA"/>
        </w:rPr>
        <w:t>Morrisey</w:t>
      </w:r>
      <w:r w:rsidRPr="00017532">
        <w:rPr>
          <w:rFonts w:cs="Times New Roman"/>
          <w:lang w:val="fr-CA"/>
        </w:rPr>
        <w:t>, à savoir que pour décider si une peine minimale obligatoire contrevient ou non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il convient de tenir </w:t>
      </w:r>
      <w:r w:rsidRPr="00017532">
        <w:rPr>
          <w:rFonts w:cs="Times New Roman"/>
          <w:lang w:val="fr-CA"/>
        </w:rPr>
        <w:lastRenderedPageBreak/>
        <w:t xml:space="preserve">compte des répercussions de la disposition en cause sur des tiers dans des situations hypothétiques raisonnables. </w:t>
      </w:r>
    </w:p>
    <w:p w:rsidR="002A4851" w:rsidRPr="00017532" w:rsidRDefault="002A4851" w:rsidP="00A659A4">
      <w:pPr>
        <w:pStyle w:val="ParaNoNdepar-AltN"/>
        <w:rPr>
          <w:rFonts w:cs="Times New Roman"/>
          <w:lang w:val="fr-CA"/>
        </w:rPr>
      </w:pPr>
      <w:r w:rsidRPr="00017532">
        <w:rPr>
          <w:rFonts w:cs="Times New Roman"/>
          <w:lang w:val="fr-CA"/>
        </w:rPr>
        <w:t xml:space="preserve">Au fil des ans, le mot </w:t>
      </w:r>
      <w:r w:rsidR="00B029AB">
        <w:rPr>
          <w:rFonts w:cs="Times New Roman"/>
          <w:lang w:val="fr-CA"/>
        </w:rPr>
        <w:t>« </w:t>
      </w:r>
      <w:r w:rsidRPr="00017532">
        <w:rPr>
          <w:rFonts w:cs="Times New Roman"/>
          <w:lang w:val="fr-CA"/>
        </w:rPr>
        <w:t>hypothétiques</w:t>
      </w:r>
      <w:r w:rsidR="00B029AB">
        <w:rPr>
          <w:rFonts w:cs="Times New Roman"/>
          <w:lang w:val="fr-CA"/>
        </w:rPr>
        <w:t> »</w:t>
      </w:r>
      <w:r w:rsidRPr="00017532">
        <w:rPr>
          <w:rFonts w:cs="Times New Roman"/>
          <w:lang w:val="fr-CA"/>
        </w:rPr>
        <w:t xml:space="preserve"> l</w:t>
      </w:r>
      <w:r>
        <w:rPr>
          <w:rFonts w:cs="Times New Roman"/>
          <w:lang w:val="fr-CA"/>
        </w:rPr>
        <w:t>’</w:t>
      </w:r>
      <w:r w:rsidRPr="00017532">
        <w:rPr>
          <w:rFonts w:cs="Times New Roman"/>
          <w:lang w:val="fr-CA"/>
        </w:rPr>
        <w:t xml:space="preserve">a malheureusement emporté sur le mot </w:t>
      </w:r>
      <w:r w:rsidR="00B029AB">
        <w:rPr>
          <w:rFonts w:cs="Times New Roman"/>
          <w:lang w:val="fr-CA"/>
        </w:rPr>
        <w:t>« </w:t>
      </w:r>
      <w:r w:rsidRPr="00017532">
        <w:rPr>
          <w:rFonts w:cs="Times New Roman"/>
          <w:lang w:val="fr-CA"/>
        </w:rPr>
        <w:t>raisonnables</w:t>
      </w:r>
      <w:r w:rsidR="00B029AB">
        <w:rPr>
          <w:rFonts w:cs="Times New Roman"/>
          <w:lang w:val="fr-CA"/>
        </w:rPr>
        <w:t> »</w:t>
      </w:r>
      <w:r w:rsidRPr="00017532">
        <w:rPr>
          <w:rFonts w:cs="Times New Roman"/>
          <w:lang w:val="fr-CA"/>
        </w:rPr>
        <w:t>, d</w:t>
      </w:r>
      <w:r>
        <w:rPr>
          <w:rFonts w:cs="Times New Roman"/>
          <w:lang w:val="fr-CA"/>
        </w:rPr>
        <w:t>’</w:t>
      </w:r>
      <w:r w:rsidRPr="00017532">
        <w:rPr>
          <w:rFonts w:cs="Times New Roman"/>
          <w:lang w:val="fr-CA"/>
        </w:rPr>
        <w:t>où le débat quant à savoir à quel point la situation hypothétique avancée doit avoir une portée générale ou particulière. D</w:t>
      </w:r>
      <w:r>
        <w:rPr>
          <w:rFonts w:cs="Times New Roman"/>
          <w:lang w:val="fr-CA"/>
        </w:rPr>
        <w:t>’</w:t>
      </w:r>
      <w:r w:rsidRPr="00017532">
        <w:rPr>
          <w:rFonts w:cs="Times New Roman"/>
          <w:lang w:val="fr-CA"/>
        </w:rPr>
        <w:t>où également la proposition malheureuse selon laquelle le juge du procès voit son analyse viciée s</w:t>
      </w:r>
      <w:r>
        <w:rPr>
          <w:rFonts w:cs="Times New Roman"/>
          <w:lang w:val="fr-CA"/>
        </w:rPr>
        <w:t>’</w:t>
      </w:r>
      <w:r w:rsidRPr="00017532">
        <w:rPr>
          <w:rFonts w:cs="Times New Roman"/>
          <w:lang w:val="fr-CA"/>
        </w:rPr>
        <w:t>il omet d</w:t>
      </w:r>
      <w:r>
        <w:rPr>
          <w:rFonts w:cs="Times New Roman"/>
          <w:lang w:val="fr-CA"/>
        </w:rPr>
        <w:t>’</w:t>
      </w:r>
      <w:r w:rsidRPr="00017532">
        <w:rPr>
          <w:rFonts w:cs="Times New Roman"/>
          <w:lang w:val="fr-CA"/>
        </w:rPr>
        <w:t>attribuer à la situation hypothétique considérée un enchaînement précis de caractéristiques. Soit dit en tout respect, c</w:t>
      </w:r>
      <w:r>
        <w:rPr>
          <w:rFonts w:cs="Times New Roman"/>
          <w:lang w:val="fr-CA"/>
        </w:rPr>
        <w:t>’</w:t>
      </w:r>
      <w:r w:rsidRPr="00017532">
        <w:rPr>
          <w:rFonts w:cs="Times New Roman"/>
          <w:lang w:val="fr-CA"/>
        </w:rPr>
        <w:t>est compliquer inutilement les choses. Il faut seulement se demander s</w:t>
      </w:r>
      <w:r>
        <w:rPr>
          <w:rFonts w:cs="Times New Roman"/>
          <w:lang w:val="fr-CA"/>
        </w:rPr>
        <w:t>’</w:t>
      </w:r>
      <w:r w:rsidRPr="00017532">
        <w:rPr>
          <w:rFonts w:cs="Times New Roman"/>
          <w:lang w:val="fr-CA"/>
        </w:rPr>
        <w:t>il est raisonnablement prévisible que la disposition prévoyant une peine minimale obligatoire inflige une peine totalement disproportionnée dans le cas de certaines personnes, de sorte qu</w:t>
      </w:r>
      <w:r>
        <w:rPr>
          <w:rFonts w:cs="Times New Roman"/>
          <w:lang w:val="fr-CA"/>
        </w:rPr>
        <w:t>’</w:t>
      </w:r>
      <w:r w:rsidRPr="00017532">
        <w:rPr>
          <w:rFonts w:cs="Times New Roman"/>
          <w:lang w:val="fr-CA"/>
        </w:rPr>
        <w:t>elle contreviendrait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La notion de </w:t>
      </w:r>
      <w:r w:rsidR="00B029AB">
        <w:rPr>
          <w:rFonts w:cs="Times New Roman"/>
          <w:lang w:val="fr-CA"/>
        </w:rPr>
        <w:t>« </w:t>
      </w:r>
      <w:r w:rsidRPr="00017532">
        <w:rPr>
          <w:rFonts w:cs="Times New Roman"/>
          <w:lang w:val="fr-CA"/>
        </w:rPr>
        <w:t>situations hypothétiques raisonnables</w:t>
      </w:r>
      <w:r w:rsidR="00B029AB">
        <w:rPr>
          <w:rFonts w:cs="Times New Roman"/>
          <w:lang w:val="fr-CA"/>
        </w:rPr>
        <w:t> »</w:t>
      </w:r>
      <w:r w:rsidRPr="00017532">
        <w:rPr>
          <w:rFonts w:cs="Times New Roman"/>
          <w:lang w:val="fr-CA"/>
        </w:rPr>
        <w:t xml:space="preserve"> peut être utile à cet égard, mais la principale question demeure celle de savoir si la peine considérée serait totalement disproportionnée dans des cas raisonnablement prévisibles. La démarche équivaut fondamentalement à appliquer des principes bien établis d</w:t>
      </w:r>
      <w:r>
        <w:rPr>
          <w:rFonts w:cs="Times New Roman"/>
          <w:lang w:val="fr-CA"/>
        </w:rPr>
        <w:t>’</w:t>
      </w:r>
      <w:r w:rsidRPr="00017532">
        <w:rPr>
          <w:rFonts w:cs="Times New Roman"/>
          <w:lang w:val="fr-CA"/>
        </w:rPr>
        <w:t>interprétation juridique et constitutionnelle.</w:t>
      </w:r>
    </w:p>
    <w:p w:rsidR="002A4851" w:rsidRPr="00017532" w:rsidRDefault="002A4851" w:rsidP="00A659A4">
      <w:pPr>
        <w:pStyle w:val="ParaNoNdepar-AltN"/>
        <w:rPr>
          <w:rFonts w:cs="Times New Roman"/>
          <w:lang w:val="fr-CA"/>
        </w:rPr>
      </w:pPr>
      <w:r w:rsidRPr="00017532">
        <w:rPr>
          <w:rFonts w:cs="Times New Roman"/>
          <w:lang w:val="fr-CA"/>
        </w:rPr>
        <w:t>J</w:t>
      </w:r>
      <w:r>
        <w:rPr>
          <w:rFonts w:cs="Times New Roman"/>
          <w:lang w:val="fr-CA"/>
        </w:rPr>
        <w:t>’</w:t>
      </w:r>
      <w:r w:rsidRPr="00017532">
        <w:rPr>
          <w:rFonts w:cs="Times New Roman"/>
          <w:lang w:val="fr-CA"/>
        </w:rPr>
        <w:t xml:space="preserve">arrive à la conclusion que la jurisprudence sur le contrôle au regard de la </w:t>
      </w:r>
      <w:r w:rsidRPr="00017532">
        <w:rPr>
          <w:rFonts w:cs="Times New Roman"/>
          <w:i/>
          <w:lang w:val="fr-CA"/>
        </w:rPr>
        <w:t xml:space="preserve">Charte </w:t>
      </w:r>
      <w:r w:rsidRPr="00017532">
        <w:rPr>
          <w:rFonts w:cs="Times New Roman"/>
          <w:lang w:val="fr-CA"/>
        </w:rPr>
        <w:t>en général et sur le contrôle au regard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d</w:t>
      </w:r>
      <w:r>
        <w:rPr>
          <w:rFonts w:cs="Times New Roman"/>
          <w:lang w:val="fr-CA"/>
        </w:rPr>
        <w:t>’</w:t>
      </w:r>
      <w:r w:rsidRPr="00017532">
        <w:rPr>
          <w:rFonts w:cs="Times New Roman"/>
          <w:lang w:val="fr-CA"/>
        </w:rPr>
        <w:t xml:space="preserve">une disposition prévoyant une peine minimale obligatoire permet au tribunal de se pencher non seulement sur la situation du délinquant, mais aussi sur toute autre situation </w:t>
      </w:r>
      <w:r w:rsidRPr="00017532">
        <w:rPr>
          <w:rFonts w:cs="Times New Roman"/>
          <w:lang w:val="fr-CA"/>
        </w:rPr>
        <w:lastRenderedPageBreak/>
        <w:t>raisonnablement prévisible à laquelle la disposition pourrait s</w:t>
      </w:r>
      <w:r>
        <w:rPr>
          <w:rFonts w:cs="Times New Roman"/>
          <w:lang w:val="fr-CA"/>
        </w:rPr>
        <w:t>’</w:t>
      </w:r>
      <w:r w:rsidRPr="00017532">
        <w:rPr>
          <w:rFonts w:cs="Times New Roman"/>
          <w:lang w:val="fr-CA"/>
        </w:rPr>
        <w:t>appliquer. Je ne vois aucune raison de revenir sur ce principe établi.</w:t>
      </w:r>
    </w:p>
    <w:p w:rsidR="002A4851" w:rsidRPr="00017532" w:rsidRDefault="002A4851" w:rsidP="00A659A4">
      <w:pPr>
        <w:pStyle w:val="ParaNoNdepar-AltN"/>
        <w:rPr>
          <w:rFonts w:cs="Times New Roman"/>
          <w:lang w:val="fr-CA"/>
        </w:rPr>
      </w:pPr>
      <w:r w:rsidRPr="00017532">
        <w:rPr>
          <w:rFonts w:cs="Times New Roman"/>
          <w:lang w:val="fr-CA"/>
        </w:rPr>
        <w:t>Ajoutons que la Cour ne revient pas à la légère sur ses précédents — et qu</w:t>
      </w:r>
      <w:r>
        <w:rPr>
          <w:rFonts w:cs="Times New Roman"/>
          <w:lang w:val="fr-CA"/>
        </w:rPr>
        <w:t>’</w:t>
      </w:r>
      <w:r w:rsidRPr="00017532">
        <w:rPr>
          <w:rFonts w:cs="Times New Roman"/>
          <w:lang w:val="fr-CA"/>
        </w:rPr>
        <w:t>elle ne doit pas le faire —, spécialement lorsqu</w:t>
      </w:r>
      <w:r>
        <w:rPr>
          <w:rFonts w:cs="Times New Roman"/>
          <w:lang w:val="fr-CA"/>
        </w:rPr>
        <w:t>’</w:t>
      </w:r>
      <w:r w:rsidRPr="00017532">
        <w:rPr>
          <w:rFonts w:cs="Times New Roman"/>
          <w:lang w:val="fr-CA"/>
        </w:rPr>
        <w:t>ils ont été établis avec cohérence pendant un certain nombre d</w:t>
      </w:r>
      <w:r>
        <w:rPr>
          <w:rFonts w:cs="Times New Roman"/>
          <w:lang w:val="fr-CA"/>
        </w:rPr>
        <w:t>’</w:t>
      </w:r>
      <w:r w:rsidRPr="00017532">
        <w:rPr>
          <w:rFonts w:cs="Times New Roman"/>
          <w:lang w:val="fr-CA"/>
        </w:rPr>
        <w:t>années et qu</w:t>
      </w:r>
      <w:r>
        <w:rPr>
          <w:rFonts w:cs="Times New Roman"/>
          <w:lang w:val="fr-CA"/>
        </w:rPr>
        <w:t>’</w:t>
      </w:r>
      <w:r w:rsidRPr="00017532">
        <w:rPr>
          <w:rFonts w:cs="Times New Roman"/>
          <w:lang w:val="fr-CA"/>
        </w:rPr>
        <w:t>ils représentent l</w:t>
      </w:r>
      <w:r>
        <w:rPr>
          <w:rFonts w:cs="Times New Roman"/>
          <w:lang w:val="fr-CA"/>
        </w:rPr>
        <w:t>’</w:t>
      </w:r>
      <w:r w:rsidRPr="00017532">
        <w:rPr>
          <w:rFonts w:cs="Times New Roman"/>
          <w:lang w:val="fr-CA"/>
        </w:rPr>
        <w:t>opinion réfléchie de formations nettement majoritaires (voir p.</w:t>
      </w:r>
      <w:r w:rsidR="00B029AB">
        <w:rPr>
          <w:rFonts w:cs="Times New Roman"/>
          <w:lang w:val="fr-CA"/>
        </w:rPr>
        <w:t xml:space="preserve"> </w:t>
      </w:r>
      <w:r w:rsidRPr="00017532">
        <w:rPr>
          <w:rFonts w:cs="Times New Roman"/>
          <w:lang w:val="fr-CA"/>
        </w:rPr>
        <w:t xml:space="preserve">ex. </w:t>
      </w:r>
      <w:r w:rsidRPr="00017532">
        <w:rPr>
          <w:rFonts w:cs="Times New Roman"/>
          <w:i/>
          <w:lang w:val="fr-CA"/>
        </w:rPr>
        <w:t>Ontario (Procureur général) c. Fraser</w:t>
      </w:r>
      <w:r w:rsidRPr="00017532">
        <w:rPr>
          <w:rFonts w:cs="Times New Roman"/>
          <w:lang w:val="fr-CA"/>
        </w:rPr>
        <w:t>, 2011 CSC 20, [2011] 2 R.C.S. 3, par.</w:t>
      </w:r>
      <w:r w:rsidR="00B029AB">
        <w:rPr>
          <w:rFonts w:cs="Times New Roman"/>
          <w:lang w:val="fr-CA"/>
        </w:rPr>
        <w:t xml:space="preserve"> </w:t>
      </w:r>
      <w:r w:rsidRPr="00017532">
        <w:rPr>
          <w:rFonts w:cs="Times New Roman"/>
          <w:lang w:val="fr-CA"/>
        </w:rPr>
        <w:t>56</w:t>
      </w:r>
      <w:r w:rsidR="00B029AB">
        <w:rPr>
          <w:rFonts w:cs="Times New Roman"/>
          <w:lang w:val="fr-CA"/>
        </w:rPr>
        <w:t>-</w:t>
      </w:r>
      <w:r w:rsidRPr="00017532">
        <w:rPr>
          <w:rFonts w:cs="Times New Roman"/>
          <w:lang w:val="fr-CA"/>
        </w:rPr>
        <w:t xml:space="preserve">57; </w:t>
      </w:r>
      <w:r w:rsidRPr="00017532">
        <w:rPr>
          <w:rFonts w:cs="Times New Roman"/>
          <w:i/>
          <w:lang w:val="fr-CA"/>
        </w:rPr>
        <w:t>Canada c. Craig</w:t>
      </w:r>
      <w:r w:rsidRPr="00017532">
        <w:rPr>
          <w:rFonts w:cs="Times New Roman"/>
          <w:lang w:val="fr-CA"/>
        </w:rPr>
        <w:t>, 2012 CSC 43, [2012] 2 R.C.S. 489, par.</w:t>
      </w:r>
      <w:r w:rsidR="00B029AB">
        <w:rPr>
          <w:rFonts w:cs="Times New Roman"/>
          <w:lang w:val="fr-CA"/>
        </w:rPr>
        <w:t xml:space="preserve"> </w:t>
      </w:r>
      <w:r w:rsidRPr="00017532">
        <w:rPr>
          <w:rFonts w:cs="Times New Roman"/>
          <w:lang w:val="fr-CA"/>
        </w:rPr>
        <w:t>27). La décision de revenir sur un précédent exige au préalable la mise en balance de la justesse et de la certitude (</w:t>
      </w:r>
      <w:r w:rsidRPr="00017532">
        <w:rPr>
          <w:rFonts w:cs="Times New Roman"/>
          <w:i/>
          <w:lang w:val="fr-CA"/>
        </w:rPr>
        <w:t>Craig</w:t>
      </w:r>
      <w:r w:rsidRPr="00017532">
        <w:rPr>
          <w:rFonts w:cs="Times New Roman"/>
          <w:lang w:val="fr-CA"/>
        </w:rPr>
        <w:t>, par.</w:t>
      </w:r>
      <w:r w:rsidR="00B029AB">
        <w:rPr>
          <w:rFonts w:cs="Times New Roman"/>
          <w:lang w:val="fr-CA"/>
        </w:rPr>
        <w:t xml:space="preserve"> </w:t>
      </w:r>
      <w:r w:rsidRPr="00017532">
        <w:rPr>
          <w:rFonts w:cs="Times New Roman"/>
          <w:lang w:val="fr-CA"/>
        </w:rPr>
        <w:t xml:space="preserve">27; </w:t>
      </w:r>
      <w:r w:rsidRPr="00017532">
        <w:rPr>
          <w:rFonts w:cs="Times New Roman"/>
          <w:i/>
          <w:lang w:val="fr-CA"/>
        </w:rPr>
        <w:t>Canada (Procureur général) c. Bedford</w:t>
      </w:r>
      <w:r w:rsidRPr="00017532">
        <w:rPr>
          <w:rFonts w:cs="Times New Roman"/>
          <w:lang w:val="fr-CA"/>
        </w:rPr>
        <w:t>, 2013 CSC 72, [20</w:t>
      </w:r>
      <w:r>
        <w:rPr>
          <w:rFonts w:cs="Times New Roman"/>
          <w:lang w:val="fr-CA"/>
        </w:rPr>
        <w:t>13</w:t>
      </w:r>
      <w:r w:rsidRPr="00017532">
        <w:rPr>
          <w:rFonts w:cs="Times New Roman"/>
          <w:lang w:val="fr-CA"/>
        </w:rPr>
        <w:t>] 3 R.C.S. 1101, par.</w:t>
      </w:r>
      <w:r w:rsidR="00B029AB">
        <w:rPr>
          <w:rFonts w:cs="Times New Roman"/>
          <w:lang w:val="fr-CA"/>
        </w:rPr>
        <w:t xml:space="preserve"> </w:t>
      </w:r>
      <w:r w:rsidRPr="00017532">
        <w:rPr>
          <w:rFonts w:cs="Times New Roman"/>
          <w:lang w:val="fr-CA"/>
        </w:rPr>
        <w:t>47). Il nous faut faire preuve d</w:t>
      </w:r>
      <w:r>
        <w:rPr>
          <w:rFonts w:cs="Times New Roman"/>
          <w:lang w:val="fr-CA"/>
        </w:rPr>
        <w:t>’</w:t>
      </w:r>
      <w:r w:rsidRPr="00017532">
        <w:rPr>
          <w:rFonts w:cs="Times New Roman"/>
          <w:lang w:val="fr-CA"/>
        </w:rPr>
        <w:t>une grande prudence lorsqu</w:t>
      </w:r>
      <w:r>
        <w:rPr>
          <w:rFonts w:cs="Times New Roman"/>
          <w:lang w:val="fr-CA"/>
        </w:rPr>
        <w:t>’</w:t>
      </w:r>
      <w:r w:rsidRPr="00017532">
        <w:rPr>
          <w:rFonts w:cs="Times New Roman"/>
          <w:lang w:val="fr-CA"/>
        </w:rPr>
        <w:t>il s</w:t>
      </w:r>
      <w:r>
        <w:rPr>
          <w:rFonts w:cs="Times New Roman"/>
          <w:lang w:val="fr-CA"/>
        </w:rPr>
        <w:t>’</w:t>
      </w:r>
      <w:r w:rsidRPr="00017532">
        <w:rPr>
          <w:rFonts w:cs="Times New Roman"/>
          <w:lang w:val="fr-CA"/>
        </w:rPr>
        <w:t>agit de revenir sur un précédent et que le revirement aurait pour effet — comme en l</w:t>
      </w:r>
      <w:r>
        <w:rPr>
          <w:rFonts w:cs="Times New Roman"/>
          <w:lang w:val="fr-CA"/>
        </w:rPr>
        <w:t>’</w:t>
      </w:r>
      <w:r w:rsidRPr="00017532">
        <w:rPr>
          <w:rFonts w:cs="Times New Roman"/>
          <w:lang w:val="fr-CA"/>
        </w:rPr>
        <w:t>espèce — d</w:t>
      </w:r>
      <w:r>
        <w:rPr>
          <w:rFonts w:cs="Times New Roman"/>
          <w:lang w:val="fr-CA"/>
        </w:rPr>
        <w:t>’</w:t>
      </w:r>
      <w:r w:rsidRPr="00017532">
        <w:rPr>
          <w:rFonts w:cs="Times New Roman"/>
          <w:lang w:val="fr-CA"/>
        </w:rPr>
        <w:t xml:space="preserve">affaiblir une protection offerte par la </w:t>
      </w:r>
      <w:r w:rsidRPr="00017532">
        <w:rPr>
          <w:rFonts w:cs="Times New Roman"/>
          <w:i/>
          <w:lang w:val="fr-CA"/>
        </w:rPr>
        <w:t>Charte</w:t>
      </w:r>
      <w:r w:rsidRPr="00017532">
        <w:rPr>
          <w:rFonts w:cs="Times New Roman"/>
          <w:lang w:val="fr-CA"/>
        </w:rPr>
        <w:t xml:space="preserve"> (</w:t>
      </w:r>
      <w:r w:rsidRPr="00017532">
        <w:rPr>
          <w:rFonts w:cs="Times New Roman"/>
          <w:i/>
          <w:lang w:val="fr-CA"/>
        </w:rPr>
        <w:t>R. c. Henry</w:t>
      </w:r>
      <w:r w:rsidRPr="00017532">
        <w:rPr>
          <w:rFonts w:cs="Times New Roman"/>
          <w:lang w:val="fr-CA"/>
        </w:rPr>
        <w:t>, 2005 CSC 76, [2005] 3 R.C.S. 609, par.</w:t>
      </w:r>
      <w:r w:rsidR="00B029AB">
        <w:rPr>
          <w:rFonts w:cs="Times New Roman"/>
          <w:lang w:val="fr-CA"/>
        </w:rPr>
        <w:t xml:space="preserve"> </w:t>
      </w:r>
      <w:r w:rsidRPr="00017532">
        <w:rPr>
          <w:rFonts w:cs="Times New Roman"/>
          <w:lang w:val="fr-CA"/>
        </w:rPr>
        <w:t>44).</w:t>
      </w:r>
    </w:p>
    <w:p w:rsidR="002A4851" w:rsidRPr="00017532" w:rsidRDefault="002A4851" w:rsidP="00A659A4">
      <w:pPr>
        <w:pStyle w:val="ParaNoNdepar-AltN"/>
        <w:rPr>
          <w:rFonts w:cs="Times New Roman"/>
          <w:lang w:val="fr-CA"/>
        </w:rPr>
      </w:pPr>
      <w:r w:rsidRPr="00017532">
        <w:rPr>
          <w:rFonts w:cs="Times New Roman"/>
          <w:lang w:val="fr-CA"/>
        </w:rPr>
        <w:t>La procureure générale de l</w:t>
      </w:r>
      <w:r>
        <w:rPr>
          <w:rFonts w:cs="Times New Roman"/>
          <w:lang w:val="fr-CA"/>
        </w:rPr>
        <w:t>’</w:t>
      </w:r>
      <w:r w:rsidRPr="00017532">
        <w:rPr>
          <w:rFonts w:cs="Times New Roman"/>
          <w:lang w:val="fr-CA"/>
        </w:rPr>
        <w:t>Ontario prétend en deuxième lieu qu</w:t>
      </w:r>
      <w:r>
        <w:rPr>
          <w:rFonts w:cs="Times New Roman"/>
          <w:lang w:val="fr-CA"/>
        </w:rPr>
        <w:t>’</w:t>
      </w:r>
      <w:r w:rsidRPr="00017532">
        <w:rPr>
          <w:rFonts w:cs="Times New Roman"/>
          <w:lang w:val="fr-CA"/>
        </w:rPr>
        <w:t>il convient de rompre avec les précédents relatifs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parce qu</w:t>
      </w:r>
      <w:r>
        <w:rPr>
          <w:rFonts w:cs="Times New Roman"/>
          <w:lang w:val="fr-CA"/>
        </w:rPr>
        <w:t>’</w:t>
      </w:r>
      <w:r w:rsidRPr="00017532">
        <w:rPr>
          <w:rFonts w:cs="Times New Roman"/>
          <w:lang w:val="fr-CA"/>
        </w:rPr>
        <w:t>ils sont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inapplicables</w:t>
      </w:r>
      <w:r w:rsidR="00B029AB">
        <w:rPr>
          <w:rFonts w:cs="Times New Roman"/>
          <w:lang w:val="fr-CA"/>
        </w:rPr>
        <w:t> »</w:t>
      </w:r>
      <w:r w:rsidRPr="00017532">
        <w:rPr>
          <w:rFonts w:cs="Times New Roman"/>
          <w:lang w:val="fr-CA"/>
        </w:rPr>
        <w:t xml:space="preserve"> et sources d</w:t>
      </w:r>
      <w:r>
        <w:rPr>
          <w:rFonts w:cs="Times New Roman"/>
          <w:lang w:val="fr-CA"/>
        </w:rPr>
        <w:t>’</w:t>
      </w:r>
      <w:r w:rsidRPr="00017532">
        <w:rPr>
          <w:rFonts w:cs="Times New Roman"/>
          <w:lang w:val="fr-CA"/>
        </w:rPr>
        <w:t>incertitude. Sa prétention prend appui sur le débat qui entoure la définition des situations hypothétiques raisonnables. Or, je le répète, il faut y voir seulement les applications raisonnablement prévisibles de la peine minimale obligatoire en cause et se demander s</w:t>
      </w:r>
      <w:r>
        <w:rPr>
          <w:rFonts w:cs="Times New Roman"/>
          <w:lang w:val="fr-CA"/>
        </w:rPr>
        <w:t>’</w:t>
      </w:r>
      <w:r w:rsidRPr="00017532">
        <w:rPr>
          <w:rFonts w:cs="Times New Roman"/>
          <w:lang w:val="fr-CA"/>
        </w:rPr>
        <w:t>il en résulte l</w:t>
      </w:r>
      <w:r>
        <w:rPr>
          <w:rFonts w:cs="Times New Roman"/>
          <w:lang w:val="fr-CA"/>
        </w:rPr>
        <w:t>’</w:t>
      </w:r>
      <w:r w:rsidRPr="00017532">
        <w:rPr>
          <w:rFonts w:cs="Times New Roman"/>
          <w:lang w:val="fr-CA"/>
        </w:rPr>
        <w:t>infliction de peines totalement disproportionnées et, de ce fait, cruelles et inusitées. Telle a été la démarche constante des tribunaux lors d</w:t>
      </w:r>
      <w:r>
        <w:rPr>
          <w:rFonts w:cs="Times New Roman"/>
          <w:lang w:val="fr-CA"/>
        </w:rPr>
        <w:t>’</w:t>
      </w:r>
      <w:r w:rsidRPr="00017532">
        <w:rPr>
          <w:rFonts w:cs="Times New Roman"/>
          <w:lang w:val="fr-CA"/>
        </w:rPr>
        <w:t xml:space="preserve">un contrôle constitutionnel. Elle vise à </w:t>
      </w:r>
      <w:r w:rsidRPr="00017532">
        <w:rPr>
          <w:rFonts w:cs="Times New Roman"/>
          <w:lang w:val="fr-CA"/>
        </w:rPr>
        <w:lastRenderedPageBreak/>
        <w:t>déterminer la portée de la disposition ou son champ d</w:t>
      </w:r>
      <w:r>
        <w:rPr>
          <w:rFonts w:cs="Times New Roman"/>
          <w:lang w:val="fr-CA"/>
        </w:rPr>
        <w:t>’</w:t>
      </w:r>
      <w:r w:rsidRPr="00017532">
        <w:rPr>
          <w:rFonts w:cs="Times New Roman"/>
          <w:lang w:val="fr-CA"/>
        </w:rPr>
        <w:t xml:space="preserve">application, ce que le juge Dickson appelle la </w:t>
      </w:r>
      <w:r w:rsidR="00B029AB">
        <w:rPr>
          <w:rFonts w:cs="Times New Roman"/>
          <w:lang w:val="fr-CA"/>
        </w:rPr>
        <w:t>« </w:t>
      </w:r>
      <w:r w:rsidRPr="00017532">
        <w:rPr>
          <w:rFonts w:cs="Times New Roman"/>
          <w:lang w:val="fr-CA"/>
        </w:rPr>
        <w:t>nature de la loi</w:t>
      </w:r>
      <w:r w:rsidR="00B029AB">
        <w:rPr>
          <w:rFonts w:cs="Times New Roman"/>
          <w:lang w:val="fr-CA"/>
        </w:rPr>
        <w:t> »</w:t>
      </w:r>
      <w:r w:rsidRPr="00017532">
        <w:rPr>
          <w:rFonts w:cs="Times New Roman"/>
          <w:lang w:val="fr-CA"/>
        </w:rPr>
        <w:t xml:space="preserve"> dans l</w:t>
      </w:r>
      <w:r>
        <w:rPr>
          <w:rFonts w:cs="Times New Roman"/>
          <w:lang w:val="fr-CA"/>
        </w:rPr>
        <w:t>’</w:t>
      </w:r>
      <w:r w:rsidRPr="00017532">
        <w:rPr>
          <w:rFonts w:cs="Times New Roman"/>
          <w:lang w:val="fr-CA"/>
        </w:rPr>
        <w:t xml:space="preserve">arrêt </w:t>
      </w:r>
      <w:r w:rsidRPr="00017532">
        <w:rPr>
          <w:rFonts w:cs="Times New Roman"/>
          <w:i/>
          <w:lang w:val="fr-CA"/>
        </w:rPr>
        <w:t>Big</w:t>
      </w:r>
      <w:r w:rsidR="00B029AB">
        <w:rPr>
          <w:rFonts w:cs="Times New Roman"/>
          <w:i/>
          <w:lang w:val="fr-CA"/>
        </w:rPr>
        <w:t xml:space="preserve"> </w:t>
      </w:r>
      <w:r w:rsidRPr="00017532">
        <w:rPr>
          <w:rFonts w:cs="Times New Roman"/>
          <w:i/>
          <w:lang w:val="fr-CA"/>
        </w:rPr>
        <w:t>M</w:t>
      </w:r>
      <w:r w:rsidRPr="00017532">
        <w:rPr>
          <w:rFonts w:cs="Times New Roman"/>
          <w:lang w:val="fr-CA"/>
        </w:rPr>
        <w:t>.</w:t>
      </w:r>
    </w:p>
    <w:p w:rsidR="002A4851" w:rsidRPr="00017532" w:rsidRDefault="002A4851" w:rsidP="00A659A4">
      <w:pPr>
        <w:pStyle w:val="ParaNoNdepar-AltN"/>
        <w:rPr>
          <w:rFonts w:cs="Times New Roman"/>
          <w:lang w:val="fr-CA"/>
        </w:rPr>
      </w:pPr>
      <w:r w:rsidRPr="00017532">
        <w:rPr>
          <w:rFonts w:cs="Times New Roman"/>
          <w:lang w:val="fr-CA"/>
        </w:rPr>
        <w:t>Dans le contexte des peines minimales obligatoires d</w:t>
      </w:r>
      <w:r>
        <w:rPr>
          <w:rFonts w:cs="Times New Roman"/>
          <w:lang w:val="fr-CA"/>
        </w:rPr>
        <w:t>’</w:t>
      </w:r>
      <w:r w:rsidRPr="00017532">
        <w:rPr>
          <w:rFonts w:cs="Times New Roman"/>
          <w:lang w:val="fr-CA"/>
        </w:rPr>
        <w:t>emprisonnement et du débat aux proportions exagérées qu</w:t>
      </w:r>
      <w:r>
        <w:rPr>
          <w:rFonts w:cs="Times New Roman"/>
          <w:lang w:val="fr-CA"/>
        </w:rPr>
        <w:t>’</w:t>
      </w:r>
      <w:r w:rsidRPr="00017532">
        <w:rPr>
          <w:rFonts w:cs="Times New Roman"/>
          <w:lang w:val="fr-CA"/>
        </w:rPr>
        <w:t>a suscité l</w:t>
      </w:r>
      <w:r>
        <w:rPr>
          <w:rFonts w:cs="Times New Roman"/>
          <w:lang w:val="fr-CA"/>
        </w:rPr>
        <w:t>’</w:t>
      </w:r>
      <w:r w:rsidRPr="00017532">
        <w:rPr>
          <w:rFonts w:cs="Times New Roman"/>
          <w:lang w:val="fr-CA"/>
        </w:rPr>
        <w:t xml:space="preserve">expression </w:t>
      </w:r>
      <w:r w:rsidR="00B029AB">
        <w:rPr>
          <w:rFonts w:cs="Times New Roman"/>
          <w:lang w:val="fr-CA"/>
        </w:rPr>
        <w:t>« </w:t>
      </w:r>
      <w:r w:rsidRPr="00017532">
        <w:rPr>
          <w:rFonts w:cs="Times New Roman"/>
          <w:lang w:val="fr-CA"/>
        </w:rPr>
        <w:t>situations hypothétiques raisonnables</w:t>
      </w:r>
      <w:r w:rsidR="00B029AB">
        <w:rPr>
          <w:rFonts w:cs="Times New Roman"/>
          <w:lang w:val="fr-CA"/>
        </w:rPr>
        <w:t> »</w:t>
      </w:r>
      <w:r w:rsidRPr="00017532">
        <w:rPr>
          <w:rFonts w:cs="Times New Roman"/>
          <w:lang w:val="fr-CA"/>
        </w:rPr>
        <w:t>, d</w:t>
      </w:r>
      <w:r>
        <w:rPr>
          <w:rFonts w:cs="Times New Roman"/>
          <w:lang w:val="fr-CA"/>
        </w:rPr>
        <w:t>’</w:t>
      </w:r>
      <w:r w:rsidRPr="00017532">
        <w:rPr>
          <w:rFonts w:cs="Times New Roman"/>
          <w:lang w:val="fr-CA"/>
        </w:rPr>
        <w:t>aucuns ont certainement craint que seule l</w:t>
      </w:r>
      <w:r>
        <w:rPr>
          <w:rFonts w:cs="Times New Roman"/>
          <w:lang w:val="fr-CA"/>
        </w:rPr>
        <w:t>’</w:t>
      </w:r>
      <w:r w:rsidRPr="00017532">
        <w:rPr>
          <w:rFonts w:cs="Times New Roman"/>
          <w:lang w:val="fr-CA"/>
        </w:rPr>
        <w:t>imagination du juge saisi ne limite la possibilité d</w:t>
      </w:r>
      <w:r>
        <w:rPr>
          <w:rFonts w:cs="Times New Roman"/>
          <w:lang w:val="fr-CA"/>
        </w:rPr>
        <w:t>’</w:t>
      </w:r>
      <w:r w:rsidRPr="00017532">
        <w:rPr>
          <w:rFonts w:cs="Times New Roman"/>
          <w:lang w:val="fr-CA"/>
        </w:rPr>
        <w:t>une déclaration d</w:t>
      </w:r>
      <w:r>
        <w:rPr>
          <w:rFonts w:cs="Times New Roman"/>
          <w:lang w:val="fr-CA"/>
        </w:rPr>
        <w:t>’</w:t>
      </w:r>
      <w:r w:rsidRPr="00017532">
        <w:rPr>
          <w:rFonts w:cs="Times New Roman"/>
          <w:lang w:val="fr-CA"/>
        </w:rPr>
        <w:t>inconstitutionnalité. Cette crainte n</w:t>
      </w:r>
      <w:r>
        <w:rPr>
          <w:rFonts w:cs="Times New Roman"/>
          <w:lang w:val="fr-CA"/>
        </w:rPr>
        <w:t>’</w:t>
      </w:r>
      <w:r w:rsidRPr="00017532">
        <w:rPr>
          <w:rFonts w:cs="Times New Roman"/>
          <w:lang w:val="fr-CA"/>
        </w:rPr>
        <w:t>est pas fondée. Déterminer la portée raisonnable d</w:t>
      </w:r>
      <w:r>
        <w:rPr>
          <w:rFonts w:cs="Times New Roman"/>
          <w:lang w:val="fr-CA"/>
        </w:rPr>
        <w:t>’</w:t>
      </w:r>
      <w:r w:rsidRPr="00017532">
        <w:rPr>
          <w:rFonts w:cs="Times New Roman"/>
          <w:lang w:val="fr-CA"/>
        </w:rPr>
        <w:t>une loi relève essentiellement de l</w:t>
      </w:r>
      <w:r>
        <w:rPr>
          <w:rFonts w:cs="Times New Roman"/>
          <w:lang w:val="fr-CA"/>
        </w:rPr>
        <w:t>’</w:t>
      </w:r>
      <w:r w:rsidRPr="00017532">
        <w:rPr>
          <w:rFonts w:cs="Times New Roman"/>
          <w:lang w:val="fr-CA"/>
        </w:rPr>
        <w:t>interprétation législative. Au fond, le tribunal se demande seulement ce qui suit. Quelle est la portée de la loi? Quels actes pourraient raisonnablement tomber sous le coup de la loi? Quelle est l</w:t>
      </w:r>
      <w:r>
        <w:rPr>
          <w:rFonts w:cs="Times New Roman"/>
          <w:lang w:val="fr-CA"/>
        </w:rPr>
        <w:t>’</w:t>
      </w:r>
      <w:r w:rsidRPr="00017532">
        <w:rPr>
          <w:rFonts w:cs="Times New Roman"/>
          <w:lang w:val="fr-CA"/>
        </w:rPr>
        <w:t>incidence raisonnablement prévisible de la loi? Telles sont les questions que les tribunaux se posent toujours pour délimiter la portée d</w:t>
      </w:r>
      <w:r>
        <w:rPr>
          <w:rFonts w:cs="Times New Roman"/>
          <w:lang w:val="fr-CA"/>
        </w:rPr>
        <w:t>’</w:t>
      </w:r>
      <w:r w:rsidRPr="00017532">
        <w:rPr>
          <w:rFonts w:cs="Times New Roman"/>
          <w:lang w:val="fr-CA"/>
        </w:rPr>
        <w:t>une disposition créant une infraction et se prononcer sur sa constitutionnalité.</w:t>
      </w:r>
    </w:p>
    <w:p w:rsidR="002A4851" w:rsidRPr="00017532" w:rsidRDefault="002A4851" w:rsidP="00A659A4">
      <w:pPr>
        <w:pStyle w:val="ParaNoNdepar-AltN"/>
        <w:rPr>
          <w:rFonts w:cs="Times New Roman"/>
          <w:lang w:val="fr-CA"/>
        </w:rPr>
      </w:pPr>
      <w:r w:rsidRPr="00017532">
        <w:rPr>
          <w:rFonts w:cs="Times New Roman"/>
          <w:lang w:val="fr-CA"/>
        </w:rPr>
        <w:t>L</w:t>
      </w:r>
      <w:r>
        <w:rPr>
          <w:rFonts w:cs="Times New Roman"/>
          <w:lang w:val="fr-CA"/>
        </w:rPr>
        <w:t>’</w:t>
      </w:r>
      <w:r w:rsidRPr="00017532">
        <w:rPr>
          <w:rFonts w:cs="Times New Roman"/>
          <w:lang w:val="fr-CA"/>
        </w:rPr>
        <w:t>examen des situations dont on peut raisonnablement s</w:t>
      </w:r>
      <w:r>
        <w:rPr>
          <w:rFonts w:cs="Times New Roman"/>
          <w:lang w:val="fr-CA"/>
        </w:rPr>
        <w:t>’</w:t>
      </w:r>
      <w:r w:rsidRPr="00017532">
        <w:rPr>
          <w:rFonts w:cs="Times New Roman"/>
          <w:lang w:val="fr-CA"/>
        </w:rPr>
        <w:t>attendre à ce qu</w:t>
      </w:r>
      <w:r>
        <w:rPr>
          <w:rFonts w:cs="Times New Roman"/>
          <w:lang w:val="fr-CA"/>
        </w:rPr>
        <w:t>’</w:t>
      </w:r>
      <w:r w:rsidRPr="00017532">
        <w:rPr>
          <w:rFonts w:cs="Times New Roman"/>
          <w:lang w:val="fr-CA"/>
        </w:rPr>
        <w:t>elles tombent sous le coup de la disposition prévoyant une peine minimale obligatoire doit s</w:t>
      </w:r>
      <w:r>
        <w:rPr>
          <w:rFonts w:cs="Times New Roman"/>
          <w:lang w:val="fr-CA"/>
        </w:rPr>
        <w:t>’</w:t>
      </w:r>
      <w:r w:rsidRPr="00017532">
        <w:rPr>
          <w:rFonts w:cs="Times New Roman"/>
          <w:lang w:val="fr-CA"/>
        </w:rPr>
        <w:t>appuyer sur l</w:t>
      </w:r>
      <w:r>
        <w:rPr>
          <w:rFonts w:cs="Times New Roman"/>
          <w:lang w:val="fr-CA"/>
        </w:rPr>
        <w:t>’</w:t>
      </w:r>
      <w:r w:rsidRPr="00017532">
        <w:rPr>
          <w:rFonts w:cs="Times New Roman"/>
          <w:lang w:val="fr-CA"/>
        </w:rPr>
        <w:t>expérience judiciaire et le bon sens. Le tribunal peut d</w:t>
      </w:r>
      <w:r>
        <w:rPr>
          <w:rFonts w:cs="Times New Roman"/>
          <w:lang w:val="fr-CA"/>
        </w:rPr>
        <w:t>’</w:t>
      </w:r>
      <w:r w:rsidRPr="00017532">
        <w:rPr>
          <w:rFonts w:cs="Times New Roman"/>
          <w:lang w:val="fr-CA"/>
        </w:rPr>
        <w:t>abord considérer les situations qui se sont présentées (je me penche plus loin sur l</w:t>
      </w:r>
      <w:r>
        <w:rPr>
          <w:rFonts w:cs="Times New Roman"/>
          <w:lang w:val="fr-CA"/>
        </w:rPr>
        <w:t>’</w:t>
      </w:r>
      <w:r w:rsidRPr="00017532">
        <w:rPr>
          <w:rFonts w:cs="Times New Roman"/>
          <w:lang w:val="fr-CA"/>
        </w:rPr>
        <w:t>utilité des cas répertoriés) et déterminer au moyen d</w:t>
      </w:r>
      <w:r>
        <w:rPr>
          <w:rFonts w:cs="Times New Roman"/>
          <w:lang w:val="fr-CA"/>
        </w:rPr>
        <w:t>’</w:t>
      </w:r>
      <w:r w:rsidRPr="00017532">
        <w:rPr>
          <w:rFonts w:cs="Times New Roman"/>
          <w:lang w:val="fr-CA"/>
        </w:rPr>
        <w:t>inférences raisonnables quelles autres situations sont raisonnablement prévisibles. Les hypothèses fantaisistes ou n</w:t>
      </w:r>
      <w:r>
        <w:rPr>
          <w:rFonts w:cs="Times New Roman"/>
          <w:lang w:val="fr-CA"/>
        </w:rPr>
        <w:t>’</w:t>
      </w:r>
      <w:r w:rsidRPr="00017532">
        <w:rPr>
          <w:rFonts w:cs="Times New Roman"/>
          <w:lang w:val="fr-CA"/>
        </w:rPr>
        <w:t>ayant qu</w:t>
      </w:r>
      <w:r>
        <w:rPr>
          <w:rFonts w:cs="Times New Roman"/>
          <w:lang w:val="fr-CA"/>
        </w:rPr>
        <w:t>’</w:t>
      </w:r>
      <w:r w:rsidRPr="00017532">
        <w:rPr>
          <w:rFonts w:cs="Times New Roman"/>
          <w:lang w:val="fr-CA"/>
        </w:rPr>
        <w:t>un faible rapport avec l</w:t>
      </w:r>
      <w:r>
        <w:rPr>
          <w:rFonts w:cs="Times New Roman"/>
          <w:lang w:val="fr-CA"/>
        </w:rPr>
        <w:t>’</w:t>
      </w:r>
      <w:r w:rsidRPr="00017532">
        <w:rPr>
          <w:rFonts w:cs="Times New Roman"/>
          <w:lang w:val="fr-CA"/>
        </w:rPr>
        <w:t>espèce doivent être écartées (</w:t>
      </w:r>
      <w:r w:rsidRPr="00017532">
        <w:rPr>
          <w:rFonts w:cs="Times New Roman"/>
          <w:i/>
          <w:lang w:val="fr-CA"/>
        </w:rPr>
        <w:t>Goltz</w:t>
      </w:r>
      <w:r w:rsidRPr="00017532">
        <w:rPr>
          <w:rFonts w:cs="Times New Roman"/>
          <w:lang w:val="fr-CA"/>
        </w:rPr>
        <w:t>, p.</w:t>
      </w:r>
      <w:r w:rsidR="00B029AB">
        <w:rPr>
          <w:rFonts w:cs="Times New Roman"/>
          <w:lang w:val="fr-CA"/>
        </w:rPr>
        <w:t xml:space="preserve"> </w:t>
      </w:r>
      <w:r w:rsidRPr="00017532">
        <w:rPr>
          <w:rFonts w:cs="Times New Roman"/>
          <w:lang w:val="fr-CA"/>
        </w:rPr>
        <w:t>506). Faut</w:t>
      </w:r>
      <w:r w:rsidR="00B029AB">
        <w:rPr>
          <w:rFonts w:cs="Times New Roman"/>
          <w:lang w:val="fr-CA"/>
        </w:rPr>
        <w:t>-</w:t>
      </w:r>
      <w:r w:rsidRPr="00017532">
        <w:rPr>
          <w:rFonts w:cs="Times New Roman"/>
          <w:lang w:val="fr-CA"/>
        </w:rPr>
        <w:lastRenderedPageBreak/>
        <w:t>il le rappeler, l</w:t>
      </w:r>
      <w:r>
        <w:rPr>
          <w:rFonts w:cs="Times New Roman"/>
          <w:lang w:val="fr-CA"/>
        </w:rPr>
        <w:t>’</w:t>
      </w:r>
      <w:r w:rsidRPr="00017532">
        <w:rPr>
          <w:rFonts w:cs="Times New Roman"/>
          <w:lang w:val="fr-CA"/>
        </w:rPr>
        <w:t>entreprise doit prendre appui sur l</w:t>
      </w:r>
      <w:r>
        <w:rPr>
          <w:rFonts w:cs="Times New Roman"/>
          <w:lang w:val="fr-CA"/>
        </w:rPr>
        <w:t>’</w:t>
      </w:r>
      <w:r w:rsidRPr="00017532">
        <w:rPr>
          <w:rFonts w:cs="Times New Roman"/>
          <w:lang w:val="fr-CA"/>
        </w:rPr>
        <w:t>expérience judiciaire et le bon sens. Une loi ne saurait être rendue inopérante sur la base de pures conjectures.</w:t>
      </w:r>
    </w:p>
    <w:p w:rsidR="002A4851" w:rsidRPr="00017532" w:rsidRDefault="002A4851" w:rsidP="00A659A4">
      <w:pPr>
        <w:pStyle w:val="ParaNoNdepar-AltN"/>
        <w:rPr>
          <w:rFonts w:cs="Times New Roman"/>
          <w:lang w:val="fr-CA"/>
        </w:rPr>
      </w:pPr>
      <w:r w:rsidRPr="00017532">
        <w:rPr>
          <w:rFonts w:cs="Times New Roman"/>
          <w:lang w:val="fr-CA"/>
        </w:rPr>
        <w:t>Non seulement il est possible d</w:t>
      </w:r>
      <w:r>
        <w:rPr>
          <w:rFonts w:cs="Times New Roman"/>
          <w:lang w:val="fr-CA"/>
        </w:rPr>
        <w:t>’</w:t>
      </w:r>
      <w:r w:rsidRPr="00017532">
        <w:rPr>
          <w:rFonts w:cs="Times New Roman"/>
          <w:lang w:val="fr-CA"/>
        </w:rPr>
        <w:t>examiner l</w:t>
      </w:r>
      <w:r>
        <w:rPr>
          <w:rFonts w:cs="Times New Roman"/>
          <w:lang w:val="fr-CA"/>
        </w:rPr>
        <w:t>’</w:t>
      </w:r>
      <w:r w:rsidRPr="00017532">
        <w:rPr>
          <w:rFonts w:cs="Times New Roman"/>
          <w:lang w:val="fr-CA"/>
        </w:rPr>
        <w:t>effet de la loi sur les personnes auxquelles il est raisonnablement prévisible qu</w:t>
      </w:r>
      <w:r>
        <w:rPr>
          <w:rFonts w:cs="Times New Roman"/>
          <w:lang w:val="fr-CA"/>
        </w:rPr>
        <w:t>’</w:t>
      </w:r>
      <w:r w:rsidRPr="00017532">
        <w:rPr>
          <w:rFonts w:cs="Times New Roman"/>
          <w:lang w:val="fr-CA"/>
        </w:rPr>
        <w:t>elle s</w:t>
      </w:r>
      <w:r>
        <w:rPr>
          <w:rFonts w:cs="Times New Roman"/>
          <w:lang w:val="fr-CA"/>
        </w:rPr>
        <w:t>’</w:t>
      </w:r>
      <w:r w:rsidRPr="00017532">
        <w:rPr>
          <w:rFonts w:cs="Times New Roman"/>
          <w:lang w:val="fr-CA"/>
        </w:rPr>
        <w:t xml:space="preserve">applique, mais cela est essentiel au contrôle constitutionnel véritable. Refuser de prendre en compte les répercussions raisonnablement prévisibles de la loi contestée réduirait radicalement la portée de la </w:t>
      </w:r>
      <w:r w:rsidRPr="00017532">
        <w:rPr>
          <w:rFonts w:cs="Times New Roman"/>
          <w:i/>
          <w:lang w:val="fr-CA"/>
        </w:rPr>
        <w:t>Charte</w:t>
      </w:r>
      <w:r w:rsidRPr="00017532">
        <w:rPr>
          <w:rFonts w:cs="Times New Roman"/>
          <w:lang w:val="fr-CA"/>
        </w:rPr>
        <w:t xml:space="preserve"> et la faculté qu</w:t>
      </w:r>
      <w:r>
        <w:rPr>
          <w:rFonts w:cs="Times New Roman"/>
          <w:lang w:val="fr-CA"/>
        </w:rPr>
        <w:t>’</w:t>
      </w:r>
      <w:r w:rsidRPr="00017532">
        <w:rPr>
          <w:rFonts w:cs="Times New Roman"/>
          <w:lang w:val="fr-CA"/>
        </w:rPr>
        <w:t>ont les tribunaux de s</w:t>
      </w:r>
      <w:r>
        <w:rPr>
          <w:rFonts w:cs="Times New Roman"/>
          <w:lang w:val="fr-CA"/>
        </w:rPr>
        <w:t>’</w:t>
      </w:r>
      <w:r w:rsidRPr="00017532">
        <w:rPr>
          <w:rFonts w:cs="Times New Roman"/>
          <w:lang w:val="fr-CA"/>
        </w:rPr>
        <w:t>acquitter de leur obligation de s</w:t>
      </w:r>
      <w:r>
        <w:rPr>
          <w:rFonts w:cs="Times New Roman"/>
          <w:lang w:val="fr-CA"/>
        </w:rPr>
        <w:t>’</w:t>
      </w:r>
      <w:r w:rsidRPr="00017532">
        <w:rPr>
          <w:rFonts w:cs="Times New Roman"/>
          <w:lang w:val="fr-CA"/>
        </w:rPr>
        <w:t>assurer de la constitutionnalité des lois et de préserver l</w:t>
      </w:r>
      <w:r>
        <w:rPr>
          <w:rFonts w:cs="Times New Roman"/>
          <w:lang w:val="fr-CA"/>
        </w:rPr>
        <w:t>’</w:t>
      </w:r>
      <w:r w:rsidRPr="00017532">
        <w:rPr>
          <w:rFonts w:cs="Times New Roman"/>
          <w:lang w:val="fr-CA"/>
        </w:rPr>
        <w:t>intégrité de l</w:t>
      </w:r>
      <w:r>
        <w:rPr>
          <w:rFonts w:cs="Times New Roman"/>
          <w:lang w:val="fr-CA"/>
        </w:rPr>
        <w:t>’</w:t>
      </w:r>
      <w:r w:rsidRPr="00017532">
        <w:rPr>
          <w:rFonts w:cs="Times New Roman"/>
          <w:lang w:val="fr-CA"/>
        </w:rPr>
        <w:t>ordre constitutionnel. La protection des droits individuels commande un contrôle constitutionnel qui s</w:t>
      </w:r>
      <w:r>
        <w:rPr>
          <w:rFonts w:cs="Times New Roman"/>
          <w:lang w:val="fr-CA"/>
        </w:rPr>
        <w:t>’</w:t>
      </w:r>
      <w:r w:rsidRPr="00017532">
        <w:rPr>
          <w:rFonts w:cs="Times New Roman"/>
          <w:lang w:val="fr-CA"/>
        </w:rPr>
        <w:t>intéresse non seulement à la situation du délinquant qui saisit le tribunal, mais également à celle de toute personne dont il est raisonnablement prévisible qu</w:t>
      </w:r>
      <w:r>
        <w:rPr>
          <w:rFonts w:cs="Times New Roman"/>
          <w:lang w:val="fr-CA"/>
        </w:rPr>
        <w:t>’</w:t>
      </w:r>
      <w:r w:rsidRPr="00017532">
        <w:rPr>
          <w:rFonts w:cs="Times New Roman"/>
          <w:lang w:val="fr-CA"/>
        </w:rPr>
        <w:t>elle tombe sous le coup de la loi en cause. Contrôler la loi au regard d</w:t>
      </w:r>
      <w:r>
        <w:rPr>
          <w:rFonts w:cs="Times New Roman"/>
          <w:lang w:val="fr-CA"/>
        </w:rPr>
        <w:t>’</w:t>
      </w:r>
      <w:r w:rsidRPr="00017532">
        <w:rPr>
          <w:rFonts w:cs="Times New Roman"/>
          <w:lang w:val="fr-CA"/>
        </w:rPr>
        <w:t>applications raisonnablement prévisibles permet d</w:t>
      </w:r>
      <w:r>
        <w:rPr>
          <w:rFonts w:cs="Times New Roman"/>
          <w:lang w:val="fr-CA"/>
        </w:rPr>
        <w:t>’</w:t>
      </w:r>
      <w:r w:rsidRPr="00017532">
        <w:rPr>
          <w:rFonts w:cs="Times New Roman"/>
          <w:lang w:val="fr-CA"/>
        </w:rPr>
        <w:t xml:space="preserve">éviter que des justiciables ne soient condamnés à des peines cruelles et inusitées avant que la peine minimale obligatoire ne soit déclarée inconstitutionnelle dans un cas donné. </w:t>
      </w:r>
    </w:p>
    <w:p w:rsidR="002A4851" w:rsidRPr="00017532" w:rsidRDefault="002A4851" w:rsidP="00A659A4">
      <w:pPr>
        <w:pStyle w:val="ParaNoNdepar-AltN"/>
        <w:rPr>
          <w:rFonts w:cs="Times New Roman"/>
          <w:lang w:val="fr-CA"/>
        </w:rPr>
      </w:pPr>
      <w:r w:rsidRPr="00017532">
        <w:rPr>
          <w:rFonts w:cs="Times New Roman"/>
          <w:lang w:val="fr-CA"/>
        </w:rPr>
        <w:t>L</w:t>
      </w:r>
      <w:r>
        <w:rPr>
          <w:rFonts w:cs="Times New Roman"/>
          <w:lang w:val="fr-CA"/>
        </w:rPr>
        <w:t>’</w:t>
      </w:r>
      <w:r w:rsidRPr="00017532">
        <w:rPr>
          <w:rFonts w:cs="Times New Roman"/>
          <w:lang w:val="fr-CA"/>
        </w:rPr>
        <w:t>omission de se pencher sur l</w:t>
      </w:r>
      <w:r>
        <w:rPr>
          <w:rFonts w:cs="Times New Roman"/>
          <w:lang w:val="fr-CA"/>
        </w:rPr>
        <w:t>’</w:t>
      </w:r>
      <w:r w:rsidRPr="00017532">
        <w:rPr>
          <w:rFonts w:cs="Times New Roman"/>
          <w:lang w:val="fr-CA"/>
        </w:rPr>
        <w:t>effet de la loi contestée sur des tiers compromettrait en outre l</w:t>
      </w:r>
      <w:r>
        <w:rPr>
          <w:rFonts w:cs="Times New Roman"/>
          <w:lang w:val="fr-CA"/>
        </w:rPr>
        <w:t>’</w:t>
      </w:r>
      <w:r w:rsidRPr="00017532">
        <w:rPr>
          <w:rFonts w:cs="Times New Roman"/>
          <w:lang w:val="fr-CA"/>
        </w:rPr>
        <w:t>éventualité que la constitutionnalité d</w:t>
      </w:r>
      <w:r>
        <w:rPr>
          <w:rFonts w:cs="Times New Roman"/>
          <w:lang w:val="fr-CA"/>
        </w:rPr>
        <w:t>’</w:t>
      </w:r>
      <w:r w:rsidRPr="00017532">
        <w:rPr>
          <w:rFonts w:cs="Times New Roman"/>
          <w:lang w:val="fr-CA"/>
        </w:rPr>
        <w:t>une loi ne devienne certaine, de sorte qu</w:t>
      </w:r>
      <w:r>
        <w:rPr>
          <w:rFonts w:cs="Times New Roman"/>
          <w:lang w:val="fr-CA"/>
        </w:rPr>
        <w:t>’</w:t>
      </w:r>
      <w:r w:rsidRPr="00017532">
        <w:rPr>
          <w:rFonts w:cs="Times New Roman"/>
          <w:lang w:val="fr-CA"/>
        </w:rPr>
        <w:t>il faudrait s</w:t>
      </w:r>
      <w:r>
        <w:rPr>
          <w:rFonts w:cs="Times New Roman"/>
          <w:lang w:val="fr-CA"/>
        </w:rPr>
        <w:t>’</w:t>
      </w:r>
      <w:r w:rsidRPr="00017532">
        <w:rPr>
          <w:rFonts w:cs="Times New Roman"/>
          <w:lang w:val="fr-CA"/>
        </w:rPr>
        <w:t>en remettre à d</w:t>
      </w:r>
      <w:r>
        <w:rPr>
          <w:rFonts w:cs="Times New Roman"/>
          <w:lang w:val="fr-CA"/>
        </w:rPr>
        <w:t>’</w:t>
      </w:r>
      <w:r w:rsidRPr="00017532">
        <w:rPr>
          <w:rFonts w:cs="Times New Roman"/>
          <w:lang w:val="fr-CA"/>
        </w:rPr>
        <w:t>innombrables instances engagées individuellement pour constituer une jurisprudence sur ce point. Les citoyens, la police et l</w:t>
      </w:r>
      <w:r>
        <w:rPr>
          <w:rFonts w:cs="Times New Roman"/>
          <w:lang w:val="fr-CA"/>
        </w:rPr>
        <w:t>’</w:t>
      </w:r>
      <w:r w:rsidRPr="00017532">
        <w:rPr>
          <w:rFonts w:cs="Times New Roman"/>
          <w:lang w:val="fr-CA"/>
        </w:rPr>
        <w:t>État ont le droit — et même l</w:t>
      </w:r>
      <w:r>
        <w:rPr>
          <w:rFonts w:cs="Times New Roman"/>
          <w:lang w:val="fr-CA"/>
        </w:rPr>
        <w:t>’</w:t>
      </w:r>
      <w:r w:rsidRPr="00017532">
        <w:rPr>
          <w:rFonts w:cs="Times New Roman"/>
          <w:lang w:val="fr-CA"/>
        </w:rPr>
        <w:t>obligation — de connaître la teneur du droit criminel et de savoir s</w:t>
      </w:r>
      <w:r>
        <w:rPr>
          <w:rFonts w:cs="Times New Roman"/>
          <w:lang w:val="fr-CA"/>
        </w:rPr>
        <w:t>’</w:t>
      </w:r>
      <w:r w:rsidRPr="00017532">
        <w:rPr>
          <w:rFonts w:cs="Times New Roman"/>
          <w:lang w:val="fr-CA"/>
        </w:rPr>
        <w:t xml:space="preserve">il est constitutionnel. Se demander si une peine minimale </w:t>
      </w:r>
      <w:r w:rsidRPr="00017532">
        <w:rPr>
          <w:rFonts w:cs="Times New Roman"/>
          <w:lang w:val="fr-CA"/>
        </w:rPr>
        <w:lastRenderedPageBreak/>
        <w:t>obligatoire se révèle inconstitutionnelle pour d</w:t>
      </w:r>
      <w:r>
        <w:rPr>
          <w:rFonts w:cs="Times New Roman"/>
          <w:lang w:val="fr-CA"/>
        </w:rPr>
        <w:t>’</w:t>
      </w:r>
      <w:r w:rsidRPr="00017532">
        <w:rPr>
          <w:rFonts w:cs="Times New Roman"/>
          <w:lang w:val="fr-CA"/>
        </w:rPr>
        <w:t>autres personnes permet d</w:t>
      </w:r>
      <w:r>
        <w:rPr>
          <w:rFonts w:cs="Times New Roman"/>
          <w:lang w:val="fr-CA"/>
        </w:rPr>
        <w:t>’</w:t>
      </w:r>
      <w:r w:rsidRPr="00017532">
        <w:rPr>
          <w:rFonts w:cs="Times New Roman"/>
          <w:lang w:val="fr-CA"/>
        </w:rPr>
        <w:t xml:space="preserve">éviter que des dispositions inconstitutionnelles ne demeurent malencontreusement en vigueur. </w:t>
      </w:r>
    </w:p>
    <w:p w:rsidR="002A4851" w:rsidRPr="00017532" w:rsidRDefault="002A4851" w:rsidP="00A659A4">
      <w:pPr>
        <w:pStyle w:val="ParaNoNdepar-AltN"/>
        <w:rPr>
          <w:rFonts w:cs="Times New Roman"/>
          <w:lang w:val="fr-CA"/>
        </w:rPr>
      </w:pPr>
      <w:r w:rsidRPr="00017532">
        <w:rPr>
          <w:rFonts w:cs="Times New Roman"/>
          <w:lang w:val="fr-CA"/>
        </w:rPr>
        <w:t>J</w:t>
      </w:r>
      <w:r>
        <w:rPr>
          <w:rFonts w:cs="Times New Roman"/>
          <w:lang w:val="fr-CA"/>
        </w:rPr>
        <w:t>’</w:t>
      </w:r>
      <w:r w:rsidRPr="00017532">
        <w:rPr>
          <w:rFonts w:cs="Times New Roman"/>
          <w:lang w:val="fr-CA"/>
        </w:rPr>
        <w:t>estime qu</w:t>
      </w:r>
      <w:r>
        <w:rPr>
          <w:rFonts w:cs="Times New Roman"/>
          <w:lang w:val="fr-CA"/>
        </w:rPr>
        <w:t>’</w:t>
      </w:r>
      <w:r w:rsidRPr="00017532">
        <w:rPr>
          <w:rFonts w:cs="Times New Roman"/>
          <w:lang w:val="fr-CA"/>
        </w:rPr>
        <w:t>une peine minimale obligatoire peut être contestée pour le motif qu</w:t>
      </w:r>
      <w:r>
        <w:rPr>
          <w:rFonts w:cs="Times New Roman"/>
          <w:lang w:val="fr-CA"/>
        </w:rPr>
        <w:t>’</w:t>
      </w:r>
      <w:r w:rsidRPr="00017532">
        <w:rPr>
          <w:rFonts w:cs="Times New Roman"/>
          <w:lang w:val="fr-CA"/>
        </w:rPr>
        <w:t>elle inflige une peine totalement disproportionnée au délinquant ou à d</w:t>
      </w:r>
      <w:r>
        <w:rPr>
          <w:rFonts w:cs="Times New Roman"/>
          <w:lang w:val="fr-CA"/>
        </w:rPr>
        <w:t>’</w:t>
      </w:r>
      <w:r w:rsidRPr="00017532">
        <w:rPr>
          <w:rFonts w:cs="Times New Roman"/>
          <w:lang w:val="fr-CA"/>
        </w:rPr>
        <w:t>autres personnes se trouvant dans des situations raisonnablement prévisibles. La jurisprudence constante de la Cour et le contrôle constitutionnel véritable n</w:t>
      </w:r>
      <w:r>
        <w:rPr>
          <w:rFonts w:cs="Times New Roman"/>
          <w:lang w:val="fr-CA"/>
        </w:rPr>
        <w:t>’</w:t>
      </w:r>
      <w:r w:rsidRPr="00017532">
        <w:rPr>
          <w:rFonts w:cs="Times New Roman"/>
          <w:lang w:val="fr-CA"/>
        </w:rPr>
        <w:t>exigent rien de moins. Dès lors, la disposition qui prévoit une telle peine peut être invalidée parce qu</w:t>
      </w:r>
      <w:r>
        <w:rPr>
          <w:rFonts w:cs="Times New Roman"/>
          <w:lang w:val="fr-CA"/>
        </w:rPr>
        <w:t>’</w:t>
      </w:r>
      <w:r w:rsidRPr="00017532">
        <w:rPr>
          <w:rFonts w:cs="Times New Roman"/>
          <w:lang w:val="fr-CA"/>
        </w:rPr>
        <w:t>elle inflige une peine cruelle et inusitée (c</w:t>
      </w:r>
      <w:r>
        <w:rPr>
          <w:rFonts w:cs="Times New Roman"/>
          <w:lang w:val="fr-CA"/>
        </w:rPr>
        <w:t>’</w:t>
      </w:r>
      <w:r w:rsidRPr="00017532">
        <w:rPr>
          <w:rFonts w:cs="Times New Roman"/>
          <w:lang w:val="fr-CA"/>
        </w:rPr>
        <w:t>est</w:t>
      </w:r>
      <w:r w:rsidR="00B029AB">
        <w:rPr>
          <w:rFonts w:cs="Times New Roman"/>
          <w:lang w:val="fr-CA"/>
        </w:rPr>
        <w:t>-</w:t>
      </w:r>
      <w:r w:rsidRPr="00017532">
        <w:rPr>
          <w:rFonts w:cs="Times New Roman"/>
          <w:lang w:val="fr-CA"/>
        </w:rPr>
        <w:t>à</w:t>
      </w:r>
      <w:r w:rsidR="00B029AB">
        <w:rPr>
          <w:rFonts w:cs="Times New Roman"/>
          <w:lang w:val="fr-CA"/>
        </w:rPr>
        <w:t>-</w:t>
      </w:r>
      <w:r w:rsidRPr="00017532">
        <w:rPr>
          <w:rFonts w:cs="Times New Roman"/>
          <w:lang w:val="fr-CA"/>
        </w:rPr>
        <w:t>dire, totalement disproportionnée) au délinquant poursuivi ou, sinon, parce qu</w:t>
      </w:r>
      <w:r>
        <w:rPr>
          <w:rFonts w:cs="Times New Roman"/>
          <w:lang w:val="fr-CA"/>
        </w:rPr>
        <w:t>’</w:t>
      </w:r>
      <w:r w:rsidRPr="00017532">
        <w:rPr>
          <w:rFonts w:cs="Times New Roman"/>
          <w:lang w:val="fr-CA"/>
        </w:rPr>
        <w:t>il est raisonnablement prévisible qu</w:t>
      </w:r>
      <w:r>
        <w:rPr>
          <w:rFonts w:cs="Times New Roman"/>
          <w:lang w:val="fr-CA"/>
        </w:rPr>
        <w:t>’</w:t>
      </w:r>
      <w:r w:rsidRPr="00017532">
        <w:rPr>
          <w:rFonts w:cs="Times New Roman"/>
          <w:lang w:val="fr-CA"/>
        </w:rPr>
        <w:t>elle inflige à d</w:t>
      </w:r>
      <w:r>
        <w:rPr>
          <w:rFonts w:cs="Times New Roman"/>
          <w:lang w:val="fr-CA"/>
        </w:rPr>
        <w:t>’</w:t>
      </w:r>
      <w:r w:rsidRPr="00017532">
        <w:rPr>
          <w:rFonts w:cs="Times New Roman"/>
          <w:lang w:val="fr-CA"/>
        </w:rPr>
        <w:t xml:space="preserve">autres personnes une peine cruelle et inusitée. </w:t>
      </w:r>
    </w:p>
    <w:p w:rsidR="002A4851" w:rsidRPr="00017532" w:rsidRDefault="002A4851" w:rsidP="00A659A4">
      <w:pPr>
        <w:pStyle w:val="ParaNoNdepar-AltN"/>
        <w:rPr>
          <w:rFonts w:cs="Times New Roman"/>
          <w:lang w:val="fr-CA"/>
        </w:rPr>
      </w:pPr>
      <w:r w:rsidRPr="00017532">
        <w:rPr>
          <w:rFonts w:cs="Times New Roman"/>
          <w:lang w:val="fr-CA"/>
        </w:rPr>
        <w:t>Passons maintenant aux débat</w:t>
      </w:r>
      <w:r w:rsidR="00205E49">
        <w:rPr>
          <w:rFonts w:cs="Times New Roman"/>
          <w:lang w:val="fr-CA"/>
        </w:rPr>
        <w:t>s</w:t>
      </w:r>
      <w:r w:rsidRPr="00017532">
        <w:rPr>
          <w:rFonts w:cs="Times New Roman"/>
          <w:lang w:val="fr-CA"/>
        </w:rPr>
        <w:t xml:space="preserve"> connexes que suscite la question de savoir quelle doit être la démarche du tribunal appelé à statuer sur la constitutionnalité d</w:t>
      </w:r>
      <w:r>
        <w:rPr>
          <w:rFonts w:cs="Times New Roman"/>
          <w:lang w:val="fr-CA"/>
        </w:rPr>
        <w:t>’</w:t>
      </w:r>
      <w:r w:rsidRPr="00017532">
        <w:rPr>
          <w:rFonts w:cs="Times New Roman"/>
          <w:lang w:val="fr-CA"/>
        </w:rPr>
        <w:t>une disposition prévoyant une peine minimale obligatoire, au regard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et en fonction de son application raisonnablement prévisible à des tiers.</w:t>
      </w:r>
    </w:p>
    <w:p w:rsidR="002A4851" w:rsidRPr="00017532" w:rsidRDefault="002A4851" w:rsidP="00A659A4">
      <w:pPr>
        <w:pStyle w:val="ParaNoNdepar-AltN"/>
        <w:rPr>
          <w:rFonts w:cs="Times New Roman"/>
          <w:lang w:val="fr-CA"/>
        </w:rPr>
      </w:pPr>
      <w:r w:rsidRPr="00017532">
        <w:rPr>
          <w:rFonts w:cs="Times New Roman"/>
          <w:lang w:val="fr-CA"/>
        </w:rPr>
        <w:t xml:space="preserve">Le premier sujet de débat touche le degré de </w:t>
      </w:r>
      <w:r w:rsidR="00B029AB">
        <w:rPr>
          <w:rFonts w:cs="Times New Roman"/>
          <w:lang w:val="fr-CA"/>
        </w:rPr>
        <w:t>« </w:t>
      </w:r>
      <w:r w:rsidRPr="00017532">
        <w:rPr>
          <w:rFonts w:cs="Times New Roman"/>
          <w:lang w:val="fr-CA"/>
        </w:rPr>
        <w:t>vraisemblance</w:t>
      </w:r>
      <w:r w:rsidR="00B029AB">
        <w:rPr>
          <w:rFonts w:cs="Times New Roman"/>
          <w:lang w:val="fr-CA"/>
        </w:rPr>
        <w:t> »</w:t>
      </w:r>
      <w:r w:rsidRPr="00017532">
        <w:rPr>
          <w:rFonts w:cs="Times New Roman"/>
          <w:lang w:val="fr-CA"/>
        </w:rPr>
        <w:t xml:space="preserve"> requis pour satisfaire au critère de la prévisibilité raisonnable. La procureure générale de l</w:t>
      </w:r>
      <w:r>
        <w:rPr>
          <w:rFonts w:cs="Times New Roman"/>
          <w:lang w:val="fr-CA"/>
        </w:rPr>
        <w:t>’</w:t>
      </w:r>
      <w:r w:rsidRPr="00017532">
        <w:rPr>
          <w:rFonts w:cs="Times New Roman"/>
          <w:lang w:val="fr-CA"/>
        </w:rPr>
        <w:t>Ontario soutient que, pour l</w:t>
      </w:r>
      <w:r>
        <w:rPr>
          <w:rFonts w:cs="Times New Roman"/>
          <w:lang w:val="fr-CA"/>
        </w:rPr>
        <w:t>’</w:t>
      </w:r>
      <w:r w:rsidRPr="00017532">
        <w:rPr>
          <w:rFonts w:cs="Times New Roman"/>
          <w:lang w:val="fr-CA"/>
        </w:rPr>
        <w:t>application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il faut se demander s</w:t>
      </w:r>
      <w:r>
        <w:rPr>
          <w:rFonts w:cs="Times New Roman"/>
          <w:lang w:val="fr-CA"/>
        </w:rPr>
        <w:t>’</w:t>
      </w:r>
      <w:r w:rsidRPr="00017532">
        <w:rPr>
          <w:rFonts w:cs="Times New Roman"/>
          <w:lang w:val="fr-CA"/>
        </w:rPr>
        <w:t xml:space="preserve">il est </w:t>
      </w:r>
      <w:r w:rsidRPr="00017532">
        <w:rPr>
          <w:rFonts w:cs="Times New Roman"/>
          <w:i/>
          <w:lang w:val="fr-CA"/>
        </w:rPr>
        <w:t>vraisemblable</w:t>
      </w:r>
      <w:r w:rsidRPr="00017532">
        <w:rPr>
          <w:rFonts w:cs="Times New Roman"/>
          <w:lang w:val="fr-CA"/>
        </w:rPr>
        <w:t xml:space="preserve"> que l</w:t>
      </w:r>
      <w:r>
        <w:rPr>
          <w:rFonts w:cs="Times New Roman"/>
          <w:lang w:val="fr-CA"/>
        </w:rPr>
        <w:t>’</w:t>
      </w:r>
      <w:r w:rsidRPr="00017532">
        <w:rPr>
          <w:rFonts w:cs="Times New Roman"/>
          <w:i/>
          <w:lang w:val="fr-CA"/>
        </w:rPr>
        <w:t>application</w:t>
      </w:r>
      <w:r w:rsidRPr="00017532">
        <w:rPr>
          <w:rFonts w:cs="Times New Roman"/>
          <w:lang w:val="fr-CA"/>
        </w:rPr>
        <w:t xml:space="preserve"> </w:t>
      </w:r>
      <w:r w:rsidRPr="00017532">
        <w:rPr>
          <w:rFonts w:cs="Times New Roman"/>
          <w:i/>
          <w:lang w:val="fr-CA"/>
        </w:rPr>
        <w:t>générale</w:t>
      </w:r>
      <w:r w:rsidRPr="00017532">
        <w:rPr>
          <w:rFonts w:cs="Times New Roman"/>
          <w:lang w:val="fr-CA"/>
        </w:rPr>
        <w:t xml:space="preserve"> de la disposition emporte l</w:t>
      </w:r>
      <w:r>
        <w:rPr>
          <w:rFonts w:cs="Times New Roman"/>
          <w:lang w:val="fr-CA"/>
        </w:rPr>
        <w:t>’</w:t>
      </w:r>
      <w:r w:rsidRPr="00017532">
        <w:rPr>
          <w:rFonts w:cs="Times New Roman"/>
          <w:lang w:val="fr-CA"/>
        </w:rPr>
        <w:t>infliction d</w:t>
      </w:r>
      <w:r>
        <w:rPr>
          <w:rFonts w:cs="Times New Roman"/>
          <w:lang w:val="fr-CA"/>
        </w:rPr>
        <w:t>’</w:t>
      </w:r>
      <w:r w:rsidRPr="00017532">
        <w:rPr>
          <w:rFonts w:cs="Times New Roman"/>
          <w:lang w:val="fr-CA"/>
        </w:rPr>
        <w:t>une peine totalement disproportionnée équivalant à une peine cruelle et inusitée (m.a. (Nur), par.</w:t>
      </w:r>
      <w:r w:rsidR="00B029AB">
        <w:rPr>
          <w:rFonts w:cs="Times New Roman"/>
          <w:lang w:val="fr-CA"/>
        </w:rPr>
        <w:t xml:space="preserve"> </w:t>
      </w:r>
      <w:r w:rsidRPr="00017532">
        <w:rPr>
          <w:rFonts w:cs="Times New Roman"/>
          <w:lang w:val="fr-CA"/>
        </w:rPr>
        <w:t>66). À son avis, la Cour d</w:t>
      </w:r>
      <w:r>
        <w:rPr>
          <w:rFonts w:cs="Times New Roman"/>
          <w:lang w:val="fr-CA"/>
        </w:rPr>
        <w:t>’</w:t>
      </w:r>
      <w:r w:rsidRPr="00017532">
        <w:rPr>
          <w:rFonts w:cs="Times New Roman"/>
          <w:lang w:val="fr-CA"/>
        </w:rPr>
        <w:t>appel a eu tort de ne pas s</w:t>
      </w:r>
      <w:r>
        <w:rPr>
          <w:rFonts w:cs="Times New Roman"/>
          <w:lang w:val="fr-CA"/>
        </w:rPr>
        <w:t>’</w:t>
      </w:r>
      <w:r w:rsidRPr="00017532">
        <w:rPr>
          <w:rFonts w:cs="Times New Roman"/>
          <w:lang w:val="fr-CA"/>
        </w:rPr>
        <w:t>en tenir aux situations courantes auxquelles s</w:t>
      </w:r>
      <w:r>
        <w:rPr>
          <w:rFonts w:cs="Times New Roman"/>
          <w:lang w:val="fr-CA"/>
        </w:rPr>
        <w:t>’</w:t>
      </w:r>
      <w:r w:rsidRPr="00017532">
        <w:rPr>
          <w:rFonts w:cs="Times New Roman"/>
          <w:lang w:val="fr-CA"/>
        </w:rPr>
        <w:t xml:space="preserve">applique la disposition et de se prononcer en </w:t>
      </w:r>
      <w:r w:rsidRPr="00017532">
        <w:rPr>
          <w:rFonts w:cs="Times New Roman"/>
          <w:lang w:val="fr-CA"/>
        </w:rPr>
        <w:lastRenderedPageBreak/>
        <w:t>fonction de scénarios invraisemblables (par.</w:t>
      </w:r>
      <w:r w:rsidR="00B029AB">
        <w:rPr>
          <w:rFonts w:cs="Times New Roman"/>
          <w:lang w:val="fr-CA"/>
        </w:rPr>
        <w:t xml:space="preserve"> </w:t>
      </w:r>
      <w:r w:rsidRPr="00017532">
        <w:rPr>
          <w:rFonts w:cs="Times New Roman"/>
          <w:lang w:val="fr-CA"/>
        </w:rPr>
        <w:t>68</w:t>
      </w:r>
      <w:r w:rsidR="00B029AB">
        <w:rPr>
          <w:rFonts w:cs="Times New Roman"/>
          <w:lang w:val="fr-CA"/>
        </w:rPr>
        <w:t>-</w:t>
      </w:r>
      <w:r w:rsidRPr="00017532">
        <w:rPr>
          <w:rFonts w:cs="Times New Roman"/>
          <w:lang w:val="fr-CA"/>
        </w:rPr>
        <w:t>73). Ces situations courantes établissent selon elle une présomption de constitutionnalité qui ne peut-être réfutée que par la preuve que le délinquant en cause se verrait infliger une peine cruelle et inusitée (par.</w:t>
      </w:r>
      <w:r w:rsidR="00B029AB">
        <w:rPr>
          <w:rFonts w:cs="Times New Roman"/>
          <w:lang w:val="fr-CA"/>
        </w:rPr>
        <w:t xml:space="preserve"> </w:t>
      </w:r>
      <w:r w:rsidRPr="00017532">
        <w:rPr>
          <w:rFonts w:cs="Times New Roman"/>
          <w:lang w:val="fr-CA"/>
        </w:rPr>
        <w:t>68).</w:t>
      </w:r>
    </w:p>
    <w:p w:rsidR="002A4851" w:rsidRPr="00017532" w:rsidRDefault="002A4851" w:rsidP="00A659A4">
      <w:pPr>
        <w:pStyle w:val="ParaNoNdepar-AltN"/>
        <w:rPr>
          <w:rFonts w:cs="Times New Roman"/>
          <w:lang w:val="fr-CA"/>
        </w:rPr>
      </w:pPr>
      <w:r w:rsidRPr="00017532">
        <w:rPr>
          <w:rFonts w:cs="Times New Roman"/>
          <w:lang w:val="fr-CA"/>
        </w:rPr>
        <w:t>Le critère de la prévisibilité raisonnable ne s</w:t>
      </w:r>
      <w:r>
        <w:rPr>
          <w:rFonts w:cs="Times New Roman"/>
          <w:lang w:val="fr-CA"/>
        </w:rPr>
        <w:t>’</w:t>
      </w:r>
      <w:r w:rsidRPr="00017532">
        <w:rPr>
          <w:rFonts w:cs="Times New Roman"/>
          <w:lang w:val="fr-CA"/>
        </w:rPr>
        <w:t>applique pas uniquement aux situations qui se présenteront vraisemblablement dans le cadre de l</w:t>
      </w:r>
      <w:r>
        <w:rPr>
          <w:rFonts w:cs="Times New Roman"/>
          <w:lang w:val="fr-CA"/>
        </w:rPr>
        <w:t>’</w:t>
      </w:r>
      <w:r w:rsidRPr="00017532">
        <w:rPr>
          <w:rFonts w:cs="Times New Roman"/>
          <w:lang w:val="fr-CA"/>
        </w:rPr>
        <w:t>application générale et habituelle de la loi. Il requiert plutôt qu</w:t>
      </w:r>
      <w:r>
        <w:rPr>
          <w:rFonts w:cs="Times New Roman"/>
          <w:lang w:val="fr-CA"/>
        </w:rPr>
        <w:t>’</w:t>
      </w:r>
      <w:r w:rsidRPr="00017532">
        <w:rPr>
          <w:rFonts w:cs="Times New Roman"/>
          <w:lang w:val="fr-CA"/>
        </w:rPr>
        <w:t>on se demande quelles situations sont raisonnablement susceptibles de se présenter. Il vise les cas dont il est prévisible qu</w:t>
      </w:r>
      <w:r>
        <w:rPr>
          <w:rFonts w:cs="Times New Roman"/>
          <w:lang w:val="fr-CA"/>
        </w:rPr>
        <w:t>’</w:t>
      </w:r>
      <w:r w:rsidRPr="00017532">
        <w:rPr>
          <w:rFonts w:cs="Times New Roman"/>
          <w:lang w:val="fr-CA"/>
        </w:rPr>
        <w:t>ils tombent sous le coup des conditions minimales de perpétration de l</w:t>
      </w:r>
      <w:r>
        <w:rPr>
          <w:rFonts w:cs="Times New Roman"/>
          <w:lang w:val="fr-CA"/>
        </w:rPr>
        <w:t>’</w:t>
      </w:r>
      <w:r w:rsidRPr="00017532">
        <w:rPr>
          <w:rFonts w:cs="Times New Roman"/>
          <w:lang w:val="fr-CA"/>
        </w:rPr>
        <w:t xml:space="preserve">infraction. Seules sont écartées les situations </w:t>
      </w:r>
      <w:r w:rsidR="00B029AB">
        <w:rPr>
          <w:rFonts w:cs="Times New Roman"/>
          <w:lang w:val="fr-CA"/>
        </w:rPr>
        <w:t>« </w:t>
      </w:r>
      <w:r w:rsidRPr="00017532">
        <w:rPr>
          <w:rFonts w:cs="Times New Roman"/>
          <w:lang w:val="fr-CA"/>
        </w:rPr>
        <w:t>invraisemblables</w:t>
      </w:r>
      <w:r w:rsidR="00B029AB">
        <w:rPr>
          <w:rFonts w:cs="Times New Roman"/>
          <w:lang w:val="fr-CA"/>
        </w:rPr>
        <w:t> »</w:t>
      </w:r>
      <w:r w:rsidRPr="00017532">
        <w:rPr>
          <w:rFonts w:cs="Times New Roman"/>
          <w:lang w:val="fr-CA"/>
        </w:rPr>
        <w:t xml:space="preserve"> ou </w:t>
      </w:r>
      <w:r w:rsidR="00B029AB">
        <w:rPr>
          <w:rFonts w:cs="Times New Roman"/>
          <w:lang w:val="fr-CA"/>
        </w:rPr>
        <w:t>« </w:t>
      </w:r>
      <w:r w:rsidRPr="00017532">
        <w:rPr>
          <w:rFonts w:cs="Times New Roman"/>
          <w:lang w:val="fr-CA"/>
        </w:rPr>
        <w:t>n</w:t>
      </w:r>
      <w:r>
        <w:rPr>
          <w:rFonts w:cs="Times New Roman"/>
          <w:lang w:val="fr-CA"/>
        </w:rPr>
        <w:t>’</w:t>
      </w:r>
      <w:r w:rsidRPr="00017532">
        <w:rPr>
          <w:rFonts w:cs="Times New Roman"/>
          <w:lang w:val="fr-CA"/>
        </w:rPr>
        <w:t>ayant qu</w:t>
      </w:r>
      <w:r>
        <w:rPr>
          <w:rFonts w:cs="Times New Roman"/>
          <w:lang w:val="fr-CA"/>
        </w:rPr>
        <w:t>’</w:t>
      </w:r>
      <w:r w:rsidRPr="00017532">
        <w:rPr>
          <w:rFonts w:cs="Times New Roman"/>
          <w:lang w:val="fr-CA"/>
        </w:rPr>
        <w:t>un faible rapport avec l</w:t>
      </w:r>
      <w:r>
        <w:rPr>
          <w:rFonts w:cs="Times New Roman"/>
          <w:lang w:val="fr-CA"/>
        </w:rPr>
        <w:t>’</w:t>
      </w:r>
      <w:r w:rsidRPr="00017532">
        <w:rPr>
          <w:rFonts w:cs="Times New Roman"/>
          <w:lang w:val="fr-CA"/>
        </w:rPr>
        <w:t>espèce</w:t>
      </w:r>
      <w:r w:rsidR="00B029AB">
        <w:rPr>
          <w:rFonts w:cs="Times New Roman"/>
          <w:lang w:val="fr-CA"/>
        </w:rPr>
        <w:t> »</w:t>
      </w:r>
      <w:r w:rsidRPr="00017532">
        <w:rPr>
          <w:rFonts w:cs="Times New Roman"/>
          <w:lang w:val="fr-CA"/>
        </w:rPr>
        <w:t xml:space="preserve"> (</w:t>
      </w:r>
      <w:r w:rsidRPr="00017532">
        <w:rPr>
          <w:rFonts w:cs="Times New Roman"/>
          <w:i/>
          <w:lang w:val="fr-CA"/>
        </w:rPr>
        <w:t>Goltz</w:t>
      </w:r>
      <w:r w:rsidRPr="00017532">
        <w:rPr>
          <w:rFonts w:cs="Times New Roman"/>
          <w:lang w:val="fr-CA"/>
        </w:rPr>
        <w:t>, p.</w:t>
      </w:r>
      <w:r w:rsidR="00B029AB">
        <w:rPr>
          <w:rFonts w:cs="Times New Roman"/>
          <w:lang w:val="fr-CA"/>
        </w:rPr>
        <w:t xml:space="preserve"> </w:t>
      </w:r>
      <w:r w:rsidRPr="00017532">
        <w:rPr>
          <w:rFonts w:cs="Times New Roman"/>
          <w:lang w:val="fr-CA"/>
        </w:rPr>
        <w:t>515). Contrairement à ce que laisse entendre la procureure générale de l</w:t>
      </w:r>
      <w:r>
        <w:rPr>
          <w:rFonts w:cs="Times New Roman"/>
          <w:lang w:val="fr-CA"/>
        </w:rPr>
        <w:t>’</w:t>
      </w:r>
      <w:r w:rsidRPr="00017532">
        <w:rPr>
          <w:rFonts w:cs="Times New Roman"/>
          <w:lang w:val="fr-CA"/>
        </w:rPr>
        <w:t xml:space="preserve">Ontario, il faut distinguer ce qui est prévisible bien que </w:t>
      </w:r>
      <w:r w:rsidR="00205E49">
        <w:rPr>
          <w:rFonts w:cs="Times New Roman"/>
          <w:lang w:val="fr-CA"/>
        </w:rPr>
        <w:t>[</w:t>
      </w:r>
      <w:r w:rsidR="00205E49" w:rsidRPr="00205E49">
        <w:rPr>
          <w:rFonts w:cs="Times New Roman"/>
          <w:smallCaps/>
          <w:lang w:val="fr-CA"/>
        </w:rPr>
        <w:t>traduction</w:t>
      </w:r>
      <w:r w:rsidR="00205E49">
        <w:rPr>
          <w:rFonts w:cs="Times New Roman"/>
          <w:lang w:val="fr-CA"/>
        </w:rPr>
        <w:t xml:space="preserve">] </w:t>
      </w:r>
      <w:r w:rsidR="00B029AB">
        <w:rPr>
          <w:rFonts w:cs="Times New Roman"/>
          <w:lang w:val="fr-CA"/>
        </w:rPr>
        <w:t>« </w:t>
      </w:r>
      <w:r w:rsidRPr="00017532">
        <w:rPr>
          <w:rFonts w:cs="Times New Roman"/>
          <w:lang w:val="fr-CA"/>
        </w:rPr>
        <w:t>peu susceptible de se présenter</w:t>
      </w:r>
      <w:r w:rsidR="00B029AB">
        <w:rPr>
          <w:rFonts w:cs="Times New Roman"/>
          <w:lang w:val="fr-CA"/>
        </w:rPr>
        <w:t> »</w:t>
      </w:r>
      <w:r w:rsidRPr="00017532">
        <w:rPr>
          <w:rFonts w:cs="Times New Roman"/>
          <w:lang w:val="fr-CA"/>
        </w:rPr>
        <w:t xml:space="preserve"> de ce qui est </w:t>
      </w:r>
      <w:r w:rsidR="00B029AB">
        <w:rPr>
          <w:rFonts w:cs="Times New Roman"/>
          <w:lang w:val="fr-CA"/>
        </w:rPr>
        <w:t>« </w:t>
      </w:r>
      <w:r w:rsidRPr="00017532">
        <w:rPr>
          <w:rFonts w:cs="Times New Roman"/>
          <w:lang w:val="fr-CA"/>
        </w:rPr>
        <w:t>invraisemblable</w:t>
      </w:r>
      <w:r w:rsidR="00B029AB">
        <w:rPr>
          <w:rFonts w:cs="Times New Roman"/>
          <w:lang w:val="fr-CA"/>
        </w:rPr>
        <w:t xml:space="preserve"> </w:t>
      </w:r>
      <w:r w:rsidRPr="00017532">
        <w:rPr>
          <w:rFonts w:cs="Times New Roman"/>
          <w:lang w:val="fr-CA"/>
        </w:rPr>
        <w:t>[et]</w:t>
      </w:r>
      <w:r w:rsidR="00B029AB">
        <w:rPr>
          <w:rFonts w:cs="Times New Roman"/>
          <w:lang w:val="fr-CA"/>
        </w:rPr>
        <w:t xml:space="preserve"> </w:t>
      </w:r>
      <w:r w:rsidRPr="00017532">
        <w:rPr>
          <w:rFonts w:cs="Times New Roman"/>
          <w:lang w:val="fr-CA"/>
        </w:rPr>
        <w:t>n</w:t>
      </w:r>
      <w:r>
        <w:rPr>
          <w:rFonts w:cs="Times New Roman"/>
          <w:lang w:val="fr-CA"/>
        </w:rPr>
        <w:t>’</w:t>
      </w:r>
      <w:r w:rsidRPr="00017532">
        <w:rPr>
          <w:rFonts w:cs="Times New Roman"/>
          <w:lang w:val="fr-CA"/>
        </w:rPr>
        <w:t>a qu</w:t>
      </w:r>
      <w:r>
        <w:rPr>
          <w:rFonts w:cs="Times New Roman"/>
          <w:lang w:val="fr-CA"/>
        </w:rPr>
        <w:t>’</w:t>
      </w:r>
      <w:r w:rsidRPr="00017532">
        <w:rPr>
          <w:rFonts w:cs="Times New Roman"/>
          <w:lang w:val="fr-CA"/>
        </w:rPr>
        <w:t>un faible rapport avec l</w:t>
      </w:r>
      <w:r>
        <w:rPr>
          <w:rFonts w:cs="Times New Roman"/>
          <w:lang w:val="fr-CA"/>
        </w:rPr>
        <w:t>’</w:t>
      </w:r>
      <w:r w:rsidRPr="00017532">
        <w:rPr>
          <w:rFonts w:cs="Times New Roman"/>
          <w:lang w:val="fr-CA"/>
        </w:rPr>
        <w:t>espèce</w:t>
      </w:r>
      <w:r w:rsidR="00B029AB">
        <w:rPr>
          <w:rFonts w:cs="Times New Roman"/>
          <w:lang w:val="fr-CA"/>
        </w:rPr>
        <w:t> »</w:t>
      </w:r>
      <w:r w:rsidRPr="00017532">
        <w:rPr>
          <w:rFonts w:cs="Times New Roman"/>
          <w:lang w:val="fr-CA"/>
        </w:rPr>
        <w:t xml:space="preserve"> (m.a. (Nur), par.</w:t>
      </w:r>
      <w:r w:rsidR="00B029AB">
        <w:rPr>
          <w:rFonts w:cs="Times New Roman"/>
          <w:lang w:val="fr-CA"/>
        </w:rPr>
        <w:t xml:space="preserve"> </w:t>
      </w:r>
      <w:r w:rsidRPr="00017532">
        <w:rPr>
          <w:rFonts w:cs="Times New Roman"/>
          <w:lang w:val="fr-CA"/>
        </w:rPr>
        <w:t>66). De plus, l</w:t>
      </w:r>
      <w:r>
        <w:rPr>
          <w:rFonts w:cs="Times New Roman"/>
          <w:lang w:val="fr-CA"/>
        </w:rPr>
        <w:t>’</w:t>
      </w:r>
      <w:r w:rsidRPr="00017532">
        <w:rPr>
          <w:rFonts w:cs="Times New Roman"/>
          <w:lang w:val="fr-CA"/>
        </w:rPr>
        <w:t>application d</w:t>
      </w:r>
      <w:r>
        <w:rPr>
          <w:rFonts w:cs="Times New Roman"/>
          <w:lang w:val="fr-CA"/>
        </w:rPr>
        <w:t>’</w:t>
      </w:r>
      <w:r w:rsidRPr="00017532">
        <w:rPr>
          <w:rFonts w:cs="Times New Roman"/>
          <w:lang w:val="fr-CA"/>
        </w:rPr>
        <w:t>un critère de vraisemblance donnerait lieu à une approche nouvelle dont la portée serait radicalement réduite par rapport à celle constamment retenue depuis l</w:t>
      </w:r>
      <w:r>
        <w:rPr>
          <w:rFonts w:cs="Times New Roman"/>
          <w:lang w:val="fr-CA"/>
        </w:rPr>
        <w:t>’</w:t>
      </w:r>
      <w:r w:rsidRPr="00017532">
        <w:rPr>
          <w:rFonts w:cs="Times New Roman"/>
          <w:lang w:val="fr-CA"/>
        </w:rPr>
        <w:t xml:space="preserve">arrêt </w:t>
      </w:r>
      <w:r w:rsidRPr="00017532">
        <w:rPr>
          <w:rFonts w:cs="Times New Roman"/>
          <w:i/>
          <w:lang w:val="fr-CA"/>
        </w:rPr>
        <w:t>Big M</w:t>
      </w:r>
      <w:r w:rsidRPr="00017532">
        <w:rPr>
          <w:rFonts w:cs="Times New Roman"/>
          <w:lang w:val="fr-CA"/>
        </w:rPr>
        <w:t xml:space="preserve"> pour le contrôle constitutionnel d</w:t>
      </w:r>
      <w:r>
        <w:rPr>
          <w:rFonts w:cs="Times New Roman"/>
          <w:lang w:val="fr-CA"/>
        </w:rPr>
        <w:t>’</w:t>
      </w:r>
      <w:r w:rsidRPr="00017532">
        <w:rPr>
          <w:rFonts w:cs="Times New Roman"/>
          <w:lang w:val="fr-CA"/>
        </w:rPr>
        <w:t xml:space="preserve">un texte législatif. Pour décider si une loi contrevient à une disposition de la </w:t>
      </w:r>
      <w:r w:rsidRPr="00017532">
        <w:rPr>
          <w:rFonts w:cs="Times New Roman"/>
          <w:i/>
          <w:lang w:val="fr-CA"/>
        </w:rPr>
        <w:t>Charte</w:t>
      </w:r>
      <w:r w:rsidRPr="00017532">
        <w:rPr>
          <w:rFonts w:cs="Times New Roman"/>
          <w:lang w:val="fr-CA"/>
        </w:rPr>
        <w:t>, la Cour ne s</w:t>
      </w:r>
      <w:r>
        <w:rPr>
          <w:rFonts w:cs="Times New Roman"/>
          <w:lang w:val="fr-CA"/>
        </w:rPr>
        <w:t>’</w:t>
      </w:r>
      <w:r w:rsidRPr="00017532">
        <w:rPr>
          <w:rFonts w:cs="Times New Roman"/>
          <w:lang w:val="fr-CA"/>
        </w:rPr>
        <w:t>est jamais demandé si l</w:t>
      </w:r>
      <w:r>
        <w:rPr>
          <w:rFonts w:cs="Times New Roman"/>
          <w:lang w:val="fr-CA"/>
        </w:rPr>
        <w:t>’</w:t>
      </w:r>
      <w:r w:rsidRPr="00017532">
        <w:rPr>
          <w:rFonts w:cs="Times New Roman"/>
          <w:lang w:val="fr-CA"/>
        </w:rPr>
        <w:t xml:space="preserve">application projetée de la loi contestée était courante ou </w:t>
      </w:r>
      <w:r w:rsidR="00B029AB">
        <w:rPr>
          <w:rFonts w:cs="Times New Roman"/>
          <w:lang w:val="fr-CA"/>
        </w:rPr>
        <w:t>« </w:t>
      </w:r>
      <w:r w:rsidRPr="00017532">
        <w:rPr>
          <w:rFonts w:cs="Times New Roman"/>
          <w:lang w:val="fr-CA"/>
        </w:rPr>
        <w:t>vraisemblable</w:t>
      </w:r>
      <w:r w:rsidR="00B029AB">
        <w:rPr>
          <w:rFonts w:cs="Times New Roman"/>
          <w:lang w:val="fr-CA"/>
        </w:rPr>
        <w:t> »</w:t>
      </w:r>
      <w:r w:rsidRPr="00017532">
        <w:rPr>
          <w:rFonts w:cs="Times New Roman"/>
          <w:lang w:val="fr-CA"/>
        </w:rPr>
        <w:t>. Si on ne tenait compte que des situations courantes ou vraisemblables pour statuer sur la constitutionnalité, on permettrait à des lois invalides de demeurer en vigueur.</w:t>
      </w:r>
    </w:p>
    <w:p w:rsidR="002A4851" w:rsidRPr="00017532" w:rsidRDefault="002A4851" w:rsidP="00A659A4">
      <w:pPr>
        <w:pStyle w:val="ParaNoNdepar-AltN"/>
        <w:rPr>
          <w:rFonts w:cs="Times New Roman"/>
          <w:lang w:val="fr-CA"/>
        </w:rPr>
      </w:pPr>
      <w:r w:rsidRPr="00017532">
        <w:rPr>
          <w:rFonts w:cs="Times New Roman"/>
          <w:lang w:val="fr-CA"/>
        </w:rPr>
        <w:lastRenderedPageBreak/>
        <w:t>La procureure générale de l</w:t>
      </w:r>
      <w:r>
        <w:rPr>
          <w:rFonts w:cs="Times New Roman"/>
          <w:lang w:val="fr-CA"/>
        </w:rPr>
        <w:t>’</w:t>
      </w:r>
      <w:r w:rsidRPr="00017532">
        <w:rPr>
          <w:rFonts w:cs="Times New Roman"/>
          <w:lang w:val="fr-CA"/>
        </w:rPr>
        <w:t>Ontario fait valoir que l</w:t>
      </w:r>
      <w:r>
        <w:rPr>
          <w:rFonts w:cs="Times New Roman"/>
          <w:lang w:val="fr-CA"/>
        </w:rPr>
        <w:t>’</w:t>
      </w:r>
      <w:r w:rsidRPr="00017532">
        <w:rPr>
          <w:rFonts w:cs="Times New Roman"/>
          <w:lang w:val="fr-CA"/>
        </w:rPr>
        <w:t>approche qu</w:t>
      </w:r>
      <w:r>
        <w:rPr>
          <w:rFonts w:cs="Times New Roman"/>
          <w:lang w:val="fr-CA"/>
        </w:rPr>
        <w:t>’</w:t>
      </w:r>
      <w:r w:rsidRPr="00017532">
        <w:rPr>
          <w:rFonts w:cs="Times New Roman"/>
          <w:lang w:val="fr-CA"/>
        </w:rPr>
        <w:t>elle préconise s</w:t>
      </w:r>
      <w:r>
        <w:rPr>
          <w:rFonts w:cs="Times New Roman"/>
          <w:lang w:val="fr-CA"/>
        </w:rPr>
        <w:t>’</w:t>
      </w:r>
      <w:r w:rsidRPr="00017532">
        <w:rPr>
          <w:rFonts w:cs="Times New Roman"/>
          <w:lang w:val="fr-CA"/>
        </w:rPr>
        <w:t>impose pour prévenir l</w:t>
      </w:r>
      <w:r>
        <w:rPr>
          <w:rFonts w:cs="Times New Roman"/>
          <w:lang w:val="fr-CA"/>
        </w:rPr>
        <w:t>’</w:t>
      </w:r>
      <w:r w:rsidRPr="00017532">
        <w:rPr>
          <w:rFonts w:cs="Times New Roman"/>
          <w:lang w:val="fr-CA"/>
        </w:rPr>
        <w:t>incertitude du droit. Une présomption de constitutionnalité découlant du caractère approprié de la peine minimale obligatoire (eu égard à la raison d</w:t>
      </w:r>
      <w:r>
        <w:rPr>
          <w:rFonts w:cs="Times New Roman"/>
          <w:lang w:val="fr-CA"/>
        </w:rPr>
        <w:t>’</w:t>
      </w:r>
      <w:r w:rsidRPr="00017532">
        <w:rPr>
          <w:rFonts w:cs="Times New Roman"/>
          <w:lang w:val="fr-CA"/>
        </w:rPr>
        <w:t>être de la disposition et à la gravité des actes réprimés) dans des situations courantes ou vraisemblables établira selon elle une norme constante qui ne pourra être écartée qu</w:t>
      </w:r>
      <w:r>
        <w:rPr>
          <w:rFonts w:cs="Times New Roman"/>
          <w:lang w:val="fr-CA"/>
        </w:rPr>
        <w:t>’</w:t>
      </w:r>
      <w:r w:rsidRPr="00017532">
        <w:rPr>
          <w:rFonts w:cs="Times New Roman"/>
          <w:lang w:val="fr-CA"/>
        </w:rPr>
        <w:t>à titre exceptionnel par la conclusion selon laquelle, dans le cas d</w:t>
      </w:r>
      <w:r>
        <w:rPr>
          <w:rFonts w:cs="Times New Roman"/>
          <w:lang w:val="fr-CA"/>
        </w:rPr>
        <w:t>’</w:t>
      </w:r>
      <w:r w:rsidRPr="00017532">
        <w:rPr>
          <w:rFonts w:cs="Times New Roman"/>
          <w:lang w:val="fr-CA"/>
        </w:rPr>
        <w:t>un délinquant en particulier, la peine minimale obligatoire est totalement disproportionnée. Il s</w:t>
      </w:r>
      <w:r>
        <w:rPr>
          <w:rFonts w:cs="Times New Roman"/>
          <w:lang w:val="fr-CA"/>
        </w:rPr>
        <w:t>’</w:t>
      </w:r>
      <w:r w:rsidRPr="00017532">
        <w:rPr>
          <w:rFonts w:cs="Times New Roman"/>
          <w:lang w:val="fr-CA"/>
        </w:rPr>
        <w:t>agit à son sens d</w:t>
      </w:r>
      <w:r>
        <w:rPr>
          <w:rFonts w:cs="Times New Roman"/>
          <w:lang w:val="fr-CA"/>
        </w:rPr>
        <w:t>’</w:t>
      </w:r>
      <w:r w:rsidRPr="00017532">
        <w:rPr>
          <w:rFonts w:cs="Times New Roman"/>
          <w:lang w:val="fr-CA"/>
        </w:rPr>
        <w:t>une approche qui est de nature à assurer la certitude.</w:t>
      </w:r>
    </w:p>
    <w:p w:rsidR="002A4851" w:rsidRPr="00017532" w:rsidRDefault="002A4851" w:rsidP="00A659A4">
      <w:pPr>
        <w:pStyle w:val="ParaNoNdepar-AltN"/>
        <w:rPr>
          <w:rFonts w:cs="Times New Roman"/>
          <w:lang w:val="fr-CA"/>
        </w:rPr>
      </w:pPr>
      <w:r w:rsidRPr="00017532">
        <w:rPr>
          <w:rFonts w:cs="Times New Roman"/>
          <w:lang w:val="fr-CA"/>
        </w:rPr>
        <w:t>Cette thèse ne me convainc pas. Elle revient essentiellement à faire de la fourchette des peines prévues pour les modes courants de perpétration de l</w:t>
      </w:r>
      <w:r>
        <w:rPr>
          <w:rFonts w:cs="Times New Roman"/>
          <w:lang w:val="fr-CA"/>
        </w:rPr>
        <w:t>’</w:t>
      </w:r>
      <w:r w:rsidRPr="00017532">
        <w:rPr>
          <w:rFonts w:cs="Times New Roman"/>
          <w:lang w:val="fr-CA"/>
        </w:rPr>
        <w:t>infraction la norme constitutionnelle applicable, ce qui est problématique pour deux raisons. D</w:t>
      </w:r>
      <w:r>
        <w:rPr>
          <w:rFonts w:cs="Times New Roman"/>
          <w:lang w:val="fr-CA"/>
        </w:rPr>
        <w:t>’</w:t>
      </w:r>
      <w:r w:rsidRPr="00017532">
        <w:rPr>
          <w:rFonts w:cs="Times New Roman"/>
          <w:lang w:val="fr-CA"/>
        </w:rPr>
        <w:t>abord, les fourchettes des peines appropriées font elles</w:t>
      </w:r>
      <w:r w:rsidR="00B029AB">
        <w:rPr>
          <w:rFonts w:cs="Times New Roman"/>
          <w:lang w:val="fr-CA"/>
        </w:rPr>
        <w:t>-</w:t>
      </w:r>
      <w:r w:rsidRPr="00017532">
        <w:rPr>
          <w:rFonts w:cs="Times New Roman"/>
          <w:lang w:val="fr-CA"/>
        </w:rPr>
        <w:t>mêmes débat et, surtout, un gain de clarté serait obtenu au détriment d</w:t>
      </w:r>
      <w:r>
        <w:rPr>
          <w:rFonts w:cs="Times New Roman"/>
          <w:lang w:val="fr-CA"/>
        </w:rPr>
        <w:t>’</w:t>
      </w:r>
      <w:r w:rsidRPr="00017532">
        <w:rPr>
          <w:rFonts w:cs="Times New Roman"/>
          <w:lang w:val="fr-CA"/>
        </w:rPr>
        <w:t>un contrôle constitutionnel approprié et se traduirait par des applications inconstitutionnelles de la loi. La question est de savoir à qui doit bénéficier la clarté. Le critère préconisé par la procureure générale de l</w:t>
      </w:r>
      <w:r>
        <w:rPr>
          <w:rFonts w:cs="Times New Roman"/>
          <w:lang w:val="fr-CA"/>
        </w:rPr>
        <w:t>’</w:t>
      </w:r>
      <w:r w:rsidRPr="00017532">
        <w:rPr>
          <w:rFonts w:cs="Times New Roman"/>
          <w:lang w:val="fr-CA"/>
        </w:rPr>
        <w:t>Ontario établit un degré de certitude pour le délinquant dont la situation se présente couramment. Les autres délinquants n</w:t>
      </w:r>
      <w:r>
        <w:rPr>
          <w:rFonts w:cs="Times New Roman"/>
          <w:lang w:val="fr-CA"/>
        </w:rPr>
        <w:t>’</w:t>
      </w:r>
      <w:r w:rsidRPr="00017532">
        <w:rPr>
          <w:rFonts w:cs="Times New Roman"/>
          <w:lang w:val="fr-CA"/>
        </w:rPr>
        <w:t xml:space="preserve">ont pas droit à la certitude, si bien que, tout comme leurs poursuivants et leurs juges, ils en sont réduits à se demander si la peine minimale obligatoire sera inconstitutionnelle dans leurs cas. Enfin, le critère de la prévisibilité raisonnable, appliqué en conformité avec le principe du </w:t>
      </w:r>
      <w:r w:rsidRPr="00D735E6">
        <w:rPr>
          <w:rFonts w:cs="Times New Roman"/>
          <w:i/>
          <w:lang w:val="fr-CA"/>
        </w:rPr>
        <w:t>stare decisis</w:t>
      </w:r>
      <w:r w:rsidRPr="00017532">
        <w:rPr>
          <w:rFonts w:cs="Times New Roman"/>
          <w:lang w:val="fr-CA"/>
        </w:rPr>
        <w:t>, assurera suffisamment la certitude du droit. J</w:t>
      </w:r>
      <w:r>
        <w:rPr>
          <w:rFonts w:cs="Times New Roman"/>
          <w:lang w:val="fr-CA"/>
        </w:rPr>
        <w:t>’</w:t>
      </w:r>
      <w:r w:rsidRPr="00017532">
        <w:rPr>
          <w:rFonts w:cs="Times New Roman"/>
          <w:lang w:val="fr-CA"/>
        </w:rPr>
        <w:t>y reviendrai.</w:t>
      </w:r>
    </w:p>
    <w:p w:rsidR="002A4851" w:rsidRPr="00017532" w:rsidRDefault="002A4851" w:rsidP="00A659A4">
      <w:pPr>
        <w:pStyle w:val="ParaNoNdepar-AltN"/>
        <w:rPr>
          <w:rFonts w:cs="Times New Roman"/>
          <w:lang w:val="fr-CA"/>
        </w:rPr>
      </w:pPr>
      <w:r w:rsidRPr="00017532">
        <w:rPr>
          <w:rFonts w:cs="Times New Roman"/>
          <w:lang w:val="fr-CA"/>
        </w:rPr>
        <w:lastRenderedPageBreak/>
        <w:t>Passons maintenant au deuxième sujet de débat, à savoir l</w:t>
      </w:r>
      <w:r>
        <w:rPr>
          <w:rFonts w:cs="Times New Roman"/>
          <w:lang w:val="fr-CA"/>
        </w:rPr>
        <w:t>’</w:t>
      </w:r>
      <w:r w:rsidRPr="00017532">
        <w:rPr>
          <w:rFonts w:cs="Times New Roman"/>
          <w:lang w:val="fr-CA"/>
        </w:rPr>
        <w:t>effet d</w:t>
      </w:r>
      <w:r>
        <w:rPr>
          <w:rFonts w:cs="Times New Roman"/>
          <w:lang w:val="fr-CA"/>
        </w:rPr>
        <w:t>’</w:t>
      </w:r>
      <w:r w:rsidRPr="00017532">
        <w:rPr>
          <w:rFonts w:cs="Times New Roman"/>
          <w:lang w:val="fr-CA"/>
        </w:rPr>
        <w:t>une décision selon laquelle une disposition donnée prévoyant une peine minimale obligatoire ne contrevient pas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Il appelle deux questions. D</w:t>
      </w:r>
      <w:r>
        <w:rPr>
          <w:rFonts w:cs="Times New Roman"/>
          <w:lang w:val="fr-CA"/>
        </w:rPr>
        <w:t>’</w:t>
      </w:r>
      <w:r w:rsidRPr="00017532">
        <w:rPr>
          <w:rFonts w:cs="Times New Roman"/>
          <w:lang w:val="fr-CA"/>
        </w:rPr>
        <w:t>abord, un délinquant peut</w:t>
      </w:r>
      <w:r w:rsidR="00B029AB">
        <w:rPr>
          <w:rFonts w:cs="Times New Roman"/>
          <w:lang w:val="fr-CA"/>
        </w:rPr>
        <w:t>-</w:t>
      </w:r>
      <w:r w:rsidRPr="00017532">
        <w:rPr>
          <w:rFonts w:cs="Times New Roman"/>
          <w:lang w:val="fr-CA"/>
        </w:rPr>
        <w:t>il ultérieurement soutenir que la disposition viole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en ce qu</w:t>
      </w:r>
      <w:r>
        <w:rPr>
          <w:rFonts w:cs="Times New Roman"/>
          <w:lang w:val="fr-CA"/>
        </w:rPr>
        <w:t>’</w:t>
      </w:r>
      <w:r w:rsidRPr="00017532">
        <w:rPr>
          <w:rFonts w:cs="Times New Roman"/>
          <w:lang w:val="fr-CA"/>
        </w:rPr>
        <w:t>elle lui inflige une peine cruelle et inusitée? Tous conviennent que la réponse doit être affirmative. Lorsque le délinquant peut démontrer l</w:t>
      </w:r>
      <w:r>
        <w:rPr>
          <w:rFonts w:cs="Times New Roman"/>
          <w:lang w:val="fr-CA"/>
        </w:rPr>
        <w:t>’</w:t>
      </w:r>
      <w:r w:rsidRPr="00017532">
        <w:rPr>
          <w:rFonts w:cs="Times New Roman"/>
          <w:lang w:val="fr-CA"/>
        </w:rPr>
        <w:t>existence d</w:t>
      </w:r>
      <w:r>
        <w:rPr>
          <w:rFonts w:cs="Times New Roman"/>
          <w:lang w:val="fr-CA"/>
        </w:rPr>
        <w:t>’</w:t>
      </w:r>
      <w:r w:rsidRPr="00017532">
        <w:rPr>
          <w:rFonts w:cs="Times New Roman"/>
          <w:lang w:val="fr-CA"/>
        </w:rPr>
        <w:t>une situation nouvelle ou d</w:t>
      </w:r>
      <w:r>
        <w:rPr>
          <w:rFonts w:cs="Times New Roman"/>
          <w:lang w:val="fr-CA"/>
        </w:rPr>
        <w:t>’</w:t>
      </w:r>
      <w:r w:rsidRPr="00017532">
        <w:rPr>
          <w:rFonts w:cs="Times New Roman"/>
          <w:lang w:val="fr-CA"/>
        </w:rPr>
        <w:t>un élément de preuve nouveau, y compris des circonstances atténuantes qui lui sont propres, la constitutionnalité de la loi peut être réexaminée. Ensuite, le délinquant peut</w:t>
      </w:r>
      <w:r w:rsidR="00B029AB">
        <w:rPr>
          <w:rFonts w:cs="Times New Roman"/>
          <w:lang w:val="fr-CA"/>
        </w:rPr>
        <w:t>-</w:t>
      </w:r>
      <w:r w:rsidRPr="00017532">
        <w:rPr>
          <w:rFonts w:cs="Times New Roman"/>
          <w:lang w:val="fr-CA"/>
        </w:rPr>
        <w:t>il ultérieurement soutenir que, dans son application à d</w:t>
      </w:r>
      <w:r>
        <w:rPr>
          <w:rFonts w:cs="Times New Roman"/>
          <w:lang w:val="fr-CA"/>
        </w:rPr>
        <w:t>’</w:t>
      </w:r>
      <w:r w:rsidRPr="00017532">
        <w:rPr>
          <w:rFonts w:cs="Times New Roman"/>
          <w:lang w:val="fr-CA"/>
        </w:rPr>
        <w:t>autres personnes, la disposition viole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La réponse est alors moins claire. Dès qu</w:t>
      </w:r>
      <w:r>
        <w:rPr>
          <w:rFonts w:cs="Times New Roman"/>
          <w:lang w:val="fr-CA"/>
        </w:rPr>
        <w:t>’</w:t>
      </w:r>
      <w:r w:rsidRPr="00017532">
        <w:rPr>
          <w:rFonts w:cs="Times New Roman"/>
          <w:lang w:val="fr-CA"/>
        </w:rPr>
        <w:t>il est établi que la disposition ne porte pas atteinte à la protection prévue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le principe du </w:t>
      </w:r>
      <w:r w:rsidRPr="002A6DD9">
        <w:rPr>
          <w:rFonts w:cs="Times New Roman"/>
          <w:i/>
          <w:lang w:val="fr-CA"/>
        </w:rPr>
        <w:t>stare decisis</w:t>
      </w:r>
      <w:r w:rsidRPr="00017532">
        <w:rPr>
          <w:rFonts w:cs="Times New Roman"/>
          <w:lang w:val="fr-CA"/>
        </w:rPr>
        <w:t xml:space="preserve"> empêche le délinquant, dans une instance ultérieure, de simplement avancer à nouveau ce qui constitue selon lui un champ d</w:t>
      </w:r>
      <w:r>
        <w:rPr>
          <w:rFonts w:cs="Times New Roman"/>
          <w:lang w:val="fr-CA"/>
        </w:rPr>
        <w:t>’</w:t>
      </w:r>
      <w:r w:rsidRPr="00017532">
        <w:rPr>
          <w:rFonts w:cs="Times New Roman"/>
          <w:lang w:val="fr-CA"/>
        </w:rPr>
        <w:t xml:space="preserve">application de la loi raisonnablement prévisible. Le </w:t>
      </w:r>
      <w:r w:rsidRPr="00BE5003">
        <w:rPr>
          <w:rFonts w:cs="Times New Roman"/>
          <w:i/>
          <w:lang w:val="fr-CA"/>
        </w:rPr>
        <w:t>stare decisis</w:t>
      </w:r>
      <w:r w:rsidRPr="00017532">
        <w:rPr>
          <w:rFonts w:cs="Times New Roman"/>
          <w:lang w:val="fr-CA"/>
        </w:rPr>
        <w:t xml:space="preserve"> n</w:t>
      </w:r>
      <w:r>
        <w:rPr>
          <w:rFonts w:cs="Times New Roman"/>
          <w:lang w:val="fr-CA"/>
        </w:rPr>
        <w:t>’</w:t>
      </w:r>
      <w:r w:rsidRPr="00017532">
        <w:rPr>
          <w:rFonts w:cs="Times New Roman"/>
          <w:lang w:val="fr-CA"/>
        </w:rPr>
        <w:t>empêche cependant pas le tribunal de considérer une situation nouvelle ou un élément de preuve nouveau qui ne l</w:t>
      </w:r>
      <w:r>
        <w:rPr>
          <w:rFonts w:cs="Times New Roman"/>
          <w:lang w:val="fr-CA"/>
        </w:rPr>
        <w:t>’</w:t>
      </w:r>
      <w:r w:rsidRPr="00017532">
        <w:rPr>
          <w:rFonts w:cs="Times New Roman"/>
          <w:lang w:val="fr-CA"/>
        </w:rPr>
        <w:t>a pas été dans l</w:t>
      </w:r>
      <w:r>
        <w:rPr>
          <w:rFonts w:cs="Times New Roman"/>
          <w:lang w:val="fr-CA"/>
        </w:rPr>
        <w:t>’</w:t>
      </w:r>
      <w:r w:rsidRPr="00017532">
        <w:rPr>
          <w:rFonts w:cs="Times New Roman"/>
          <w:lang w:val="fr-CA"/>
        </w:rPr>
        <w:t>instance précédente. La conclusion fondée sur son appréciation des applications raisonnablement prévisibles de la disposition en cause n</w:t>
      </w:r>
      <w:r>
        <w:rPr>
          <w:rFonts w:cs="Times New Roman"/>
          <w:lang w:val="fr-CA"/>
        </w:rPr>
        <w:t>’</w:t>
      </w:r>
      <w:r w:rsidRPr="00017532">
        <w:rPr>
          <w:rFonts w:cs="Times New Roman"/>
          <w:lang w:val="fr-CA"/>
        </w:rPr>
        <w:t>empêche pas le tribunal de se pencher ultérieurement sur d</w:t>
      </w:r>
      <w:r>
        <w:rPr>
          <w:rFonts w:cs="Times New Roman"/>
          <w:lang w:val="fr-CA"/>
        </w:rPr>
        <w:t>’</w:t>
      </w:r>
      <w:r w:rsidRPr="00017532">
        <w:rPr>
          <w:rFonts w:cs="Times New Roman"/>
          <w:lang w:val="fr-CA"/>
        </w:rPr>
        <w:t>autres applications raisonnables (</w:t>
      </w:r>
      <w:r w:rsidRPr="00017532">
        <w:rPr>
          <w:rFonts w:cs="Times New Roman"/>
          <w:i/>
          <w:lang w:val="fr-CA"/>
        </w:rPr>
        <w:t>Morrisey</w:t>
      </w:r>
      <w:r w:rsidRPr="00017532">
        <w:rPr>
          <w:rFonts w:cs="Times New Roman"/>
          <w:lang w:val="fr-CA"/>
        </w:rPr>
        <w:t>, par.</w:t>
      </w:r>
      <w:r w:rsidR="00B029AB">
        <w:rPr>
          <w:rFonts w:cs="Times New Roman"/>
          <w:lang w:val="fr-CA"/>
        </w:rPr>
        <w:t xml:space="preserve"> </w:t>
      </w:r>
      <w:r w:rsidRPr="00017532">
        <w:rPr>
          <w:rFonts w:cs="Times New Roman"/>
          <w:lang w:val="fr-CA"/>
        </w:rPr>
        <w:t>89, la juge Arbour). Cela dit, les conditions auxquelles il peut y avoir réexamen de la constitutionnalité d</w:t>
      </w:r>
      <w:r>
        <w:rPr>
          <w:rFonts w:cs="Times New Roman"/>
          <w:lang w:val="fr-CA"/>
        </w:rPr>
        <w:t>’</w:t>
      </w:r>
      <w:r w:rsidRPr="00017532">
        <w:rPr>
          <w:rFonts w:cs="Times New Roman"/>
          <w:lang w:val="fr-CA"/>
        </w:rPr>
        <w:t>une peine minimale obligatoire sont strictes, et il doit s</w:t>
      </w:r>
      <w:r>
        <w:rPr>
          <w:rFonts w:cs="Times New Roman"/>
          <w:lang w:val="fr-CA"/>
        </w:rPr>
        <w:t>’</w:t>
      </w:r>
      <w:r w:rsidRPr="00017532">
        <w:rPr>
          <w:rFonts w:cs="Times New Roman"/>
          <w:lang w:val="fr-CA"/>
        </w:rPr>
        <w:t xml:space="preserve">être produit une modification substantielle des applications raisonnablement prévisibles de la disposition en cause. En somme, les règles habituelles du </w:t>
      </w:r>
      <w:r w:rsidRPr="00BE5003">
        <w:rPr>
          <w:rFonts w:cs="Times New Roman"/>
          <w:i/>
          <w:lang w:val="fr-CA"/>
        </w:rPr>
        <w:t>stare decisis</w:t>
      </w:r>
      <w:r w:rsidRPr="00017532">
        <w:rPr>
          <w:rFonts w:cs="Times New Roman"/>
          <w:lang w:val="fr-CA"/>
        </w:rPr>
        <w:t xml:space="preserve"> permettent d</w:t>
      </w:r>
      <w:r>
        <w:rPr>
          <w:rFonts w:cs="Times New Roman"/>
          <w:lang w:val="fr-CA"/>
        </w:rPr>
        <w:t>’</w:t>
      </w:r>
      <w:r w:rsidRPr="00017532">
        <w:rPr>
          <w:rFonts w:cs="Times New Roman"/>
          <w:lang w:val="fr-CA"/>
        </w:rPr>
        <w:t>apaiser la crainte de la procureure générale de l</w:t>
      </w:r>
      <w:r>
        <w:rPr>
          <w:rFonts w:cs="Times New Roman"/>
          <w:lang w:val="fr-CA"/>
        </w:rPr>
        <w:t>’</w:t>
      </w:r>
      <w:r w:rsidRPr="00017532">
        <w:rPr>
          <w:rFonts w:cs="Times New Roman"/>
          <w:lang w:val="fr-CA"/>
        </w:rPr>
        <w:t xml:space="preserve">Ontario que, </w:t>
      </w:r>
      <w:r w:rsidRPr="00017532">
        <w:rPr>
          <w:rFonts w:cs="Times New Roman"/>
          <w:lang w:val="fr-CA"/>
        </w:rPr>
        <w:lastRenderedPageBreak/>
        <w:t>[</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dans chacun des procès subséquents, le juge [soit appelé] à reprendre la même analyse</w:t>
      </w:r>
      <w:r w:rsidR="00B029AB">
        <w:rPr>
          <w:rFonts w:cs="Times New Roman"/>
          <w:lang w:val="fr-CA"/>
        </w:rPr>
        <w:t> »</w:t>
      </w:r>
      <w:r w:rsidRPr="00017532">
        <w:rPr>
          <w:rFonts w:cs="Times New Roman"/>
          <w:lang w:val="fr-CA"/>
        </w:rPr>
        <w:t xml:space="preserve"> (m.a. (Nur), par.</w:t>
      </w:r>
      <w:r w:rsidR="00B029AB">
        <w:rPr>
          <w:rFonts w:cs="Times New Roman"/>
          <w:lang w:val="fr-CA"/>
        </w:rPr>
        <w:t xml:space="preserve"> </w:t>
      </w:r>
      <w:r w:rsidRPr="00017532">
        <w:rPr>
          <w:rFonts w:cs="Times New Roman"/>
          <w:lang w:val="fr-CA"/>
        </w:rPr>
        <w:t>39).</w:t>
      </w:r>
    </w:p>
    <w:p w:rsidR="002A4851" w:rsidRPr="00017532" w:rsidRDefault="002A4851" w:rsidP="00A659A4">
      <w:pPr>
        <w:pStyle w:val="ParaNoNdepar-AltN"/>
        <w:rPr>
          <w:rFonts w:cs="Times New Roman"/>
          <w:lang w:val="fr-CA"/>
        </w:rPr>
      </w:pPr>
      <w:r w:rsidRPr="00017532">
        <w:rPr>
          <w:rFonts w:cs="Times New Roman"/>
          <w:lang w:val="fr-CA"/>
        </w:rPr>
        <w:t>Le troisième sujet de débat correspond aux cas répertoriés</w:t>
      </w:r>
      <w:r w:rsidR="00B029AB">
        <w:rPr>
          <w:rFonts w:cs="Times New Roman"/>
          <w:lang w:val="fr-CA"/>
        </w:rPr>
        <w:t> :</w:t>
      </w:r>
      <w:r w:rsidRPr="00017532">
        <w:rPr>
          <w:rFonts w:cs="Times New Roman"/>
          <w:lang w:val="fr-CA"/>
        </w:rPr>
        <w:t xml:space="preserve"> doivent-ils être pris en considération pour déterminer s</w:t>
      </w:r>
      <w:r>
        <w:rPr>
          <w:rFonts w:cs="Times New Roman"/>
          <w:lang w:val="fr-CA"/>
        </w:rPr>
        <w:t>’</w:t>
      </w:r>
      <w:r w:rsidRPr="00017532">
        <w:rPr>
          <w:rFonts w:cs="Times New Roman"/>
          <w:lang w:val="fr-CA"/>
        </w:rPr>
        <w:t>il est raisonnablement prévisible que l</w:t>
      </w:r>
      <w:r>
        <w:rPr>
          <w:rFonts w:cs="Times New Roman"/>
          <w:lang w:val="fr-CA"/>
        </w:rPr>
        <w:t>’</w:t>
      </w:r>
      <w:r w:rsidRPr="00017532">
        <w:rPr>
          <w:rFonts w:cs="Times New Roman"/>
          <w:lang w:val="fr-CA"/>
        </w:rPr>
        <w:t>application d</w:t>
      </w:r>
      <w:r>
        <w:rPr>
          <w:rFonts w:cs="Times New Roman"/>
          <w:lang w:val="fr-CA"/>
        </w:rPr>
        <w:t>’</w:t>
      </w:r>
      <w:r w:rsidRPr="00017532">
        <w:rPr>
          <w:rFonts w:cs="Times New Roman"/>
          <w:lang w:val="fr-CA"/>
        </w:rPr>
        <w:t>une disposition prévoyant une peine minimale obligatoire emporte l</w:t>
      </w:r>
      <w:r>
        <w:rPr>
          <w:rFonts w:cs="Times New Roman"/>
          <w:lang w:val="fr-CA"/>
        </w:rPr>
        <w:t>’</w:t>
      </w:r>
      <w:r w:rsidRPr="00017532">
        <w:rPr>
          <w:rFonts w:cs="Times New Roman"/>
          <w:lang w:val="fr-CA"/>
        </w:rPr>
        <w:t>infliction d</w:t>
      </w:r>
      <w:r>
        <w:rPr>
          <w:rFonts w:cs="Times New Roman"/>
          <w:lang w:val="fr-CA"/>
        </w:rPr>
        <w:t>’</w:t>
      </w:r>
      <w:r w:rsidRPr="00017532">
        <w:rPr>
          <w:rFonts w:cs="Times New Roman"/>
          <w:lang w:val="fr-CA"/>
        </w:rPr>
        <w:t>une peine cruelle et inusitée contrairement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Dans l</w:t>
      </w:r>
      <w:r>
        <w:rPr>
          <w:rFonts w:cs="Times New Roman"/>
          <w:lang w:val="fr-CA"/>
        </w:rPr>
        <w:t>’</w:t>
      </w:r>
      <w:r w:rsidRPr="00017532">
        <w:rPr>
          <w:rFonts w:cs="Times New Roman"/>
          <w:lang w:val="fr-CA"/>
        </w:rPr>
        <w:t xml:space="preserve">arrêt </w:t>
      </w:r>
      <w:r w:rsidRPr="00017532">
        <w:rPr>
          <w:rFonts w:cs="Times New Roman"/>
          <w:i/>
          <w:lang w:val="fr-CA"/>
        </w:rPr>
        <w:t>Morrisey</w:t>
      </w:r>
      <w:r w:rsidRPr="00017532">
        <w:rPr>
          <w:rFonts w:cs="Times New Roman"/>
          <w:lang w:val="fr-CA"/>
        </w:rPr>
        <w:t>, les juges majoritaires opinent que ces cas doivent être écartés lorsque, selon le tribunal, il s</w:t>
      </w:r>
      <w:r>
        <w:rPr>
          <w:rFonts w:cs="Times New Roman"/>
          <w:lang w:val="fr-CA"/>
        </w:rPr>
        <w:t>’</w:t>
      </w:r>
      <w:r w:rsidRPr="00017532">
        <w:rPr>
          <w:rFonts w:cs="Times New Roman"/>
          <w:lang w:val="fr-CA"/>
        </w:rPr>
        <w:t xml:space="preserve">agit de cas </w:t>
      </w:r>
      <w:r w:rsidR="00B029AB">
        <w:rPr>
          <w:rFonts w:cs="Times New Roman"/>
          <w:lang w:val="fr-CA"/>
        </w:rPr>
        <w:t>« </w:t>
      </w:r>
      <w:r w:rsidRPr="00017532">
        <w:rPr>
          <w:rFonts w:cs="Times New Roman"/>
          <w:lang w:val="fr-CA"/>
        </w:rPr>
        <w:t>limites</w:t>
      </w:r>
      <w:r w:rsidR="00B029AB">
        <w:rPr>
          <w:rFonts w:cs="Times New Roman"/>
          <w:lang w:val="fr-CA"/>
        </w:rPr>
        <w:t> »</w:t>
      </w:r>
      <w:r w:rsidRPr="00017532">
        <w:rPr>
          <w:rFonts w:cs="Times New Roman"/>
          <w:lang w:val="fr-CA"/>
        </w:rPr>
        <w:t>; les juges minoritaires affirment d</w:t>
      </w:r>
      <w:r>
        <w:rPr>
          <w:rFonts w:cs="Times New Roman"/>
          <w:lang w:val="fr-CA"/>
        </w:rPr>
        <w:t>’</w:t>
      </w:r>
      <w:r w:rsidRPr="00017532">
        <w:rPr>
          <w:rFonts w:cs="Times New Roman"/>
          <w:lang w:val="fr-CA"/>
        </w:rPr>
        <w:t>emblée qu</w:t>
      </w:r>
      <w:r>
        <w:rPr>
          <w:rFonts w:cs="Times New Roman"/>
          <w:lang w:val="fr-CA"/>
        </w:rPr>
        <w:t>’</w:t>
      </w:r>
      <w:r w:rsidRPr="00017532">
        <w:rPr>
          <w:rFonts w:cs="Times New Roman"/>
          <w:lang w:val="fr-CA"/>
        </w:rPr>
        <w:t>ils peuvent être pris en compte. J</w:t>
      </w:r>
      <w:r>
        <w:rPr>
          <w:rFonts w:cs="Times New Roman"/>
          <w:lang w:val="fr-CA"/>
        </w:rPr>
        <w:t>’</w:t>
      </w:r>
      <w:r w:rsidRPr="00017532">
        <w:rPr>
          <w:rFonts w:cs="Times New Roman"/>
          <w:lang w:val="fr-CA"/>
        </w:rPr>
        <w:t>estime qu</w:t>
      </w:r>
      <w:r>
        <w:rPr>
          <w:rFonts w:cs="Times New Roman"/>
          <w:lang w:val="fr-CA"/>
        </w:rPr>
        <w:t>’</w:t>
      </w:r>
      <w:r w:rsidRPr="00017532">
        <w:rPr>
          <w:rFonts w:cs="Times New Roman"/>
          <w:lang w:val="fr-CA"/>
        </w:rPr>
        <w:t>ils le peuvent. Les cas répertoriés montrent toute l</w:t>
      </w:r>
      <w:r>
        <w:rPr>
          <w:rFonts w:cs="Times New Roman"/>
          <w:lang w:val="fr-CA"/>
        </w:rPr>
        <w:t>’</w:t>
      </w:r>
      <w:r w:rsidRPr="00017532">
        <w:rPr>
          <w:rFonts w:cs="Times New Roman"/>
          <w:lang w:val="fr-CA"/>
        </w:rPr>
        <w:t>étendue des actes susceptibles de tomber concrètement sous le coup de la disposition. Je ne vois aucun motif rationnel de les écarter parce qu</w:t>
      </w:r>
      <w:r>
        <w:rPr>
          <w:rFonts w:cs="Times New Roman"/>
          <w:lang w:val="fr-CA"/>
        </w:rPr>
        <w:t>’</w:t>
      </w:r>
      <w:r w:rsidRPr="00017532">
        <w:rPr>
          <w:rFonts w:cs="Times New Roman"/>
          <w:lang w:val="fr-CA"/>
        </w:rPr>
        <w:t>ils correspondent à des applications peu fréquentes de la disposition créant l</w:t>
      </w:r>
      <w:r>
        <w:rPr>
          <w:rFonts w:cs="Times New Roman"/>
          <w:lang w:val="fr-CA"/>
        </w:rPr>
        <w:t>’</w:t>
      </w:r>
      <w:r w:rsidRPr="00017532">
        <w:rPr>
          <w:rFonts w:cs="Times New Roman"/>
          <w:lang w:val="fr-CA"/>
        </w:rPr>
        <w:t>infraction, à condition que les faits en cause soient suffisamment exposés</w:t>
      </w:r>
      <w:r>
        <w:rPr>
          <w:rFonts w:cs="Times New Roman"/>
          <w:lang w:val="fr-CA"/>
        </w:rPr>
        <w:t xml:space="preserve">. </w:t>
      </w:r>
      <w:r w:rsidRPr="00017532">
        <w:rPr>
          <w:rFonts w:cs="Times New Roman"/>
          <w:lang w:val="fr-CA"/>
        </w:rPr>
        <w:t>Non seulement les situations en cause sont raisonnablement prévisibles, mais elles se sont présentées. Les décisions rendues à leur sujet permettent de savoir comment la disposition s</w:t>
      </w:r>
      <w:r>
        <w:rPr>
          <w:rFonts w:cs="Times New Roman"/>
          <w:lang w:val="fr-CA"/>
        </w:rPr>
        <w:t>’</w:t>
      </w:r>
      <w:r w:rsidRPr="00017532">
        <w:rPr>
          <w:rFonts w:cs="Times New Roman"/>
          <w:lang w:val="fr-CA"/>
        </w:rPr>
        <w:t>applique dans la vraie vie. Elles n</w:t>
      </w:r>
      <w:r>
        <w:rPr>
          <w:rFonts w:cs="Times New Roman"/>
          <w:lang w:val="fr-CA"/>
        </w:rPr>
        <w:t>’</w:t>
      </w:r>
      <w:r w:rsidRPr="00017532">
        <w:rPr>
          <w:rFonts w:cs="Times New Roman"/>
          <w:lang w:val="fr-CA"/>
        </w:rPr>
        <w:t>empêchent toutefois pas le tribunal d</w:t>
      </w:r>
      <w:r>
        <w:rPr>
          <w:rFonts w:cs="Times New Roman"/>
          <w:lang w:val="fr-CA"/>
        </w:rPr>
        <w:t>’</w:t>
      </w:r>
      <w:r w:rsidRPr="00017532">
        <w:rPr>
          <w:rFonts w:cs="Times New Roman"/>
          <w:lang w:val="fr-CA"/>
        </w:rPr>
        <w:t>envisager d</w:t>
      </w:r>
      <w:r>
        <w:rPr>
          <w:rFonts w:cs="Times New Roman"/>
          <w:lang w:val="fr-CA"/>
        </w:rPr>
        <w:t>’</w:t>
      </w:r>
      <w:r w:rsidRPr="00017532">
        <w:rPr>
          <w:rFonts w:cs="Times New Roman"/>
          <w:lang w:val="fr-CA"/>
        </w:rPr>
        <w:t>autres scénarios qui sont raisonnablement prévisibles (</w:t>
      </w:r>
      <w:r w:rsidR="00205E49">
        <w:rPr>
          <w:rFonts w:cs="Times New Roman"/>
          <w:lang w:val="fr-CA"/>
        </w:rPr>
        <w:t xml:space="preserve">voir </w:t>
      </w:r>
      <w:r w:rsidRPr="00017532">
        <w:rPr>
          <w:rFonts w:cs="Times New Roman"/>
          <w:i/>
          <w:lang w:val="fr-CA"/>
        </w:rPr>
        <w:t>Morrisey</w:t>
      </w:r>
      <w:r w:rsidRPr="00017532">
        <w:rPr>
          <w:rFonts w:cs="Times New Roman"/>
          <w:lang w:val="fr-CA"/>
        </w:rPr>
        <w:t>, par.</w:t>
      </w:r>
      <w:r w:rsidR="00B029AB">
        <w:rPr>
          <w:rFonts w:cs="Times New Roman"/>
          <w:lang w:val="fr-CA"/>
        </w:rPr>
        <w:t xml:space="preserve"> </w:t>
      </w:r>
      <w:r w:rsidRPr="00017532">
        <w:rPr>
          <w:rFonts w:cs="Times New Roman"/>
          <w:lang w:val="fr-CA"/>
        </w:rPr>
        <w:t>33).</w:t>
      </w:r>
    </w:p>
    <w:p w:rsidR="002A4851" w:rsidRPr="00017532" w:rsidRDefault="002A4851" w:rsidP="00A659A4">
      <w:pPr>
        <w:pStyle w:val="ParaNoNdepar-AltN"/>
        <w:rPr>
          <w:rFonts w:cs="Times New Roman"/>
          <w:lang w:val="fr-CA"/>
        </w:rPr>
      </w:pPr>
      <w:r w:rsidRPr="00017532">
        <w:rPr>
          <w:rFonts w:cs="Times New Roman"/>
          <w:lang w:val="fr-CA"/>
        </w:rPr>
        <w:t>Le quatrième sujet de débat concerne les caractéristiques personnelles des délinquants hypothétiques qu</w:t>
      </w:r>
      <w:r>
        <w:rPr>
          <w:rFonts w:cs="Times New Roman"/>
          <w:lang w:val="fr-CA"/>
        </w:rPr>
        <w:t>’</w:t>
      </w:r>
      <w:r w:rsidRPr="00017532">
        <w:rPr>
          <w:rFonts w:cs="Times New Roman"/>
          <w:lang w:val="fr-CA"/>
        </w:rPr>
        <w:t>il faudrait considérer</w:t>
      </w:r>
      <w:r>
        <w:rPr>
          <w:rFonts w:cs="Times New Roman"/>
          <w:lang w:val="fr-CA"/>
        </w:rPr>
        <w:t xml:space="preserve">. </w:t>
      </w:r>
      <w:r w:rsidRPr="00017532">
        <w:rPr>
          <w:rFonts w:cs="Times New Roman"/>
          <w:lang w:val="fr-CA"/>
        </w:rPr>
        <w:t>D</w:t>
      </w:r>
      <w:r>
        <w:rPr>
          <w:rFonts w:cs="Times New Roman"/>
          <w:lang w:val="fr-CA"/>
        </w:rPr>
        <w:t>’</w:t>
      </w:r>
      <w:r w:rsidRPr="00017532">
        <w:rPr>
          <w:rFonts w:cs="Times New Roman"/>
          <w:lang w:val="fr-CA"/>
        </w:rPr>
        <w:t>aucuns ont laissé entendre qu</w:t>
      </w:r>
      <w:r>
        <w:rPr>
          <w:rFonts w:cs="Times New Roman"/>
          <w:lang w:val="fr-CA"/>
        </w:rPr>
        <w:t>’</w:t>
      </w:r>
      <w:r w:rsidRPr="00017532">
        <w:rPr>
          <w:rFonts w:cs="Times New Roman"/>
          <w:lang w:val="fr-CA"/>
        </w:rPr>
        <w:t>il fallait généraliser l</w:t>
      </w:r>
      <w:r>
        <w:rPr>
          <w:rFonts w:cs="Times New Roman"/>
          <w:lang w:val="fr-CA"/>
        </w:rPr>
        <w:t>’</w:t>
      </w:r>
      <w:r w:rsidRPr="00017532">
        <w:rPr>
          <w:rFonts w:cs="Times New Roman"/>
          <w:lang w:val="fr-CA"/>
        </w:rPr>
        <w:t>analyse au point d</w:t>
      </w:r>
      <w:r>
        <w:rPr>
          <w:rFonts w:cs="Times New Roman"/>
          <w:lang w:val="fr-CA"/>
        </w:rPr>
        <w:t>’</w:t>
      </w:r>
      <w:r w:rsidRPr="00017532">
        <w:rPr>
          <w:rFonts w:cs="Times New Roman"/>
          <w:lang w:val="fr-CA"/>
        </w:rPr>
        <w:t>exclure toute caractéristique personnelle, alors que d</w:t>
      </w:r>
      <w:r>
        <w:rPr>
          <w:rFonts w:cs="Times New Roman"/>
          <w:lang w:val="fr-CA"/>
        </w:rPr>
        <w:t>’</w:t>
      </w:r>
      <w:r w:rsidRPr="00017532">
        <w:rPr>
          <w:rFonts w:cs="Times New Roman"/>
          <w:lang w:val="fr-CA"/>
        </w:rPr>
        <w:t xml:space="preserve">autres ont préconisé la prise en considération de toutes les </w:t>
      </w:r>
      <w:r w:rsidRPr="00017532">
        <w:rPr>
          <w:rFonts w:cs="Times New Roman"/>
          <w:lang w:val="fr-CA"/>
        </w:rPr>
        <w:lastRenderedPageBreak/>
        <w:t>caractéristiques. Le débat est en grande partie attribuable à la réification de la notion de situation hypothétique raisonnable examinée précédemment. Reconnaître deux volets au critère d</w:t>
      </w:r>
      <w:r>
        <w:rPr>
          <w:rFonts w:cs="Times New Roman"/>
          <w:lang w:val="fr-CA"/>
        </w:rPr>
        <w:t>’</w:t>
      </w:r>
      <w:r w:rsidRPr="00017532">
        <w:rPr>
          <w:rFonts w:cs="Times New Roman"/>
          <w:lang w:val="fr-CA"/>
        </w:rPr>
        <w:t>application de la prévisibilité raisonnable permet de rallier les uns et les autres.</w:t>
      </w:r>
    </w:p>
    <w:p w:rsidR="002A4851" w:rsidRPr="00017532" w:rsidRDefault="002A4851" w:rsidP="00A659A4">
      <w:pPr>
        <w:pStyle w:val="ParaNoNdepar-AltN"/>
        <w:rPr>
          <w:rFonts w:cs="Times New Roman"/>
          <w:lang w:val="fr-CA"/>
        </w:rPr>
      </w:pPr>
      <w:r w:rsidRPr="00017532">
        <w:rPr>
          <w:rFonts w:cs="Times New Roman"/>
          <w:lang w:val="fr-CA"/>
        </w:rPr>
        <w:t>Premièrement, il faut nécessairement tenir compte, à partir de l</w:t>
      </w:r>
      <w:r>
        <w:rPr>
          <w:rFonts w:cs="Times New Roman"/>
          <w:lang w:val="fr-CA"/>
        </w:rPr>
        <w:t>’</w:t>
      </w:r>
      <w:r w:rsidRPr="00017532">
        <w:rPr>
          <w:rFonts w:cs="Times New Roman"/>
          <w:lang w:val="fr-CA"/>
        </w:rPr>
        <w:t>expérience et du bon sens, du genre de situation qui est raisonnablement susceptible de tomber sous le coup de la peine minimale obligatoire. Dès lors, les caractéristiques personnelles ne peuvent être totalement écartées. Nous verrons par exemple que, en appliquant le critère à la présente espèce, il peut être pertinent de tenir compte du fait que le délinquant qui a commis une infraction réglementaire et qui tombe sous le coup de la peine minimale obligatoire a pu se trouver en possession de l</w:t>
      </w:r>
      <w:r>
        <w:rPr>
          <w:rFonts w:cs="Times New Roman"/>
          <w:lang w:val="fr-CA"/>
        </w:rPr>
        <w:t>’</w:t>
      </w:r>
      <w:r w:rsidRPr="00017532">
        <w:rPr>
          <w:rFonts w:cs="Times New Roman"/>
          <w:lang w:val="fr-CA"/>
        </w:rPr>
        <w:t>arme à feu prohibée ou à autorisation restreinte sans dessein criminel ou se méprendre sur la portée de l</w:t>
      </w:r>
      <w:r>
        <w:rPr>
          <w:rFonts w:cs="Times New Roman"/>
          <w:lang w:val="fr-CA"/>
        </w:rPr>
        <w:t>’</w:t>
      </w:r>
      <w:r w:rsidRPr="00017532">
        <w:rPr>
          <w:rFonts w:cs="Times New Roman"/>
          <w:lang w:val="fr-CA"/>
        </w:rPr>
        <w:t xml:space="preserve">interdiction. </w:t>
      </w:r>
    </w:p>
    <w:p w:rsidR="002A4851" w:rsidRPr="00017532" w:rsidRDefault="002A4851" w:rsidP="00A659A4">
      <w:pPr>
        <w:pStyle w:val="ParaNoNdepar-AltN"/>
        <w:rPr>
          <w:rFonts w:cs="Times New Roman"/>
          <w:lang w:val="fr-CA"/>
        </w:rPr>
      </w:pPr>
      <w:r w:rsidRPr="00017532">
        <w:rPr>
          <w:rFonts w:cs="Times New Roman"/>
          <w:lang w:val="fr-CA"/>
        </w:rPr>
        <w:t>Deuxièmement, dans l</w:t>
      </w:r>
      <w:r>
        <w:rPr>
          <w:rFonts w:cs="Times New Roman"/>
          <w:lang w:val="fr-CA"/>
        </w:rPr>
        <w:t>’</w:t>
      </w:r>
      <w:r w:rsidRPr="00017532">
        <w:rPr>
          <w:rFonts w:cs="Times New Roman"/>
          <w:lang w:val="fr-CA"/>
        </w:rPr>
        <w:t xml:space="preserve">arrêt </w:t>
      </w:r>
      <w:r w:rsidRPr="00017532">
        <w:rPr>
          <w:rFonts w:cs="Times New Roman"/>
          <w:i/>
          <w:lang w:val="fr-CA"/>
        </w:rPr>
        <w:t>Goltz</w:t>
      </w:r>
      <w:r w:rsidRPr="00017532">
        <w:rPr>
          <w:rFonts w:cs="Times New Roman"/>
          <w:lang w:val="fr-CA"/>
        </w:rPr>
        <w:t>, la Cour met cependant les tribunaux en garde contre la prise en compte d</w:t>
      </w:r>
      <w:r>
        <w:rPr>
          <w:rFonts w:cs="Times New Roman"/>
          <w:lang w:val="fr-CA"/>
        </w:rPr>
        <w:t>’</w:t>
      </w:r>
      <w:r w:rsidRPr="00017532">
        <w:rPr>
          <w:rFonts w:cs="Times New Roman"/>
          <w:lang w:val="fr-CA"/>
        </w:rPr>
        <w:t>exemples invraisemblables ou difficilement imaginables. Ainsi, les caractéristiques personnelles ne sauraient servir à constituer un dossier qui, par sa bénignité, inspirerait la plus grande sympathie possible (sur ce fondement, on pourrait en effet prétendre de presque toute peine minimale obligatoire qu</w:t>
      </w:r>
      <w:r>
        <w:rPr>
          <w:rFonts w:cs="Times New Roman"/>
          <w:lang w:val="fr-CA"/>
        </w:rPr>
        <w:t>’</w:t>
      </w:r>
      <w:r w:rsidRPr="00017532">
        <w:rPr>
          <w:rFonts w:cs="Times New Roman"/>
          <w:lang w:val="fr-CA"/>
        </w:rPr>
        <w:t>elle contrevient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et la constitutionnalité d</w:t>
      </w:r>
      <w:r>
        <w:rPr>
          <w:rFonts w:cs="Times New Roman"/>
          <w:lang w:val="fr-CA"/>
        </w:rPr>
        <w:t>’</w:t>
      </w:r>
      <w:r w:rsidRPr="00017532">
        <w:rPr>
          <w:rFonts w:cs="Times New Roman"/>
          <w:lang w:val="fr-CA"/>
        </w:rPr>
        <w:t>une disposition ne tiendrait qu</w:t>
      </w:r>
      <w:r>
        <w:rPr>
          <w:rFonts w:cs="Times New Roman"/>
          <w:lang w:val="fr-CA"/>
        </w:rPr>
        <w:t>’</w:t>
      </w:r>
      <w:r w:rsidRPr="00017532">
        <w:rPr>
          <w:rFonts w:cs="Times New Roman"/>
          <w:lang w:val="fr-CA"/>
        </w:rPr>
        <w:t>aux aptitudes du plaideur). Je le répète, l</w:t>
      </w:r>
      <w:r>
        <w:rPr>
          <w:rFonts w:cs="Times New Roman"/>
          <w:lang w:val="fr-CA"/>
        </w:rPr>
        <w:t>’</w:t>
      </w:r>
      <w:r w:rsidRPr="00017532">
        <w:rPr>
          <w:rFonts w:cs="Times New Roman"/>
          <w:lang w:val="fr-CA"/>
        </w:rPr>
        <w:t>examen doit avoir pour assises le bon sens et l</w:t>
      </w:r>
      <w:r>
        <w:rPr>
          <w:rFonts w:cs="Times New Roman"/>
          <w:lang w:val="fr-CA"/>
        </w:rPr>
        <w:t>’</w:t>
      </w:r>
      <w:r w:rsidRPr="00017532">
        <w:rPr>
          <w:rFonts w:cs="Times New Roman"/>
          <w:lang w:val="fr-CA"/>
        </w:rPr>
        <w:t>expérience.</w:t>
      </w:r>
    </w:p>
    <w:p w:rsidR="002A4851" w:rsidRPr="00017532" w:rsidRDefault="002A4851" w:rsidP="00A659A4">
      <w:pPr>
        <w:pStyle w:val="ParaNoNdepar-AltN"/>
        <w:rPr>
          <w:rFonts w:cs="Times New Roman"/>
          <w:lang w:val="fr-CA"/>
        </w:rPr>
      </w:pPr>
      <w:r w:rsidRPr="00017532">
        <w:rPr>
          <w:rFonts w:cs="Times New Roman"/>
          <w:lang w:val="fr-CA"/>
        </w:rPr>
        <w:lastRenderedPageBreak/>
        <w:t>En somme, l</w:t>
      </w:r>
      <w:r>
        <w:rPr>
          <w:rFonts w:cs="Times New Roman"/>
          <w:lang w:val="fr-CA"/>
        </w:rPr>
        <w:t>’</w:t>
      </w:r>
      <w:r w:rsidRPr="00017532">
        <w:rPr>
          <w:rFonts w:cs="Times New Roman"/>
          <w:lang w:val="fr-CA"/>
        </w:rPr>
        <w:t>examen des situations dont il est raisonnablement prévisible qu</w:t>
      </w:r>
      <w:r>
        <w:rPr>
          <w:rFonts w:cs="Times New Roman"/>
          <w:lang w:val="fr-CA"/>
        </w:rPr>
        <w:t>’</w:t>
      </w:r>
      <w:r w:rsidRPr="00017532">
        <w:rPr>
          <w:rFonts w:cs="Times New Roman"/>
          <w:lang w:val="fr-CA"/>
        </w:rPr>
        <w:t>elles tombent sous le coup de la loi peut tenir compte des caractéristiques personnelles des personnes auxquelles pourrait s</w:t>
      </w:r>
      <w:r>
        <w:rPr>
          <w:rFonts w:cs="Times New Roman"/>
          <w:lang w:val="fr-CA"/>
        </w:rPr>
        <w:t>’</w:t>
      </w:r>
      <w:r w:rsidRPr="00017532">
        <w:rPr>
          <w:rFonts w:cs="Times New Roman"/>
          <w:lang w:val="fr-CA"/>
        </w:rPr>
        <w:t>appliquer la peine minimale obligatoire, mais il doit écarter celles qui seraient propres à des situations invraisemblables ou n</w:t>
      </w:r>
      <w:r>
        <w:rPr>
          <w:rFonts w:cs="Times New Roman"/>
          <w:lang w:val="fr-CA"/>
        </w:rPr>
        <w:t>’</w:t>
      </w:r>
      <w:r w:rsidRPr="00017532">
        <w:rPr>
          <w:rFonts w:cs="Times New Roman"/>
          <w:lang w:val="fr-CA"/>
        </w:rPr>
        <w:t>ayant qu</w:t>
      </w:r>
      <w:r>
        <w:rPr>
          <w:rFonts w:cs="Times New Roman"/>
          <w:lang w:val="fr-CA"/>
        </w:rPr>
        <w:t>’</w:t>
      </w:r>
      <w:r w:rsidRPr="00017532">
        <w:rPr>
          <w:rFonts w:cs="Times New Roman"/>
          <w:lang w:val="fr-CA"/>
        </w:rPr>
        <w:t>un faible rapport avec l</w:t>
      </w:r>
      <w:r>
        <w:rPr>
          <w:rFonts w:cs="Times New Roman"/>
          <w:lang w:val="fr-CA"/>
        </w:rPr>
        <w:t>’</w:t>
      </w:r>
      <w:r w:rsidRPr="00017532">
        <w:rPr>
          <w:rFonts w:cs="Times New Roman"/>
          <w:lang w:val="fr-CA"/>
        </w:rPr>
        <w:t>espèce.</w:t>
      </w:r>
    </w:p>
    <w:p w:rsidR="002A4851" w:rsidRPr="00017532" w:rsidRDefault="002A4851" w:rsidP="00A659A4">
      <w:pPr>
        <w:pStyle w:val="ParaNoNdepar-AltN"/>
        <w:rPr>
          <w:rFonts w:cs="Times New Roman"/>
          <w:lang w:val="fr-CA"/>
        </w:rPr>
      </w:pPr>
      <w:r w:rsidRPr="00017532">
        <w:rPr>
          <w:rFonts w:cs="Times New Roman"/>
          <w:lang w:val="fr-CA"/>
        </w:rPr>
        <w:t>En résumé, lorsqu</w:t>
      </w:r>
      <w:r>
        <w:rPr>
          <w:rFonts w:cs="Times New Roman"/>
          <w:lang w:val="fr-CA"/>
        </w:rPr>
        <w:t>’</w:t>
      </w:r>
      <w:r w:rsidRPr="00017532">
        <w:rPr>
          <w:rFonts w:cs="Times New Roman"/>
          <w:lang w:val="fr-CA"/>
        </w:rPr>
        <w:t>une disposition prévoyant une peine minimale obligatoire est contestée, deux questions se posent. Premièrement, la disposition a</w:t>
      </w:r>
      <w:r w:rsidR="00B029AB">
        <w:rPr>
          <w:rFonts w:cs="Times New Roman"/>
          <w:lang w:val="fr-CA"/>
        </w:rPr>
        <w:t>-</w:t>
      </w:r>
      <w:r w:rsidRPr="00017532">
        <w:rPr>
          <w:rFonts w:cs="Times New Roman"/>
          <w:lang w:val="fr-CA"/>
        </w:rPr>
        <w:t>t</w:t>
      </w:r>
      <w:r w:rsidR="00B029AB">
        <w:rPr>
          <w:rFonts w:cs="Times New Roman"/>
          <w:lang w:val="fr-CA"/>
        </w:rPr>
        <w:t>-</w:t>
      </w:r>
      <w:r w:rsidRPr="00017532">
        <w:rPr>
          <w:rFonts w:cs="Times New Roman"/>
          <w:lang w:val="fr-CA"/>
        </w:rPr>
        <w:t>elle pour effet d</w:t>
      </w:r>
      <w:r>
        <w:rPr>
          <w:rFonts w:cs="Times New Roman"/>
          <w:lang w:val="fr-CA"/>
        </w:rPr>
        <w:t>’</w:t>
      </w:r>
      <w:r w:rsidRPr="00017532">
        <w:rPr>
          <w:rFonts w:cs="Times New Roman"/>
          <w:lang w:val="fr-CA"/>
        </w:rPr>
        <w:t>infliger une peine totalement disproportionnée à l</w:t>
      </w:r>
      <w:r>
        <w:rPr>
          <w:rFonts w:cs="Times New Roman"/>
          <w:lang w:val="fr-CA"/>
        </w:rPr>
        <w:t>’</w:t>
      </w:r>
      <w:r w:rsidRPr="00017532">
        <w:rPr>
          <w:rFonts w:cs="Times New Roman"/>
          <w:lang w:val="fr-CA"/>
        </w:rPr>
        <w:t>accusé? Si la réponse est négative, il faut se demander en deuxième lieu si les applications raisonnablement prévisibles de la disposition infligeront à d</w:t>
      </w:r>
      <w:r>
        <w:rPr>
          <w:rFonts w:cs="Times New Roman"/>
          <w:lang w:val="fr-CA"/>
        </w:rPr>
        <w:t>’</w:t>
      </w:r>
      <w:r w:rsidRPr="00017532">
        <w:rPr>
          <w:rFonts w:cs="Times New Roman"/>
          <w:lang w:val="fr-CA"/>
        </w:rPr>
        <w:t>autres personnes des peines totalement disproportionnées. La démarche s</w:t>
      </w:r>
      <w:r>
        <w:rPr>
          <w:rFonts w:cs="Times New Roman"/>
          <w:lang w:val="fr-CA"/>
        </w:rPr>
        <w:t>’</w:t>
      </w:r>
      <w:r w:rsidRPr="00017532">
        <w:rPr>
          <w:rFonts w:cs="Times New Roman"/>
          <w:lang w:val="fr-CA"/>
        </w:rPr>
        <w:t>harmonise avec la jurisprudence établie sur le contrôle constitutionnel, ainsi qu</w:t>
      </w:r>
      <w:r>
        <w:rPr>
          <w:rFonts w:cs="Times New Roman"/>
          <w:lang w:val="fr-CA"/>
        </w:rPr>
        <w:t>’</w:t>
      </w:r>
      <w:r w:rsidRPr="00017532">
        <w:rPr>
          <w:rFonts w:cs="Times New Roman"/>
          <w:lang w:val="fr-CA"/>
        </w:rPr>
        <w:t>avec les règles d</w:t>
      </w:r>
      <w:r>
        <w:rPr>
          <w:rFonts w:cs="Times New Roman"/>
          <w:lang w:val="fr-CA"/>
        </w:rPr>
        <w:t>’</w:t>
      </w:r>
      <w:r w:rsidRPr="00017532">
        <w:rPr>
          <w:rFonts w:cs="Times New Roman"/>
          <w:lang w:val="fr-CA"/>
        </w:rPr>
        <w:t>interprétation constitutionnelle, dont l</w:t>
      </w:r>
      <w:r>
        <w:rPr>
          <w:rFonts w:cs="Times New Roman"/>
          <w:lang w:val="fr-CA"/>
        </w:rPr>
        <w:t>’</w:t>
      </w:r>
      <w:r w:rsidRPr="00017532">
        <w:rPr>
          <w:rFonts w:cs="Times New Roman"/>
          <w:lang w:val="fr-CA"/>
        </w:rPr>
        <w:t>objet est de circonscrire la portée éventuelle d</w:t>
      </w:r>
      <w:r>
        <w:rPr>
          <w:rFonts w:cs="Times New Roman"/>
          <w:lang w:val="fr-CA"/>
        </w:rPr>
        <w:t>’</w:t>
      </w:r>
      <w:r w:rsidRPr="00017532">
        <w:rPr>
          <w:rFonts w:cs="Times New Roman"/>
          <w:lang w:val="fr-CA"/>
        </w:rPr>
        <w:t>une disposition; elle est applicable et elle assure une certitude suffisante.</w:t>
      </w:r>
    </w:p>
    <w:p w:rsidR="002A4851" w:rsidRPr="00017532" w:rsidRDefault="002A4851" w:rsidP="00A659A4">
      <w:pPr>
        <w:pStyle w:val="Title3LevelTitre3Niveau"/>
        <w:jc w:val="both"/>
        <w:rPr>
          <w:rFonts w:cs="Times New Roman"/>
          <w:lang w:val="fr-CA"/>
        </w:rPr>
      </w:pPr>
      <w:r w:rsidRPr="00017532">
        <w:rPr>
          <w:rFonts w:cs="Times New Roman"/>
          <w:lang w:val="fr-CA"/>
        </w:rPr>
        <w:t xml:space="preserve">Application au dossier </w:t>
      </w:r>
      <w:r w:rsidRPr="00BE5003">
        <w:rPr>
          <w:rFonts w:cs="Times New Roman"/>
          <w:i/>
          <w:lang w:val="fr-CA"/>
        </w:rPr>
        <w:t>Nur</w:t>
      </w:r>
    </w:p>
    <w:p w:rsidR="002A4851" w:rsidRPr="00017532" w:rsidRDefault="002A4851" w:rsidP="00A659A4">
      <w:pPr>
        <w:pStyle w:val="ParaNoNdepar-AltN"/>
        <w:rPr>
          <w:rFonts w:cs="Times New Roman"/>
          <w:lang w:val="fr-CA"/>
        </w:rPr>
      </w:pPr>
      <w:r w:rsidRPr="00017532">
        <w:rPr>
          <w:rFonts w:cs="Times New Roman"/>
          <w:lang w:val="fr-CA"/>
        </w:rPr>
        <w:t>M.</w:t>
      </w:r>
      <w:r w:rsidR="00B029AB">
        <w:rPr>
          <w:rFonts w:cs="Times New Roman"/>
          <w:lang w:val="fr-CA"/>
        </w:rPr>
        <w:t xml:space="preserve"> </w:t>
      </w:r>
      <w:r w:rsidRPr="00017532">
        <w:rPr>
          <w:rFonts w:cs="Times New Roman"/>
          <w:lang w:val="fr-CA"/>
        </w:rPr>
        <w:t>Nur ne soutient pas que la peine minimale obligatoire prévue au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 se traduit par une peine totalement disproportionnée en ce qui le concerne, mais bien que la disposition viole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dans son application raisonnablement prévisible à certains autres délinquants. La question qui se pose est celle de savoir si la peine minimale de trois</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 xml:space="preserve">emprisonnement que prévoit le </w:t>
      </w:r>
      <w:r w:rsidRPr="00017532">
        <w:rPr>
          <w:rFonts w:cs="Times New Roman"/>
          <w:lang w:val="fr-CA"/>
        </w:rPr>
        <w:lastRenderedPageBreak/>
        <w:t>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205E49">
        <w:rPr>
          <w:rFonts w:cs="Times New Roman"/>
          <w:i/>
          <w:lang w:val="fr-CA"/>
        </w:rPr>
        <w:t>a</w:t>
      </w:r>
      <w:r w:rsidRPr="00017532">
        <w:rPr>
          <w:rFonts w:cs="Times New Roman"/>
          <w:lang w:val="fr-CA"/>
        </w:rPr>
        <w:t>)(i) emportera l</w:t>
      </w:r>
      <w:r>
        <w:rPr>
          <w:rFonts w:cs="Times New Roman"/>
          <w:lang w:val="fr-CA"/>
        </w:rPr>
        <w:t>’</w:t>
      </w:r>
      <w:r w:rsidRPr="00017532">
        <w:rPr>
          <w:rFonts w:cs="Times New Roman"/>
          <w:lang w:val="fr-CA"/>
        </w:rPr>
        <w:t xml:space="preserve">infliction de peines totalement disproportionnées dans des situations raisonnablement prévisibles. </w:t>
      </w:r>
    </w:p>
    <w:p w:rsidR="002A4851" w:rsidRPr="00017532" w:rsidRDefault="002A4851" w:rsidP="00A659A4">
      <w:pPr>
        <w:pStyle w:val="ParaNoNdepar-AltN"/>
        <w:rPr>
          <w:rFonts w:cs="Times New Roman"/>
          <w:lang w:val="fr-CA"/>
        </w:rPr>
      </w:pPr>
      <w:r w:rsidRPr="00017532">
        <w:rPr>
          <w:rFonts w:cs="Times New Roman"/>
          <w:lang w:val="fr-CA"/>
        </w:rPr>
        <w:t>Je réponds par l</w:t>
      </w:r>
      <w:r>
        <w:rPr>
          <w:rFonts w:cs="Times New Roman"/>
          <w:lang w:val="fr-CA"/>
        </w:rPr>
        <w:t>’</w:t>
      </w:r>
      <w:r w:rsidRPr="00017532">
        <w:rPr>
          <w:rFonts w:cs="Times New Roman"/>
          <w:lang w:val="fr-CA"/>
        </w:rPr>
        <w:t>affirmative. La Cour d</w:t>
      </w:r>
      <w:r>
        <w:rPr>
          <w:rFonts w:cs="Times New Roman"/>
          <w:lang w:val="fr-CA"/>
        </w:rPr>
        <w:t>’</w:t>
      </w:r>
      <w:r w:rsidRPr="00017532">
        <w:rPr>
          <w:rFonts w:cs="Times New Roman"/>
          <w:lang w:val="fr-CA"/>
        </w:rPr>
        <w:t>appel renvoie à une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situation hypothétique raisonnable</w:t>
      </w:r>
      <w:r w:rsidR="00B029AB">
        <w:rPr>
          <w:rFonts w:cs="Times New Roman"/>
          <w:lang w:val="fr-CA"/>
        </w:rPr>
        <w:t> »</w:t>
      </w:r>
      <w:r w:rsidRPr="00017532">
        <w:rPr>
          <w:rFonts w:cs="Times New Roman"/>
          <w:lang w:val="fr-CA"/>
        </w:rPr>
        <w:t xml:space="preserve"> où l</w:t>
      </w:r>
      <w:r>
        <w:rPr>
          <w:rFonts w:cs="Times New Roman"/>
          <w:lang w:val="fr-CA"/>
        </w:rPr>
        <w:t>’</w:t>
      </w:r>
      <w:r w:rsidRPr="00017532">
        <w:rPr>
          <w:rFonts w:cs="Times New Roman"/>
          <w:lang w:val="fr-CA"/>
        </w:rPr>
        <w:t>acte réprimé s</w:t>
      </w:r>
      <w:r>
        <w:rPr>
          <w:rFonts w:cs="Times New Roman"/>
          <w:lang w:val="fr-CA"/>
        </w:rPr>
        <w:t>’</w:t>
      </w:r>
      <w:r w:rsidRPr="00017532">
        <w:rPr>
          <w:rFonts w:cs="Times New Roman"/>
          <w:lang w:val="fr-CA"/>
        </w:rPr>
        <w:t>entend d</w:t>
      </w:r>
      <w:r>
        <w:rPr>
          <w:rFonts w:cs="Times New Roman"/>
          <w:lang w:val="fr-CA"/>
        </w:rPr>
        <w:t>’</w:t>
      </w:r>
      <w:r w:rsidRPr="00017532">
        <w:rPr>
          <w:rFonts w:cs="Times New Roman"/>
          <w:lang w:val="fr-CA"/>
        </w:rPr>
        <w:t>une infraction réglementaire tombant sous le coup du par.</w:t>
      </w:r>
      <w:r w:rsidR="00B029AB">
        <w:rPr>
          <w:rFonts w:cs="Times New Roman"/>
          <w:lang w:val="fr-CA"/>
        </w:rPr>
        <w:t xml:space="preserve"> </w:t>
      </w:r>
      <w:r w:rsidRPr="00017532">
        <w:rPr>
          <w:rFonts w:cs="Times New Roman"/>
          <w:lang w:val="fr-CA"/>
        </w:rPr>
        <w:t>95(1), une infraction pour laquelle une peine carcérale de trois</w:t>
      </w:r>
      <w:r w:rsidR="00B029AB">
        <w:rPr>
          <w:rFonts w:cs="Times New Roman"/>
          <w:lang w:val="fr-CA"/>
        </w:rPr>
        <w:t xml:space="preserve"> </w:t>
      </w:r>
      <w:r w:rsidRPr="00017532">
        <w:rPr>
          <w:rFonts w:cs="Times New Roman"/>
          <w:lang w:val="fr-CA"/>
        </w:rPr>
        <w:t>ans serait totalement disproportionnée. La situation considérée est celle d</w:t>
      </w:r>
      <w:r>
        <w:rPr>
          <w:rFonts w:cs="Times New Roman"/>
          <w:lang w:val="fr-CA"/>
        </w:rPr>
        <w:t>’</w:t>
      </w:r>
      <w:r w:rsidRPr="00017532">
        <w:rPr>
          <w:rFonts w:cs="Times New Roman"/>
          <w:lang w:val="fr-CA"/>
        </w:rPr>
        <w:t>une personne qui détient un permis valide pour la possession d</w:t>
      </w:r>
      <w:r>
        <w:rPr>
          <w:rFonts w:cs="Times New Roman"/>
          <w:lang w:val="fr-CA"/>
        </w:rPr>
        <w:t>’</w:t>
      </w:r>
      <w:r w:rsidRPr="00017532">
        <w:rPr>
          <w:rFonts w:cs="Times New Roman"/>
          <w:lang w:val="fr-CA"/>
        </w:rPr>
        <w:t>une arme à feu à autorisation restreinte non chargée dans un lieu de résidence et qui l</w:t>
      </w:r>
      <w:r>
        <w:rPr>
          <w:rFonts w:cs="Times New Roman"/>
          <w:lang w:val="fr-CA"/>
        </w:rPr>
        <w:t>’</w:t>
      </w:r>
      <w:r w:rsidRPr="00017532">
        <w:rPr>
          <w:rFonts w:cs="Times New Roman"/>
          <w:lang w:val="fr-CA"/>
        </w:rPr>
        <w:t>entrepose de façon sécuritaire avec des munitions dans un autre (p.</w:t>
      </w:r>
      <w:r w:rsidR="00B029AB">
        <w:rPr>
          <w:rFonts w:cs="Times New Roman"/>
          <w:lang w:val="fr-CA"/>
        </w:rPr>
        <w:t xml:space="preserve"> </w:t>
      </w:r>
      <w:r w:rsidRPr="00017532">
        <w:rPr>
          <w:rFonts w:cs="Times New Roman"/>
          <w:lang w:val="fr-CA"/>
        </w:rPr>
        <w:t>ex. à son chalet plutôt qu</w:t>
      </w:r>
      <w:r>
        <w:rPr>
          <w:rFonts w:cs="Times New Roman"/>
          <w:lang w:val="fr-CA"/>
        </w:rPr>
        <w:t>’</w:t>
      </w:r>
      <w:r w:rsidRPr="00017532">
        <w:rPr>
          <w:rFonts w:cs="Times New Roman"/>
          <w:lang w:val="fr-CA"/>
        </w:rPr>
        <w:t>à sa résidence principale).</w:t>
      </w:r>
    </w:p>
    <w:p w:rsidR="002A4851" w:rsidRPr="00017532" w:rsidRDefault="002A4851" w:rsidP="00A659A4">
      <w:pPr>
        <w:pStyle w:val="ParaNoNdepar-AltN"/>
        <w:rPr>
          <w:rFonts w:cs="Times New Roman"/>
          <w:lang w:val="fr-CA"/>
        </w:rPr>
      </w:pPr>
      <w:r w:rsidRPr="00017532">
        <w:rPr>
          <w:rFonts w:cs="Times New Roman"/>
          <w:lang w:val="fr-CA"/>
        </w:rPr>
        <w:t>La procureure générale de l</w:t>
      </w:r>
      <w:r>
        <w:rPr>
          <w:rFonts w:cs="Times New Roman"/>
          <w:lang w:val="fr-CA"/>
        </w:rPr>
        <w:t>’</w:t>
      </w:r>
      <w:r w:rsidRPr="00017532">
        <w:rPr>
          <w:rFonts w:cs="Times New Roman"/>
          <w:lang w:val="fr-CA"/>
        </w:rPr>
        <w:t>Ontario reproche au scénario son caractère conjectural. Or, une telle situation est au contraire raisonnablement prévisible. Dans l</w:t>
      </w:r>
      <w:r>
        <w:rPr>
          <w:rFonts w:cs="Times New Roman"/>
          <w:lang w:val="fr-CA"/>
        </w:rPr>
        <w:t>’</w:t>
      </w:r>
      <w:r w:rsidRPr="00017532">
        <w:rPr>
          <w:rFonts w:cs="Times New Roman"/>
          <w:lang w:val="fr-CA"/>
        </w:rPr>
        <w:t xml:space="preserve">arrêt </w:t>
      </w:r>
      <w:r w:rsidRPr="00017532">
        <w:rPr>
          <w:rFonts w:cs="Times New Roman"/>
          <w:i/>
          <w:lang w:val="fr-CA"/>
        </w:rPr>
        <w:t>R. c. MacDonald</w:t>
      </w:r>
      <w:r w:rsidRPr="00017532">
        <w:rPr>
          <w:rFonts w:cs="Times New Roman"/>
          <w:lang w:val="fr-CA"/>
        </w:rPr>
        <w:t>, 2014 CSC 3,</w:t>
      </w:r>
      <w:r w:rsidRPr="00017532">
        <w:rPr>
          <w:rFonts w:cs="Times New Roman"/>
          <w:i/>
          <w:lang w:val="fr-CA"/>
        </w:rPr>
        <w:t xml:space="preserve"> </w:t>
      </w:r>
      <w:r w:rsidRPr="00017532">
        <w:rPr>
          <w:rFonts w:cs="Times New Roman"/>
          <w:lang w:val="fr-CA"/>
        </w:rPr>
        <w:t>[2014] 1 R.C.S. 37, la Cour devait se prononcer sur une accusation portée contre le propriétaire d</w:t>
      </w:r>
      <w:r>
        <w:rPr>
          <w:rFonts w:cs="Times New Roman"/>
          <w:lang w:val="fr-CA"/>
        </w:rPr>
        <w:t>’</w:t>
      </w:r>
      <w:r w:rsidRPr="00017532">
        <w:rPr>
          <w:rFonts w:cs="Times New Roman"/>
          <w:lang w:val="fr-CA"/>
        </w:rPr>
        <w:t>un pistolet qui ignorait que son permis ne valait que pour sa résidence de Calgary et qui avait eu l</w:t>
      </w:r>
      <w:r>
        <w:rPr>
          <w:rFonts w:cs="Times New Roman"/>
          <w:lang w:val="fr-CA"/>
        </w:rPr>
        <w:t>’</w:t>
      </w:r>
      <w:r w:rsidRPr="00017532">
        <w:rPr>
          <w:rFonts w:cs="Times New Roman"/>
          <w:lang w:val="fr-CA"/>
        </w:rPr>
        <w:t>arme en sa possession à sa résidence d</w:t>
      </w:r>
      <w:r>
        <w:rPr>
          <w:rFonts w:cs="Times New Roman"/>
          <w:lang w:val="fr-CA"/>
        </w:rPr>
        <w:t>’</w:t>
      </w:r>
      <w:r w:rsidRPr="00017532">
        <w:rPr>
          <w:rFonts w:cs="Times New Roman"/>
          <w:lang w:val="fr-CA"/>
        </w:rPr>
        <w:t>Halifax. Contrairement à ce que la Cour d</w:t>
      </w:r>
      <w:r>
        <w:rPr>
          <w:rFonts w:cs="Times New Roman"/>
          <w:lang w:val="fr-CA"/>
        </w:rPr>
        <w:t>’</w:t>
      </w:r>
      <w:r w:rsidRPr="00017532">
        <w:rPr>
          <w:rFonts w:cs="Times New Roman"/>
          <w:lang w:val="fr-CA"/>
        </w:rPr>
        <w:t>appel de l</w:t>
      </w:r>
      <w:r>
        <w:rPr>
          <w:rFonts w:cs="Times New Roman"/>
          <w:lang w:val="fr-CA"/>
        </w:rPr>
        <w:t>’</w:t>
      </w:r>
      <w:r w:rsidRPr="00017532">
        <w:rPr>
          <w:rFonts w:cs="Times New Roman"/>
          <w:lang w:val="fr-CA"/>
        </w:rPr>
        <w:t>Ontario avait tenu pour acquis dans son exemple, la Cour a interprété largement l</w:t>
      </w:r>
      <w:r>
        <w:rPr>
          <w:rFonts w:cs="Times New Roman"/>
          <w:lang w:val="fr-CA"/>
        </w:rPr>
        <w:t>’</w:t>
      </w:r>
      <w:r w:rsidRPr="00017532">
        <w:rPr>
          <w:rFonts w:cs="Times New Roman"/>
          <w:lang w:val="fr-CA"/>
        </w:rPr>
        <w:t>infraction, elle a estimé que le ministère public n</w:t>
      </w:r>
      <w:r>
        <w:rPr>
          <w:rFonts w:cs="Times New Roman"/>
          <w:lang w:val="fr-CA"/>
        </w:rPr>
        <w:t>’</w:t>
      </w:r>
      <w:r w:rsidRPr="00017532">
        <w:rPr>
          <w:rFonts w:cs="Times New Roman"/>
          <w:lang w:val="fr-CA"/>
        </w:rPr>
        <w:t>avait pas à prouver que l</w:t>
      </w:r>
      <w:r>
        <w:rPr>
          <w:rFonts w:cs="Times New Roman"/>
          <w:lang w:val="fr-CA"/>
        </w:rPr>
        <w:t>’</w:t>
      </w:r>
      <w:r w:rsidRPr="00017532">
        <w:rPr>
          <w:rFonts w:cs="Times New Roman"/>
          <w:lang w:val="fr-CA"/>
        </w:rPr>
        <w:t>accusé savait que la possession de l</w:t>
      </w:r>
      <w:r>
        <w:rPr>
          <w:rFonts w:cs="Times New Roman"/>
          <w:lang w:val="fr-CA"/>
        </w:rPr>
        <w:t>’</w:t>
      </w:r>
      <w:r w:rsidRPr="00017532">
        <w:rPr>
          <w:rFonts w:cs="Times New Roman"/>
          <w:lang w:val="fr-CA"/>
        </w:rPr>
        <w:t>arme dans le lieu en question n</w:t>
      </w:r>
      <w:r>
        <w:rPr>
          <w:rFonts w:cs="Times New Roman"/>
          <w:lang w:val="fr-CA"/>
        </w:rPr>
        <w:t>’</w:t>
      </w:r>
      <w:r w:rsidRPr="00017532">
        <w:rPr>
          <w:rFonts w:cs="Times New Roman"/>
          <w:lang w:val="fr-CA"/>
        </w:rPr>
        <w:t>était pas autorisée (par.</w:t>
      </w:r>
      <w:r w:rsidR="00B029AB">
        <w:rPr>
          <w:rFonts w:cs="Times New Roman"/>
          <w:lang w:val="fr-CA"/>
        </w:rPr>
        <w:t xml:space="preserve"> </w:t>
      </w:r>
      <w:r w:rsidRPr="00017532">
        <w:rPr>
          <w:rFonts w:cs="Times New Roman"/>
          <w:lang w:val="fr-CA"/>
        </w:rPr>
        <w:t>55) et elle a confirmé la déclaration de culpabilité de M.</w:t>
      </w:r>
      <w:r w:rsidR="00B029AB">
        <w:rPr>
          <w:rFonts w:cs="Times New Roman"/>
          <w:lang w:val="fr-CA"/>
        </w:rPr>
        <w:t xml:space="preserve"> </w:t>
      </w:r>
      <w:r w:rsidRPr="00017532">
        <w:rPr>
          <w:rFonts w:cs="Times New Roman"/>
          <w:lang w:val="fr-CA"/>
        </w:rPr>
        <w:t xml:space="preserve">MacDonald. La Cour a ajouté que </w:t>
      </w:r>
      <w:r w:rsidR="00B029AB">
        <w:rPr>
          <w:rFonts w:cs="Times New Roman"/>
          <w:lang w:val="fr-CA"/>
        </w:rPr>
        <w:t>« </w:t>
      </w:r>
      <w:r w:rsidRPr="00017532">
        <w:rPr>
          <w:rFonts w:cs="Times New Roman"/>
          <w:lang w:val="fr-CA"/>
        </w:rPr>
        <w:t>son erreur de droit [celle de l</w:t>
      </w:r>
      <w:r>
        <w:rPr>
          <w:rFonts w:cs="Times New Roman"/>
          <w:lang w:val="fr-CA"/>
        </w:rPr>
        <w:t>’</w:t>
      </w:r>
      <w:r w:rsidRPr="00017532">
        <w:rPr>
          <w:rFonts w:cs="Times New Roman"/>
          <w:lang w:val="fr-CA"/>
        </w:rPr>
        <w:t xml:space="preserve">accusé] constituerait, dans des </w:t>
      </w:r>
      <w:r w:rsidRPr="00017532">
        <w:rPr>
          <w:rFonts w:cs="Times New Roman"/>
          <w:lang w:val="fr-CA"/>
        </w:rPr>
        <w:lastRenderedPageBreak/>
        <w:t>circonstances ordinaires, un facteur atténuant au moment de déterminer une peine proportionnelle à la gravité de son crime</w:t>
      </w:r>
      <w:r w:rsidR="00B029AB">
        <w:rPr>
          <w:rFonts w:cs="Times New Roman"/>
          <w:lang w:val="fr-CA"/>
        </w:rPr>
        <w:t> »</w:t>
      </w:r>
      <w:r w:rsidRPr="00017532">
        <w:rPr>
          <w:rFonts w:cs="Times New Roman"/>
          <w:lang w:val="fr-CA"/>
        </w:rPr>
        <w:t xml:space="preserve"> (par.</w:t>
      </w:r>
      <w:r w:rsidR="00B029AB">
        <w:rPr>
          <w:rFonts w:cs="Times New Roman"/>
          <w:lang w:val="fr-CA"/>
        </w:rPr>
        <w:t xml:space="preserve"> </w:t>
      </w:r>
      <w:r w:rsidRPr="00017532">
        <w:rPr>
          <w:rFonts w:cs="Times New Roman"/>
          <w:lang w:val="fr-CA"/>
        </w:rPr>
        <w:t>61)</w:t>
      </w:r>
      <w:r>
        <w:rPr>
          <w:rFonts w:cs="Times New Roman"/>
          <w:lang w:val="fr-CA"/>
        </w:rPr>
        <w:t xml:space="preserve">. </w:t>
      </w:r>
    </w:p>
    <w:p w:rsidR="002A4851" w:rsidRPr="00017532" w:rsidRDefault="002A4851" w:rsidP="00A659A4">
      <w:pPr>
        <w:pStyle w:val="ParaNoNdepar-AltN"/>
        <w:rPr>
          <w:rFonts w:cs="Times New Roman"/>
          <w:lang w:val="fr-CA"/>
        </w:rPr>
      </w:pPr>
      <w:r w:rsidRPr="00017532">
        <w:rPr>
          <w:rFonts w:cs="Times New Roman"/>
          <w:lang w:val="fr-CA"/>
        </w:rPr>
        <w:t>Selon la procureure générale de l</w:t>
      </w:r>
      <w:r>
        <w:rPr>
          <w:rFonts w:cs="Times New Roman"/>
          <w:lang w:val="fr-CA"/>
        </w:rPr>
        <w:t>’</w:t>
      </w:r>
      <w:r w:rsidRPr="00017532">
        <w:rPr>
          <w:rFonts w:cs="Times New Roman"/>
          <w:lang w:val="fr-CA"/>
        </w:rPr>
        <w:t>Ontario, les scénarios avancés par la Cour d</w:t>
      </w:r>
      <w:r>
        <w:rPr>
          <w:rFonts w:cs="Times New Roman"/>
          <w:lang w:val="fr-CA"/>
        </w:rPr>
        <w:t>’</w:t>
      </w:r>
      <w:r w:rsidRPr="00017532">
        <w:rPr>
          <w:rFonts w:cs="Times New Roman"/>
          <w:lang w:val="fr-CA"/>
        </w:rPr>
        <w:t>appel se présentent rarement, et peu fréquentes sont les accusations fondées sur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95 qui ne justifient pas une peine d</w:t>
      </w:r>
      <w:r>
        <w:rPr>
          <w:rFonts w:cs="Times New Roman"/>
          <w:lang w:val="fr-CA"/>
        </w:rPr>
        <w:t>’</w:t>
      </w:r>
      <w:r w:rsidRPr="00017532">
        <w:rPr>
          <w:rFonts w:cs="Times New Roman"/>
          <w:lang w:val="fr-CA"/>
        </w:rPr>
        <w:t>au moins trois</w:t>
      </w:r>
      <w:r w:rsidR="00B029AB">
        <w:rPr>
          <w:rFonts w:cs="Times New Roman"/>
          <w:lang w:val="fr-CA"/>
        </w:rPr>
        <w:t xml:space="preserve"> </w:t>
      </w:r>
      <w:r w:rsidRPr="00017532">
        <w:rPr>
          <w:rFonts w:cs="Times New Roman"/>
          <w:lang w:val="fr-CA"/>
        </w:rPr>
        <w:t>ans (m.a. (Nur)</w:t>
      </w:r>
      <w:r w:rsidR="00205E49">
        <w:rPr>
          <w:rFonts w:cs="Times New Roman"/>
          <w:lang w:val="fr-CA"/>
        </w:rPr>
        <w:t>,</w:t>
      </w:r>
      <w:r w:rsidRPr="00017532">
        <w:rPr>
          <w:rFonts w:cs="Times New Roman"/>
          <w:lang w:val="fr-CA"/>
        </w:rPr>
        <w:t xml:space="preserve"> par.</w:t>
      </w:r>
      <w:r w:rsidR="00B029AB">
        <w:rPr>
          <w:rFonts w:cs="Times New Roman"/>
          <w:lang w:val="fr-CA"/>
        </w:rPr>
        <w:t xml:space="preserve"> </w:t>
      </w:r>
      <w:r w:rsidRPr="00017532">
        <w:rPr>
          <w:rFonts w:cs="Times New Roman"/>
          <w:lang w:val="fr-CA"/>
        </w:rPr>
        <w:t>72). Or, je le rappelle, la question n</w:t>
      </w:r>
      <w:r>
        <w:rPr>
          <w:rFonts w:cs="Times New Roman"/>
          <w:lang w:val="fr-CA"/>
        </w:rPr>
        <w:t>’</w:t>
      </w:r>
      <w:r w:rsidRPr="00017532">
        <w:rPr>
          <w:rFonts w:cs="Times New Roman"/>
          <w:lang w:val="fr-CA"/>
        </w:rPr>
        <w:t>est pas celle de savoir si les poursuites pour une infraction située à l</w:t>
      </w:r>
      <w:r>
        <w:rPr>
          <w:rFonts w:cs="Times New Roman"/>
          <w:lang w:val="fr-CA"/>
        </w:rPr>
        <w:t>’</w:t>
      </w:r>
      <w:r w:rsidRPr="00017532">
        <w:rPr>
          <w:rFonts w:cs="Times New Roman"/>
          <w:lang w:val="fr-CA"/>
        </w:rPr>
        <w:t>extrémité inférieure du continuum d</w:t>
      </w:r>
      <w:r>
        <w:rPr>
          <w:rFonts w:cs="Times New Roman"/>
          <w:lang w:val="fr-CA"/>
        </w:rPr>
        <w:t>’</w:t>
      </w:r>
      <w:r w:rsidRPr="00017532">
        <w:rPr>
          <w:rFonts w:cs="Times New Roman"/>
          <w:lang w:val="fr-CA"/>
        </w:rPr>
        <w:t>application sont fréquentes, mais bien si on peut raisonnablement s</w:t>
      </w:r>
      <w:r>
        <w:rPr>
          <w:rFonts w:cs="Times New Roman"/>
          <w:lang w:val="fr-CA"/>
        </w:rPr>
        <w:t>’</w:t>
      </w:r>
      <w:r w:rsidRPr="00017532">
        <w:rPr>
          <w:rFonts w:cs="Times New Roman"/>
          <w:lang w:val="fr-CA"/>
        </w:rPr>
        <w:t>attendre à ce que le comportement tombe sous le coup de la disposition. Je réponds par l</w:t>
      </w:r>
      <w:r>
        <w:rPr>
          <w:rFonts w:cs="Times New Roman"/>
          <w:lang w:val="fr-CA"/>
        </w:rPr>
        <w:t>’</w:t>
      </w:r>
      <w:r w:rsidRPr="00017532">
        <w:rPr>
          <w:rFonts w:cs="Times New Roman"/>
          <w:lang w:val="fr-CA"/>
        </w:rPr>
        <w:t xml:space="preserve">affirmative. </w:t>
      </w:r>
    </w:p>
    <w:p w:rsidR="002A4851" w:rsidRPr="00017532" w:rsidRDefault="002A4851" w:rsidP="00A659A4">
      <w:pPr>
        <w:pStyle w:val="ParaNoNdepar-AltN"/>
        <w:rPr>
          <w:rFonts w:cs="Times New Roman"/>
          <w:lang w:val="fr-CA"/>
        </w:rPr>
      </w:pPr>
      <w:r w:rsidRPr="00017532">
        <w:rPr>
          <w:rFonts w:cs="Times New Roman"/>
          <w:lang w:val="fr-CA"/>
        </w:rPr>
        <w:t>Le paragraphe</w:t>
      </w:r>
      <w:r w:rsidR="00B029AB">
        <w:rPr>
          <w:rFonts w:cs="Times New Roman"/>
          <w:lang w:val="fr-CA"/>
        </w:rPr>
        <w:t xml:space="preserve"> </w:t>
      </w:r>
      <w:r w:rsidRPr="00017532">
        <w:rPr>
          <w:rFonts w:cs="Times New Roman"/>
          <w:lang w:val="fr-CA"/>
        </w:rPr>
        <w:t>95(1) s</w:t>
      </w:r>
      <w:r>
        <w:rPr>
          <w:rFonts w:cs="Times New Roman"/>
          <w:lang w:val="fr-CA"/>
        </w:rPr>
        <w:t>’</w:t>
      </w:r>
      <w:r w:rsidRPr="00017532">
        <w:rPr>
          <w:rFonts w:cs="Times New Roman"/>
          <w:lang w:val="fr-CA"/>
        </w:rPr>
        <w:t>applique à une vaste gamme de comportements potentiels, dont la plupart peuvent fort bien justifier l</w:t>
      </w:r>
      <w:r>
        <w:rPr>
          <w:rFonts w:cs="Times New Roman"/>
          <w:lang w:val="fr-CA"/>
        </w:rPr>
        <w:t>’</w:t>
      </w:r>
      <w:r w:rsidRPr="00017532">
        <w:rPr>
          <w:rFonts w:cs="Times New Roman"/>
          <w:lang w:val="fr-CA"/>
        </w:rPr>
        <w:t>infliction d</w:t>
      </w:r>
      <w:r>
        <w:rPr>
          <w:rFonts w:cs="Times New Roman"/>
          <w:lang w:val="fr-CA"/>
        </w:rPr>
        <w:t>’</w:t>
      </w:r>
      <w:r w:rsidRPr="00017532">
        <w:rPr>
          <w:rFonts w:cs="Times New Roman"/>
          <w:lang w:val="fr-CA"/>
        </w:rPr>
        <w:t>une peine d</w:t>
      </w:r>
      <w:r>
        <w:rPr>
          <w:rFonts w:cs="Times New Roman"/>
          <w:lang w:val="fr-CA"/>
        </w:rPr>
        <w:t>’</w:t>
      </w:r>
      <w:r w:rsidRPr="00017532">
        <w:rPr>
          <w:rFonts w:cs="Times New Roman"/>
          <w:lang w:val="fr-CA"/>
        </w:rPr>
        <w:t>au moins trois</w:t>
      </w:r>
      <w:r w:rsidR="00B029AB">
        <w:rPr>
          <w:rFonts w:cs="Times New Roman"/>
          <w:lang w:val="fr-CA"/>
        </w:rPr>
        <w:t xml:space="preserve"> </w:t>
      </w:r>
      <w:r w:rsidRPr="00017532">
        <w:rPr>
          <w:rFonts w:cs="Times New Roman"/>
          <w:lang w:val="fr-CA"/>
        </w:rPr>
        <w:t>ans, mais ce n</w:t>
      </w:r>
      <w:r>
        <w:rPr>
          <w:rFonts w:cs="Times New Roman"/>
          <w:lang w:val="fr-CA"/>
        </w:rPr>
        <w:t>’</w:t>
      </w:r>
      <w:r w:rsidRPr="00017532">
        <w:rPr>
          <w:rFonts w:cs="Times New Roman"/>
          <w:lang w:val="fr-CA"/>
        </w:rPr>
        <w:t>est peut-être pas le cas de comportements qui se situent à l</w:t>
      </w:r>
      <w:r>
        <w:rPr>
          <w:rFonts w:cs="Times New Roman"/>
          <w:lang w:val="fr-CA"/>
        </w:rPr>
        <w:t>’</w:t>
      </w:r>
      <w:r w:rsidRPr="00017532">
        <w:rPr>
          <w:rFonts w:cs="Times New Roman"/>
          <w:lang w:val="fr-CA"/>
        </w:rPr>
        <w:t>une des extrémités du continuum d</w:t>
      </w:r>
      <w:r>
        <w:rPr>
          <w:rFonts w:cs="Times New Roman"/>
          <w:lang w:val="fr-CA"/>
        </w:rPr>
        <w:t>’</w:t>
      </w:r>
      <w:r w:rsidRPr="00017532">
        <w:rPr>
          <w:rFonts w:cs="Times New Roman"/>
          <w:lang w:val="fr-CA"/>
        </w:rPr>
        <w:t>application. Ainsi que le fait observer le juge</w:t>
      </w:r>
      <w:r w:rsidR="00B029AB">
        <w:rPr>
          <w:rFonts w:cs="Times New Roman"/>
          <w:lang w:val="fr-CA"/>
        </w:rPr>
        <w:t xml:space="preserve"> </w:t>
      </w:r>
      <w:r w:rsidRPr="00017532">
        <w:rPr>
          <w:rFonts w:cs="Times New Roman"/>
          <w:lang w:val="fr-CA"/>
        </w:rPr>
        <w:t>Doherty, on retrouve à l</w:t>
      </w:r>
      <w:r>
        <w:rPr>
          <w:rFonts w:cs="Times New Roman"/>
          <w:lang w:val="fr-CA"/>
        </w:rPr>
        <w:t>’</w:t>
      </w:r>
      <w:r w:rsidRPr="00017532">
        <w:rPr>
          <w:rFonts w:cs="Times New Roman"/>
          <w:lang w:val="fr-CA"/>
        </w:rPr>
        <w:t>une de ces extrémités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le hors-la-loi qui, dans le cadre de ses activités criminelles, se rend dans un lieu public muni d</w:t>
      </w:r>
      <w:r>
        <w:rPr>
          <w:rFonts w:cs="Times New Roman"/>
          <w:lang w:val="fr-CA"/>
        </w:rPr>
        <w:t>’</w:t>
      </w:r>
      <w:r w:rsidRPr="00017532">
        <w:rPr>
          <w:rFonts w:cs="Times New Roman"/>
          <w:lang w:val="fr-CA"/>
        </w:rPr>
        <w:t>une arme à feu prohibée ou à autorisation restreinte chargée. [.</w:t>
      </w:r>
      <w:r w:rsidR="00B029AB">
        <w:rPr>
          <w:rFonts w:cs="Times New Roman"/>
          <w:lang w:val="fr-CA"/>
        </w:rPr>
        <w:t xml:space="preserve"> </w:t>
      </w:r>
      <w:r w:rsidRPr="00017532">
        <w:rPr>
          <w:rFonts w:cs="Times New Roman"/>
          <w:lang w:val="fr-CA"/>
        </w:rPr>
        <w:t>.</w:t>
      </w:r>
      <w:r w:rsidR="00B029AB">
        <w:rPr>
          <w:rFonts w:cs="Times New Roman"/>
          <w:lang w:val="fr-CA"/>
        </w:rPr>
        <w:t xml:space="preserve"> </w:t>
      </w:r>
      <w:r w:rsidRPr="00017532">
        <w:rPr>
          <w:rFonts w:cs="Times New Roman"/>
          <w:lang w:val="fr-CA"/>
        </w:rPr>
        <w:t xml:space="preserve">.] </w:t>
      </w:r>
      <w:r w:rsidR="00205E49">
        <w:rPr>
          <w:rFonts w:cs="Times New Roman"/>
          <w:lang w:val="fr-CA"/>
        </w:rPr>
        <w:t>[</w:t>
      </w:r>
      <w:r w:rsidRPr="00017532">
        <w:rPr>
          <w:rFonts w:cs="Times New Roman"/>
          <w:lang w:val="fr-CA"/>
        </w:rPr>
        <w:t>S</w:t>
      </w:r>
      <w:r w:rsidR="00205E49">
        <w:rPr>
          <w:rFonts w:cs="Times New Roman"/>
          <w:lang w:val="fr-CA"/>
        </w:rPr>
        <w:t>]</w:t>
      </w:r>
      <w:r w:rsidRPr="00017532">
        <w:rPr>
          <w:rFonts w:cs="Times New Roman"/>
          <w:lang w:val="fr-CA"/>
        </w:rPr>
        <w:t>on comportement est véritablement criminel et expose le public à un danger réel et immédiat</w:t>
      </w:r>
      <w:r w:rsidR="00B029AB">
        <w:rPr>
          <w:rFonts w:cs="Times New Roman"/>
          <w:lang w:val="fr-CA"/>
        </w:rPr>
        <w:t> »</w:t>
      </w:r>
      <w:r w:rsidRPr="00017532">
        <w:rPr>
          <w:rFonts w:cs="Times New Roman"/>
          <w:lang w:val="fr-CA"/>
        </w:rPr>
        <w:t xml:space="preserve"> (par.</w:t>
      </w:r>
      <w:r w:rsidR="00B029AB">
        <w:rPr>
          <w:rFonts w:cs="Times New Roman"/>
          <w:lang w:val="fr-CA"/>
        </w:rPr>
        <w:t xml:space="preserve"> </w:t>
      </w:r>
      <w:r w:rsidRPr="00017532">
        <w:rPr>
          <w:rFonts w:cs="Times New Roman"/>
          <w:lang w:val="fr-CA"/>
        </w:rPr>
        <w:t>51). À cette extrémité — et pour la plupart des infractions d</w:t>
      </w:r>
      <w:r>
        <w:rPr>
          <w:rFonts w:cs="Times New Roman"/>
          <w:lang w:val="fr-CA"/>
        </w:rPr>
        <w:t>’</w:t>
      </w:r>
      <w:r w:rsidRPr="00017532">
        <w:rPr>
          <w:rFonts w:cs="Times New Roman"/>
          <w:lang w:val="fr-CA"/>
        </w:rPr>
        <w:t>ailleurs —, une peine carcérale de trois</w:t>
      </w:r>
      <w:r w:rsidR="00B029AB">
        <w:rPr>
          <w:rFonts w:cs="Times New Roman"/>
          <w:lang w:val="fr-CA"/>
        </w:rPr>
        <w:t xml:space="preserve"> </w:t>
      </w:r>
      <w:r w:rsidRPr="00017532">
        <w:rPr>
          <w:rFonts w:cs="Times New Roman"/>
          <w:lang w:val="fr-CA"/>
        </w:rPr>
        <w:t>ans peut être indiquée. Un peu plus loin dans le continuum, on retrouve la personne dont les actes sont moins graves et qui expose ses concitoyens à un danger moins grand; pour elle, une peine carcérale de trois</w:t>
      </w:r>
      <w:r w:rsidR="00B029AB">
        <w:rPr>
          <w:rFonts w:cs="Times New Roman"/>
          <w:lang w:val="fr-CA"/>
        </w:rPr>
        <w:t xml:space="preserve"> </w:t>
      </w:r>
      <w:r w:rsidRPr="00017532">
        <w:rPr>
          <w:rFonts w:cs="Times New Roman"/>
          <w:lang w:val="fr-CA"/>
        </w:rPr>
        <w:t xml:space="preserve">ans peut être disproportionnée </w:t>
      </w:r>
      <w:r w:rsidRPr="00017532">
        <w:rPr>
          <w:rFonts w:cs="Times New Roman"/>
          <w:lang w:val="fr-CA"/>
        </w:rPr>
        <w:lastRenderedPageBreak/>
        <w:t>sans l</w:t>
      </w:r>
      <w:r>
        <w:rPr>
          <w:rFonts w:cs="Times New Roman"/>
          <w:lang w:val="fr-CA"/>
        </w:rPr>
        <w:t>’</w:t>
      </w:r>
      <w:r w:rsidRPr="00017532">
        <w:rPr>
          <w:rFonts w:cs="Times New Roman"/>
          <w:lang w:val="fr-CA"/>
        </w:rPr>
        <w:t>être totalement. À l</w:t>
      </w:r>
      <w:r>
        <w:rPr>
          <w:rFonts w:cs="Times New Roman"/>
          <w:lang w:val="fr-CA"/>
        </w:rPr>
        <w:t>’</w:t>
      </w:r>
      <w:r w:rsidRPr="00017532">
        <w:rPr>
          <w:rFonts w:cs="Times New Roman"/>
          <w:lang w:val="fr-CA"/>
        </w:rPr>
        <w:t>autre extrémité du continuum, il y a le propriétaire responsable d</w:t>
      </w:r>
      <w:r>
        <w:rPr>
          <w:rFonts w:cs="Times New Roman"/>
          <w:lang w:val="fr-CA"/>
        </w:rPr>
        <w:t>’</w:t>
      </w:r>
      <w:r w:rsidRPr="00017532">
        <w:rPr>
          <w:rFonts w:cs="Times New Roman"/>
          <w:lang w:val="fr-CA"/>
        </w:rPr>
        <w:t>une arme, titulaire d</w:t>
      </w:r>
      <w:r>
        <w:rPr>
          <w:rFonts w:cs="Times New Roman"/>
          <w:lang w:val="fr-CA"/>
        </w:rPr>
        <w:t>’</w:t>
      </w:r>
      <w:r w:rsidRPr="00017532">
        <w:rPr>
          <w:rFonts w:cs="Times New Roman"/>
          <w:lang w:val="fr-CA"/>
        </w:rPr>
        <w:t>un permis, qui entrepose son arme à feu non chargée de façon sécuritaire avec des munitions à proximité, mais qui se méprend sur le lieu d</w:t>
      </w:r>
      <w:r>
        <w:rPr>
          <w:rFonts w:cs="Times New Roman"/>
          <w:lang w:val="fr-CA"/>
        </w:rPr>
        <w:t>’</w:t>
      </w:r>
      <w:r w:rsidRPr="00017532">
        <w:rPr>
          <w:rFonts w:cs="Times New Roman"/>
          <w:lang w:val="fr-CA"/>
        </w:rPr>
        <w:t>entreposage autorisé. Pour ce délinquant, une peine carcérale de trois</w:t>
      </w:r>
      <w:r w:rsidR="00B029AB">
        <w:rPr>
          <w:rFonts w:cs="Times New Roman"/>
          <w:lang w:val="fr-CA"/>
        </w:rPr>
        <w:t xml:space="preserve"> </w:t>
      </w:r>
      <w:r w:rsidRPr="00017532">
        <w:rPr>
          <w:rFonts w:cs="Times New Roman"/>
          <w:lang w:val="fr-CA"/>
        </w:rPr>
        <w:t xml:space="preserve">ans est totalement disproportionnée à la peine qui serait infligée conformément aux dispositions du </w:t>
      </w:r>
      <w:r w:rsidRPr="00017532">
        <w:rPr>
          <w:rFonts w:cs="Times New Roman"/>
          <w:i/>
          <w:lang w:val="fr-CA"/>
        </w:rPr>
        <w:t>Code criminel</w:t>
      </w:r>
      <w:r w:rsidRPr="00017532">
        <w:rPr>
          <w:rFonts w:cs="Times New Roman"/>
          <w:lang w:val="fr-CA"/>
        </w:rPr>
        <w:t xml:space="preserve"> sur la détermination de la peine. </w:t>
      </w:r>
    </w:p>
    <w:p w:rsidR="002A4851" w:rsidRPr="00017532" w:rsidRDefault="002A4851" w:rsidP="00A659A4">
      <w:pPr>
        <w:pStyle w:val="ParaNoNdepar-AltN"/>
        <w:rPr>
          <w:rFonts w:cs="Times New Roman"/>
          <w:lang w:val="fr-CA"/>
        </w:rPr>
      </w:pPr>
      <w:r w:rsidRPr="00017532">
        <w:rPr>
          <w:rFonts w:cs="Times New Roman"/>
          <w:lang w:val="fr-CA"/>
        </w:rPr>
        <w:t>Vu la faible culpabilité morale du délinquant dans cette situation et l</w:t>
      </w:r>
      <w:r>
        <w:rPr>
          <w:rFonts w:cs="Times New Roman"/>
          <w:lang w:val="fr-CA"/>
        </w:rPr>
        <w:t>’</w:t>
      </w:r>
      <w:r w:rsidRPr="00017532">
        <w:rPr>
          <w:rFonts w:cs="Times New Roman"/>
          <w:lang w:val="fr-CA"/>
        </w:rPr>
        <w:t>absence de préjudice ou de risque réel qu</w:t>
      </w:r>
      <w:r>
        <w:rPr>
          <w:rFonts w:cs="Times New Roman"/>
          <w:lang w:val="fr-CA"/>
        </w:rPr>
        <w:t>’</w:t>
      </w:r>
      <w:r w:rsidRPr="00017532">
        <w:rPr>
          <w:rFonts w:cs="Times New Roman"/>
          <w:lang w:val="fr-CA"/>
        </w:rPr>
        <w:t>un préjudice découle du comportement (l</w:t>
      </w:r>
      <w:r>
        <w:rPr>
          <w:rFonts w:cs="Times New Roman"/>
          <w:lang w:val="fr-CA"/>
        </w:rPr>
        <w:t>’</w:t>
      </w:r>
      <w:r w:rsidRPr="00017532">
        <w:rPr>
          <w:rFonts w:cs="Times New Roman"/>
          <w:lang w:val="fr-CA"/>
        </w:rPr>
        <w:t>entreposage de l</w:t>
      </w:r>
      <w:r>
        <w:rPr>
          <w:rFonts w:cs="Times New Roman"/>
          <w:lang w:val="fr-CA"/>
        </w:rPr>
        <w:t>’</w:t>
      </w:r>
      <w:r w:rsidRPr="00017532">
        <w:rPr>
          <w:rFonts w:cs="Times New Roman"/>
          <w:lang w:val="fr-CA"/>
        </w:rPr>
        <w:t>arme à feu dans un lieu de résidence plutôt qu</w:t>
      </w:r>
      <w:r>
        <w:rPr>
          <w:rFonts w:cs="Times New Roman"/>
          <w:lang w:val="fr-CA"/>
        </w:rPr>
        <w:t>’</w:t>
      </w:r>
      <w:r w:rsidRPr="00017532">
        <w:rPr>
          <w:rFonts w:cs="Times New Roman"/>
          <w:lang w:val="fr-CA"/>
        </w:rPr>
        <w:t>un autre), une peine carcérale de trois ans serait totalement disproportionnée. D</w:t>
      </w:r>
      <w:r>
        <w:rPr>
          <w:rFonts w:cs="Times New Roman"/>
          <w:lang w:val="fr-CA"/>
        </w:rPr>
        <w:t>’</w:t>
      </w:r>
      <w:r w:rsidRPr="00017532">
        <w:rPr>
          <w:rFonts w:cs="Times New Roman"/>
          <w:lang w:val="fr-CA"/>
        </w:rPr>
        <w:t>autres cas semblables peuvent être envisagés. Une personne peut hériter d</w:t>
      </w:r>
      <w:r>
        <w:rPr>
          <w:rFonts w:cs="Times New Roman"/>
          <w:lang w:val="fr-CA"/>
        </w:rPr>
        <w:t>’</w:t>
      </w:r>
      <w:r w:rsidRPr="00017532">
        <w:rPr>
          <w:rFonts w:cs="Times New Roman"/>
          <w:lang w:val="fr-CA"/>
        </w:rPr>
        <w:t>une arme à feu et commettre une infraction avant qu</w:t>
      </w:r>
      <w:r>
        <w:rPr>
          <w:rFonts w:cs="Times New Roman"/>
          <w:lang w:val="fr-CA"/>
        </w:rPr>
        <w:t>’</w:t>
      </w:r>
      <w:r w:rsidRPr="00017532">
        <w:rPr>
          <w:rFonts w:cs="Times New Roman"/>
          <w:lang w:val="fr-CA"/>
        </w:rPr>
        <w:t>elle ne prenne connaissance des exigences en matière de permis. Une épouse peut se trouver en possession de l</w:t>
      </w:r>
      <w:r>
        <w:rPr>
          <w:rFonts w:cs="Times New Roman"/>
          <w:lang w:val="fr-CA"/>
        </w:rPr>
        <w:t>’</w:t>
      </w:r>
      <w:r w:rsidRPr="00017532">
        <w:rPr>
          <w:rFonts w:cs="Times New Roman"/>
          <w:lang w:val="fr-CA"/>
        </w:rPr>
        <w:t>arme à feu de son époux et enfreindre le règlement. Il n</w:t>
      </w:r>
      <w:r>
        <w:rPr>
          <w:rFonts w:cs="Times New Roman"/>
          <w:lang w:val="fr-CA"/>
        </w:rPr>
        <w:t>’</w:t>
      </w:r>
      <w:r w:rsidRPr="00017532">
        <w:rPr>
          <w:rFonts w:cs="Times New Roman"/>
          <w:lang w:val="fr-CA"/>
        </w:rPr>
        <w:t>est pas nécessaire de s</w:t>
      </w:r>
      <w:r>
        <w:rPr>
          <w:rFonts w:cs="Times New Roman"/>
          <w:lang w:val="fr-CA"/>
        </w:rPr>
        <w:t>’</w:t>
      </w:r>
      <w:r w:rsidRPr="00017532">
        <w:rPr>
          <w:rFonts w:cs="Times New Roman"/>
          <w:lang w:val="fr-CA"/>
        </w:rPr>
        <w:t>en tenir à une hypothèse en particulier. Essentiellement, on peut prévoir que le par.</w:t>
      </w:r>
      <w:r w:rsidR="00B029AB">
        <w:rPr>
          <w:rFonts w:cs="Times New Roman"/>
          <w:lang w:val="fr-CA"/>
        </w:rPr>
        <w:t xml:space="preserve"> </w:t>
      </w:r>
      <w:r w:rsidRPr="00017532">
        <w:rPr>
          <w:rFonts w:cs="Times New Roman"/>
          <w:lang w:val="fr-CA"/>
        </w:rPr>
        <w:t>95(1) s</w:t>
      </w:r>
      <w:r>
        <w:rPr>
          <w:rFonts w:cs="Times New Roman"/>
          <w:lang w:val="fr-CA"/>
        </w:rPr>
        <w:t>’</w:t>
      </w:r>
      <w:r w:rsidRPr="00017532">
        <w:rPr>
          <w:rFonts w:cs="Times New Roman"/>
          <w:lang w:val="fr-CA"/>
        </w:rPr>
        <w:t>applique à des infractions réglementaires qui comportent une culpabilité morale minime, voire nulle, et qui n</w:t>
      </w:r>
      <w:r>
        <w:rPr>
          <w:rFonts w:cs="Times New Roman"/>
          <w:lang w:val="fr-CA"/>
        </w:rPr>
        <w:t>’</w:t>
      </w:r>
      <w:r w:rsidRPr="00017532">
        <w:rPr>
          <w:rFonts w:cs="Times New Roman"/>
          <w:lang w:val="fr-CA"/>
        </w:rPr>
        <w:t>exposent le public à aucun danger ou presque. Dans le cas de ces infractions, une peine carcérale de trois</w:t>
      </w:r>
      <w:r w:rsidR="00B029AB">
        <w:rPr>
          <w:rFonts w:cs="Times New Roman"/>
          <w:lang w:val="fr-CA"/>
        </w:rPr>
        <w:t xml:space="preserve"> </w:t>
      </w:r>
      <w:r w:rsidRPr="00017532">
        <w:rPr>
          <w:rFonts w:cs="Times New Roman"/>
          <w:lang w:val="fr-CA"/>
        </w:rPr>
        <w:t>ans est totalement disproportionnée à une peine juste et appropriée. Certes, les armes à feu sont foncièrement dangereuses, et l</w:t>
      </w:r>
      <w:r>
        <w:rPr>
          <w:rFonts w:cs="Times New Roman"/>
          <w:lang w:val="fr-CA"/>
        </w:rPr>
        <w:t>’</w:t>
      </w:r>
      <w:r w:rsidRPr="00017532">
        <w:rPr>
          <w:rFonts w:cs="Times New Roman"/>
          <w:lang w:val="fr-CA"/>
        </w:rPr>
        <w:t>État peut recourir à des sanctions pour signaler sa désapprobation des pratiques négligentes et décourager la méprise chez les propriétaires d</w:t>
      </w:r>
      <w:r>
        <w:rPr>
          <w:rFonts w:cs="Times New Roman"/>
          <w:lang w:val="fr-CA"/>
        </w:rPr>
        <w:t>’</w:t>
      </w:r>
      <w:r w:rsidRPr="00017532">
        <w:rPr>
          <w:rFonts w:cs="Times New Roman"/>
          <w:lang w:val="fr-CA"/>
        </w:rPr>
        <w:t>armes à feu. Or, infliger une peine de trois ans d</w:t>
      </w:r>
      <w:r>
        <w:rPr>
          <w:rFonts w:cs="Times New Roman"/>
          <w:lang w:val="fr-CA"/>
        </w:rPr>
        <w:t>’</w:t>
      </w:r>
      <w:r w:rsidRPr="00017532">
        <w:rPr>
          <w:rFonts w:cs="Times New Roman"/>
          <w:lang w:val="fr-CA"/>
        </w:rPr>
        <w:t xml:space="preserve">emprisonnement à une personne qui a essentiellement commis une </w:t>
      </w:r>
      <w:r w:rsidRPr="00017532">
        <w:rPr>
          <w:rFonts w:cs="Times New Roman"/>
          <w:lang w:val="fr-CA"/>
        </w:rPr>
        <w:lastRenderedPageBreak/>
        <w:t>infraction réglementaire déroge totalement aux normes de détermination de la peine énoncées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718 du </w:t>
      </w:r>
      <w:r w:rsidRPr="00017532">
        <w:rPr>
          <w:rFonts w:cs="Times New Roman"/>
          <w:i/>
          <w:lang w:val="fr-CA"/>
        </w:rPr>
        <w:t xml:space="preserve">Code criminel </w:t>
      </w:r>
      <w:r w:rsidRPr="00017532">
        <w:rPr>
          <w:rFonts w:cs="Times New Roman"/>
          <w:lang w:val="fr-CA"/>
        </w:rPr>
        <w:t>et aux attentes légitimes des citoyens dans une société libre et démocratique. Comme le conclut la Cour d</w:t>
      </w:r>
      <w:r>
        <w:rPr>
          <w:rFonts w:cs="Times New Roman"/>
          <w:lang w:val="fr-CA"/>
        </w:rPr>
        <w:t>’</w:t>
      </w:r>
      <w:r w:rsidRPr="00017532">
        <w:rPr>
          <w:rFonts w:cs="Times New Roman"/>
          <w:lang w:val="fr-CA"/>
        </w:rPr>
        <w:t>appel, il y a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discordance totale</w:t>
      </w:r>
      <w:r w:rsidR="00B029AB">
        <w:rPr>
          <w:rFonts w:cs="Times New Roman"/>
          <w:lang w:val="fr-CA"/>
        </w:rPr>
        <w:t> »</w:t>
      </w:r>
      <w:r w:rsidRPr="00017532">
        <w:rPr>
          <w:rFonts w:cs="Times New Roman"/>
          <w:lang w:val="fr-CA"/>
        </w:rPr>
        <w:t xml:space="preserve"> entre la gravité de l</w:t>
      </w:r>
      <w:r>
        <w:rPr>
          <w:rFonts w:cs="Times New Roman"/>
          <w:lang w:val="fr-CA"/>
        </w:rPr>
        <w:t>’</w:t>
      </w:r>
      <w:r w:rsidRPr="00017532">
        <w:rPr>
          <w:rFonts w:cs="Times New Roman"/>
          <w:lang w:val="fr-CA"/>
        </w:rPr>
        <w:t xml:space="preserve">infraction de </w:t>
      </w:r>
      <w:r>
        <w:rPr>
          <w:rFonts w:cs="Times New Roman"/>
          <w:lang w:val="fr-CA"/>
        </w:rPr>
        <w:t>type</w:t>
      </w:r>
      <w:r w:rsidRPr="00017532">
        <w:rPr>
          <w:rFonts w:cs="Times New Roman"/>
          <w:lang w:val="fr-CA"/>
        </w:rPr>
        <w:t xml:space="preserve"> réglementaire et la peine minimale obligatoire de trois</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emprisonnement (par.</w:t>
      </w:r>
      <w:r w:rsidR="00B029AB">
        <w:rPr>
          <w:rFonts w:cs="Times New Roman"/>
          <w:lang w:val="fr-CA"/>
        </w:rPr>
        <w:t xml:space="preserve"> </w:t>
      </w:r>
      <w:r w:rsidRPr="00017532">
        <w:rPr>
          <w:rFonts w:cs="Times New Roman"/>
          <w:lang w:val="fr-CA"/>
        </w:rPr>
        <w:t>176). Par conséquent, je conclus que le sous-al.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 contrevient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w:t>
      </w:r>
    </w:p>
    <w:p w:rsidR="002A4851" w:rsidRPr="00017532" w:rsidRDefault="002A4851" w:rsidP="00A659A4">
      <w:pPr>
        <w:pStyle w:val="ParaNoNdepar-AltN"/>
        <w:rPr>
          <w:rFonts w:cs="Times New Roman"/>
          <w:lang w:val="fr-CA"/>
        </w:rPr>
      </w:pPr>
      <w:r w:rsidRPr="00017532">
        <w:rPr>
          <w:rFonts w:cs="Times New Roman"/>
          <w:lang w:val="fr-CA"/>
        </w:rPr>
        <w:t>Signalons que l</w:t>
      </w:r>
      <w:r>
        <w:rPr>
          <w:rFonts w:cs="Times New Roman"/>
          <w:lang w:val="fr-CA"/>
        </w:rPr>
        <w:t>’</w:t>
      </w:r>
      <w:r w:rsidRPr="00017532">
        <w:rPr>
          <w:rFonts w:cs="Times New Roman"/>
          <w:lang w:val="fr-CA"/>
        </w:rPr>
        <w:t>infraction créée au par.</w:t>
      </w:r>
      <w:r w:rsidR="00B029AB">
        <w:rPr>
          <w:rFonts w:cs="Times New Roman"/>
          <w:lang w:val="fr-CA"/>
        </w:rPr>
        <w:t xml:space="preserve"> </w:t>
      </w:r>
      <w:r w:rsidRPr="00017532">
        <w:rPr>
          <w:rFonts w:cs="Times New Roman"/>
          <w:lang w:val="fr-CA"/>
        </w:rPr>
        <w:t>95(1) réprime des actes moins graves par rapport à d</w:t>
      </w:r>
      <w:r>
        <w:rPr>
          <w:rFonts w:cs="Times New Roman"/>
          <w:lang w:val="fr-CA"/>
        </w:rPr>
        <w:t>’</w:t>
      </w:r>
      <w:r w:rsidRPr="00017532">
        <w:rPr>
          <w:rFonts w:cs="Times New Roman"/>
          <w:lang w:val="fr-CA"/>
        </w:rPr>
        <w:t>autres crimes liés aux armes à feu qui appellent l</w:t>
      </w:r>
      <w:r>
        <w:rPr>
          <w:rFonts w:cs="Times New Roman"/>
          <w:lang w:val="fr-CA"/>
        </w:rPr>
        <w:t>’</w:t>
      </w:r>
      <w:r w:rsidRPr="00017532">
        <w:rPr>
          <w:rFonts w:cs="Times New Roman"/>
          <w:lang w:val="fr-CA"/>
        </w:rPr>
        <w:t>imposition d</w:t>
      </w:r>
      <w:r>
        <w:rPr>
          <w:rFonts w:cs="Times New Roman"/>
          <w:lang w:val="fr-CA"/>
        </w:rPr>
        <w:t>’</w:t>
      </w:r>
      <w:r w:rsidRPr="00017532">
        <w:rPr>
          <w:rFonts w:cs="Times New Roman"/>
          <w:lang w:val="fr-CA"/>
        </w:rPr>
        <w:t>une peine minimale obligatoire. Par exemple, dans l</w:t>
      </w:r>
      <w:r>
        <w:rPr>
          <w:rFonts w:cs="Times New Roman"/>
          <w:lang w:val="fr-CA"/>
        </w:rPr>
        <w:t>’</w:t>
      </w:r>
      <w:r w:rsidRPr="00017532">
        <w:rPr>
          <w:rFonts w:cs="Times New Roman"/>
          <w:lang w:val="fr-CA"/>
        </w:rPr>
        <w:t xml:space="preserve">arrêt </w:t>
      </w:r>
      <w:r w:rsidRPr="00017532">
        <w:rPr>
          <w:rFonts w:cs="Times New Roman"/>
          <w:i/>
          <w:lang w:val="fr-CA"/>
        </w:rPr>
        <w:t>Morrisey</w:t>
      </w:r>
      <w:r w:rsidRPr="00017532">
        <w:rPr>
          <w:rFonts w:cs="Times New Roman"/>
          <w:lang w:val="fr-CA"/>
        </w:rPr>
        <w:t>, la Cour a confirmé une peine minimale obligatoire de quatre</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emprisonnement pour l</w:t>
      </w:r>
      <w:r>
        <w:rPr>
          <w:rFonts w:cs="Times New Roman"/>
          <w:lang w:val="fr-CA"/>
        </w:rPr>
        <w:t>’</w:t>
      </w:r>
      <w:r w:rsidRPr="00017532">
        <w:rPr>
          <w:rFonts w:cs="Times New Roman"/>
          <w:lang w:val="fr-CA"/>
        </w:rPr>
        <w:t>infraction de négligence criminelle causant la mort par suite de l</w:t>
      </w:r>
      <w:r>
        <w:rPr>
          <w:rFonts w:cs="Times New Roman"/>
          <w:lang w:val="fr-CA"/>
        </w:rPr>
        <w:t>’</w:t>
      </w:r>
      <w:r w:rsidRPr="00017532">
        <w:rPr>
          <w:rFonts w:cs="Times New Roman"/>
          <w:lang w:val="fr-CA"/>
        </w:rPr>
        <w:t>usage d</w:t>
      </w:r>
      <w:r>
        <w:rPr>
          <w:rFonts w:cs="Times New Roman"/>
          <w:lang w:val="fr-CA"/>
        </w:rPr>
        <w:t>’</w:t>
      </w:r>
      <w:r w:rsidRPr="00017532">
        <w:rPr>
          <w:rFonts w:cs="Times New Roman"/>
          <w:lang w:val="fr-CA"/>
        </w:rPr>
        <w:t>une arme à feu. Contrairement à la disposition qui crée cette infraction, le par.</w:t>
      </w:r>
      <w:r w:rsidR="00B029AB">
        <w:rPr>
          <w:rFonts w:cs="Times New Roman"/>
          <w:lang w:val="fr-CA"/>
        </w:rPr>
        <w:t xml:space="preserve"> </w:t>
      </w:r>
      <w:r w:rsidRPr="00017532">
        <w:rPr>
          <w:rFonts w:cs="Times New Roman"/>
          <w:lang w:val="fr-CA"/>
        </w:rPr>
        <w:t>95(1) n</w:t>
      </w:r>
      <w:r>
        <w:rPr>
          <w:rFonts w:cs="Times New Roman"/>
          <w:lang w:val="fr-CA"/>
        </w:rPr>
        <w:t>’</w:t>
      </w:r>
      <w:r w:rsidRPr="00017532">
        <w:rPr>
          <w:rFonts w:cs="Times New Roman"/>
          <w:lang w:val="fr-CA"/>
        </w:rPr>
        <w:t>exige pas la preuve d</w:t>
      </w:r>
      <w:r>
        <w:rPr>
          <w:rFonts w:cs="Times New Roman"/>
          <w:lang w:val="fr-CA"/>
        </w:rPr>
        <w:t>’</w:t>
      </w:r>
      <w:r w:rsidRPr="00017532">
        <w:rPr>
          <w:rFonts w:cs="Times New Roman"/>
          <w:lang w:val="fr-CA"/>
        </w:rPr>
        <w:t>un préjudice, car l</w:t>
      </w:r>
      <w:r>
        <w:rPr>
          <w:rFonts w:cs="Times New Roman"/>
          <w:lang w:val="fr-CA"/>
        </w:rPr>
        <w:t>’</w:t>
      </w:r>
      <w:r w:rsidRPr="00017532">
        <w:rPr>
          <w:rFonts w:cs="Times New Roman"/>
          <w:lang w:val="fr-CA"/>
        </w:rPr>
        <w:t>infraction créée s</w:t>
      </w:r>
      <w:r>
        <w:rPr>
          <w:rFonts w:cs="Times New Roman"/>
          <w:lang w:val="fr-CA"/>
        </w:rPr>
        <w:t>’</w:t>
      </w:r>
      <w:r w:rsidRPr="00017532">
        <w:rPr>
          <w:rFonts w:cs="Times New Roman"/>
          <w:lang w:val="fr-CA"/>
        </w:rPr>
        <w:t>entend de la seule possession.</w:t>
      </w:r>
    </w:p>
    <w:p w:rsidR="002A4851" w:rsidRPr="00017532" w:rsidRDefault="002A4851" w:rsidP="00A659A4">
      <w:pPr>
        <w:pStyle w:val="ParaNoNdepar-AltN"/>
        <w:rPr>
          <w:rFonts w:cs="Times New Roman"/>
          <w:lang w:val="fr-CA"/>
        </w:rPr>
      </w:pPr>
      <w:r w:rsidRPr="00017532">
        <w:rPr>
          <w:rFonts w:cs="Times New Roman"/>
          <w:lang w:val="fr-CA"/>
        </w:rPr>
        <w:t>Les procureurs généraux du Canada et de l</w:t>
      </w:r>
      <w:r>
        <w:rPr>
          <w:rFonts w:cs="Times New Roman"/>
          <w:lang w:val="fr-CA"/>
        </w:rPr>
        <w:t>’</w:t>
      </w:r>
      <w:r w:rsidRPr="00017532">
        <w:rPr>
          <w:rFonts w:cs="Times New Roman"/>
          <w:lang w:val="fr-CA"/>
        </w:rPr>
        <w:t>Ontario soutiennent que la Cour d</w:t>
      </w:r>
      <w:r>
        <w:rPr>
          <w:rFonts w:cs="Times New Roman"/>
          <w:lang w:val="fr-CA"/>
        </w:rPr>
        <w:t>’</w:t>
      </w:r>
      <w:r w:rsidRPr="00017532">
        <w:rPr>
          <w:rFonts w:cs="Times New Roman"/>
          <w:lang w:val="fr-CA"/>
        </w:rPr>
        <w:t>appel a tort de ne pas tenir compte de la faculté du ministère public d</w:t>
      </w:r>
      <w:r>
        <w:rPr>
          <w:rFonts w:cs="Times New Roman"/>
          <w:lang w:val="fr-CA"/>
        </w:rPr>
        <w:t>’</w:t>
      </w:r>
      <w:r w:rsidRPr="00017532">
        <w:rPr>
          <w:rFonts w:cs="Times New Roman"/>
          <w:lang w:val="fr-CA"/>
        </w:rPr>
        <w:t>opter pour la procédure sommaire et d</w:t>
      </w:r>
      <w:r>
        <w:rPr>
          <w:rFonts w:cs="Times New Roman"/>
          <w:lang w:val="fr-CA"/>
        </w:rPr>
        <w:t>’</w:t>
      </w:r>
      <w:r w:rsidRPr="00017532">
        <w:rPr>
          <w:rFonts w:cs="Times New Roman"/>
          <w:lang w:val="fr-CA"/>
        </w:rPr>
        <w:t>écarter ainsi la peine minimale obligatoire applicable sur mise en accusation. Ils font valoir que la nature mixte de l</w:t>
      </w:r>
      <w:r>
        <w:rPr>
          <w:rFonts w:cs="Times New Roman"/>
          <w:lang w:val="fr-CA"/>
        </w:rPr>
        <w:t>’</w:t>
      </w:r>
      <w:r w:rsidRPr="00017532">
        <w:rPr>
          <w:rFonts w:cs="Times New Roman"/>
          <w:lang w:val="fr-CA"/>
        </w:rPr>
        <w:t>infraction constitue un élément à considérer pour apprécier le risque que l</w:t>
      </w:r>
      <w:r>
        <w:rPr>
          <w:rFonts w:cs="Times New Roman"/>
          <w:lang w:val="fr-CA"/>
        </w:rPr>
        <w:t>’</w:t>
      </w:r>
      <w:r w:rsidRPr="00017532">
        <w:rPr>
          <w:rFonts w:cs="Times New Roman"/>
          <w:lang w:val="fr-CA"/>
        </w:rPr>
        <w:t>application générale de la disposition donne lieu à l</w:t>
      </w:r>
      <w:r>
        <w:rPr>
          <w:rFonts w:cs="Times New Roman"/>
          <w:lang w:val="fr-CA"/>
        </w:rPr>
        <w:t>’</w:t>
      </w:r>
      <w:r w:rsidRPr="00017532">
        <w:rPr>
          <w:rFonts w:cs="Times New Roman"/>
          <w:lang w:val="fr-CA"/>
        </w:rPr>
        <w:t>infliction d</w:t>
      </w:r>
      <w:r>
        <w:rPr>
          <w:rFonts w:cs="Times New Roman"/>
          <w:lang w:val="fr-CA"/>
        </w:rPr>
        <w:t>’</w:t>
      </w:r>
      <w:r w:rsidRPr="00017532">
        <w:rPr>
          <w:rFonts w:cs="Times New Roman"/>
          <w:lang w:val="fr-CA"/>
        </w:rPr>
        <w:t>une peine totalement disproportionnée. En d</w:t>
      </w:r>
      <w:r>
        <w:rPr>
          <w:rFonts w:cs="Times New Roman"/>
          <w:lang w:val="fr-CA"/>
        </w:rPr>
        <w:t>’</w:t>
      </w:r>
      <w:r w:rsidRPr="00017532">
        <w:rPr>
          <w:rFonts w:cs="Times New Roman"/>
          <w:lang w:val="fr-CA"/>
        </w:rPr>
        <w:t xml:space="preserve">autres termes, ils prétendent que le fait que le ministère public opte pour la procédure sommaire et écarte du coup la peine minimale obligatoire empêche que soit </w:t>
      </w:r>
      <w:r w:rsidRPr="00017532">
        <w:rPr>
          <w:rFonts w:cs="Times New Roman"/>
          <w:lang w:val="fr-CA"/>
        </w:rPr>
        <w:lastRenderedPageBreak/>
        <w:t>infligée, en application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95, une peine totalement disproportionnée lorsque le comportement se situe à l</w:t>
      </w:r>
      <w:r>
        <w:rPr>
          <w:rFonts w:cs="Times New Roman"/>
          <w:lang w:val="fr-CA"/>
        </w:rPr>
        <w:t>’</w:t>
      </w:r>
      <w:r w:rsidRPr="00017532">
        <w:rPr>
          <w:rFonts w:cs="Times New Roman"/>
          <w:lang w:val="fr-CA"/>
        </w:rPr>
        <w:t>extrémité du continuum qui correspond aux infractions les moins graves.</w:t>
      </w:r>
    </w:p>
    <w:p w:rsidR="002A4851" w:rsidRPr="00017532" w:rsidRDefault="002A4851" w:rsidP="00A659A4">
      <w:pPr>
        <w:pStyle w:val="ParaNoNdepar-AltN"/>
        <w:rPr>
          <w:rFonts w:cs="Times New Roman"/>
          <w:lang w:val="fr-CA"/>
        </w:rPr>
      </w:pPr>
      <w:r w:rsidRPr="00017532">
        <w:rPr>
          <w:rFonts w:cs="Times New Roman"/>
          <w:lang w:val="fr-CA"/>
        </w:rPr>
        <w:t>Je ne peux être d</w:t>
      </w:r>
      <w:r>
        <w:rPr>
          <w:rFonts w:cs="Times New Roman"/>
          <w:lang w:val="fr-CA"/>
        </w:rPr>
        <w:t>’</w:t>
      </w:r>
      <w:r w:rsidRPr="00017532">
        <w:rPr>
          <w:rFonts w:cs="Times New Roman"/>
          <w:lang w:val="fr-CA"/>
        </w:rPr>
        <w:t>accord. Faire droit à cette thèse revient à substituer à la tenue par un tribunal indépendant et impartial d</w:t>
      </w:r>
      <w:r>
        <w:rPr>
          <w:rFonts w:cs="Times New Roman"/>
          <w:lang w:val="fr-CA"/>
        </w:rPr>
        <w:t>’</w:t>
      </w:r>
      <w:r w:rsidRPr="00017532">
        <w:rPr>
          <w:rFonts w:cs="Times New Roman"/>
          <w:lang w:val="fr-CA"/>
        </w:rPr>
        <w:t>une audience publique sur la constitutionnalité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95 la décision discrétionnaire d</w:t>
      </w:r>
      <w:r>
        <w:rPr>
          <w:rFonts w:cs="Times New Roman"/>
          <w:lang w:val="fr-CA"/>
        </w:rPr>
        <w:t>’</w:t>
      </w:r>
      <w:r w:rsidRPr="00017532">
        <w:rPr>
          <w:rFonts w:cs="Times New Roman"/>
          <w:lang w:val="fr-CA"/>
        </w:rPr>
        <w:t>un poursuivant dont les intérêts sont opposés à ceux de l</w:t>
      </w:r>
      <w:r>
        <w:rPr>
          <w:rFonts w:cs="Times New Roman"/>
          <w:lang w:val="fr-CA"/>
        </w:rPr>
        <w:t>’</w:t>
      </w:r>
      <w:r w:rsidRPr="00017532">
        <w:rPr>
          <w:rFonts w:cs="Times New Roman"/>
          <w:lang w:val="fr-CA"/>
        </w:rPr>
        <w:t>accusé.</w:t>
      </w:r>
    </w:p>
    <w:p w:rsidR="002A4851" w:rsidRPr="00017532" w:rsidRDefault="002A4851" w:rsidP="00A659A4">
      <w:pPr>
        <w:pStyle w:val="ParaNoNdepar-AltN"/>
        <w:rPr>
          <w:rFonts w:cs="Times New Roman"/>
          <w:lang w:val="fr-CA"/>
        </w:rPr>
      </w:pPr>
      <w:r w:rsidRPr="00017532">
        <w:rPr>
          <w:rFonts w:cs="Times New Roman"/>
          <w:lang w:val="fr-CA"/>
        </w:rPr>
        <w:t>La détermination de la peine relève foncièrement du pouvoir judiciaire. C</w:t>
      </w:r>
      <w:r>
        <w:rPr>
          <w:rFonts w:cs="Times New Roman"/>
          <w:lang w:val="fr-CA"/>
        </w:rPr>
        <w:t>’</w:t>
      </w:r>
      <w:r w:rsidRPr="00017532">
        <w:rPr>
          <w:rFonts w:cs="Times New Roman"/>
          <w:lang w:val="fr-CA"/>
        </w:rPr>
        <w:t>est aux tribunaux que le législateur dicte l</w:t>
      </w:r>
      <w:r>
        <w:rPr>
          <w:rFonts w:cs="Times New Roman"/>
          <w:lang w:val="fr-CA"/>
        </w:rPr>
        <w:t>’</w:t>
      </w:r>
      <w:r w:rsidRPr="00017532">
        <w:rPr>
          <w:rFonts w:cs="Times New Roman"/>
          <w:lang w:val="fr-CA"/>
        </w:rPr>
        <w:t>imposition d</w:t>
      </w:r>
      <w:r>
        <w:rPr>
          <w:rFonts w:cs="Times New Roman"/>
          <w:lang w:val="fr-CA"/>
        </w:rPr>
        <w:t>’</w:t>
      </w:r>
      <w:r w:rsidRPr="00017532">
        <w:rPr>
          <w:rFonts w:cs="Times New Roman"/>
          <w:lang w:val="fr-CA"/>
        </w:rPr>
        <w:t>une peine minimale obligatoire d</w:t>
      </w:r>
      <w:r>
        <w:rPr>
          <w:rFonts w:cs="Times New Roman"/>
          <w:lang w:val="fr-CA"/>
        </w:rPr>
        <w:t>’</w:t>
      </w:r>
      <w:r w:rsidRPr="00017532">
        <w:rPr>
          <w:rFonts w:cs="Times New Roman"/>
          <w:lang w:val="fr-CA"/>
        </w:rPr>
        <w:t>emprisonnement, et c</w:t>
      </w:r>
      <w:r>
        <w:rPr>
          <w:rFonts w:cs="Times New Roman"/>
          <w:lang w:val="fr-CA"/>
        </w:rPr>
        <w:t>’</w:t>
      </w:r>
      <w:r w:rsidRPr="00017532">
        <w:rPr>
          <w:rFonts w:cs="Times New Roman"/>
          <w:lang w:val="fr-CA"/>
        </w:rPr>
        <w:t>est à eux qu</w:t>
      </w:r>
      <w:r>
        <w:rPr>
          <w:rFonts w:cs="Times New Roman"/>
          <w:lang w:val="fr-CA"/>
        </w:rPr>
        <w:t>’</w:t>
      </w:r>
      <w:r w:rsidRPr="00017532">
        <w:rPr>
          <w:rFonts w:cs="Times New Roman"/>
          <w:lang w:val="fr-CA"/>
        </w:rPr>
        <w:t>il incombe d</w:t>
      </w:r>
      <w:r>
        <w:rPr>
          <w:rFonts w:cs="Times New Roman"/>
          <w:lang w:val="fr-CA"/>
        </w:rPr>
        <w:t>’</w:t>
      </w:r>
      <w:r w:rsidRPr="00017532">
        <w:rPr>
          <w:rFonts w:cs="Times New Roman"/>
          <w:lang w:val="fr-CA"/>
        </w:rPr>
        <w:t>examiner attentivement la constitutionnalité de la disposition. La prétention du ministère public invite en fait à déléguer l</w:t>
      </w:r>
      <w:r>
        <w:rPr>
          <w:rFonts w:cs="Times New Roman"/>
          <w:lang w:val="fr-CA"/>
        </w:rPr>
        <w:t>’</w:t>
      </w:r>
      <w:r w:rsidRPr="00017532">
        <w:rPr>
          <w:rFonts w:cs="Times New Roman"/>
          <w:lang w:val="fr-CA"/>
        </w:rPr>
        <w:t>obligation constitutionnelle des tribunaux aux poursuivants — des salariés de l</w:t>
      </w:r>
      <w:r>
        <w:rPr>
          <w:rFonts w:cs="Times New Roman"/>
          <w:lang w:val="fr-CA"/>
        </w:rPr>
        <w:t>’</w:t>
      </w:r>
      <w:r w:rsidRPr="00017532">
        <w:rPr>
          <w:rFonts w:cs="Times New Roman"/>
          <w:lang w:val="fr-CA"/>
        </w:rPr>
        <w:t>État —, ce qui ne soustrait pas l</w:t>
      </w:r>
      <w:r>
        <w:rPr>
          <w:rFonts w:cs="Times New Roman"/>
          <w:lang w:val="fr-CA"/>
        </w:rPr>
        <w:t>’</w:t>
      </w:r>
      <w:r w:rsidRPr="00017532">
        <w:rPr>
          <w:rFonts w:cs="Times New Roman"/>
          <w:lang w:val="fr-CA"/>
        </w:rPr>
        <w:t>accusé au risque de se voir infliger une peine totalement disproportionnée.</w:t>
      </w:r>
    </w:p>
    <w:p w:rsidR="002A4851" w:rsidRPr="00017532" w:rsidRDefault="002A4851" w:rsidP="00A659A4">
      <w:pPr>
        <w:pStyle w:val="ParaNoNdepar-AltN"/>
        <w:rPr>
          <w:rFonts w:cs="Times New Roman"/>
          <w:lang w:val="fr-CA"/>
        </w:rPr>
      </w:pPr>
      <w:r w:rsidRPr="00017532">
        <w:rPr>
          <w:rFonts w:cs="Times New Roman"/>
          <w:lang w:val="fr-CA"/>
        </w:rPr>
        <w:t>Dans l</w:t>
      </w:r>
      <w:r>
        <w:rPr>
          <w:rFonts w:cs="Times New Roman"/>
          <w:lang w:val="fr-CA"/>
        </w:rPr>
        <w:t>’</w:t>
      </w:r>
      <w:r w:rsidRPr="00017532">
        <w:rPr>
          <w:rFonts w:cs="Times New Roman"/>
          <w:lang w:val="fr-CA"/>
        </w:rPr>
        <w:t xml:space="preserve">arrêt </w:t>
      </w:r>
      <w:r w:rsidRPr="00017532">
        <w:rPr>
          <w:rFonts w:cs="Times New Roman"/>
          <w:i/>
          <w:lang w:val="fr-CA"/>
        </w:rPr>
        <w:t>Smith</w:t>
      </w:r>
      <w:r w:rsidRPr="00017532">
        <w:rPr>
          <w:rFonts w:cs="Times New Roman"/>
          <w:lang w:val="fr-CA"/>
        </w:rPr>
        <w:t>,</w:t>
      </w:r>
      <w:r w:rsidRPr="00017532">
        <w:rPr>
          <w:rFonts w:cs="Times New Roman"/>
          <w:i/>
          <w:lang w:val="fr-CA"/>
        </w:rPr>
        <w:t xml:space="preserve"> </w:t>
      </w:r>
      <w:r w:rsidRPr="00017532">
        <w:rPr>
          <w:rFonts w:cs="Times New Roman"/>
          <w:lang w:val="fr-CA"/>
        </w:rPr>
        <w:t>le juge</w:t>
      </w:r>
      <w:r w:rsidR="00B029AB">
        <w:rPr>
          <w:rFonts w:cs="Times New Roman"/>
          <w:lang w:val="fr-CA"/>
        </w:rPr>
        <w:t xml:space="preserve"> </w:t>
      </w:r>
      <w:r w:rsidRPr="00017532">
        <w:rPr>
          <w:rFonts w:cs="Times New Roman"/>
          <w:lang w:val="fr-CA"/>
        </w:rPr>
        <w:t>Lamer, au nom des juges majoritaires de la Cour, rejette fermement la thèse avancée</w:t>
      </w:r>
      <w:r w:rsidR="00B029AB">
        <w:rPr>
          <w:rFonts w:cs="Times New Roman"/>
          <w:lang w:val="fr-CA"/>
        </w:rPr>
        <w:t> :</w:t>
      </w:r>
    </w:p>
    <w:p w:rsidR="002A4851" w:rsidRPr="00017532" w:rsidRDefault="002A4851" w:rsidP="00A659A4">
      <w:pPr>
        <w:pStyle w:val="Citation-AltC"/>
        <w:ind w:hanging="1166"/>
        <w:rPr>
          <w:lang w:val="fr-CA"/>
        </w:rPr>
      </w:pPr>
      <w:r>
        <w:rPr>
          <w:lang w:val="fr-CA"/>
        </w:rPr>
        <w:tab/>
      </w:r>
      <w:r w:rsidR="00205E49">
        <w:rPr>
          <w:lang w:val="fr-CA"/>
        </w:rPr>
        <w:tab/>
      </w:r>
      <w:r w:rsidRPr="00017532">
        <w:rPr>
          <w:lang w:val="fr-CA"/>
        </w:rPr>
        <w:t xml:space="preserve">À mon avis, </w:t>
      </w:r>
      <w:r w:rsidRPr="00017532">
        <w:rPr>
          <w:u w:val="single"/>
          <w:lang w:val="fr-CA"/>
        </w:rPr>
        <w:t>l</w:t>
      </w:r>
      <w:r>
        <w:rPr>
          <w:u w:val="single"/>
          <w:lang w:val="fr-CA"/>
        </w:rPr>
        <w:t>’</w:t>
      </w:r>
      <w:r w:rsidRPr="00017532">
        <w:rPr>
          <w:u w:val="single"/>
          <w:lang w:val="fr-CA"/>
        </w:rPr>
        <w:t>article ne peut pas être sauvegardé en invoquant ce pouvoir discrétionnaire qu</w:t>
      </w:r>
      <w:r>
        <w:rPr>
          <w:u w:val="single"/>
          <w:lang w:val="fr-CA"/>
        </w:rPr>
        <w:t>’</w:t>
      </w:r>
      <w:r w:rsidRPr="00017532">
        <w:rPr>
          <w:u w:val="single"/>
          <w:lang w:val="fr-CA"/>
        </w:rPr>
        <w:t xml:space="preserve">a le ministère public de ne pas appliquer la loi dans les cas où il estime que son application entraînerait une violation de la </w:t>
      </w:r>
      <w:r w:rsidRPr="00017532">
        <w:rPr>
          <w:i/>
          <w:u w:val="single"/>
          <w:lang w:val="fr-CA"/>
        </w:rPr>
        <w:t>Charte</w:t>
      </w:r>
      <w:r w:rsidRPr="00017532">
        <w:rPr>
          <w:lang w:val="fr-CA"/>
        </w:rPr>
        <w:t>. Ce serait là ignorer totalement l</w:t>
      </w:r>
      <w:r>
        <w:rPr>
          <w:lang w:val="fr-CA"/>
        </w:rPr>
        <w:t>’</w:t>
      </w:r>
      <w:r w:rsidRPr="00017532">
        <w:rPr>
          <w:lang w:val="fr-CA"/>
        </w:rPr>
        <w:t>art.</w:t>
      </w:r>
      <w:r w:rsidR="00B029AB">
        <w:rPr>
          <w:lang w:val="fr-CA"/>
        </w:rPr>
        <w:t xml:space="preserve"> </w:t>
      </w:r>
      <w:r w:rsidRPr="00017532">
        <w:rPr>
          <w:lang w:val="fr-CA"/>
        </w:rPr>
        <w:t xml:space="preserve">52 de la </w:t>
      </w:r>
      <w:r w:rsidRPr="00017532">
        <w:rPr>
          <w:i/>
          <w:lang w:val="fr-CA"/>
        </w:rPr>
        <w:t>Loi constitutionnelle de</w:t>
      </w:r>
      <w:r w:rsidR="00B029AB">
        <w:rPr>
          <w:i/>
          <w:lang w:val="fr-CA"/>
        </w:rPr>
        <w:t xml:space="preserve"> </w:t>
      </w:r>
      <w:r w:rsidRPr="00017532">
        <w:rPr>
          <w:i/>
          <w:lang w:val="fr-CA"/>
        </w:rPr>
        <w:t>1982</w:t>
      </w:r>
      <w:r w:rsidRPr="00017532">
        <w:rPr>
          <w:lang w:val="fr-CA"/>
        </w:rPr>
        <w:t xml:space="preserve"> qui porte que la Constitution rend inopérantes les dispositions incompatibles de toute autre règle de droit </w:t>
      </w:r>
      <w:r w:rsidRPr="00017532">
        <w:rPr>
          <w:u w:val="single"/>
          <w:lang w:val="fr-CA"/>
        </w:rPr>
        <w:t>et les tribunaux ont le devoir de déclarer qu</w:t>
      </w:r>
      <w:r>
        <w:rPr>
          <w:u w:val="single"/>
          <w:lang w:val="fr-CA"/>
        </w:rPr>
        <w:t>’</w:t>
      </w:r>
      <w:r w:rsidRPr="00017532">
        <w:rPr>
          <w:u w:val="single"/>
          <w:lang w:val="fr-CA"/>
        </w:rPr>
        <w:t xml:space="preserve">il en est ainsi; ils ne peuvent laisser </w:t>
      </w:r>
      <w:r w:rsidRPr="00017532">
        <w:rPr>
          <w:u w:val="single"/>
          <w:lang w:val="fr-CA"/>
        </w:rPr>
        <w:lastRenderedPageBreak/>
        <w:t>ni au ministère public ni à personne d</w:t>
      </w:r>
      <w:r>
        <w:rPr>
          <w:u w:val="single"/>
          <w:lang w:val="fr-CA"/>
        </w:rPr>
        <w:t>’</w:t>
      </w:r>
      <w:r w:rsidRPr="00017532">
        <w:rPr>
          <w:u w:val="single"/>
          <w:lang w:val="fr-CA"/>
        </w:rPr>
        <w:t>autre le soin d</w:t>
      </w:r>
      <w:r>
        <w:rPr>
          <w:u w:val="single"/>
          <w:lang w:val="fr-CA"/>
        </w:rPr>
        <w:t>’</w:t>
      </w:r>
      <w:r w:rsidRPr="00017532">
        <w:rPr>
          <w:u w:val="single"/>
          <w:lang w:val="fr-CA"/>
        </w:rPr>
        <w:t>éviter une violation</w:t>
      </w:r>
      <w:r w:rsidRPr="00017532">
        <w:rPr>
          <w:lang w:val="fr-CA"/>
        </w:rPr>
        <w:t>. [Je souligne</w:t>
      </w:r>
      <w:r w:rsidR="00205E49">
        <w:rPr>
          <w:lang w:val="fr-CA"/>
        </w:rPr>
        <w:t>; p. 1078</w:t>
      </w:r>
      <w:r w:rsidRPr="00017532">
        <w:rPr>
          <w:lang w:val="fr-CA"/>
        </w:rPr>
        <w:t xml:space="preserve">.]  </w:t>
      </w:r>
    </w:p>
    <w:p w:rsidR="002A4851" w:rsidRPr="00017532" w:rsidRDefault="002A4851" w:rsidP="00A659A4">
      <w:pPr>
        <w:pStyle w:val="ParaNoNdepar-AltN"/>
        <w:rPr>
          <w:rFonts w:cs="Times New Roman"/>
          <w:lang w:val="fr-CA"/>
        </w:rPr>
      </w:pPr>
      <w:r w:rsidRPr="00017532">
        <w:rPr>
          <w:rFonts w:cs="Times New Roman"/>
          <w:lang w:val="fr-CA"/>
        </w:rPr>
        <w:t>Récemment, dans l</w:t>
      </w:r>
      <w:r>
        <w:rPr>
          <w:rFonts w:cs="Times New Roman"/>
          <w:lang w:val="fr-CA"/>
        </w:rPr>
        <w:t>’</w:t>
      </w:r>
      <w:r w:rsidRPr="00017532">
        <w:rPr>
          <w:rFonts w:cs="Times New Roman"/>
          <w:lang w:val="fr-CA"/>
        </w:rPr>
        <w:t xml:space="preserve">arrêt </w:t>
      </w:r>
      <w:r w:rsidRPr="00017532">
        <w:rPr>
          <w:rFonts w:cs="Times New Roman"/>
          <w:i/>
          <w:lang w:val="fr-CA"/>
        </w:rPr>
        <w:t>R. c. Anderson</w:t>
      </w:r>
      <w:r w:rsidRPr="00017532">
        <w:rPr>
          <w:rFonts w:cs="Times New Roman"/>
          <w:lang w:val="fr-CA"/>
        </w:rPr>
        <w:t>, 2014 CSC 41, [2014] 2 R.C.S. 167, la Cour examinait la distinction entre la fonction du poursuivant qui exerce son pouvoir discrétionnaire d</w:t>
      </w:r>
      <w:r>
        <w:rPr>
          <w:rFonts w:cs="Times New Roman"/>
          <w:lang w:val="fr-CA"/>
        </w:rPr>
        <w:t>’</w:t>
      </w:r>
      <w:r w:rsidRPr="00017532">
        <w:rPr>
          <w:rFonts w:cs="Times New Roman"/>
          <w:lang w:val="fr-CA"/>
        </w:rPr>
        <w:t>opter pour la procédure sommaire ou la mise en accusation et la fonction du tribunal qui consiste à déterminer la peine. Elle a souligné que la détermination de la peine relève du judiciaire et affirmé que l</w:t>
      </w:r>
      <w:r>
        <w:rPr>
          <w:rFonts w:cs="Times New Roman"/>
          <w:lang w:val="fr-CA"/>
        </w:rPr>
        <w:t>’</w:t>
      </w:r>
      <w:r w:rsidRPr="00017532">
        <w:rPr>
          <w:rFonts w:cs="Times New Roman"/>
          <w:lang w:val="fr-CA"/>
        </w:rPr>
        <w:t>obligation faite au tribunal par un régime de peine minimale obligatoire d</w:t>
      </w:r>
      <w:r>
        <w:rPr>
          <w:rFonts w:cs="Times New Roman"/>
          <w:lang w:val="fr-CA"/>
        </w:rPr>
        <w:t>’</w:t>
      </w:r>
      <w:r w:rsidRPr="00017532">
        <w:rPr>
          <w:rFonts w:cs="Times New Roman"/>
          <w:lang w:val="fr-CA"/>
        </w:rPr>
        <w:t>infliger une peine disproportionnée ne modifie pas la fonction du poursuivant lorsqu</w:t>
      </w:r>
      <w:r>
        <w:rPr>
          <w:rFonts w:cs="Times New Roman"/>
          <w:lang w:val="fr-CA"/>
        </w:rPr>
        <w:t>’</w:t>
      </w:r>
      <w:r w:rsidRPr="00017532">
        <w:rPr>
          <w:rFonts w:cs="Times New Roman"/>
          <w:lang w:val="fr-CA"/>
        </w:rPr>
        <w:t>il s</w:t>
      </w:r>
      <w:r>
        <w:rPr>
          <w:rFonts w:cs="Times New Roman"/>
          <w:lang w:val="fr-CA"/>
        </w:rPr>
        <w:t>’</w:t>
      </w:r>
      <w:r w:rsidRPr="00017532">
        <w:rPr>
          <w:rFonts w:cs="Times New Roman"/>
          <w:lang w:val="fr-CA"/>
        </w:rPr>
        <w:t>agit de choisir le mode de poursuite. Voici les explications du juge</w:t>
      </w:r>
      <w:r w:rsidR="00B029AB">
        <w:rPr>
          <w:rFonts w:cs="Times New Roman"/>
          <w:lang w:val="fr-CA"/>
        </w:rPr>
        <w:t xml:space="preserve"> </w:t>
      </w:r>
      <w:r w:rsidRPr="00017532">
        <w:rPr>
          <w:rFonts w:cs="Times New Roman"/>
          <w:lang w:val="fr-CA"/>
        </w:rPr>
        <w:t>Moldaver, au nom des juges unanimes de la Cour</w:t>
      </w:r>
      <w:r w:rsidR="00B029AB">
        <w:rPr>
          <w:rFonts w:cs="Times New Roman"/>
          <w:lang w:val="fr-CA"/>
        </w:rPr>
        <w:t> :</w:t>
      </w:r>
      <w:r w:rsidRPr="00017532">
        <w:rPr>
          <w:rFonts w:cs="Times New Roman"/>
          <w:lang w:val="fr-CA"/>
        </w:rPr>
        <w:t xml:space="preserve"> </w:t>
      </w:r>
    </w:p>
    <w:p w:rsidR="002A4851" w:rsidRPr="00017532" w:rsidRDefault="002A4851" w:rsidP="00A659A4">
      <w:pPr>
        <w:pStyle w:val="Citation-AltC"/>
        <w:ind w:hanging="1166"/>
        <w:rPr>
          <w:lang w:val="fr-CA"/>
        </w:rPr>
      </w:pPr>
      <w:r>
        <w:rPr>
          <w:lang w:val="fr-CA"/>
        </w:rPr>
        <w:tab/>
      </w:r>
      <w:r w:rsidRPr="00017532">
        <w:rPr>
          <w:lang w:val="fr-CA"/>
        </w:rPr>
        <w:t>L</w:t>
      </w:r>
      <w:r>
        <w:rPr>
          <w:lang w:val="fr-CA"/>
        </w:rPr>
        <w:t>’</w:t>
      </w:r>
      <w:r w:rsidRPr="00017532">
        <w:rPr>
          <w:lang w:val="fr-CA"/>
        </w:rPr>
        <w:t>argument de M.</w:t>
      </w:r>
      <w:r w:rsidR="00B029AB">
        <w:rPr>
          <w:lang w:val="fr-CA"/>
        </w:rPr>
        <w:t xml:space="preserve"> </w:t>
      </w:r>
      <w:r w:rsidRPr="00017532">
        <w:rPr>
          <w:lang w:val="fr-CA"/>
        </w:rPr>
        <w:t xml:space="preserve">Anderson assimile le devoir du juge à celui du poursuivant, </w:t>
      </w:r>
      <w:r w:rsidRPr="00017532">
        <w:rPr>
          <w:u w:val="single"/>
          <w:lang w:val="fr-CA"/>
        </w:rPr>
        <w:t>mais aucun principe de droit ne permet d</w:t>
      </w:r>
      <w:r>
        <w:rPr>
          <w:u w:val="single"/>
          <w:lang w:val="fr-CA"/>
        </w:rPr>
        <w:t>’</w:t>
      </w:r>
      <w:r w:rsidRPr="00017532">
        <w:rPr>
          <w:u w:val="single"/>
          <w:lang w:val="fr-CA"/>
        </w:rPr>
        <w:t>assimiler leurs rôles distincts dans le processus de détermination de la peine</w:t>
      </w:r>
      <w:r w:rsidRPr="00017532">
        <w:rPr>
          <w:lang w:val="fr-CA"/>
        </w:rPr>
        <w:t xml:space="preserve">. Il appartient </w:t>
      </w:r>
      <w:r w:rsidRPr="00017532">
        <w:rPr>
          <w:i/>
          <w:lang w:val="fr-CA"/>
        </w:rPr>
        <w:t>au juge</w:t>
      </w:r>
      <w:r w:rsidRPr="00017532">
        <w:rPr>
          <w:lang w:val="fr-CA"/>
        </w:rPr>
        <w:t xml:space="preserve"> d</w:t>
      </w:r>
      <w:r>
        <w:rPr>
          <w:lang w:val="fr-CA"/>
        </w:rPr>
        <w:t>’</w:t>
      </w:r>
      <w:r w:rsidRPr="00017532">
        <w:rPr>
          <w:lang w:val="fr-CA"/>
        </w:rPr>
        <w:t xml:space="preserve">infliger la peine; il </w:t>
      </w:r>
      <w:r w:rsidRPr="00017532">
        <w:rPr>
          <w:i/>
          <w:lang w:val="fr-CA"/>
        </w:rPr>
        <w:t>lui</w:t>
      </w:r>
      <w:r w:rsidRPr="00017532">
        <w:rPr>
          <w:lang w:val="fr-CA"/>
        </w:rPr>
        <w:t xml:space="preserve"> appartient également d</w:t>
      </w:r>
      <w:r>
        <w:rPr>
          <w:lang w:val="fr-CA"/>
        </w:rPr>
        <w:t>’</w:t>
      </w:r>
      <w:r w:rsidRPr="00017532">
        <w:rPr>
          <w:lang w:val="fr-CA"/>
        </w:rPr>
        <w:t>établir une peine proportionnée, sans s</w:t>
      </w:r>
      <w:r>
        <w:rPr>
          <w:lang w:val="fr-CA"/>
        </w:rPr>
        <w:t>’</w:t>
      </w:r>
      <w:r w:rsidRPr="00017532">
        <w:rPr>
          <w:lang w:val="fr-CA"/>
        </w:rPr>
        <w:t>écarter des paramètres juridiques applicables. Si un régime de peine minimale obligatoire oblige un juge à infliger une peine disproportionnée, il y aurait lieu de contester le régime. [Je souligne; par.</w:t>
      </w:r>
      <w:r w:rsidR="00B029AB">
        <w:rPr>
          <w:lang w:val="fr-CA"/>
        </w:rPr>
        <w:t xml:space="preserve"> </w:t>
      </w:r>
      <w:r w:rsidRPr="00017532">
        <w:rPr>
          <w:lang w:val="fr-CA"/>
        </w:rPr>
        <w:t>25.]</w:t>
      </w:r>
    </w:p>
    <w:p w:rsidR="002A4851" w:rsidRPr="00017532" w:rsidRDefault="002A4851" w:rsidP="00A659A4">
      <w:pPr>
        <w:pStyle w:val="ParaNoNdepar-AltN"/>
        <w:rPr>
          <w:rFonts w:cs="Times New Roman"/>
          <w:lang w:val="fr-CA"/>
        </w:rPr>
      </w:pPr>
      <w:r w:rsidRPr="00017532">
        <w:rPr>
          <w:rFonts w:cs="Times New Roman"/>
          <w:lang w:val="fr-CA"/>
        </w:rPr>
        <w:t>Pour autant, la décision du poursuivant d</w:t>
      </w:r>
      <w:r>
        <w:rPr>
          <w:rFonts w:cs="Times New Roman"/>
          <w:lang w:val="fr-CA"/>
        </w:rPr>
        <w:t>’</w:t>
      </w:r>
      <w:r w:rsidRPr="00017532">
        <w:rPr>
          <w:rFonts w:cs="Times New Roman"/>
          <w:lang w:val="fr-CA"/>
        </w:rPr>
        <w:t>opter pour la procédure sommaire n</w:t>
      </w:r>
      <w:r>
        <w:rPr>
          <w:rFonts w:cs="Times New Roman"/>
          <w:lang w:val="fr-CA"/>
        </w:rPr>
        <w:t>’</w:t>
      </w:r>
      <w:r w:rsidRPr="00017532">
        <w:rPr>
          <w:rFonts w:cs="Times New Roman"/>
          <w:lang w:val="fr-CA"/>
        </w:rPr>
        <w:t>est pas problématique en soi. Il est tout à fait indiqué d</w:t>
      </w:r>
      <w:r>
        <w:rPr>
          <w:rFonts w:cs="Times New Roman"/>
          <w:lang w:val="fr-CA"/>
        </w:rPr>
        <w:t>’</w:t>
      </w:r>
      <w:r w:rsidRPr="00017532">
        <w:rPr>
          <w:rFonts w:cs="Times New Roman"/>
          <w:lang w:val="fr-CA"/>
        </w:rPr>
        <w:t>exercer le pouvoir discrétionnaire qui permet de ne pas poursuivre les auteurs de certaines infractions qui se situent à l</w:t>
      </w:r>
      <w:r>
        <w:rPr>
          <w:rFonts w:cs="Times New Roman"/>
          <w:lang w:val="fr-CA"/>
        </w:rPr>
        <w:t>’</w:t>
      </w:r>
      <w:r w:rsidRPr="00017532">
        <w:rPr>
          <w:rFonts w:cs="Times New Roman"/>
          <w:lang w:val="fr-CA"/>
        </w:rPr>
        <w:t>extrémité inférieure du continuum d</w:t>
      </w:r>
      <w:r>
        <w:rPr>
          <w:rFonts w:cs="Times New Roman"/>
          <w:lang w:val="fr-CA"/>
        </w:rPr>
        <w:t>’</w:t>
      </w:r>
      <w:r w:rsidRPr="00017532">
        <w:rPr>
          <w:rFonts w:cs="Times New Roman"/>
          <w:lang w:val="fr-CA"/>
        </w:rPr>
        <w:t>application du par.</w:t>
      </w:r>
      <w:r w:rsidR="00B029AB">
        <w:rPr>
          <w:rFonts w:cs="Times New Roman"/>
          <w:lang w:val="fr-CA"/>
        </w:rPr>
        <w:t xml:space="preserve"> </w:t>
      </w:r>
      <w:r w:rsidRPr="00017532">
        <w:rPr>
          <w:rFonts w:cs="Times New Roman"/>
          <w:lang w:val="fr-CA"/>
        </w:rPr>
        <w:t>95(1). Dans le cas d</w:t>
      </w:r>
      <w:r>
        <w:rPr>
          <w:rFonts w:cs="Times New Roman"/>
          <w:lang w:val="fr-CA"/>
        </w:rPr>
        <w:t>’</w:t>
      </w:r>
      <w:r w:rsidRPr="00017532">
        <w:rPr>
          <w:rFonts w:cs="Times New Roman"/>
          <w:lang w:val="fr-CA"/>
        </w:rPr>
        <w:t>une infraction mixte, le poursuivant peut tenir compte de ce qui distingue une affaire d</w:t>
      </w:r>
      <w:r>
        <w:rPr>
          <w:rFonts w:cs="Times New Roman"/>
          <w:lang w:val="fr-CA"/>
        </w:rPr>
        <w:t>’</w:t>
      </w:r>
      <w:r w:rsidRPr="00017532">
        <w:rPr>
          <w:rFonts w:cs="Times New Roman"/>
          <w:lang w:val="fr-CA"/>
        </w:rPr>
        <w:t>une autre. C</w:t>
      </w:r>
      <w:r>
        <w:rPr>
          <w:rFonts w:cs="Times New Roman"/>
          <w:lang w:val="fr-CA"/>
        </w:rPr>
        <w:t>’</w:t>
      </w:r>
      <w:r w:rsidRPr="00017532">
        <w:rPr>
          <w:rFonts w:cs="Times New Roman"/>
          <w:lang w:val="fr-CA"/>
        </w:rPr>
        <w:t>est reconnaître qu</w:t>
      </w:r>
      <w:r>
        <w:rPr>
          <w:rFonts w:cs="Times New Roman"/>
          <w:lang w:val="fr-CA"/>
        </w:rPr>
        <w:t>’</w:t>
      </w:r>
      <w:r w:rsidRPr="00017532">
        <w:rPr>
          <w:rFonts w:cs="Times New Roman"/>
          <w:lang w:val="fr-CA"/>
        </w:rPr>
        <w:t xml:space="preserve">une même infraction peut être </w:t>
      </w:r>
      <w:r w:rsidRPr="00017532">
        <w:rPr>
          <w:rFonts w:cs="Times New Roman"/>
          <w:lang w:val="fr-CA"/>
        </w:rPr>
        <w:lastRenderedPageBreak/>
        <w:t>commise d</w:t>
      </w:r>
      <w:r>
        <w:rPr>
          <w:rFonts w:cs="Times New Roman"/>
          <w:lang w:val="fr-CA"/>
        </w:rPr>
        <w:t>’</w:t>
      </w:r>
      <w:r w:rsidRPr="00017532">
        <w:rPr>
          <w:rFonts w:cs="Times New Roman"/>
          <w:lang w:val="fr-CA"/>
        </w:rPr>
        <w:t xml:space="preserve">une manière plus ou moins grave et permettre au poursuivant de tenir compte des circonstances propres à chacune des affaires. Comme le signale le juge du procès dans le dossier </w:t>
      </w:r>
      <w:r w:rsidRPr="007E13A0">
        <w:rPr>
          <w:rFonts w:cs="Times New Roman"/>
          <w:i/>
          <w:lang w:val="fr-CA"/>
        </w:rPr>
        <w:t>Nur</w:t>
      </w:r>
      <w:r w:rsidRPr="00017532">
        <w:rPr>
          <w:rFonts w:cs="Times New Roman"/>
          <w:lang w:val="fr-CA"/>
        </w:rPr>
        <w:t>,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en créant une infraction mixte, l</w:t>
      </w:r>
      <w:r>
        <w:rPr>
          <w:rFonts w:cs="Times New Roman"/>
          <w:lang w:val="fr-CA"/>
        </w:rPr>
        <w:t>’</w:t>
      </w:r>
      <w:r w:rsidRPr="00017532">
        <w:rPr>
          <w:rFonts w:cs="Times New Roman"/>
          <w:lang w:val="fr-CA"/>
        </w:rPr>
        <w:t>État veut donner de la souplesse aux avocats du ministère public afin qu</w:t>
      </w:r>
      <w:r>
        <w:rPr>
          <w:rFonts w:cs="Times New Roman"/>
          <w:lang w:val="fr-CA"/>
        </w:rPr>
        <w:t>’</w:t>
      </w:r>
      <w:r w:rsidRPr="00017532">
        <w:rPr>
          <w:rFonts w:cs="Times New Roman"/>
          <w:lang w:val="fr-CA"/>
        </w:rPr>
        <w:t>ils adaptent les procédures et les peines prévues aux besoins d</w:t>
      </w:r>
      <w:r>
        <w:rPr>
          <w:rFonts w:cs="Times New Roman"/>
          <w:lang w:val="fr-CA"/>
        </w:rPr>
        <w:t>’</w:t>
      </w:r>
      <w:r w:rsidRPr="00017532">
        <w:rPr>
          <w:rFonts w:cs="Times New Roman"/>
          <w:lang w:val="fr-CA"/>
        </w:rPr>
        <w:t>une affaire donnée</w:t>
      </w:r>
      <w:r w:rsidR="00B029AB">
        <w:rPr>
          <w:rFonts w:cs="Times New Roman"/>
          <w:lang w:val="fr-CA"/>
        </w:rPr>
        <w:t> »</w:t>
      </w:r>
      <w:r w:rsidRPr="00017532">
        <w:rPr>
          <w:rFonts w:cs="Times New Roman"/>
          <w:lang w:val="fr-CA"/>
        </w:rPr>
        <w:t xml:space="preserve"> (par.</w:t>
      </w:r>
      <w:r w:rsidR="00B029AB">
        <w:rPr>
          <w:rFonts w:cs="Times New Roman"/>
          <w:lang w:val="fr-CA"/>
        </w:rPr>
        <w:t xml:space="preserve"> </w:t>
      </w:r>
      <w:r w:rsidRPr="00017532">
        <w:rPr>
          <w:rFonts w:cs="Times New Roman"/>
          <w:lang w:val="fr-CA"/>
        </w:rPr>
        <w:t xml:space="preserve">126). </w:t>
      </w:r>
    </w:p>
    <w:p w:rsidR="002A4851" w:rsidRPr="00017532" w:rsidRDefault="002A4851" w:rsidP="00A659A4">
      <w:pPr>
        <w:pStyle w:val="ParaNoNdepar-AltN"/>
        <w:rPr>
          <w:rFonts w:cs="Times New Roman"/>
          <w:lang w:val="fr-CA"/>
        </w:rPr>
      </w:pPr>
      <w:r w:rsidRPr="00017532">
        <w:rPr>
          <w:rFonts w:cs="Times New Roman"/>
          <w:lang w:val="fr-CA"/>
        </w:rPr>
        <w:t>La thèse des procureurs généraux du Canada et de l</w:t>
      </w:r>
      <w:r>
        <w:rPr>
          <w:rFonts w:cs="Times New Roman"/>
          <w:lang w:val="fr-CA"/>
        </w:rPr>
        <w:t>’</w:t>
      </w:r>
      <w:r w:rsidRPr="00017532">
        <w:rPr>
          <w:rFonts w:cs="Times New Roman"/>
          <w:lang w:val="fr-CA"/>
        </w:rPr>
        <w:t>Ontario va toutefois plus loin. Afin de protéger des dispositions qui sont par ailleurs inconstitutionnelles, ils invoquent le pouvoir discrétionnaire qui permet au poursuivant de choisir dans quelles circonstances et à quelles personnes les appliquer. Or,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52 de la </w:t>
      </w:r>
      <w:r w:rsidRPr="00017532">
        <w:rPr>
          <w:rFonts w:cs="Times New Roman"/>
          <w:i/>
          <w:lang w:val="fr-CA"/>
        </w:rPr>
        <w:t xml:space="preserve">Loi constitutionnelle de 1982 </w:t>
      </w:r>
      <w:r w:rsidRPr="00017532">
        <w:rPr>
          <w:rFonts w:cs="Times New Roman"/>
          <w:lang w:val="fr-CA"/>
        </w:rPr>
        <w:t>dispose qu</w:t>
      </w:r>
      <w:r>
        <w:rPr>
          <w:rFonts w:cs="Times New Roman"/>
          <w:lang w:val="fr-CA"/>
        </w:rPr>
        <w:t>’</w:t>
      </w:r>
      <w:r w:rsidRPr="00017532">
        <w:rPr>
          <w:rFonts w:cs="Times New Roman"/>
          <w:lang w:val="fr-CA"/>
        </w:rPr>
        <w:t>une loi inconstitutionnelle est inopérante. Les procureurs généraux préconisent essentiellement l</w:t>
      </w:r>
      <w:r>
        <w:rPr>
          <w:rFonts w:cs="Times New Roman"/>
          <w:lang w:val="fr-CA"/>
        </w:rPr>
        <w:t>’</w:t>
      </w:r>
      <w:r w:rsidRPr="00017532">
        <w:rPr>
          <w:rFonts w:cs="Times New Roman"/>
          <w:lang w:val="fr-CA"/>
        </w:rPr>
        <w:t>inverse d</w:t>
      </w:r>
      <w:r>
        <w:rPr>
          <w:rFonts w:cs="Times New Roman"/>
          <w:lang w:val="fr-CA"/>
        </w:rPr>
        <w:t>’</w:t>
      </w:r>
      <w:r w:rsidRPr="00017532">
        <w:rPr>
          <w:rFonts w:cs="Times New Roman"/>
          <w:lang w:val="fr-CA"/>
        </w:rPr>
        <w:t>une exemption constitutionnelle. Comme je le fais observer au nom des juges unanimes de la Cour dans l</w:t>
      </w:r>
      <w:r>
        <w:rPr>
          <w:rFonts w:cs="Times New Roman"/>
          <w:lang w:val="fr-CA"/>
        </w:rPr>
        <w:t>’</w:t>
      </w:r>
      <w:r w:rsidRPr="00017532">
        <w:rPr>
          <w:rFonts w:cs="Times New Roman"/>
          <w:lang w:val="fr-CA"/>
        </w:rPr>
        <w:t xml:space="preserve">arrêt </w:t>
      </w:r>
      <w:r w:rsidRPr="00017532">
        <w:rPr>
          <w:rFonts w:cs="Times New Roman"/>
          <w:i/>
          <w:lang w:val="fr-CA"/>
        </w:rPr>
        <w:t>Ferguson</w:t>
      </w:r>
      <w:r w:rsidRPr="00017532">
        <w:rPr>
          <w:rFonts w:cs="Times New Roman"/>
          <w:lang w:val="fr-CA"/>
        </w:rPr>
        <w:t xml:space="preserve">, </w:t>
      </w:r>
      <w:r w:rsidR="00B029AB">
        <w:rPr>
          <w:rFonts w:cs="Times New Roman"/>
          <w:lang w:val="fr-CA"/>
        </w:rPr>
        <w:t>« </w:t>
      </w:r>
      <w:r w:rsidRPr="00017532">
        <w:rPr>
          <w:rFonts w:cs="Times New Roman"/>
          <w:lang w:val="fr-CA"/>
        </w:rPr>
        <w:t>[l]a divergence entre la disposition figurant dans le corpus législatif et la règle de droit appliquée — ainsi que l</w:t>
      </w:r>
      <w:r>
        <w:rPr>
          <w:rFonts w:cs="Times New Roman"/>
          <w:lang w:val="fr-CA"/>
        </w:rPr>
        <w:t>’</w:t>
      </w:r>
      <w:r w:rsidRPr="00017532">
        <w:rPr>
          <w:rFonts w:cs="Times New Roman"/>
          <w:lang w:val="fr-CA"/>
        </w:rPr>
        <w:t>incertitude et l</w:t>
      </w:r>
      <w:r>
        <w:rPr>
          <w:rFonts w:cs="Times New Roman"/>
          <w:lang w:val="fr-CA"/>
        </w:rPr>
        <w:t>’</w:t>
      </w:r>
      <w:r w:rsidRPr="00017532">
        <w:rPr>
          <w:rFonts w:cs="Times New Roman"/>
          <w:lang w:val="fr-CA"/>
        </w:rPr>
        <w:t>imprévisibilité qui en découlent — a pour conséquence de créer l</w:t>
      </w:r>
      <w:r>
        <w:rPr>
          <w:rFonts w:cs="Times New Roman"/>
          <w:lang w:val="fr-CA"/>
        </w:rPr>
        <w:t>’</w:t>
      </w:r>
      <w:r w:rsidRPr="00017532">
        <w:rPr>
          <w:rFonts w:cs="Times New Roman"/>
          <w:lang w:val="fr-CA"/>
        </w:rPr>
        <w:t>injustice</w:t>
      </w:r>
      <w:r w:rsidR="00B029AB">
        <w:rPr>
          <w:rFonts w:cs="Times New Roman"/>
          <w:lang w:val="fr-CA"/>
        </w:rPr>
        <w:t> »</w:t>
      </w:r>
      <w:r w:rsidRPr="00017532">
        <w:rPr>
          <w:rFonts w:cs="Times New Roman"/>
          <w:lang w:val="fr-CA"/>
        </w:rPr>
        <w:t xml:space="preserve"> (par.</w:t>
      </w:r>
      <w:r w:rsidR="00B029AB">
        <w:rPr>
          <w:rFonts w:cs="Times New Roman"/>
          <w:lang w:val="fr-CA"/>
        </w:rPr>
        <w:t xml:space="preserve"> </w:t>
      </w:r>
      <w:r w:rsidRPr="00017532">
        <w:rPr>
          <w:rFonts w:cs="Times New Roman"/>
          <w:lang w:val="fr-CA"/>
        </w:rPr>
        <w:t>72). Elle prive les citoyens du droit de savoir d</w:t>
      </w:r>
      <w:r>
        <w:rPr>
          <w:rFonts w:cs="Times New Roman"/>
          <w:lang w:val="fr-CA"/>
        </w:rPr>
        <w:t>’</w:t>
      </w:r>
      <w:r w:rsidRPr="00017532">
        <w:rPr>
          <w:rFonts w:cs="Times New Roman"/>
          <w:lang w:val="fr-CA"/>
        </w:rPr>
        <w:t>avance ce que prévoit la loi et de la possibilité de se comporter en conséquence et elle invite à l</w:t>
      </w:r>
      <w:r>
        <w:rPr>
          <w:rFonts w:cs="Times New Roman"/>
          <w:lang w:val="fr-CA"/>
        </w:rPr>
        <w:t>’</w:t>
      </w:r>
      <w:r w:rsidRPr="00017532">
        <w:rPr>
          <w:rFonts w:cs="Times New Roman"/>
          <w:lang w:val="fr-CA"/>
        </w:rPr>
        <w:t>application inégale de la loi. Pour paraphraser l</w:t>
      </w:r>
      <w:r>
        <w:rPr>
          <w:rFonts w:cs="Times New Roman"/>
          <w:lang w:val="fr-CA"/>
        </w:rPr>
        <w:t>’</w:t>
      </w:r>
      <w:r w:rsidRPr="00017532">
        <w:rPr>
          <w:rFonts w:cs="Times New Roman"/>
          <w:lang w:val="fr-CA"/>
        </w:rPr>
        <w:t xml:space="preserve">arrêt </w:t>
      </w:r>
      <w:r w:rsidRPr="00017532">
        <w:rPr>
          <w:rFonts w:cs="Times New Roman"/>
          <w:i/>
          <w:lang w:val="fr-CA"/>
        </w:rPr>
        <w:t>Ferguson</w:t>
      </w:r>
      <w:r w:rsidRPr="00017532">
        <w:rPr>
          <w:rFonts w:cs="Times New Roman"/>
          <w:lang w:val="fr-CA"/>
        </w:rPr>
        <w:t>, l</w:t>
      </w:r>
      <w:r>
        <w:rPr>
          <w:rFonts w:cs="Times New Roman"/>
          <w:lang w:val="fr-CA"/>
        </w:rPr>
        <w:t>’</w:t>
      </w:r>
      <w:r w:rsidRPr="00017532">
        <w:rPr>
          <w:rFonts w:cs="Times New Roman"/>
          <w:lang w:val="fr-CA"/>
        </w:rPr>
        <w:t>existence d</w:t>
      </w:r>
      <w:r>
        <w:rPr>
          <w:rFonts w:cs="Times New Roman"/>
          <w:lang w:val="fr-CA"/>
        </w:rPr>
        <w:t>’</w:t>
      </w:r>
      <w:r w:rsidRPr="00017532">
        <w:rPr>
          <w:rFonts w:cs="Times New Roman"/>
          <w:lang w:val="fr-CA"/>
        </w:rPr>
        <w:t>une loi invalide dont le poursuivant corrige ponctuellement les défauts n</w:t>
      </w:r>
      <w:r>
        <w:rPr>
          <w:rFonts w:cs="Times New Roman"/>
          <w:lang w:val="fr-CA"/>
        </w:rPr>
        <w:t>’</w:t>
      </w:r>
      <w:r w:rsidRPr="00017532">
        <w:rPr>
          <w:rFonts w:cs="Times New Roman"/>
          <w:lang w:val="fr-CA"/>
        </w:rPr>
        <w:t>est pas compatible avec le rôle et la responsabilité du législateur d</w:t>
      </w:r>
      <w:r>
        <w:rPr>
          <w:rFonts w:cs="Times New Roman"/>
          <w:lang w:val="fr-CA"/>
        </w:rPr>
        <w:t>’</w:t>
      </w:r>
      <w:r w:rsidRPr="00017532">
        <w:rPr>
          <w:rFonts w:cs="Times New Roman"/>
          <w:lang w:val="fr-CA"/>
        </w:rPr>
        <w:t xml:space="preserve">édicter des règles législatives constitutionnelles pour le peuple canadien (par. 72-73). </w:t>
      </w:r>
    </w:p>
    <w:p w:rsidR="002A4851" w:rsidRPr="00017532" w:rsidRDefault="002A4851" w:rsidP="00A659A4">
      <w:pPr>
        <w:pStyle w:val="ParaNoNdepar-AltN"/>
        <w:rPr>
          <w:rFonts w:cs="Times New Roman"/>
          <w:lang w:val="fr-CA"/>
        </w:rPr>
      </w:pPr>
      <w:r w:rsidRPr="00017532">
        <w:rPr>
          <w:rFonts w:cs="Times New Roman"/>
          <w:lang w:val="fr-CA"/>
        </w:rPr>
        <w:lastRenderedPageBreak/>
        <w:t>Depuis la rédaction initiale des présents motifs, j</w:t>
      </w:r>
      <w:r>
        <w:rPr>
          <w:rFonts w:cs="Times New Roman"/>
          <w:lang w:val="fr-CA"/>
        </w:rPr>
        <w:t>’</w:t>
      </w:r>
      <w:r w:rsidRPr="00017532">
        <w:rPr>
          <w:rFonts w:cs="Times New Roman"/>
          <w:lang w:val="fr-CA"/>
        </w:rPr>
        <w:t>ai eu l</w:t>
      </w:r>
      <w:r>
        <w:rPr>
          <w:rFonts w:cs="Times New Roman"/>
          <w:lang w:val="fr-CA"/>
        </w:rPr>
        <w:t>’</w:t>
      </w:r>
      <w:r w:rsidRPr="00017532">
        <w:rPr>
          <w:rFonts w:cs="Times New Roman"/>
          <w:lang w:val="fr-CA"/>
        </w:rPr>
        <w:t>occasion de prendre connaissance de l</w:t>
      </w:r>
      <w:r>
        <w:rPr>
          <w:rFonts w:cs="Times New Roman"/>
          <w:lang w:val="fr-CA"/>
        </w:rPr>
        <w:t>’</w:t>
      </w:r>
      <w:r w:rsidRPr="00017532">
        <w:rPr>
          <w:rFonts w:cs="Times New Roman"/>
          <w:lang w:val="fr-CA"/>
        </w:rPr>
        <w:t>opinion de mon collègue le juge Moldaver. Il conclut que le par.</w:t>
      </w:r>
      <w:r w:rsidR="00B029AB">
        <w:rPr>
          <w:rFonts w:cs="Times New Roman"/>
          <w:lang w:val="fr-CA"/>
        </w:rPr>
        <w:t xml:space="preserve"> </w:t>
      </w:r>
      <w:r w:rsidRPr="00017532">
        <w:rPr>
          <w:rFonts w:cs="Times New Roman"/>
          <w:lang w:val="fr-CA"/>
        </w:rPr>
        <w:t>95(2) ne contrevient pas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xml:space="preserve"> parce que, essentiellement, le poursuivant peut opter pour la procédure sommaire lorsque la nature du comportement reproché fait en sorte que l</w:t>
      </w:r>
      <w:r>
        <w:rPr>
          <w:rFonts w:cs="Times New Roman"/>
          <w:lang w:val="fr-CA"/>
        </w:rPr>
        <w:t>’</w:t>
      </w:r>
      <w:r w:rsidRPr="00017532">
        <w:rPr>
          <w:rFonts w:cs="Times New Roman"/>
          <w:lang w:val="fr-CA"/>
        </w:rPr>
        <w:t>infliction de la peine minimale obligatoire serait totalement disproportionnée. Je disconviens que l</w:t>
      </w:r>
      <w:r>
        <w:rPr>
          <w:rFonts w:cs="Times New Roman"/>
          <w:lang w:val="fr-CA"/>
        </w:rPr>
        <w:t>’</w:t>
      </w:r>
      <w:r w:rsidRPr="00017532">
        <w:rPr>
          <w:rFonts w:cs="Times New Roman"/>
          <w:lang w:val="fr-CA"/>
        </w:rPr>
        <w:t xml:space="preserve">arrêt </w:t>
      </w:r>
      <w:r w:rsidRPr="00017532">
        <w:rPr>
          <w:rFonts w:cs="Times New Roman"/>
          <w:i/>
          <w:lang w:val="fr-CA"/>
        </w:rPr>
        <w:t>Canada (Procureur général) c. PHS Community Services Society</w:t>
      </w:r>
      <w:r w:rsidRPr="00017532">
        <w:rPr>
          <w:rFonts w:cs="Times New Roman"/>
          <w:lang w:val="fr-CA"/>
        </w:rPr>
        <w:t>, 2011 CSC 44, [2011] 3 R.C.S. 134</w:t>
      </w:r>
      <w:r>
        <w:rPr>
          <w:rFonts w:cs="Times New Roman"/>
          <w:lang w:val="fr-CA"/>
        </w:rPr>
        <w:t>,</w:t>
      </w:r>
      <w:r w:rsidRPr="00017532">
        <w:rPr>
          <w:rFonts w:cs="Times New Roman"/>
          <w:lang w:val="fr-CA"/>
        </w:rPr>
        <w:t xml:space="preserve"> appuie la thèse selon laquelle la disposition qui prévoit une peine minimale obligatoire et dont l</w:t>
      </w:r>
      <w:r>
        <w:rPr>
          <w:rFonts w:cs="Times New Roman"/>
          <w:lang w:val="fr-CA"/>
        </w:rPr>
        <w:t>’</w:t>
      </w:r>
      <w:r w:rsidRPr="00017532">
        <w:rPr>
          <w:rFonts w:cs="Times New Roman"/>
          <w:lang w:val="fr-CA"/>
        </w:rPr>
        <w:t>application entraîne l</w:t>
      </w:r>
      <w:r>
        <w:rPr>
          <w:rFonts w:cs="Times New Roman"/>
          <w:lang w:val="fr-CA"/>
        </w:rPr>
        <w:t>’</w:t>
      </w:r>
      <w:r w:rsidRPr="00017532">
        <w:rPr>
          <w:rFonts w:cs="Times New Roman"/>
          <w:lang w:val="fr-CA"/>
        </w:rPr>
        <w:t>imposition d</w:t>
      </w:r>
      <w:r>
        <w:rPr>
          <w:rFonts w:cs="Times New Roman"/>
          <w:lang w:val="fr-CA"/>
        </w:rPr>
        <w:t>’</w:t>
      </w:r>
      <w:r w:rsidRPr="00017532">
        <w:rPr>
          <w:rFonts w:cs="Times New Roman"/>
          <w:lang w:val="fr-CA"/>
        </w:rPr>
        <w:t>une peine totalement disproportionnée dans certains cas prévisibles peut échapper à l</w:t>
      </w:r>
      <w:r>
        <w:rPr>
          <w:rFonts w:cs="Times New Roman"/>
          <w:lang w:val="fr-CA"/>
        </w:rPr>
        <w:t>’</w:t>
      </w:r>
      <w:r w:rsidRPr="00017532">
        <w:rPr>
          <w:rFonts w:cs="Times New Roman"/>
          <w:lang w:val="fr-CA"/>
        </w:rPr>
        <w:t>inconstitutionnalité grâce au pouvoir discrétionnaire qui permet au poursuivant d</w:t>
      </w:r>
      <w:r>
        <w:rPr>
          <w:rFonts w:cs="Times New Roman"/>
          <w:lang w:val="fr-CA"/>
        </w:rPr>
        <w:t>’</w:t>
      </w:r>
      <w:r w:rsidRPr="00017532">
        <w:rPr>
          <w:rFonts w:cs="Times New Roman"/>
          <w:lang w:val="fr-CA"/>
        </w:rPr>
        <w:t>opter pour un autre mode de poursuite.</w:t>
      </w:r>
    </w:p>
    <w:p w:rsidR="002A4851" w:rsidRPr="00017532" w:rsidRDefault="002A4851" w:rsidP="00A659A4">
      <w:pPr>
        <w:pStyle w:val="ParaNoNdepar-AltN"/>
        <w:rPr>
          <w:rFonts w:cs="Times New Roman"/>
          <w:lang w:val="fr-CA"/>
        </w:rPr>
      </w:pPr>
      <w:r w:rsidRPr="00017532">
        <w:rPr>
          <w:rFonts w:cs="Times New Roman"/>
          <w:lang w:val="fr-CA"/>
        </w:rPr>
        <w:t>Dans cette affaire, le ministre fédéral de la Santé avait refusé à un centre d</w:t>
      </w:r>
      <w:r>
        <w:rPr>
          <w:rFonts w:cs="Times New Roman"/>
          <w:lang w:val="fr-CA"/>
        </w:rPr>
        <w:t>’</w:t>
      </w:r>
      <w:r w:rsidRPr="00017532">
        <w:rPr>
          <w:rFonts w:cs="Times New Roman"/>
          <w:lang w:val="fr-CA"/>
        </w:rPr>
        <w:t>injection supervisé une exemption de l</w:t>
      </w:r>
      <w:r>
        <w:rPr>
          <w:rFonts w:cs="Times New Roman"/>
          <w:lang w:val="fr-CA"/>
        </w:rPr>
        <w:t>’</w:t>
      </w:r>
      <w:r w:rsidRPr="00017532">
        <w:rPr>
          <w:rFonts w:cs="Times New Roman"/>
          <w:lang w:val="fr-CA"/>
        </w:rPr>
        <w:t xml:space="preserve">application de la </w:t>
      </w:r>
      <w:r w:rsidRPr="00017532">
        <w:rPr>
          <w:rFonts w:cs="Times New Roman"/>
          <w:i/>
          <w:lang w:val="fr-CA"/>
        </w:rPr>
        <w:t>Loi réglementant certaines drogues et autres substances</w:t>
      </w:r>
      <w:r w:rsidRPr="00017532">
        <w:rPr>
          <w:rFonts w:cs="Times New Roman"/>
          <w:lang w:val="fr-CA"/>
        </w:rPr>
        <w:t>, L.C.</w:t>
      </w:r>
      <w:r w:rsidR="00B029AB">
        <w:rPr>
          <w:rFonts w:cs="Times New Roman"/>
          <w:lang w:val="fr-CA"/>
        </w:rPr>
        <w:t xml:space="preserve"> </w:t>
      </w:r>
      <w:r w:rsidRPr="00017532">
        <w:rPr>
          <w:rFonts w:cs="Times New Roman"/>
          <w:lang w:val="fr-CA"/>
        </w:rPr>
        <w:t>1996, c.</w:t>
      </w:r>
      <w:r w:rsidR="00B029AB">
        <w:rPr>
          <w:rFonts w:cs="Times New Roman"/>
          <w:lang w:val="fr-CA"/>
        </w:rPr>
        <w:t xml:space="preserve"> </w:t>
      </w:r>
      <w:r w:rsidRPr="00017532">
        <w:rPr>
          <w:rFonts w:cs="Times New Roman"/>
          <w:lang w:val="fr-CA"/>
        </w:rPr>
        <w:t>19. Il s</w:t>
      </w:r>
      <w:r>
        <w:rPr>
          <w:rFonts w:cs="Times New Roman"/>
          <w:lang w:val="fr-CA"/>
        </w:rPr>
        <w:t>’</w:t>
      </w:r>
      <w:r w:rsidRPr="00017532">
        <w:rPr>
          <w:rFonts w:cs="Times New Roman"/>
          <w:lang w:val="fr-CA"/>
        </w:rPr>
        <w:t>agissait d</w:t>
      </w:r>
      <w:r>
        <w:rPr>
          <w:rFonts w:cs="Times New Roman"/>
          <w:lang w:val="fr-CA"/>
        </w:rPr>
        <w:t>’</w:t>
      </w:r>
      <w:r w:rsidRPr="00017532">
        <w:rPr>
          <w:rFonts w:cs="Times New Roman"/>
          <w:lang w:val="fr-CA"/>
        </w:rPr>
        <w:t>une décision fondée sur le pouvoir légal d</w:t>
      </w:r>
      <w:r>
        <w:rPr>
          <w:rFonts w:cs="Times New Roman"/>
          <w:lang w:val="fr-CA"/>
        </w:rPr>
        <w:t>’</w:t>
      </w:r>
      <w:r w:rsidRPr="00017532">
        <w:rPr>
          <w:rFonts w:cs="Times New Roman"/>
          <w:lang w:val="fr-CA"/>
        </w:rPr>
        <w:t>accorder une exemption dans l</w:t>
      </w:r>
      <w:r>
        <w:rPr>
          <w:rFonts w:cs="Times New Roman"/>
          <w:lang w:val="fr-CA"/>
        </w:rPr>
        <w:t>’</w:t>
      </w:r>
      <w:r w:rsidRPr="00017532">
        <w:rPr>
          <w:rFonts w:cs="Times New Roman"/>
          <w:lang w:val="fr-CA"/>
        </w:rPr>
        <w:t xml:space="preserve">intérêt de la santé publique. La question en litige que la Cour devait trancher était celle de savoir si la décision du ministre relevant du droit administratif respectait la </w:t>
      </w:r>
      <w:r w:rsidRPr="00017532">
        <w:rPr>
          <w:rFonts w:cs="Times New Roman"/>
          <w:i/>
          <w:lang w:val="fr-CA"/>
        </w:rPr>
        <w:t>Charte</w:t>
      </w:r>
      <w:r w:rsidRPr="00017532">
        <w:rPr>
          <w:rFonts w:cs="Times New Roman"/>
          <w:lang w:val="fr-CA"/>
        </w:rPr>
        <w:t>. La situation alors considérée diffère toutefois considérablement de celle qui sous</w:t>
      </w:r>
      <w:r w:rsidR="00B029AB">
        <w:rPr>
          <w:rFonts w:cs="Times New Roman"/>
          <w:lang w:val="fr-CA"/>
        </w:rPr>
        <w:t>-</w:t>
      </w:r>
      <w:r w:rsidRPr="00017532">
        <w:rPr>
          <w:rFonts w:cs="Times New Roman"/>
          <w:lang w:val="fr-CA"/>
        </w:rPr>
        <w:t>tend la thèse avancée par les procureurs généraux dans les présents pourvois, à savoir que l</w:t>
      </w:r>
      <w:r>
        <w:rPr>
          <w:rFonts w:cs="Times New Roman"/>
          <w:lang w:val="fr-CA"/>
        </w:rPr>
        <w:t>’</w:t>
      </w:r>
      <w:r w:rsidRPr="00017532">
        <w:rPr>
          <w:rFonts w:cs="Times New Roman"/>
          <w:lang w:val="fr-CA"/>
        </w:rPr>
        <w:t xml:space="preserve">exercice du pouvoir discrétionnaire qui permet au poursuivant de ne pas requérir la peine minimale obligatoire dans une instance criminelle contradictoire peut de fait </w:t>
      </w:r>
      <w:r w:rsidRPr="00017532">
        <w:rPr>
          <w:rFonts w:cs="Times New Roman"/>
          <w:lang w:val="fr-CA"/>
        </w:rPr>
        <w:lastRenderedPageBreak/>
        <w:t>soustraire au contrôle constitutionnel fondé sur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xml:space="preserve"> la peine minimale obligatoire d</w:t>
      </w:r>
      <w:r>
        <w:rPr>
          <w:rFonts w:cs="Times New Roman"/>
          <w:lang w:val="fr-CA"/>
        </w:rPr>
        <w:t>’</w:t>
      </w:r>
      <w:r w:rsidRPr="00017532">
        <w:rPr>
          <w:rFonts w:cs="Times New Roman"/>
          <w:lang w:val="fr-CA"/>
        </w:rPr>
        <w:t>emprisonnement établie par la loi.</w:t>
      </w:r>
    </w:p>
    <w:p w:rsidR="002A4851" w:rsidRPr="00017532" w:rsidRDefault="002A4851" w:rsidP="00A659A4">
      <w:pPr>
        <w:pStyle w:val="ParaNoNdepar-AltN"/>
        <w:rPr>
          <w:rFonts w:cs="Times New Roman"/>
          <w:lang w:val="fr-CA"/>
        </w:rPr>
      </w:pPr>
      <w:r w:rsidRPr="00017532">
        <w:rPr>
          <w:rFonts w:cs="Times New Roman"/>
          <w:lang w:val="fr-CA"/>
        </w:rPr>
        <w:t>J</w:t>
      </w:r>
      <w:r>
        <w:rPr>
          <w:rFonts w:cs="Times New Roman"/>
          <w:lang w:val="fr-CA"/>
        </w:rPr>
        <w:t>’</w:t>
      </w:r>
      <w:r w:rsidRPr="00017532">
        <w:rPr>
          <w:rFonts w:cs="Times New Roman"/>
          <w:lang w:val="fr-CA"/>
        </w:rPr>
        <w:t>ajoute ce qui suit concernant le cadre d</w:t>
      </w:r>
      <w:r>
        <w:rPr>
          <w:rFonts w:cs="Times New Roman"/>
          <w:lang w:val="fr-CA"/>
        </w:rPr>
        <w:t>’</w:t>
      </w:r>
      <w:r w:rsidRPr="00017532">
        <w:rPr>
          <w:rFonts w:cs="Times New Roman"/>
          <w:lang w:val="fr-CA"/>
        </w:rPr>
        <w:t>analyse proposé par mon collègue. La protection qu</w:t>
      </w:r>
      <w:r>
        <w:rPr>
          <w:rFonts w:cs="Times New Roman"/>
          <w:lang w:val="fr-CA"/>
        </w:rPr>
        <w:t>’</w:t>
      </w:r>
      <w:r w:rsidRPr="00017532">
        <w:rPr>
          <w:rFonts w:cs="Times New Roman"/>
          <w:lang w:val="fr-CA"/>
        </w:rPr>
        <w:t>il offre contre la peine totalement disproportionnée est illusoire; dans les faits, il créerait une situation où l</w:t>
      </w:r>
      <w:r>
        <w:rPr>
          <w:rFonts w:cs="Times New Roman"/>
          <w:lang w:val="fr-CA"/>
        </w:rPr>
        <w:t>’</w:t>
      </w:r>
      <w:r w:rsidRPr="00017532">
        <w:rPr>
          <w:rFonts w:cs="Times New Roman"/>
          <w:lang w:val="fr-CA"/>
        </w:rPr>
        <w:t>exercice du pouvoir discrétionnaire du poursuivant serait en fait à l</w:t>
      </w:r>
      <w:r>
        <w:rPr>
          <w:rFonts w:cs="Times New Roman"/>
          <w:lang w:val="fr-CA"/>
        </w:rPr>
        <w:t>’</w:t>
      </w:r>
      <w:r w:rsidRPr="00017532">
        <w:rPr>
          <w:rFonts w:cs="Times New Roman"/>
          <w:lang w:val="fr-CA"/>
        </w:rPr>
        <w:t>abri de tout contrôle véritable. Il est bien connu que la norme applicable à l</w:t>
      </w:r>
      <w:r>
        <w:rPr>
          <w:rFonts w:cs="Times New Roman"/>
          <w:lang w:val="fr-CA"/>
        </w:rPr>
        <w:t>’</w:t>
      </w:r>
      <w:r w:rsidRPr="00017532">
        <w:rPr>
          <w:rFonts w:cs="Times New Roman"/>
          <w:lang w:val="fr-CA"/>
        </w:rPr>
        <w:t>abus du pouvoir discrétionnaire est très stricte, et la Cour ne saurait y avoir recours pour statuer sur l</w:t>
      </w:r>
      <w:r>
        <w:rPr>
          <w:rFonts w:cs="Times New Roman"/>
          <w:lang w:val="fr-CA"/>
        </w:rPr>
        <w:t>’</w:t>
      </w:r>
      <w:r w:rsidRPr="00017532">
        <w:rPr>
          <w:rFonts w:cs="Times New Roman"/>
          <w:lang w:val="fr-CA"/>
        </w:rPr>
        <w:t>application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Le cadre d</w:t>
      </w:r>
      <w:r>
        <w:rPr>
          <w:rFonts w:cs="Times New Roman"/>
          <w:lang w:val="fr-CA"/>
        </w:rPr>
        <w:t>’</w:t>
      </w:r>
      <w:r w:rsidRPr="00017532">
        <w:rPr>
          <w:rFonts w:cs="Times New Roman"/>
          <w:lang w:val="fr-CA"/>
        </w:rPr>
        <w:t>analyse proposé s</w:t>
      </w:r>
      <w:r>
        <w:rPr>
          <w:rFonts w:cs="Times New Roman"/>
          <w:lang w:val="fr-CA"/>
        </w:rPr>
        <w:t>’</w:t>
      </w:r>
      <w:r w:rsidRPr="00017532">
        <w:rPr>
          <w:rFonts w:cs="Times New Roman"/>
          <w:lang w:val="fr-CA"/>
        </w:rPr>
        <w:t>éloigne radicalement du cadre d</w:t>
      </w:r>
      <w:r>
        <w:rPr>
          <w:rFonts w:cs="Times New Roman"/>
          <w:lang w:val="fr-CA"/>
        </w:rPr>
        <w:t>’</w:t>
      </w:r>
      <w:r w:rsidRPr="00017532">
        <w:rPr>
          <w:rFonts w:cs="Times New Roman"/>
          <w:lang w:val="fr-CA"/>
        </w:rPr>
        <w:t>analyse constitutionnelle retenu dans ces décisions et il protège insuffisamment contre l</w:t>
      </w:r>
      <w:r>
        <w:rPr>
          <w:rFonts w:cs="Times New Roman"/>
          <w:lang w:val="fr-CA"/>
        </w:rPr>
        <w:t>’</w:t>
      </w:r>
      <w:r w:rsidRPr="00017532">
        <w:rPr>
          <w:rFonts w:cs="Times New Roman"/>
          <w:lang w:val="fr-CA"/>
        </w:rPr>
        <w:t>infliction de peines totalement disproportionnées.</w:t>
      </w:r>
    </w:p>
    <w:p w:rsidR="002A4851" w:rsidRPr="00017532" w:rsidRDefault="002A4851" w:rsidP="00A659A4">
      <w:pPr>
        <w:pStyle w:val="ParaNoNdepar-AltN"/>
        <w:rPr>
          <w:rFonts w:cs="Times New Roman"/>
          <w:lang w:val="fr-CA"/>
        </w:rPr>
      </w:pPr>
      <w:r w:rsidRPr="00017532">
        <w:rPr>
          <w:rFonts w:cs="Times New Roman"/>
          <w:lang w:val="fr-CA"/>
        </w:rPr>
        <w:t>Deux autres points peuvent être opposés à l</w:t>
      </w:r>
      <w:r>
        <w:rPr>
          <w:rFonts w:cs="Times New Roman"/>
          <w:lang w:val="fr-CA"/>
        </w:rPr>
        <w:t>’</w:t>
      </w:r>
      <w:r w:rsidRPr="00017532">
        <w:rPr>
          <w:rFonts w:cs="Times New Roman"/>
          <w:lang w:val="fr-CA"/>
        </w:rPr>
        <w:t>idée que le pouvoir discrétionnaire de la poursuite puisse remédier au fait qu</w:t>
      </w:r>
      <w:r>
        <w:rPr>
          <w:rFonts w:cs="Times New Roman"/>
          <w:lang w:val="fr-CA"/>
        </w:rPr>
        <w:t>’</w:t>
      </w:r>
      <w:r w:rsidRPr="00017532">
        <w:rPr>
          <w:rFonts w:cs="Times New Roman"/>
          <w:lang w:val="fr-CA"/>
        </w:rPr>
        <w:t>une disposition sur la détermination de la peine contrevient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Premièrement, nul ne peut être assuré que ce pouvoir sera toujours exercé de manière à éviter un résultat inconstitutionnel. La constitutionnalité d</w:t>
      </w:r>
      <w:r>
        <w:rPr>
          <w:rFonts w:cs="Times New Roman"/>
          <w:lang w:val="fr-CA"/>
        </w:rPr>
        <w:t>’</w:t>
      </w:r>
      <w:r w:rsidRPr="00017532">
        <w:rPr>
          <w:rFonts w:cs="Times New Roman"/>
          <w:lang w:val="fr-CA"/>
        </w:rPr>
        <w:t>une disposition législative ne saurait non plus dépendre de la confiance qu</w:t>
      </w:r>
      <w:r>
        <w:rPr>
          <w:rFonts w:cs="Times New Roman"/>
          <w:lang w:val="fr-CA"/>
        </w:rPr>
        <w:t>’</w:t>
      </w:r>
      <w:r w:rsidRPr="00017532">
        <w:rPr>
          <w:rFonts w:cs="Times New Roman"/>
          <w:lang w:val="fr-CA"/>
        </w:rPr>
        <w:t>on peut avoir que le ministère public agira convenablement (</w:t>
      </w:r>
      <w:r w:rsidRPr="00017532">
        <w:rPr>
          <w:rFonts w:cs="Times New Roman"/>
          <w:i/>
          <w:lang w:val="fr-CA"/>
        </w:rPr>
        <w:t>Lavallee, Rackel &amp; Heintz c. Canada (Procureur général)</w:t>
      </w:r>
      <w:r w:rsidRPr="00017532">
        <w:rPr>
          <w:rFonts w:cs="Times New Roman"/>
          <w:lang w:val="fr-CA"/>
        </w:rPr>
        <w:t>, 2002 CSC</w:t>
      </w:r>
      <w:r w:rsidR="00B029AB">
        <w:rPr>
          <w:rFonts w:cs="Times New Roman"/>
          <w:lang w:val="fr-CA"/>
        </w:rPr>
        <w:t xml:space="preserve"> </w:t>
      </w:r>
      <w:r w:rsidRPr="00017532">
        <w:rPr>
          <w:rFonts w:cs="Times New Roman"/>
          <w:lang w:val="fr-CA"/>
        </w:rPr>
        <w:t>61, [2002] 3 R.C.S. 209, par.</w:t>
      </w:r>
      <w:r w:rsidR="00B029AB">
        <w:rPr>
          <w:rFonts w:cs="Times New Roman"/>
          <w:lang w:val="fr-CA"/>
        </w:rPr>
        <w:t xml:space="preserve"> </w:t>
      </w:r>
      <w:r w:rsidRPr="00017532">
        <w:rPr>
          <w:rFonts w:cs="Times New Roman"/>
          <w:lang w:val="fr-CA"/>
        </w:rPr>
        <w:t>45). Comme le dit le juge Cory au nom des juges majoritaires dans l</w:t>
      </w:r>
      <w:r>
        <w:rPr>
          <w:rFonts w:cs="Times New Roman"/>
          <w:lang w:val="fr-CA"/>
        </w:rPr>
        <w:t>’</w:t>
      </w:r>
      <w:r w:rsidRPr="00017532">
        <w:rPr>
          <w:rFonts w:cs="Times New Roman"/>
          <w:lang w:val="fr-CA"/>
        </w:rPr>
        <w:t xml:space="preserve">arrêt </w:t>
      </w:r>
      <w:r w:rsidRPr="00017532">
        <w:rPr>
          <w:rFonts w:cs="Times New Roman"/>
          <w:i/>
          <w:lang w:val="fr-CA"/>
        </w:rPr>
        <w:t>R.</w:t>
      </w:r>
      <w:r w:rsidR="00B029AB">
        <w:rPr>
          <w:rFonts w:cs="Times New Roman"/>
          <w:i/>
          <w:lang w:val="fr-CA"/>
        </w:rPr>
        <w:t xml:space="preserve"> </w:t>
      </w:r>
      <w:r w:rsidRPr="00017532">
        <w:rPr>
          <w:rFonts w:cs="Times New Roman"/>
          <w:i/>
          <w:lang w:val="fr-CA"/>
        </w:rPr>
        <w:t>c. Bain</w:t>
      </w:r>
      <w:r w:rsidRPr="00017532">
        <w:rPr>
          <w:rFonts w:cs="Times New Roman"/>
          <w:lang w:val="fr-CA"/>
        </w:rPr>
        <w:t>, [1992] 1 R.C.S. 91, p.</w:t>
      </w:r>
      <w:r w:rsidR="00B029AB">
        <w:rPr>
          <w:rFonts w:cs="Times New Roman"/>
          <w:lang w:val="fr-CA"/>
        </w:rPr>
        <w:t xml:space="preserve"> </w:t>
      </w:r>
      <w:r w:rsidRPr="00017532">
        <w:rPr>
          <w:rFonts w:cs="Times New Roman"/>
          <w:lang w:val="fr-CA"/>
        </w:rPr>
        <w:t>103</w:t>
      </w:r>
      <w:r w:rsidR="00B029AB">
        <w:rPr>
          <w:rFonts w:cs="Times New Roman"/>
          <w:lang w:val="fr-CA"/>
        </w:rPr>
        <w:t>-</w:t>
      </w:r>
      <w:r w:rsidRPr="00017532">
        <w:rPr>
          <w:rFonts w:cs="Times New Roman"/>
          <w:lang w:val="fr-CA"/>
        </w:rPr>
        <w:t>104</w:t>
      </w:r>
      <w:r w:rsidR="00B029AB">
        <w:rPr>
          <w:rFonts w:cs="Times New Roman"/>
          <w:lang w:val="fr-CA"/>
        </w:rPr>
        <w:t> :</w:t>
      </w:r>
    </w:p>
    <w:p w:rsidR="002A4851" w:rsidRPr="00017532" w:rsidRDefault="002A4851" w:rsidP="00A659A4">
      <w:pPr>
        <w:pStyle w:val="Citation-AltC"/>
        <w:spacing w:after="240"/>
        <w:ind w:left="1168"/>
        <w:contextualSpacing w:val="0"/>
        <w:rPr>
          <w:lang w:val="fr-CA"/>
        </w:rPr>
      </w:pPr>
      <w:r w:rsidRPr="00017532">
        <w:rPr>
          <w:lang w:val="fr-CA"/>
        </w:rPr>
        <w:lastRenderedPageBreak/>
        <w:tab/>
        <w:t>Malheureusement, il semblerait que, chaque fois que le ministère public se voit accorder par la loi un pouvoir qui peut être utilisé de façon abusive, il le sera en effet à l</w:t>
      </w:r>
      <w:r>
        <w:rPr>
          <w:lang w:val="fr-CA"/>
        </w:rPr>
        <w:t>’</w:t>
      </w:r>
      <w:r w:rsidRPr="00017532">
        <w:rPr>
          <w:lang w:val="fr-CA"/>
        </w:rPr>
        <w:t>occasion. La protection des droits fondamentaux ne devrait pas être fondée sur la confiance à l</w:t>
      </w:r>
      <w:r>
        <w:rPr>
          <w:lang w:val="fr-CA"/>
        </w:rPr>
        <w:t>’</w:t>
      </w:r>
      <w:r w:rsidRPr="00017532">
        <w:rPr>
          <w:lang w:val="fr-CA"/>
        </w:rPr>
        <w:t>égard du comportement exemplaire permanent du ministère public, chose qu</w:t>
      </w:r>
      <w:r>
        <w:rPr>
          <w:lang w:val="fr-CA"/>
        </w:rPr>
        <w:t>’</w:t>
      </w:r>
      <w:r w:rsidRPr="00017532">
        <w:rPr>
          <w:lang w:val="fr-CA"/>
        </w:rPr>
        <w:t>il n</w:t>
      </w:r>
      <w:r>
        <w:rPr>
          <w:lang w:val="fr-CA"/>
        </w:rPr>
        <w:t>’</w:t>
      </w:r>
      <w:r w:rsidRPr="00017532">
        <w:rPr>
          <w:lang w:val="fr-CA"/>
        </w:rPr>
        <w:t>est pas possible de surveiller ni de maîtriser. Il serait préférable que la disposition législative incriminée soit abolie.</w:t>
      </w:r>
    </w:p>
    <w:p w:rsidR="002A4851" w:rsidRPr="00017532" w:rsidRDefault="002A4851" w:rsidP="00A659A4">
      <w:pPr>
        <w:pStyle w:val="ParaNoNdepar-AltN"/>
        <w:rPr>
          <w:rFonts w:cs="Times New Roman"/>
          <w:lang w:val="fr-CA"/>
        </w:rPr>
      </w:pPr>
      <w:r w:rsidRPr="00017532">
        <w:rPr>
          <w:rFonts w:cs="Times New Roman"/>
          <w:lang w:val="fr-CA"/>
        </w:rPr>
        <w:t>Cette considération en appelle une autre, connexe, à savoir que l</w:t>
      </w:r>
      <w:r>
        <w:rPr>
          <w:rFonts w:cs="Times New Roman"/>
          <w:lang w:val="fr-CA"/>
        </w:rPr>
        <w:t>’</w:t>
      </w:r>
      <w:r w:rsidRPr="00017532">
        <w:rPr>
          <w:rFonts w:cs="Times New Roman"/>
          <w:lang w:val="fr-CA"/>
        </w:rPr>
        <w:t>octroi d</w:t>
      </w:r>
      <w:r>
        <w:rPr>
          <w:rFonts w:cs="Times New Roman"/>
          <w:lang w:val="fr-CA"/>
        </w:rPr>
        <w:t>’</w:t>
      </w:r>
      <w:r w:rsidRPr="00017532">
        <w:rPr>
          <w:rFonts w:cs="Times New Roman"/>
          <w:lang w:val="fr-CA"/>
        </w:rPr>
        <w:t>un tel pouvoir au poursuivant compromet l</w:t>
      </w:r>
      <w:r>
        <w:rPr>
          <w:rFonts w:cs="Times New Roman"/>
          <w:lang w:val="fr-CA"/>
        </w:rPr>
        <w:t>’</w:t>
      </w:r>
      <w:r w:rsidRPr="00017532">
        <w:rPr>
          <w:rFonts w:cs="Times New Roman"/>
          <w:lang w:val="fr-CA"/>
        </w:rPr>
        <w:t>équité de la procédure criminelle. Le poursuivant dispose dès lors d</w:t>
      </w:r>
      <w:r>
        <w:rPr>
          <w:rFonts w:cs="Times New Roman"/>
          <w:lang w:val="fr-CA"/>
        </w:rPr>
        <w:t>’</w:t>
      </w:r>
      <w:r w:rsidRPr="00017532">
        <w:rPr>
          <w:rFonts w:cs="Times New Roman"/>
          <w:lang w:val="fr-CA"/>
        </w:rPr>
        <w:t>un atout dans la négociation d</w:t>
      </w:r>
      <w:r>
        <w:rPr>
          <w:rFonts w:cs="Times New Roman"/>
          <w:lang w:val="fr-CA"/>
        </w:rPr>
        <w:t>’</w:t>
      </w:r>
      <w:r w:rsidRPr="00017532">
        <w:rPr>
          <w:rFonts w:cs="Times New Roman"/>
          <w:lang w:val="fr-CA"/>
        </w:rPr>
        <w:t>un plaidoyer, ce qui entraîne un déséquilibre inéquitable entre le pouvoir du poursuivant et celui de l</w:t>
      </w:r>
      <w:r>
        <w:rPr>
          <w:rFonts w:cs="Times New Roman"/>
          <w:lang w:val="fr-CA"/>
        </w:rPr>
        <w:t>’</w:t>
      </w:r>
      <w:r w:rsidRPr="00017532">
        <w:rPr>
          <w:rFonts w:cs="Times New Roman"/>
          <w:lang w:val="fr-CA"/>
        </w:rPr>
        <w:t>accusé et incite presque irrésistiblement ce dernier à reconnaître sa culpabilité à une infraction pour laquelle il encourt une peine moins lourde afin d</w:t>
      </w:r>
      <w:r>
        <w:rPr>
          <w:rFonts w:cs="Times New Roman"/>
          <w:lang w:val="fr-CA"/>
        </w:rPr>
        <w:t>’</w:t>
      </w:r>
      <w:r w:rsidRPr="00017532">
        <w:rPr>
          <w:rFonts w:cs="Times New Roman"/>
          <w:lang w:val="fr-CA"/>
        </w:rPr>
        <w:t>échapper à une longue peine minimale obligatoire. Il s</w:t>
      </w:r>
      <w:r>
        <w:rPr>
          <w:rFonts w:cs="Times New Roman"/>
          <w:lang w:val="fr-CA"/>
        </w:rPr>
        <w:t>’</w:t>
      </w:r>
      <w:r w:rsidRPr="00017532">
        <w:rPr>
          <w:rFonts w:cs="Times New Roman"/>
          <w:lang w:val="fr-CA"/>
        </w:rPr>
        <w:t>ensuit alors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qu</w:t>
      </w:r>
      <w:r>
        <w:rPr>
          <w:rFonts w:cs="Times New Roman"/>
          <w:lang w:val="fr-CA"/>
        </w:rPr>
        <w:t>’</w:t>
      </w:r>
      <w:r w:rsidRPr="00017532">
        <w:rPr>
          <w:rFonts w:cs="Times New Roman"/>
          <w:lang w:val="fr-CA"/>
        </w:rPr>
        <w:t>une peine juste et appropriée tenant compte des circonstances de l</w:t>
      </w:r>
      <w:r>
        <w:rPr>
          <w:rFonts w:cs="Times New Roman"/>
          <w:lang w:val="fr-CA"/>
        </w:rPr>
        <w:t>’</w:t>
      </w:r>
      <w:r w:rsidRPr="00017532">
        <w:rPr>
          <w:rFonts w:cs="Times New Roman"/>
          <w:lang w:val="fr-CA"/>
        </w:rPr>
        <w:t>infraction et de la situation du délinquant peut être déterminée dans le cadre de la négociation d</w:t>
      </w:r>
      <w:r>
        <w:rPr>
          <w:rFonts w:cs="Times New Roman"/>
          <w:lang w:val="fr-CA"/>
        </w:rPr>
        <w:t>’</w:t>
      </w:r>
      <w:r w:rsidRPr="00017532">
        <w:rPr>
          <w:rFonts w:cs="Times New Roman"/>
          <w:lang w:val="fr-CA"/>
        </w:rPr>
        <w:t>un plaidoyer, hors de la salle d</w:t>
      </w:r>
      <w:r>
        <w:rPr>
          <w:rFonts w:cs="Times New Roman"/>
          <w:lang w:val="fr-CA"/>
        </w:rPr>
        <w:t>’</w:t>
      </w:r>
      <w:r w:rsidRPr="00017532">
        <w:rPr>
          <w:rFonts w:cs="Times New Roman"/>
          <w:lang w:val="fr-CA"/>
        </w:rPr>
        <w:t>audience, par l</w:t>
      </w:r>
      <w:r>
        <w:rPr>
          <w:rFonts w:cs="Times New Roman"/>
          <w:lang w:val="fr-CA"/>
        </w:rPr>
        <w:t>’</w:t>
      </w:r>
      <w:r w:rsidRPr="00017532">
        <w:rPr>
          <w:rFonts w:cs="Times New Roman"/>
          <w:lang w:val="fr-CA"/>
        </w:rPr>
        <w:t>une des parties à l</w:t>
      </w:r>
      <w:r>
        <w:rPr>
          <w:rFonts w:cs="Times New Roman"/>
          <w:lang w:val="fr-CA"/>
        </w:rPr>
        <w:t>’</w:t>
      </w:r>
      <w:r w:rsidRPr="00017532">
        <w:rPr>
          <w:rFonts w:cs="Times New Roman"/>
          <w:lang w:val="fr-CA"/>
        </w:rPr>
        <w:t>instance</w:t>
      </w:r>
      <w:r w:rsidR="00B029AB">
        <w:rPr>
          <w:rFonts w:cs="Times New Roman"/>
          <w:lang w:val="fr-CA"/>
        </w:rPr>
        <w:t> »</w:t>
      </w:r>
      <w:r w:rsidRPr="00017532">
        <w:rPr>
          <w:rFonts w:cs="Times New Roman"/>
          <w:lang w:val="fr-CA"/>
        </w:rPr>
        <w:t xml:space="preserve"> (R. M. Pomerance, </w:t>
      </w:r>
      <w:r w:rsidR="00B029AB">
        <w:rPr>
          <w:rFonts w:cs="Times New Roman"/>
          <w:lang w:val="fr-CA"/>
        </w:rPr>
        <w:t>« </w:t>
      </w:r>
      <w:r w:rsidRPr="00017532">
        <w:rPr>
          <w:rFonts w:cs="Times New Roman"/>
          <w:lang w:val="fr-CA"/>
        </w:rPr>
        <w:t>The New Approach to Sentencing in Canada</w:t>
      </w:r>
      <w:r w:rsidR="00B029AB">
        <w:rPr>
          <w:rFonts w:cs="Times New Roman"/>
          <w:lang w:val="fr-CA"/>
        </w:rPr>
        <w:t> :</w:t>
      </w:r>
      <w:r w:rsidRPr="00017532">
        <w:rPr>
          <w:rFonts w:cs="Times New Roman"/>
          <w:lang w:val="fr-CA"/>
        </w:rPr>
        <w:t xml:space="preserve"> Reflections of a Trial Judge</w:t>
      </w:r>
      <w:r w:rsidR="00B029AB">
        <w:rPr>
          <w:rFonts w:cs="Times New Roman"/>
          <w:lang w:val="fr-CA"/>
        </w:rPr>
        <w:t> »</w:t>
      </w:r>
      <w:r w:rsidRPr="00017532">
        <w:rPr>
          <w:rFonts w:cs="Times New Roman"/>
          <w:lang w:val="fr-CA"/>
        </w:rPr>
        <w:t xml:space="preserve"> (2013), 17 </w:t>
      </w:r>
      <w:r w:rsidR="00205E49">
        <w:rPr>
          <w:rFonts w:cs="Times New Roman"/>
          <w:i/>
          <w:lang w:val="fr-CA"/>
        </w:rPr>
        <w:t>Rev. can. D.P.</w:t>
      </w:r>
      <w:r w:rsidRPr="00017532">
        <w:rPr>
          <w:rFonts w:cs="Times New Roman"/>
          <w:lang w:val="fr-CA"/>
        </w:rPr>
        <w:t xml:space="preserve"> 305, p.</w:t>
      </w:r>
      <w:r w:rsidR="00B029AB">
        <w:rPr>
          <w:rFonts w:cs="Times New Roman"/>
          <w:lang w:val="fr-CA"/>
        </w:rPr>
        <w:t xml:space="preserve"> </w:t>
      </w:r>
      <w:r w:rsidRPr="00017532">
        <w:rPr>
          <w:rFonts w:cs="Times New Roman"/>
          <w:lang w:val="fr-CA"/>
        </w:rPr>
        <w:t>313). Nous ne pouvons faire abstraction du risque alors accru de déclarations de culpabilité injustifiées.</w:t>
      </w:r>
    </w:p>
    <w:p w:rsidR="002A4851" w:rsidRPr="00017532" w:rsidRDefault="002A4851" w:rsidP="00A659A4">
      <w:pPr>
        <w:pStyle w:val="ParaNoNdepar-AltN"/>
        <w:rPr>
          <w:rFonts w:cs="Times New Roman"/>
          <w:lang w:val="fr-CA"/>
        </w:rPr>
      </w:pPr>
      <w:r w:rsidRPr="00017532">
        <w:rPr>
          <w:rFonts w:cs="Times New Roman"/>
          <w:lang w:val="fr-CA"/>
        </w:rPr>
        <w:t>Deuxièmement, comme le signale en l</w:t>
      </w:r>
      <w:r>
        <w:rPr>
          <w:rFonts w:cs="Times New Roman"/>
          <w:lang w:val="fr-CA"/>
        </w:rPr>
        <w:t>’</w:t>
      </w:r>
      <w:r w:rsidRPr="00017532">
        <w:rPr>
          <w:rFonts w:cs="Times New Roman"/>
          <w:lang w:val="fr-CA"/>
        </w:rPr>
        <w:t>espèce le juge Doherty de la Cour d</w:t>
      </w:r>
      <w:r>
        <w:rPr>
          <w:rFonts w:cs="Times New Roman"/>
          <w:lang w:val="fr-CA"/>
        </w:rPr>
        <w:t>’</w:t>
      </w:r>
      <w:r w:rsidRPr="00017532">
        <w:rPr>
          <w:rFonts w:cs="Times New Roman"/>
          <w:lang w:val="fr-CA"/>
        </w:rPr>
        <w:t>appel, l</w:t>
      </w:r>
      <w:r>
        <w:rPr>
          <w:rFonts w:cs="Times New Roman"/>
          <w:lang w:val="fr-CA"/>
        </w:rPr>
        <w:t>’</w:t>
      </w:r>
      <w:r w:rsidRPr="00017532">
        <w:rPr>
          <w:rFonts w:cs="Times New Roman"/>
          <w:lang w:val="fr-CA"/>
        </w:rPr>
        <w:t>exercice du pouvoir discrétionnaire intervient généralement avant que tous les faits de l</w:t>
      </w:r>
      <w:r>
        <w:rPr>
          <w:rFonts w:cs="Times New Roman"/>
          <w:lang w:val="fr-CA"/>
        </w:rPr>
        <w:t>’</w:t>
      </w:r>
      <w:r w:rsidRPr="00017532">
        <w:rPr>
          <w:rFonts w:cs="Times New Roman"/>
          <w:lang w:val="fr-CA"/>
        </w:rPr>
        <w:t>affaire soient exposés. L</w:t>
      </w:r>
      <w:r>
        <w:rPr>
          <w:rFonts w:cs="Times New Roman"/>
          <w:lang w:val="fr-CA"/>
        </w:rPr>
        <w:t>’</w:t>
      </w:r>
      <w:r w:rsidRPr="00017532">
        <w:rPr>
          <w:rFonts w:cs="Times New Roman"/>
          <w:lang w:val="fr-CA"/>
        </w:rPr>
        <w:t>approche qui confirme la constitutionnalité du par.</w:t>
      </w:r>
      <w:r w:rsidR="00B029AB">
        <w:rPr>
          <w:rFonts w:cs="Times New Roman"/>
          <w:lang w:val="fr-CA"/>
        </w:rPr>
        <w:t xml:space="preserve"> </w:t>
      </w:r>
      <w:r w:rsidRPr="00017532">
        <w:rPr>
          <w:rFonts w:cs="Times New Roman"/>
          <w:lang w:val="fr-CA"/>
        </w:rPr>
        <w:t>95(2) sur la foi du choix éventuel de la procédure sommaire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 xml:space="preserve">méconnaît le problème du moment auquel le poursuivant fait son choix et le </w:t>
      </w:r>
      <w:r w:rsidRPr="00017532">
        <w:rPr>
          <w:rFonts w:cs="Times New Roman"/>
          <w:lang w:val="fr-CA"/>
        </w:rPr>
        <w:lastRenderedPageBreak/>
        <w:t>fondement factuel à partir duquel il fait ce choix</w:t>
      </w:r>
      <w:r w:rsidR="00B029AB">
        <w:rPr>
          <w:rFonts w:cs="Times New Roman"/>
          <w:lang w:val="fr-CA"/>
        </w:rPr>
        <w:t> »</w:t>
      </w:r>
      <w:r w:rsidRPr="00017532">
        <w:rPr>
          <w:rFonts w:cs="Times New Roman"/>
          <w:lang w:val="fr-CA"/>
        </w:rPr>
        <w:t xml:space="preserve"> (par.</w:t>
      </w:r>
      <w:r w:rsidR="00B029AB">
        <w:rPr>
          <w:rFonts w:cs="Times New Roman"/>
          <w:lang w:val="fr-CA"/>
        </w:rPr>
        <w:t xml:space="preserve"> </w:t>
      </w:r>
      <w:r w:rsidRPr="00017532">
        <w:rPr>
          <w:rFonts w:cs="Times New Roman"/>
          <w:lang w:val="fr-CA"/>
        </w:rPr>
        <w:t>163). La possibilité que le poursuivant opte pour la procédure sommaire ne permet donc pas de réfuter l</w:t>
      </w:r>
      <w:r>
        <w:rPr>
          <w:rFonts w:cs="Times New Roman"/>
          <w:lang w:val="fr-CA"/>
        </w:rPr>
        <w:t>’</w:t>
      </w:r>
      <w:r w:rsidRPr="00017532">
        <w:rPr>
          <w:rFonts w:cs="Times New Roman"/>
          <w:lang w:val="fr-CA"/>
        </w:rPr>
        <w:t>allégation des intimés fondée sur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Comme le tribunal l</w:t>
      </w:r>
      <w:r>
        <w:rPr>
          <w:rFonts w:cs="Times New Roman"/>
          <w:lang w:val="fr-CA"/>
        </w:rPr>
        <w:t>’</w:t>
      </w:r>
      <w:r w:rsidRPr="00017532">
        <w:rPr>
          <w:rFonts w:cs="Times New Roman"/>
          <w:lang w:val="fr-CA"/>
        </w:rPr>
        <w:t xml:space="preserve">a affirmé dans </w:t>
      </w:r>
      <w:r w:rsidRPr="00017532">
        <w:rPr>
          <w:rFonts w:cs="Times New Roman"/>
          <w:i/>
          <w:lang w:val="fr-CA"/>
        </w:rPr>
        <w:t>R.</w:t>
      </w:r>
      <w:r w:rsidR="00B029AB">
        <w:rPr>
          <w:rFonts w:cs="Times New Roman"/>
          <w:i/>
          <w:lang w:val="fr-CA"/>
        </w:rPr>
        <w:t xml:space="preserve"> </w:t>
      </w:r>
      <w:r w:rsidRPr="00017532">
        <w:rPr>
          <w:rFonts w:cs="Times New Roman"/>
          <w:i/>
          <w:lang w:val="fr-CA"/>
        </w:rPr>
        <w:t>c. Smickle</w:t>
      </w:r>
      <w:r w:rsidRPr="00017532">
        <w:rPr>
          <w:rFonts w:cs="Times New Roman"/>
          <w:lang w:val="fr-CA"/>
        </w:rPr>
        <w:t>, 2012 ONSC 602, 110 O.R. (3d) 25, par.</w:t>
      </w:r>
      <w:r w:rsidR="00B029AB">
        <w:rPr>
          <w:rFonts w:cs="Times New Roman"/>
          <w:lang w:val="fr-CA"/>
        </w:rPr>
        <w:t xml:space="preserve"> </w:t>
      </w:r>
      <w:r w:rsidRPr="00017532">
        <w:rPr>
          <w:rFonts w:cs="Times New Roman"/>
          <w:lang w:val="fr-CA"/>
        </w:rPr>
        <w:t>110</w:t>
      </w:r>
      <w:r w:rsidR="00B029AB">
        <w:rPr>
          <w:rFonts w:cs="Times New Roman"/>
          <w:lang w:val="fr-CA"/>
        </w:rPr>
        <w:t> :</w:t>
      </w:r>
    </w:p>
    <w:p w:rsidR="002A4851" w:rsidRPr="00017532" w:rsidRDefault="002A4851" w:rsidP="00A659A4">
      <w:pPr>
        <w:pStyle w:val="Citation-AltC"/>
        <w:ind w:hanging="1166"/>
        <w:rPr>
          <w:lang w:val="fr-CA"/>
        </w:rPr>
      </w:pPr>
      <w:r>
        <w:rPr>
          <w:lang w:val="fr-CA"/>
        </w:rPr>
        <w:tab/>
      </w:r>
      <w:r w:rsidRPr="00017532">
        <w:rPr>
          <w:lang w:val="fr-CA"/>
        </w:rPr>
        <w:t>[</w:t>
      </w:r>
      <w:r w:rsidRPr="00017532">
        <w:rPr>
          <w:smallCaps/>
          <w:lang w:val="fr-CA"/>
        </w:rPr>
        <w:t>traduction</w:t>
      </w:r>
      <w:r w:rsidRPr="00017532">
        <w:rPr>
          <w:lang w:val="fr-CA"/>
        </w:rPr>
        <w:t>] L</w:t>
      </w:r>
      <w:r w:rsidR="00205E49">
        <w:rPr>
          <w:lang w:val="fr-CA"/>
        </w:rPr>
        <w:t>e</w:t>
      </w:r>
      <w:r w:rsidRPr="00017532">
        <w:rPr>
          <w:lang w:val="fr-CA"/>
        </w:rPr>
        <w:t xml:space="preserve"> poursuivant exerce son pouvoir discrétionnaire en amont dans le processus, à un moment où tous les faits, en particulier ceux qui sont favorables à la défense, ne sont souvent pas connus. Il arrivera fréquemment que la totalité des faits ne sera connue que lorsque le juge du procès ou le jury se prononcera.</w:t>
      </w:r>
    </w:p>
    <w:p w:rsidR="002A4851" w:rsidRPr="00017532" w:rsidRDefault="002A4851" w:rsidP="00A659A4">
      <w:pPr>
        <w:pStyle w:val="ParaNoNdepar-AltN"/>
        <w:rPr>
          <w:rFonts w:cs="Times New Roman"/>
          <w:lang w:val="fr-CA"/>
        </w:rPr>
      </w:pPr>
      <w:r w:rsidRPr="00017532">
        <w:rPr>
          <w:rFonts w:cs="Times New Roman"/>
          <w:lang w:val="fr-CA"/>
        </w:rPr>
        <w:t>Enfin, le procureur général du Canada invoque l</w:t>
      </w:r>
      <w:r>
        <w:rPr>
          <w:rFonts w:cs="Times New Roman"/>
          <w:lang w:val="fr-CA"/>
        </w:rPr>
        <w:t>’</w:t>
      </w:r>
      <w:r w:rsidRPr="00017532">
        <w:rPr>
          <w:rFonts w:cs="Times New Roman"/>
          <w:lang w:val="fr-CA"/>
        </w:rPr>
        <w:t>arrêt</w:t>
      </w:r>
      <w:r w:rsidR="00B029AB">
        <w:rPr>
          <w:rFonts w:cs="Times New Roman"/>
          <w:lang w:val="fr-CA"/>
        </w:rPr>
        <w:t xml:space="preserve"> </w:t>
      </w:r>
      <w:r w:rsidRPr="00017532">
        <w:rPr>
          <w:rFonts w:cs="Times New Roman"/>
          <w:i/>
          <w:lang w:val="fr-CA"/>
        </w:rPr>
        <w:t>Morrisey</w:t>
      </w:r>
      <w:r w:rsidRPr="00017532">
        <w:rPr>
          <w:rFonts w:cs="Times New Roman"/>
          <w:lang w:val="fr-CA"/>
        </w:rPr>
        <w:t xml:space="preserve"> pour faire valoir que l</w:t>
      </w:r>
      <w:r>
        <w:rPr>
          <w:rFonts w:cs="Times New Roman"/>
          <w:lang w:val="fr-CA"/>
        </w:rPr>
        <w:t>’</w:t>
      </w:r>
      <w:r w:rsidRPr="00017532">
        <w:rPr>
          <w:rFonts w:cs="Times New Roman"/>
          <w:lang w:val="fr-CA"/>
        </w:rPr>
        <w:t>admissibilité à la libération conditionnelle réduit l</w:t>
      </w:r>
      <w:r>
        <w:rPr>
          <w:rFonts w:cs="Times New Roman"/>
          <w:lang w:val="fr-CA"/>
        </w:rPr>
        <w:t>’</w:t>
      </w:r>
      <w:r w:rsidRPr="00017532">
        <w:rPr>
          <w:rFonts w:cs="Times New Roman"/>
          <w:lang w:val="fr-CA"/>
        </w:rPr>
        <w:t>effet réel de la peine minimale obligatoire de trois</w:t>
      </w:r>
      <w:r w:rsidR="00B029AB">
        <w:rPr>
          <w:rFonts w:cs="Times New Roman"/>
          <w:lang w:val="fr-CA"/>
        </w:rPr>
        <w:t xml:space="preserve"> </w:t>
      </w:r>
      <w:r w:rsidRPr="00017532">
        <w:rPr>
          <w:rFonts w:cs="Times New Roman"/>
          <w:lang w:val="fr-CA"/>
        </w:rPr>
        <w:t>ans infligée pour une première infraction. Nous ne pouvons tout simplement pas savoir si tel est bien le cas. M.</w:t>
      </w:r>
      <w:r w:rsidR="00B029AB">
        <w:rPr>
          <w:rFonts w:cs="Times New Roman"/>
          <w:lang w:val="fr-CA"/>
        </w:rPr>
        <w:t xml:space="preserve"> </w:t>
      </w:r>
      <w:r w:rsidRPr="00017532">
        <w:rPr>
          <w:rFonts w:cs="Times New Roman"/>
          <w:lang w:val="fr-CA"/>
        </w:rPr>
        <w:t>Nur soutient à raison que la libération conditionnelle est un privilège d</w:t>
      </w:r>
      <w:r>
        <w:rPr>
          <w:rFonts w:cs="Times New Roman"/>
          <w:lang w:val="fr-CA"/>
        </w:rPr>
        <w:t>’</w:t>
      </w:r>
      <w:r w:rsidRPr="00017532">
        <w:rPr>
          <w:rFonts w:cs="Times New Roman"/>
          <w:lang w:val="fr-CA"/>
        </w:rPr>
        <w:t>origine législative et non un droit. La décision discrétionnaire de la commission des libérations conditionnelles ne saurait se substituer à une loi constitutionnelle. Le procureur général du Canada se méprend aussi sur la fonction de la commission des libérations conditionnelles — qui est d</w:t>
      </w:r>
      <w:r>
        <w:rPr>
          <w:rFonts w:cs="Times New Roman"/>
          <w:lang w:val="fr-CA"/>
        </w:rPr>
        <w:t>’</w:t>
      </w:r>
      <w:r w:rsidRPr="00017532">
        <w:rPr>
          <w:rFonts w:cs="Times New Roman"/>
          <w:lang w:val="fr-CA"/>
        </w:rPr>
        <w:t>assurer la mise en liberté sécuritaire du délinquant dans la collectivité, non de veiller à ce que le délinquant purge une peine proportionnée. Cette dernière fonction n</w:t>
      </w:r>
      <w:r>
        <w:rPr>
          <w:rFonts w:cs="Times New Roman"/>
          <w:lang w:val="fr-CA"/>
        </w:rPr>
        <w:t>’</w:t>
      </w:r>
      <w:r w:rsidRPr="00017532">
        <w:rPr>
          <w:rFonts w:cs="Times New Roman"/>
          <w:lang w:val="fr-CA"/>
        </w:rPr>
        <w:t>incombe qu</w:t>
      </w:r>
      <w:r>
        <w:rPr>
          <w:rFonts w:cs="Times New Roman"/>
          <w:lang w:val="fr-CA"/>
        </w:rPr>
        <w:t>’</w:t>
      </w:r>
      <w:r w:rsidRPr="00017532">
        <w:rPr>
          <w:rFonts w:cs="Times New Roman"/>
          <w:lang w:val="fr-CA"/>
        </w:rPr>
        <w:t>à une seule personne, à savoir le juge qui détermine la peine.</w:t>
      </w:r>
    </w:p>
    <w:p w:rsidR="002A4851" w:rsidRPr="00017532" w:rsidRDefault="002A4851" w:rsidP="00A659A4">
      <w:pPr>
        <w:pStyle w:val="Title3LevelTitre3Niveau"/>
        <w:ind w:left="1156" w:hanging="578"/>
        <w:jc w:val="both"/>
        <w:rPr>
          <w:rFonts w:cs="Times New Roman"/>
          <w:lang w:val="fr-CA"/>
        </w:rPr>
      </w:pPr>
      <w:r w:rsidRPr="00017532">
        <w:rPr>
          <w:rFonts w:cs="Times New Roman"/>
          <w:lang w:val="fr-CA"/>
        </w:rPr>
        <w:t xml:space="preserve">Application au dossier </w:t>
      </w:r>
      <w:r w:rsidRPr="00FA43ED">
        <w:rPr>
          <w:rFonts w:cs="Times New Roman"/>
          <w:i/>
          <w:lang w:val="fr-CA"/>
        </w:rPr>
        <w:t>Charles</w:t>
      </w:r>
    </w:p>
    <w:p w:rsidR="002A4851" w:rsidRPr="00017532" w:rsidRDefault="002A4851" w:rsidP="00A659A4">
      <w:pPr>
        <w:pStyle w:val="ParaNoNdepar-AltN"/>
        <w:rPr>
          <w:rFonts w:cs="Times New Roman"/>
          <w:lang w:val="fr-CA"/>
        </w:rPr>
      </w:pPr>
      <w:r w:rsidRPr="00017532">
        <w:rPr>
          <w:rFonts w:cs="Times New Roman"/>
          <w:lang w:val="fr-CA"/>
        </w:rPr>
        <w:lastRenderedPageBreak/>
        <w:t xml:space="preserve">Dans le dossier </w:t>
      </w:r>
      <w:r w:rsidRPr="00FA43ED">
        <w:rPr>
          <w:rFonts w:cs="Times New Roman"/>
          <w:i/>
          <w:lang w:val="fr-CA"/>
        </w:rPr>
        <w:t>Charles</w:t>
      </w:r>
      <w:r w:rsidRPr="00017532">
        <w:rPr>
          <w:rFonts w:cs="Times New Roman"/>
          <w:lang w:val="fr-CA"/>
        </w:rPr>
        <w:t>, la Cour d</w:t>
      </w:r>
      <w:r>
        <w:rPr>
          <w:rFonts w:cs="Times New Roman"/>
          <w:lang w:val="fr-CA"/>
        </w:rPr>
        <w:t>’</w:t>
      </w:r>
      <w:r w:rsidRPr="00017532">
        <w:rPr>
          <w:rFonts w:cs="Times New Roman"/>
          <w:lang w:val="fr-CA"/>
        </w:rPr>
        <w:t>appel modifie l</w:t>
      </w:r>
      <w:r>
        <w:rPr>
          <w:rFonts w:cs="Times New Roman"/>
          <w:lang w:val="fr-CA"/>
        </w:rPr>
        <w:t>’</w:t>
      </w:r>
      <w:r w:rsidRPr="00017532">
        <w:rPr>
          <w:rFonts w:cs="Times New Roman"/>
          <w:lang w:val="fr-CA"/>
        </w:rPr>
        <w:t>application raisonnablement prévisible de la disposition en cause pour considérer le cas d</w:t>
      </w:r>
      <w:r>
        <w:rPr>
          <w:rFonts w:cs="Times New Roman"/>
          <w:lang w:val="fr-CA"/>
        </w:rPr>
        <w:t>’</w:t>
      </w:r>
      <w:r w:rsidRPr="00017532">
        <w:rPr>
          <w:rFonts w:cs="Times New Roman"/>
          <w:lang w:val="fr-CA"/>
        </w:rPr>
        <w:t>une récidive attribuable à une déclaration de culpabilité antérieure fondée sur le par.</w:t>
      </w:r>
      <w:r w:rsidR="00B029AB">
        <w:rPr>
          <w:rFonts w:cs="Times New Roman"/>
          <w:lang w:val="fr-CA"/>
        </w:rPr>
        <w:t xml:space="preserve"> </w:t>
      </w:r>
      <w:r w:rsidRPr="00017532">
        <w:rPr>
          <w:rFonts w:cs="Times New Roman"/>
          <w:lang w:val="fr-CA"/>
        </w:rPr>
        <w:t xml:space="preserve">117.01(1) du </w:t>
      </w:r>
      <w:r w:rsidRPr="00017532">
        <w:rPr>
          <w:rFonts w:cs="Times New Roman"/>
          <w:i/>
          <w:lang w:val="fr-CA"/>
        </w:rPr>
        <w:t xml:space="preserve">Code criminel </w:t>
      </w:r>
      <w:r w:rsidRPr="00017532">
        <w:rPr>
          <w:rFonts w:cs="Times New Roman"/>
          <w:lang w:val="fr-CA"/>
        </w:rPr>
        <w:t>pour le non-respect d</w:t>
      </w:r>
      <w:r>
        <w:rPr>
          <w:rFonts w:cs="Times New Roman"/>
          <w:lang w:val="fr-CA"/>
        </w:rPr>
        <w:t>’</w:t>
      </w:r>
      <w:r w:rsidRPr="00017532">
        <w:rPr>
          <w:rFonts w:cs="Times New Roman"/>
          <w:lang w:val="fr-CA"/>
        </w:rPr>
        <w:t>une ordonnance d</w:t>
      </w:r>
      <w:r>
        <w:rPr>
          <w:rFonts w:cs="Times New Roman"/>
          <w:lang w:val="fr-CA"/>
        </w:rPr>
        <w:t>’</w:t>
      </w:r>
      <w:r w:rsidRPr="00017532">
        <w:rPr>
          <w:rFonts w:cs="Times New Roman"/>
          <w:lang w:val="fr-CA"/>
        </w:rPr>
        <w:t xml:space="preserve">interdiction. </w:t>
      </w:r>
    </w:p>
    <w:p w:rsidR="002A4851" w:rsidRPr="00017532" w:rsidRDefault="002A4851" w:rsidP="00A659A4">
      <w:pPr>
        <w:pStyle w:val="ParaNoNdepar-AltN"/>
        <w:rPr>
          <w:rFonts w:cs="Times New Roman"/>
          <w:lang w:val="fr-CA"/>
        </w:rPr>
      </w:pPr>
      <w:r w:rsidRPr="00017532">
        <w:rPr>
          <w:rFonts w:cs="Times New Roman"/>
          <w:lang w:val="fr-CA"/>
        </w:rPr>
        <w:t>L</w:t>
      </w:r>
      <w:r>
        <w:rPr>
          <w:rFonts w:cs="Times New Roman"/>
          <w:lang w:val="fr-CA"/>
        </w:rPr>
        <w:t>’</w:t>
      </w:r>
      <w:r w:rsidRPr="00017532">
        <w:rPr>
          <w:rFonts w:cs="Times New Roman"/>
          <w:lang w:val="fr-CA"/>
        </w:rPr>
        <w:t>ordonnance d</w:t>
      </w:r>
      <w:r>
        <w:rPr>
          <w:rFonts w:cs="Times New Roman"/>
          <w:lang w:val="fr-CA"/>
        </w:rPr>
        <w:t>’</w:t>
      </w:r>
      <w:r w:rsidRPr="00017532">
        <w:rPr>
          <w:rFonts w:cs="Times New Roman"/>
          <w:lang w:val="fr-CA"/>
        </w:rPr>
        <w:t>interdiction vise à protéger le public en interdisant à une personne d</w:t>
      </w:r>
      <w:r>
        <w:rPr>
          <w:rFonts w:cs="Times New Roman"/>
          <w:lang w:val="fr-CA"/>
        </w:rPr>
        <w:t>’</w:t>
      </w:r>
      <w:r w:rsidRPr="00017532">
        <w:rPr>
          <w:rFonts w:cs="Times New Roman"/>
          <w:lang w:val="fr-CA"/>
        </w:rPr>
        <w:t>avoir en sa possession certaines armes, armes à feu, munitions ou substances explosives. Le tribunal la rend dans un certain nombre de situations, notamment en l</w:t>
      </w:r>
      <w:r>
        <w:rPr>
          <w:rFonts w:cs="Times New Roman"/>
          <w:lang w:val="fr-CA"/>
        </w:rPr>
        <w:t>’</w:t>
      </w:r>
      <w:r w:rsidRPr="00017532">
        <w:rPr>
          <w:rFonts w:cs="Times New Roman"/>
          <w:lang w:val="fr-CA"/>
        </w:rPr>
        <w:t>intégrant aux conditions d</w:t>
      </w:r>
      <w:r>
        <w:rPr>
          <w:rFonts w:cs="Times New Roman"/>
          <w:lang w:val="fr-CA"/>
        </w:rPr>
        <w:t>’</w:t>
      </w:r>
      <w:r w:rsidRPr="00017532">
        <w:rPr>
          <w:rFonts w:cs="Times New Roman"/>
          <w:lang w:val="fr-CA"/>
        </w:rPr>
        <w:t>une mise en liberté sous caution (par.</w:t>
      </w:r>
      <w:r w:rsidR="00B029AB">
        <w:rPr>
          <w:rFonts w:cs="Times New Roman"/>
          <w:lang w:val="fr-CA"/>
        </w:rPr>
        <w:t xml:space="preserve"> </w:t>
      </w:r>
      <w:r w:rsidRPr="00017532">
        <w:rPr>
          <w:rFonts w:cs="Times New Roman"/>
          <w:lang w:val="fr-CA"/>
        </w:rPr>
        <w:t>515(4.1)), à titre préventif (art.</w:t>
      </w:r>
      <w:r w:rsidR="00B029AB">
        <w:rPr>
          <w:rFonts w:cs="Times New Roman"/>
          <w:lang w:val="fr-CA"/>
        </w:rPr>
        <w:t xml:space="preserve"> </w:t>
      </w:r>
      <w:r w:rsidRPr="00017532">
        <w:rPr>
          <w:rFonts w:cs="Times New Roman"/>
          <w:lang w:val="fr-CA"/>
        </w:rPr>
        <w:t>111) ou après qu</w:t>
      </w:r>
      <w:r>
        <w:rPr>
          <w:rFonts w:cs="Times New Roman"/>
          <w:lang w:val="fr-CA"/>
        </w:rPr>
        <w:t>’</w:t>
      </w:r>
      <w:r w:rsidRPr="00017532">
        <w:rPr>
          <w:rFonts w:cs="Times New Roman"/>
          <w:lang w:val="fr-CA"/>
        </w:rPr>
        <w:t>un délinquant a été reconnu coupable de certaines infractions (art.</w:t>
      </w:r>
      <w:r w:rsidR="00B029AB">
        <w:rPr>
          <w:rFonts w:cs="Times New Roman"/>
          <w:lang w:val="fr-CA"/>
        </w:rPr>
        <w:t xml:space="preserve"> </w:t>
      </w:r>
      <w:r w:rsidRPr="00017532">
        <w:rPr>
          <w:rFonts w:cs="Times New Roman"/>
          <w:lang w:val="fr-CA"/>
        </w:rPr>
        <w:t>109 et 110). Il peut aussi l</w:t>
      </w:r>
      <w:r>
        <w:rPr>
          <w:rFonts w:cs="Times New Roman"/>
          <w:lang w:val="fr-CA"/>
        </w:rPr>
        <w:t>’</w:t>
      </w:r>
      <w:r w:rsidRPr="00017532">
        <w:rPr>
          <w:rFonts w:cs="Times New Roman"/>
          <w:lang w:val="fr-CA"/>
        </w:rPr>
        <w:t>intégrer aux conditions d</w:t>
      </w:r>
      <w:r>
        <w:rPr>
          <w:rFonts w:cs="Times New Roman"/>
          <w:lang w:val="fr-CA"/>
        </w:rPr>
        <w:t>’</w:t>
      </w:r>
      <w:r w:rsidRPr="00017532">
        <w:rPr>
          <w:rFonts w:cs="Times New Roman"/>
          <w:lang w:val="fr-CA"/>
        </w:rPr>
        <w:t>une ordonnance de probation (art.</w:t>
      </w:r>
      <w:r w:rsidR="00B029AB">
        <w:rPr>
          <w:rFonts w:cs="Times New Roman"/>
          <w:lang w:val="fr-CA"/>
        </w:rPr>
        <w:t xml:space="preserve"> </w:t>
      </w:r>
      <w:r w:rsidRPr="00017532">
        <w:rPr>
          <w:rFonts w:cs="Times New Roman"/>
          <w:lang w:val="fr-CA"/>
        </w:rPr>
        <w:t>732.1), à une peine d</w:t>
      </w:r>
      <w:r>
        <w:rPr>
          <w:rFonts w:cs="Times New Roman"/>
          <w:lang w:val="fr-CA"/>
        </w:rPr>
        <w:t>’</w:t>
      </w:r>
      <w:r w:rsidRPr="00017532">
        <w:rPr>
          <w:rFonts w:cs="Times New Roman"/>
          <w:lang w:val="fr-CA"/>
        </w:rPr>
        <w:t>emprisonnement avec sursis (art.</w:t>
      </w:r>
      <w:r w:rsidR="00B029AB">
        <w:rPr>
          <w:rFonts w:cs="Times New Roman"/>
          <w:lang w:val="fr-CA"/>
        </w:rPr>
        <w:t xml:space="preserve"> </w:t>
      </w:r>
      <w:r w:rsidRPr="00017532">
        <w:rPr>
          <w:rFonts w:cs="Times New Roman"/>
          <w:lang w:val="fr-CA"/>
        </w:rPr>
        <w:t>742.3) ou à un engagement de ne pas troubler l</w:t>
      </w:r>
      <w:r>
        <w:rPr>
          <w:rFonts w:cs="Times New Roman"/>
          <w:lang w:val="fr-CA"/>
        </w:rPr>
        <w:t>’</w:t>
      </w:r>
      <w:r w:rsidRPr="00017532">
        <w:rPr>
          <w:rFonts w:cs="Times New Roman"/>
          <w:lang w:val="fr-CA"/>
        </w:rPr>
        <w:t>ordre public (par.</w:t>
      </w:r>
      <w:r w:rsidR="00B029AB">
        <w:rPr>
          <w:rFonts w:cs="Times New Roman"/>
          <w:lang w:val="fr-CA"/>
        </w:rPr>
        <w:t xml:space="preserve"> </w:t>
      </w:r>
      <w:r w:rsidRPr="00017532">
        <w:rPr>
          <w:rFonts w:cs="Times New Roman"/>
          <w:lang w:val="fr-CA"/>
        </w:rPr>
        <w:t>810(3.1)). L</w:t>
      </w:r>
      <w:r>
        <w:rPr>
          <w:rFonts w:cs="Times New Roman"/>
          <w:lang w:val="fr-CA"/>
        </w:rPr>
        <w:t>’</w:t>
      </w:r>
      <w:r w:rsidRPr="00017532">
        <w:rPr>
          <w:rFonts w:cs="Times New Roman"/>
          <w:lang w:val="fr-CA"/>
        </w:rPr>
        <w:t>ordonnance est soit obligatoire, soit discrétionnaire.</w:t>
      </w:r>
    </w:p>
    <w:p w:rsidR="002A4851" w:rsidRPr="00017532" w:rsidRDefault="002A4851" w:rsidP="00A659A4">
      <w:pPr>
        <w:pStyle w:val="ParaNoNdepar-AltN"/>
        <w:rPr>
          <w:rFonts w:cs="Times New Roman"/>
          <w:lang w:val="fr-CA"/>
        </w:rPr>
      </w:pPr>
      <w:r w:rsidRPr="00017532">
        <w:rPr>
          <w:rFonts w:cs="Times New Roman"/>
          <w:lang w:val="fr-CA"/>
        </w:rPr>
        <w:t>La Cour d</w:t>
      </w:r>
      <w:r>
        <w:rPr>
          <w:rFonts w:cs="Times New Roman"/>
          <w:lang w:val="fr-CA"/>
        </w:rPr>
        <w:t>’</w:t>
      </w:r>
      <w:r w:rsidRPr="00017532">
        <w:rPr>
          <w:rFonts w:cs="Times New Roman"/>
          <w:lang w:val="fr-CA"/>
        </w:rPr>
        <w:t>appel reconnaît que la culpabilité morale du récidiviste visé au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)(ii) est plus grande que celle du délinquant déclaré coupable d</w:t>
      </w:r>
      <w:r>
        <w:rPr>
          <w:rFonts w:cs="Times New Roman"/>
          <w:lang w:val="fr-CA"/>
        </w:rPr>
        <w:t>’</w:t>
      </w:r>
      <w:r w:rsidRPr="00017532">
        <w:rPr>
          <w:rFonts w:cs="Times New Roman"/>
          <w:lang w:val="fr-CA"/>
        </w:rPr>
        <w:t>une première infraction. Elle conclut néanmoins que la peine minimale obligatoire de cinq</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emprisonnement est totalement disproportionnée dans le cas du délinquant qui est déclaré coupable sur le fondement du par.</w:t>
      </w:r>
      <w:r w:rsidR="00B029AB">
        <w:rPr>
          <w:rFonts w:cs="Times New Roman"/>
          <w:lang w:val="fr-CA"/>
        </w:rPr>
        <w:t xml:space="preserve"> </w:t>
      </w:r>
      <w:r w:rsidRPr="00017532">
        <w:rPr>
          <w:rFonts w:cs="Times New Roman"/>
          <w:lang w:val="fr-CA"/>
        </w:rPr>
        <w:t>95(1) après l</w:t>
      </w:r>
      <w:r>
        <w:rPr>
          <w:rFonts w:cs="Times New Roman"/>
          <w:lang w:val="fr-CA"/>
        </w:rPr>
        <w:t>’</w:t>
      </w:r>
      <w:r w:rsidRPr="00017532">
        <w:rPr>
          <w:rFonts w:cs="Times New Roman"/>
          <w:lang w:val="fr-CA"/>
        </w:rPr>
        <w:t>avoir été sous le régime du par.</w:t>
      </w:r>
      <w:r w:rsidR="00B029AB">
        <w:rPr>
          <w:rFonts w:cs="Times New Roman"/>
          <w:lang w:val="fr-CA"/>
        </w:rPr>
        <w:t xml:space="preserve"> </w:t>
      </w:r>
      <w:r w:rsidRPr="00017532">
        <w:rPr>
          <w:rFonts w:cs="Times New Roman"/>
          <w:lang w:val="fr-CA"/>
        </w:rPr>
        <w:t>117.01(1) du</w:t>
      </w:r>
      <w:r w:rsidRPr="00017532">
        <w:rPr>
          <w:rFonts w:cs="Times New Roman"/>
          <w:i/>
          <w:lang w:val="fr-CA"/>
        </w:rPr>
        <w:t xml:space="preserve"> Code criminel</w:t>
      </w:r>
      <w:r w:rsidRPr="00017532">
        <w:rPr>
          <w:rFonts w:cs="Times New Roman"/>
          <w:lang w:val="fr-CA"/>
        </w:rPr>
        <w:t xml:space="preserve"> — et condamné en conséquence — pour le non-respect d</w:t>
      </w:r>
      <w:r>
        <w:rPr>
          <w:rFonts w:cs="Times New Roman"/>
          <w:lang w:val="fr-CA"/>
        </w:rPr>
        <w:t>’</w:t>
      </w:r>
      <w:r w:rsidRPr="00017532">
        <w:rPr>
          <w:rFonts w:cs="Times New Roman"/>
          <w:lang w:val="fr-CA"/>
        </w:rPr>
        <w:t>une ordonnance d</w:t>
      </w:r>
      <w:r>
        <w:rPr>
          <w:rFonts w:cs="Times New Roman"/>
          <w:lang w:val="fr-CA"/>
        </w:rPr>
        <w:t>’</w:t>
      </w:r>
      <w:r w:rsidRPr="00017532">
        <w:rPr>
          <w:rFonts w:cs="Times New Roman"/>
          <w:lang w:val="fr-CA"/>
        </w:rPr>
        <w:t xml:space="preserve">interdiction. </w:t>
      </w:r>
    </w:p>
    <w:p w:rsidR="002A4851" w:rsidRPr="00017532" w:rsidRDefault="002A4851" w:rsidP="00A659A4">
      <w:pPr>
        <w:pStyle w:val="ParaNoNdepar-AltN"/>
        <w:rPr>
          <w:rFonts w:cs="Times New Roman"/>
          <w:lang w:val="fr-CA"/>
        </w:rPr>
      </w:pPr>
      <w:r w:rsidRPr="00017532">
        <w:rPr>
          <w:rFonts w:cs="Times New Roman"/>
          <w:lang w:val="fr-CA"/>
        </w:rPr>
        <w:lastRenderedPageBreak/>
        <w:t>La procureure générale de l</w:t>
      </w:r>
      <w:r>
        <w:rPr>
          <w:rFonts w:cs="Times New Roman"/>
          <w:lang w:val="fr-CA"/>
        </w:rPr>
        <w:t>’</w:t>
      </w:r>
      <w:r w:rsidRPr="00017532">
        <w:rPr>
          <w:rFonts w:cs="Times New Roman"/>
          <w:lang w:val="fr-CA"/>
        </w:rPr>
        <w:t>Ontario fait valoir que la Cour d</w:t>
      </w:r>
      <w:r>
        <w:rPr>
          <w:rFonts w:cs="Times New Roman"/>
          <w:lang w:val="fr-CA"/>
        </w:rPr>
        <w:t>’</w:t>
      </w:r>
      <w:r w:rsidRPr="00017532">
        <w:rPr>
          <w:rFonts w:cs="Times New Roman"/>
          <w:lang w:val="fr-CA"/>
        </w:rPr>
        <w:t>appel considère à tort le cas de l</w:t>
      </w:r>
      <w:r>
        <w:rPr>
          <w:rFonts w:cs="Times New Roman"/>
          <w:lang w:val="fr-CA"/>
        </w:rPr>
        <w:t>’</w:t>
      </w:r>
      <w:r w:rsidRPr="00017532">
        <w:rPr>
          <w:rFonts w:cs="Times New Roman"/>
          <w:lang w:val="fr-CA"/>
        </w:rPr>
        <w:t>auteur d</w:t>
      </w:r>
      <w:r>
        <w:rPr>
          <w:rFonts w:cs="Times New Roman"/>
          <w:lang w:val="fr-CA"/>
        </w:rPr>
        <w:t>’</w:t>
      </w:r>
      <w:r w:rsidRPr="00017532">
        <w:rPr>
          <w:rFonts w:cs="Times New Roman"/>
          <w:lang w:val="fr-CA"/>
        </w:rPr>
        <w:t>une infraction réglementaire visée au par.</w:t>
      </w:r>
      <w:r w:rsidR="00B029AB">
        <w:rPr>
          <w:rFonts w:cs="Times New Roman"/>
          <w:lang w:val="fr-CA"/>
        </w:rPr>
        <w:t xml:space="preserve"> </w:t>
      </w:r>
      <w:r w:rsidRPr="00017532">
        <w:rPr>
          <w:rFonts w:cs="Times New Roman"/>
          <w:lang w:val="fr-CA"/>
        </w:rPr>
        <w:t>95(1) qui a auparavant été reconnu coupable de l</w:t>
      </w:r>
      <w:r>
        <w:rPr>
          <w:rFonts w:cs="Times New Roman"/>
          <w:lang w:val="fr-CA"/>
        </w:rPr>
        <w:t>’</w:t>
      </w:r>
      <w:r w:rsidRPr="00017532">
        <w:rPr>
          <w:rFonts w:cs="Times New Roman"/>
          <w:lang w:val="fr-CA"/>
        </w:rPr>
        <w:t>infraction prévue au par.</w:t>
      </w:r>
      <w:r w:rsidR="00B029AB">
        <w:rPr>
          <w:rFonts w:cs="Times New Roman"/>
          <w:lang w:val="fr-CA"/>
        </w:rPr>
        <w:t xml:space="preserve"> </w:t>
      </w:r>
      <w:r w:rsidRPr="00017532">
        <w:rPr>
          <w:rFonts w:cs="Times New Roman"/>
          <w:lang w:val="fr-CA"/>
        </w:rPr>
        <w:t>117.01(1), car la déclaration de culpabilité antérieure aurait automatiquement emporté une interdiction perpétuelle d</w:t>
      </w:r>
      <w:r>
        <w:rPr>
          <w:rFonts w:cs="Times New Roman"/>
          <w:lang w:val="fr-CA"/>
        </w:rPr>
        <w:t>’</w:t>
      </w:r>
      <w:r w:rsidRPr="00017532">
        <w:rPr>
          <w:rFonts w:cs="Times New Roman"/>
          <w:lang w:val="fr-CA"/>
        </w:rPr>
        <w:t>avoir en sa possession une arme à feu prohibée ou à autorisation restreinte (art.</w:t>
      </w:r>
      <w:r w:rsidR="00B029AB">
        <w:rPr>
          <w:rFonts w:cs="Times New Roman"/>
          <w:lang w:val="fr-CA"/>
        </w:rPr>
        <w:t xml:space="preserve"> </w:t>
      </w:r>
      <w:r w:rsidRPr="00017532">
        <w:rPr>
          <w:rFonts w:cs="Times New Roman"/>
          <w:lang w:val="fr-CA"/>
        </w:rPr>
        <w:t xml:space="preserve">109 du </w:t>
      </w:r>
      <w:r w:rsidRPr="00017532">
        <w:rPr>
          <w:rFonts w:cs="Times New Roman"/>
          <w:i/>
          <w:lang w:val="fr-CA"/>
        </w:rPr>
        <w:t>Code criminel</w:t>
      </w:r>
      <w:r w:rsidRPr="00017532">
        <w:rPr>
          <w:rFonts w:cs="Times New Roman"/>
          <w:lang w:val="fr-CA"/>
        </w:rPr>
        <w:t>). Selon sa thèse, il serait alors presque impossible à un délinquant déclaré coupable de l</w:t>
      </w:r>
      <w:r>
        <w:rPr>
          <w:rFonts w:cs="Times New Roman"/>
          <w:lang w:val="fr-CA"/>
        </w:rPr>
        <w:t>’</w:t>
      </w:r>
      <w:r w:rsidRPr="00017532">
        <w:rPr>
          <w:rFonts w:cs="Times New Roman"/>
          <w:lang w:val="fr-CA"/>
        </w:rPr>
        <w:t>infraction prévue au par.</w:t>
      </w:r>
      <w:r w:rsidR="00B029AB">
        <w:rPr>
          <w:rFonts w:cs="Times New Roman"/>
          <w:lang w:val="fr-CA"/>
        </w:rPr>
        <w:t xml:space="preserve"> </w:t>
      </w:r>
      <w:r w:rsidRPr="00017532">
        <w:rPr>
          <w:rFonts w:cs="Times New Roman"/>
          <w:lang w:val="fr-CA"/>
        </w:rPr>
        <w:t>117.01(1) d</w:t>
      </w:r>
      <w:r>
        <w:rPr>
          <w:rFonts w:cs="Times New Roman"/>
          <w:lang w:val="fr-CA"/>
        </w:rPr>
        <w:t>’</w:t>
      </w:r>
      <w:r w:rsidRPr="00017532">
        <w:rPr>
          <w:rFonts w:cs="Times New Roman"/>
          <w:lang w:val="fr-CA"/>
        </w:rPr>
        <w:t>obtenir un permis et un certificat d</w:t>
      </w:r>
      <w:r>
        <w:rPr>
          <w:rFonts w:cs="Times New Roman"/>
          <w:lang w:val="fr-CA"/>
        </w:rPr>
        <w:t>’</w:t>
      </w:r>
      <w:r w:rsidRPr="00017532">
        <w:rPr>
          <w:rFonts w:cs="Times New Roman"/>
          <w:lang w:val="fr-CA"/>
        </w:rPr>
        <w:t>enregistrement pour une arme à feu prohibée ou à autorisation restreinte. L</w:t>
      </w:r>
      <w:r>
        <w:rPr>
          <w:rFonts w:cs="Times New Roman"/>
          <w:lang w:val="fr-CA"/>
        </w:rPr>
        <w:t>’</w:t>
      </w:r>
      <w:r w:rsidRPr="00017532">
        <w:rPr>
          <w:rFonts w:cs="Times New Roman"/>
          <w:lang w:val="fr-CA"/>
        </w:rPr>
        <w:t>interdiction pourrait être levée suivant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113 du </w:t>
      </w:r>
      <w:r w:rsidRPr="00017532">
        <w:rPr>
          <w:rFonts w:cs="Times New Roman"/>
          <w:i/>
          <w:lang w:val="fr-CA"/>
        </w:rPr>
        <w:t>Code criminel</w:t>
      </w:r>
      <w:r w:rsidRPr="00017532">
        <w:rPr>
          <w:rFonts w:cs="Times New Roman"/>
          <w:lang w:val="fr-CA"/>
        </w:rPr>
        <w:t xml:space="preserve">, mais uniquement à des fins de subsistance ou pour le travail. On fait valoir que nul ne saurait établir la nécessité de posséder une arme à feu prohibée ou à autorisation restreinte pour la chasse ou le piégeage visant à assurer la subsistance de sa famille. </w:t>
      </w:r>
    </w:p>
    <w:p w:rsidR="002A4851" w:rsidRPr="00017532" w:rsidRDefault="002A4851" w:rsidP="00A659A4">
      <w:pPr>
        <w:pStyle w:val="ParaNoNdepar-AltN"/>
        <w:rPr>
          <w:rFonts w:cs="Times New Roman"/>
          <w:lang w:val="fr-CA"/>
        </w:rPr>
      </w:pPr>
      <w:r w:rsidRPr="00017532">
        <w:rPr>
          <w:rFonts w:cs="Times New Roman"/>
          <w:lang w:val="fr-CA"/>
        </w:rPr>
        <w:t>Je conviens que la Cour d</w:t>
      </w:r>
      <w:r>
        <w:rPr>
          <w:rFonts w:cs="Times New Roman"/>
          <w:lang w:val="fr-CA"/>
        </w:rPr>
        <w:t>’</w:t>
      </w:r>
      <w:r w:rsidRPr="00017532">
        <w:rPr>
          <w:rFonts w:cs="Times New Roman"/>
          <w:lang w:val="fr-CA"/>
        </w:rPr>
        <w:t>appel a tort de conclure qu</w:t>
      </w:r>
      <w:r>
        <w:rPr>
          <w:rFonts w:cs="Times New Roman"/>
          <w:lang w:val="fr-CA"/>
        </w:rPr>
        <w:t>’</w:t>
      </w:r>
      <w:r w:rsidRPr="00017532">
        <w:rPr>
          <w:rFonts w:cs="Times New Roman"/>
          <w:lang w:val="fr-CA"/>
        </w:rPr>
        <w:t>il est raisonnablement prévisible qu</w:t>
      </w:r>
      <w:r>
        <w:rPr>
          <w:rFonts w:cs="Times New Roman"/>
          <w:lang w:val="fr-CA"/>
        </w:rPr>
        <w:t>’</w:t>
      </w:r>
      <w:r w:rsidRPr="00017532">
        <w:rPr>
          <w:rFonts w:cs="Times New Roman"/>
          <w:lang w:val="fr-CA"/>
        </w:rPr>
        <w:t>un récidiviste soit titulaire d</w:t>
      </w:r>
      <w:r>
        <w:rPr>
          <w:rFonts w:cs="Times New Roman"/>
          <w:lang w:val="fr-CA"/>
        </w:rPr>
        <w:t>’</w:t>
      </w:r>
      <w:r w:rsidRPr="00017532">
        <w:rPr>
          <w:rFonts w:cs="Times New Roman"/>
          <w:lang w:val="fr-CA"/>
        </w:rPr>
        <w:t>un permis de possession d</w:t>
      </w:r>
      <w:r>
        <w:rPr>
          <w:rFonts w:cs="Times New Roman"/>
          <w:lang w:val="fr-CA"/>
        </w:rPr>
        <w:t>’</w:t>
      </w:r>
      <w:r w:rsidRPr="00017532">
        <w:rPr>
          <w:rFonts w:cs="Times New Roman"/>
          <w:lang w:val="fr-CA"/>
        </w:rPr>
        <w:t>une arme à feu prohibée ou à autorisation restreinte. L</w:t>
      </w:r>
      <w:r>
        <w:rPr>
          <w:rFonts w:cs="Times New Roman"/>
          <w:lang w:val="fr-CA"/>
        </w:rPr>
        <w:t>’</w:t>
      </w:r>
      <w:r w:rsidRPr="00017532">
        <w:rPr>
          <w:rFonts w:cs="Times New Roman"/>
          <w:lang w:val="fr-CA"/>
        </w:rPr>
        <w:t>analyse ne prend pas fin pour autant. Le tribunal doit mettre à l</w:t>
      </w:r>
      <w:r>
        <w:rPr>
          <w:rFonts w:cs="Times New Roman"/>
          <w:lang w:val="fr-CA"/>
        </w:rPr>
        <w:t>’</w:t>
      </w:r>
      <w:r w:rsidRPr="00017532">
        <w:rPr>
          <w:rFonts w:cs="Times New Roman"/>
          <w:lang w:val="fr-CA"/>
        </w:rPr>
        <w:t>épreuve les applications raisonnablement prévisibles du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)(ii). Suivant la disposition qui prévoit la peine minimale obligatoire contestée, une peine carcérale de cinq</w:t>
      </w:r>
      <w:r w:rsidR="00B029AB">
        <w:rPr>
          <w:rFonts w:cs="Times New Roman"/>
          <w:lang w:val="fr-CA"/>
        </w:rPr>
        <w:t xml:space="preserve"> </w:t>
      </w:r>
      <w:r w:rsidRPr="00017532">
        <w:rPr>
          <w:rFonts w:cs="Times New Roman"/>
          <w:lang w:val="fr-CA"/>
        </w:rPr>
        <w:t>ans pourrait être infligée à la personne qui contrevient à l</w:t>
      </w:r>
      <w:r>
        <w:rPr>
          <w:rFonts w:cs="Times New Roman"/>
          <w:lang w:val="fr-CA"/>
        </w:rPr>
        <w:t>’</w:t>
      </w:r>
      <w:r w:rsidRPr="00017532">
        <w:rPr>
          <w:rFonts w:cs="Times New Roman"/>
          <w:lang w:val="fr-CA"/>
        </w:rPr>
        <w:t>ordonnance d</w:t>
      </w:r>
      <w:r>
        <w:rPr>
          <w:rFonts w:cs="Times New Roman"/>
          <w:lang w:val="fr-CA"/>
        </w:rPr>
        <w:t>’</w:t>
      </w:r>
      <w:r w:rsidRPr="00017532">
        <w:rPr>
          <w:rFonts w:cs="Times New Roman"/>
          <w:lang w:val="fr-CA"/>
        </w:rPr>
        <w:t>interdiction dont est assortie sa mise en liberté sous caution et qui, quelques années plus tard, sans dessein criminel, mais sans avoir obtenu au préalable une autorisation ou un permis, entre en possession d</w:t>
      </w:r>
      <w:r>
        <w:rPr>
          <w:rFonts w:cs="Times New Roman"/>
          <w:lang w:val="fr-CA"/>
        </w:rPr>
        <w:t>’</w:t>
      </w:r>
      <w:r w:rsidRPr="00017532">
        <w:rPr>
          <w:rFonts w:cs="Times New Roman"/>
          <w:lang w:val="fr-CA"/>
        </w:rPr>
        <w:t xml:space="preserve">une </w:t>
      </w:r>
      <w:r w:rsidRPr="00017532">
        <w:rPr>
          <w:rFonts w:cs="Times New Roman"/>
          <w:lang w:val="fr-CA"/>
        </w:rPr>
        <w:lastRenderedPageBreak/>
        <w:t>arme à feu prohibée ou à autorisation restreinte et de munitions facilement accessibles qu</w:t>
      </w:r>
      <w:r>
        <w:rPr>
          <w:rFonts w:cs="Times New Roman"/>
          <w:lang w:val="fr-CA"/>
        </w:rPr>
        <w:t>’</w:t>
      </w:r>
      <w:r w:rsidRPr="00017532">
        <w:rPr>
          <w:rFonts w:cs="Times New Roman"/>
          <w:lang w:val="fr-CA"/>
        </w:rPr>
        <w:t>il entrepose à proximité.</w:t>
      </w:r>
    </w:p>
    <w:p w:rsidR="002A4851" w:rsidRPr="00017532" w:rsidRDefault="002A4851" w:rsidP="00A659A4">
      <w:pPr>
        <w:pStyle w:val="ParaNoNdepar-AltN"/>
        <w:rPr>
          <w:rFonts w:cs="Times New Roman"/>
          <w:lang w:val="fr-CA"/>
        </w:rPr>
      </w:pPr>
      <w:r w:rsidRPr="00017532">
        <w:rPr>
          <w:rFonts w:cs="Times New Roman"/>
          <w:lang w:val="fr-CA"/>
        </w:rPr>
        <w:t>Dans ce cas, cinq</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emprisonnement constitueraient une peine draconienne, une peine qui dépasse largement ce qu</w:t>
      </w:r>
      <w:r>
        <w:rPr>
          <w:rFonts w:cs="Times New Roman"/>
          <w:lang w:val="fr-CA"/>
        </w:rPr>
        <w:t>’</w:t>
      </w:r>
      <w:r w:rsidRPr="00017532">
        <w:rPr>
          <w:rFonts w:cs="Times New Roman"/>
          <w:lang w:val="fr-CA"/>
        </w:rPr>
        <w:t>exigent la protection du public, la réprobation morale du délinquant et la dissuasion d</w:t>
      </w:r>
      <w:r>
        <w:rPr>
          <w:rFonts w:cs="Times New Roman"/>
          <w:lang w:val="fr-CA"/>
        </w:rPr>
        <w:t>’</w:t>
      </w:r>
      <w:r w:rsidRPr="00017532">
        <w:rPr>
          <w:rFonts w:cs="Times New Roman"/>
          <w:lang w:val="fr-CA"/>
        </w:rPr>
        <w:t>autrui de faire de même. En bref, la peine serait totalement disproportionnée. Le délinquant n</w:t>
      </w:r>
      <w:r>
        <w:rPr>
          <w:rFonts w:cs="Times New Roman"/>
          <w:lang w:val="fr-CA"/>
        </w:rPr>
        <w:t>’</w:t>
      </w:r>
      <w:r w:rsidRPr="00017532">
        <w:rPr>
          <w:rFonts w:cs="Times New Roman"/>
          <w:lang w:val="fr-CA"/>
        </w:rPr>
        <w:t>a causé aucun préjudice ni exposé le public à un risque réel de préjudice. Le délinquant ne s</w:t>
      </w:r>
      <w:r>
        <w:rPr>
          <w:rFonts w:cs="Times New Roman"/>
          <w:lang w:val="fr-CA"/>
        </w:rPr>
        <w:t>’</w:t>
      </w:r>
      <w:r w:rsidRPr="00017532">
        <w:rPr>
          <w:rFonts w:cs="Times New Roman"/>
          <w:lang w:val="fr-CA"/>
        </w:rPr>
        <w:t xml:space="preserve">est livré à aucune activité criminelle. </w:t>
      </w:r>
    </w:p>
    <w:p w:rsidR="002A4851" w:rsidRPr="00017532" w:rsidRDefault="002A4851" w:rsidP="00A659A4">
      <w:pPr>
        <w:pStyle w:val="ParaNoNdepar-AltN"/>
        <w:rPr>
          <w:rFonts w:cs="Times New Roman"/>
          <w:lang w:val="fr-CA"/>
        </w:rPr>
      </w:pPr>
      <w:r w:rsidRPr="00017532">
        <w:rPr>
          <w:rFonts w:cs="Times New Roman"/>
          <w:lang w:val="fr-CA"/>
        </w:rPr>
        <w:t>Il ne fait aucun doute que, dans bien des cas, le délinquant qui récidive au sens du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)(ii) doit être condamné à une peine carcérale et que, parfois, il faut lui infliger une peine de longue durée. La peine de sept</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emprisonnement infligée à M.</w:t>
      </w:r>
      <w:r w:rsidR="00B029AB">
        <w:rPr>
          <w:rFonts w:cs="Times New Roman"/>
          <w:lang w:val="fr-CA"/>
        </w:rPr>
        <w:t xml:space="preserve"> </w:t>
      </w:r>
      <w:r w:rsidRPr="00017532">
        <w:rPr>
          <w:rFonts w:cs="Times New Roman"/>
          <w:lang w:val="fr-CA"/>
        </w:rPr>
        <w:t>Charles constitue un bon exemple. Toutefois, il serait totalement disproportionné d</w:t>
      </w:r>
      <w:r>
        <w:rPr>
          <w:rFonts w:cs="Times New Roman"/>
          <w:lang w:val="fr-CA"/>
        </w:rPr>
        <w:t>’</w:t>
      </w:r>
      <w:r w:rsidRPr="00017532">
        <w:rPr>
          <w:rFonts w:cs="Times New Roman"/>
          <w:lang w:val="fr-CA"/>
        </w:rPr>
        <w:t>infliger une peine minimale de cinq</w:t>
      </w:r>
      <w:r w:rsidR="00B029AB">
        <w:rPr>
          <w:rFonts w:cs="Times New Roman"/>
          <w:lang w:val="fr-CA"/>
        </w:rPr>
        <w:t xml:space="preserve"> </w:t>
      </w:r>
      <w:r w:rsidRPr="00017532">
        <w:rPr>
          <w:rFonts w:cs="Times New Roman"/>
          <w:lang w:val="fr-CA"/>
        </w:rPr>
        <w:t>ans d</w:t>
      </w:r>
      <w:r>
        <w:rPr>
          <w:rFonts w:cs="Times New Roman"/>
          <w:lang w:val="fr-CA"/>
        </w:rPr>
        <w:t>’</w:t>
      </w:r>
      <w:r w:rsidRPr="00017532">
        <w:rPr>
          <w:rFonts w:cs="Times New Roman"/>
          <w:lang w:val="fr-CA"/>
        </w:rPr>
        <w:t>emprisonnement à l</w:t>
      </w:r>
      <w:r>
        <w:rPr>
          <w:rFonts w:cs="Times New Roman"/>
          <w:lang w:val="fr-CA"/>
        </w:rPr>
        <w:t>’</w:t>
      </w:r>
      <w:r w:rsidRPr="00017532">
        <w:rPr>
          <w:rFonts w:cs="Times New Roman"/>
          <w:lang w:val="fr-CA"/>
        </w:rPr>
        <w:t>auteur d</w:t>
      </w:r>
      <w:r>
        <w:rPr>
          <w:rFonts w:cs="Times New Roman"/>
          <w:lang w:val="fr-CA"/>
        </w:rPr>
        <w:t>’</w:t>
      </w:r>
      <w:r w:rsidRPr="00017532">
        <w:rPr>
          <w:rFonts w:cs="Times New Roman"/>
          <w:lang w:val="fr-CA"/>
        </w:rPr>
        <w:t xml:space="preserve">une infraction de moindre gravité qui tombe sous le coup de la disposition. </w:t>
      </w:r>
    </w:p>
    <w:p w:rsidR="002A4851" w:rsidRPr="00017532" w:rsidRDefault="002A4851" w:rsidP="00A659A4">
      <w:pPr>
        <w:pStyle w:val="ParaNoNdepar-AltN"/>
        <w:rPr>
          <w:rFonts w:cs="Times New Roman"/>
          <w:lang w:val="fr-CA"/>
        </w:rPr>
      </w:pPr>
      <w:r w:rsidRPr="00017532">
        <w:rPr>
          <w:rFonts w:cs="Times New Roman"/>
          <w:lang w:val="fr-CA"/>
        </w:rPr>
        <w:t>Dès lors, le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)(ii) viole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xml:space="preserve"> qui garantit la protection contre les peines totalement disproportionnées.</w:t>
      </w:r>
    </w:p>
    <w:p w:rsidR="002A4851" w:rsidRPr="00017532" w:rsidRDefault="002A4851" w:rsidP="00A659A4">
      <w:pPr>
        <w:pStyle w:val="Title2LevelTitre2Niveau"/>
        <w:ind w:left="578" w:hanging="578"/>
        <w:rPr>
          <w:rFonts w:cs="Times New Roman"/>
          <w:lang w:val="fr-CA"/>
        </w:rPr>
      </w:pPr>
      <w:r w:rsidRPr="00017532">
        <w:rPr>
          <w:rFonts w:cs="Times New Roman"/>
          <w:lang w:val="fr-CA"/>
        </w:rPr>
        <w:t>La peine minimale obligatoire contrevient-elle à l</w:t>
      </w:r>
      <w:r>
        <w:rPr>
          <w:rFonts w:cs="Times New Roman"/>
          <w:lang w:val="fr-CA"/>
        </w:rPr>
        <w:t>’</w:t>
      </w:r>
      <w:r w:rsidRPr="00017532">
        <w:rPr>
          <w:rFonts w:cs="Times New Roman"/>
          <w:lang w:val="fr-CA"/>
        </w:rPr>
        <w:t>art</w:t>
      </w:r>
      <w:r w:rsidR="00205E49">
        <w:rPr>
          <w:rFonts w:cs="Times New Roman"/>
          <w:lang w:val="fr-CA"/>
        </w:rPr>
        <w:t>.</w:t>
      </w:r>
      <w:r w:rsidR="00B029AB">
        <w:rPr>
          <w:rFonts w:cs="Times New Roman"/>
          <w:lang w:val="fr-CA"/>
        </w:rPr>
        <w:t xml:space="preserve"> </w:t>
      </w:r>
      <w:r w:rsidRPr="00017532">
        <w:rPr>
          <w:rFonts w:cs="Times New Roman"/>
          <w:lang w:val="fr-CA"/>
        </w:rPr>
        <w:t>7 de la Charte?</w:t>
      </w:r>
    </w:p>
    <w:p w:rsidR="002A4851" w:rsidRPr="00017532" w:rsidRDefault="002A4851" w:rsidP="00A659A4">
      <w:pPr>
        <w:pStyle w:val="ParaNoNdepar-AltN"/>
        <w:rPr>
          <w:rFonts w:cs="Times New Roman"/>
          <w:lang w:val="fr-CA"/>
        </w:rPr>
      </w:pPr>
      <w:r w:rsidRPr="00017532">
        <w:rPr>
          <w:rFonts w:cs="Times New Roman"/>
          <w:lang w:val="fr-CA"/>
        </w:rPr>
        <w:t>MM.</w:t>
      </w:r>
      <w:r w:rsidR="00B029AB">
        <w:rPr>
          <w:rFonts w:cs="Times New Roman"/>
          <w:lang w:val="fr-CA"/>
        </w:rPr>
        <w:t xml:space="preserve"> </w:t>
      </w:r>
      <w:r w:rsidRPr="00017532">
        <w:rPr>
          <w:rFonts w:cs="Times New Roman"/>
          <w:lang w:val="fr-CA"/>
        </w:rPr>
        <w:t>Nur et</w:t>
      </w:r>
      <w:r w:rsidR="00B029AB">
        <w:rPr>
          <w:rFonts w:cs="Times New Roman"/>
          <w:lang w:val="fr-CA"/>
        </w:rPr>
        <w:t xml:space="preserve"> </w:t>
      </w:r>
      <w:r w:rsidRPr="00017532">
        <w:rPr>
          <w:rFonts w:cs="Times New Roman"/>
          <w:lang w:val="fr-CA"/>
        </w:rPr>
        <w:t>Charles contestent les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 et (ii) sur le fondement non seulement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mais aussi de son art.</w:t>
      </w:r>
      <w:r w:rsidR="00B029AB">
        <w:rPr>
          <w:rFonts w:cs="Times New Roman"/>
          <w:lang w:val="fr-CA"/>
        </w:rPr>
        <w:t xml:space="preserve"> </w:t>
      </w:r>
      <w:r w:rsidRPr="00017532">
        <w:rPr>
          <w:rFonts w:cs="Times New Roman"/>
          <w:lang w:val="fr-CA"/>
        </w:rPr>
        <w:t>7. L</w:t>
      </w:r>
      <w:r>
        <w:rPr>
          <w:rFonts w:cs="Times New Roman"/>
          <w:lang w:val="fr-CA"/>
        </w:rPr>
        <w:t>’</w:t>
      </w:r>
      <w:r w:rsidRPr="00017532">
        <w:rPr>
          <w:rFonts w:cs="Times New Roman"/>
          <w:lang w:val="fr-CA"/>
        </w:rPr>
        <w:t>article</w:t>
      </w:r>
      <w:r w:rsidR="00B029AB">
        <w:rPr>
          <w:rFonts w:cs="Times New Roman"/>
          <w:lang w:val="fr-CA"/>
        </w:rPr>
        <w:t xml:space="preserve"> </w:t>
      </w:r>
      <w:r w:rsidRPr="00017532">
        <w:rPr>
          <w:rFonts w:cs="Times New Roman"/>
          <w:lang w:val="fr-CA"/>
        </w:rPr>
        <w:lastRenderedPageBreak/>
        <w:t xml:space="preserve">7 garantit à chacun </w:t>
      </w:r>
      <w:r w:rsidR="00205E49" w:rsidRPr="00017532">
        <w:rPr>
          <w:rFonts w:cs="Times New Roman"/>
          <w:lang w:val="fr-CA"/>
        </w:rPr>
        <w:t xml:space="preserve">le </w:t>
      </w:r>
      <w:r w:rsidR="00B029AB">
        <w:rPr>
          <w:rFonts w:cs="Times New Roman"/>
          <w:lang w:val="fr-CA"/>
        </w:rPr>
        <w:t>« </w:t>
      </w:r>
      <w:r w:rsidRPr="00017532">
        <w:rPr>
          <w:rFonts w:cs="Times New Roman"/>
          <w:lang w:val="fr-CA"/>
        </w:rPr>
        <w:t>droit à la vie, à la liberté et à la sécurité de sa personne; il ne peut être porté atteinte à ce droit qu</w:t>
      </w:r>
      <w:r>
        <w:rPr>
          <w:rFonts w:cs="Times New Roman"/>
          <w:lang w:val="fr-CA"/>
        </w:rPr>
        <w:t>’</w:t>
      </w:r>
      <w:r w:rsidRPr="00017532">
        <w:rPr>
          <w:rFonts w:cs="Times New Roman"/>
          <w:lang w:val="fr-CA"/>
        </w:rPr>
        <w:t>en conformité avec les principes de justice fondamentale</w:t>
      </w:r>
      <w:r w:rsidR="00B029AB">
        <w:rPr>
          <w:rFonts w:cs="Times New Roman"/>
          <w:lang w:val="fr-CA"/>
        </w:rPr>
        <w:t> »</w:t>
      </w:r>
      <w:r w:rsidRPr="00017532">
        <w:rPr>
          <w:rFonts w:cs="Times New Roman"/>
          <w:lang w:val="fr-CA"/>
        </w:rPr>
        <w:t>. MM.</w:t>
      </w:r>
      <w:r w:rsidR="00B029AB">
        <w:rPr>
          <w:rFonts w:cs="Times New Roman"/>
          <w:lang w:val="fr-CA"/>
        </w:rPr>
        <w:t xml:space="preserve"> </w:t>
      </w:r>
      <w:r w:rsidRPr="00017532">
        <w:rPr>
          <w:rFonts w:cs="Times New Roman"/>
          <w:lang w:val="fr-CA"/>
        </w:rPr>
        <w:t>Nur et Charles invoquent deux principes de justice fondamentale</w:t>
      </w:r>
      <w:r w:rsidR="00B029AB">
        <w:rPr>
          <w:rFonts w:cs="Times New Roman"/>
          <w:lang w:val="fr-CA"/>
        </w:rPr>
        <w:t> :</w:t>
      </w:r>
      <w:r w:rsidRPr="00017532">
        <w:rPr>
          <w:rFonts w:cs="Times New Roman"/>
          <w:lang w:val="fr-CA"/>
        </w:rPr>
        <w:t xml:space="preserve"> la loi qui prive une personne de sa liberté ne doit pas être arbitraire (il doit exister un lien entre son effet et son objet) et la loi qui prive une personne de sa liberté ne doit pas avoir une portée excessive (sa portée ne doit pas être trop grande et faire ainsi obstacle à un comportement qui n</w:t>
      </w:r>
      <w:r>
        <w:rPr>
          <w:rFonts w:cs="Times New Roman"/>
          <w:lang w:val="fr-CA"/>
        </w:rPr>
        <w:t>’</w:t>
      </w:r>
      <w:r w:rsidRPr="00017532">
        <w:rPr>
          <w:rFonts w:cs="Times New Roman"/>
          <w:lang w:val="fr-CA"/>
        </w:rPr>
        <w:t>a aucun lien avec son objectif).</w:t>
      </w:r>
    </w:p>
    <w:p w:rsidR="002A4851" w:rsidRPr="00017532" w:rsidRDefault="002A4851" w:rsidP="00A659A4">
      <w:pPr>
        <w:pStyle w:val="ParaNoNdepar-AltN"/>
        <w:rPr>
          <w:rFonts w:cs="Times New Roman"/>
          <w:lang w:val="fr-CA"/>
        </w:rPr>
      </w:pPr>
      <w:r w:rsidRPr="00017532">
        <w:rPr>
          <w:rFonts w:cs="Times New Roman"/>
          <w:lang w:val="fr-CA"/>
        </w:rPr>
        <w:t>Selon M.</w:t>
      </w:r>
      <w:r w:rsidR="00B029AB">
        <w:rPr>
          <w:rFonts w:cs="Times New Roman"/>
          <w:lang w:val="fr-CA"/>
        </w:rPr>
        <w:t xml:space="preserve"> </w:t>
      </w:r>
      <w:r w:rsidRPr="00017532">
        <w:rPr>
          <w:rFonts w:cs="Times New Roman"/>
          <w:lang w:val="fr-CA"/>
        </w:rPr>
        <w:t>Nur, l</w:t>
      </w:r>
      <w:r>
        <w:rPr>
          <w:rFonts w:cs="Times New Roman"/>
          <w:lang w:val="fr-CA"/>
        </w:rPr>
        <w:t>’</w:t>
      </w:r>
      <w:r w:rsidRPr="00017532">
        <w:rPr>
          <w:rFonts w:cs="Times New Roman"/>
          <w:lang w:val="fr-CA"/>
        </w:rPr>
        <w:t>écart de deux</w:t>
      </w:r>
      <w:r w:rsidR="00B029AB">
        <w:rPr>
          <w:rFonts w:cs="Times New Roman"/>
          <w:lang w:val="fr-CA"/>
        </w:rPr>
        <w:t xml:space="preserve"> </w:t>
      </w:r>
      <w:r w:rsidRPr="00017532">
        <w:rPr>
          <w:rFonts w:cs="Times New Roman"/>
          <w:lang w:val="fr-CA"/>
        </w:rPr>
        <w:t>ans entre la peine maximale d</w:t>
      </w:r>
      <w:r>
        <w:rPr>
          <w:rFonts w:cs="Times New Roman"/>
          <w:lang w:val="fr-CA"/>
        </w:rPr>
        <w:t>’</w:t>
      </w:r>
      <w:r w:rsidRPr="00017532">
        <w:rPr>
          <w:rFonts w:cs="Times New Roman"/>
          <w:lang w:val="fr-CA"/>
        </w:rPr>
        <w:t>un</w:t>
      </w:r>
      <w:r w:rsidR="00B029AB">
        <w:rPr>
          <w:rFonts w:cs="Times New Roman"/>
          <w:lang w:val="fr-CA"/>
        </w:rPr>
        <w:t xml:space="preserve"> </w:t>
      </w:r>
      <w:r w:rsidRPr="00017532">
        <w:rPr>
          <w:rFonts w:cs="Times New Roman"/>
          <w:lang w:val="fr-CA"/>
        </w:rPr>
        <w:t>an qui peut être infligée lorsque le ministère public opte pour la procédure sommaire et la peine minimale obligatoire de trois</w:t>
      </w:r>
      <w:r w:rsidR="00B029AB">
        <w:rPr>
          <w:rFonts w:cs="Times New Roman"/>
          <w:lang w:val="fr-CA"/>
        </w:rPr>
        <w:t xml:space="preserve"> </w:t>
      </w:r>
      <w:r w:rsidRPr="00017532">
        <w:rPr>
          <w:rFonts w:cs="Times New Roman"/>
          <w:lang w:val="fr-CA"/>
        </w:rPr>
        <w:t>ans infligée lorsque le ministère public opte pour la mise en accusation est arbitraire, contrairement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 de la </w:t>
      </w:r>
      <w:r w:rsidRPr="00017532">
        <w:rPr>
          <w:rFonts w:cs="Times New Roman"/>
          <w:i/>
          <w:lang w:val="fr-CA"/>
        </w:rPr>
        <w:t>Charte</w:t>
      </w:r>
      <w:r w:rsidRPr="00017532">
        <w:rPr>
          <w:rFonts w:cs="Times New Roman"/>
          <w:lang w:val="fr-CA"/>
        </w:rPr>
        <w:t>, parce qu</w:t>
      </w:r>
      <w:r>
        <w:rPr>
          <w:rFonts w:cs="Times New Roman"/>
          <w:lang w:val="fr-CA"/>
        </w:rPr>
        <w:t>’</w:t>
      </w:r>
      <w:r w:rsidRPr="00017532">
        <w:rPr>
          <w:rFonts w:cs="Times New Roman"/>
          <w:lang w:val="fr-CA"/>
        </w:rPr>
        <w:t>il nuit à la souplesse du régime mixte en supprimant une fourchette de deux années entières au titre de la peine lorsque le ministère public opte pour la procédure sommaire. M.</w:t>
      </w:r>
      <w:r w:rsidR="00B029AB">
        <w:rPr>
          <w:rFonts w:cs="Times New Roman"/>
          <w:lang w:val="fr-CA"/>
        </w:rPr>
        <w:t xml:space="preserve"> </w:t>
      </w:r>
      <w:r w:rsidRPr="00017532">
        <w:rPr>
          <w:rFonts w:cs="Times New Roman"/>
          <w:lang w:val="fr-CA"/>
        </w:rPr>
        <w:t>Nur fait valoir que l</w:t>
      </w:r>
      <w:r>
        <w:rPr>
          <w:rFonts w:cs="Times New Roman"/>
          <w:lang w:val="fr-CA"/>
        </w:rPr>
        <w:t>’</w:t>
      </w:r>
      <w:r w:rsidRPr="00017532">
        <w:rPr>
          <w:rFonts w:cs="Times New Roman"/>
          <w:lang w:val="fr-CA"/>
        </w:rPr>
        <w:t>écart de deux</w:t>
      </w:r>
      <w:r w:rsidR="00B029AB">
        <w:rPr>
          <w:rFonts w:cs="Times New Roman"/>
          <w:lang w:val="fr-CA"/>
        </w:rPr>
        <w:t xml:space="preserve"> </w:t>
      </w:r>
      <w:r w:rsidRPr="00017532">
        <w:rPr>
          <w:rFonts w:cs="Times New Roman"/>
          <w:lang w:val="fr-CA"/>
        </w:rPr>
        <w:t>ans n</w:t>
      </w:r>
      <w:r>
        <w:rPr>
          <w:rFonts w:cs="Times New Roman"/>
          <w:lang w:val="fr-CA"/>
        </w:rPr>
        <w:t>’</w:t>
      </w:r>
      <w:r w:rsidRPr="00017532">
        <w:rPr>
          <w:rFonts w:cs="Times New Roman"/>
          <w:lang w:val="fr-CA"/>
        </w:rPr>
        <w:t xml:space="preserve">est lié à aucun objectif législatif. </w:t>
      </w:r>
    </w:p>
    <w:p w:rsidR="002A4851" w:rsidRPr="00017532" w:rsidRDefault="002A4851" w:rsidP="00A659A4">
      <w:pPr>
        <w:pStyle w:val="ParaNoNdepar-AltN"/>
        <w:rPr>
          <w:rFonts w:cs="Times New Roman"/>
          <w:lang w:val="fr-CA"/>
        </w:rPr>
      </w:pPr>
      <w:r w:rsidRPr="00017532">
        <w:rPr>
          <w:rFonts w:cs="Times New Roman"/>
          <w:lang w:val="fr-CA"/>
        </w:rPr>
        <w:t>M.</w:t>
      </w:r>
      <w:r w:rsidR="00B029AB">
        <w:rPr>
          <w:rFonts w:cs="Times New Roman"/>
          <w:lang w:val="fr-CA"/>
        </w:rPr>
        <w:t xml:space="preserve"> </w:t>
      </w:r>
      <w:r w:rsidRPr="00017532">
        <w:rPr>
          <w:rFonts w:cs="Times New Roman"/>
          <w:lang w:val="fr-CA"/>
        </w:rPr>
        <w:t>Charles soutient que le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 xml:space="preserve">)(ii) inclut des infractions moins graves et non liées aux armes à feu dans la définition de la </w:t>
      </w:r>
      <w:r w:rsidR="00B029AB">
        <w:rPr>
          <w:rFonts w:cs="Times New Roman"/>
          <w:lang w:val="fr-CA"/>
        </w:rPr>
        <w:t>« </w:t>
      </w:r>
      <w:r w:rsidRPr="00017532">
        <w:rPr>
          <w:rFonts w:cs="Times New Roman"/>
          <w:lang w:val="fr-CA"/>
        </w:rPr>
        <w:t>récidive</w:t>
      </w:r>
      <w:r w:rsidR="00B029AB">
        <w:rPr>
          <w:rFonts w:cs="Times New Roman"/>
          <w:lang w:val="fr-CA"/>
        </w:rPr>
        <w:t> »</w:t>
      </w:r>
      <w:r w:rsidRPr="00017532">
        <w:rPr>
          <w:rFonts w:cs="Times New Roman"/>
          <w:lang w:val="fr-CA"/>
        </w:rPr>
        <w:t xml:space="preserve"> au par.</w:t>
      </w:r>
      <w:r w:rsidR="00B029AB">
        <w:rPr>
          <w:rFonts w:cs="Times New Roman"/>
          <w:lang w:val="fr-CA"/>
        </w:rPr>
        <w:t xml:space="preserve"> </w:t>
      </w:r>
      <w:r w:rsidRPr="00017532">
        <w:rPr>
          <w:rFonts w:cs="Times New Roman"/>
          <w:lang w:val="fr-CA"/>
        </w:rPr>
        <w:t>84(5), de sorte qu</w:t>
      </w:r>
      <w:r>
        <w:rPr>
          <w:rFonts w:cs="Times New Roman"/>
          <w:lang w:val="fr-CA"/>
        </w:rPr>
        <w:t>’</w:t>
      </w:r>
      <w:r w:rsidRPr="00017532">
        <w:rPr>
          <w:rFonts w:cs="Times New Roman"/>
          <w:lang w:val="fr-CA"/>
        </w:rPr>
        <w:t>il est arbitraire et que sa portée est excessive, contrairement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 de la </w:t>
      </w:r>
      <w:r w:rsidRPr="00017532">
        <w:rPr>
          <w:rFonts w:cs="Times New Roman"/>
          <w:i/>
          <w:lang w:val="fr-CA"/>
        </w:rPr>
        <w:t>Charte</w:t>
      </w:r>
      <w:r w:rsidRPr="00017532">
        <w:rPr>
          <w:rFonts w:cs="Times New Roman"/>
          <w:lang w:val="fr-CA"/>
        </w:rPr>
        <w:t>. Il fait également valoir que le par.</w:t>
      </w:r>
      <w:r w:rsidR="00B029AB">
        <w:rPr>
          <w:rFonts w:cs="Times New Roman"/>
          <w:lang w:val="fr-CA"/>
        </w:rPr>
        <w:t xml:space="preserve"> </w:t>
      </w:r>
      <w:r w:rsidRPr="00017532">
        <w:rPr>
          <w:rFonts w:cs="Times New Roman"/>
          <w:lang w:val="fr-CA"/>
        </w:rPr>
        <w:t>84(6) — selon lequel il est tenu compte de l</w:t>
      </w:r>
      <w:r>
        <w:rPr>
          <w:rFonts w:cs="Times New Roman"/>
          <w:lang w:val="fr-CA"/>
        </w:rPr>
        <w:t>’</w:t>
      </w:r>
      <w:r w:rsidRPr="00017532">
        <w:rPr>
          <w:rFonts w:cs="Times New Roman"/>
          <w:lang w:val="fr-CA"/>
        </w:rPr>
        <w:t>ordre des déclarations de culpabilité, et non de l</w:t>
      </w:r>
      <w:r>
        <w:rPr>
          <w:rFonts w:cs="Times New Roman"/>
          <w:lang w:val="fr-CA"/>
        </w:rPr>
        <w:t>’</w:t>
      </w:r>
      <w:r w:rsidRPr="00017532">
        <w:rPr>
          <w:rFonts w:cs="Times New Roman"/>
          <w:lang w:val="fr-CA"/>
        </w:rPr>
        <w:t xml:space="preserve">ordre de perpétration des </w:t>
      </w:r>
      <w:r w:rsidRPr="00017532">
        <w:rPr>
          <w:rFonts w:cs="Times New Roman"/>
          <w:lang w:val="fr-CA"/>
        </w:rPr>
        <w:lastRenderedPageBreak/>
        <w:t>infractions, pour déterminer s</w:t>
      </w:r>
      <w:r>
        <w:rPr>
          <w:rFonts w:cs="Times New Roman"/>
          <w:lang w:val="fr-CA"/>
        </w:rPr>
        <w:t>’</w:t>
      </w:r>
      <w:r w:rsidRPr="00017532">
        <w:rPr>
          <w:rFonts w:cs="Times New Roman"/>
          <w:lang w:val="fr-CA"/>
        </w:rPr>
        <w:t xml:space="preserve">il y a </w:t>
      </w:r>
      <w:r w:rsidR="00B029AB">
        <w:rPr>
          <w:rFonts w:cs="Times New Roman"/>
          <w:lang w:val="fr-CA"/>
        </w:rPr>
        <w:t>« </w:t>
      </w:r>
      <w:r w:rsidRPr="00017532">
        <w:rPr>
          <w:rFonts w:cs="Times New Roman"/>
          <w:lang w:val="fr-CA"/>
        </w:rPr>
        <w:t>récidive</w:t>
      </w:r>
      <w:r w:rsidR="00B029AB">
        <w:rPr>
          <w:rFonts w:cs="Times New Roman"/>
          <w:lang w:val="fr-CA"/>
        </w:rPr>
        <w:t> »</w:t>
      </w:r>
      <w:r w:rsidRPr="00017532">
        <w:rPr>
          <w:rFonts w:cs="Times New Roman"/>
          <w:lang w:val="fr-CA"/>
        </w:rPr>
        <w:t xml:space="preserve"> ou non pour les besoins du sous</w:t>
      </w:r>
      <w:r w:rsidR="00B029AB">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)(ii) — viole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 de la </w:t>
      </w:r>
      <w:r w:rsidRPr="00017532">
        <w:rPr>
          <w:rFonts w:cs="Times New Roman"/>
          <w:i/>
          <w:lang w:val="fr-CA"/>
        </w:rPr>
        <w:t>Charte</w:t>
      </w:r>
      <w:r w:rsidRPr="00017532">
        <w:rPr>
          <w:rFonts w:cs="Times New Roman"/>
          <w:lang w:val="fr-CA"/>
        </w:rPr>
        <w:t xml:space="preserve"> parce qu</w:t>
      </w:r>
      <w:r>
        <w:rPr>
          <w:rFonts w:cs="Times New Roman"/>
          <w:lang w:val="fr-CA"/>
        </w:rPr>
        <w:t>’</w:t>
      </w:r>
      <w:r w:rsidRPr="00017532">
        <w:rPr>
          <w:rFonts w:cs="Times New Roman"/>
          <w:lang w:val="fr-CA"/>
        </w:rPr>
        <w:t>il est arbitraire.</w:t>
      </w:r>
    </w:p>
    <w:p w:rsidR="002A4851" w:rsidRPr="00017532" w:rsidRDefault="002A4851" w:rsidP="00A659A4">
      <w:pPr>
        <w:pStyle w:val="ParaNoNdepar-AltN"/>
        <w:rPr>
          <w:rFonts w:cs="Times New Roman"/>
          <w:lang w:val="fr-CA"/>
        </w:rPr>
      </w:pPr>
      <w:r w:rsidRPr="00017532">
        <w:rPr>
          <w:rFonts w:cs="Times New Roman"/>
          <w:lang w:val="fr-CA"/>
        </w:rPr>
        <w:t>Je n</w:t>
      </w:r>
      <w:r>
        <w:rPr>
          <w:rFonts w:cs="Times New Roman"/>
          <w:lang w:val="fr-CA"/>
        </w:rPr>
        <w:t>’</w:t>
      </w:r>
      <w:r w:rsidRPr="00017532">
        <w:rPr>
          <w:rFonts w:cs="Times New Roman"/>
          <w:lang w:val="fr-CA"/>
        </w:rPr>
        <w:t>écarte pas la possibilité que, malgré l</w:t>
      </w:r>
      <w:r>
        <w:rPr>
          <w:rFonts w:cs="Times New Roman"/>
          <w:lang w:val="fr-CA"/>
        </w:rPr>
        <w:t>’</w:t>
      </w:r>
      <w:r w:rsidRPr="00017532">
        <w:rPr>
          <w:rFonts w:cs="Times New Roman"/>
          <w:lang w:val="fr-CA"/>
        </w:rPr>
        <w:t>existence d</w:t>
      </w:r>
      <w:r>
        <w:rPr>
          <w:rFonts w:cs="Times New Roman"/>
          <w:lang w:val="fr-CA"/>
        </w:rPr>
        <w:t>’</w:t>
      </w:r>
      <w:r w:rsidRPr="00017532">
        <w:rPr>
          <w:rFonts w:cs="Times New Roman"/>
          <w:lang w:val="fr-CA"/>
        </w:rPr>
        <w:t>une jurisprudence détaillée sur l</w:t>
      </w:r>
      <w:r>
        <w:rPr>
          <w:rFonts w:cs="Times New Roman"/>
          <w:lang w:val="fr-CA"/>
        </w:rPr>
        <w:t>’</w:t>
      </w:r>
      <w:r w:rsidRPr="00017532">
        <w:rPr>
          <w:rFonts w:cs="Times New Roman"/>
          <w:lang w:val="fr-CA"/>
        </w:rPr>
        <w:t>application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xml:space="preserve"> à la détermination de la peine, certaines situations puissent justifier le recours à l</w:t>
      </w:r>
      <w:r>
        <w:rPr>
          <w:rFonts w:cs="Times New Roman"/>
          <w:lang w:val="fr-CA"/>
        </w:rPr>
        <w:t>’</w:t>
      </w:r>
      <w:r w:rsidRPr="00017532">
        <w:rPr>
          <w:rFonts w:cs="Times New Roman"/>
          <w:lang w:val="fr-CA"/>
        </w:rPr>
        <w:t>application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 de la </w:t>
      </w:r>
      <w:r w:rsidRPr="00017532">
        <w:rPr>
          <w:rFonts w:cs="Times New Roman"/>
          <w:i/>
          <w:lang w:val="fr-CA"/>
        </w:rPr>
        <w:t>Charte</w:t>
      </w:r>
      <w:r w:rsidRPr="00017532">
        <w:rPr>
          <w:rFonts w:cs="Times New Roman"/>
          <w:lang w:val="fr-CA"/>
        </w:rPr>
        <w:t>. En l</w:t>
      </w:r>
      <w:r>
        <w:rPr>
          <w:rFonts w:cs="Times New Roman"/>
          <w:lang w:val="fr-CA"/>
        </w:rPr>
        <w:t>’</w:t>
      </w:r>
      <w:r w:rsidRPr="00017532">
        <w:rPr>
          <w:rFonts w:cs="Times New Roman"/>
          <w:lang w:val="fr-CA"/>
        </w:rPr>
        <w:t>espèce, puisque je conclus que les dispositions attaquées contreviennent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 xml:space="preserve">Charte </w:t>
      </w:r>
      <w:r w:rsidRPr="00017532">
        <w:rPr>
          <w:rFonts w:cs="Times New Roman"/>
          <w:lang w:val="fr-CA"/>
        </w:rPr>
        <w:t>et sont donc inconstitutionnelles, point n</w:t>
      </w:r>
      <w:r>
        <w:rPr>
          <w:rFonts w:cs="Times New Roman"/>
          <w:lang w:val="fr-CA"/>
        </w:rPr>
        <w:t>’</w:t>
      </w:r>
      <w:r w:rsidRPr="00017532">
        <w:rPr>
          <w:rFonts w:cs="Times New Roman"/>
          <w:lang w:val="fr-CA"/>
        </w:rPr>
        <w:t>est besoin d</w:t>
      </w:r>
      <w:r>
        <w:rPr>
          <w:rFonts w:cs="Times New Roman"/>
          <w:lang w:val="fr-CA"/>
        </w:rPr>
        <w:t>’</w:t>
      </w:r>
      <w:r w:rsidRPr="00017532">
        <w:rPr>
          <w:rFonts w:cs="Times New Roman"/>
          <w:lang w:val="fr-CA"/>
        </w:rPr>
        <w:t>examiner s</w:t>
      </w:r>
      <w:r>
        <w:rPr>
          <w:rFonts w:cs="Times New Roman"/>
          <w:lang w:val="fr-CA"/>
        </w:rPr>
        <w:t>’</w:t>
      </w:r>
      <w:r w:rsidRPr="00017532">
        <w:rPr>
          <w:rFonts w:cs="Times New Roman"/>
          <w:lang w:val="fr-CA"/>
        </w:rPr>
        <w:t>il y a également violation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7 de la </w:t>
      </w:r>
      <w:r w:rsidRPr="00017532">
        <w:rPr>
          <w:rFonts w:cs="Times New Roman"/>
          <w:i/>
          <w:lang w:val="fr-CA"/>
        </w:rPr>
        <w:t>Charte</w:t>
      </w:r>
      <w:r w:rsidRPr="00017532">
        <w:rPr>
          <w:rFonts w:cs="Times New Roman"/>
          <w:lang w:val="fr-CA"/>
        </w:rPr>
        <w:t>.</w:t>
      </w:r>
    </w:p>
    <w:p w:rsidR="002A4851" w:rsidRPr="00017532" w:rsidRDefault="002A4851" w:rsidP="00A659A4">
      <w:pPr>
        <w:pStyle w:val="Title2LevelTitre2Niveau"/>
        <w:ind w:left="578" w:hanging="578"/>
        <w:rPr>
          <w:rFonts w:cs="Times New Roman"/>
          <w:lang w:val="fr-CA"/>
        </w:rPr>
      </w:pPr>
      <w:r w:rsidRPr="00017532">
        <w:rPr>
          <w:rFonts w:cs="Times New Roman"/>
          <w:lang w:val="fr-CA"/>
        </w:rPr>
        <w:t>L</w:t>
      </w:r>
      <w:r>
        <w:rPr>
          <w:rFonts w:cs="Times New Roman"/>
          <w:lang w:val="fr-CA"/>
        </w:rPr>
        <w:t>’</w:t>
      </w:r>
      <w:r w:rsidRPr="00017532">
        <w:rPr>
          <w:rFonts w:cs="Times New Roman"/>
          <w:lang w:val="fr-CA"/>
        </w:rPr>
        <w:t>atteinte est-elle justifiée par application de l</w:t>
      </w:r>
      <w:r>
        <w:rPr>
          <w:rFonts w:cs="Times New Roman"/>
          <w:lang w:val="fr-CA"/>
        </w:rPr>
        <w:t>’</w:t>
      </w:r>
      <w:r w:rsidRPr="00017532">
        <w:rPr>
          <w:rFonts w:cs="Times New Roman"/>
          <w:lang w:val="fr-CA"/>
        </w:rPr>
        <w:t>article premier de la Charte?</w:t>
      </w:r>
    </w:p>
    <w:p w:rsidR="002A4851" w:rsidRPr="00017532" w:rsidRDefault="002A4851" w:rsidP="00A659A4">
      <w:pPr>
        <w:pStyle w:val="ParaNoNdepar-AltN"/>
        <w:rPr>
          <w:rFonts w:cs="Times New Roman"/>
          <w:lang w:val="fr-CA"/>
        </w:rPr>
      </w:pPr>
      <w:r w:rsidRPr="00017532">
        <w:rPr>
          <w:rFonts w:cs="Times New Roman"/>
          <w:lang w:val="fr-CA"/>
        </w:rPr>
        <w:t>Pour que l</w:t>
      </w:r>
      <w:r>
        <w:rPr>
          <w:rFonts w:cs="Times New Roman"/>
          <w:lang w:val="fr-CA"/>
        </w:rPr>
        <w:t>’</w:t>
      </w:r>
      <w:r w:rsidRPr="00017532">
        <w:rPr>
          <w:rFonts w:cs="Times New Roman"/>
          <w:lang w:val="fr-CA"/>
        </w:rPr>
        <w:t>atteinte aux droits des intimés garantis par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soit justifiée au regard de l</w:t>
      </w:r>
      <w:r>
        <w:rPr>
          <w:rFonts w:cs="Times New Roman"/>
          <w:lang w:val="fr-CA"/>
        </w:rPr>
        <w:t>’</w:t>
      </w:r>
      <w:r w:rsidRPr="00017532">
        <w:rPr>
          <w:rFonts w:cs="Times New Roman"/>
          <w:lang w:val="fr-CA"/>
        </w:rPr>
        <w:t xml:space="preserve">article premier de la </w:t>
      </w:r>
      <w:r w:rsidRPr="00017532">
        <w:rPr>
          <w:rFonts w:cs="Times New Roman"/>
          <w:i/>
          <w:lang w:val="fr-CA"/>
        </w:rPr>
        <w:t>Charte</w:t>
      </w:r>
      <w:r w:rsidRPr="00017532">
        <w:rPr>
          <w:rFonts w:cs="Times New Roman"/>
          <w:lang w:val="fr-CA"/>
        </w:rPr>
        <w:t>, la procureure générale de l</w:t>
      </w:r>
      <w:r>
        <w:rPr>
          <w:rFonts w:cs="Times New Roman"/>
          <w:lang w:val="fr-CA"/>
        </w:rPr>
        <w:t>’</w:t>
      </w:r>
      <w:r w:rsidRPr="00017532">
        <w:rPr>
          <w:rFonts w:cs="Times New Roman"/>
          <w:lang w:val="fr-CA"/>
        </w:rPr>
        <w:t>Ontario doit démontrer que la loi a un objectif réel et urgent et que le moyen choisi est proportionnel à cet objectif. Une loi est proportionnelle</w:t>
      </w:r>
      <w:r w:rsidR="00B029AB">
        <w:rPr>
          <w:rFonts w:cs="Times New Roman"/>
          <w:lang w:val="fr-CA"/>
        </w:rPr>
        <w:t xml:space="preserve"> </w:t>
      </w:r>
      <w:r w:rsidRPr="00017532">
        <w:rPr>
          <w:rFonts w:cs="Times New Roman"/>
          <w:lang w:val="fr-CA"/>
        </w:rPr>
        <w:t>(1) lorsqu</w:t>
      </w:r>
      <w:r>
        <w:rPr>
          <w:rFonts w:cs="Times New Roman"/>
          <w:lang w:val="fr-CA"/>
        </w:rPr>
        <w:t>’</w:t>
      </w:r>
      <w:r w:rsidRPr="00017532">
        <w:rPr>
          <w:rFonts w:cs="Times New Roman"/>
          <w:lang w:val="fr-CA"/>
        </w:rPr>
        <w:t>il existe un lien rationnel entre le moyen choisi et cet objectif, (2) que le moyen choisi est de nature à porter le moins possible atteinte au droit en question et</w:t>
      </w:r>
      <w:r w:rsidR="00B029AB">
        <w:rPr>
          <w:rFonts w:cs="Times New Roman"/>
          <w:lang w:val="fr-CA"/>
        </w:rPr>
        <w:t xml:space="preserve"> </w:t>
      </w:r>
      <w:r w:rsidRPr="00017532">
        <w:rPr>
          <w:rFonts w:cs="Times New Roman"/>
          <w:lang w:val="fr-CA"/>
        </w:rPr>
        <w:t>(3) qu</w:t>
      </w:r>
      <w:r>
        <w:rPr>
          <w:rFonts w:cs="Times New Roman"/>
          <w:lang w:val="fr-CA"/>
        </w:rPr>
        <w:t>’</w:t>
      </w:r>
      <w:r w:rsidRPr="00017532">
        <w:rPr>
          <w:rFonts w:cs="Times New Roman"/>
          <w:lang w:val="fr-CA"/>
        </w:rPr>
        <w:t>il y a proportionnalité entre les effets préjudiciables de ses dispositions et leurs effets bénéfiques (</w:t>
      </w:r>
      <w:r w:rsidRPr="00017532">
        <w:rPr>
          <w:rFonts w:cs="Times New Roman"/>
          <w:i/>
          <w:lang w:val="fr-CA"/>
        </w:rPr>
        <w:t>R. c. Oakes</w:t>
      </w:r>
      <w:r w:rsidRPr="00017532">
        <w:rPr>
          <w:rFonts w:cs="Times New Roman"/>
          <w:lang w:val="fr-CA"/>
        </w:rPr>
        <w:t>, [1986] 1 R.C.S. 103). Il sera difficile de démontrer qu</w:t>
      </w:r>
      <w:r>
        <w:rPr>
          <w:rFonts w:cs="Times New Roman"/>
          <w:lang w:val="fr-CA"/>
        </w:rPr>
        <w:t>’</w:t>
      </w:r>
      <w:r w:rsidRPr="00017532">
        <w:rPr>
          <w:rFonts w:cs="Times New Roman"/>
          <w:lang w:val="fr-CA"/>
        </w:rPr>
        <w:t>une peine minimale obligatoire jugée totalement disproportionnée sur le fondement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12 est proportionnelle pour ce qui est de ses effets préjudiciables et de ses effets bénéfiques aux fins de l</w:t>
      </w:r>
      <w:r>
        <w:rPr>
          <w:rFonts w:cs="Times New Roman"/>
          <w:lang w:val="fr-CA"/>
        </w:rPr>
        <w:t>’</w:t>
      </w:r>
      <w:r w:rsidRPr="00017532">
        <w:rPr>
          <w:rFonts w:cs="Times New Roman"/>
          <w:lang w:val="fr-CA"/>
        </w:rPr>
        <w:t>article</w:t>
      </w:r>
      <w:r w:rsidR="00B029AB">
        <w:rPr>
          <w:rFonts w:cs="Times New Roman"/>
          <w:lang w:val="fr-CA"/>
        </w:rPr>
        <w:t xml:space="preserve"> </w:t>
      </w:r>
      <w:r w:rsidRPr="00017532">
        <w:rPr>
          <w:rFonts w:cs="Times New Roman"/>
          <w:lang w:val="fr-CA"/>
        </w:rPr>
        <w:t xml:space="preserve">premier. </w:t>
      </w:r>
    </w:p>
    <w:p w:rsidR="002A4851" w:rsidRPr="00017532" w:rsidRDefault="002A4851" w:rsidP="00A659A4">
      <w:pPr>
        <w:pStyle w:val="Title3LevelTitre3Niveau"/>
        <w:ind w:left="1156" w:hanging="578"/>
        <w:jc w:val="both"/>
        <w:rPr>
          <w:rFonts w:cs="Times New Roman"/>
          <w:lang w:val="fr-CA"/>
        </w:rPr>
      </w:pPr>
      <w:r w:rsidRPr="00017532">
        <w:rPr>
          <w:rFonts w:cs="Times New Roman"/>
          <w:lang w:val="fr-CA"/>
        </w:rPr>
        <w:lastRenderedPageBreak/>
        <w:t>Le lien rationnel</w:t>
      </w:r>
    </w:p>
    <w:p w:rsidR="002A4851" w:rsidRPr="00017532" w:rsidRDefault="002A4851" w:rsidP="00A659A4">
      <w:pPr>
        <w:pStyle w:val="ParaNoNdepar-AltN"/>
        <w:rPr>
          <w:rFonts w:cs="Times New Roman"/>
          <w:lang w:val="fr-CA"/>
        </w:rPr>
      </w:pPr>
      <w:r w:rsidRPr="00017532">
        <w:rPr>
          <w:rFonts w:cs="Times New Roman"/>
          <w:lang w:val="fr-CA"/>
        </w:rPr>
        <w:t>C</w:t>
      </w:r>
      <w:r>
        <w:rPr>
          <w:rFonts w:cs="Times New Roman"/>
          <w:lang w:val="fr-CA"/>
        </w:rPr>
        <w:t>’</w:t>
      </w:r>
      <w:r w:rsidRPr="00017532">
        <w:rPr>
          <w:rFonts w:cs="Times New Roman"/>
          <w:lang w:val="fr-CA"/>
        </w:rPr>
        <w:t>est à l</w:t>
      </w:r>
      <w:r>
        <w:rPr>
          <w:rFonts w:cs="Times New Roman"/>
          <w:lang w:val="fr-CA"/>
        </w:rPr>
        <w:t>’</w:t>
      </w:r>
      <w:r w:rsidRPr="00017532">
        <w:rPr>
          <w:rFonts w:cs="Times New Roman"/>
          <w:lang w:val="fr-CA"/>
        </w:rPr>
        <w:t>État qu</w:t>
      </w:r>
      <w:r>
        <w:rPr>
          <w:rFonts w:cs="Times New Roman"/>
          <w:lang w:val="fr-CA"/>
        </w:rPr>
        <w:t>’</w:t>
      </w:r>
      <w:r w:rsidRPr="00017532">
        <w:rPr>
          <w:rFonts w:cs="Times New Roman"/>
          <w:lang w:val="fr-CA"/>
        </w:rPr>
        <w:t>il incombe de démontrer qu</w:t>
      </w:r>
      <w:r>
        <w:rPr>
          <w:rFonts w:cs="Times New Roman"/>
          <w:lang w:val="fr-CA"/>
        </w:rPr>
        <w:t>’</w:t>
      </w:r>
      <w:r w:rsidRPr="00017532">
        <w:rPr>
          <w:rFonts w:cs="Times New Roman"/>
          <w:lang w:val="fr-CA"/>
        </w:rPr>
        <w:t>une peine minimale obligatoire d</w:t>
      </w:r>
      <w:r>
        <w:rPr>
          <w:rFonts w:cs="Times New Roman"/>
          <w:lang w:val="fr-CA"/>
        </w:rPr>
        <w:t>’</w:t>
      </w:r>
      <w:r w:rsidRPr="00017532">
        <w:rPr>
          <w:rFonts w:cs="Times New Roman"/>
          <w:lang w:val="fr-CA"/>
        </w:rPr>
        <w:t>emprisonnement jugée contraire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 xml:space="preserve">Charte </w:t>
      </w:r>
      <w:r w:rsidRPr="00017532">
        <w:rPr>
          <w:rFonts w:cs="Times New Roman"/>
          <w:lang w:val="fr-CA"/>
        </w:rPr>
        <w:t>a un lien rationnel avec les objectifs de dénonciation, de dissuasion et de châtiment. Pour y arriver, il doit établir l</w:t>
      </w:r>
      <w:r>
        <w:rPr>
          <w:rFonts w:cs="Times New Roman"/>
          <w:lang w:val="fr-CA"/>
        </w:rPr>
        <w:t>’</w:t>
      </w:r>
      <w:r w:rsidRPr="00017532">
        <w:rPr>
          <w:rFonts w:cs="Times New Roman"/>
          <w:lang w:val="fr-CA"/>
        </w:rPr>
        <w:t>existence d</w:t>
      </w:r>
      <w:r>
        <w:rPr>
          <w:rFonts w:cs="Times New Roman"/>
          <w:lang w:val="fr-CA"/>
        </w:rPr>
        <w:t>’</w:t>
      </w:r>
      <w:r w:rsidRPr="00017532">
        <w:rPr>
          <w:rFonts w:cs="Times New Roman"/>
          <w:lang w:val="fr-CA"/>
        </w:rPr>
        <w:t xml:space="preserve">un lien causal </w:t>
      </w:r>
      <w:r w:rsidR="00B029AB">
        <w:rPr>
          <w:rFonts w:cs="Times New Roman"/>
          <w:lang w:val="fr-CA"/>
        </w:rPr>
        <w:t>« </w:t>
      </w:r>
      <w:r w:rsidRPr="00017532">
        <w:rPr>
          <w:rFonts w:cs="Times New Roman"/>
          <w:lang w:val="fr-CA"/>
        </w:rPr>
        <w:t>fondé sur la raison ou la logique</w:t>
      </w:r>
      <w:r w:rsidR="00B029AB">
        <w:rPr>
          <w:rFonts w:cs="Times New Roman"/>
          <w:lang w:val="fr-CA"/>
        </w:rPr>
        <w:t> »</w:t>
      </w:r>
      <w:r w:rsidRPr="00017532">
        <w:rPr>
          <w:rFonts w:cs="Times New Roman"/>
          <w:lang w:val="fr-CA"/>
        </w:rPr>
        <w:t xml:space="preserve"> entre la violation et l</w:t>
      </w:r>
      <w:r>
        <w:rPr>
          <w:rFonts w:cs="Times New Roman"/>
          <w:lang w:val="fr-CA"/>
        </w:rPr>
        <w:t>’</w:t>
      </w:r>
      <w:r w:rsidRPr="00017532">
        <w:rPr>
          <w:rFonts w:cs="Times New Roman"/>
          <w:lang w:val="fr-CA"/>
        </w:rPr>
        <w:t>avantage recherché (</w:t>
      </w:r>
      <w:r w:rsidRPr="00017532">
        <w:rPr>
          <w:rFonts w:cs="Times New Roman"/>
          <w:i/>
          <w:lang w:val="fr-CA"/>
        </w:rPr>
        <w:t>RJR</w:t>
      </w:r>
      <w:r w:rsidR="00B029AB">
        <w:rPr>
          <w:rFonts w:eastAsia="MS Mincho" w:cs="Times New Roman"/>
          <w:i/>
          <w:lang w:val="fr-CA"/>
        </w:rPr>
        <w:t>-</w:t>
      </w:r>
      <w:r w:rsidRPr="00017532">
        <w:rPr>
          <w:rFonts w:cs="Times New Roman"/>
          <w:i/>
          <w:lang w:val="fr-CA"/>
        </w:rPr>
        <w:t>MacDonald Inc. c. Canada (Procureur général)</w:t>
      </w:r>
      <w:r w:rsidRPr="00017532">
        <w:rPr>
          <w:rFonts w:cs="Times New Roman"/>
          <w:lang w:val="fr-CA"/>
        </w:rPr>
        <w:t>, [1995] 3 R.C.S. 199,</w:t>
      </w:r>
      <w:r w:rsidRPr="00017532">
        <w:rPr>
          <w:rFonts w:cs="Times New Roman"/>
          <w:i/>
          <w:lang w:val="fr-CA"/>
        </w:rPr>
        <w:t xml:space="preserve"> </w:t>
      </w:r>
      <w:r w:rsidRPr="00017532">
        <w:rPr>
          <w:rFonts w:cs="Times New Roman"/>
          <w:lang w:val="fr-CA"/>
        </w:rPr>
        <w:t>par.</w:t>
      </w:r>
      <w:r w:rsidR="00B029AB">
        <w:rPr>
          <w:rFonts w:cs="Times New Roman"/>
          <w:lang w:val="fr-CA"/>
        </w:rPr>
        <w:t xml:space="preserve"> </w:t>
      </w:r>
      <w:r w:rsidRPr="00017532">
        <w:rPr>
          <w:rFonts w:cs="Times New Roman"/>
          <w:lang w:val="fr-CA"/>
        </w:rPr>
        <w:t>153). Sous cet angle, la mesure choisie par le législateur constitue</w:t>
      </w:r>
      <w:r w:rsidR="00B029AB">
        <w:rPr>
          <w:rFonts w:cs="Times New Roman"/>
          <w:lang w:val="fr-CA"/>
        </w:rPr>
        <w:t>-</w:t>
      </w:r>
      <w:r w:rsidRPr="00017532">
        <w:rPr>
          <w:rFonts w:cs="Times New Roman"/>
          <w:lang w:val="fr-CA"/>
        </w:rPr>
        <w:t>t</w:t>
      </w:r>
      <w:r w:rsidR="00B029AB">
        <w:rPr>
          <w:rFonts w:cs="Times New Roman"/>
          <w:lang w:val="fr-CA"/>
        </w:rPr>
        <w:t>-</w:t>
      </w:r>
      <w:r w:rsidRPr="00017532">
        <w:rPr>
          <w:rFonts w:cs="Times New Roman"/>
          <w:lang w:val="fr-CA"/>
        </w:rPr>
        <w:t>elle un moyen rationnel de poursuivre son objectif?</w:t>
      </w:r>
    </w:p>
    <w:p w:rsidR="002A4851" w:rsidRPr="00017532" w:rsidRDefault="002A4851" w:rsidP="00A659A4">
      <w:pPr>
        <w:pStyle w:val="ParaNoNdepar-AltN"/>
        <w:rPr>
          <w:rFonts w:cs="Times New Roman"/>
          <w:lang w:val="fr-CA"/>
        </w:rPr>
      </w:pPr>
      <w:r w:rsidRPr="00017532">
        <w:rPr>
          <w:rFonts w:cs="Times New Roman"/>
          <w:lang w:val="fr-CA"/>
        </w:rPr>
        <w:t>L</w:t>
      </w:r>
      <w:r>
        <w:rPr>
          <w:rFonts w:cs="Times New Roman"/>
          <w:lang w:val="fr-CA"/>
        </w:rPr>
        <w:t>’</w:t>
      </w:r>
      <w:r w:rsidRPr="00017532">
        <w:rPr>
          <w:rFonts w:cs="Times New Roman"/>
          <w:lang w:val="fr-CA"/>
        </w:rPr>
        <w:t>État n</w:t>
      </w:r>
      <w:r>
        <w:rPr>
          <w:rFonts w:cs="Times New Roman"/>
          <w:lang w:val="fr-CA"/>
        </w:rPr>
        <w:t>’</w:t>
      </w:r>
      <w:r w:rsidRPr="00017532">
        <w:rPr>
          <w:rFonts w:cs="Times New Roman"/>
          <w:lang w:val="fr-CA"/>
        </w:rPr>
        <w:t>a pas établi que les peines minimales obligatoires d</w:t>
      </w:r>
      <w:r>
        <w:rPr>
          <w:rFonts w:cs="Times New Roman"/>
          <w:lang w:val="fr-CA"/>
        </w:rPr>
        <w:t>’</w:t>
      </w:r>
      <w:r w:rsidRPr="00017532">
        <w:rPr>
          <w:rFonts w:cs="Times New Roman"/>
          <w:lang w:val="fr-CA"/>
        </w:rPr>
        <w:t>emprisonnement décourageaient la perpétration de crimes liés aux armes à feu. On doute depuis longtemps de l</w:t>
      </w:r>
      <w:r>
        <w:rPr>
          <w:rFonts w:cs="Times New Roman"/>
          <w:lang w:val="fr-CA"/>
        </w:rPr>
        <w:t>’</w:t>
      </w:r>
      <w:r w:rsidRPr="00017532">
        <w:rPr>
          <w:rFonts w:cs="Times New Roman"/>
          <w:lang w:val="fr-CA"/>
        </w:rPr>
        <w:t>efficacité de l</w:t>
      </w:r>
      <w:r>
        <w:rPr>
          <w:rFonts w:cs="Times New Roman"/>
          <w:lang w:val="fr-CA"/>
        </w:rPr>
        <w:t>’</w:t>
      </w:r>
      <w:r w:rsidRPr="00017532">
        <w:rPr>
          <w:rFonts w:cs="Times New Roman"/>
          <w:lang w:val="fr-CA"/>
        </w:rPr>
        <w:t>incarcération à cet égard. Le rapport</w:t>
      </w:r>
      <w:r w:rsidRPr="00017532">
        <w:rPr>
          <w:rFonts w:cs="Times New Roman"/>
          <w:i/>
          <w:lang w:val="fr-CA"/>
        </w:rPr>
        <w:t xml:space="preserve"> </w:t>
      </w:r>
      <w:r w:rsidRPr="00017532">
        <w:rPr>
          <w:rFonts w:cs="Times New Roman"/>
          <w:lang w:val="fr-CA"/>
        </w:rPr>
        <w:t xml:space="preserve">intitulé </w:t>
      </w:r>
      <w:r w:rsidRPr="00017532">
        <w:rPr>
          <w:rFonts w:cs="Times New Roman"/>
          <w:i/>
          <w:lang w:val="fr-CA"/>
        </w:rPr>
        <w:t>Réformer la sentence</w:t>
      </w:r>
      <w:r w:rsidR="00B029AB">
        <w:rPr>
          <w:rFonts w:cs="Times New Roman"/>
          <w:i/>
          <w:lang w:val="fr-CA"/>
        </w:rPr>
        <w:t> :</w:t>
      </w:r>
      <w:r w:rsidRPr="00017532">
        <w:rPr>
          <w:rFonts w:cs="Times New Roman"/>
          <w:i/>
          <w:lang w:val="fr-CA"/>
        </w:rPr>
        <w:t xml:space="preserve"> une approche canadienne</w:t>
      </w:r>
      <w:r w:rsidRPr="00017532">
        <w:rPr>
          <w:rFonts w:cs="Times New Roman"/>
          <w:lang w:val="fr-CA"/>
        </w:rPr>
        <w:t xml:space="preserve"> </w:t>
      </w:r>
      <w:r w:rsidR="00650509" w:rsidRPr="005E4BEF">
        <w:rPr>
          <w:rFonts w:cs="Times New Roman"/>
          <w:i/>
          <w:lang w:val="fr-CA"/>
        </w:rPr>
        <w:t>―</w:t>
      </w:r>
      <w:r w:rsidRPr="00017532">
        <w:rPr>
          <w:rFonts w:cs="Times New Roman"/>
          <w:lang w:val="fr-CA"/>
        </w:rPr>
        <w:t xml:space="preserve"> </w:t>
      </w:r>
      <w:r w:rsidRPr="00017532">
        <w:rPr>
          <w:rFonts w:cs="Times New Roman"/>
          <w:i/>
          <w:lang w:val="fr-CA"/>
        </w:rPr>
        <w:t xml:space="preserve">Rapport de la Commission canadienne sur la détermination de la peine </w:t>
      </w:r>
      <w:r w:rsidRPr="00017532">
        <w:rPr>
          <w:rFonts w:cs="Times New Roman"/>
          <w:lang w:val="fr-CA"/>
        </w:rPr>
        <w:t>(1987) conclut ce qui suit</w:t>
      </w:r>
      <w:r w:rsidR="00B029AB">
        <w:rPr>
          <w:rFonts w:cs="Times New Roman"/>
          <w:lang w:val="fr-CA"/>
        </w:rPr>
        <w:t> :</w:t>
      </w:r>
    </w:p>
    <w:p w:rsidR="002A4851" w:rsidRPr="00017532" w:rsidRDefault="002A4851" w:rsidP="00A659A4">
      <w:pPr>
        <w:pStyle w:val="Citation-AltC"/>
        <w:spacing w:after="240"/>
        <w:ind w:left="1530" w:hanging="360"/>
        <w:contextualSpacing w:val="0"/>
        <w:rPr>
          <w:rFonts w:eastAsiaTheme="minorEastAsia"/>
          <w:lang w:val="fr-CA"/>
        </w:rPr>
      </w:pPr>
      <w:r w:rsidRPr="00017532">
        <w:rPr>
          <w:rFonts w:eastAsiaTheme="minorEastAsia"/>
          <w:lang w:val="fr-CA"/>
        </w:rPr>
        <w:t>a)</w:t>
      </w:r>
      <w:r w:rsidR="00B029AB">
        <w:rPr>
          <w:rFonts w:eastAsiaTheme="minorEastAsia"/>
          <w:lang w:val="fr-CA"/>
        </w:rPr>
        <w:t xml:space="preserve"> </w:t>
      </w:r>
      <w:r w:rsidR="005E4BEF">
        <w:rPr>
          <w:rFonts w:eastAsiaTheme="minorEastAsia"/>
          <w:lang w:val="fr-CA"/>
        </w:rPr>
        <w:tab/>
      </w:r>
      <w:r w:rsidRPr="00017532">
        <w:rPr>
          <w:rFonts w:eastAsiaTheme="minorEastAsia"/>
          <w:lang w:val="fr-CA"/>
        </w:rPr>
        <w:t>S</w:t>
      </w:r>
      <w:r>
        <w:rPr>
          <w:rFonts w:eastAsiaTheme="minorEastAsia"/>
          <w:lang w:val="fr-CA"/>
        </w:rPr>
        <w:t>’</w:t>
      </w:r>
      <w:r w:rsidRPr="00017532">
        <w:rPr>
          <w:rFonts w:eastAsiaTheme="minorEastAsia"/>
          <w:lang w:val="fr-CA"/>
        </w:rPr>
        <w:t>il est vrai qu</w:t>
      </w:r>
      <w:r>
        <w:rPr>
          <w:rFonts w:eastAsiaTheme="minorEastAsia"/>
          <w:lang w:val="fr-CA"/>
        </w:rPr>
        <w:t>’</w:t>
      </w:r>
      <w:r w:rsidRPr="00017532">
        <w:rPr>
          <w:rFonts w:eastAsiaTheme="minorEastAsia"/>
          <w:lang w:val="fr-CA"/>
        </w:rPr>
        <w:t>il existe peu de fondement empirique à l</w:t>
      </w:r>
      <w:r>
        <w:rPr>
          <w:rFonts w:eastAsiaTheme="minorEastAsia"/>
          <w:lang w:val="fr-CA"/>
        </w:rPr>
        <w:t>’</w:t>
      </w:r>
      <w:r w:rsidRPr="00017532">
        <w:rPr>
          <w:rFonts w:eastAsiaTheme="minorEastAsia"/>
          <w:lang w:val="fr-CA"/>
        </w:rPr>
        <w:t>appui de l</w:t>
      </w:r>
      <w:r>
        <w:rPr>
          <w:rFonts w:eastAsiaTheme="minorEastAsia"/>
          <w:lang w:val="fr-CA"/>
        </w:rPr>
        <w:t>’</w:t>
      </w:r>
      <w:r w:rsidRPr="00017532">
        <w:rPr>
          <w:rFonts w:eastAsiaTheme="minorEastAsia"/>
          <w:lang w:val="fr-CA"/>
        </w:rPr>
        <w:t>efficacité dissuasive des sanctions pénales, il ne serait pas justifié de dire que la présence d</w:t>
      </w:r>
      <w:r>
        <w:rPr>
          <w:rFonts w:eastAsiaTheme="minorEastAsia"/>
          <w:lang w:val="fr-CA"/>
        </w:rPr>
        <w:t>’</w:t>
      </w:r>
      <w:r w:rsidRPr="00017532">
        <w:rPr>
          <w:rFonts w:eastAsiaTheme="minorEastAsia"/>
          <w:lang w:val="fr-CA"/>
        </w:rPr>
        <w:t>un certain niveau de sanctions pénales n</w:t>
      </w:r>
      <w:r>
        <w:rPr>
          <w:rFonts w:eastAsiaTheme="minorEastAsia"/>
          <w:lang w:val="fr-CA"/>
        </w:rPr>
        <w:t>’</w:t>
      </w:r>
      <w:r w:rsidRPr="00017532">
        <w:rPr>
          <w:rFonts w:eastAsiaTheme="minorEastAsia"/>
          <w:lang w:val="fr-CA"/>
        </w:rPr>
        <w:t xml:space="preserve">a aucun effet dissuasif. Les preuves obtenues et le bon sens permettent de penser que, </w:t>
      </w:r>
      <w:r w:rsidRPr="00017532">
        <w:rPr>
          <w:rFonts w:eastAsiaTheme="minorEastAsia"/>
          <w:u w:val="single"/>
          <w:lang w:val="fr-CA"/>
        </w:rPr>
        <w:t>dans leur ensemble, les sanctions pénales ont un effet dissuasif global, qu</w:t>
      </w:r>
      <w:r>
        <w:rPr>
          <w:rFonts w:eastAsiaTheme="minorEastAsia"/>
          <w:u w:val="single"/>
          <w:lang w:val="fr-CA"/>
        </w:rPr>
        <w:t>’</w:t>
      </w:r>
      <w:r w:rsidRPr="00017532">
        <w:rPr>
          <w:rFonts w:eastAsiaTheme="minorEastAsia"/>
          <w:u w:val="single"/>
          <w:lang w:val="fr-CA"/>
        </w:rPr>
        <w:t>il est difficile de mesurer avec précision</w:t>
      </w:r>
      <w:r w:rsidRPr="00017532">
        <w:rPr>
          <w:rFonts w:eastAsiaTheme="minorEastAsia"/>
          <w:lang w:val="fr-CA"/>
        </w:rPr>
        <w:t xml:space="preserve">. </w:t>
      </w:r>
    </w:p>
    <w:p w:rsidR="002A4851" w:rsidRPr="00017532" w:rsidRDefault="002A4851" w:rsidP="00A659A4">
      <w:pPr>
        <w:pStyle w:val="Citation-AltC"/>
        <w:spacing w:after="240"/>
        <w:ind w:left="1530" w:hanging="360"/>
        <w:contextualSpacing w:val="0"/>
        <w:rPr>
          <w:rFonts w:eastAsiaTheme="minorEastAsia"/>
          <w:szCs w:val="22"/>
          <w:lang w:val="fr-CA" w:eastAsia="en-US"/>
        </w:rPr>
      </w:pPr>
      <w:r w:rsidRPr="00017532">
        <w:rPr>
          <w:rFonts w:eastAsiaTheme="minorEastAsia"/>
          <w:lang w:val="fr-CA"/>
        </w:rPr>
        <w:t>b)</w:t>
      </w:r>
      <w:r w:rsidR="00B029AB">
        <w:rPr>
          <w:rFonts w:eastAsiaTheme="minorEastAsia"/>
          <w:lang w:val="fr-CA"/>
        </w:rPr>
        <w:t xml:space="preserve"> </w:t>
      </w:r>
      <w:r w:rsidR="005E4BEF">
        <w:rPr>
          <w:rFonts w:eastAsiaTheme="minorEastAsia"/>
          <w:lang w:val="fr-CA"/>
        </w:rPr>
        <w:tab/>
      </w:r>
      <w:r w:rsidRPr="00017532">
        <w:rPr>
          <w:rFonts w:eastAsiaTheme="minorEastAsia"/>
          <w:u w:val="single"/>
          <w:lang w:val="fr-CA"/>
        </w:rPr>
        <w:t>S</w:t>
      </w:r>
      <w:r>
        <w:rPr>
          <w:rFonts w:eastAsiaTheme="minorEastAsia"/>
          <w:u w:val="single"/>
          <w:lang w:val="fr-CA"/>
        </w:rPr>
        <w:t>’</w:t>
      </w:r>
      <w:r w:rsidRPr="00017532">
        <w:rPr>
          <w:rFonts w:eastAsiaTheme="minorEastAsia"/>
          <w:u w:val="single"/>
          <w:lang w:val="fr-CA"/>
        </w:rPr>
        <w:t>il y a un aspect de l</w:t>
      </w:r>
      <w:r>
        <w:rPr>
          <w:rFonts w:eastAsiaTheme="minorEastAsia"/>
          <w:u w:val="single"/>
          <w:lang w:val="fr-CA"/>
        </w:rPr>
        <w:t>’</w:t>
      </w:r>
      <w:r w:rsidRPr="00017532">
        <w:rPr>
          <w:rFonts w:eastAsiaTheme="minorEastAsia"/>
          <w:u w:val="single"/>
          <w:lang w:val="fr-CA"/>
        </w:rPr>
        <w:t>efficacité dissuasive des sanctions pénales qui justifie de sérieuses réserves, c</w:t>
      </w:r>
      <w:r>
        <w:rPr>
          <w:rFonts w:eastAsiaTheme="minorEastAsia"/>
          <w:u w:val="single"/>
          <w:lang w:val="fr-CA"/>
        </w:rPr>
        <w:t>’</w:t>
      </w:r>
      <w:r w:rsidRPr="00017532">
        <w:rPr>
          <w:rFonts w:eastAsiaTheme="minorEastAsia"/>
          <w:u w:val="single"/>
          <w:lang w:val="fr-CA"/>
        </w:rPr>
        <w:t>est celui de vouloir les utiliser pour produire des effets précis au sujet d</w:t>
      </w:r>
      <w:r>
        <w:rPr>
          <w:rFonts w:eastAsiaTheme="minorEastAsia"/>
          <w:u w:val="single"/>
          <w:lang w:val="fr-CA"/>
        </w:rPr>
        <w:t>’</w:t>
      </w:r>
      <w:r w:rsidRPr="00017532">
        <w:rPr>
          <w:rFonts w:eastAsiaTheme="minorEastAsia"/>
          <w:u w:val="single"/>
          <w:lang w:val="fr-CA"/>
        </w:rPr>
        <w:t>une infraction particulière</w:t>
      </w:r>
      <w:r w:rsidRPr="0021012B">
        <w:rPr>
          <w:rFonts w:eastAsiaTheme="minorEastAsia"/>
          <w:u w:val="single"/>
          <w:lang w:val="fr-CA"/>
        </w:rPr>
        <w:t>.</w:t>
      </w:r>
      <w:r w:rsidRPr="00017532">
        <w:rPr>
          <w:rFonts w:eastAsiaTheme="minorEastAsia"/>
          <w:lang w:val="fr-CA"/>
        </w:rPr>
        <w:t xml:space="preserve"> Ainsi, dans un rapport récent du ministère de la Justice sur la conduite en état d</w:t>
      </w:r>
      <w:r>
        <w:rPr>
          <w:rFonts w:eastAsiaTheme="minorEastAsia"/>
          <w:lang w:val="fr-CA"/>
        </w:rPr>
        <w:t>’</w:t>
      </w:r>
      <w:r w:rsidRPr="00017532">
        <w:rPr>
          <w:rFonts w:eastAsiaTheme="minorEastAsia"/>
          <w:lang w:val="fr-CA"/>
        </w:rPr>
        <w:t xml:space="preserve">ivresse, Donelson affirme que </w:t>
      </w:r>
      <w:r w:rsidR="00B029AB">
        <w:rPr>
          <w:rFonts w:eastAsiaTheme="minorEastAsia"/>
          <w:lang w:val="fr-CA"/>
        </w:rPr>
        <w:t>« </w:t>
      </w:r>
      <w:r w:rsidRPr="00017532">
        <w:rPr>
          <w:rFonts w:eastAsiaTheme="minorEastAsia"/>
          <w:lang w:val="fr-CA"/>
        </w:rPr>
        <w:t xml:space="preserve">les mesures punitives légales prévues par la loi ne sauraient à elles seules produire de réduction </w:t>
      </w:r>
      <w:r w:rsidRPr="00017532">
        <w:rPr>
          <w:rFonts w:eastAsiaTheme="minorEastAsia"/>
          <w:lang w:val="fr-CA"/>
        </w:rPr>
        <w:lastRenderedPageBreak/>
        <w:t>importante et durable de l</w:t>
      </w:r>
      <w:r>
        <w:rPr>
          <w:rFonts w:eastAsiaTheme="minorEastAsia"/>
          <w:lang w:val="fr-CA"/>
        </w:rPr>
        <w:t>’</w:t>
      </w:r>
      <w:r w:rsidRPr="00017532">
        <w:rPr>
          <w:rFonts w:eastAsiaTheme="minorEastAsia"/>
          <w:lang w:val="fr-CA"/>
        </w:rPr>
        <w:t>ampleur du problème</w:t>
      </w:r>
      <w:r w:rsidR="00B029AB">
        <w:rPr>
          <w:rFonts w:eastAsiaTheme="minorEastAsia"/>
          <w:lang w:val="fr-CA"/>
        </w:rPr>
        <w:t> »</w:t>
      </w:r>
      <w:r w:rsidRPr="00017532">
        <w:rPr>
          <w:rFonts w:eastAsiaTheme="minorEastAsia"/>
          <w:lang w:val="fr-CA"/>
        </w:rPr>
        <w:t xml:space="preserve"> (1985, </w:t>
      </w:r>
      <w:r w:rsidR="005E4BEF">
        <w:rPr>
          <w:rFonts w:eastAsiaTheme="minorEastAsia"/>
          <w:lang w:val="fr-CA"/>
        </w:rPr>
        <w:t>p</w:t>
      </w:r>
      <w:r w:rsidRPr="00017532">
        <w:rPr>
          <w:rFonts w:eastAsiaTheme="minorEastAsia"/>
          <w:lang w:val="fr-CA"/>
        </w:rPr>
        <w:t>.</w:t>
      </w:r>
      <w:r w:rsidR="00B029AB">
        <w:rPr>
          <w:rFonts w:eastAsiaTheme="minorEastAsia"/>
          <w:lang w:val="fr-CA"/>
        </w:rPr>
        <w:t xml:space="preserve"> </w:t>
      </w:r>
      <w:r w:rsidRPr="00017532">
        <w:rPr>
          <w:rFonts w:eastAsiaTheme="minorEastAsia"/>
          <w:lang w:val="fr-CA"/>
        </w:rPr>
        <w:t xml:space="preserve">221-222). </w:t>
      </w:r>
      <w:r w:rsidRPr="00017532">
        <w:rPr>
          <w:rFonts w:eastAsiaTheme="minorEastAsia"/>
          <w:u w:val="single"/>
          <w:lang w:val="fr-CA"/>
        </w:rPr>
        <w:t>De même, il est extrêmement douteux qu</w:t>
      </w:r>
      <w:r>
        <w:rPr>
          <w:rFonts w:eastAsiaTheme="minorEastAsia"/>
          <w:u w:val="single"/>
          <w:lang w:val="fr-CA"/>
        </w:rPr>
        <w:t>’</w:t>
      </w:r>
      <w:r w:rsidRPr="00017532">
        <w:rPr>
          <w:rFonts w:eastAsiaTheme="minorEastAsia"/>
          <w:u w:val="single"/>
          <w:lang w:val="fr-CA"/>
        </w:rPr>
        <w:t>une sentence exemplaire imposée dans une affaire particulière puisse avoir un effet dissuasif perceptible sur les contrevenants potentiels</w:t>
      </w:r>
      <w:r w:rsidRPr="0021012B">
        <w:rPr>
          <w:rFonts w:eastAsiaTheme="minorEastAsia"/>
          <w:u w:val="single"/>
          <w:lang w:val="fr-CA"/>
        </w:rPr>
        <w:t>.</w:t>
      </w:r>
      <w:r w:rsidRPr="00017532">
        <w:rPr>
          <w:rFonts w:eastAsiaTheme="minorEastAsia"/>
          <w:lang w:val="fr-CA"/>
        </w:rPr>
        <w:t xml:space="preserve"> </w:t>
      </w:r>
    </w:p>
    <w:p w:rsidR="002A4851" w:rsidRPr="00017532" w:rsidRDefault="002A4851" w:rsidP="00A659A4">
      <w:pPr>
        <w:pStyle w:val="Citation-AltC"/>
        <w:spacing w:after="240"/>
        <w:ind w:left="1530" w:hanging="360"/>
        <w:contextualSpacing w:val="0"/>
        <w:rPr>
          <w:rFonts w:eastAsiaTheme="minorEastAsia"/>
          <w:lang w:val="fr-CA"/>
        </w:rPr>
      </w:pPr>
      <w:r w:rsidRPr="00017532">
        <w:rPr>
          <w:rFonts w:eastAsiaTheme="minorEastAsia"/>
          <w:lang w:val="fr-CA"/>
        </w:rPr>
        <w:t>c)</w:t>
      </w:r>
      <w:r w:rsidR="00B029AB">
        <w:rPr>
          <w:rFonts w:eastAsiaTheme="minorEastAsia"/>
          <w:lang w:val="fr-CA"/>
        </w:rPr>
        <w:t xml:space="preserve"> </w:t>
      </w:r>
      <w:r w:rsidR="005E4BEF">
        <w:rPr>
          <w:rFonts w:eastAsiaTheme="minorEastAsia"/>
          <w:lang w:val="fr-CA"/>
        </w:rPr>
        <w:tab/>
      </w:r>
      <w:r w:rsidRPr="00017532">
        <w:rPr>
          <w:rFonts w:eastAsiaTheme="minorEastAsia"/>
          <w:u w:val="single"/>
          <w:lang w:val="fr-CA"/>
        </w:rPr>
        <w:t>Le vieux principe selon lequel la certitude d</w:t>
      </w:r>
      <w:r>
        <w:rPr>
          <w:rFonts w:eastAsiaTheme="minorEastAsia"/>
          <w:u w:val="single"/>
          <w:lang w:val="fr-CA"/>
        </w:rPr>
        <w:t>’</w:t>
      </w:r>
      <w:r w:rsidRPr="00017532">
        <w:rPr>
          <w:rFonts w:eastAsiaTheme="minorEastAsia"/>
          <w:u w:val="single"/>
          <w:lang w:val="fr-CA"/>
        </w:rPr>
        <w:t>être puni est davantage susceptible d</w:t>
      </w:r>
      <w:r>
        <w:rPr>
          <w:rFonts w:eastAsiaTheme="minorEastAsia"/>
          <w:u w:val="single"/>
          <w:lang w:val="fr-CA"/>
        </w:rPr>
        <w:t>’</w:t>
      </w:r>
      <w:r w:rsidRPr="00017532">
        <w:rPr>
          <w:rFonts w:eastAsiaTheme="minorEastAsia"/>
          <w:u w:val="single"/>
          <w:lang w:val="fr-CA"/>
        </w:rPr>
        <w:t>avoir un effet dissuasif que la sévérité de la sanction n</w:t>
      </w:r>
      <w:r>
        <w:rPr>
          <w:rFonts w:eastAsiaTheme="minorEastAsia"/>
          <w:u w:val="single"/>
          <w:lang w:val="fr-CA"/>
        </w:rPr>
        <w:t>’</w:t>
      </w:r>
      <w:r w:rsidRPr="00017532">
        <w:rPr>
          <w:rFonts w:eastAsiaTheme="minorEastAsia"/>
          <w:u w:val="single"/>
          <w:lang w:val="fr-CA"/>
        </w:rPr>
        <w:t>a pas été contredit par les recherches empiriques</w:t>
      </w:r>
      <w:r w:rsidRPr="005E4BEF">
        <w:rPr>
          <w:rFonts w:eastAsiaTheme="minorEastAsia"/>
          <w:u w:val="single"/>
          <w:lang w:val="fr-CA"/>
        </w:rPr>
        <w:t>.</w:t>
      </w:r>
      <w:r w:rsidRPr="00017532">
        <w:rPr>
          <w:rFonts w:eastAsiaTheme="minorEastAsia"/>
          <w:lang w:val="fr-CA"/>
        </w:rPr>
        <w:t xml:space="preserve"> Dans son vaste examen des rapports sur la dissuasion, Beyleveld (1980, p.</w:t>
      </w:r>
      <w:r w:rsidR="00B029AB">
        <w:rPr>
          <w:rFonts w:eastAsiaTheme="minorEastAsia"/>
          <w:lang w:val="fr-CA"/>
        </w:rPr>
        <w:t xml:space="preserve"> </w:t>
      </w:r>
      <w:r w:rsidRPr="00017532">
        <w:rPr>
          <w:rFonts w:eastAsiaTheme="minorEastAsia"/>
          <w:lang w:val="fr-CA"/>
        </w:rPr>
        <w:t xml:space="preserve">306) conclut que </w:t>
      </w:r>
      <w:r w:rsidR="00B029AB">
        <w:rPr>
          <w:rFonts w:eastAsiaTheme="minorEastAsia"/>
          <w:lang w:val="fr-CA"/>
        </w:rPr>
        <w:t>« </w:t>
      </w:r>
      <w:r w:rsidRPr="00017532">
        <w:rPr>
          <w:rFonts w:eastAsiaTheme="minorEastAsia"/>
          <w:lang w:val="fr-CA"/>
        </w:rPr>
        <w:t>les taux d</w:t>
      </w:r>
      <w:r>
        <w:rPr>
          <w:rFonts w:eastAsiaTheme="minorEastAsia"/>
          <w:lang w:val="fr-CA"/>
        </w:rPr>
        <w:t>’</w:t>
      </w:r>
      <w:r w:rsidRPr="00017532">
        <w:rPr>
          <w:rFonts w:eastAsiaTheme="minorEastAsia"/>
          <w:lang w:val="fr-CA"/>
        </w:rPr>
        <w:t>infraction enregistrés ne sont pas inversement proportionnels à la sévérité des peines (généralement mesurée par la durée d</w:t>
      </w:r>
      <w:r>
        <w:rPr>
          <w:rFonts w:eastAsiaTheme="minorEastAsia"/>
          <w:lang w:val="fr-CA"/>
        </w:rPr>
        <w:t>’</w:t>
      </w:r>
      <w:r w:rsidRPr="00017532">
        <w:rPr>
          <w:rFonts w:eastAsiaTheme="minorEastAsia"/>
          <w:lang w:val="fr-CA"/>
        </w:rPr>
        <w:t>incarcération)</w:t>
      </w:r>
      <w:r w:rsidR="00B029AB">
        <w:rPr>
          <w:rFonts w:eastAsiaTheme="minorEastAsia"/>
          <w:lang w:val="fr-CA"/>
        </w:rPr>
        <w:t> »</w:t>
      </w:r>
      <w:r w:rsidRPr="00017532">
        <w:rPr>
          <w:rFonts w:eastAsiaTheme="minorEastAsia"/>
          <w:lang w:val="fr-CA"/>
        </w:rPr>
        <w:t xml:space="preserve"> et que </w:t>
      </w:r>
      <w:r w:rsidR="00B029AB">
        <w:rPr>
          <w:rFonts w:eastAsiaTheme="minorEastAsia"/>
          <w:lang w:val="fr-CA"/>
        </w:rPr>
        <w:t>« </w:t>
      </w:r>
      <w:r w:rsidRPr="00017532">
        <w:rPr>
          <w:rFonts w:eastAsiaTheme="minorEastAsia"/>
          <w:lang w:val="fr-CA"/>
        </w:rPr>
        <w:t>le rapport inverse entre la criminalité et la sévérité des sanctions (lorsqu</w:t>
      </w:r>
      <w:r>
        <w:rPr>
          <w:rFonts w:eastAsiaTheme="minorEastAsia"/>
          <w:lang w:val="fr-CA"/>
        </w:rPr>
        <w:t>’</w:t>
      </w:r>
      <w:r w:rsidRPr="00017532">
        <w:rPr>
          <w:rFonts w:eastAsiaTheme="minorEastAsia"/>
          <w:lang w:val="fr-CA"/>
        </w:rPr>
        <w:t>il existe) est généralement plus petit que le rapport inverse entre la criminalité et la certitude d</w:t>
      </w:r>
      <w:r>
        <w:rPr>
          <w:rFonts w:eastAsiaTheme="minorEastAsia"/>
          <w:lang w:val="fr-CA"/>
        </w:rPr>
        <w:t>’</w:t>
      </w:r>
      <w:r w:rsidRPr="00017532">
        <w:rPr>
          <w:rFonts w:eastAsiaTheme="minorEastAsia"/>
          <w:lang w:val="fr-CA"/>
        </w:rPr>
        <w:t>être puni</w:t>
      </w:r>
      <w:r w:rsidR="00B029AB">
        <w:rPr>
          <w:rFonts w:eastAsiaTheme="minorEastAsia"/>
          <w:lang w:val="fr-CA"/>
        </w:rPr>
        <w:t> »</w:t>
      </w:r>
      <w:r w:rsidRPr="00017532">
        <w:rPr>
          <w:rFonts w:eastAsiaTheme="minorEastAsia"/>
          <w:lang w:val="fr-CA"/>
        </w:rPr>
        <w:t>. [Je souligne; p.</w:t>
      </w:r>
      <w:r w:rsidR="00B029AB">
        <w:rPr>
          <w:rFonts w:eastAsiaTheme="minorEastAsia"/>
          <w:lang w:val="fr-CA"/>
        </w:rPr>
        <w:t xml:space="preserve"> </w:t>
      </w:r>
      <w:r w:rsidRPr="00017532">
        <w:rPr>
          <w:rFonts w:eastAsiaTheme="minorEastAsia"/>
          <w:lang w:val="fr-CA"/>
        </w:rPr>
        <w:t>150.]</w:t>
      </w:r>
    </w:p>
    <w:p w:rsidR="002A4851" w:rsidRPr="00017532" w:rsidRDefault="002A4851" w:rsidP="00A659A4">
      <w:pPr>
        <w:pStyle w:val="ParaNoNdepar-AltN"/>
        <w:rPr>
          <w:rFonts w:cs="Times New Roman"/>
          <w:lang w:val="fr-CA"/>
        </w:rPr>
      </w:pPr>
      <w:r w:rsidRPr="00017532">
        <w:rPr>
          <w:rFonts w:cs="Times New Roman"/>
          <w:lang w:val="fr-CA"/>
        </w:rPr>
        <w:t>La preuve empirique indique que, dans les faits, les peines minimales obligatoires ne sont pas dissuasives (voir p.</w:t>
      </w:r>
      <w:r w:rsidR="00B029AB">
        <w:rPr>
          <w:rFonts w:cs="Times New Roman"/>
          <w:lang w:val="fr-CA"/>
        </w:rPr>
        <w:t xml:space="preserve"> </w:t>
      </w:r>
      <w:r w:rsidRPr="00017532">
        <w:rPr>
          <w:rFonts w:cs="Times New Roman"/>
          <w:lang w:val="fr-CA"/>
        </w:rPr>
        <w:t xml:space="preserve">ex. </w:t>
      </w:r>
      <w:r w:rsidRPr="00017532">
        <w:rPr>
          <w:rFonts w:cs="Times New Roman"/>
          <w:lang w:val="en-US"/>
        </w:rPr>
        <w:t>A.</w:t>
      </w:r>
      <w:r w:rsidR="00B029AB">
        <w:rPr>
          <w:rFonts w:cs="Times New Roman"/>
          <w:lang w:val="en-US"/>
        </w:rPr>
        <w:t xml:space="preserve"> </w:t>
      </w:r>
      <w:r w:rsidRPr="00017532">
        <w:rPr>
          <w:rFonts w:cs="Times New Roman"/>
          <w:lang w:val="en-US"/>
        </w:rPr>
        <w:t>N. Doob et C.</w:t>
      </w:r>
      <w:r w:rsidR="00B029AB">
        <w:rPr>
          <w:rFonts w:cs="Times New Roman"/>
          <w:lang w:val="en-US"/>
        </w:rPr>
        <w:t xml:space="preserve"> </w:t>
      </w:r>
      <w:r w:rsidRPr="00017532">
        <w:rPr>
          <w:rFonts w:cs="Times New Roman"/>
          <w:lang w:val="en-US"/>
        </w:rPr>
        <w:t xml:space="preserve">M. Webster, </w:t>
      </w:r>
      <w:r w:rsidR="00B029AB">
        <w:rPr>
          <w:rFonts w:cs="Times New Roman"/>
          <w:lang w:val="en-US"/>
        </w:rPr>
        <w:t>« </w:t>
      </w:r>
      <w:r w:rsidRPr="00017532">
        <w:rPr>
          <w:rFonts w:cs="Times New Roman"/>
          <w:lang w:val="en-US"/>
        </w:rPr>
        <w:t>Sentence Severity and Crime</w:t>
      </w:r>
      <w:r w:rsidR="00B029AB">
        <w:rPr>
          <w:rFonts w:cs="Times New Roman"/>
          <w:lang w:val="en-US"/>
        </w:rPr>
        <w:t> :</w:t>
      </w:r>
      <w:r w:rsidRPr="00017532">
        <w:rPr>
          <w:rFonts w:cs="Times New Roman"/>
          <w:lang w:val="en-US"/>
        </w:rPr>
        <w:t xml:space="preserve"> Accepting the Null Hypothesis</w:t>
      </w:r>
      <w:r w:rsidR="00B029AB">
        <w:rPr>
          <w:rFonts w:cs="Times New Roman"/>
          <w:lang w:val="en-US"/>
        </w:rPr>
        <w:t> »</w:t>
      </w:r>
      <w:r w:rsidRPr="00017532">
        <w:rPr>
          <w:rFonts w:cs="Times New Roman"/>
          <w:lang w:val="en-US"/>
        </w:rPr>
        <w:t xml:space="preserve"> (2003), 30 </w:t>
      </w:r>
      <w:r w:rsidRPr="00017532">
        <w:rPr>
          <w:rFonts w:cs="Times New Roman"/>
          <w:i/>
          <w:lang w:val="en-US"/>
        </w:rPr>
        <w:t>Crime &amp; Just.</w:t>
      </w:r>
      <w:r w:rsidRPr="00017532">
        <w:rPr>
          <w:rFonts w:cs="Times New Roman"/>
          <w:lang w:val="en-US"/>
        </w:rPr>
        <w:t xml:space="preserve"> 143; M.</w:t>
      </w:r>
      <w:r w:rsidR="00B029AB">
        <w:rPr>
          <w:rFonts w:cs="Times New Roman"/>
          <w:lang w:val="en-US"/>
        </w:rPr>
        <w:t xml:space="preserve"> </w:t>
      </w:r>
      <w:r w:rsidRPr="00017532">
        <w:rPr>
          <w:rFonts w:cs="Times New Roman"/>
          <w:lang w:val="en-US"/>
        </w:rPr>
        <w:t xml:space="preserve">Tonry, </w:t>
      </w:r>
      <w:r w:rsidR="00B029AB">
        <w:rPr>
          <w:rFonts w:cs="Times New Roman"/>
          <w:lang w:val="en-US"/>
        </w:rPr>
        <w:t>« </w:t>
      </w:r>
      <w:r w:rsidRPr="00017532">
        <w:rPr>
          <w:rFonts w:cs="Times New Roman"/>
          <w:lang w:val="en-US"/>
        </w:rPr>
        <w:t>The Mostly Unintended Effects of Mandatory Penalties</w:t>
      </w:r>
      <w:r w:rsidR="00B029AB">
        <w:rPr>
          <w:rFonts w:cs="Times New Roman"/>
          <w:lang w:val="en-US"/>
        </w:rPr>
        <w:t> :</w:t>
      </w:r>
      <w:r w:rsidRPr="00017532">
        <w:rPr>
          <w:rFonts w:cs="Times New Roman"/>
          <w:lang w:val="en-US"/>
        </w:rPr>
        <w:t xml:space="preserve"> Two Centuries of Consistent Findings</w:t>
      </w:r>
      <w:r w:rsidR="00B029AB">
        <w:rPr>
          <w:rFonts w:cs="Times New Roman"/>
          <w:lang w:val="en-US"/>
        </w:rPr>
        <w:t> »</w:t>
      </w:r>
      <w:r w:rsidRPr="00017532">
        <w:rPr>
          <w:rFonts w:cs="Times New Roman"/>
          <w:lang w:val="en-US"/>
        </w:rPr>
        <w:t xml:space="preserve"> (2009), 38 </w:t>
      </w:r>
      <w:r w:rsidRPr="00017532">
        <w:rPr>
          <w:rFonts w:cs="Times New Roman"/>
          <w:i/>
          <w:lang w:val="en-US"/>
        </w:rPr>
        <w:t>Crime &amp; Just.</w:t>
      </w:r>
      <w:r w:rsidRPr="00017532">
        <w:rPr>
          <w:rFonts w:cs="Times New Roman"/>
          <w:lang w:val="en-US"/>
        </w:rPr>
        <w:t xml:space="preserve"> 65). </w:t>
      </w:r>
      <w:r w:rsidRPr="00017532">
        <w:rPr>
          <w:rFonts w:cs="Times New Roman"/>
          <w:lang w:val="fr-CA"/>
        </w:rPr>
        <w:t>La preuve empirique [</w:t>
      </w:r>
      <w:r w:rsidRPr="00017532">
        <w:rPr>
          <w:rFonts w:cs="Times New Roman"/>
          <w:smallCaps/>
          <w:lang w:val="fr-CA"/>
        </w:rPr>
        <w:t>traduction</w:t>
      </w:r>
      <w:r w:rsidRPr="00017532">
        <w:rPr>
          <w:rFonts w:cs="Times New Roman"/>
          <w:lang w:val="fr-CA"/>
        </w:rPr>
        <w:t xml:space="preserve">] </w:t>
      </w:r>
      <w:r w:rsidR="00B029AB">
        <w:rPr>
          <w:rFonts w:cs="Times New Roman"/>
          <w:lang w:val="fr-CA"/>
        </w:rPr>
        <w:t>« </w:t>
      </w:r>
      <w:r w:rsidRPr="00017532">
        <w:rPr>
          <w:rFonts w:cs="Times New Roman"/>
          <w:lang w:val="fr-CA"/>
        </w:rPr>
        <w:t>est claire</w:t>
      </w:r>
      <w:r w:rsidR="00B029AB">
        <w:rPr>
          <w:rFonts w:cs="Times New Roman"/>
          <w:lang w:val="fr-CA"/>
        </w:rPr>
        <w:t> :</w:t>
      </w:r>
      <w:r w:rsidRPr="00017532">
        <w:rPr>
          <w:rFonts w:cs="Times New Roman"/>
          <w:lang w:val="fr-CA"/>
        </w:rPr>
        <w:t xml:space="preserve"> les peines minimales obligatoires d</w:t>
      </w:r>
      <w:r>
        <w:rPr>
          <w:rFonts w:cs="Times New Roman"/>
          <w:lang w:val="fr-CA"/>
        </w:rPr>
        <w:t>’</w:t>
      </w:r>
      <w:r w:rsidRPr="00017532">
        <w:rPr>
          <w:rFonts w:cs="Times New Roman"/>
          <w:lang w:val="fr-CA"/>
        </w:rPr>
        <w:t>emprisonnement ne sont pas plus dissuasives que les peines moins sévères, proportionnées</w:t>
      </w:r>
      <w:r w:rsidR="00B029AB">
        <w:rPr>
          <w:rFonts w:cs="Times New Roman"/>
          <w:lang w:val="fr-CA"/>
        </w:rPr>
        <w:t> »</w:t>
      </w:r>
      <w:r w:rsidRPr="00017532">
        <w:rPr>
          <w:rFonts w:cs="Times New Roman"/>
          <w:lang w:val="fr-CA"/>
        </w:rPr>
        <w:t xml:space="preserve"> (A.</w:t>
      </w:r>
      <w:r w:rsidR="00B029AB">
        <w:rPr>
          <w:rFonts w:cs="Times New Roman"/>
          <w:lang w:val="fr-CA"/>
        </w:rPr>
        <w:t xml:space="preserve"> </w:t>
      </w:r>
      <w:r w:rsidRPr="00017532">
        <w:rPr>
          <w:rFonts w:cs="Times New Roman"/>
          <w:lang w:val="fr-CA"/>
        </w:rPr>
        <w:t>N. Doob et C.</w:t>
      </w:r>
      <w:r w:rsidR="00B029AB">
        <w:rPr>
          <w:rFonts w:cs="Times New Roman"/>
          <w:lang w:val="fr-CA"/>
        </w:rPr>
        <w:t xml:space="preserve"> </w:t>
      </w:r>
      <w:r w:rsidRPr="00017532">
        <w:rPr>
          <w:rFonts w:cs="Times New Roman"/>
          <w:lang w:val="fr-CA"/>
        </w:rPr>
        <w:t xml:space="preserve">Cesaroni, </w:t>
      </w:r>
      <w:r w:rsidR="00B029AB">
        <w:rPr>
          <w:rFonts w:cs="Times New Roman"/>
          <w:lang w:val="fr-CA"/>
        </w:rPr>
        <w:t>« </w:t>
      </w:r>
      <w:r w:rsidRPr="00017532">
        <w:rPr>
          <w:rFonts w:cs="Times New Roman"/>
          <w:lang w:val="fr-CA"/>
        </w:rPr>
        <w:t>The Political Attractiveness of Mandatory Minimum Sentences</w:t>
      </w:r>
      <w:r w:rsidR="00B029AB">
        <w:rPr>
          <w:rFonts w:cs="Times New Roman"/>
          <w:lang w:val="fr-CA"/>
        </w:rPr>
        <w:t> »</w:t>
      </w:r>
      <w:r w:rsidRPr="00017532">
        <w:rPr>
          <w:rFonts w:cs="Times New Roman"/>
          <w:lang w:val="fr-CA"/>
        </w:rPr>
        <w:t xml:space="preserve"> (2001), 39 </w:t>
      </w:r>
      <w:r w:rsidRPr="00017532">
        <w:rPr>
          <w:rFonts w:cs="Times New Roman"/>
          <w:i/>
          <w:lang w:val="fr-CA"/>
        </w:rPr>
        <w:t>Osgoode Hall L.J.</w:t>
      </w:r>
      <w:r w:rsidRPr="00017532">
        <w:rPr>
          <w:rFonts w:cs="Times New Roman"/>
          <w:lang w:val="fr-CA"/>
        </w:rPr>
        <w:t xml:space="preserve"> 287, p.</w:t>
      </w:r>
      <w:r w:rsidR="00B029AB">
        <w:rPr>
          <w:rFonts w:cs="Times New Roman"/>
          <w:lang w:val="fr-CA"/>
        </w:rPr>
        <w:t xml:space="preserve"> </w:t>
      </w:r>
      <w:r w:rsidRPr="00017532">
        <w:rPr>
          <w:rFonts w:cs="Times New Roman"/>
          <w:lang w:val="fr-CA"/>
        </w:rPr>
        <w:t>291).</w:t>
      </w:r>
    </w:p>
    <w:p w:rsidR="002A4851" w:rsidRPr="00017532" w:rsidRDefault="002A4851" w:rsidP="00A659A4">
      <w:pPr>
        <w:pStyle w:val="ParaNoNdepar-AltN"/>
        <w:rPr>
          <w:rFonts w:cs="Times New Roman"/>
          <w:lang w:val="fr-CA"/>
        </w:rPr>
      </w:pPr>
      <w:r w:rsidRPr="00017532">
        <w:rPr>
          <w:rFonts w:cs="Times New Roman"/>
          <w:lang w:val="fr-CA"/>
        </w:rPr>
        <w:t>Malgré la fragilité du lien entre la dissuasion et les dispositions qui établissent des peines minimales obligatoires, il existe un lien rationnel entre les peines minimales obligatoires d</w:t>
      </w:r>
      <w:r>
        <w:rPr>
          <w:rFonts w:cs="Times New Roman"/>
          <w:lang w:val="fr-CA"/>
        </w:rPr>
        <w:t>’</w:t>
      </w:r>
      <w:r w:rsidRPr="00017532">
        <w:rPr>
          <w:rFonts w:cs="Times New Roman"/>
          <w:lang w:val="fr-CA"/>
        </w:rPr>
        <w:t>emprisonnement et les objectifs de dénonciation et de châtiment. Cette exigence de l</w:t>
      </w:r>
      <w:r>
        <w:rPr>
          <w:rFonts w:cs="Times New Roman"/>
          <w:lang w:val="fr-CA"/>
        </w:rPr>
        <w:t>’</w:t>
      </w:r>
      <w:r w:rsidRPr="00017532">
        <w:rPr>
          <w:rFonts w:cs="Times New Roman"/>
          <w:lang w:val="fr-CA"/>
        </w:rPr>
        <w:t>article</w:t>
      </w:r>
      <w:r w:rsidR="00B029AB">
        <w:rPr>
          <w:rFonts w:cs="Times New Roman"/>
          <w:lang w:val="fr-CA"/>
        </w:rPr>
        <w:t xml:space="preserve"> </w:t>
      </w:r>
      <w:r w:rsidRPr="00017532">
        <w:rPr>
          <w:rFonts w:cs="Times New Roman"/>
          <w:lang w:val="fr-CA"/>
        </w:rPr>
        <w:t>premier est donc remplie.</w:t>
      </w:r>
    </w:p>
    <w:p w:rsidR="002A4851" w:rsidRPr="00017532" w:rsidRDefault="002A4851" w:rsidP="00A659A4">
      <w:pPr>
        <w:pStyle w:val="Title3LevelTitre3Niveau"/>
        <w:ind w:left="1156" w:hanging="578"/>
        <w:jc w:val="both"/>
        <w:rPr>
          <w:rFonts w:cs="Times New Roman"/>
          <w:lang w:val="fr-CA"/>
        </w:rPr>
      </w:pPr>
      <w:r w:rsidRPr="00017532">
        <w:rPr>
          <w:rFonts w:cs="Times New Roman"/>
          <w:lang w:val="fr-CA"/>
        </w:rPr>
        <w:lastRenderedPageBreak/>
        <w:t>L</w:t>
      </w:r>
      <w:r>
        <w:rPr>
          <w:rFonts w:cs="Times New Roman"/>
          <w:lang w:val="fr-CA"/>
        </w:rPr>
        <w:t>’</w:t>
      </w:r>
      <w:r w:rsidRPr="00017532">
        <w:rPr>
          <w:rFonts w:cs="Times New Roman"/>
          <w:lang w:val="fr-CA"/>
        </w:rPr>
        <w:t>atteinte minimale</w:t>
      </w:r>
    </w:p>
    <w:p w:rsidR="002A4851" w:rsidRPr="00017532" w:rsidRDefault="002A4851" w:rsidP="00A659A4">
      <w:pPr>
        <w:pStyle w:val="ParaNoNdepar-AltN"/>
        <w:rPr>
          <w:rFonts w:cs="Times New Roman"/>
          <w:lang w:val="fr-CA"/>
        </w:rPr>
      </w:pPr>
      <w:r w:rsidRPr="00017532">
        <w:rPr>
          <w:rFonts w:cs="Times New Roman"/>
          <w:lang w:val="fr-CA"/>
        </w:rPr>
        <w:t>La question qui se pose ensuite est celle de savoir si la restriction du droit est raisonnablement bien adaptée à l</w:t>
      </w:r>
      <w:r>
        <w:rPr>
          <w:rFonts w:cs="Times New Roman"/>
          <w:lang w:val="fr-CA"/>
        </w:rPr>
        <w:t>’</w:t>
      </w:r>
      <w:r w:rsidRPr="00017532">
        <w:rPr>
          <w:rFonts w:cs="Times New Roman"/>
          <w:lang w:val="fr-CA"/>
        </w:rPr>
        <w:t>objectif. Le tribunal doit se demander s</w:t>
      </w:r>
      <w:r>
        <w:rPr>
          <w:rFonts w:cs="Times New Roman"/>
          <w:lang w:val="fr-CA"/>
        </w:rPr>
        <w:t>’</w:t>
      </w:r>
      <w:r w:rsidRPr="00017532">
        <w:rPr>
          <w:rFonts w:cs="Times New Roman"/>
          <w:lang w:val="fr-CA"/>
        </w:rPr>
        <w:t xml:space="preserve">il </w:t>
      </w:r>
      <w:r w:rsidR="00B029AB">
        <w:rPr>
          <w:rFonts w:cs="Times New Roman"/>
          <w:lang w:val="fr-CA"/>
        </w:rPr>
        <w:t>« </w:t>
      </w:r>
      <w:r w:rsidRPr="00017532">
        <w:rPr>
          <w:rFonts w:cs="Times New Roman"/>
          <w:lang w:val="fr-CA"/>
        </w:rPr>
        <w:t>exist[e] des moyens moins préjudiciables de réaliser l</w:t>
      </w:r>
      <w:r>
        <w:rPr>
          <w:rFonts w:cs="Times New Roman"/>
          <w:lang w:val="fr-CA"/>
        </w:rPr>
        <w:t>’</w:t>
      </w:r>
      <w:r w:rsidRPr="00017532">
        <w:rPr>
          <w:rFonts w:cs="Times New Roman"/>
          <w:lang w:val="fr-CA"/>
        </w:rPr>
        <w:t>objectif législatif</w:t>
      </w:r>
      <w:r w:rsidR="00B029AB">
        <w:rPr>
          <w:rFonts w:cs="Times New Roman"/>
          <w:lang w:val="fr-CA"/>
        </w:rPr>
        <w:t> »</w:t>
      </w:r>
      <w:r w:rsidRPr="00017532">
        <w:rPr>
          <w:rFonts w:cs="Times New Roman"/>
          <w:lang w:val="fr-CA"/>
        </w:rPr>
        <w:t xml:space="preserve"> (</w:t>
      </w:r>
      <w:r w:rsidRPr="00017532">
        <w:rPr>
          <w:rFonts w:cs="Times New Roman"/>
          <w:i/>
          <w:lang w:val="fr-CA"/>
        </w:rPr>
        <w:t>Alberta c.</w:t>
      </w:r>
      <w:r w:rsidRPr="00017532">
        <w:rPr>
          <w:rFonts w:cs="Times New Roman"/>
          <w:lang w:val="fr-CA"/>
        </w:rPr>
        <w:t xml:space="preserve"> </w:t>
      </w:r>
      <w:r w:rsidRPr="00017532">
        <w:rPr>
          <w:rFonts w:cs="Times New Roman"/>
          <w:i/>
          <w:lang w:val="fr-CA"/>
        </w:rPr>
        <w:t>Hutterian Brethren of Wilson Colony</w:t>
      </w:r>
      <w:r w:rsidRPr="00017532">
        <w:rPr>
          <w:rFonts w:cs="Times New Roman"/>
          <w:lang w:val="fr-CA"/>
        </w:rPr>
        <w:t>, 2009 CSC 37, [2009] 2 R.C.S. 567, par.</w:t>
      </w:r>
      <w:r w:rsidR="00B029AB">
        <w:rPr>
          <w:rFonts w:cs="Times New Roman"/>
          <w:lang w:val="fr-CA"/>
        </w:rPr>
        <w:t xml:space="preserve"> </w:t>
      </w:r>
      <w:r w:rsidRPr="00017532">
        <w:rPr>
          <w:rFonts w:cs="Times New Roman"/>
          <w:lang w:val="fr-CA"/>
        </w:rPr>
        <w:t>53). L</w:t>
      </w:r>
      <w:r>
        <w:rPr>
          <w:rFonts w:cs="Times New Roman"/>
          <w:lang w:val="fr-CA"/>
        </w:rPr>
        <w:t>’</w:t>
      </w:r>
      <w:r w:rsidRPr="00017532">
        <w:rPr>
          <w:rFonts w:cs="Times New Roman"/>
          <w:lang w:val="fr-CA"/>
        </w:rPr>
        <w:t>État doit démontrer qu</w:t>
      </w:r>
      <w:r>
        <w:rPr>
          <w:rFonts w:cs="Times New Roman"/>
          <w:lang w:val="fr-CA"/>
        </w:rPr>
        <w:t>’</w:t>
      </w:r>
      <w:r w:rsidRPr="00017532">
        <w:rPr>
          <w:rFonts w:cs="Times New Roman"/>
          <w:lang w:val="fr-CA"/>
        </w:rPr>
        <w:t>il n</w:t>
      </w:r>
      <w:r>
        <w:rPr>
          <w:rFonts w:cs="Times New Roman"/>
          <w:lang w:val="fr-CA"/>
        </w:rPr>
        <w:t>’</w:t>
      </w:r>
      <w:r w:rsidRPr="00017532">
        <w:rPr>
          <w:rFonts w:cs="Times New Roman"/>
          <w:lang w:val="fr-CA"/>
        </w:rPr>
        <w:t>existe pas un autre moyen moins attentatoire d</w:t>
      </w:r>
      <w:r>
        <w:rPr>
          <w:rFonts w:cs="Times New Roman"/>
          <w:lang w:val="fr-CA"/>
        </w:rPr>
        <w:t>’</w:t>
      </w:r>
      <w:r w:rsidRPr="00017532">
        <w:rPr>
          <w:rFonts w:cs="Times New Roman"/>
          <w:lang w:val="fr-CA"/>
        </w:rPr>
        <w:t>atteindre l</w:t>
      </w:r>
      <w:r>
        <w:rPr>
          <w:rFonts w:cs="Times New Roman"/>
          <w:lang w:val="fr-CA"/>
        </w:rPr>
        <w:t>’</w:t>
      </w:r>
      <w:r w:rsidRPr="00017532">
        <w:rPr>
          <w:rFonts w:cs="Times New Roman"/>
          <w:lang w:val="fr-CA"/>
        </w:rPr>
        <w:t xml:space="preserve">objectif </w:t>
      </w:r>
      <w:r w:rsidR="00B029AB">
        <w:rPr>
          <w:rFonts w:cs="Times New Roman"/>
          <w:lang w:val="fr-CA"/>
        </w:rPr>
        <w:t>« </w:t>
      </w:r>
      <w:r w:rsidRPr="00017532">
        <w:rPr>
          <w:rFonts w:cs="Times New Roman"/>
          <w:lang w:val="fr-CA"/>
        </w:rPr>
        <w:t>de façon réelle et substantielle</w:t>
      </w:r>
      <w:r w:rsidR="00B029AB">
        <w:rPr>
          <w:rFonts w:cs="Times New Roman"/>
          <w:lang w:val="fr-CA"/>
        </w:rPr>
        <w:t> »</w:t>
      </w:r>
      <w:r w:rsidRPr="00017532">
        <w:rPr>
          <w:rFonts w:cs="Times New Roman"/>
          <w:lang w:val="fr-CA"/>
        </w:rPr>
        <w:t xml:space="preserve"> (par.</w:t>
      </w:r>
      <w:r w:rsidR="00B029AB">
        <w:rPr>
          <w:rFonts w:cs="Times New Roman"/>
          <w:lang w:val="fr-CA"/>
        </w:rPr>
        <w:t xml:space="preserve"> </w:t>
      </w:r>
      <w:r w:rsidRPr="00017532">
        <w:rPr>
          <w:rFonts w:cs="Times New Roman"/>
          <w:lang w:val="fr-CA"/>
        </w:rPr>
        <w:t>55). L</w:t>
      </w:r>
      <w:r>
        <w:rPr>
          <w:rFonts w:cs="Times New Roman"/>
          <w:lang w:val="fr-CA"/>
        </w:rPr>
        <w:t>’</w:t>
      </w:r>
      <w:r w:rsidRPr="00017532">
        <w:rPr>
          <w:rFonts w:cs="Times New Roman"/>
          <w:lang w:val="fr-CA"/>
        </w:rPr>
        <w:t xml:space="preserve">atteinte au droit garanti par la </w:t>
      </w:r>
      <w:r w:rsidRPr="00017532">
        <w:rPr>
          <w:rFonts w:cs="Times New Roman"/>
          <w:i/>
          <w:lang w:val="fr-CA"/>
        </w:rPr>
        <w:t>Charte</w:t>
      </w:r>
      <w:r w:rsidRPr="00017532">
        <w:rPr>
          <w:rFonts w:cs="Times New Roman"/>
          <w:lang w:val="fr-CA"/>
        </w:rPr>
        <w:t xml:space="preserve"> ne doit pas aller au delà de ce qui est raisonnablement nécessaire pour atteindre l</w:t>
      </w:r>
      <w:r>
        <w:rPr>
          <w:rFonts w:cs="Times New Roman"/>
          <w:lang w:val="fr-CA"/>
        </w:rPr>
        <w:t>’</w:t>
      </w:r>
      <w:r w:rsidRPr="00017532">
        <w:rPr>
          <w:rFonts w:cs="Times New Roman"/>
          <w:lang w:val="fr-CA"/>
        </w:rPr>
        <w:t>objectif législatif.</w:t>
      </w:r>
    </w:p>
    <w:p w:rsidR="002A4851" w:rsidRPr="00017532" w:rsidRDefault="002A4851" w:rsidP="00A659A4">
      <w:pPr>
        <w:pStyle w:val="ParaNoNdepar-AltN"/>
        <w:rPr>
          <w:rFonts w:cs="Times New Roman"/>
          <w:lang w:val="fr-CA"/>
        </w:rPr>
      </w:pPr>
      <w:r w:rsidRPr="00017532">
        <w:rPr>
          <w:rFonts w:cs="Times New Roman"/>
          <w:lang w:val="fr-CA"/>
        </w:rPr>
        <w:t>Le législateur aurait pu atteindre son objectif en créant une infraction pour laquelle il existe un rapport étroit entre le comportement auquel est associée une grande culpabilité morale — p.</w:t>
      </w:r>
      <w:r w:rsidR="00B029AB">
        <w:rPr>
          <w:rFonts w:cs="Times New Roman"/>
          <w:lang w:val="fr-CA"/>
        </w:rPr>
        <w:t xml:space="preserve"> </w:t>
      </w:r>
      <w:r w:rsidRPr="00017532">
        <w:rPr>
          <w:rFonts w:cs="Times New Roman"/>
          <w:lang w:val="fr-CA"/>
        </w:rPr>
        <w:t>ex. le comportement ou l</w:t>
      </w:r>
      <w:r>
        <w:rPr>
          <w:rFonts w:cs="Times New Roman"/>
          <w:lang w:val="fr-CA"/>
        </w:rPr>
        <w:t>’</w:t>
      </w:r>
      <w:r w:rsidRPr="00017532">
        <w:rPr>
          <w:rFonts w:cs="Times New Roman"/>
          <w:lang w:val="fr-CA"/>
        </w:rPr>
        <w:t>acte criminel qui présente un danger pour autrui — et la peine minimale obligatoire, au lieu d</w:t>
      </w:r>
      <w:r>
        <w:rPr>
          <w:rFonts w:cs="Times New Roman"/>
          <w:lang w:val="fr-CA"/>
        </w:rPr>
        <w:t>’</w:t>
      </w:r>
      <w:r w:rsidRPr="00017532">
        <w:rPr>
          <w:rFonts w:cs="Times New Roman"/>
          <w:lang w:val="fr-CA"/>
        </w:rPr>
        <w:t>une infraction qui ratisse large et qui englobe le comportement moins empreint de culpabilité morale et pour lequel la peine minimale obligatoire serait totalement disproportionnée. L</w:t>
      </w:r>
      <w:r>
        <w:rPr>
          <w:rFonts w:cs="Times New Roman"/>
          <w:lang w:val="fr-CA"/>
        </w:rPr>
        <w:t>’</w:t>
      </w:r>
      <w:r w:rsidRPr="00017532">
        <w:rPr>
          <w:rFonts w:cs="Times New Roman"/>
          <w:lang w:val="fr-CA"/>
        </w:rPr>
        <w:t>État ne s</w:t>
      </w:r>
      <w:r>
        <w:rPr>
          <w:rFonts w:cs="Times New Roman"/>
          <w:lang w:val="fr-CA"/>
        </w:rPr>
        <w:t>’</w:t>
      </w:r>
      <w:r w:rsidRPr="00017532">
        <w:rPr>
          <w:rFonts w:cs="Times New Roman"/>
          <w:lang w:val="fr-CA"/>
        </w:rPr>
        <w:t>est pas acquitté de son fardeau de preuve relativement à ce volet du critère de l</w:t>
      </w:r>
      <w:r>
        <w:rPr>
          <w:rFonts w:cs="Times New Roman"/>
          <w:lang w:val="fr-CA"/>
        </w:rPr>
        <w:t>’</w:t>
      </w:r>
      <w:r w:rsidRPr="00017532">
        <w:rPr>
          <w:rFonts w:cs="Times New Roman"/>
          <w:lang w:val="fr-CA"/>
        </w:rPr>
        <w:t>arrêt</w:t>
      </w:r>
      <w:r w:rsidR="00B029AB">
        <w:rPr>
          <w:rFonts w:cs="Times New Roman"/>
          <w:lang w:val="fr-CA"/>
        </w:rPr>
        <w:t xml:space="preserve"> </w:t>
      </w:r>
      <w:r w:rsidRPr="00017532">
        <w:rPr>
          <w:rFonts w:cs="Times New Roman"/>
          <w:i/>
          <w:lang w:val="fr-CA"/>
        </w:rPr>
        <w:t>Oakes</w:t>
      </w:r>
      <w:r w:rsidRPr="00017532">
        <w:rPr>
          <w:rFonts w:cs="Times New Roman"/>
          <w:lang w:val="fr-CA"/>
        </w:rPr>
        <w:t>. Il existe des moyens moins préjudiciables d</w:t>
      </w:r>
      <w:r>
        <w:rPr>
          <w:rFonts w:cs="Times New Roman"/>
          <w:lang w:val="fr-CA"/>
        </w:rPr>
        <w:t>’</w:t>
      </w:r>
      <w:r w:rsidRPr="00017532">
        <w:rPr>
          <w:rFonts w:cs="Times New Roman"/>
          <w:lang w:val="fr-CA"/>
        </w:rPr>
        <w:t>atteindre l</w:t>
      </w:r>
      <w:r>
        <w:rPr>
          <w:rFonts w:cs="Times New Roman"/>
          <w:lang w:val="fr-CA"/>
        </w:rPr>
        <w:t>’</w:t>
      </w:r>
      <w:r w:rsidRPr="00017532">
        <w:rPr>
          <w:rFonts w:cs="Times New Roman"/>
          <w:lang w:val="fr-CA"/>
        </w:rPr>
        <w:t>objectif législatif.</w:t>
      </w:r>
    </w:p>
    <w:p w:rsidR="002A4851" w:rsidRPr="00017532" w:rsidRDefault="002A4851" w:rsidP="00A659A4">
      <w:pPr>
        <w:pStyle w:val="Title3LevelTitre3Niveau"/>
        <w:ind w:left="1156" w:hanging="578"/>
        <w:jc w:val="both"/>
        <w:rPr>
          <w:rFonts w:cs="Times New Roman"/>
          <w:lang w:val="fr-CA"/>
        </w:rPr>
      </w:pPr>
      <w:r w:rsidRPr="00017532">
        <w:rPr>
          <w:rFonts w:cs="Times New Roman"/>
          <w:lang w:val="fr-CA"/>
        </w:rPr>
        <w:t>Proportionnalité</w:t>
      </w:r>
    </w:p>
    <w:p w:rsidR="002A4851" w:rsidRPr="00017532" w:rsidRDefault="002A4851" w:rsidP="00A659A4">
      <w:pPr>
        <w:pStyle w:val="ParaNoNdepar-AltN"/>
        <w:rPr>
          <w:rFonts w:cs="Times New Roman"/>
          <w:lang w:val="fr-CA"/>
        </w:rPr>
      </w:pPr>
      <w:r w:rsidRPr="00017532">
        <w:rPr>
          <w:rFonts w:cs="Times New Roman"/>
          <w:lang w:val="fr-CA"/>
        </w:rPr>
        <w:lastRenderedPageBreak/>
        <w:t>À ce stade de l</w:t>
      </w:r>
      <w:r>
        <w:rPr>
          <w:rFonts w:cs="Times New Roman"/>
          <w:lang w:val="fr-CA"/>
        </w:rPr>
        <w:t>’</w:t>
      </w:r>
      <w:r w:rsidRPr="00017532">
        <w:rPr>
          <w:rFonts w:cs="Times New Roman"/>
          <w:lang w:val="fr-CA"/>
        </w:rPr>
        <w:t>analyse, on soupèse l</w:t>
      </w:r>
      <w:r>
        <w:rPr>
          <w:rFonts w:cs="Times New Roman"/>
          <w:lang w:val="fr-CA"/>
        </w:rPr>
        <w:t>’</w:t>
      </w:r>
      <w:r w:rsidRPr="00017532">
        <w:rPr>
          <w:rFonts w:cs="Times New Roman"/>
          <w:lang w:val="fr-CA"/>
        </w:rPr>
        <w:t>incidence de la loi sur les droits garantis et son effet bénéfique sur l</w:t>
      </w:r>
      <w:r>
        <w:rPr>
          <w:rFonts w:cs="Times New Roman"/>
          <w:lang w:val="fr-CA"/>
        </w:rPr>
        <w:t>’</w:t>
      </w:r>
      <w:r w:rsidRPr="00017532">
        <w:rPr>
          <w:rFonts w:cs="Times New Roman"/>
          <w:lang w:val="fr-CA"/>
        </w:rPr>
        <w:t>intérêt supérieur du public. Vu la conclusion selon laquelle les peines minimales obligatoires d</w:t>
      </w:r>
      <w:r>
        <w:rPr>
          <w:rFonts w:cs="Times New Roman"/>
          <w:lang w:val="fr-CA"/>
        </w:rPr>
        <w:t>’</w:t>
      </w:r>
      <w:r w:rsidRPr="00017532">
        <w:rPr>
          <w:rFonts w:cs="Times New Roman"/>
          <w:lang w:val="fr-CA"/>
        </w:rPr>
        <w:t>emprisonnement prévues à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95 lorsque le ministère public opte pour la mise en accusation sont totalement disproportionnées, je ne crois pas que la restriction puisse se justifier sur le fondement de la proportionnalité pour les besoins de l</w:t>
      </w:r>
      <w:r>
        <w:rPr>
          <w:rFonts w:cs="Times New Roman"/>
          <w:lang w:val="fr-CA"/>
        </w:rPr>
        <w:t>’</w:t>
      </w:r>
      <w:r w:rsidRPr="00017532">
        <w:rPr>
          <w:rFonts w:cs="Times New Roman"/>
          <w:lang w:val="fr-CA"/>
        </w:rPr>
        <w:t xml:space="preserve">article premier. </w:t>
      </w:r>
    </w:p>
    <w:p w:rsidR="002A4851" w:rsidRPr="00017532" w:rsidRDefault="002A4851" w:rsidP="00A659A4">
      <w:pPr>
        <w:pStyle w:val="Title1LevelTitre1Niveau-AltL"/>
        <w:ind w:left="578" w:hanging="578"/>
        <w:jc w:val="both"/>
        <w:rPr>
          <w:rFonts w:cs="Times New Roman"/>
          <w:lang w:val="fr-CA"/>
        </w:rPr>
      </w:pPr>
      <w:r w:rsidRPr="00017532">
        <w:rPr>
          <w:rFonts w:cs="Times New Roman"/>
          <w:lang w:val="fr-CA"/>
        </w:rPr>
        <w:t>Conclusion</w:t>
      </w:r>
    </w:p>
    <w:p w:rsidR="002A4851" w:rsidRPr="00017532" w:rsidRDefault="002A4851" w:rsidP="00A659A4">
      <w:pPr>
        <w:pStyle w:val="ParaNoNdepar-AltN"/>
        <w:rPr>
          <w:rFonts w:cs="Times New Roman"/>
          <w:lang w:val="fr-CA"/>
        </w:rPr>
      </w:pPr>
      <w:r w:rsidRPr="00017532">
        <w:rPr>
          <w:rFonts w:cs="Times New Roman"/>
          <w:lang w:val="fr-CA"/>
        </w:rPr>
        <w:t>Je suis d</w:t>
      </w:r>
      <w:r>
        <w:rPr>
          <w:rFonts w:cs="Times New Roman"/>
          <w:lang w:val="fr-CA"/>
        </w:rPr>
        <w:t>’</w:t>
      </w:r>
      <w:r w:rsidRPr="00017532">
        <w:rPr>
          <w:rFonts w:cs="Times New Roman"/>
          <w:lang w:val="fr-CA"/>
        </w:rPr>
        <w:t>avis de rejeter les pourvois. Les peines minimales obligatoires prévues à l</w:t>
      </w:r>
      <w:r>
        <w:rPr>
          <w:rFonts w:cs="Times New Roman"/>
          <w:lang w:val="fr-CA"/>
        </w:rPr>
        <w:t>’</w:t>
      </w:r>
      <w:r w:rsidRPr="00017532">
        <w:rPr>
          <w:rFonts w:cs="Times New Roman"/>
          <w:lang w:val="fr-CA"/>
        </w:rPr>
        <w:t>al.</w:t>
      </w:r>
      <w:r w:rsidR="00B029AB">
        <w:rPr>
          <w:rFonts w:cs="Times New Roman"/>
          <w:lang w:val="fr-CA"/>
        </w:rPr>
        <w:t xml:space="preserve"> </w:t>
      </w:r>
      <w:r w:rsidRPr="00017532">
        <w:rPr>
          <w:rFonts w:cs="Times New Roman"/>
          <w:lang w:val="fr-CA"/>
        </w:rPr>
        <w:t>95(2)</w:t>
      </w:r>
      <w:r w:rsidRPr="00017532">
        <w:rPr>
          <w:rFonts w:cs="Times New Roman"/>
          <w:i/>
          <w:lang w:val="fr-CA"/>
        </w:rPr>
        <w:t>a</w:t>
      </w:r>
      <w:r w:rsidRPr="00017532">
        <w:rPr>
          <w:rFonts w:cs="Times New Roman"/>
          <w:lang w:val="fr-CA"/>
        </w:rPr>
        <w:t>) sont incompatibles avec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12 de la </w:t>
      </w:r>
      <w:r w:rsidRPr="00017532">
        <w:rPr>
          <w:rFonts w:cs="Times New Roman"/>
          <w:i/>
          <w:lang w:val="fr-CA"/>
        </w:rPr>
        <w:t>Charte</w:t>
      </w:r>
      <w:r w:rsidRPr="00017532">
        <w:rPr>
          <w:rFonts w:cs="Times New Roman"/>
          <w:lang w:val="fr-CA"/>
        </w:rPr>
        <w:t>. Je les déclare donc inopérantes en vertu de l</w:t>
      </w:r>
      <w:r>
        <w:rPr>
          <w:rFonts w:cs="Times New Roman"/>
          <w:lang w:val="fr-CA"/>
        </w:rPr>
        <w:t>’</w:t>
      </w:r>
      <w:r w:rsidRPr="00017532">
        <w:rPr>
          <w:rFonts w:cs="Times New Roman"/>
          <w:lang w:val="fr-CA"/>
        </w:rPr>
        <w:t>art.</w:t>
      </w:r>
      <w:r w:rsidR="00B029AB">
        <w:rPr>
          <w:rFonts w:cs="Times New Roman"/>
          <w:lang w:val="fr-CA"/>
        </w:rPr>
        <w:t xml:space="preserve"> </w:t>
      </w:r>
      <w:r w:rsidRPr="00017532">
        <w:rPr>
          <w:rFonts w:cs="Times New Roman"/>
          <w:lang w:val="fr-CA"/>
        </w:rPr>
        <w:t xml:space="preserve">52 de la </w:t>
      </w:r>
      <w:r w:rsidRPr="00017532">
        <w:rPr>
          <w:rFonts w:cs="Times New Roman"/>
          <w:i/>
          <w:lang w:val="fr-CA"/>
        </w:rPr>
        <w:t>Loi constitutionnelle de</w:t>
      </w:r>
      <w:r w:rsidR="00B029AB">
        <w:rPr>
          <w:rFonts w:cs="Times New Roman"/>
          <w:i/>
          <w:lang w:val="fr-CA"/>
        </w:rPr>
        <w:t xml:space="preserve"> </w:t>
      </w:r>
      <w:r w:rsidRPr="00017532">
        <w:rPr>
          <w:rFonts w:cs="Times New Roman"/>
          <w:i/>
          <w:lang w:val="fr-CA"/>
        </w:rPr>
        <w:t>1982</w:t>
      </w:r>
      <w:r w:rsidRPr="00017532">
        <w:rPr>
          <w:rFonts w:cs="Times New Roman"/>
          <w:lang w:val="fr-CA"/>
        </w:rPr>
        <w:t xml:space="preserve">. </w:t>
      </w:r>
    </w:p>
    <w:p w:rsidR="002A4851" w:rsidRPr="00017532" w:rsidRDefault="002A4851" w:rsidP="00A659A4">
      <w:pPr>
        <w:pStyle w:val="ParaNoNdepar-AltN"/>
        <w:rPr>
          <w:rFonts w:cs="Times New Roman"/>
          <w:lang w:val="fr-CA"/>
        </w:rPr>
      </w:pPr>
      <w:r w:rsidRPr="00017532">
        <w:rPr>
          <w:rFonts w:cs="Times New Roman"/>
          <w:lang w:val="fr-CA"/>
        </w:rPr>
        <w:t>Il demeure approprié que les tribunaux continuent d</w:t>
      </w:r>
      <w:r>
        <w:rPr>
          <w:rFonts w:cs="Times New Roman"/>
          <w:lang w:val="fr-CA"/>
        </w:rPr>
        <w:t>’</w:t>
      </w:r>
      <w:r w:rsidRPr="00017532">
        <w:rPr>
          <w:rFonts w:cs="Times New Roman"/>
          <w:lang w:val="fr-CA"/>
        </w:rPr>
        <w:t>infliger de lourdes peines dans d</w:t>
      </w:r>
      <w:r>
        <w:rPr>
          <w:rFonts w:cs="Times New Roman"/>
          <w:lang w:val="fr-CA"/>
        </w:rPr>
        <w:t>’</w:t>
      </w:r>
      <w:r w:rsidRPr="00017532">
        <w:rPr>
          <w:rFonts w:cs="Times New Roman"/>
          <w:lang w:val="fr-CA"/>
        </w:rPr>
        <w:t>autres circonstances, comme celles des dossiers considérés en l</w:t>
      </w:r>
      <w:r>
        <w:rPr>
          <w:rFonts w:cs="Times New Roman"/>
          <w:lang w:val="fr-CA"/>
        </w:rPr>
        <w:t>’</w:t>
      </w:r>
      <w:r w:rsidRPr="00017532">
        <w:rPr>
          <w:rFonts w:cs="Times New Roman"/>
          <w:lang w:val="fr-CA"/>
        </w:rPr>
        <w:t>espèce. C</w:t>
      </w:r>
      <w:r>
        <w:rPr>
          <w:rFonts w:cs="Times New Roman"/>
          <w:lang w:val="fr-CA"/>
        </w:rPr>
        <w:t>’</w:t>
      </w:r>
      <w:r w:rsidRPr="00017532">
        <w:rPr>
          <w:rFonts w:cs="Times New Roman"/>
          <w:lang w:val="fr-CA"/>
        </w:rPr>
        <w:t>est pourquoi je m</w:t>
      </w:r>
      <w:r>
        <w:rPr>
          <w:rFonts w:cs="Times New Roman"/>
          <w:lang w:val="fr-CA"/>
        </w:rPr>
        <w:t>’</w:t>
      </w:r>
      <w:r w:rsidRPr="00017532">
        <w:rPr>
          <w:rFonts w:cs="Times New Roman"/>
          <w:lang w:val="fr-CA"/>
        </w:rPr>
        <w:t>abstiens de modifier les peines infligées par les juges du procès dans les dossiers de MM.</w:t>
      </w:r>
      <w:r w:rsidR="00B029AB">
        <w:rPr>
          <w:rFonts w:cs="Times New Roman"/>
          <w:lang w:val="fr-CA"/>
        </w:rPr>
        <w:t xml:space="preserve"> </w:t>
      </w:r>
      <w:r w:rsidRPr="00017532">
        <w:rPr>
          <w:rFonts w:cs="Times New Roman"/>
          <w:lang w:val="fr-CA"/>
        </w:rPr>
        <w:t>Nur et</w:t>
      </w:r>
      <w:r w:rsidR="00B029AB">
        <w:rPr>
          <w:rFonts w:cs="Times New Roman"/>
          <w:lang w:val="fr-CA"/>
        </w:rPr>
        <w:t xml:space="preserve"> </w:t>
      </w:r>
      <w:r w:rsidRPr="00017532">
        <w:rPr>
          <w:rFonts w:cs="Times New Roman"/>
          <w:lang w:val="fr-CA"/>
        </w:rPr>
        <w:t xml:space="preserve">Charles. </w:t>
      </w:r>
    </w:p>
    <w:p w:rsidR="002A4851" w:rsidRDefault="00A659A4" w:rsidP="00A659A4">
      <w:pPr>
        <w:pStyle w:val="SCCNormalDoubleSpacing"/>
        <w:spacing w:after="480"/>
        <w:rPr>
          <w:lang w:val="fr-CA"/>
        </w:rPr>
      </w:pPr>
      <w:r>
        <w:rPr>
          <w:lang w:val="fr-CA"/>
        </w:rPr>
        <w:tab/>
        <w:t>Version française des motifs des juges Rothstein, Moldaver et Wagner rendus par</w:t>
      </w:r>
    </w:p>
    <w:p w:rsidR="002A4851" w:rsidRPr="00745E68" w:rsidRDefault="002A4851" w:rsidP="00A659A4">
      <w:pPr>
        <w:pStyle w:val="JudgeJuge"/>
        <w:spacing w:before="480"/>
        <w:jc w:val="both"/>
        <w:rPr>
          <w:lang w:val="fr-CA"/>
        </w:rPr>
      </w:pPr>
      <w:r w:rsidRPr="00745E68">
        <w:rPr>
          <w:lang w:val="fr-CA"/>
        </w:rPr>
        <w:tab/>
        <w:t>L</w:t>
      </w:r>
      <w:r>
        <w:rPr>
          <w:lang w:val="fr-CA"/>
        </w:rPr>
        <w:t>e</w:t>
      </w:r>
      <w:r w:rsidRPr="00745E68">
        <w:rPr>
          <w:lang w:val="fr-CA"/>
        </w:rPr>
        <w:t xml:space="preserve"> juge Moldaver </w:t>
      </w:r>
      <w:r w:rsidR="00A659A4">
        <w:rPr>
          <w:smallCaps w:val="0"/>
          <w:lang w:val="fr-CA"/>
        </w:rPr>
        <w:t xml:space="preserve">(dissident) </w:t>
      </w:r>
      <w:r w:rsidRPr="00745E68">
        <w:rPr>
          <w:lang w:val="fr-CA"/>
        </w:rPr>
        <w:t xml:space="preserve">— </w:t>
      </w:r>
    </w:p>
    <w:p w:rsidR="002A4851" w:rsidRPr="00745E68" w:rsidRDefault="002A4851" w:rsidP="00A659A4">
      <w:pPr>
        <w:pStyle w:val="Title1LevelTitre1Niveau-AltL"/>
        <w:numPr>
          <w:ilvl w:val="0"/>
          <w:numId w:val="43"/>
        </w:numPr>
        <w:jc w:val="both"/>
      </w:pPr>
      <w:r w:rsidRPr="00745E68">
        <w:t>Aperçu</w:t>
      </w:r>
    </w:p>
    <w:p w:rsidR="002A4851" w:rsidRPr="00745E68" w:rsidRDefault="002A4851" w:rsidP="00A659A4">
      <w:pPr>
        <w:pStyle w:val="ParaNoNdepar-AltN"/>
        <w:rPr>
          <w:rFonts w:cs="Times New Roman"/>
          <w:lang w:val="fr-CA"/>
        </w:rPr>
      </w:pPr>
      <w:r w:rsidRPr="00745E68">
        <w:rPr>
          <w:rFonts w:cs="Times New Roman"/>
          <w:lang w:val="fr-CA"/>
        </w:rPr>
        <w:lastRenderedPageBreak/>
        <w:t xml:space="preserve">La Juge en chef fait observer que les crimes liés aux armes à feu </w:t>
      </w:r>
      <w:r w:rsidR="00B029AB">
        <w:rPr>
          <w:rFonts w:cs="Times New Roman"/>
          <w:lang w:val="fr-CA"/>
        </w:rPr>
        <w:t>« </w:t>
      </w:r>
      <w:r w:rsidRPr="00745E68">
        <w:rPr>
          <w:rFonts w:cs="Times New Roman"/>
          <w:lang w:val="fr-CA"/>
        </w:rPr>
        <w:t>exposent les Canadiennes et les Canadiens à de graves dangers</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1). Elle ajoute que, par l’adoption de dispositions réglementaires en vertu de la </w:t>
      </w:r>
      <w:r w:rsidRPr="00745E68">
        <w:rPr>
          <w:rFonts w:cs="Times New Roman"/>
          <w:i/>
          <w:lang w:val="fr-CA"/>
        </w:rPr>
        <w:t>Loi sur les armes à feu</w:t>
      </w:r>
      <w:r w:rsidRPr="00745E68">
        <w:rPr>
          <w:rFonts w:cs="Times New Roman"/>
          <w:lang w:val="fr-CA"/>
        </w:rPr>
        <w:t>, L.C. 1995, c.</w:t>
      </w:r>
      <w:r w:rsidR="00B029AB">
        <w:rPr>
          <w:rFonts w:cs="Times New Roman"/>
          <w:lang w:val="fr-CA"/>
        </w:rPr>
        <w:t xml:space="preserve"> </w:t>
      </w:r>
      <w:r w:rsidRPr="00745E68">
        <w:rPr>
          <w:rFonts w:cs="Times New Roman"/>
          <w:lang w:val="fr-CA"/>
        </w:rPr>
        <w:t xml:space="preserve">39, et par l’établissement d’interdictions dans le </w:t>
      </w:r>
      <w:r w:rsidRPr="00745E68">
        <w:rPr>
          <w:rFonts w:cs="Times New Roman"/>
          <w:i/>
          <w:lang w:val="fr-CA"/>
        </w:rPr>
        <w:t>Code criminel</w:t>
      </w:r>
      <w:r w:rsidRPr="00745E68">
        <w:rPr>
          <w:rFonts w:cs="Times New Roman"/>
          <w:lang w:val="fr-CA"/>
        </w:rPr>
        <w:t>, L.R.C. 1985, c.</w:t>
      </w:r>
      <w:r w:rsidR="00B029AB">
        <w:rPr>
          <w:rFonts w:cs="Times New Roman"/>
          <w:lang w:val="fr-CA"/>
        </w:rPr>
        <w:t xml:space="preserve"> </w:t>
      </w:r>
      <w:r w:rsidRPr="00745E68">
        <w:rPr>
          <w:rFonts w:cs="Times New Roman"/>
          <w:lang w:val="fr-CA"/>
        </w:rPr>
        <w:t>C</w:t>
      </w:r>
      <w:r w:rsidR="00B029AB">
        <w:rPr>
          <w:rFonts w:cs="Times New Roman"/>
          <w:lang w:val="fr-CA"/>
        </w:rPr>
        <w:t>-</w:t>
      </w:r>
      <w:r w:rsidRPr="00745E68">
        <w:rPr>
          <w:rFonts w:cs="Times New Roman"/>
          <w:lang w:val="fr-CA"/>
        </w:rPr>
        <w:t xml:space="preserve">46, le législateur </w:t>
      </w:r>
      <w:r w:rsidR="00B029AB">
        <w:rPr>
          <w:rFonts w:cs="Times New Roman"/>
          <w:lang w:val="fr-CA"/>
        </w:rPr>
        <w:t>« </w:t>
      </w:r>
      <w:r w:rsidRPr="00745E68">
        <w:rPr>
          <w:rFonts w:cs="Times New Roman"/>
          <w:lang w:val="fr-CA"/>
        </w:rPr>
        <w:t>a voulu protéger la population contre les blessures par balle et décourager la perpétration de tel[s] [crimes]</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6). En vue d’atteindre ces objectifs, il a prévu l’infliction de lourdes peines aux auteurs de crimes liés aux armes à feu. Au nombre de ces sanctions figurent les peines minimales obligatoires que prévoit le </w:t>
      </w:r>
      <w:r>
        <w:rPr>
          <w:rFonts w:cs="Times New Roman"/>
          <w:lang w:val="fr-CA"/>
        </w:rPr>
        <w:t>par.</w:t>
      </w:r>
      <w:r w:rsidR="00B029AB">
        <w:rPr>
          <w:rFonts w:cs="Times New Roman"/>
          <w:lang w:val="fr-CA"/>
        </w:rPr>
        <w:t xml:space="preserve"> </w:t>
      </w:r>
      <w:r w:rsidRPr="00745E68">
        <w:rPr>
          <w:rFonts w:cs="Times New Roman"/>
          <w:lang w:val="fr-CA"/>
        </w:rPr>
        <w:t xml:space="preserve">95(2) du </w:t>
      </w:r>
      <w:r w:rsidRPr="00745E68">
        <w:rPr>
          <w:rFonts w:cs="Times New Roman"/>
          <w:i/>
          <w:lang w:val="fr-CA"/>
        </w:rPr>
        <w:t>Code</w:t>
      </w:r>
      <w:r w:rsidR="00A659A4">
        <w:rPr>
          <w:rFonts w:cs="Times New Roman"/>
          <w:i/>
          <w:lang w:val="fr-CA"/>
        </w:rPr>
        <w:t xml:space="preserve"> criminel</w:t>
      </w:r>
      <w:r w:rsidRPr="00745E68">
        <w:rPr>
          <w:rFonts w:cs="Times New Roman"/>
          <w:i/>
          <w:lang w:val="fr-CA"/>
        </w:rPr>
        <w:t xml:space="preserve"> </w:t>
      </w:r>
      <w:r w:rsidRPr="00745E68">
        <w:rPr>
          <w:rFonts w:cs="Times New Roman"/>
          <w:lang w:val="fr-CA"/>
        </w:rPr>
        <w:t>pour la possession illégale d’une arme à feu prohibée ou à autorisation restreinte, chargée ou prête à l’être, soit principalement</w:t>
      </w:r>
      <w:r w:rsidRPr="00745E68">
        <w:rPr>
          <w:rFonts w:cs="Times New Roman"/>
          <w:i/>
          <w:lang w:val="fr-CA"/>
        </w:rPr>
        <w:t xml:space="preserve"> </w:t>
      </w:r>
      <w:r w:rsidRPr="00745E68">
        <w:rPr>
          <w:rFonts w:cs="Times New Roman"/>
          <w:lang w:val="fr-CA"/>
        </w:rPr>
        <w:t xml:space="preserve">des armes de poing, des mitrailleuses, ainsi que des carabines ou des fusils de chasse sciés. Ces armes sont rarement détenues à des fins légitimes, et leur utilisation fréquente par les criminels a des effets effroyables. Or, malgré des objectifs législatifs à la fois valables et importants, les juges majoritaires sont d’avis de déclarer ces peines minimales obligatoires inconstitutionnelles au motif que, dans certains cas </w:t>
      </w:r>
      <w:r w:rsidR="00B029AB">
        <w:rPr>
          <w:rFonts w:cs="Times New Roman"/>
          <w:lang w:val="fr-CA"/>
        </w:rPr>
        <w:t>« </w:t>
      </w:r>
      <w:r w:rsidRPr="00745E68">
        <w:rPr>
          <w:rFonts w:cs="Times New Roman"/>
          <w:lang w:val="fr-CA"/>
        </w:rPr>
        <w:t>raisonnablement prévisibles</w:t>
      </w:r>
      <w:r w:rsidR="00B029AB">
        <w:rPr>
          <w:rFonts w:cs="Times New Roman"/>
          <w:lang w:val="fr-CA"/>
        </w:rPr>
        <w:t> »</w:t>
      </w:r>
      <w:r w:rsidRPr="00745E68">
        <w:rPr>
          <w:rFonts w:cs="Times New Roman"/>
          <w:lang w:val="fr-CA"/>
        </w:rPr>
        <w:t>, leur application pourrait mener à l’infliction de peines totalement disproportionnées, contrairement à l’</w:t>
      </w:r>
      <w:r>
        <w:rPr>
          <w:rFonts w:cs="Times New Roman"/>
          <w:lang w:val="fr-CA"/>
        </w:rPr>
        <w:t>art.</w:t>
      </w:r>
      <w:r w:rsidR="00B029AB">
        <w:rPr>
          <w:rFonts w:cs="Times New Roman"/>
          <w:lang w:val="fr-CA"/>
        </w:rPr>
        <w:t xml:space="preserve"> </w:t>
      </w:r>
      <w:r w:rsidRPr="00745E68">
        <w:rPr>
          <w:rFonts w:cs="Times New Roman"/>
          <w:lang w:val="fr-CA"/>
        </w:rPr>
        <w:t xml:space="preserve">12 de la </w:t>
      </w:r>
      <w:r w:rsidRPr="00745E68">
        <w:rPr>
          <w:rFonts w:cs="Times New Roman"/>
          <w:i/>
          <w:lang w:val="fr-CA"/>
        </w:rPr>
        <w:t>Charte canadienne des droits et libertés</w:t>
      </w:r>
      <w:r w:rsidRPr="00745E68">
        <w:rPr>
          <w:rFonts w:cs="Times New Roman"/>
          <w:lang w:val="fr-CA"/>
        </w:rPr>
        <w:t xml:space="preserve">. </w:t>
      </w:r>
    </w:p>
    <w:p w:rsidR="002A4851" w:rsidRPr="00745E68" w:rsidRDefault="002A4851" w:rsidP="00A659A4">
      <w:pPr>
        <w:pStyle w:val="ParaNoNdepar-AltN"/>
        <w:rPr>
          <w:rFonts w:cs="Times New Roman"/>
          <w:lang w:val="fr-CA"/>
        </w:rPr>
      </w:pPr>
      <w:r w:rsidRPr="00745E68">
        <w:rPr>
          <w:rFonts w:cs="Times New Roman"/>
          <w:lang w:val="fr-CA"/>
        </w:rPr>
        <w:t>Soit dit en tout respect, je ne suis pas d’accord. L’infraction créée à l’</w:t>
      </w:r>
      <w:r>
        <w:rPr>
          <w:rFonts w:cs="Times New Roman"/>
          <w:lang w:val="fr-CA"/>
        </w:rPr>
        <w:t>art.</w:t>
      </w:r>
      <w:r w:rsidR="00B029AB">
        <w:rPr>
          <w:rFonts w:cs="Times New Roman"/>
          <w:lang w:val="fr-CA"/>
        </w:rPr>
        <w:t xml:space="preserve"> </w:t>
      </w:r>
      <w:r w:rsidRPr="00745E68">
        <w:rPr>
          <w:rFonts w:cs="Times New Roman"/>
          <w:lang w:val="fr-CA"/>
        </w:rPr>
        <w:t>95 est mixte. Il y a donc peines minimales obligatoires lorsque le poursuivant opte pour la mise en accusation, mais il n’y en a pas lorsqu’il opte pour la procédure sommaire. Selon moi, le législateur reconnaît que l’</w:t>
      </w:r>
      <w:r>
        <w:rPr>
          <w:rFonts w:cs="Times New Roman"/>
          <w:lang w:val="fr-CA"/>
        </w:rPr>
        <w:t>art.</w:t>
      </w:r>
      <w:r w:rsidR="00B029AB">
        <w:rPr>
          <w:rFonts w:cs="Times New Roman"/>
          <w:lang w:val="fr-CA"/>
        </w:rPr>
        <w:t xml:space="preserve"> </w:t>
      </w:r>
      <w:r w:rsidRPr="00745E68">
        <w:rPr>
          <w:rFonts w:cs="Times New Roman"/>
          <w:lang w:val="fr-CA"/>
        </w:rPr>
        <w:t xml:space="preserve">95 vise une gamme étendue </w:t>
      </w:r>
      <w:r w:rsidRPr="00745E68">
        <w:rPr>
          <w:rFonts w:cs="Times New Roman"/>
          <w:lang w:val="fr-CA"/>
        </w:rPr>
        <w:lastRenderedPageBreak/>
        <w:t xml:space="preserve">de comportements qui vont du </w:t>
      </w:r>
      <w:r w:rsidR="00B029AB">
        <w:rPr>
          <w:rFonts w:cs="Times New Roman"/>
          <w:lang w:val="fr-CA"/>
        </w:rPr>
        <w:t>« </w:t>
      </w:r>
      <w:r w:rsidRPr="00745E68">
        <w:rPr>
          <w:rFonts w:cs="Times New Roman"/>
          <w:lang w:val="fr-CA"/>
        </w:rPr>
        <w:t>vrai crime</w:t>
      </w:r>
      <w:r w:rsidR="00B029AB">
        <w:rPr>
          <w:rFonts w:cs="Times New Roman"/>
          <w:lang w:val="fr-CA"/>
        </w:rPr>
        <w:t> »</w:t>
      </w:r>
      <w:r w:rsidRPr="00745E68">
        <w:rPr>
          <w:rFonts w:cs="Times New Roman"/>
          <w:lang w:val="fr-CA"/>
        </w:rPr>
        <w:t xml:space="preserve">, à l’extrémité supérieure du continuum, à ce qui s’apparente à l’infraction réglementaire, à l’extrémité inférieure. Je conviens d’emblée avec mes collègues que ce dernier type d’infraction, qui correspond au mode le moins grave de perpétration de l’infraction, </w:t>
      </w:r>
      <w:r w:rsidR="00B029AB">
        <w:rPr>
          <w:rFonts w:cs="Times New Roman"/>
          <w:lang w:val="fr-CA"/>
        </w:rPr>
        <w:t>« </w:t>
      </w:r>
      <w:r w:rsidRPr="00745E68">
        <w:rPr>
          <w:rFonts w:cs="Times New Roman"/>
          <w:lang w:val="fr-CA"/>
        </w:rPr>
        <w:t>comport[e] une culpabilité mo</w:t>
      </w:r>
      <w:r>
        <w:rPr>
          <w:rFonts w:cs="Times New Roman"/>
          <w:lang w:val="fr-CA"/>
        </w:rPr>
        <w:t>rale minime, voire nulle, et [.</w:t>
      </w:r>
      <w:r w:rsidR="00B029AB">
        <w:rPr>
          <w:rFonts w:cs="Times New Roman"/>
          <w:lang w:val="fr-CA"/>
        </w:rPr>
        <w:t xml:space="preserve"> </w:t>
      </w:r>
      <w:r w:rsidRPr="00745E68">
        <w:rPr>
          <w:rFonts w:cs="Times New Roman"/>
          <w:lang w:val="fr-CA"/>
        </w:rPr>
        <w:t>.</w:t>
      </w:r>
      <w:r w:rsidR="00B029AB">
        <w:rPr>
          <w:rFonts w:cs="Times New Roman"/>
          <w:lang w:val="fr-CA"/>
        </w:rPr>
        <w:t xml:space="preserve"> </w:t>
      </w:r>
      <w:r w:rsidRPr="00745E68">
        <w:rPr>
          <w:rFonts w:cs="Times New Roman"/>
          <w:lang w:val="fr-CA"/>
        </w:rPr>
        <w:t>.] n’expos[e] le public à aucun danger ou presque</w:t>
      </w:r>
      <w:r w:rsidR="00B029AB">
        <w:rPr>
          <w:rFonts w:cs="Times New Roman"/>
          <w:lang w:val="fr-CA"/>
        </w:rPr>
        <w:t> »</w:t>
      </w:r>
      <w:r w:rsidRPr="00745E68">
        <w:rPr>
          <w:rFonts w:cs="Times New Roman"/>
          <w:lang w:val="fr-CA"/>
        </w:rPr>
        <w:t>, et ne justifie manifestement pas l’imposition d’une longue peine carcérale (</w:t>
      </w:r>
      <w:r>
        <w:rPr>
          <w:rFonts w:cs="Times New Roman"/>
          <w:lang w:val="fr-CA"/>
        </w:rPr>
        <w:t>par.</w:t>
      </w:r>
      <w:r w:rsidR="00B029AB">
        <w:rPr>
          <w:rFonts w:cs="Times New Roman"/>
          <w:lang w:val="fr-CA"/>
        </w:rPr>
        <w:t xml:space="preserve"> </w:t>
      </w:r>
      <w:r w:rsidRPr="00745E68">
        <w:rPr>
          <w:rFonts w:cs="Times New Roman"/>
          <w:lang w:val="fr-CA"/>
        </w:rPr>
        <w:t>83). J’estime toutefois que l’</w:t>
      </w:r>
      <w:r>
        <w:rPr>
          <w:rFonts w:cs="Times New Roman"/>
          <w:lang w:val="fr-CA"/>
        </w:rPr>
        <w:t>art.</w:t>
      </w:r>
      <w:r w:rsidR="00B029AB">
        <w:rPr>
          <w:rFonts w:cs="Times New Roman"/>
          <w:lang w:val="fr-CA"/>
        </w:rPr>
        <w:t xml:space="preserve"> </w:t>
      </w:r>
      <w:r w:rsidRPr="00745E68">
        <w:rPr>
          <w:rFonts w:cs="Times New Roman"/>
          <w:lang w:val="fr-CA"/>
        </w:rPr>
        <w:t>95, en permettant la poursuite par procédure sommaire, garantit presque que les cas les moins graves de perpétration de l’infraction auxquels renvoient les juges majoritaires (l</w:t>
      </w:r>
      <w:r>
        <w:rPr>
          <w:rFonts w:cs="Times New Roman"/>
          <w:lang w:val="fr-CA"/>
        </w:rPr>
        <w:t xml:space="preserve">es </w:t>
      </w:r>
      <w:r w:rsidR="00B029AB">
        <w:rPr>
          <w:rFonts w:cs="Times New Roman"/>
          <w:lang w:val="fr-CA"/>
        </w:rPr>
        <w:t>« </w:t>
      </w:r>
      <w:r w:rsidRPr="00745E68">
        <w:rPr>
          <w:rFonts w:cs="Times New Roman"/>
          <w:lang w:val="fr-CA"/>
        </w:rPr>
        <w:t>infraction</w:t>
      </w:r>
      <w:r>
        <w:rPr>
          <w:rFonts w:cs="Times New Roman"/>
          <w:lang w:val="fr-CA"/>
        </w:rPr>
        <w:t>s</w:t>
      </w:r>
      <w:r w:rsidRPr="00745E68">
        <w:rPr>
          <w:rFonts w:cs="Times New Roman"/>
          <w:lang w:val="fr-CA"/>
        </w:rPr>
        <w:t xml:space="preserve"> de type réglementaire</w:t>
      </w:r>
      <w:r w:rsidR="00B029AB">
        <w:rPr>
          <w:rFonts w:cs="Times New Roman"/>
          <w:lang w:val="fr-CA"/>
        </w:rPr>
        <w:t> »</w:t>
      </w:r>
      <w:r w:rsidRPr="00745E68">
        <w:rPr>
          <w:rFonts w:cs="Times New Roman"/>
          <w:lang w:val="fr-CA"/>
        </w:rPr>
        <w:t xml:space="preserve">) </w:t>
      </w:r>
      <w:r w:rsidRPr="00745E68">
        <w:rPr>
          <w:rFonts w:cs="Times New Roman"/>
          <w:i/>
          <w:lang w:val="fr-CA"/>
        </w:rPr>
        <w:t>n’</w:t>
      </w:r>
      <w:r w:rsidRPr="00745E68">
        <w:rPr>
          <w:rFonts w:cs="Times New Roman"/>
          <w:lang w:val="fr-CA"/>
        </w:rPr>
        <w:t xml:space="preserve">emporteront </w:t>
      </w:r>
      <w:r w:rsidRPr="00745E68">
        <w:rPr>
          <w:rFonts w:cs="Times New Roman"/>
          <w:i/>
          <w:lang w:val="fr-CA"/>
        </w:rPr>
        <w:t>pas</w:t>
      </w:r>
      <w:r w:rsidRPr="00745E68">
        <w:rPr>
          <w:rFonts w:cs="Times New Roman"/>
          <w:lang w:val="fr-CA"/>
        </w:rPr>
        <w:t xml:space="preserve"> l’infliction d’une peine minimale obligatoire. J’examine ce point dans la première partie de mes motifs (</w:t>
      </w:r>
      <w:r>
        <w:rPr>
          <w:rFonts w:cs="Times New Roman"/>
          <w:lang w:val="fr-CA"/>
        </w:rPr>
        <w:t>par.</w:t>
      </w:r>
      <w:r w:rsidR="00B029AB">
        <w:rPr>
          <w:rFonts w:cs="Times New Roman"/>
          <w:lang w:val="fr-CA"/>
        </w:rPr>
        <w:t xml:space="preserve"> </w:t>
      </w:r>
      <w:r w:rsidRPr="00745E68">
        <w:rPr>
          <w:rFonts w:cs="Times New Roman"/>
          <w:lang w:val="fr-CA"/>
        </w:rPr>
        <w:t>125</w:t>
      </w:r>
      <w:r w:rsidR="00B029AB">
        <w:rPr>
          <w:rFonts w:cs="Times New Roman"/>
          <w:lang w:val="fr-CA"/>
        </w:rPr>
        <w:t>-</w:t>
      </w:r>
      <w:r w:rsidRPr="00745E68">
        <w:rPr>
          <w:rFonts w:cs="Times New Roman"/>
          <w:lang w:val="fr-CA"/>
        </w:rPr>
        <w:t xml:space="preserve">145). Je conclus en somme qu’il n’est pas raisonnablement prévisible que l’auteur d’une infraction de type réglementaire — dont se soucient les juges majoritaires au point d’invalider des dispositions par ailleurs validement adoptées — fasse un jour l’objet d’une mise en accusation. </w:t>
      </w:r>
    </w:p>
    <w:p w:rsidR="002A4851" w:rsidRPr="00745E68" w:rsidRDefault="002A4851" w:rsidP="00A659A4">
      <w:pPr>
        <w:pStyle w:val="ParaNoNdepar-AltN"/>
        <w:rPr>
          <w:rFonts w:cs="Times New Roman"/>
          <w:lang w:val="fr-CA"/>
        </w:rPr>
      </w:pPr>
      <w:r w:rsidRPr="00745E68">
        <w:rPr>
          <w:rFonts w:cs="Times New Roman"/>
          <w:lang w:val="fr-CA"/>
        </w:rPr>
        <w:t>Quoi qu’il en soit, comme je l’explique en deuxième partie (</w:t>
      </w:r>
      <w:r>
        <w:rPr>
          <w:rFonts w:cs="Times New Roman"/>
          <w:lang w:val="fr-CA"/>
        </w:rPr>
        <w:t>par.</w:t>
      </w:r>
      <w:r w:rsidR="00B029AB">
        <w:rPr>
          <w:rFonts w:cs="Times New Roman"/>
          <w:lang w:val="fr-CA"/>
        </w:rPr>
        <w:t xml:space="preserve"> </w:t>
      </w:r>
      <w:r w:rsidRPr="00745E68">
        <w:rPr>
          <w:rFonts w:cs="Times New Roman"/>
          <w:lang w:val="fr-CA"/>
        </w:rPr>
        <w:t>146</w:t>
      </w:r>
      <w:r w:rsidR="00B029AB">
        <w:rPr>
          <w:rFonts w:cs="Times New Roman"/>
          <w:lang w:val="fr-CA"/>
        </w:rPr>
        <w:t>-</w:t>
      </w:r>
      <w:r w:rsidRPr="00745E68">
        <w:rPr>
          <w:rFonts w:cs="Times New Roman"/>
          <w:lang w:val="fr-CA"/>
        </w:rPr>
        <w:t xml:space="preserve">188), la démarche axée sur les situations hypothétiques raisonnables est redondante dans le contexte des infractions mixtes. Je retiens plutôt un autre cadre d’analyse qui, à mon sens, convient mieux dans le cas considéré et qui, au final, écarte tout risque théorique d’une peine totalement disproportionnée. </w:t>
      </w:r>
    </w:p>
    <w:p w:rsidR="002A4851" w:rsidRPr="00745E68" w:rsidRDefault="002A4851" w:rsidP="00A659A4">
      <w:pPr>
        <w:pStyle w:val="ParaNoNdepar-AltN"/>
        <w:rPr>
          <w:rFonts w:cs="Times New Roman"/>
          <w:lang w:val="fr-CA"/>
        </w:rPr>
      </w:pPr>
      <w:r w:rsidRPr="00745E68">
        <w:rPr>
          <w:rFonts w:cs="Times New Roman"/>
          <w:lang w:val="fr-CA"/>
        </w:rPr>
        <w:t xml:space="preserve">En résumé, que l’on applique la démarche axée sur les situations hypothétiques raisonnables ou le cadre d’analyse que je préconise, je suis convaincu </w:t>
      </w:r>
      <w:r w:rsidRPr="00745E68">
        <w:rPr>
          <w:rFonts w:cs="Times New Roman"/>
          <w:lang w:val="fr-CA"/>
        </w:rPr>
        <w:lastRenderedPageBreak/>
        <w:t xml:space="preserve">que le </w:t>
      </w:r>
      <w:r>
        <w:rPr>
          <w:rFonts w:cs="Times New Roman"/>
          <w:lang w:val="fr-CA"/>
        </w:rPr>
        <w:t>par.</w:t>
      </w:r>
      <w:r w:rsidR="00B029AB">
        <w:rPr>
          <w:rFonts w:cs="Times New Roman"/>
          <w:lang w:val="fr-CA"/>
        </w:rPr>
        <w:t xml:space="preserve"> </w:t>
      </w:r>
      <w:r w:rsidRPr="00745E68">
        <w:rPr>
          <w:rFonts w:cs="Times New Roman"/>
          <w:lang w:val="fr-CA"/>
        </w:rPr>
        <w:t>95(2) ne contrevient pas à l’</w:t>
      </w:r>
      <w:r>
        <w:rPr>
          <w:rFonts w:cs="Times New Roman"/>
          <w:lang w:val="fr-CA"/>
        </w:rPr>
        <w:t>art.</w:t>
      </w:r>
      <w:r w:rsidR="00B029AB">
        <w:rPr>
          <w:rFonts w:cs="Times New Roman"/>
          <w:lang w:val="fr-CA"/>
        </w:rPr>
        <w:t xml:space="preserve"> </w:t>
      </w:r>
      <w:r w:rsidRPr="00745E68">
        <w:rPr>
          <w:rFonts w:cs="Times New Roman"/>
          <w:lang w:val="fr-CA"/>
        </w:rPr>
        <w:t xml:space="preserve">12 de la </w:t>
      </w:r>
      <w:r w:rsidRPr="00745E68">
        <w:rPr>
          <w:rFonts w:cs="Times New Roman"/>
          <w:i/>
          <w:lang w:val="fr-CA"/>
        </w:rPr>
        <w:t>Charte</w:t>
      </w:r>
      <w:r w:rsidRPr="00745E68">
        <w:rPr>
          <w:rFonts w:cs="Times New Roman"/>
          <w:lang w:val="fr-CA"/>
        </w:rPr>
        <w:t>. Il ne porte pas non plus atteinte au droit garanti à l’</w:t>
      </w:r>
      <w:r>
        <w:rPr>
          <w:rFonts w:cs="Times New Roman"/>
          <w:lang w:val="fr-CA"/>
        </w:rPr>
        <w:t>art.</w:t>
      </w:r>
      <w:r w:rsidR="00B029AB">
        <w:rPr>
          <w:rFonts w:cs="Times New Roman"/>
          <w:lang w:val="fr-CA"/>
        </w:rPr>
        <w:t xml:space="preserve"> </w:t>
      </w:r>
      <w:r w:rsidRPr="00745E68">
        <w:rPr>
          <w:rFonts w:cs="Times New Roman"/>
          <w:lang w:val="fr-CA"/>
        </w:rPr>
        <w:t xml:space="preserve">7 de la </w:t>
      </w:r>
      <w:r w:rsidRPr="00745E68">
        <w:rPr>
          <w:rFonts w:cs="Times New Roman"/>
          <w:i/>
          <w:lang w:val="fr-CA"/>
        </w:rPr>
        <w:t>Charte</w:t>
      </w:r>
      <w:r w:rsidRPr="00745E68">
        <w:rPr>
          <w:rFonts w:cs="Times New Roman"/>
          <w:lang w:val="fr-CA"/>
        </w:rPr>
        <w:t xml:space="preserve">. Je suis donc d’avis d’accueillir les pourvois. </w:t>
      </w:r>
    </w:p>
    <w:p w:rsidR="002A4851" w:rsidRPr="00745E68" w:rsidRDefault="002A4851" w:rsidP="00A659A4">
      <w:pPr>
        <w:pStyle w:val="Title1LevelTitre1Niveau-AltL"/>
        <w:jc w:val="both"/>
        <w:rPr>
          <w:rFonts w:cs="Times New Roman"/>
          <w:lang w:val="fr-CA"/>
        </w:rPr>
      </w:pPr>
      <w:r w:rsidRPr="00745E68">
        <w:rPr>
          <w:rFonts w:cs="Times New Roman"/>
          <w:lang w:val="fr-CA"/>
        </w:rPr>
        <w:t>Partie</w:t>
      </w:r>
      <w:r w:rsidR="00B029AB">
        <w:rPr>
          <w:rFonts w:cs="Times New Roman"/>
          <w:lang w:val="fr-CA"/>
        </w:rPr>
        <w:t xml:space="preserve"> </w:t>
      </w:r>
      <w:r w:rsidRPr="00745E68">
        <w:rPr>
          <w:rFonts w:cs="Times New Roman"/>
          <w:lang w:val="fr-CA"/>
        </w:rPr>
        <w:t>1</w:t>
      </w:r>
      <w:r w:rsidR="00B029AB">
        <w:rPr>
          <w:rFonts w:cs="Times New Roman"/>
          <w:lang w:val="fr-CA"/>
        </w:rPr>
        <w:t> :</w:t>
      </w:r>
      <w:r w:rsidRPr="00745E68">
        <w:rPr>
          <w:rFonts w:cs="Times New Roman"/>
          <w:lang w:val="fr-CA"/>
        </w:rPr>
        <w:t xml:space="preserve"> L’analyse au regard de l’art</w:t>
      </w:r>
      <w:r w:rsidR="00A659A4">
        <w:rPr>
          <w:rFonts w:cs="Times New Roman"/>
          <w:lang w:val="fr-CA"/>
        </w:rPr>
        <w:t>.</w:t>
      </w:r>
      <w:r w:rsidR="00B029AB">
        <w:rPr>
          <w:rFonts w:cs="Times New Roman"/>
          <w:lang w:val="fr-CA"/>
        </w:rPr>
        <w:t xml:space="preserve"> </w:t>
      </w:r>
      <w:r w:rsidRPr="00745E68">
        <w:rPr>
          <w:rFonts w:cs="Times New Roman"/>
          <w:lang w:val="fr-CA"/>
        </w:rPr>
        <w:t xml:space="preserve">12 suivant la démarche axée sur les situations hypothétiques raisonnables </w:t>
      </w:r>
    </w:p>
    <w:p w:rsidR="002A4851" w:rsidRPr="00745E68" w:rsidRDefault="002A4851" w:rsidP="00A659A4">
      <w:pPr>
        <w:pStyle w:val="Title2LevelTitre2Niveau"/>
        <w:rPr>
          <w:rFonts w:cs="Times New Roman"/>
          <w:lang w:val="fr-CA"/>
        </w:rPr>
      </w:pPr>
      <w:r w:rsidRPr="00745E68">
        <w:rPr>
          <w:rFonts w:cs="Times New Roman"/>
          <w:lang w:val="fr-CA"/>
        </w:rPr>
        <w:t xml:space="preserve">La démarche axée sur les situations hypothétiques raisonnables ne justifie pas l’invalidation du </w:t>
      </w:r>
      <w:r>
        <w:rPr>
          <w:rFonts w:cs="Times New Roman"/>
          <w:lang w:val="fr-CA"/>
        </w:rPr>
        <w:t>par.</w:t>
      </w:r>
      <w:r w:rsidR="00B029AB">
        <w:rPr>
          <w:rFonts w:cs="Times New Roman"/>
          <w:lang w:val="fr-CA"/>
        </w:rPr>
        <w:t xml:space="preserve"> </w:t>
      </w:r>
      <w:r w:rsidRPr="00745E68">
        <w:rPr>
          <w:rFonts w:cs="Times New Roman"/>
          <w:lang w:val="fr-CA"/>
        </w:rPr>
        <w:t xml:space="preserve">95(2) </w:t>
      </w:r>
    </w:p>
    <w:p w:rsidR="002A4851" w:rsidRPr="00745E68" w:rsidRDefault="002A4851" w:rsidP="00A659A4">
      <w:pPr>
        <w:pStyle w:val="ParaNoNdepar-AltN"/>
        <w:rPr>
          <w:rFonts w:cs="Times New Roman"/>
          <w:lang w:val="fr-CA"/>
        </w:rPr>
      </w:pPr>
      <w:r w:rsidRPr="00745E68">
        <w:rPr>
          <w:rFonts w:cs="Times New Roman"/>
          <w:lang w:val="fr-CA"/>
        </w:rPr>
        <w:t xml:space="preserve">Pour conclure à l’inconstitutionnalité du </w:t>
      </w:r>
      <w:r>
        <w:rPr>
          <w:rFonts w:cs="Times New Roman"/>
          <w:lang w:val="fr-CA"/>
        </w:rPr>
        <w:t>par.</w:t>
      </w:r>
      <w:r w:rsidR="00B029AB">
        <w:rPr>
          <w:rFonts w:cs="Times New Roman"/>
          <w:lang w:val="fr-CA"/>
        </w:rPr>
        <w:t xml:space="preserve"> </w:t>
      </w:r>
      <w:r w:rsidRPr="00745E68">
        <w:rPr>
          <w:rFonts w:cs="Times New Roman"/>
          <w:lang w:val="fr-CA"/>
        </w:rPr>
        <w:t xml:space="preserve">95(2), les juges majoritaires reprennent la démarche axée sur les </w:t>
      </w:r>
      <w:r w:rsidR="00B029AB">
        <w:rPr>
          <w:rFonts w:cs="Times New Roman"/>
          <w:lang w:val="fr-CA"/>
        </w:rPr>
        <w:t>« </w:t>
      </w:r>
      <w:r w:rsidRPr="00745E68">
        <w:rPr>
          <w:rFonts w:cs="Times New Roman"/>
          <w:lang w:val="fr-CA"/>
        </w:rPr>
        <w:t>situations hypothétiques raisonnables</w:t>
      </w:r>
      <w:r w:rsidR="00B029AB">
        <w:rPr>
          <w:rFonts w:cs="Times New Roman"/>
          <w:lang w:val="fr-CA"/>
        </w:rPr>
        <w:t> »</w:t>
      </w:r>
      <w:r w:rsidRPr="00745E68">
        <w:rPr>
          <w:rFonts w:cs="Times New Roman"/>
          <w:lang w:val="fr-CA"/>
        </w:rPr>
        <w:t xml:space="preserve"> adoptée initialement par la Cour dans </w:t>
      </w:r>
      <w:r w:rsidRPr="00745E68">
        <w:rPr>
          <w:rFonts w:cs="Times New Roman"/>
          <w:i/>
          <w:lang w:val="fr-CA"/>
        </w:rPr>
        <w:t>R. c.</w:t>
      </w:r>
      <w:r w:rsidRPr="00745E68">
        <w:rPr>
          <w:rFonts w:cs="Times New Roman"/>
          <w:lang w:val="fr-CA"/>
        </w:rPr>
        <w:t xml:space="preserve"> </w:t>
      </w:r>
      <w:r w:rsidRPr="00745E68">
        <w:rPr>
          <w:rFonts w:cs="Times New Roman"/>
          <w:i/>
          <w:lang w:val="fr-CA"/>
        </w:rPr>
        <w:t>Smith</w:t>
      </w:r>
      <w:r w:rsidRPr="00745E68">
        <w:rPr>
          <w:rFonts w:cs="Times New Roman"/>
          <w:lang w:val="fr-CA"/>
        </w:rPr>
        <w:t>, [1987] 1 R.C.S. 1045,</w:t>
      </w:r>
      <w:r w:rsidRPr="00745E68">
        <w:rPr>
          <w:rFonts w:cs="Times New Roman"/>
          <w:i/>
          <w:lang w:val="fr-CA"/>
        </w:rPr>
        <w:t xml:space="preserve"> </w:t>
      </w:r>
      <w:r w:rsidRPr="00745E68">
        <w:rPr>
          <w:rFonts w:cs="Times New Roman"/>
          <w:lang w:val="fr-CA"/>
        </w:rPr>
        <w:t xml:space="preserve">puis appliquée dans les arrêts </w:t>
      </w:r>
      <w:r w:rsidRPr="00745E68">
        <w:rPr>
          <w:rFonts w:cs="Times New Roman"/>
          <w:i/>
          <w:lang w:val="fr-CA"/>
        </w:rPr>
        <w:t>R. c. Goltz</w:t>
      </w:r>
      <w:r w:rsidRPr="00745E68">
        <w:rPr>
          <w:rFonts w:cs="Times New Roman"/>
          <w:lang w:val="fr-CA"/>
        </w:rPr>
        <w:t xml:space="preserve">, [1991] 3 R.C.S. 485, et </w:t>
      </w:r>
      <w:r w:rsidRPr="00745E68">
        <w:rPr>
          <w:rFonts w:cs="Times New Roman"/>
          <w:i/>
          <w:lang w:val="fr-CA"/>
        </w:rPr>
        <w:t>R. c. Morrisey</w:t>
      </w:r>
      <w:r w:rsidRPr="00745E68">
        <w:rPr>
          <w:rFonts w:cs="Times New Roman"/>
          <w:lang w:val="fr-CA"/>
        </w:rPr>
        <w:t>, 2000 CSC 39, [2000] 2 R.C.S. 90. Faisant fond sur ces arrêts, la Juge en chef affirme que les situations hypothétiques raisonnables</w:t>
      </w:r>
      <w:r>
        <w:rPr>
          <w:rFonts w:cs="Times New Roman"/>
          <w:lang w:val="fr-CA"/>
        </w:rPr>
        <w:t xml:space="preserve"> </w:t>
      </w:r>
      <w:r w:rsidRPr="00745E68">
        <w:rPr>
          <w:rFonts w:cs="Times New Roman"/>
          <w:lang w:val="fr-CA"/>
        </w:rPr>
        <w:t xml:space="preserve">doivent </w:t>
      </w:r>
      <w:r w:rsidR="00B029AB">
        <w:rPr>
          <w:rFonts w:cs="Times New Roman"/>
          <w:lang w:val="fr-CA"/>
        </w:rPr>
        <w:t>« </w:t>
      </w:r>
      <w:r w:rsidR="00A659A4">
        <w:rPr>
          <w:rFonts w:cs="Times New Roman"/>
          <w:lang w:val="fr-CA"/>
        </w:rPr>
        <w:t>s’appuyer</w:t>
      </w:r>
      <w:r w:rsidRPr="00745E68">
        <w:rPr>
          <w:rFonts w:cs="Times New Roman"/>
          <w:lang w:val="fr-CA"/>
        </w:rPr>
        <w:t xml:space="preserve"> sur l’expérience </w:t>
      </w:r>
      <w:r w:rsidR="00A659A4">
        <w:rPr>
          <w:rFonts w:cs="Times New Roman"/>
          <w:lang w:val="fr-CA"/>
        </w:rPr>
        <w:t>[. . .]</w:t>
      </w:r>
      <w:r w:rsidRPr="00745E68">
        <w:rPr>
          <w:rFonts w:cs="Times New Roman"/>
          <w:lang w:val="fr-CA"/>
        </w:rPr>
        <w:t xml:space="preserve"> et le bon sens</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62). J’en conviens. Elle renvoie ensuite au </w:t>
      </w:r>
      <w:r>
        <w:rPr>
          <w:rFonts w:cs="Times New Roman"/>
          <w:lang w:val="fr-CA"/>
        </w:rPr>
        <w:t>par.</w:t>
      </w:r>
      <w:r w:rsidR="00B029AB">
        <w:rPr>
          <w:rFonts w:cs="Times New Roman"/>
          <w:lang w:val="fr-CA"/>
        </w:rPr>
        <w:t xml:space="preserve"> </w:t>
      </w:r>
      <w:r w:rsidRPr="00745E68">
        <w:rPr>
          <w:rFonts w:cs="Times New Roman"/>
          <w:lang w:val="fr-CA"/>
        </w:rPr>
        <w:t xml:space="preserve">95(2) et dit craindre l’infliction de longues peines carcérales dans certains cas hypothétiques, notamment pour des </w:t>
      </w:r>
      <w:r w:rsidR="00B029AB">
        <w:rPr>
          <w:rFonts w:cs="Times New Roman"/>
          <w:lang w:val="fr-CA"/>
        </w:rPr>
        <w:t>« </w:t>
      </w:r>
      <w:r w:rsidRPr="00745E68">
        <w:rPr>
          <w:rFonts w:cs="Times New Roman"/>
          <w:lang w:val="fr-CA"/>
        </w:rPr>
        <w:t>infractions réglementaires qui comportent une culpabilité morale minime, voire nulle, et qui n’exposent le public à aucun danger ou presque</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83). Je partage l’inquiétude des juges majoritaires, mais je crois qu’il n’y a pas lieu de voir dans ces </w:t>
      </w:r>
      <w:r>
        <w:rPr>
          <w:rFonts w:cs="Times New Roman"/>
          <w:lang w:val="fr-CA"/>
        </w:rPr>
        <w:t xml:space="preserve">cas hypothétiques </w:t>
      </w:r>
      <w:r w:rsidRPr="00745E68">
        <w:rPr>
          <w:rFonts w:cs="Times New Roman"/>
          <w:lang w:val="fr-CA"/>
        </w:rPr>
        <w:t xml:space="preserve">des situations hypothétiques </w:t>
      </w:r>
      <w:r w:rsidRPr="00745E68">
        <w:rPr>
          <w:rFonts w:cs="Times New Roman"/>
          <w:i/>
          <w:lang w:val="fr-CA"/>
        </w:rPr>
        <w:t>raisonnables</w:t>
      </w:r>
      <w:r w:rsidRPr="00745E68">
        <w:rPr>
          <w:rFonts w:cs="Times New Roman"/>
          <w:lang w:val="fr-CA"/>
        </w:rPr>
        <w:t>. Avec tout le respect que je dois à mes collègues, l’expérience judiciaire et le bon sens confirment le caractère non raisonnable des situations hypothétiques considérées.</w:t>
      </w:r>
    </w:p>
    <w:p w:rsidR="002A4851" w:rsidRPr="00745E68" w:rsidRDefault="002A4851" w:rsidP="00A659A4">
      <w:pPr>
        <w:pStyle w:val="ParaNoNdepar-AltN"/>
        <w:rPr>
          <w:rFonts w:cs="Times New Roman"/>
          <w:lang w:val="fr-CA"/>
        </w:rPr>
      </w:pPr>
      <w:r w:rsidRPr="00745E68">
        <w:rPr>
          <w:rFonts w:cs="Times New Roman"/>
          <w:lang w:val="fr-CA"/>
        </w:rPr>
        <w:lastRenderedPageBreak/>
        <w:t>Commençons par l’expérience. Adopté en 1995, l’</w:t>
      </w:r>
      <w:r>
        <w:rPr>
          <w:rFonts w:cs="Times New Roman"/>
          <w:lang w:val="fr-CA"/>
        </w:rPr>
        <w:t>art.</w:t>
      </w:r>
      <w:r w:rsidR="00B029AB">
        <w:rPr>
          <w:rFonts w:cs="Times New Roman"/>
          <w:lang w:val="fr-CA"/>
        </w:rPr>
        <w:t xml:space="preserve"> </w:t>
      </w:r>
      <w:r w:rsidRPr="00745E68">
        <w:rPr>
          <w:rFonts w:cs="Times New Roman"/>
          <w:lang w:val="fr-CA"/>
        </w:rPr>
        <w:t>95 s’applique depuis près de deux décennies. Il a toujours prévu une peine minimale obligatoire lorsque le poursuivant opte pour la mise en accusation. Depuis 2008, il prévoit les actuelles peines minimales obligatoires de trois et cinq ans. Pourtant, les intimés, MM.</w:t>
      </w:r>
      <w:r w:rsidR="00B029AB">
        <w:rPr>
          <w:rFonts w:cs="Times New Roman"/>
          <w:lang w:val="fr-CA"/>
        </w:rPr>
        <w:t xml:space="preserve"> </w:t>
      </w:r>
      <w:r w:rsidRPr="00745E68">
        <w:rPr>
          <w:rFonts w:cs="Times New Roman"/>
          <w:lang w:val="fr-CA"/>
        </w:rPr>
        <w:t xml:space="preserve">Nur et Charles, ne sont pas en mesure d’avancer une seule affaire d’infraction de type réglementaire où, depuis l’entrée en vigueur de la disposition, une peine minimale obligatoire infligée sur le fondement du </w:t>
      </w:r>
      <w:r>
        <w:rPr>
          <w:rFonts w:cs="Times New Roman"/>
          <w:lang w:val="fr-CA"/>
        </w:rPr>
        <w:t>par.</w:t>
      </w:r>
      <w:r w:rsidR="00B029AB">
        <w:rPr>
          <w:rFonts w:cs="Times New Roman"/>
          <w:lang w:val="fr-CA"/>
        </w:rPr>
        <w:t xml:space="preserve"> </w:t>
      </w:r>
      <w:r w:rsidRPr="00745E68">
        <w:rPr>
          <w:rFonts w:cs="Times New Roman"/>
          <w:lang w:val="fr-CA"/>
        </w:rPr>
        <w:t xml:space="preserve">95(2) peut être tenue pour totalement disproportionnée. Qui plus est, ils ne peuvent citer un seul cas où l’auteur d’une </w:t>
      </w:r>
      <w:r w:rsidR="00B029AB">
        <w:rPr>
          <w:rFonts w:cs="Times New Roman"/>
          <w:lang w:val="fr-CA"/>
        </w:rPr>
        <w:t>« </w:t>
      </w:r>
      <w:r w:rsidRPr="00745E68">
        <w:rPr>
          <w:rFonts w:cs="Times New Roman"/>
          <w:lang w:val="fr-CA"/>
        </w:rPr>
        <w:t>infractio[n] réglementair[e] qui comport[e] une culpabilité morale minime, voire nulle, et qui n’expos[e] le public à aucun danger ou presque</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83) a été poursuivi par voie de mise en accusation, encourant ainsi une peine minimale obligatoire. En fait, dans la seule décision rendue sur une infraction de ce type et portée à la connaissance de la Cour, le poursuivant a opté pour la procédure sommaire (</w:t>
      </w:r>
      <w:r w:rsidRPr="00745E68">
        <w:rPr>
          <w:rFonts w:cs="Times New Roman"/>
          <w:i/>
          <w:lang w:val="fr-CA"/>
        </w:rPr>
        <w:t>R. c. Snobelen</w:t>
      </w:r>
      <w:r w:rsidRPr="00745E68">
        <w:rPr>
          <w:rFonts w:cs="Times New Roman"/>
          <w:lang w:val="fr-CA"/>
        </w:rPr>
        <w:t xml:space="preserve">, [2008] O.J. </w:t>
      </w:r>
      <w:r>
        <w:rPr>
          <w:rFonts w:cs="Times New Roman"/>
          <w:lang w:val="fr-CA"/>
        </w:rPr>
        <w:t>No.</w:t>
      </w:r>
      <w:r w:rsidR="00B029AB">
        <w:rPr>
          <w:rFonts w:cs="Times New Roman"/>
          <w:lang w:val="fr-CA"/>
        </w:rPr>
        <w:t xml:space="preserve"> </w:t>
      </w:r>
      <w:r w:rsidRPr="00745E68">
        <w:rPr>
          <w:rFonts w:cs="Times New Roman"/>
          <w:lang w:val="fr-CA"/>
        </w:rPr>
        <w:t>6021 (QL))</w:t>
      </w:r>
      <w:r w:rsidRPr="00745E68">
        <w:rPr>
          <w:rStyle w:val="FootnoteReference"/>
          <w:rFonts w:cs="Times New Roman"/>
          <w:lang w:val="fr-CA"/>
        </w:rPr>
        <w:footnoteReference w:id="2"/>
      </w:r>
      <w:r w:rsidRPr="00745E68">
        <w:rPr>
          <w:rFonts w:cs="Times New Roman"/>
          <w:lang w:val="fr-CA"/>
        </w:rPr>
        <w:t>.</w:t>
      </w:r>
    </w:p>
    <w:p w:rsidR="002A4851" w:rsidRPr="00745E68" w:rsidRDefault="002A4851" w:rsidP="00A659A4">
      <w:pPr>
        <w:pStyle w:val="ParaNoNdepar-AltN"/>
        <w:rPr>
          <w:rFonts w:cs="Times New Roman"/>
          <w:lang w:val="fr-CA"/>
        </w:rPr>
      </w:pPr>
      <w:r w:rsidRPr="00745E68">
        <w:rPr>
          <w:rFonts w:cs="Times New Roman"/>
          <w:lang w:val="fr-CA"/>
        </w:rPr>
        <w:t xml:space="preserve">Dans </w:t>
      </w:r>
      <w:r w:rsidRPr="00745E68">
        <w:rPr>
          <w:rFonts w:cs="Times New Roman"/>
          <w:i/>
          <w:lang w:val="fr-CA"/>
        </w:rPr>
        <w:t>Snobelen</w:t>
      </w:r>
      <w:r w:rsidRPr="00745E68">
        <w:rPr>
          <w:rFonts w:cs="Times New Roman"/>
          <w:lang w:val="fr-CA"/>
        </w:rPr>
        <w:t xml:space="preserve">, l’accusé avait plaidé coupable à l’infraction prévue au </w:t>
      </w:r>
      <w:r>
        <w:rPr>
          <w:rFonts w:cs="Times New Roman"/>
          <w:lang w:val="fr-CA"/>
        </w:rPr>
        <w:t>par.</w:t>
      </w:r>
      <w:r w:rsidR="00B029AB">
        <w:rPr>
          <w:rFonts w:cs="Times New Roman"/>
          <w:lang w:val="fr-CA"/>
        </w:rPr>
        <w:t xml:space="preserve"> </w:t>
      </w:r>
      <w:r w:rsidRPr="00745E68">
        <w:rPr>
          <w:rFonts w:cs="Times New Roman"/>
          <w:lang w:val="fr-CA"/>
        </w:rPr>
        <w:t>95(1), ainsi qu’à celle d’entreposage négligent d’une arme à feu prévue à l’</w:t>
      </w:r>
      <w:r>
        <w:rPr>
          <w:rFonts w:cs="Times New Roman"/>
          <w:lang w:val="fr-CA"/>
        </w:rPr>
        <w:t>art.</w:t>
      </w:r>
      <w:r w:rsidR="00B029AB">
        <w:rPr>
          <w:rFonts w:cs="Times New Roman"/>
          <w:lang w:val="fr-CA"/>
        </w:rPr>
        <w:t xml:space="preserve"> </w:t>
      </w:r>
      <w:r w:rsidRPr="00745E68">
        <w:rPr>
          <w:rFonts w:cs="Times New Roman"/>
          <w:lang w:val="fr-CA"/>
        </w:rPr>
        <w:t>86. Il avait reconnu avoir été en possession d’un pistolet semi</w:t>
      </w:r>
      <w:r w:rsidR="00B029AB">
        <w:rPr>
          <w:rFonts w:cs="Times New Roman"/>
          <w:lang w:val="fr-CA"/>
        </w:rPr>
        <w:t>-</w:t>
      </w:r>
      <w:r w:rsidRPr="00745E68">
        <w:rPr>
          <w:rFonts w:cs="Times New Roman"/>
          <w:lang w:val="fr-CA"/>
        </w:rPr>
        <w:t xml:space="preserve">automatique non enregistré et de munitions facilement accessibles sans avoir été titulaire d’un permis valide. L’arme lui était parvenue à sa résidence, avec d’autres biens, en provenance </w:t>
      </w:r>
      <w:r w:rsidRPr="00745E68">
        <w:rPr>
          <w:rFonts w:cs="Times New Roman"/>
          <w:lang w:val="fr-CA"/>
        </w:rPr>
        <w:lastRenderedPageBreak/>
        <w:t>de son ranch en Oklahoma. Il connaissait l’existence de l’arme et comptait s’en départir; de fait, au moment de son arrestation, il croyait que son épouse avait fait le nécessaire pour s’en départir. Le poursuivant a donc opté pour la procédure sommaire et requis une amende de 750</w:t>
      </w:r>
      <w:r w:rsidR="00B029AB">
        <w:rPr>
          <w:rFonts w:cs="Times New Roman"/>
          <w:lang w:val="fr-CA"/>
        </w:rPr>
        <w:t xml:space="preserve"> </w:t>
      </w:r>
      <w:r>
        <w:rPr>
          <w:rFonts w:cs="Times New Roman"/>
          <w:lang w:val="fr-CA"/>
        </w:rPr>
        <w:t>$</w:t>
      </w:r>
      <w:r w:rsidRPr="00745E68">
        <w:rPr>
          <w:rFonts w:cs="Times New Roman"/>
          <w:lang w:val="fr-CA"/>
        </w:rPr>
        <w:t xml:space="preserve"> par chef d’accusation, une ordonnance d’interdiction de posséder des armes à feu et une ordonnance de probation. Au vu des circonstances atténuantes, le juge appelé à déterminer la peine a prononcé une absolution inconditionnelle. </w:t>
      </w:r>
    </w:p>
    <w:p w:rsidR="002A4851" w:rsidRPr="00745E68" w:rsidRDefault="002A4851" w:rsidP="00A659A4">
      <w:pPr>
        <w:pStyle w:val="ParaNoNdepar-AltN"/>
        <w:rPr>
          <w:rFonts w:cs="Times New Roman"/>
          <w:lang w:val="fr-CA"/>
        </w:rPr>
      </w:pPr>
      <w:r w:rsidRPr="00745E68">
        <w:rPr>
          <w:rFonts w:cs="Times New Roman"/>
          <w:lang w:val="fr-CA"/>
        </w:rPr>
        <w:t xml:space="preserve">Si les affaires d’infractions de type réglementaire comme </w:t>
      </w:r>
      <w:r w:rsidRPr="00745E68">
        <w:rPr>
          <w:rFonts w:cs="Times New Roman"/>
          <w:i/>
          <w:lang w:val="fr-CA"/>
        </w:rPr>
        <w:t>Snobelen</w:t>
      </w:r>
      <w:r w:rsidRPr="00745E68">
        <w:rPr>
          <w:rFonts w:cs="Times New Roman"/>
          <w:lang w:val="fr-CA"/>
        </w:rPr>
        <w:t xml:space="preserve"> constituent l’</w:t>
      </w:r>
      <w:r w:rsidR="00B029AB">
        <w:rPr>
          <w:rFonts w:cs="Times New Roman"/>
          <w:lang w:val="fr-CA"/>
        </w:rPr>
        <w:t>« </w:t>
      </w:r>
      <w:r w:rsidRPr="00745E68">
        <w:rPr>
          <w:rFonts w:cs="Times New Roman"/>
          <w:lang w:val="fr-CA"/>
        </w:rPr>
        <w:t>expérience</w:t>
      </w:r>
      <w:r w:rsidR="00B029AB">
        <w:rPr>
          <w:rFonts w:cs="Times New Roman"/>
          <w:lang w:val="fr-CA"/>
        </w:rPr>
        <w:t> »</w:t>
      </w:r>
      <w:r w:rsidRPr="00745E68">
        <w:rPr>
          <w:rFonts w:cs="Times New Roman"/>
          <w:lang w:val="fr-CA"/>
        </w:rPr>
        <w:t xml:space="preserve"> à partir de laquelle il faut se prononcer sur le régime de détermination de la peine contesté en l’espèce, je ne perçois aucun risque prévisible, raisonnable ou autre, qu’une peine totalement disproportionnée résulte de l’application du régime. </w:t>
      </w:r>
    </w:p>
    <w:p w:rsidR="002A4851" w:rsidRPr="00745E68" w:rsidRDefault="002A4851" w:rsidP="00A659A4">
      <w:pPr>
        <w:pStyle w:val="ParaNoNdepar-AltN"/>
        <w:rPr>
          <w:rFonts w:cs="Times New Roman"/>
          <w:lang w:val="fr-CA"/>
        </w:rPr>
      </w:pPr>
      <w:r w:rsidRPr="00745E68">
        <w:rPr>
          <w:rFonts w:cs="Times New Roman"/>
          <w:lang w:val="fr-CA"/>
        </w:rPr>
        <w:t>Je passe maintenant au bon sens. Je fais mienne la remarque suivante du juge Code sur ce point</w:t>
      </w:r>
      <w:r w:rsidR="00B029AB">
        <w:rPr>
          <w:rFonts w:cs="Times New Roman"/>
          <w:lang w:val="fr-CA"/>
        </w:rPr>
        <w:t> :</w:t>
      </w:r>
    </w:p>
    <w:p w:rsidR="002A4851" w:rsidRPr="00745E68" w:rsidRDefault="002A4851" w:rsidP="00A659A4">
      <w:pPr>
        <w:pStyle w:val="Citation-AltC"/>
        <w:spacing w:after="240"/>
        <w:ind w:left="1168" w:hanging="1168"/>
        <w:contextualSpacing w:val="0"/>
        <w:rPr>
          <w:lang w:val="fr-CA"/>
        </w:rPr>
      </w:pPr>
      <w:r>
        <w:rPr>
          <w:lang w:val="fr-CA"/>
        </w:rPr>
        <w:tab/>
      </w:r>
      <w:r w:rsidRPr="00745E68">
        <w:rPr>
          <w:lang w:val="fr-CA"/>
        </w:rPr>
        <w:t>[</w:t>
      </w:r>
      <w:r w:rsidRPr="00745E68">
        <w:rPr>
          <w:smallCaps/>
          <w:lang w:val="fr-CA"/>
        </w:rPr>
        <w:t>traduction</w:t>
      </w:r>
      <w:r w:rsidRPr="00745E68">
        <w:rPr>
          <w:lang w:val="fr-CA"/>
        </w:rPr>
        <w:t xml:space="preserve">] </w:t>
      </w:r>
      <w:r w:rsidR="00A659A4">
        <w:rPr>
          <w:lang w:val="fr-CA"/>
        </w:rPr>
        <w:t xml:space="preserve">. . . </w:t>
      </w:r>
      <w:r w:rsidRPr="00745E68">
        <w:rPr>
          <w:lang w:val="fr-CA"/>
        </w:rPr>
        <w:t xml:space="preserve">le bon sens permet difficilement de concevoir une </w:t>
      </w:r>
      <w:r w:rsidR="00B029AB">
        <w:rPr>
          <w:lang w:val="fr-CA"/>
        </w:rPr>
        <w:t>« </w:t>
      </w:r>
      <w:r w:rsidRPr="00745E68">
        <w:rPr>
          <w:lang w:val="fr-CA"/>
        </w:rPr>
        <w:t>situation hypothétique raisonnable</w:t>
      </w:r>
      <w:r w:rsidR="00B029AB">
        <w:rPr>
          <w:lang w:val="fr-CA"/>
        </w:rPr>
        <w:t> »</w:t>
      </w:r>
      <w:r w:rsidRPr="00745E68">
        <w:rPr>
          <w:lang w:val="fr-CA"/>
        </w:rPr>
        <w:t xml:space="preserve"> où le poursuivant opte de manière déraisonnable pour la mise en accusation, alors qu’il serait juste, équitable et approprié d’opter pour la procédure sommaire.</w:t>
      </w:r>
    </w:p>
    <w:p w:rsidR="002A4851" w:rsidRPr="00745E68" w:rsidRDefault="002A4851" w:rsidP="00A659A4">
      <w:pPr>
        <w:pStyle w:val="Citation-AltC"/>
        <w:ind w:left="0"/>
        <w:contextualSpacing w:val="0"/>
        <w:rPr>
          <w:lang w:val="fr-CA"/>
        </w:rPr>
      </w:pPr>
      <w:r w:rsidRPr="00745E68">
        <w:rPr>
          <w:lang w:val="fr-CA"/>
        </w:rPr>
        <w:t xml:space="preserve">(2011 ONSC 4874, 241 C.R.R. (2d) 306 (motifs de détermination de la peine dans </w:t>
      </w:r>
      <w:r w:rsidRPr="00745E68">
        <w:rPr>
          <w:i/>
          <w:lang w:val="fr-CA"/>
        </w:rPr>
        <w:t>Nur</w:t>
      </w:r>
      <w:r w:rsidRPr="00745E68">
        <w:rPr>
          <w:lang w:val="fr-CA"/>
        </w:rPr>
        <w:t xml:space="preserve">), </w:t>
      </w:r>
      <w:r>
        <w:rPr>
          <w:lang w:val="fr-CA"/>
        </w:rPr>
        <w:t>par.</w:t>
      </w:r>
      <w:r w:rsidR="00B029AB">
        <w:rPr>
          <w:lang w:val="fr-CA"/>
        </w:rPr>
        <w:t xml:space="preserve"> </w:t>
      </w:r>
      <w:r w:rsidRPr="00745E68">
        <w:rPr>
          <w:lang w:val="fr-CA"/>
        </w:rPr>
        <w:t>110)</w:t>
      </w:r>
    </w:p>
    <w:p w:rsidR="002A4851" w:rsidRPr="00745E68" w:rsidRDefault="002A4851" w:rsidP="00A659A4">
      <w:pPr>
        <w:pStyle w:val="ContinueParaSuitedupar-AltP"/>
        <w:rPr>
          <w:rFonts w:cs="Times New Roman"/>
          <w:lang w:val="fr-CA"/>
        </w:rPr>
      </w:pPr>
      <w:r w:rsidRPr="00745E68">
        <w:rPr>
          <w:rFonts w:cs="Times New Roman"/>
          <w:lang w:val="fr-CA"/>
        </w:rPr>
        <w:t>Les situations hypothétiques raisonnables</w:t>
      </w:r>
      <w:r>
        <w:rPr>
          <w:rFonts w:cs="Times New Roman"/>
          <w:lang w:val="fr-CA"/>
        </w:rPr>
        <w:t xml:space="preserve"> </w:t>
      </w:r>
      <w:r w:rsidRPr="00745E68">
        <w:rPr>
          <w:rFonts w:cs="Times New Roman"/>
          <w:lang w:val="fr-CA"/>
        </w:rPr>
        <w:t>avancées par les juges majoritaires</w:t>
      </w:r>
      <w:r>
        <w:rPr>
          <w:rFonts w:cs="Times New Roman"/>
          <w:lang w:val="fr-CA"/>
        </w:rPr>
        <w:t xml:space="preserve"> </w:t>
      </w:r>
      <w:r w:rsidRPr="00745E68">
        <w:rPr>
          <w:rFonts w:cs="Times New Roman"/>
          <w:lang w:val="fr-CA"/>
        </w:rPr>
        <w:t xml:space="preserve">supposent que le mode de poursuite choisi importe peu. Or, conscient de la grande </w:t>
      </w:r>
      <w:r w:rsidRPr="00745E68">
        <w:rPr>
          <w:rFonts w:cs="Times New Roman"/>
          <w:lang w:val="fr-CA"/>
        </w:rPr>
        <w:lastRenderedPageBreak/>
        <w:t>portée qu’aurait l’</w:t>
      </w:r>
      <w:r>
        <w:rPr>
          <w:rFonts w:cs="Times New Roman"/>
          <w:lang w:val="fr-CA"/>
        </w:rPr>
        <w:t>art.</w:t>
      </w:r>
      <w:r w:rsidR="00B029AB">
        <w:rPr>
          <w:rFonts w:cs="Times New Roman"/>
          <w:lang w:val="fr-CA"/>
        </w:rPr>
        <w:t xml:space="preserve"> </w:t>
      </w:r>
      <w:r w:rsidRPr="00745E68">
        <w:rPr>
          <w:rFonts w:cs="Times New Roman"/>
          <w:lang w:val="fr-CA"/>
        </w:rPr>
        <w:t xml:space="preserve">95, le législateur a délibérément créé une infraction mixte et permis au poursuivant de distinguer la simple infraction de type réglementaire de l’infraction plus grave. Ce choix législatif prête difficilement à controverse dans la mesure où les infractions mixtes abondent dans </w:t>
      </w:r>
      <w:r w:rsidRPr="00745E68">
        <w:rPr>
          <w:rFonts w:cs="Times New Roman"/>
          <w:i/>
          <w:lang w:val="fr-CA"/>
        </w:rPr>
        <w:t>Code criminel</w:t>
      </w:r>
      <w:r w:rsidRPr="00745E68">
        <w:rPr>
          <w:rFonts w:cs="Times New Roman"/>
          <w:lang w:val="fr-CA"/>
        </w:rPr>
        <w:t>. Le ministère public jouit d’un pouvoir discrétionnaire qui lui permet de faire un tel choix quotidiennement, conformément à son serment d’agir dans l’intérêt public. En tout respect, l’application de la démarche axée sur les situations hypothétiques raisonnables qui nie cette réalité — et suppose en fait le contraire — va à l’encontre du bon sens.</w:t>
      </w:r>
    </w:p>
    <w:p w:rsidR="002A4851" w:rsidRPr="00745E68" w:rsidRDefault="002A4851" w:rsidP="00A659A4">
      <w:pPr>
        <w:pStyle w:val="ParaNoNdepar-AltN"/>
        <w:rPr>
          <w:rFonts w:cs="Times New Roman"/>
          <w:lang w:val="fr-CA"/>
        </w:rPr>
      </w:pPr>
      <w:r w:rsidRPr="00745E68">
        <w:rPr>
          <w:rFonts w:cs="Times New Roman"/>
          <w:lang w:val="fr-CA"/>
        </w:rPr>
        <w:t>En outre, le choix effectué suivant l’</w:t>
      </w:r>
      <w:r>
        <w:rPr>
          <w:rFonts w:cs="Times New Roman"/>
          <w:lang w:val="fr-CA"/>
        </w:rPr>
        <w:t>art.</w:t>
      </w:r>
      <w:r w:rsidR="00B029AB">
        <w:rPr>
          <w:rFonts w:cs="Times New Roman"/>
          <w:lang w:val="fr-CA"/>
        </w:rPr>
        <w:t xml:space="preserve"> </w:t>
      </w:r>
      <w:r w:rsidRPr="00745E68">
        <w:rPr>
          <w:rFonts w:cs="Times New Roman"/>
          <w:lang w:val="fr-CA"/>
        </w:rPr>
        <w:t xml:space="preserve">95 diffère du pouvoir discrétionnaire en matière de poursuites examiné dans l’arrêt </w:t>
      </w:r>
      <w:r w:rsidRPr="00745E68">
        <w:rPr>
          <w:rFonts w:cs="Times New Roman"/>
          <w:i/>
          <w:lang w:val="fr-CA"/>
        </w:rPr>
        <w:t>Smith</w:t>
      </w:r>
      <w:r w:rsidRPr="00745E68">
        <w:rPr>
          <w:rFonts w:cs="Times New Roman"/>
          <w:lang w:val="fr-CA"/>
        </w:rPr>
        <w:t xml:space="preserve">. Dans ce dossier, la Cour rejette la thèse selon laquelle le pouvoir discrétionnaire qui permet au poursuivant de </w:t>
      </w:r>
      <w:r w:rsidRPr="00745E68">
        <w:rPr>
          <w:rFonts w:cs="Times New Roman"/>
          <w:i/>
          <w:lang w:val="fr-CA"/>
        </w:rPr>
        <w:t>ne pas appliquer la loi</w:t>
      </w:r>
      <w:r w:rsidRPr="00745E68">
        <w:rPr>
          <w:rFonts w:cs="Times New Roman"/>
          <w:lang w:val="fr-CA"/>
        </w:rPr>
        <w:t xml:space="preserve"> — soit inculper pour une infraction moindre, soit ne pas inculper du tout — peut sauvegarder la peine minimale obligatoire contestée. Dans la présente affaire, le pouvoir discrétionnaire exercé correspond au choix du mode de poursuite, lequel est </w:t>
      </w:r>
      <w:r w:rsidRPr="00745E68">
        <w:rPr>
          <w:rFonts w:cs="Times New Roman"/>
          <w:i/>
          <w:lang w:val="fr-CA"/>
        </w:rPr>
        <w:t>délibérément intégré au régime législatif</w:t>
      </w:r>
      <w:r w:rsidRPr="00745E68">
        <w:rPr>
          <w:rFonts w:cs="Times New Roman"/>
          <w:lang w:val="fr-CA"/>
        </w:rPr>
        <w:t>. Loin d’équivaloir au pouvoir d’appliquer ou non la loi, le choix du mode de poursuite traduit clairement l’intention du législateur de lui permettre de soumettre les cas les moins graves à la procédure sommaire. Il est à mon sens erroné d’écarter cette réalité au moment de concevoir des situations hypothétiques raisonnables.</w:t>
      </w:r>
      <w:r>
        <w:rPr>
          <w:rFonts w:cs="Times New Roman"/>
          <w:lang w:val="fr-CA"/>
        </w:rPr>
        <w:t xml:space="preserve"> </w:t>
      </w:r>
    </w:p>
    <w:p w:rsidR="002A4851" w:rsidRPr="00745E68" w:rsidRDefault="002A4851" w:rsidP="00A659A4">
      <w:pPr>
        <w:pStyle w:val="Title2LevelTitre2Niveau"/>
        <w:rPr>
          <w:rFonts w:cs="Times New Roman"/>
          <w:lang w:val="fr-CA"/>
        </w:rPr>
      </w:pPr>
      <w:r w:rsidRPr="00745E68">
        <w:rPr>
          <w:rFonts w:cs="Times New Roman"/>
          <w:lang w:val="fr-CA"/>
        </w:rPr>
        <w:t xml:space="preserve">Respect du législateur </w:t>
      </w:r>
    </w:p>
    <w:p w:rsidR="002A4851" w:rsidRPr="00745E68" w:rsidRDefault="002A4851" w:rsidP="00A659A4">
      <w:pPr>
        <w:pStyle w:val="ParaNoNdepar-AltN"/>
        <w:rPr>
          <w:rFonts w:cs="Times New Roman"/>
          <w:lang w:val="fr-CA"/>
        </w:rPr>
      </w:pPr>
      <w:r w:rsidRPr="00745E68">
        <w:rPr>
          <w:rFonts w:cs="Times New Roman"/>
          <w:lang w:val="fr-CA"/>
        </w:rPr>
        <w:lastRenderedPageBreak/>
        <w:t xml:space="preserve">Les crimes liés aux armes à feu constituent de plus en plus un grave sujet d’intérêt public. Les formations successives du Parlement ont agi en adoptant des lois destinées à dénoncer ces crimes et à décourager leur perpétration. L’établissement de peines minimales obligatoires au </w:t>
      </w:r>
      <w:r>
        <w:rPr>
          <w:rFonts w:cs="Times New Roman"/>
          <w:lang w:val="fr-CA"/>
        </w:rPr>
        <w:t>par.</w:t>
      </w:r>
      <w:r w:rsidR="00B029AB">
        <w:rPr>
          <w:rFonts w:cs="Times New Roman"/>
          <w:lang w:val="fr-CA"/>
        </w:rPr>
        <w:t xml:space="preserve"> </w:t>
      </w:r>
      <w:r w:rsidRPr="00745E68">
        <w:rPr>
          <w:rFonts w:cs="Times New Roman"/>
          <w:lang w:val="fr-CA"/>
        </w:rPr>
        <w:t xml:space="preserve">95(2) s’inscrit dans une série de mesures législatives se voulant </w:t>
      </w:r>
      <w:r w:rsidR="00B029AB">
        <w:rPr>
          <w:rFonts w:cs="Times New Roman"/>
          <w:lang w:val="fr-CA"/>
        </w:rPr>
        <w:t>« </w:t>
      </w:r>
      <w:r w:rsidRPr="00745E68">
        <w:rPr>
          <w:rFonts w:cs="Times New Roman"/>
          <w:lang w:val="fr-CA"/>
        </w:rPr>
        <w:t>une réponse directe au fléau des actes criminels commis avec des armes de poing avec lequel notre pays est aux prises</w:t>
      </w:r>
      <w:r w:rsidR="00B029AB">
        <w:rPr>
          <w:rFonts w:cs="Times New Roman"/>
          <w:lang w:val="fr-CA"/>
        </w:rPr>
        <w:t> »</w:t>
      </w:r>
      <w:r w:rsidRPr="00745E68">
        <w:rPr>
          <w:rFonts w:cs="Times New Roman"/>
          <w:lang w:val="fr-CA"/>
        </w:rPr>
        <w:t xml:space="preserve"> (Chambre des communes, Comité permanent de la justice et des droits de la personne, </w:t>
      </w:r>
      <w:r w:rsidRPr="00A659A4">
        <w:rPr>
          <w:rFonts w:cs="Times New Roman"/>
          <w:i/>
          <w:lang w:val="fr-CA"/>
        </w:rPr>
        <w:t>Témoignages</w:t>
      </w:r>
      <w:r w:rsidRPr="00745E68">
        <w:rPr>
          <w:rFonts w:cs="Times New Roman"/>
          <w:lang w:val="fr-CA"/>
        </w:rPr>
        <w:t>, n</w:t>
      </w:r>
      <w:r w:rsidRPr="00745E68">
        <w:rPr>
          <w:rFonts w:cs="Times New Roman"/>
          <w:vertAlign w:val="superscript"/>
          <w:lang w:val="fr-CA"/>
        </w:rPr>
        <w:t>o</w:t>
      </w:r>
      <w:r w:rsidR="00B029AB">
        <w:rPr>
          <w:rFonts w:cs="Times New Roman"/>
          <w:lang w:val="fr-CA"/>
        </w:rPr>
        <w:t xml:space="preserve"> </w:t>
      </w:r>
      <w:r w:rsidRPr="00745E68">
        <w:rPr>
          <w:rFonts w:cs="Times New Roman"/>
          <w:lang w:val="fr-CA"/>
        </w:rPr>
        <w:t>30, 1</w:t>
      </w:r>
      <w:r w:rsidRPr="00745E68">
        <w:rPr>
          <w:rFonts w:cs="Times New Roman"/>
          <w:vertAlign w:val="superscript"/>
          <w:lang w:val="fr-CA"/>
        </w:rPr>
        <w:t>re</w:t>
      </w:r>
      <w:r w:rsidR="00B029AB">
        <w:rPr>
          <w:rFonts w:cs="Times New Roman"/>
          <w:lang w:val="fr-CA"/>
        </w:rPr>
        <w:t xml:space="preserve"> </w:t>
      </w:r>
      <w:r w:rsidRPr="00745E68">
        <w:rPr>
          <w:rFonts w:cs="Times New Roman"/>
          <w:lang w:val="fr-CA"/>
        </w:rPr>
        <w:t>sess., 39</w:t>
      </w:r>
      <w:r w:rsidRPr="00745E68">
        <w:rPr>
          <w:rFonts w:cs="Times New Roman"/>
          <w:vertAlign w:val="superscript"/>
          <w:lang w:val="fr-CA"/>
        </w:rPr>
        <w:t>e</w:t>
      </w:r>
      <w:r w:rsidRPr="00745E68">
        <w:rPr>
          <w:rFonts w:cs="Times New Roman"/>
          <w:lang w:val="fr-CA"/>
        </w:rPr>
        <w:t xml:space="preserve"> lég., 7</w:t>
      </w:r>
      <w:r w:rsidR="00B029AB">
        <w:rPr>
          <w:rFonts w:cs="Times New Roman"/>
          <w:lang w:val="fr-CA"/>
        </w:rPr>
        <w:t xml:space="preserve"> </w:t>
      </w:r>
      <w:r w:rsidRPr="00745E68">
        <w:rPr>
          <w:rFonts w:cs="Times New Roman"/>
          <w:lang w:val="fr-CA"/>
        </w:rPr>
        <w:t xml:space="preserve">novembre 2006, </w:t>
      </w:r>
      <w:r>
        <w:rPr>
          <w:rFonts w:cs="Times New Roman"/>
          <w:lang w:val="fr-CA"/>
        </w:rPr>
        <w:t>p.</w:t>
      </w:r>
      <w:r w:rsidR="00B029AB">
        <w:rPr>
          <w:rFonts w:cs="Times New Roman"/>
          <w:lang w:val="fr-CA"/>
        </w:rPr>
        <w:t xml:space="preserve"> </w:t>
      </w:r>
      <w:r w:rsidRPr="00745E68">
        <w:rPr>
          <w:rFonts w:cs="Times New Roman"/>
          <w:lang w:val="fr-CA"/>
        </w:rPr>
        <w:t xml:space="preserve">1). Le comité parlementaire qui s’est penché sur les modifications a entendu les témoignages convaincants de responsables de l’application des lois sur les ravages causés par les crimes liés aux armes à feu à la grandeur du Canada. Le chef de la police de Toronto William Blair a relevé </w:t>
      </w:r>
      <w:r w:rsidR="00B029AB">
        <w:rPr>
          <w:rFonts w:cs="Times New Roman"/>
          <w:lang w:val="fr-CA"/>
        </w:rPr>
        <w:t>« </w:t>
      </w:r>
      <w:r w:rsidRPr="00745E68">
        <w:rPr>
          <w:rFonts w:cs="Times New Roman"/>
          <w:lang w:val="fr-CA"/>
        </w:rPr>
        <w:t>une hausse considérable du nombre de fusillades</w:t>
      </w:r>
      <w:r w:rsidR="00B029AB">
        <w:rPr>
          <w:rFonts w:cs="Times New Roman"/>
          <w:lang w:val="fr-CA"/>
        </w:rPr>
        <w:t> »</w:t>
      </w:r>
      <w:r w:rsidRPr="00745E68">
        <w:rPr>
          <w:rFonts w:cs="Times New Roman"/>
          <w:lang w:val="fr-CA"/>
        </w:rPr>
        <w:t xml:space="preserve"> à Toronto, ainsi qu’une augmentation de plus de 85 </w:t>
      </w:r>
      <w:r>
        <w:rPr>
          <w:rFonts w:cs="Times New Roman"/>
          <w:lang w:val="fr-CA"/>
        </w:rPr>
        <w:t>p.</w:t>
      </w:r>
      <w:r w:rsidR="00B029AB">
        <w:rPr>
          <w:rFonts w:cs="Times New Roman"/>
          <w:lang w:val="fr-CA"/>
        </w:rPr>
        <w:t xml:space="preserve"> </w:t>
      </w:r>
      <w:r w:rsidRPr="00745E68">
        <w:rPr>
          <w:rFonts w:cs="Times New Roman"/>
          <w:lang w:val="fr-CA"/>
        </w:rPr>
        <w:t>100 du nombre d’homicides commis à l’aide d’armes à feu de 2004 à 2005 (</w:t>
      </w:r>
      <w:r w:rsidRPr="00745E68">
        <w:rPr>
          <w:rFonts w:cs="Times New Roman"/>
          <w:i/>
          <w:lang w:val="fr-CA"/>
        </w:rPr>
        <w:t>ibid.</w:t>
      </w:r>
      <w:r w:rsidRPr="00745E68">
        <w:rPr>
          <w:rFonts w:cs="Times New Roman"/>
          <w:lang w:val="fr-CA"/>
        </w:rPr>
        <w:t>, n</w:t>
      </w:r>
      <w:r w:rsidRPr="00745E68">
        <w:rPr>
          <w:rFonts w:cs="Times New Roman"/>
          <w:vertAlign w:val="superscript"/>
          <w:lang w:val="fr-CA"/>
        </w:rPr>
        <w:t>o</w:t>
      </w:r>
      <w:r w:rsidR="00B029AB">
        <w:rPr>
          <w:rFonts w:cs="Times New Roman"/>
          <w:lang w:val="fr-CA"/>
        </w:rPr>
        <w:t xml:space="preserve"> </w:t>
      </w:r>
      <w:r w:rsidRPr="00745E68">
        <w:rPr>
          <w:rFonts w:cs="Times New Roman"/>
          <w:lang w:val="fr-CA"/>
        </w:rPr>
        <w:t>34, 23</w:t>
      </w:r>
      <w:r w:rsidR="00B029AB">
        <w:rPr>
          <w:rFonts w:cs="Times New Roman"/>
          <w:lang w:val="fr-CA"/>
        </w:rPr>
        <w:t xml:space="preserve"> </w:t>
      </w:r>
      <w:r w:rsidRPr="00745E68">
        <w:rPr>
          <w:rFonts w:cs="Times New Roman"/>
          <w:lang w:val="fr-CA"/>
        </w:rPr>
        <w:t xml:space="preserve">novembre 2006, </w:t>
      </w:r>
      <w:r>
        <w:rPr>
          <w:rFonts w:cs="Times New Roman"/>
          <w:lang w:val="fr-CA"/>
        </w:rPr>
        <w:t>p.</w:t>
      </w:r>
      <w:r w:rsidR="00B029AB">
        <w:rPr>
          <w:rFonts w:cs="Times New Roman"/>
          <w:lang w:val="fr-CA"/>
        </w:rPr>
        <w:t xml:space="preserve"> </w:t>
      </w:r>
      <w:r w:rsidRPr="00745E68">
        <w:rPr>
          <w:rFonts w:cs="Times New Roman"/>
          <w:lang w:val="fr-CA"/>
        </w:rPr>
        <w:t>1). D’ailleurs, les médias torontois ont qualifié 2005 d’</w:t>
      </w:r>
      <w:r w:rsidR="00B029AB">
        <w:rPr>
          <w:rFonts w:cs="Times New Roman"/>
          <w:lang w:val="fr-CA"/>
        </w:rPr>
        <w:t>« </w:t>
      </w:r>
      <w:r w:rsidRPr="00745E68">
        <w:rPr>
          <w:rFonts w:cs="Times New Roman"/>
          <w:lang w:val="fr-CA"/>
        </w:rPr>
        <w:t>année de l’arme à feu</w:t>
      </w:r>
      <w:r w:rsidR="00B029AB">
        <w:rPr>
          <w:rFonts w:cs="Times New Roman"/>
          <w:lang w:val="fr-CA"/>
        </w:rPr>
        <w:t> »</w:t>
      </w:r>
      <w:r w:rsidRPr="00745E68">
        <w:rPr>
          <w:rFonts w:cs="Times New Roman"/>
          <w:lang w:val="fr-CA"/>
        </w:rPr>
        <w:t xml:space="preserve"> en raison de la vague de fusillades et de décès par balles qu’elle a connue (</w:t>
      </w:r>
      <w:r w:rsidRPr="00745E68">
        <w:rPr>
          <w:rFonts w:cs="Times New Roman"/>
          <w:i/>
          <w:lang w:val="fr-CA"/>
        </w:rPr>
        <w:t>ibid.</w:t>
      </w:r>
      <w:r w:rsidRPr="00745E68">
        <w:rPr>
          <w:rFonts w:cs="Times New Roman"/>
          <w:lang w:val="fr-CA"/>
        </w:rPr>
        <w:t>).</w:t>
      </w:r>
    </w:p>
    <w:p w:rsidR="002A4851" w:rsidRPr="00745E68" w:rsidRDefault="002A4851" w:rsidP="00A659A4">
      <w:pPr>
        <w:pStyle w:val="ParaNoNdepar-AltN"/>
        <w:rPr>
          <w:rFonts w:cs="Times New Roman"/>
          <w:lang w:val="fr-CA"/>
        </w:rPr>
      </w:pPr>
      <w:r w:rsidRPr="00745E68">
        <w:rPr>
          <w:rFonts w:cs="Times New Roman"/>
          <w:lang w:val="fr-CA"/>
        </w:rPr>
        <w:t>C’est dans ce contexte qu’il faut considérer la décision du législateur de relever les peines minimales obligatoires prévues à l’</w:t>
      </w:r>
      <w:r>
        <w:rPr>
          <w:rFonts w:cs="Times New Roman"/>
          <w:lang w:val="fr-CA"/>
        </w:rPr>
        <w:t>art.</w:t>
      </w:r>
      <w:r w:rsidR="00B029AB">
        <w:rPr>
          <w:rFonts w:cs="Times New Roman"/>
          <w:lang w:val="fr-CA"/>
        </w:rPr>
        <w:t xml:space="preserve"> </w:t>
      </w:r>
      <w:r w:rsidRPr="00745E68">
        <w:rPr>
          <w:rFonts w:cs="Times New Roman"/>
          <w:lang w:val="fr-CA"/>
        </w:rPr>
        <w:t xml:space="preserve">95, une décision motivée par des objectifs valables et urgents. Il n’appartient pas à la Cour de contrecarrer les objectifs de politique générale de nos élus sur la foi d’hypothèses discutables ou de vagues conjectures. Comme le fait observer le juge LeBel dans l’arrêt </w:t>
      </w:r>
      <w:r w:rsidRPr="00745E68">
        <w:rPr>
          <w:rFonts w:cs="Times New Roman"/>
          <w:i/>
          <w:lang w:val="fr-CA"/>
        </w:rPr>
        <w:t>R. c</w:t>
      </w:r>
      <w:r w:rsidRPr="00745E68">
        <w:rPr>
          <w:rFonts w:cs="Times New Roman"/>
          <w:i/>
          <w:iCs/>
          <w:lang w:val="fr-CA"/>
        </w:rPr>
        <w:t xml:space="preserve">. </w:t>
      </w:r>
      <w:r w:rsidRPr="00745E68">
        <w:rPr>
          <w:rFonts w:cs="Times New Roman"/>
          <w:i/>
          <w:lang w:val="fr-CA"/>
        </w:rPr>
        <w:t>Nasogaluak</w:t>
      </w:r>
      <w:r w:rsidRPr="00745E68">
        <w:rPr>
          <w:rFonts w:cs="Times New Roman"/>
          <w:lang w:val="fr-CA"/>
        </w:rPr>
        <w:t xml:space="preserve">, 2010 CSC 6, [2010] 1 R.C.S. 206, les peines minimales obligatoires sont </w:t>
      </w:r>
      <w:r w:rsidR="00B029AB">
        <w:rPr>
          <w:rFonts w:cs="Times New Roman"/>
          <w:lang w:val="fr-CA"/>
        </w:rPr>
        <w:lastRenderedPageBreak/>
        <w:t>« </w:t>
      </w:r>
      <w:r w:rsidRPr="00745E68">
        <w:rPr>
          <w:rFonts w:cs="Times New Roman"/>
          <w:lang w:val="fr-CA"/>
        </w:rPr>
        <w:t>l’expression claire d’une politique générale dans le domaine du droit pénal</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45). </w:t>
      </w:r>
    </w:p>
    <w:p w:rsidR="002A4851" w:rsidRPr="00745E68" w:rsidRDefault="002A4851" w:rsidP="00A659A4">
      <w:pPr>
        <w:pStyle w:val="ParaNoNdepar-AltN"/>
        <w:rPr>
          <w:rFonts w:cs="Times New Roman"/>
          <w:lang w:val="fr-CA"/>
        </w:rPr>
      </w:pPr>
      <w:r w:rsidRPr="00745E68">
        <w:rPr>
          <w:rFonts w:cs="Times New Roman"/>
          <w:lang w:val="fr-CA"/>
        </w:rPr>
        <w:t xml:space="preserve">Dans l’arrêt </w:t>
      </w:r>
      <w:r w:rsidRPr="00745E68">
        <w:rPr>
          <w:rFonts w:cs="Times New Roman"/>
          <w:i/>
          <w:lang w:val="fr-CA"/>
        </w:rPr>
        <w:t>Goltz</w:t>
      </w:r>
      <w:r w:rsidRPr="00745E68">
        <w:rPr>
          <w:rFonts w:cs="Times New Roman"/>
          <w:lang w:val="fr-CA"/>
        </w:rPr>
        <w:t xml:space="preserve">, la Cour met les tribunaux en garde contre la prise en compte de situations hypothétiques qui sont </w:t>
      </w:r>
      <w:r w:rsidR="00B029AB">
        <w:rPr>
          <w:rFonts w:cs="Times New Roman"/>
          <w:lang w:val="fr-CA"/>
        </w:rPr>
        <w:t>« </w:t>
      </w:r>
      <w:r w:rsidRPr="00745E68">
        <w:rPr>
          <w:rFonts w:cs="Times New Roman"/>
          <w:lang w:val="fr-CA"/>
        </w:rPr>
        <w:t>invraisemblables ou difficilement imaginables</w:t>
      </w:r>
      <w:r w:rsidR="00B029AB">
        <w:rPr>
          <w:rFonts w:cs="Times New Roman"/>
          <w:lang w:val="fr-CA"/>
        </w:rPr>
        <w:t> »</w:t>
      </w:r>
      <w:r w:rsidRPr="00745E68">
        <w:rPr>
          <w:rFonts w:cs="Times New Roman"/>
          <w:lang w:val="fr-CA"/>
        </w:rPr>
        <w:t xml:space="preserve"> (</w:t>
      </w:r>
      <w:r>
        <w:rPr>
          <w:rFonts w:cs="Times New Roman"/>
          <w:lang w:val="fr-CA"/>
        </w:rPr>
        <w:t>p.</w:t>
      </w:r>
      <w:r w:rsidR="00B029AB">
        <w:rPr>
          <w:rFonts w:cs="Times New Roman"/>
          <w:lang w:val="fr-CA"/>
        </w:rPr>
        <w:t xml:space="preserve"> </w:t>
      </w:r>
      <w:r w:rsidRPr="00745E68">
        <w:rPr>
          <w:rFonts w:cs="Times New Roman"/>
          <w:lang w:val="fr-CA"/>
        </w:rPr>
        <w:t>515). La Juge en chef en convient en affirmant qu’</w:t>
      </w:r>
      <w:r w:rsidR="00B029AB">
        <w:rPr>
          <w:rFonts w:cs="Times New Roman"/>
          <w:lang w:val="fr-CA"/>
        </w:rPr>
        <w:t>« </w:t>
      </w:r>
      <w:r w:rsidRPr="00745E68">
        <w:rPr>
          <w:rFonts w:cs="Times New Roman"/>
          <w:lang w:val="fr-CA"/>
        </w:rPr>
        <w:t>[u]ne loi ne saurait être rendue inopérante sur la base de pures conjectures</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62). Je crains toutefois que ce soit précisément ce qui résulte de l’approche des juges majoritaires. La jurisprudence ne révèle en effet l’existence d’aucune affaire où l’auteur d’une infraction de type réglementaire a été poursuivi par voie de mise en accusation. De plus, il m’apparaît clairement que la conjonction d’événements qui est nécessaire pour que l’auteur d’une telle infraction encoure une peine totalement disproportionnée relève davantage de la fiction que de la réalité. Soit dit en tout respect, pareil scénario hypothétique est peu crédible. Il ne s’agit pas selon moi d’une assise valable pour réduire à néant la solution réfléchie apportée par le législateur à un problème à la fois grave et complexe.</w:t>
      </w:r>
    </w:p>
    <w:p w:rsidR="002A4851" w:rsidRPr="00745E68" w:rsidRDefault="002A4851" w:rsidP="00A659A4">
      <w:pPr>
        <w:pStyle w:val="ParaNoNdepar-AltN"/>
        <w:rPr>
          <w:rFonts w:cs="Times New Roman"/>
          <w:lang w:val="fr-CA"/>
        </w:rPr>
      </w:pPr>
      <w:r w:rsidRPr="00745E68">
        <w:rPr>
          <w:rFonts w:cs="Times New Roman"/>
          <w:lang w:val="fr-CA"/>
        </w:rPr>
        <w:t>Je crois que la Juge en chef partage ma crainte que l’invalidation des peines minimales obligatoires contestées contrecarre jusqu’à un certain point les mesures prises par le législateur pour dénoncer les crimes liés aux armes à feu et décourager leur perpétration. Elle avance une solution de rechange qui, selon elle, permettrait la réalisation des objectifs du législateur sans contrevenir à l’</w:t>
      </w:r>
      <w:r>
        <w:rPr>
          <w:rFonts w:cs="Times New Roman"/>
          <w:lang w:val="fr-CA"/>
        </w:rPr>
        <w:t>art.</w:t>
      </w:r>
      <w:r w:rsidR="00B029AB">
        <w:rPr>
          <w:rFonts w:cs="Times New Roman"/>
          <w:lang w:val="fr-CA"/>
        </w:rPr>
        <w:t xml:space="preserve"> </w:t>
      </w:r>
      <w:r w:rsidRPr="00745E68">
        <w:rPr>
          <w:rFonts w:cs="Times New Roman"/>
          <w:lang w:val="fr-CA"/>
        </w:rPr>
        <w:t xml:space="preserve">12 de la </w:t>
      </w:r>
      <w:r w:rsidRPr="00745E68">
        <w:rPr>
          <w:rFonts w:cs="Times New Roman"/>
          <w:i/>
          <w:lang w:val="fr-CA"/>
        </w:rPr>
        <w:t>Charte</w:t>
      </w:r>
      <w:r w:rsidR="00B029AB">
        <w:rPr>
          <w:rFonts w:cs="Times New Roman"/>
          <w:i/>
          <w:lang w:val="fr-CA"/>
        </w:rPr>
        <w:t> </w:t>
      </w:r>
      <w:r w:rsidR="00B029AB" w:rsidRPr="00A659A4">
        <w:rPr>
          <w:rFonts w:cs="Times New Roman"/>
          <w:lang w:val="fr-CA"/>
        </w:rPr>
        <w:t>:</w:t>
      </w:r>
      <w:r w:rsidRPr="00745E68">
        <w:rPr>
          <w:rFonts w:cs="Times New Roman"/>
          <w:lang w:val="fr-CA"/>
        </w:rPr>
        <w:t xml:space="preserve"> </w:t>
      </w:r>
    </w:p>
    <w:p w:rsidR="002A4851" w:rsidRPr="00745E68" w:rsidRDefault="002A4851" w:rsidP="00A659A4">
      <w:pPr>
        <w:pStyle w:val="Citation-AltC"/>
        <w:tabs>
          <w:tab w:val="left" w:pos="1440"/>
        </w:tabs>
        <w:ind w:hanging="1166"/>
        <w:contextualSpacing w:val="0"/>
        <w:rPr>
          <w:lang w:val="fr-CA"/>
        </w:rPr>
      </w:pPr>
      <w:r>
        <w:rPr>
          <w:lang w:val="fr-CA"/>
        </w:rPr>
        <w:lastRenderedPageBreak/>
        <w:tab/>
      </w:r>
      <w:r>
        <w:rPr>
          <w:lang w:val="fr-CA"/>
        </w:rPr>
        <w:tab/>
      </w:r>
      <w:r w:rsidRPr="00745E68">
        <w:rPr>
          <w:lang w:val="fr-CA"/>
        </w:rPr>
        <w:t xml:space="preserve">Le législateur aurait pu atteindre son objectif en créant une infraction pour laquelle il existe un rapport étroit entre le comportement auquel est associée une grande culpabilité morale — </w:t>
      </w:r>
      <w:r>
        <w:rPr>
          <w:lang w:val="fr-CA"/>
        </w:rPr>
        <w:t>p.</w:t>
      </w:r>
      <w:r w:rsidR="00B029AB">
        <w:rPr>
          <w:lang w:val="fr-CA"/>
        </w:rPr>
        <w:t xml:space="preserve"> </w:t>
      </w:r>
      <w:r w:rsidRPr="00745E68">
        <w:rPr>
          <w:lang w:val="fr-CA"/>
        </w:rPr>
        <w:t xml:space="preserve">ex. le comportement ou l’acte criminel qui présente un danger pour autrui — et la peine minimale </w:t>
      </w:r>
      <w:r w:rsidR="00B029AB">
        <w:rPr>
          <w:lang w:val="fr-CA"/>
        </w:rPr>
        <w:t>. . .</w:t>
      </w:r>
      <w:r w:rsidR="00A659A4">
        <w:rPr>
          <w:lang w:val="fr-CA"/>
        </w:rPr>
        <w:t xml:space="preserve"> </w:t>
      </w:r>
      <w:r w:rsidRPr="00745E68">
        <w:rPr>
          <w:lang w:val="fr-CA"/>
        </w:rPr>
        <w:t>[</w:t>
      </w:r>
      <w:r>
        <w:rPr>
          <w:lang w:val="fr-CA"/>
        </w:rPr>
        <w:t>par.</w:t>
      </w:r>
      <w:r w:rsidR="00B029AB">
        <w:rPr>
          <w:lang w:val="fr-CA"/>
        </w:rPr>
        <w:t xml:space="preserve"> </w:t>
      </w:r>
      <w:r w:rsidRPr="00745E68">
        <w:rPr>
          <w:lang w:val="fr-CA"/>
        </w:rPr>
        <w:t>117]</w:t>
      </w:r>
    </w:p>
    <w:p w:rsidR="002A4851" w:rsidRPr="00745E68" w:rsidRDefault="002A4851" w:rsidP="00A659A4">
      <w:pPr>
        <w:pStyle w:val="ParaNoNdepar-AltN"/>
        <w:rPr>
          <w:rFonts w:cs="Times New Roman"/>
          <w:lang w:val="fr-CA"/>
        </w:rPr>
      </w:pPr>
      <w:r w:rsidRPr="00745E68">
        <w:rPr>
          <w:rFonts w:cs="Times New Roman"/>
          <w:lang w:val="fr-CA"/>
        </w:rPr>
        <w:t xml:space="preserve">Si je comprends bien, le législateur pourrait alors établir les peines minimales obligatoires dans le cadre d’une infraction révisée qui comporterait un élément en sus de ceux déjà présents au </w:t>
      </w:r>
      <w:r>
        <w:rPr>
          <w:rFonts w:cs="Times New Roman"/>
          <w:lang w:val="fr-CA"/>
        </w:rPr>
        <w:t>par.</w:t>
      </w:r>
      <w:r w:rsidR="00B029AB">
        <w:rPr>
          <w:rFonts w:cs="Times New Roman"/>
          <w:lang w:val="fr-CA"/>
        </w:rPr>
        <w:t xml:space="preserve"> </w:t>
      </w:r>
      <w:r w:rsidRPr="00745E68">
        <w:rPr>
          <w:rFonts w:cs="Times New Roman"/>
          <w:lang w:val="fr-CA"/>
        </w:rPr>
        <w:t xml:space="preserve">95(1). Par exemple, seul le comportement qui constituerait un </w:t>
      </w:r>
      <w:r w:rsidR="00B029AB">
        <w:rPr>
          <w:rFonts w:cs="Times New Roman"/>
          <w:lang w:val="fr-CA"/>
        </w:rPr>
        <w:t>« </w:t>
      </w:r>
      <w:r w:rsidRPr="00745E68">
        <w:rPr>
          <w:rFonts w:cs="Times New Roman"/>
          <w:lang w:val="fr-CA"/>
        </w:rPr>
        <w:t>acte criminel</w:t>
      </w:r>
      <w:r w:rsidR="00B029AB">
        <w:rPr>
          <w:rFonts w:cs="Times New Roman"/>
          <w:lang w:val="fr-CA"/>
        </w:rPr>
        <w:t> »</w:t>
      </w:r>
      <w:r w:rsidRPr="00745E68">
        <w:rPr>
          <w:rFonts w:cs="Times New Roman"/>
          <w:lang w:val="fr-CA"/>
        </w:rPr>
        <w:t xml:space="preserve"> ou qui </w:t>
      </w:r>
      <w:r w:rsidR="00B029AB">
        <w:rPr>
          <w:rFonts w:cs="Times New Roman"/>
          <w:lang w:val="fr-CA"/>
        </w:rPr>
        <w:t>« </w:t>
      </w:r>
      <w:r w:rsidRPr="00745E68">
        <w:rPr>
          <w:rFonts w:cs="Times New Roman"/>
          <w:lang w:val="fr-CA"/>
        </w:rPr>
        <w:t>présente[rait] un danger pour autrui</w:t>
      </w:r>
      <w:r w:rsidR="00B029AB">
        <w:rPr>
          <w:rFonts w:cs="Times New Roman"/>
          <w:lang w:val="fr-CA"/>
        </w:rPr>
        <w:t> »</w:t>
      </w:r>
      <w:r w:rsidRPr="00745E68">
        <w:rPr>
          <w:rFonts w:cs="Times New Roman"/>
          <w:lang w:val="fr-CA"/>
        </w:rPr>
        <w:t xml:space="preserve"> tomberait sous le coup de la disposition (</w:t>
      </w:r>
      <w:r>
        <w:rPr>
          <w:rFonts w:cs="Times New Roman"/>
          <w:lang w:val="fr-CA"/>
        </w:rPr>
        <w:t>par.</w:t>
      </w:r>
      <w:r w:rsidR="00B029AB">
        <w:rPr>
          <w:rFonts w:cs="Times New Roman"/>
          <w:lang w:val="fr-CA"/>
        </w:rPr>
        <w:t xml:space="preserve"> </w:t>
      </w:r>
      <w:r w:rsidRPr="00745E68">
        <w:rPr>
          <w:rFonts w:cs="Times New Roman"/>
          <w:lang w:val="fr-CA"/>
        </w:rPr>
        <w:t xml:space="preserve">117). La solution avancée présente malheureusement deux difficultés. Premièrement, elle va à l’encontre du véritable objectif de l’établissement de peines minimales obligatoires applicables à la </w:t>
      </w:r>
      <w:r w:rsidRPr="00745E68">
        <w:rPr>
          <w:rFonts w:cs="Times New Roman"/>
          <w:i/>
          <w:lang w:val="fr-CA"/>
        </w:rPr>
        <w:t>possession</w:t>
      </w:r>
      <w:r w:rsidRPr="00745E68">
        <w:rPr>
          <w:rFonts w:cs="Times New Roman"/>
          <w:lang w:val="fr-CA"/>
        </w:rPr>
        <w:t xml:space="preserve"> illégale d’une arme à feu prohibée ou à autorisation restreinte, chargée ou prête à l’être. Deuxièmement, elle peut mener dans les faits à la création d’une infraction dont la portée est trop étroite pour englober certains des comportements que le législateur a voulu réprimer au moyen de peines carcérales obligatoires. </w:t>
      </w:r>
    </w:p>
    <w:p w:rsidR="002A4851" w:rsidRPr="00745E68" w:rsidRDefault="002A4851" w:rsidP="00A659A4">
      <w:pPr>
        <w:pStyle w:val="ParaNoNdepar-AltN"/>
        <w:rPr>
          <w:rFonts w:cs="Times New Roman"/>
          <w:lang w:val="fr-CA"/>
        </w:rPr>
      </w:pPr>
      <w:r w:rsidRPr="00745E68">
        <w:rPr>
          <w:rFonts w:cs="Times New Roman"/>
          <w:lang w:val="fr-CA"/>
        </w:rPr>
        <w:t>L’article</w:t>
      </w:r>
      <w:r w:rsidR="00B029AB">
        <w:rPr>
          <w:rFonts w:cs="Times New Roman"/>
          <w:lang w:val="fr-CA"/>
        </w:rPr>
        <w:t xml:space="preserve"> </w:t>
      </w:r>
      <w:r w:rsidRPr="00745E68">
        <w:rPr>
          <w:rFonts w:cs="Times New Roman"/>
          <w:lang w:val="fr-CA"/>
        </w:rPr>
        <w:t xml:space="preserve">95 criminalise la simple possession d’armes à feu qui sont fréquemment employées par des gangs ou d’autres délinquants dans leurs activités criminelles (voir </w:t>
      </w:r>
      <w:r w:rsidRPr="00745E68">
        <w:rPr>
          <w:rFonts w:cs="Times New Roman"/>
          <w:i/>
          <w:lang w:val="fr-CA"/>
        </w:rPr>
        <w:t>R. c. Nur</w:t>
      </w:r>
      <w:r w:rsidRPr="00745E68">
        <w:rPr>
          <w:rFonts w:cs="Times New Roman"/>
          <w:lang w:val="fr-CA"/>
        </w:rPr>
        <w:t xml:space="preserve">, 2013 ONCA 677, 117 O.R. (3d) 401, </w:t>
      </w:r>
      <w:r>
        <w:rPr>
          <w:rFonts w:cs="Times New Roman"/>
          <w:lang w:val="fr-CA"/>
        </w:rPr>
        <w:t>par.</w:t>
      </w:r>
      <w:r w:rsidR="00B029AB">
        <w:rPr>
          <w:rFonts w:cs="Times New Roman"/>
          <w:lang w:val="fr-CA"/>
        </w:rPr>
        <w:t xml:space="preserve"> </w:t>
      </w:r>
      <w:r w:rsidRPr="00745E68">
        <w:rPr>
          <w:rFonts w:cs="Times New Roman"/>
          <w:lang w:val="fr-CA"/>
        </w:rPr>
        <w:t>54</w:t>
      </w:r>
      <w:r w:rsidR="00B029AB">
        <w:rPr>
          <w:rFonts w:cs="Times New Roman"/>
          <w:lang w:val="fr-CA"/>
        </w:rPr>
        <w:t>-</w:t>
      </w:r>
      <w:r w:rsidRPr="00745E68">
        <w:rPr>
          <w:rFonts w:cs="Times New Roman"/>
          <w:lang w:val="fr-CA"/>
        </w:rPr>
        <w:t>57). Le législateur s’en prend à la simple possession pour une raison</w:t>
      </w:r>
      <w:r w:rsidR="00B029AB">
        <w:rPr>
          <w:rFonts w:cs="Times New Roman"/>
          <w:lang w:val="fr-CA"/>
        </w:rPr>
        <w:t> :</w:t>
      </w:r>
      <w:r>
        <w:rPr>
          <w:rFonts w:cs="Times New Roman"/>
          <w:lang w:val="fr-CA"/>
        </w:rPr>
        <w:t xml:space="preserve"> les armes à feu</w:t>
      </w:r>
      <w:r w:rsidRPr="00745E68">
        <w:rPr>
          <w:rFonts w:cs="Times New Roman"/>
          <w:lang w:val="fr-CA"/>
        </w:rPr>
        <w:t xml:space="preserve"> — en particulier celles que vise l’</w:t>
      </w:r>
      <w:r>
        <w:rPr>
          <w:rFonts w:cs="Times New Roman"/>
          <w:lang w:val="fr-CA"/>
        </w:rPr>
        <w:t>art.</w:t>
      </w:r>
      <w:r w:rsidR="00B029AB">
        <w:rPr>
          <w:rFonts w:cs="Times New Roman"/>
          <w:lang w:val="fr-CA"/>
        </w:rPr>
        <w:t xml:space="preserve"> </w:t>
      </w:r>
      <w:r w:rsidRPr="00745E68">
        <w:rPr>
          <w:rFonts w:cs="Times New Roman"/>
          <w:lang w:val="fr-CA"/>
        </w:rPr>
        <w:t xml:space="preserve">95 — sont dangereuses en soi. Dans l’arrêt </w:t>
      </w:r>
      <w:r w:rsidRPr="00745E68">
        <w:rPr>
          <w:rFonts w:cs="Times New Roman"/>
          <w:i/>
          <w:lang w:val="fr-CA"/>
        </w:rPr>
        <w:t>R. c. Felawka</w:t>
      </w:r>
      <w:r w:rsidRPr="00745E68">
        <w:rPr>
          <w:rFonts w:cs="Times New Roman"/>
          <w:lang w:val="fr-CA"/>
        </w:rPr>
        <w:t>, [1993] 4 R.C.S.</w:t>
      </w:r>
      <w:r w:rsidR="00B029AB">
        <w:rPr>
          <w:rFonts w:cs="Times New Roman"/>
          <w:lang w:val="fr-CA"/>
        </w:rPr>
        <w:t xml:space="preserve"> </w:t>
      </w:r>
      <w:r w:rsidRPr="00745E68">
        <w:rPr>
          <w:rFonts w:cs="Times New Roman"/>
          <w:lang w:val="fr-CA"/>
        </w:rPr>
        <w:t xml:space="preserve">199, la Cour reconnaît que </w:t>
      </w:r>
      <w:r w:rsidR="00B029AB">
        <w:rPr>
          <w:rFonts w:cs="Times New Roman"/>
          <w:lang w:val="fr-CA"/>
        </w:rPr>
        <w:t>« </w:t>
      </w:r>
      <w:r w:rsidRPr="00745E68">
        <w:rPr>
          <w:rFonts w:cs="Times New Roman"/>
          <w:lang w:val="fr-CA"/>
        </w:rPr>
        <w:t>[l]’arme à feu est expressément conçue pour tuer ou blesser</w:t>
      </w:r>
      <w:r w:rsidR="00B029AB">
        <w:rPr>
          <w:rFonts w:cs="Times New Roman"/>
          <w:lang w:val="fr-CA"/>
        </w:rPr>
        <w:t> »</w:t>
      </w:r>
      <w:r w:rsidRPr="00745E68">
        <w:rPr>
          <w:rFonts w:cs="Times New Roman"/>
          <w:lang w:val="fr-CA"/>
        </w:rPr>
        <w:t xml:space="preserve"> et que </w:t>
      </w:r>
      <w:r w:rsidR="00B029AB">
        <w:rPr>
          <w:rFonts w:cs="Times New Roman"/>
          <w:lang w:val="fr-CA"/>
        </w:rPr>
        <w:t>« </w:t>
      </w:r>
      <w:r w:rsidRPr="00745E68">
        <w:rPr>
          <w:rFonts w:cs="Times New Roman"/>
          <w:lang w:val="fr-CA"/>
        </w:rPr>
        <w:t xml:space="preserve">[p]eu importe l’intention de la </w:t>
      </w:r>
      <w:r w:rsidRPr="00745E68">
        <w:rPr>
          <w:rFonts w:cs="Times New Roman"/>
          <w:lang w:val="fr-CA"/>
        </w:rPr>
        <w:lastRenderedPageBreak/>
        <w:t>personne qui porte un fusil, l’arme à feu incarne en soi la menace suprême de mort aux yeux de ceux qui y font face</w:t>
      </w:r>
      <w:r w:rsidR="00B029AB">
        <w:rPr>
          <w:rFonts w:cs="Times New Roman"/>
          <w:lang w:val="fr-CA"/>
        </w:rPr>
        <w:t> »</w:t>
      </w:r>
      <w:r w:rsidRPr="00745E68">
        <w:rPr>
          <w:rFonts w:cs="Times New Roman"/>
          <w:lang w:val="fr-CA"/>
        </w:rPr>
        <w:t xml:space="preserve"> (</w:t>
      </w:r>
      <w:r>
        <w:rPr>
          <w:rFonts w:cs="Times New Roman"/>
          <w:lang w:val="fr-CA"/>
        </w:rPr>
        <w:t>p.</w:t>
      </w:r>
      <w:r w:rsidR="00B029AB">
        <w:rPr>
          <w:rFonts w:cs="Times New Roman"/>
          <w:lang w:val="fr-CA"/>
        </w:rPr>
        <w:t xml:space="preserve"> </w:t>
      </w:r>
      <w:r w:rsidRPr="00745E68">
        <w:rPr>
          <w:rFonts w:cs="Times New Roman"/>
          <w:lang w:val="fr-CA"/>
        </w:rPr>
        <w:t>211). Le procureur général du Canada signale dans son mémoire que ce froid constat vaut d’autant plus pour [</w:t>
      </w:r>
      <w:r w:rsidRPr="00745E68">
        <w:rPr>
          <w:rFonts w:cs="Times New Roman"/>
          <w:smallCaps/>
          <w:lang w:val="fr-CA"/>
        </w:rPr>
        <w:t>traduction</w:t>
      </w:r>
      <w:r w:rsidRPr="00745E68">
        <w:rPr>
          <w:rFonts w:cs="Times New Roman"/>
          <w:lang w:val="fr-CA"/>
        </w:rPr>
        <w:t xml:space="preserve">] </w:t>
      </w:r>
      <w:r w:rsidR="00B029AB">
        <w:rPr>
          <w:rFonts w:cs="Times New Roman"/>
          <w:lang w:val="fr-CA"/>
        </w:rPr>
        <w:t>« </w:t>
      </w:r>
      <w:r w:rsidRPr="00745E68">
        <w:rPr>
          <w:rFonts w:cs="Times New Roman"/>
          <w:lang w:val="fr-CA"/>
        </w:rPr>
        <w:t>les armes à feu à autorisation restreinte (surtout des armes de poing) et les armes à feu prohibées (principalement des mitrailleuses et des carabines ou des fusils de chasse sciés)</w:t>
      </w:r>
      <w:r w:rsidR="00B029AB">
        <w:rPr>
          <w:rFonts w:cs="Times New Roman"/>
          <w:lang w:val="fr-CA"/>
        </w:rPr>
        <w:t> »</w:t>
      </w:r>
      <w:r w:rsidRPr="00745E68">
        <w:rPr>
          <w:rFonts w:cs="Times New Roman"/>
          <w:lang w:val="fr-CA"/>
        </w:rPr>
        <w:t xml:space="preserve"> (m.a., </w:t>
      </w:r>
      <w:r w:rsidRPr="00745E68">
        <w:rPr>
          <w:rFonts w:cs="Times New Roman"/>
          <w:i/>
          <w:lang w:val="fr-CA"/>
        </w:rPr>
        <w:t>Nur</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64). Il s’agit des armes à feu </w:t>
      </w:r>
      <w:r w:rsidR="00B029AB">
        <w:rPr>
          <w:rFonts w:cs="Times New Roman"/>
          <w:lang w:val="fr-CA"/>
        </w:rPr>
        <w:t>« </w:t>
      </w:r>
      <w:r w:rsidRPr="00745E68">
        <w:rPr>
          <w:rFonts w:cs="Times New Roman"/>
          <w:lang w:val="fr-CA"/>
        </w:rPr>
        <w:t>les plus strictement réglementées soit parce qu’elles sont faciles à dissimuler, soit parce qu’elles ne servent généralement aucune fin légitime de chasse ou de tir sur cible</w:t>
      </w:r>
      <w:r w:rsidR="00B029AB">
        <w:rPr>
          <w:rFonts w:cs="Times New Roman"/>
          <w:lang w:val="fr-CA"/>
        </w:rPr>
        <w:t> »</w:t>
      </w:r>
      <w:r w:rsidRPr="00745E68">
        <w:rPr>
          <w:rFonts w:cs="Times New Roman"/>
          <w:lang w:val="fr-CA"/>
        </w:rPr>
        <w:t xml:space="preserve"> (</w:t>
      </w:r>
      <w:r w:rsidRPr="00745E68">
        <w:rPr>
          <w:rFonts w:cs="Times New Roman"/>
          <w:i/>
          <w:lang w:val="fr-CA"/>
        </w:rPr>
        <w:t>ibid.</w:t>
      </w:r>
      <w:r w:rsidRPr="00745E68">
        <w:rPr>
          <w:rFonts w:cs="Times New Roman"/>
          <w:lang w:val="fr-CA"/>
        </w:rPr>
        <w:t xml:space="preserve">). Exception faite des responsables de l’application de la loi, ce sont surtout des criminels qui s’en servent et qui intimident, blessent, mutilent et tuent. </w:t>
      </w:r>
    </w:p>
    <w:p w:rsidR="002A4851" w:rsidRPr="00745E68" w:rsidRDefault="002A4851" w:rsidP="00A659A4">
      <w:pPr>
        <w:pStyle w:val="ParaNoNdepar-AltN"/>
        <w:rPr>
          <w:rFonts w:cs="Times New Roman"/>
          <w:lang w:val="fr-CA"/>
        </w:rPr>
      </w:pPr>
      <w:r w:rsidRPr="00745E68">
        <w:rPr>
          <w:rFonts w:cs="Times New Roman"/>
          <w:lang w:val="fr-CA"/>
        </w:rPr>
        <w:t xml:space="preserve">Les tribunaux ont maintes fois mis en relief le danger inhérent à ces armes à feu. Dans </w:t>
      </w:r>
      <w:r w:rsidRPr="00745E68">
        <w:rPr>
          <w:rFonts w:cs="Times New Roman"/>
          <w:i/>
          <w:lang w:val="fr-CA"/>
        </w:rPr>
        <w:t>R. c. Elliston</w:t>
      </w:r>
      <w:r w:rsidRPr="00745E68">
        <w:rPr>
          <w:rFonts w:cs="Times New Roman"/>
          <w:lang w:val="fr-CA"/>
        </w:rPr>
        <w:t xml:space="preserve">, 2010 ONSC 6492, </w:t>
      </w:r>
      <w:r>
        <w:rPr>
          <w:rFonts w:cs="Times New Roman"/>
          <w:lang w:val="fr-CA"/>
        </w:rPr>
        <w:t xml:space="preserve">225 C.R.R. </w:t>
      </w:r>
      <w:r w:rsidRPr="00745E68">
        <w:rPr>
          <w:rFonts w:cs="Times New Roman"/>
          <w:lang w:val="fr-CA"/>
        </w:rPr>
        <w:t>(2d)</w:t>
      </w:r>
      <w:r>
        <w:rPr>
          <w:rFonts w:cs="Times New Roman"/>
          <w:lang w:val="fr-CA"/>
        </w:rPr>
        <w:t xml:space="preserve"> </w:t>
      </w:r>
      <w:r w:rsidRPr="00745E68">
        <w:rPr>
          <w:rFonts w:cs="Times New Roman"/>
          <w:lang w:val="fr-CA"/>
        </w:rPr>
        <w:t>109, le juge Aston rejette la thèse voulant que la simple possession d’une arme à feu prohibée ou à autorisation restreinte, sans conséquence préjudiciable, ne justifie pas l’imposition d’une peine exemplaire</w:t>
      </w:r>
      <w:r w:rsidR="00B029AB">
        <w:rPr>
          <w:rFonts w:cs="Times New Roman"/>
          <w:lang w:val="fr-CA"/>
        </w:rPr>
        <w:t> :</w:t>
      </w:r>
      <w:r w:rsidRPr="00745E68">
        <w:rPr>
          <w:rFonts w:cs="Times New Roman"/>
          <w:lang w:val="fr-CA"/>
        </w:rPr>
        <w:t xml:space="preserve"> </w:t>
      </w:r>
    </w:p>
    <w:p w:rsidR="002A4851" w:rsidRPr="00745E68" w:rsidRDefault="002A4851" w:rsidP="00A659A4">
      <w:pPr>
        <w:pStyle w:val="Citation-AltC"/>
        <w:ind w:hanging="1166"/>
        <w:contextualSpacing w:val="0"/>
        <w:rPr>
          <w:lang w:val="fr-CA"/>
        </w:rPr>
      </w:pPr>
      <w:r w:rsidRPr="00745E68">
        <w:rPr>
          <w:lang w:val="fr-CA"/>
        </w:rPr>
        <w:tab/>
      </w:r>
      <w:r w:rsidR="00A659A4">
        <w:rPr>
          <w:lang w:val="fr-CA"/>
        </w:rPr>
        <w:tab/>
      </w:r>
      <w:r w:rsidRPr="00745E68">
        <w:rPr>
          <w:lang w:val="fr-CA"/>
        </w:rPr>
        <w:t>[</w:t>
      </w:r>
      <w:r w:rsidRPr="00745E68">
        <w:rPr>
          <w:smallCaps/>
          <w:lang w:val="fr-CA"/>
        </w:rPr>
        <w:t>traduction</w:t>
      </w:r>
      <w:r w:rsidRPr="00745E68">
        <w:rPr>
          <w:lang w:val="fr-CA"/>
        </w:rPr>
        <w:t>] Le demandeur fait valoir qu’aucune conséquence préjudiciable réelle ne découle nécessairement du comportement criminel visé à l’</w:t>
      </w:r>
      <w:r>
        <w:rPr>
          <w:lang w:val="fr-CA"/>
        </w:rPr>
        <w:t>art.</w:t>
      </w:r>
      <w:r w:rsidR="00B029AB">
        <w:rPr>
          <w:lang w:val="fr-CA"/>
        </w:rPr>
        <w:t xml:space="preserve"> </w:t>
      </w:r>
      <w:r w:rsidRPr="00745E68">
        <w:rPr>
          <w:lang w:val="fr-CA"/>
        </w:rPr>
        <w:t xml:space="preserve">95, car selon sa définition, l’infraction s’entend seulement de la possession de l’arme à feu, non de son emploi dans les faits. Certes, la possession d’une arme de poing chargée n’a pas </w:t>
      </w:r>
      <w:r w:rsidRPr="00745E68">
        <w:rPr>
          <w:i/>
          <w:lang w:val="fr-CA"/>
        </w:rPr>
        <w:t>nécessairement</w:t>
      </w:r>
      <w:r w:rsidRPr="00745E68">
        <w:rPr>
          <w:lang w:val="fr-CA"/>
        </w:rPr>
        <w:t xml:space="preserve"> de conséquences préjudiciables, mais elle en a parfois. Et parce que le risque que des gens soient grièvement blessés ou tués est si grand, même lorsque le coup n’est pas tiré intentionnellement, la gravité de l’infraction consistant dans la simple possession de l’arme ne doit pas être sous</w:t>
      </w:r>
      <w:r w:rsidR="00B029AB">
        <w:rPr>
          <w:lang w:val="fr-CA"/>
        </w:rPr>
        <w:t>-</w:t>
      </w:r>
      <w:r w:rsidRPr="00745E68">
        <w:rPr>
          <w:lang w:val="fr-CA"/>
        </w:rPr>
        <w:t>estimée</w:t>
      </w:r>
      <w:r w:rsidR="00A659A4">
        <w:rPr>
          <w:lang w:val="fr-CA"/>
        </w:rPr>
        <w:t xml:space="preserve"> . . </w:t>
      </w:r>
      <w:r w:rsidRPr="00745E68">
        <w:rPr>
          <w:lang w:val="fr-CA"/>
        </w:rPr>
        <w:t xml:space="preserve">. [Souligné dans l’original; </w:t>
      </w:r>
      <w:r>
        <w:rPr>
          <w:lang w:val="fr-CA"/>
        </w:rPr>
        <w:t>par.</w:t>
      </w:r>
      <w:r w:rsidR="00B029AB">
        <w:rPr>
          <w:lang w:val="fr-CA"/>
        </w:rPr>
        <w:t xml:space="preserve"> </w:t>
      </w:r>
      <w:r w:rsidRPr="00745E68">
        <w:rPr>
          <w:lang w:val="fr-CA"/>
        </w:rPr>
        <w:t>15.]</w:t>
      </w:r>
    </w:p>
    <w:p w:rsidR="002A4851" w:rsidRPr="00745E68" w:rsidRDefault="002A4851" w:rsidP="00A659A4">
      <w:pPr>
        <w:pStyle w:val="ContinueParaSuitedupar-AltP"/>
        <w:rPr>
          <w:rFonts w:cs="Times New Roman"/>
          <w:lang w:val="fr-CA"/>
        </w:rPr>
      </w:pPr>
      <w:r w:rsidRPr="00745E68">
        <w:rPr>
          <w:rFonts w:cs="Times New Roman"/>
          <w:lang w:val="fr-CA"/>
        </w:rPr>
        <w:lastRenderedPageBreak/>
        <w:t xml:space="preserve">De même, dans l’arrêt </w:t>
      </w:r>
      <w:r w:rsidRPr="00745E68">
        <w:rPr>
          <w:rFonts w:cs="Times New Roman"/>
          <w:i/>
          <w:lang w:val="fr-CA"/>
        </w:rPr>
        <w:t>R. c. Chin</w:t>
      </w:r>
      <w:r w:rsidRPr="00745E68">
        <w:rPr>
          <w:rFonts w:cs="Times New Roman"/>
          <w:lang w:val="fr-CA"/>
        </w:rPr>
        <w:t>, 2009 ABCA 226, 457</w:t>
      </w:r>
      <w:r w:rsidR="00B029AB">
        <w:rPr>
          <w:rFonts w:cs="Times New Roman"/>
          <w:lang w:val="fr-CA"/>
        </w:rPr>
        <w:t xml:space="preserve"> </w:t>
      </w:r>
      <w:r w:rsidRPr="00745E68">
        <w:rPr>
          <w:rFonts w:cs="Times New Roman"/>
          <w:lang w:val="fr-CA"/>
        </w:rPr>
        <w:t>A.R.</w:t>
      </w:r>
      <w:r w:rsidR="00B029AB">
        <w:rPr>
          <w:rFonts w:cs="Times New Roman"/>
          <w:lang w:val="fr-CA"/>
        </w:rPr>
        <w:t xml:space="preserve"> </w:t>
      </w:r>
      <w:r w:rsidRPr="00745E68">
        <w:rPr>
          <w:rFonts w:cs="Times New Roman"/>
          <w:lang w:val="fr-CA"/>
        </w:rPr>
        <w:t>233, la Cour d’appel de l’Alberta relève que la [</w:t>
      </w:r>
      <w:r w:rsidRPr="00745E68">
        <w:rPr>
          <w:rFonts w:cs="Times New Roman"/>
          <w:smallCaps/>
          <w:lang w:val="fr-CA"/>
        </w:rPr>
        <w:t>traduction</w:t>
      </w:r>
      <w:r w:rsidRPr="00745E68">
        <w:rPr>
          <w:rFonts w:cs="Times New Roman"/>
          <w:lang w:val="fr-CA"/>
        </w:rPr>
        <w:t xml:space="preserve">] </w:t>
      </w:r>
      <w:r w:rsidR="00B029AB">
        <w:rPr>
          <w:rFonts w:cs="Times New Roman"/>
          <w:lang w:val="fr-CA"/>
        </w:rPr>
        <w:t>« </w:t>
      </w:r>
      <w:r w:rsidR="00A659A4">
        <w:rPr>
          <w:rFonts w:cs="Times New Roman"/>
          <w:lang w:val="fr-CA"/>
        </w:rPr>
        <w:t>[</w:t>
      </w:r>
      <w:r w:rsidRPr="00745E68">
        <w:rPr>
          <w:rFonts w:cs="Times New Roman"/>
          <w:lang w:val="fr-CA"/>
        </w:rPr>
        <w:t>s</w:t>
      </w:r>
      <w:r w:rsidR="00A659A4">
        <w:rPr>
          <w:rFonts w:cs="Times New Roman"/>
          <w:lang w:val="fr-CA"/>
        </w:rPr>
        <w:t>]</w:t>
      </w:r>
      <w:r w:rsidRPr="00745E68">
        <w:rPr>
          <w:rFonts w:cs="Times New Roman"/>
          <w:lang w:val="fr-CA"/>
        </w:rPr>
        <w:t>imple possession d’une arme à feu chargée est dangereuse en soi</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10). Elle souligne que </w:t>
      </w:r>
      <w:r w:rsidR="00B029AB">
        <w:rPr>
          <w:rFonts w:cs="Times New Roman"/>
          <w:lang w:val="fr-CA"/>
        </w:rPr>
        <w:t>« </w:t>
      </w:r>
      <w:r w:rsidR="00A659A4">
        <w:rPr>
          <w:rFonts w:cs="Times New Roman"/>
          <w:lang w:val="fr-CA"/>
        </w:rPr>
        <w:t>[</w:t>
      </w:r>
      <w:r w:rsidRPr="00745E68">
        <w:rPr>
          <w:rFonts w:cs="Times New Roman"/>
          <w:lang w:val="fr-CA"/>
        </w:rPr>
        <w:t>l</w:t>
      </w:r>
      <w:r w:rsidR="00A659A4">
        <w:rPr>
          <w:rFonts w:cs="Times New Roman"/>
          <w:lang w:val="fr-CA"/>
        </w:rPr>
        <w:t>]</w:t>
      </w:r>
      <w:r w:rsidRPr="00745E68">
        <w:rPr>
          <w:rFonts w:cs="Times New Roman"/>
          <w:lang w:val="fr-CA"/>
        </w:rPr>
        <w:t>orsque l’on tolère la présence de telles armes dans la collectivité, la mort et les blessures graves sont littéralement à portée de main</w:t>
      </w:r>
      <w:r w:rsidR="00B029AB">
        <w:rPr>
          <w:rFonts w:cs="Times New Roman"/>
          <w:lang w:val="fr-CA"/>
        </w:rPr>
        <w:t> :</w:t>
      </w:r>
      <w:r w:rsidRPr="00745E68">
        <w:rPr>
          <w:rFonts w:cs="Times New Roman"/>
          <w:lang w:val="fr-CA"/>
        </w:rPr>
        <w:t xml:space="preserve"> il suffit de presser puis de relâcher la détente</w:t>
      </w:r>
      <w:r w:rsidR="00B029AB">
        <w:rPr>
          <w:rFonts w:cs="Times New Roman"/>
          <w:lang w:val="fr-CA"/>
        </w:rPr>
        <w:t> »</w:t>
      </w:r>
      <w:r w:rsidRPr="00745E68">
        <w:rPr>
          <w:rFonts w:cs="Times New Roman"/>
          <w:lang w:val="fr-CA"/>
        </w:rPr>
        <w:t xml:space="preserve"> (</w:t>
      </w:r>
      <w:r w:rsidRPr="00745E68">
        <w:rPr>
          <w:rFonts w:cs="Times New Roman"/>
          <w:i/>
          <w:lang w:val="fr-CA"/>
        </w:rPr>
        <w:t>ibid.</w:t>
      </w:r>
      <w:r w:rsidRPr="00745E68">
        <w:rPr>
          <w:rFonts w:cs="Times New Roman"/>
          <w:lang w:val="fr-CA"/>
        </w:rPr>
        <w:t>).</w:t>
      </w:r>
    </w:p>
    <w:p w:rsidR="002A4851" w:rsidRPr="00745E68" w:rsidRDefault="002A4851" w:rsidP="00A659A4">
      <w:pPr>
        <w:pStyle w:val="ParaNoNdepar-AltN"/>
        <w:rPr>
          <w:rFonts w:cs="Times New Roman"/>
          <w:lang w:val="fr-CA"/>
        </w:rPr>
      </w:pPr>
      <w:r w:rsidRPr="00745E68">
        <w:rPr>
          <w:rFonts w:cs="Times New Roman"/>
          <w:lang w:val="fr-CA"/>
        </w:rPr>
        <w:t>Étant donné ce danger inhérent, le législateur pouvait fort bien conclure que la simple possession d’une arme à feu prohibée ou à autorisation restreinte, chargée ou prête à l’être, devait emporter l’infliction d’une longue peine minimale obligatoire d’emprisonnement. Comme l’a dit le ministre de la Justice d’alors au moment du dépôt des modifications apportées à l’</w:t>
      </w:r>
      <w:r>
        <w:rPr>
          <w:rFonts w:cs="Times New Roman"/>
          <w:lang w:val="fr-CA"/>
        </w:rPr>
        <w:t>art.</w:t>
      </w:r>
      <w:r w:rsidR="00B029AB">
        <w:rPr>
          <w:rFonts w:cs="Times New Roman"/>
          <w:lang w:val="fr-CA"/>
        </w:rPr>
        <w:t xml:space="preserve"> </w:t>
      </w:r>
      <w:r w:rsidRPr="00745E68">
        <w:rPr>
          <w:rFonts w:cs="Times New Roman"/>
          <w:lang w:val="fr-CA"/>
        </w:rPr>
        <w:t>95 en 2008,</w:t>
      </w:r>
      <w:r w:rsidR="00B029AB">
        <w:rPr>
          <w:rFonts w:cs="Times New Roman"/>
          <w:lang w:val="fr-CA"/>
        </w:rPr>
        <w:t xml:space="preserve"> « </w:t>
      </w:r>
      <w:r w:rsidRPr="00745E68">
        <w:rPr>
          <w:rFonts w:cs="Times New Roman"/>
          <w:lang w:val="fr-CA"/>
        </w:rPr>
        <w:t>la possession illégale de ces armes à feu est de plus en plus préoccupante</w:t>
      </w:r>
      <w:r w:rsidR="00B029AB">
        <w:rPr>
          <w:rFonts w:cs="Times New Roman"/>
          <w:lang w:val="fr-CA"/>
        </w:rPr>
        <w:t> »</w:t>
      </w:r>
      <w:r w:rsidRPr="00745E68">
        <w:rPr>
          <w:rFonts w:cs="Times New Roman"/>
          <w:lang w:val="fr-CA"/>
        </w:rPr>
        <w:t xml:space="preserve"> et </w:t>
      </w:r>
      <w:r w:rsidR="00B029AB">
        <w:rPr>
          <w:rFonts w:cs="Times New Roman"/>
          <w:lang w:val="fr-CA"/>
        </w:rPr>
        <w:t>« </w:t>
      </w:r>
      <w:r w:rsidR="00A659A4">
        <w:rPr>
          <w:rFonts w:cs="Times New Roman"/>
          <w:lang w:val="fr-CA"/>
        </w:rPr>
        <w:t>[</w:t>
      </w:r>
      <w:r w:rsidRPr="00745E68">
        <w:rPr>
          <w:rFonts w:cs="Times New Roman"/>
          <w:lang w:val="fr-CA"/>
        </w:rPr>
        <w:t>l</w:t>
      </w:r>
      <w:r w:rsidR="00A659A4">
        <w:rPr>
          <w:rFonts w:cs="Times New Roman"/>
          <w:lang w:val="fr-CA"/>
        </w:rPr>
        <w:t>]</w:t>
      </w:r>
      <w:r w:rsidRPr="00745E68">
        <w:rPr>
          <w:rFonts w:cs="Times New Roman"/>
          <w:lang w:val="fr-CA"/>
        </w:rPr>
        <w:t xml:space="preserve">es services de police s’intéressent surtout à la hausse des peines d’emprisonnement minimales liées à la </w:t>
      </w:r>
      <w:r w:rsidRPr="00745E68">
        <w:rPr>
          <w:rFonts w:cs="Times New Roman"/>
          <w:u w:val="single"/>
          <w:lang w:val="fr-CA"/>
        </w:rPr>
        <w:t>possession</w:t>
      </w:r>
      <w:r w:rsidRPr="00745E68">
        <w:rPr>
          <w:rFonts w:cs="Times New Roman"/>
          <w:lang w:val="fr-CA"/>
        </w:rPr>
        <w:t xml:space="preserve"> d’armes à feu chargées ou à autorisation restreinte</w:t>
      </w:r>
      <w:r w:rsidR="00B029AB">
        <w:rPr>
          <w:rFonts w:cs="Times New Roman"/>
          <w:lang w:val="fr-CA"/>
        </w:rPr>
        <w:t> »</w:t>
      </w:r>
      <w:r w:rsidRPr="00745E68">
        <w:rPr>
          <w:rFonts w:cs="Times New Roman"/>
          <w:lang w:val="fr-CA"/>
        </w:rPr>
        <w:t xml:space="preserve"> (</w:t>
      </w:r>
      <w:r w:rsidRPr="00A659A4">
        <w:rPr>
          <w:rFonts w:cs="Times New Roman"/>
          <w:i/>
          <w:lang w:val="fr-CA"/>
        </w:rPr>
        <w:t>Débats de</w:t>
      </w:r>
      <w:r w:rsidR="00A659A4" w:rsidRPr="00A659A4">
        <w:rPr>
          <w:rFonts w:cs="Times New Roman"/>
          <w:i/>
          <w:lang w:val="fr-CA"/>
        </w:rPr>
        <w:t xml:space="preserve"> la Chambre des c</w:t>
      </w:r>
      <w:r w:rsidRPr="00A659A4">
        <w:rPr>
          <w:rFonts w:cs="Times New Roman"/>
          <w:i/>
          <w:lang w:val="fr-CA"/>
        </w:rPr>
        <w:t>ommunes</w:t>
      </w:r>
      <w:r w:rsidRPr="00745E68">
        <w:rPr>
          <w:rFonts w:cs="Times New Roman"/>
          <w:lang w:val="fr-CA"/>
        </w:rPr>
        <w:t xml:space="preserve">, </w:t>
      </w:r>
      <w:r>
        <w:rPr>
          <w:rFonts w:cs="Times New Roman"/>
          <w:lang w:val="fr-CA"/>
        </w:rPr>
        <w:t>vol.</w:t>
      </w:r>
      <w:r w:rsidR="00B029AB">
        <w:rPr>
          <w:rFonts w:cs="Times New Roman"/>
          <w:lang w:val="fr-CA"/>
        </w:rPr>
        <w:t xml:space="preserve"> </w:t>
      </w:r>
      <w:r w:rsidRPr="00745E68">
        <w:rPr>
          <w:rFonts w:cs="Times New Roman"/>
          <w:lang w:val="fr-CA"/>
        </w:rPr>
        <w:t>141, n</w:t>
      </w:r>
      <w:r w:rsidRPr="00745E68">
        <w:rPr>
          <w:rFonts w:cs="Times New Roman"/>
          <w:vertAlign w:val="superscript"/>
          <w:lang w:val="fr-CA"/>
        </w:rPr>
        <w:t>o</w:t>
      </w:r>
      <w:r w:rsidR="00B029AB">
        <w:rPr>
          <w:rFonts w:cs="Times New Roman"/>
          <w:lang w:val="fr-CA"/>
        </w:rPr>
        <w:t xml:space="preserve"> </w:t>
      </w:r>
      <w:r w:rsidRPr="00745E68">
        <w:rPr>
          <w:rFonts w:cs="Times New Roman"/>
          <w:lang w:val="fr-CA"/>
        </w:rPr>
        <w:t>33, 1</w:t>
      </w:r>
      <w:r w:rsidRPr="00745E68">
        <w:rPr>
          <w:rFonts w:cs="Times New Roman"/>
          <w:vertAlign w:val="superscript"/>
          <w:lang w:val="fr-CA"/>
        </w:rPr>
        <w:t>re</w:t>
      </w:r>
      <w:r w:rsidR="00B029AB">
        <w:rPr>
          <w:rFonts w:cs="Times New Roman"/>
          <w:lang w:val="fr-CA"/>
        </w:rPr>
        <w:t xml:space="preserve"> </w:t>
      </w:r>
      <w:r w:rsidRPr="00745E68">
        <w:rPr>
          <w:rFonts w:cs="Times New Roman"/>
          <w:lang w:val="fr-CA"/>
        </w:rPr>
        <w:t>sess., 39</w:t>
      </w:r>
      <w:r w:rsidRPr="00745E68">
        <w:rPr>
          <w:rFonts w:cs="Times New Roman"/>
          <w:vertAlign w:val="superscript"/>
          <w:lang w:val="fr-CA"/>
        </w:rPr>
        <w:t>e</w:t>
      </w:r>
      <w:r w:rsidR="00B029AB">
        <w:rPr>
          <w:rFonts w:cs="Times New Roman"/>
          <w:lang w:val="fr-CA"/>
        </w:rPr>
        <w:t xml:space="preserve"> </w:t>
      </w:r>
      <w:r w:rsidRPr="00745E68">
        <w:rPr>
          <w:rFonts w:cs="Times New Roman"/>
          <w:lang w:val="fr-CA"/>
        </w:rPr>
        <w:t>lég., 5</w:t>
      </w:r>
      <w:r w:rsidR="00B029AB">
        <w:rPr>
          <w:rFonts w:cs="Times New Roman"/>
          <w:lang w:val="fr-CA"/>
        </w:rPr>
        <w:t xml:space="preserve"> </w:t>
      </w:r>
      <w:r w:rsidRPr="00745E68">
        <w:rPr>
          <w:rFonts w:cs="Times New Roman"/>
          <w:lang w:val="fr-CA"/>
        </w:rPr>
        <w:t xml:space="preserve">juin 2006, </w:t>
      </w:r>
      <w:r>
        <w:rPr>
          <w:rFonts w:cs="Times New Roman"/>
          <w:lang w:val="fr-CA"/>
        </w:rPr>
        <w:t>p.</w:t>
      </w:r>
      <w:r w:rsidR="00B029AB">
        <w:rPr>
          <w:rFonts w:cs="Times New Roman"/>
          <w:lang w:val="fr-CA"/>
        </w:rPr>
        <w:t xml:space="preserve"> </w:t>
      </w:r>
      <w:r w:rsidRPr="00745E68">
        <w:rPr>
          <w:rFonts w:cs="Times New Roman"/>
          <w:lang w:val="fr-CA"/>
        </w:rPr>
        <w:t xml:space="preserve">1941 (je souligne)). Étoffer l’infraction de manière qu’elle ne s’entende plus de la seule possession réduirait selon moi indûment la portée de l’application des peines minimales obligatoires et contrecarrerait ainsi l’objectif du législateur de retirer de la circulation des armes dangereuses </w:t>
      </w:r>
      <w:r w:rsidRPr="00745E68">
        <w:rPr>
          <w:rFonts w:cs="Times New Roman"/>
          <w:i/>
          <w:lang w:val="fr-CA"/>
        </w:rPr>
        <w:t>avant</w:t>
      </w:r>
      <w:r w:rsidRPr="00745E68">
        <w:rPr>
          <w:rFonts w:cs="Times New Roman"/>
          <w:lang w:val="fr-CA"/>
        </w:rPr>
        <w:t xml:space="preserve"> qu’elles ne créent un risque de préjudice précis.</w:t>
      </w:r>
    </w:p>
    <w:p w:rsidR="002A4851" w:rsidRPr="00745E68" w:rsidRDefault="002A4851" w:rsidP="00A659A4">
      <w:pPr>
        <w:pStyle w:val="ParaNoNdepar-AltN"/>
        <w:rPr>
          <w:rFonts w:cs="Times New Roman"/>
          <w:lang w:val="fr-CA"/>
        </w:rPr>
      </w:pPr>
      <w:r w:rsidRPr="00745E68">
        <w:rPr>
          <w:rFonts w:cs="Times New Roman"/>
          <w:lang w:val="fr-CA"/>
        </w:rPr>
        <w:lastRenderedPageBreak/>
        <w:t>C’est ce que confirme le témoignage devant le comité du chef de police Blair, qui insiste sur l’importance d’habiliter les policiers à réprimer la possession avant qu’un risque de préjudice précis se concrétise</w:t>
      </w:r>
      <w:r w:rsidR="00B029AB">
        <w:rPr>
          <w:rFonts w:cs="Times New Roman"/>
          <w:lang w:val="fr-CA"/>
        </w:rPr>
        <w:t> :</w:t>
      </w:r>
    </w:p>
    <w:p w:rsidR="002A4851" w:rsidRPr="00745E68" w:rsidRDefault="002A4851" w:rsidP="00A659A4">
      <w:pPr>
        <w:pStyle w:val="Citation-AltC"/>
        <w:spacing w:after="240"/>
        <w:ind w:hanging="1166"/>
        <w:contextualSpacing w:val="0"/>
        <w:rPr>
          <w:lang w:val="fr-CA"/>
        </w:rPr>
      </w:pPr>
      <w:r>
        <w:rPr>
          <w:lang w:val="fr-CA"/>
        </w:rPr>
        <w:tab/>
      </w:r>
      <w:r w:rsidRPr="00745E68">
        <w:rPr>
          <w:lang w:val="fr-CA"/>
        </w:rPr>
        <w:t xml:space="preserve">Si la personne n’est pas un policier ou un agent de sécurité à Toronto, la seule raison qu’elle a de porter une arme de poing chargée dans la rue est de tuer quelqu’un. </w:t>
      </w:r>
      <w:r w:rsidRPr="00745E68">
        <w:rPr>
          <w:u w:val="single"/>
          <w:lang w:val="fr-CA"/>
        </w:rPr>
        <w:t>Alors, quand nous arrêtons quelqu’un qui est en possession d’une telle arme à feu, ce qui est une infraction, nous devons être en mesure d’intervenir à l’instant même.</w:t>
      </w:r>
      <w:r w:rsidRPr="00745E68">
        <w:rPr>
          <w:lang w:val="fr-CA"/>
        </w:rPr>
        <w:t xml:space="preserve"> Il s’agit là d’un indicateur assez grave que cette personne présente une menace excessive pour la sécurité publique. Le système de justice pénale doit être en mesure d’intervenir adéquatement. [Je souligne.]</w:t>
      </w:r>
    </w:p>
    <w:p w:rsidR="002A4851" w:rsidRPr="00745E68" w:rsidRDefault="002A4851" w:rsidP="00A659A4">
      <w:pPr>
        <w:pStyle w:val="Citation-AltC"/>
        <w:ind w:left="0"/>
        <w:rPr>
          <w:lang w:val="fr-CA"/>
        </w:rPr>
      </w:pPr>
      <w:r w:rsidRPr="00745E68">
        <w:rPr>
          <w:lang w:val="fr-CA"/>
        </w:rPr>
        <w:t xml:space="preserve">(Comité permanent de la justice et des droits </w:t>
      </w:r>
      <w:r w:rsidR="00A659A4">
        <w:rPr>
          <w:lang w:val="fr-CA"/>
        </w:rPr>
        <w:t>de la personne</w:t>
      </w:r>
      <w:r w:rsidRPr="00745E68">
        <w:rPr>
          <w:lang w:val="fr-CA"/>
        </w:rPr>
        <w:t xml:space="preserve">, </w:t>
      </w:r>
      <w:r w:rsidR="00A24434" w:rsidRPr="00A24434">
        <w:rPr>
          <w:i/>
          <w:lang w:val="fr-CA"/>
        </w:rPr>
        <w:t>Témoignages</w:t>
      </w:r>
      <w:r w:rsidR="00A24434">
        <w:rPr>
          <w:lang w:val="fr-CA"/>
        </w:rPr>
        <w:t xml:space="preserve">, </w:t>
      </w:r>
      <w:r w:rsidRPr="00745E68">
        <w:rPr>
          <w:lang w:val="fr-CA"/>
        </w:rPr>
        <w:t>n</w:t>
      </w:r>
      <w:r w:rsidRPr="00745E68">
        <w:rPr>
          <w:vertAlign w:val="superscript"/>
          <w:lang w:val="fr-CA"/>
        </w:rPr>
        <w:t>o</w:t>
      </w:r>
      <w:r w:rsidR="00B029AB">
        <w:rPr>
          <w:lang w:val="fr-CA"/>
        </w:rPr>
        <w:t xml:space="preserve"> </w:t>
      </w:r>
      <w:r w:rsidRPr="00745E68">
        <w:rPr>
          <w:lang w:val="fr-CA"/>
        </w:rPr>
        <w:t xml:space="preserve">34, </w:t>
      </w:r>
      <w:r>
        <w:rPr>
          <w:lang w:val="fr-CA"/>
        </w:rPr>
        <w:t>p.</w:t>
      </w:r>
      <w:r w:rsidR="00B029AB">
        <w:rPr>
          <w:lang w:val="fr-CA"/>
        </w:rPr>
        <w:t xml:space="preserve"> </w:t>
      </w:r>
      <w:r w:rsidRPr="00745E68">
        <w:rPr>
          <w:lang w:val="fr-CA"/>
        </w:rPr>
        <w:t>4)</w:t>
      </w:r>
    </w:p>
    <w:p w:rsidR="002A4851" w:rsidRPr="00745E68" w:rsidRDefault="002A4851" w:rsidP="00A659A4">
      <w:pPr>
        <w:pStyle w:val="ContinueParaSuitedupar-AltP"/>
        <w:rPr>
          <w:rFonts w:cs="Times New Roman"/>
          <w:lang w:val="fr-CA"/>
        </w:rPr>
      </w:pPr>
      <w:r w:rsidRPr="00745E68">
        <w:rPr>
          <w:rFonts w:cs="Times New Roman"/>
          <w:lang w:val="fr-CA"/>
        </w:rPr>
        <w:t>M.</w:t>
      </w:r>
      <w:r w:rsidR="00B029AB">
        <w:rPr>
          <w:rFonts w:cs="Times New Roman"/>
          <w:lang w:val="fr-CA"/>
        </w:rPr>
        <w:t xml:space="preserve"> </w:t>
      </w:r>
      <w:r w:rsidRPr="00745E68">
        <w:rPr>
          <w:rFonts w:cs="Times New Roman"/>
          <w:lang w:val="fr-CA"/>
        </w:rPr>
        <w:t>Blair ajoute que des peines minimales obligatoires d’une durée accrue contribueraient grandement à décourager ce comportement dangereux</w:t>
      </w:r>
      <w:r w:rsidR="00B029AB">
        <w:rPr>
          <w:rFonts w:cs="Times New Roman"/>
          <w:lang w:val="fr-CA"/>
        </w:rPr>
        <w:t> :</w:t>
      </w:r>
    </w:p>
    <w:p w:rsidR="002A4851" w:rsidRPr="00745E68" w:rsidRDefault="002A4851" w:rsidP="00A659A4">
      <w:pPr>
        <w:pStyle w:val="Citation-AltC"/>
        <w:tabs>
          <w:tab w:val="left" w:pos="1440"/>
        </w:tabs>
        <w:spacing w:after="240"/>
        <w:ind w:hanging="1166"/>
        <w:contextualSpacing w:val="0"/>
        <w:rPr>
          <w:lang w:val="fr-CA"/>
        </w:rPr>
      </w:pPr>
      <w:r>
        <w:rPr>
          <w:lang w:val="fr-CA"/>
        </w:rPr>
        <w:tab/>
      </w:r>
      <w:r>
        <w:rPr>
          <w:lang w:val="fr-CA"/>
        </w:rPr>
        <w:tab/>
      </w:r>
      <w:r w:rsidR="00B029AB">
        <w:rPr>
          <w:lang w:val="fr-CA"/>
        </w:rPr>
        <w:t>. . .</w:t>
      </w:r>
      <w:r w:rsidR="00A659A4">
        <w:rPr>
          <w:lang w:val="fr-CA"/>
        </w:rPr>
        <w:t xml:space="preserve"> </w:t>
      </w:r>
      <w:r w:rsidRPr="00745E68">
        <w:rPr>
          <w:lang w:val="fr-CA"/>
        </w:rPr>
        <w:t xml:space="preserve">il </w:t>
      </w:r>
      <w:r w:rsidR="00A659A4">
        <w:rPr>
          <w:lang w:val="fr-CA"/>
        </w:rPr>
        <w:t>règne</w:t>
      </w:r>
      <w:r w:rsidRPr="00745E68">
        <w:rPr>
          <w:lang w:val="fr-CA"/>
        </w:rPr>
        <w:t xml:space="preserve"> certainement une impression d’inconséquence à l’égard de ces infractions très graves, et les peines qui sont infligées aux délinquants pris à porter une arme à feu chargée dans les rues de Toronto sont plus représentatives d’une infraction à un règlement que d’un problème important de sécurité publique. </w:t>
      </w:r>
    </w:p>
    <w:p w:rsidR="002A4851" w:rsidRPr="00745E68" w:rsidRDefault="002A4851" w:rsidP="00A659A4">
      <w:pPr>
        <w:pStyle w:val="Citation-AltC"/>
        <w:spacing w:after="240"/>
        <w:contextualSpacing w:val="0"/>
        <w:jc w:val="center"/>
        <w:rPr>
          <w:lang w:val="fr-CA"/>
        </w:rPr>
      </w:pPr>
      <w:r w:rsidRPr="00745E68">
        <w:rPr>
          <w:lang w:val="fr-CA"/>
        </w:rPr>
        <w:t>.</w:t>
      </w:r>
      <w:r w:rsidR="00B029AB">
        <w:rPr>
          <w:lang w:val="fr-CA"/>
        </w:rPr>
        <w:t xml:space="preserve"> </w:t>
      </w:r>
      <w:r w:rsidRPr="00745E68">
        <w:rPr>
          <w:lang w:val="fr-CA"/>
        </w:rPr>
        <w:t>.</w:t>
      </w:r>
      <w:r w:rsidR="00B029AB">
        <w:rPr>
          <w:lang w:val="fr-CA"/>
        </w:rPr>
        <w:t xml:space="preserve"> </w:t>
      </w:r>
      <w:r w:rsidRPr="00745E68">
        <w:rPr>
          <w:lang w:val="fr-CA"/>
        </w:rPr>
        <w:t>.</w:t>
      </w:r>
    </w:p>
    <w:p w:rsidR="002A4851" w:rsidRPr="00745E68" w:rsidRDefault="002A4851" w:rsidP="00A659A4">
      <w:pPr>
        <w:pStyle w:val="Citation-AltC"/>
        <w:tabs>
          <w:tab w:val="left" w:pos="1440"/>
        </w:tabs>
        <w:ind w:hanging="1166"/>
        <w:contextualSpacing w:val="0"/>
      </w:pPr>
      <w:r>
        <w:rPr>
          <w:lang w:val="fr-CA"/>
        </w:rPr>
        <w:tab/>
      </w:r>
      <w:r w:rsidR="00D0248E">
        <w:rPr>
          <w:lang w:val="fr-CA"/>
        </w:rPr>
        <w:tab/>
      </w:r>
      <w:r w:rsidR="00B029AB">
        <w:rPr>
          <w:lang w:val="fr-CA"/>
        </w:rPr>
        <w:t>. . .</w:t>
      </w:r>
      <w:r w:rsidR="00A659A4">
        <w:rPr>
          <w:lang w:val="fr-CA"/>
        </w:rPr>
        <w:t xml:space="preserve"> </w:t>
      </w:r>
      <w:r w:rsidRPr="00745E68">
        <w:rPr>
          <w:lang w:val="fr-CA"/>
        </w:rPr>
        <w:t>je suis d’avis qu’une personne rationnelle serait dissuadée par deux choses</w:t>
      </w:r>
      <w:r w:rsidR="00B029AB">
        <w:rPr>
          <w:lang w:val="fr-CA"/>
        </w:rPr>
        <w:t> :</w:t>
      </w:r>
      <w:r w:rsidRPr="00745E68">
        <w:rPr>
          <w:lang w:val="fr-CA"/>
        </w:rPr>
        <w:t xml:space="preserve"> la possibilité d’être appréhendée et les conséquences réelles qu’elle subirait dans ce cas. Je crois que ces deux éléments dissuaderaient une personne rationnelle. </w:t>
      </w:r>
      <w:r w:rsidRPr="00745E68">
        <w:t>[</w:t>
      </w:r>
      <w:r w:rsidRPr="00745E68">
        <w:rPr>
          <w:i/>
        </w:rPr>
        <w:t>ibid.</w:t>
      </w:r>
      <w:r w:rsidRPr="00745E68">
        <w:t xml:space="preserve">, </w:t>
      </w:r>
      <w:r>
        <w:t>p.</w:t>
      </w:r>
      <w:r w:rsidR="00B029AB">
        <w:t xml:space="preserve"> </w:t>
      </w:r>
      <w:r w:rsidRPr="00745E68">
        <w:t>3 et 8]</w:t>
      </w:r>
    </w:p>
    <w:p w:rsidR="002A4851" w:rsidRPr="00745E68" w:rsidRDefault="002A4851" w:rsidP="00A659A4">
      <w:pPr>
        <w:pStyle w:val="ParaNoNdepar-AltN"/>
        <w:rPr>
          <w:rFonts w:cs="Times New Roman"/>
          <w:lang w:val="fr-CA"/>
        </w:rPr>
      </w:pPr>
      <w:r w:rsidRPr="00745E68">
        <w:rPr>
          <w:rFonts w:cs="Times New Roman"/>
          <w:lang w:val="fr-CA"/>
        </w:rPr>
        <w:t xml:space="preserve">Au vu de ce témoignage convaincant, le législateur a résolu de sanctionner la simple possession par des peines carcérales importantes tout en </w:t>
      </w:r>
      <w:r w:rsidRPr="00745E68">
        <w:rPr>
          <w:rFonts w:cs="Times New Roman"/>
          <w:lang w:val="fr-CA"/>
        </w:rPr>
        <w:lastRenderedPageBreak/>
        <w:t>permettant au poursuivant d’opter pour la procédure sommaire dans le cas des infractions de type réglementaire, dont se préoccupent à juste titre les juges majoritaires. Je suis d’avis de respecter ce choix législatif. J’estime que renvoyer les élus à leur planche à dessin et leur demander de reformuler l’</w:t>
      </w:r>
      <w:r>
        <w:rPr>
          <w:rFonts w:cs="Times New Roman"/>
          <w:lang w:val="fr-CA"/>
        </w:rPr>
        <w:t>art.</w:t>
      </w:r>
      <w:r w:rsidR="00B029AB">
        <w:rPr>
          <w:rFonts w:cs="Times New Roman"/>
          <w:lang w:val="fr-CA"/>
        </w:rPr>
        <w:t xml:space="preserve"> </w:t>
      </w:r>
      <w:r w:rsidRPr="00745E68">
        <w:rPr>
          <w:rFonts w:cs="Times New Roman"/>
          <w:lang w:val="fr-CA"/>
        </w:rPr>
        <w:t xml:space="preserve">95 irait à l’encontre des objectifs qui consistent à décourager et à dénoncer la possession illégale d’armes mortelles et à les retirer des mains de ceux qui s’en servent pour intimider, tuer et détruire. </w:t>
      </w:r>
    </w:p>
    <w:p w:rsidR="002A4851" w:rsidRPr="00745E68" w:rsidRDefault="002A4851" w:rsidP="00A659A4">
      <w:pPr>
        <w:pStyle w:val="ParaNoNdepar-AltN"/>
        <w:rPr>
          <w:rFonts w:cs="Times New Roman"/>
          <w:lang w:val="fr-CA"/>
        </w:rPr>
      </w:pPr>
      <w:r w:rsidRPr="00745E68">
        <w:rPr>
          <w:rFonts w:cs="Times New Roman"/>
          <w:lang w:val="fr-CA"/>
        </w:rPr>
        <w:t xml:space="preserve">En outre, je crains que l’ajout de nouveaux éléments à l’infraction ne fasse indûment en sorte que les peines minimales obligatoires ne s’appliquent pas à certains actes auxquels le législateur a voulu qu’elles s’appliquent. Les juges majoritaires font état de deux éléments qui pourraient être intégrés à la disposition. Premièrement, la précision que seul est visé </w:t>
      </w:r>
      <w:r w:rsidR="00B029AB">
        <w:rPr>
          <w:rFonts w:cs="Times New Roman"/>
          <w:lang w:val="fr-CA"/>
        </w:rPr>
        <w:t>« </w:t>
      </w:r>
      <w:r w:rsidRPr="00745E68">
        <w:rPr>
          <w:rFonts w:cs="Times New Roman"/>
          <w:lang w:val="fr-CA"/>
        </w:rPr>
        <w:t>le comportement ou l’acte criminel</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117). Selon mon interprétation, le poursuivant devrait alors prouver que l’accusé avait l’arme à feu en sa possession dans un dessein criminel, ce qui est très ardu. Même dans le cas de </w:t>
      </w:r>
      <w:r>
        <w:rPr>
          <w:rFonts w:cs="Times New Roman"/>
          <w:lang w:val="fr-CA"/>
        </w:rPr>
        <w:t>M.</w:t>
      </w:r>
      <w:r w:rsidR="00B029AB">
        <w:rPr>
          <w:rFonts w:cs="Times New Roman"/>
          <w:lang w:val="fr-CA"/>
        </w:rPr>
        <w:t xml:space="preserve"> </w:t>
      </w:r>
      <w:r w:rsidRPr="00745E68">
        <w:rPr>
          <w:rFonts w:cs="Times New Roman"/>
          <w:lang w:val="fr-CA"/>
        </w:rPr>
        <w:t xml:space="preserve">Nur, il n’est pas évident que le poursuivant pourrait s’acquitter de ce fardeau de preuve hors de tout doute raisonnable (motifs de détermination de la peine dans </w:t>
      </w:r>
      <w:r w:rsidRPr="00745E68">
        <w:rPr>
          <w:rFonts w:cs="Times New Roman"/>
          <w:i/>
          <w:lang w:val="fr-CA"/>
        </w:rPr>
        <w:t>Nur</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61, 66 et 68</w:t>
      </w:r>
      <w:r w:rsidR="00B029AB">
        <w:rPr>
          <w:rFonts w:cs="Times New Roman"/>
          <w:lang w:val="fr-CA"/>
        </w:rPr>
        <w:t>-</w:t>
      </w:r>
      <w:r w:rsidRPr="00745E68">
        <w:rPr>
          <w:rFonts w:cs="Times New Roman"/>
          <w:lang w:val="fr-CA"/>
        </w:rPr>
        <w:t>69). Exiger la preuve d’un dessein criminel pourrait donc soustraire des délinquants comme M.</w:t>
      </w:r>
      <w:r w:rsidR="00B029AB">
        <w:rPr>
          <w:rFonts w:cs="Times New Roman"/>
          <w:lang w:val="fr-CA"/>
        </w:rPr>
        <w:t xml:space="preserve"> </w:t>
      </w:r>
      <w:r w:rsidRPr="00745E68">
        <w:rPr>
          <w:rFonts w:cs="Times New Roman"/>
          <w:lang w:val="fr-CA"/>
        </w:rPr>
        <w:t>Nur à l’application de la disposition même lorsque l’imposition d’une peine minimale obligatoire n’est pas contestée.</w:t>
      </w:r>
    </w:p>
    <w:p w:rsidR="002A4851" w:rsidRPr="00745E68" w:rsidRDefault="002A4851" w:rsidP="00A659A4">
      <w:pPr>
        <w:pStyle w:val="ParaNoNdepar-AltN"/>
        <w:rPr>
          <w:rFonts w:cs="Times New Roman"/>
          <w:lang w:val="fr-CA"/>
        </w:rPr>
      </w:pPr>
      <w:r w:rsidRPr="00745E68">
        <w:rPr>
          <w:rFonts w:cs="Times New Roman"/>
          <w:lang w:val="fr-CA"/>
        </w:rPr>
        <w:lastRenderedPageBreak/>
        <w:t xml:space="preserve">Deuxièmement, ne serait visé que le comportement ou l’acte criminel </w:t>
      </w:r>
      <w:r w:rsidR="00B029AB">
        <w:rPr>
          <w:rFonts w:cs="Times New Roman"/>
          <w:lang w:val="fr-CA"/>
        </w:rPr>
        <w:t>« </w:t>
      </w:r>
      <w:r w:rsidRPr="00745E68">
        <w:rPr>
          <w:rFonts w:cs="Times New Roman"/>
          <w:lang w:val="fr-CA"/>
        </w:rPr>
        <w:t>qui présente un danger pour autrui</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117). Je vois dans cet élément quelque chose de plus que le danger inhérent à tous les cas de possession contraire à l’</w:t>
      </w:r>
      <w:r>
        <w:rPr>
          <w:rFonts w:cs="Times New Roman"/>
          <w:lang w:val="fr-CA"/>
        </w:rPr>
        <w:t>art.</w:t>
      </w:r>
      <w:r w:rsidR="00B029AB">
        <w:rPr>
          <w:rFonts w:cs="Times New Roman"/>
          <w:lang w:val="fr-CA"/>
        </w:rPr>
        <w:t xml:space="preserve"> </w:t>
      </w:r>
      <w:r w:rsidRPr="00745E68">
        <w:rPr>
          <w:rFonts w:cs="Times New Roman"/>
          <w:lang w:val="fr-CA"/>
        </w:rPr>
        <w:t xml:space="preserve">95. Dès lors, le poursuivant devrait prouver l’existence d’un risque de préjudice </w:t>
      </w:r>
      <w:r w:rsidRPr="00745E68">
        <w:rPr>
          <w:rFonts w:cs="Times New Roman"/>
          <w:i/>
          <w:lang w:val="fr-CA"/>
        </w:rPr>
        <w:t>précis</w:t>
      </w:r>
      <w:r w:rsidRPr="00745E68">
        <w:rPr>
          <w:rFonts w:cs="Times New Roman"/>
          <w:lang w:val="fr-CA"/>
        </w:rPr>
        <w:t xml:space="preserve">. J’estime que, là encore, cette exigence supplémentaire réduirait indûment la portée de la disposition. </w:t>
      </w:r>
    </w:p>
    <w:p w:rsidR="002A4851" w:rsidRPr="00745E68" w:rsidRDefault="002A4851" w:rsidP="00A659A4">
      <w:pPr>
        <w:pStyle w:val="ParaNoNdepar-AltN"/>
        <w:rPr>
          <w:rFonts w:cs="Times New Roman"/>
          <w:lang w:val="fr-CA"/>
        </w:rPr>
      </w:pPr>
      <w:r w:rsidRPr="00745E68">
        <w:rPr>
          <w:rFonts w:cs="Times New Roman"/>
          <w:lang w:val="fr-CA"/>
        </w:rPr>
        <w:t>Considérons un simple exemple. Dans un endroit reculé et peu habité, après avoir enjoint à une personne d’immobiliser son véhicule, un policier aperçoit une arme de poing bien en vue sur le siège arrière. Le conducteur se montre coopératif, mais il n’est pas titulaire d’un permis pour l’arme. Le policier le soupçonne d’appartenir à un gang. Dans de telles circonstances, on ne saurait dire si le poursuivant serait en mesure de prouver hors de tout doute raisonnable que la possession de l’arme à feu par le conducteur créait un risque de préjudice précis. Pourtant, c’est là précisément le genre de situation à laquelle sont censées s’appliquer les peines minimales obligatoires que prévoit l’</w:t>
      </w:r>
      <w:r>
        <w:rPr>
          <w:rFonts w:cs="Times New Roman"/>
          <w:lang w:val="fr-CA"/>
        </w:rPr>
        <w:t>art.</w:t>
      </w:r>
      <w:r w:rsidR="00B029AB">
        <w:rPr>
          <w:rFonts w:cs="Times New Roman"/>
          <w:lang w:val="fr-CA"/>
        </w:rPr>
        <w:t xml:space="preserve"> </w:t>
      </w:r>
      <w:r w:rsidRPr="00745E68">
        <w:rPr>
          <w:rFonts w:cs="Times New Roman"/>
          <w:lang w:val="fr-CA"/>
        </w:rPr>
        <w:t>95. Le ministre a d</w:t>
      </w:r>
      <w:r w:rsidR="00A659A4">
        <w:rPr>
          <w:rFonts w:cs="Times New Roman"/>
          <w:lang w:val="fr-CA"/>
        </w:rPr>
        <w:t>’ailleurs dit expressément qu’</w:t>
      </w:r>
      <w:r w:rsidR="00B029AB">
        <w:rPr>
          <w:rFonts w:cs="Times New Roman"/>
          <w:lang w:val="fr-CA"/>
        </w:rPr>
        <w:t>« </w:t>
      </w:r>
      <w:r w:rsidR="00A659A4">
        <w:rPr>
          <w:rFonts w:cs="Times New Roman"/>
          <w:lang w:val="fr-CA"/>
        </w:rPr>
        <w:t xml:space="preserve">un nombre croissant d’armes de poing [sont] trouvées dans les voitures </w:t>
      </w:r>
      <w:r w:rsidR="00B029AB">
        <w:rPr>
          <w:rFonts w:cs="Times New Roman"/>
          <w:lang w:val="fr-CA"/>
        </w:rPr>
        <w:t>»</w:t>
      </w:r>
      <w:r w:rsidRPr="00745E68">
        <w:rPr>
          <w:rFonts w:cs="Times New Roman"/>
          <w:lang w:val="fr-CA"/>
        </w:rPr>
        <w:t xml:space="preserve"> et qu’</w:t>
      </w:r>
      <w:r w:rsidR="00B029AB">
        <w:rPr>
          <w:rFonts w:cs="Times New Roman"/>
          <w:lang w:val="fr-CA"/>
        </w:rPr>
        <w:t>« </w:t>
      </w:r>
      <w:r w:rsidRPr="00745E68">
        <w:rPr>
          <w:rFonts w:cs="Times New Roman"/>
          <w:lang w:val="fr-CA"/>
        </w:rPr>
        <w:t>[i]l est très important que l’on puisse imposer des peines minimales plus sévères</w:t>
      </w:r>
      <w:r w:rsidR="00B029AB">
        <w:rPr>
          <w:rFonts w:cs="Times New Roman"/>
          <w:lang w:val="fr-CA"/>
        </w:rPr>
        <w:t> »</w:t>
      </w:r>
      <w:r w:rsidRPr="00745E68">
        <w:rPr>
          <w:rFonts w:cs="Times New Roman"/>
          <w:lang w:val="fr-CA"/>
        </w:rPr>
        <w:t xml:space="preserve"> pour remédier à ce problème (</w:t>
      </w:r>
      <w:r w:rsidRPr="00DD6118">
        <w:rPr>
          <w:rFonts w:cs="Times New Roman"/>
          <w:i/>
          <w:lang w:val="fr-CA"/>
        </w:rPr>
        <w:t>Débats de</w:t>
      </w:r>
      <w:r w:rsidR="00DD6118" w:rsidRPr="00DD6118">
        <w:rPr>
          <w:rFonts w:cs="Times New Roman"/>
          <w:i/>
          <w:lang w:val="fr-CA"/>
        </w:rPr>
        <w:t xml:space="preserve"> la Chambre de</w:t>
      </w:r>
      <w:r w:rsidRPr="00DD6118">
        <w:rPr>
          <w:rFonts w:cs="Times New Roman"/>
          <w:i/>
          <w:lang w:val="fr-CA"/>
        </w:rPr>
        <w:t xml:space="preserve">s </w:t>
      </w:r>
      <w:r w:rsidR="00DD6118" w:rsidRPr="00DD6118">
        <w:rPr>
          <w:rFonts w:cs="Times New Roman"/>
          <w:i/>
          <w:lang w:val="fr-CA"/>
        </w:rPr>
        <w:t>c</w:t>
      </w:r>
      <w:r w:rsidRPr="00DD6118">
        <w:rPr>
          <w:rFonts w:cs="Times New Roman"/>
          <w:i/>
          <w:lang w:val="fr-CA"/>
        </w:rPr>
        <w:t>ommunes</w:t>
      </w:r>
      <w:r w:rsidRPr="00745E68">
        <w:rPr>
          <w:rFonts w:cs="Times New Roman"/>
          <w:lang w:val="fr-CA"/>
        </w:rPr>
        <w:t xml:space="preserve">, </w:t>
      </w:r>
      <w:r>
        <w:rPr>
          <w:rFonts w:cs="Times New Roman"/>
          <w:lang w:val="fr-CA"/>
        </w:rPr>
        <w:t>vol.</w:t>
      </w:r>
      <w:r w:rsidR="00B029AB">
        <w:rPr>
          <w:rFonts w:cs="Times New Roman"/>
          <w:lang w:val="fr-CA"/>
        </w:rPr>
        <w:t xml:space="preserve"> </w:t>
      </w:r>
      <w:r w:rsidRPr="00745E68">
        <w:rPr>
          <w:rFonts w:cs="Times New Roman"/>
          <w:lang w:val="fr-CA"/>
        </w:rPr>
        <w:t xml:space="preserve">141, </w:t>
      </w:r>
      <w:r>
        <w:rPr>
          <w:rFonts w:cs="Times New Roman"/>
          <w:lang w:val="fr-CA"/>
        </w:rPr>
        <w:t>p.</w:t>
      </w:r>
      <w:r w:rsidR="00B029AB">
        <w:rPr>
          <w:rFonts w:cs="Times New Roman"/>
          <w:lang w:val="fr-CA"/>
        </w:rPr>
        <w:t xml:space="preserve"> </w:t>
      </w:r>
      <w:r w:rsidRPr="00745E68">
        <w:rPr>
          <w:rFonts w:cs="Times New Roman"/>
          <w:lang w:val="fr-CA"/>
        </w:rPr>
        <w:t>1943 et 1941).</w:t>
      </w:r>
    </w:p>
    <w:p w:rsidR="002A4851" w:rsidRPr="00745E68" w:rsidRDefault="002A4851" w:rsidP="00A659A4">
      <w:pPr>
        <w:pStyle w:val="ParaNoNdepar-AltN"/>
        <w:rPr>
          <w:rFonts w:cs="Times New Roman"/>
          <w:lang w:val="fr-CA"/>
        </w:rPr>
      </w:pPr>
      <w:r w:rsidRPr="00745E68">
        <w:rPr>
          <w:rFonts w:cs="Times New Roman"/>
          <w:lang w:val="fr-CA"/>
        </w:rPr>
        <w:t xml:space="preserve">Il appert clairement du dossier qu’après de longs débats et une étude approfondie, le législateur a décidé de s’attaquer au problème urgent des crimes liés </w:t>
      </w:r>
      <w:r w:rsidRPr="00745E68">
        <w:rPr>
          <w:rFonts w:cs="Times New Roman"/>
          <w:lang w:val="fr-CA"/>
        </w:rPr>
        <w:lastRenderedPageBreak/>
        <w:t xml:space="preserve">aux armes à feu par le relèvement des peines minimales obligatoires prévues au </w:t>
      </w:r>
      <w:r>
        <w:rPr>
          <w:rFonts w:cs="Times New Roman"/>
          <w:lang w:val="fr-CA"/>
        </w:rPr>
        <w:t>par.</w:t>
      </w:r>
      <w:r w:rsidR="00B029AB">
        <w:rPr>
          <w:rFonts w:cs="Times New Roman"/>
          <w:lang w:val="fr-CA"/>
        </w:rPr>
        <w:t xml:space="preserve"> </w:t>
      </w:r>
      <w:r w:rsidRPr="00745E68">
        <w:rPr>
          <w:rFonts w:cs="Times New Roman"/>
          <w:lang w:val="fr-CA"/>
        </w:rPr>
        <w:t xml:space="preserve">95(2). À mon avis, cette décision de politique générale justifie une grande déférence. En matière de sécurité publique, il faut se garder de remettre en question les choix des élus, sauf justification valable. </w:t>
      </w:r>
    </w:p>
    <w:p w:rsidR="002A4851" w:rsidRPr="00745E68" w:rsidRDefault="002A4851" w:rsidP="00A659A4">
      <w:pPr>
        <w:pStyle w:val="ParaNoNdepar-AltN"/>
        <w:rPr>
          <w:rFonts w:cs="Times New Roman"/>
          <w:lang w:val="fr-CA"/>
        </w:rPr>
      </w:pPr>
      <w:r w:rsidRPr="00745E68">
        <w:rPr>
          <w:rFonts w:cs="Times New Roman"/>
          <w:lang w:val="fr-CA"/>
        </w:rPr>
        <w:t xml:space="preserve">Pour ces motifs, je ne vois aucune raison d’invalider le </w:t>
      </w:r>
      <w:r>
        <w:rPr>
          <w:rFonts w:cs="Times New Roman"/>
          <w:lang w:val="fr-CA"/>
        </w:rPr>
        <w:t>par.</w:t>
      </w:r>
      <w:r w:rsidR="00B029AB">
        <w:rPr>
          <w:rFonts w:cs="Times New Roman"/>
          <w:lang w:val="fr-CA"/>
        </w:rPr>
        <w:t xml:space="preserve"> </w:t>
      </w:r>
      <w:r w:rsidRPr="00745E68">
        <w:rPr>
          <w:rFonts w:cs="Times New Roman"/>
          <w:lang w:val="fr-CA"/>
        </w:rPr>
        <w:t>95(2) par application de la démarche axée sur les situations hypothétiques raisonnables.</w:t>
      </w:r>
    </w:p>
    <w:p w:rsidR="002A4851" w:rsidRPr="00745E68" w:rsidRDefault="002A4851" w:rsidP="00A659A4">
      <w:pPr>
        <w:pStyle w:val="Title1LevelTitre1Niveau-AltL"/>
        <w:jc w:val="both"/>
        <w:rPr>
          <w:rFonts w:cs="Times New Roman"/>
          <w:lang w:val="fr-CA"/>
        </w:rPr>
      </w:pPr>
      <w:r w:rsidRPr="00745E68">
        <w:rPr>
          <w:rFonts w:cs="Times New Roman"/>
          <w:lang w:val="fr-CA"/>
        </w:rPr>
        <w:t>Partie</w:t>
      </w:r>
      <w:r w:rsidR="00B029AB">
        <w:rPr>
          <w:rFonts w:cs="Times New Roman"/>
          <w:lang w:val="fr-CA"/>
        </w:rPr>
        <w:t xml:space="preserve"> </w:t>
      </w:r>
      <w:r w:rsidRPr="00745E68">
        <w:rPr>
          <w:rFonts w:cs="Times New Roman"/>
          <w:lang w:val="fr-CA"/>
        </w:rPr>
        <w:t>2</w:t>
      </w:r>
      <w:r w:rsidR="00B029AB">
        <w:rPr>
          <w:rFonts w:cs="Times New Roman"/>
          <w:lang w:val="fr-CA"/>
        </w:rPr>
        <w:t> :</w:t>
      </w:r>
      <w:r w:rsidRPr="00745E68">
        <w:rPr>
          <w:rFonts w:cs="Times New Roman"/>
          <w:lang w:val="fr-CA"/>
        </w:rPr>
        <w:t xml:space="preserve"> L’analyse au regard de l’art</w:t>
      </w:r>
      <w:r w:rsidR="00DD6118">
        <w:rPr>
          <w:rFonts w:cs="Times New Roman"/>
          <w:lang w:val="fr-CA"/>
        </w:rPr>
        <w:t>.</w:t>
      </w:r>
      <w:r w:rsidR="00B029AB">
        <w:rPr>
          <w:rFonts w:cs="Times New Roman"/>
          <w:lang w:val="fr-CA"/>
        </w:rPr>
        <w:t xml:space="preserve"> </w:t>
      </w:r>
      <w:r w:rsidRPr="00745E68">
        <w:rPr>
          <w:rFonts w:cs="Times New Roman"/>
          <w:lang w:val="fr-CA"/>
        </w:rPr>
        <w:t>12 suivant une démarche différente</w:t>
      </w:r>
    </w:p>
    <w:p w:rsidR="002A4851" w:rsidRPr="00745E68" w:rsidRDefault="002A4851" w:rsidP="00A659A4">
      <w:pPr>
        <w:pStyle w:val="Title2LevelTitre2Niveau"/>
        <w:rPr>
          <w:rFonts w:cs="Times New Roman"/>
          <w:lang w:val="fr-CA"/>
        </w:rPr>
      </w:pPr>
      <w:r w:rsidRPr="00745E68">
        <w:rPr>
          <w:rFonts w:cs="Times New Roman"/>
          <w:lang w:val="fr-CA"/>
        </w:rPr>
        <w:t xml:space="preserve">Le contrôle des infractions mixtes au regard </w:t>
      </w:r>
      <w:r>
        <w:rPr>
          <w:rFonts w:cs="Times New Roman"/>
          <w:lang w:val="fr-CA"/>
        </w:rPr>
        <w:t>de l’art</w:t>
      </w:r>
      <w:r w:rsidR="00DD6118">
        <w:rPr>
          <w:rFonts w:cs="Times New Roman"/>
          <w:lang w:val="fr-CA"/>
        </w:rPr>
        <w:t>.</w:t>
      </w:r>
      <w:r w:rsidR="00B029AB">
        <w:rPr>
          <w:rFonts w:cs="Times New Roman"/>
          <w:lang w:val="fr-CA"/>
        </w:rPr>
        <w:t xml:space="preserve"> </w:t>
      </w:r>
      <w:r w:rsidRPr="00745E68">
        <w:rPr>
          <w:rFonts w:cs="Times New Roman"/>
          <w:lang w:val="fr-CA"/>
        </w:rPr>
        <w:t xml:space="preserve">12 de la Charte exige un cadre d’analyse différent </w:t>
      </w:r>
    </w:p>
    <w:p w:rsidR="002A4851" w:rsidRPr="00745E68" w:rsidRDefault="002A4851" w:rsidP="00A659A4">
      <w:pPr>
        <w:pStyle w:val="ParaNoNdepar-AltN"/>
        <w:rPr>
          <w:rFonts w:cs="Times New Roman"/>
          <w:lang w:val="fr-CA"/>
        </w:rPr>
      </w:pPr>
      <w:r w:rsidRPr="00745E68">
        <w:rPr>
          <w:rFonts w:cs="Times New Roman"/>
          <w:lang w:val="fr-CA"/>
        </w:rPr>
        <w:t xml:space="preserve">Comme je l’ai expliqué, la démarche axée sur les situations hypothétiques raisonnables ne justifie pas l’invalidation des peines minimales obligatoires contestées. Soit dit en tout respect, les scénarios envisagés par les juges majoritaires — la condamnation d’une personne à trois ans d’emprisonnement pour un acte qui équivaut à une infraction de type réglementaire — relèvent de la conjecture et sont peu crédibles. Ils ne s’appuient ni sur l’expérience ni sur le bon sens. </w:t>
      </w:r>
    </w:p>
    <w:p w:rsidR="002A4851" w:rsidRPr="00745E68" w:rsidRDefault="002A4851" w:rsidP="00A659A4">
      <w:pPr>
        <w:pStyle w:val="ParaNoNdepar-AltN"/>
        <w:rPr>
          <w:rFonts w:cs="Times New Roman"/>
          <w:lang w:val="fr-CA"/>
        </w:rPr>
      </w:pPr>
      <w:r w:rsidRPr="00745E68">
        <w:rPr>
          <w:rFonts w:cs="Times New Roman"/>
          <w:lang w:val="fr-CA"/>
        </w:rPr>
        <w:t>Quoi qu’il en soit, je crois qu’un cadre d’analyse différent s’impose en l’espèce. La raison en est que, à ce jour, dans ses décisions relatives à l’</w:t>
      </w:r>
      <w:r>
        <w:rPr>
          <w:rFonts w:cs="Times New Roman"/>
          <w:lang w:val="fr-CA"/>
        </w:rPr>
        <w:t>art.</w:t>
      </w:r>
      <w:r w:rsidR="00B029AB">
        <w:rPr>
          <w:rFonts w:cs="Times New Roman"/>
          <w:lang w:val="fr-CA"/>
        </w:rPr>
        <w:t xml:space="preserve"> </w:t>
      </w:r>
      <w:r w:rsidRPr="00745E68">
        <w:rPr>
          <w:rFonts w:cs="Times New Roman"/>
          <w:lang w:val="fr-CA"/>
        </w:rPr>
        <w:t xml:space="preserve">12 — de l’arrêt </w:t>
      </w:r>
      <w:r w:rsidRPr="00745E68">
        <w:rPr>
          <w:rFonts w:cs="Times New Roman"/>
          <w:i/>
          <w:lang w:val="fr-CA"/>
        </w:rPr>
        <w:t>Smith</w:t>
      </w:r>
      <w:r w:rsidRPr="00745E68">
        <w:rPr>
          <w:rFonts w:cs="Times New Roman"/>
          <w:lang w:val="fr-CA"/>
        </w:rPr>
        <w:t xml:space="preserve"> à l’arrêt </w:t>
      </w:r>
      <w:r w:rsidRPr="00745E68">
        <w:rPr>
          <w:rFonts w:cs="Times New Roman"/>
          <w:i/>
          <w:lang w:val="fr-CA"/>
        </w:rPr>
        <w:t>Morrisey</w:t>
      </w:r>
      <w:r w:rsidRPr="00745E68">
        <w:rPr>
          <w:rFonts w:cs="Times New Roman"/>
          <w:lang w:val="fr-CA"/>
        </w:rPr>
        <w:t xml:space="preserve"> —, la Cour s’est penchée uniquement sur la constitutionnalité des peines minimales obligatoires dans le contexte d’infractions qui </w:t>
      </w:r>
      <w:r w:rsidRPr="00745E68">
        <w:rPr>
          <w:rFonts w:cs="Times New Roman"/>
          <w:lang w:val="fr-CA"/>
        </w:rPr>
        <w:lastRenderedPageBreak/>
        <w:t>ne se prêtaient qu’à la poursuite sur mise en accusation. C’est la première fois qu’elle est appelée à examiner la constitutionnalité de telles peines dans le cadre d’un régime mixte. Comme je l’explique ci</w:t>
      </w:r>
      <w:r w:rsidR="00B029AB">
        <w:rPr>
          <w:rFonts w:cs="Times New Roman"/>
          <w:lang w:val="fr-CA"/>
        </w:rPr>
        <w:t>-</w:t>
      </w:r>
      <w:r w:rsidRPr="00745E68">
        <w:rPr>
          <w:rFonts w:cs="Times New Roman"/>
          <w:lang w:val="fr-CA"/>
        </w:rPr>
        <w:t>après, cela change complètement la donne et commande un cadre d’analyse différent pour l’application de l’</w:t>
      </w:r>
      <w:r>
        <w:rPr>
          <w:rFonts w:cs="Times New Roman"/>
          <w:lang w:val="fr-CA"/>
        </w:rPr>
        <w:t>art.</w:t>
      </w:r>
      <w:r w:rsidR="00B029AB">
        <w:rPr>
          <w:rFonts w:cs="Times New Roman"/>
          <w:lang w:val="fr-CA"/>
        </w:rPr>
        <w:t xml:space="preserve"> </w:t>
      </w:r>
      <w:r w:rsidRPr="00745E68">
        <w:rPr>
          <w:rFonts w:cs="Times New Roman"/>
          <w:lang w:val="fr-CA"/>
        </w:rPr>
        <w:t>12.</w:t>
      </w:r>
    </w:p>
    <w:p w:rsidR="002A4851" w:rsidRPr="00745E68" w:rsidRDefault="002A4851" w:rsidP="00A659A4">
      <w:pPr>
        <w:pStyle w:val="ParaNoNdepar-AltN"/>
        <w:rPr>
          <w:rFonts w:cs="Times New Roman"/>
          <w:lang w:val="fr-CA"/>
        </w:rPr>
      </w:pPr>
      <w:r w:rsidRPr="00745E68">
        <w:rPr>
          <w:rFonts w:cs="Times New Roman"/>
          <w:lang w:val="fr-CA"/>
        </w:rPr>
        <w:t>L’article 95 crée une infraction mixte qui n’expose le délinquant à aucune peine minimale lorsque le ministère public opte pour la procédure sommaire. Lorsqu’il y a mise en accusation, la peine minimale obligatoire est de trois ans pour une première infraction et de cinq ans en cas de récidive. L’intention du législateur qui sous</w:t>
      </w:r>
      <w:r w:rsidR="00B029AB">
        <w:rPr>
          <w:rFonts w:cs="Times New Roman"/>
          <w:lang w:val="fr-CA"/>
        </w:rPr>
        <w:t>-</w:t>
      </w:r>
      <w:r w:rsidRPr="00745E68">
        <w:rPr>
          <w:rFonts w:cs="Times New Roman"/>
          <w:lang w:val="fr-CA"/>
        </w:rPr>
        <w:t>tend ce régime mixte est évidente. L’article</w:t>
      </w:r>
      <w:r w:rsidR="00B029AB">
        <w:rPr>
          <w:rFonts w:cs="Times New Roman"/>
          <w:lang w:val="fr-CA"/>
        </w:rPr>
        <w:t xml:space="preserve"> </w:t>
      </w:r>
      <w:r w:rsidRPr="00745E68">
        <w:rPr>
          <w:rFonts w:cs="Times New Roman"/>
          <w:lang w:val="fr-CA"/>
        </w:rPr>
        <w:t xml:space="preserve">95 vise une vaste gamme de comportements auxquels sont associés divers degrés de culpabilité morale. Les comportements les moins répréhensibles — les infractions de type réglementaire — sont censés faire l’objet d’une procédure sommaire et échapper ainsi à l’application de la peine minimale obligatoire. </w:t>
      </w:r>
    </w:p>
    <w:p w:rsidR="002A4851" w:rsidRPr="00745E68" w:rsidRDefault="002A4851" w:rsidP="00A659A4">
      <w:pPr>
        <w:pStyle w:val="ParaNoNdepar-AltN"/>
        <w:rPr>
          <w:rFonts w:cs="Times New Roman"/>
          <w:lang w:val="fr-CA"/>
        </w:rPr>
      </w:pPr>
      <w:r w:rsidRPr="00745E68">
        <w:rPr>
          <w:rFonts w:cs="Times New Roman"/>
          <w:lang w:val="fr-CA"/>
        </w:rPr>
        <w:t xml:space="preserve">L’intention du législateur de faire en sorte que les infractions les moins graves fassent l’objet d’une procédure sommaire est cruciale lorsqu’il s’agit de se prononcer sur la constitutionnalité du </w:t>
      </w:r>
      <w:r>
        <w:rPr>
          <w:rFonts w:cs="Times New Roman"/>
          <w:lang w:val="fr-CA"/>
        </w:rPr>
        <w:t>par.</w:t>
      </w:r>
      <w:r w:rsidR="00B029AB">
        <w:rPr>
          <w:rFonts w:cs="Times New Roman"/>
          <w:lang w:val="fr-CA"/>
        </w:rPr>
        <w:t xml:space="preserve"> </w:t>
      </w:r>
      <w:r w:rsidRPr="00745E68">
        <w:rPr>
          <w:rFonts w:cs="Times New Roman"/>
          <w:lang w:val="fr-CA"/>
        </w:rPr>
        <w:t xml:space="preserve">95(2). En créant une </w:t>
      </w:r>
      <w:r w:rsidR="00B029AB">
        <w:rPr>
          <w:rFonts w:cs="Times New Roman"/>
          <w:lang w:val="fr-CA"/>
        </w:rPr>
        <w:t>« </w:t>
      </w:r>
      <w:r w:rsidRPr="00745E68">
        <w:rPr>
          <w:rFonts w:cs="Times New Roman"/>
          <w:lang w:val="fr-CA"/>
        </w:rPr>
        <w:t>soupape</w:t>
      </w:r>
      <w:r w:rsidR="00B029AB">
        <w:rPr>
          <w:rFonts w:cs="Times New Roman"/>
          <w:lang w:val="fr-CA"/>
        </w:rPr>
        <w:t> »</w:t>
      </w:r>
      <w:r w:rsidRPr="00745E68">
        <w:rPr>
          <w:rFonts w:cs="Times New Roman"/>
          <w:lang w:val="fr-CA"/>
        </w:rPr>
        <w:t xml:space="preserve"> pour empêcher l’application des peines minimales obligatoires aux infractions de type réglementaire, le législateur a effectivement </w:t>
      </w:r>
      <w:r w:rsidRPr="00745E68">
        <w:rPr>
          <w:rFonts w:cs="Times New Roman"/>
          <w:i/>
          <w:iCs/>
          <w:lang w:val="fr-CA"/>
        </w:rPr>
        <w:t xml:space="preserve">reconnu </w:t>
      </w:r>
      <w:r w:rsidRPr="00745E68">
        <w:rPr>
          <w:rFonts w:cs="Times New Roman"/>
          <w:lang w:val="fr-CA"/>
        </w:rPr>
        <w:t xml:space="preserve">l’existence de situations raisonnablement prévisibles dans lesquelles la peine minimale obligatoire serait totalement disproportionnée. Étant donné cette reconnaissance, la démarche axée sur les situations hypothétiques raisonnables est redondante. </w:t>
      </w:r>
    </w:p>
    <w:p w:rsidR="002A4851" w:rsidRPr="00745E68" w:rsidRDefault="002A4851" w:rsidP="00A659A4">
      <w:pPr>
        <w:pStyle w:val="ParaNoNdepar-AltN"/>
        <w:rPr>
          <w:rFonts w:cs="Times New Roman"/>
          <w:lang w:val="fr-CA"/>
        </w:rPr>
      </w:pPr>
      <w:r w:rsidRPr="00745E68">
        <w:rPr>
          <w:rFonts w:cs="Times New Roman"/>
          <w:lang w:val="fr-CA"/>
        </w:rPr>
        <w:lastRenderedPageBreak/>
        <w:t>L’analyse qui convient devrait plutôt être axée sur cette soupape, soit le pouvoir discrétionnaire qui permet au ministère public d’opter pour la procédure sommaire dans les cas les moins graves. J’en ferai état plus en détail ci</w:t>
      </w:r>
      <w:r w:rsidR="00B029AB">
        <w:rPr>
          <w:rFonts w:cs="Times New Roman"/>
          <w:lang w:val="fr-CA"/>
        </w:rPr>
        <w:t>-</w:t>
      </w:r>
      <w:r w:rsidRPr="00745E68">
        <w:rPr>
          <w:rFonts w:cs="Times New Roman"/>
          <w:lang w:val="fr-CA"/>
        </w:rPr>
        <w:t xml:space="preserve">après. En résumé, elle comporte deux étapes. Premièrement, le tribunal doit se demander si le régime mixte en question assure </w:t>
      </w:r>
      <w:r w:rsidRPr="00745E68">
        <w:rPr>
          <w:rFonts w:cs="Times New Roman"/>
          <w:i/>
          <w:lang w:val="fr-CA"/>
        </w:rPr>
        <w:t>de façon générale</w:t>
      </w:r>
      <w:r w:rsidRPr="00745E68">
        <w:rPr>
          <w:rFonts w:cs="Times New Roman"/>
          <w:lang w:val="fr-CA"/>
        </w:rPr>
        <w:t xml:space="preserve"> une protection adéquate contre l’imposition de peines totalement disproportionnées. Deuxièmement, il doit se demander si le ministère public a exercé son pouvoir discrétionnaire de manière qu’une peine totalement disproportionnée soit infligée</w:t>
      </w:r>
      <w:r w:rsidRPr="00745E68">
        <w:rPr>
          <w:rFonts w:cs="Times New Roman"/>
          <w:i/>
          <w:lang w:val="fr-CA"/>
        </w:rPr>
        <w:t xml:space="preserve"> à un délinquant en particulier</w:t>
      </w:r>
      <w:r w:rsidRPr="00745E68">
        <w:rPr>
          <w:rFonts w:cs="Times New Roman"/>
          <w:lang w:val="fr-CA"/>
        </w:rPr>
        <w:t xml:space="preserve">. </w:t>
      </w:r>
    </w:p>
    <w:p w:rsidR="002A4851" w:rsidRPr="00745E68" w:rsidRDefault="002A4851" w:rsidP="00A659A4">
      <w:pPr>
        <w:pStyle w:val="ParaNoNdepar-AltN"/>
        <w:rPr>
          <w:rFonts w:cs="Times New Roman"/>
          <w:lang w:val="fr-CA"/>
        </w:rPr>
      </w:pPr>
      <w:r w:rsidRPr="00745E68">
        <w:rPr>
          <w:rFonts w:cs="Times New Roman"/>
          <w:lang w:val="fr-CA"/>
        </w:rPr>
        <w:t xml:space="preserve">Dans l’arrêt </w:t>
      </w:r>
      <w:r w:rsidRPr="00745E68">
        <w:rPr>
          <w:rFonts w:cs="Times New Roman"/>
          <w:i/>
          <w:lang w:val="fr-CA"/>
        </w:rPr>
        <w:t>Canada (Procureur général) c. PHS Community Services Society</w:t>
      </w:r>
      <w:r w:rsidRPr="00745E68">
        <w:rPr>
          <w:rFonts w:cs="Times New Roman"/>
          <w:lang w:val="fr-CA"/>
        </w:rPr>
        <w:t>,</w:t>
      </w:r>
      <w:r w:rsidRPr="00745E68">
        <w:rPr>
          <w:rFonts w:cs="Times New Roman"/>
          <w:i/>
          <w:lang w:val="fr-CA"/>
        </w:rPr>
        <w:t xml:space="preserve"> </w:t>
      </w:r>
      <w:r w:rsidRPr="00745E68">
        <w:rPr>
          <w:rFonts w:cs="Times New Roman"/>
          <w:lang w:val="fr-CA"/>
        </w:rPr>
        <w:t xml:space="preserve">2011 CSC 44, [2011] 3 R.C.S. 134, où l’analyse repose sur l’existence d’une soupape dans la </w:t>
      </w:r>
      <w:r w:rsidRPr="00745E68">
        <w:rPr>
          <w:rFonts w:cs="Times New Roman"/>
          <w:i/>
          <w:lang w:val="fr-CA"/>
        </w:rPr>
        <w:t>Loi réglementant certaines drogues et autres substances</w:t>
      </w:r>
      <w:r w:rsidRPr="00745E68">
        <w:rPr>
          <w:rFonts w:cs="Times New Roman"/>
          <w:lang w:val="fr-CA"/>
        </w:rPr>
        <w:t>, L.C.</w:t>
      </w:r>
      <w:r w:rsidR="00B029AB">
        <w:rPr>
          <w:rFonts w:cs="Times New Roman"/>
          <w:lang w:val="fr-CA"/>
        </w:rPr>
        <w:t xml:space="preserve"> </w:t>
      </w:r>
      <w:r w:rsidRPr="00745E68">
        <w:rPr>
          <w:rFonts w:cs="Times New Roman"/>
          <w:lang w:val="fr-CA"/>
        </w:rPr>
        <w:t xml:space="preserve">1996, c. 19 (la </w:t>
      </w:r>
      <w:r w:rsidR="00B029AB">
        <w:rPr>
          <w:rFonts w:cs="Times New Roman"/>
          <w:lang w:val="fr-CA"/>
        </w:rPr>
        <w:t>« </w:t>
      </w:r>
      <w:r w:rsidRPr="00745E68">
        <w:rPr>
          <w:rFonts w:cs="Times New Roman"/>
          <w:i/>
          <w:lang w:val="fr-CA"/>
        </w:rPr>
        <w:t>Loi</w:t>
      </w:r>
      <w:r w:rsidR="00B029AB">
        <w:rPr>
          <w:rFonts w:cs="Times New Roman"/>
          <w:i/>
          <w:lang w:val="fr-CA"/>
        </w:rPr>
        <w:t> </w:t>
      </w:r>
      <w:r w:rsidR="00B029AB" w:rsidRPr="00DD6118">
        <w:rPr>
          <w:rFonts w:cs="Times New Roman"/>
          <w:lang w:val="fr-CA"/>
        </w:rPr>
        <w:t>»</w:t>
      </w:r>
      <w:r w:rsidRPr="00745E68">
        <w:rPr>
          <w:rFonts w:cs="Times New Roman"/>
          <w:lang w:val="fr-CA"/>
        </w:rPr>
        <w:t xml:space="preserve">), la Cour adopte un cadre d’analyse semblable. Le paragraphe 4(1) de cette loi interdit la possession de certaines substances désignées, mais son </w:t>
      </w:r>
      <w:r>
        <w:rPr>
          <w:rFonts w:cs="Times New Roman"/>
          <w:lang w:val="fr-CA"/>
        </w:rPr>
        <w:t>art.</w:t>
      </w:r>
      <w:r w:rsidR="00B029AB">
        <w:rPr>
          <w:rFonts w:cs="Times New Roman"/>
          <w:lang w:val="fr-CA"/>
        </w:rPr>
        <w:t xml:space="preserve"> </w:t>
      </w:r>
      <w:r w:rsidRPr="00745E68">
        <w:rPr>
          <w:rFonts w:cs="Times New Roman"/>
          <w:lang w:val="fr-CA"/>
        </w:rPr>
        <w:t>56 autorise le ministre de la Santé à accorder des exemptions lorsque des raisons médicales ou scientifiques le justifient. Dans cette affaire, les demandeurs, des clients d’un centre d’injection supervisé situé à Vancouver, contestaient la constitutionnalité de l’interdiction de possession de drogues au motif qu’elle violait les droits que leur garantissait l’</w:t>
      </w:r>
      <w:r>
        <w:rPr>
          <w:rFonts w:cs="Times New Roman"/>
          <w:lang w:val="fr-CA"/>
        </w:rPr>
        <w:t>art.</w:t>
      </w:r>
      <w:r w:rsidR="00B029AB">
        <w:rPr>
          <w:rFonts w:cs="Times New Roman"/>
          <w:lang w:val="fr-CA"/>
        </w:rPr>
        <w:t xml:space="preserve"> </w:t>
      </w:r>
      <w:r w:rsidRPr="00745E68">
        <w:rPr>
          <w:rFonts w:cs="Times New Roman"/>
          <w:lang w:val="fr-CA"/>
        </w:rPr>
        <w:t xml:space="preserve">7 de la </w:t>
      </w:r>
      <w:r w:rsidRPr="00745E68">
        <w:rPr>
          <w:rFonts w:cs="Times New Roman"/>
          <w:i/>
          <w:lang w:val="fr-CA"/>
        </w:rPr>
        <w:t>Charte</w:t>
      </w:r>
      <w:r w:rsidRPr="00745E68">
        <w:rPr>
          <w:rFonts w:cs="Times New Roman"/>
          <w:lang w:val="fr-CA"/>
        </w:rPr>
        <w:t>. Une exemption fondée sur l’</w:t>
      </w:r>
      <w:r>
        <w:rPr>
          <w:rFonts w:cs="Times New Roman"/>
          <w:lang w:val="fr-CA"/>
        </w:rPr>
        <w:t>art.</w:t>
      </w:r>
      <w:r w:rsidR="00B029AB">
        <w:rPr>
          <w:rFonts w:cs="Times New Roman"/>
          <w:lang w:val="fr-CA"/>
        </w:rPr>
        <w:t xml:space="preserve"> </w:t>
      </w:r>
      <w:r w:rsidRPr="00745E68">
        <w:rPr>
          <w:rFonts w:cs="Times New Roman"/>
          <w:lang w:val="fr-CA"/>
        </w:rPr>
        <w:t>56 avait auparavant été accordée au centre, mais le ministre avait refusé de la renouveler.</w:t>
      </w:r>
    </w:p>
    <w:p w:rsidR="002A4851" w:rsidRPr="00745E68" w:rsidRDefault="002A4851" w:rsidP="00A659A4">
      <w:pPr>
        <w:pStyle w:val="ParaNoNdepar-AltN"/>
        <w:rPr>
          <w:rFonts w:cs="Times New Roman"/>
          <w:lang w:val="fr-CA"/>
        </w:rPr>
      </w:pPr>
      <w:r w:rsidRPr="00745E68">
        <w:rPr>
          <w:rFonts w:cs="Times New Roman"/>
          <w:lang w:val="fr-CA"/>
        </w:rPr>
        <w:t xml:space="preserve">La Juge en chef examine la contestation constitutionnelle en deux étapes. Premièrement, elle s’interroge sur la constitutionnalité de l’interdiction prévue au </w:t>
      </w:r>
      <w:r>
        <w:rPr>
          <w:rFonts w:cs="Times New Roman"/>
          <w:lang w:val="fr-CA"/>
        </w:rPr>
        <w:t>par.</w:t>
      </w:r>
      <w:r w:rsidR="00B029AB">
        <w:rPr>
          <w:rFonts w:cs="Times New Roman"/>
          <w:lang w:val="fr-CA"/>
        </w:rPr>
        <w:t xml:space="preserve"> </w:t>
      </w:r>
      <w:r w:rsidRPr="00745E68">
        <w:rPr>
          <w:rFonts w:cs="Times New Roman"/>
          <w:lang w:val="fr-CA"/>
        </w:rPr>
        <w:lastRenderedPageBreak/>
        <w:t>4(1). La possibilité d’obtenir une exemption ministérielle joue, à son avis, un rôle crucial à cet égard</w:t>
      </w:r>
      <w:r w:rsidR="00B029AB">
        <w:rPr>
          <w:rFonts w:cs="Times New Roman"/>
          <w:lang w:val="fr-CA"/>
        </w:rPr>
        <w:t> :</w:t>
      </w:r>
      <w:r w:rsidRPr="00745E68">
        <w:rPr>
          <w:rFonts w:cs="Times New Roman"/>
          <w:lang w:val="fr-CA"/>
        </w:rPr>
        <w:t xml:space="preserve"> </w:t>
      </w:r>
      <w:r w:rsidR="00B029AB">
        <w:rPr>
          <w:rFonts w:cs="Times New Roman"/>
          <w:lang w:val="fr-CA"/>
        </w:rPr>
        <w:t>« </w:t>
      </w:r>
      <w:r w:rsidRPr="00745E68">
        <w:rPr>
          <w:rFonts w:cs="Times New Roman"/>
          <w:lang w:val="fr-CA"/>
        </w:rPr>
        <w:t xml:space="preserve">On ne peut apprécier la validité constitutionnelle [de la </w:t>
      </w:r>
      <w:r w:rsidRPr="00745E68">
        <w:rPr>
          <w:rFonts w:cs="Times New Roman"/>
          <w:i/>
          <w:lang w:val="fr-CA"/>
        </w:rPr>
        <w:t>Loi</w:t>
      </w:r>
      <w:r w:rsidRPr="00745E68">
        <w:rPr>
          <w:rFonts w:cs="Times New Roman"/>
          <w:lang w:val="fr-CA"/>
        </w:rPr>
        <w:t>] sans tenir compte</w:t>
      </w:r>
      <w:r w:rsidR="00B029AB">
        <w:rPr>
          <w:rFonts w:cs="Times New Roman"/>
          <w:lang w:val="fr-CA"/>
        </w:rPr>
        <w:t> »</w:t>
      </w:r>
      <w:r w:rsidRPr="00745E68">
        <w:rPr>
          <w:rFonts w:cs="Times New Roman"/>
          <w:lang w:val="fr-CA"/>
        </w:rPr>
        <w:t xml:space="preserve"> de l’exemption prévue au </w:t>
      </w:r>
      <w:r>
        <w:rPr>
          <w:rFonts w:cs="Times New Roman"/>
          <w:lang w:val="fr-CA"/>
        </w:rPr>
        <w:t>par.</w:t>
      </w:r>
      <w:r w:rsidR="00B029AB">
        <w:rPr>
          <w:rFonts w:cs="Times New Roman"/>
          <w:lang w:val="fr-CA"/>
        </w:rPr>
        <w:t xml:space="preserve"> </w:t>
      </w:r>
      <w:r w:rsidRPr="00745E68">
        <w:rPr>
          <w:rFonts w:cs="Times New Roman"/>
          <w:iCs/>
          <w:lang w:val="fr-CA"/>
        </w:rPr>
        <w:t xml:space="preserve">56 </w:t>
      </w:r>
      <w:r w:rsidR="00B029AB">
        <w:rPr>
          <w:rFonts w:cs="Times New Roman"/>
          <w:iCs/>
          <w:lang w:val="fr-CA"/>
        </w:rPr>
        <w:t>« </w:t>
      </w:r>
      <w:r w:rsidRPr="00745E68">
        <w:rPr>
          <w:rFonts w:cs="Times New Roman"/>
          <w:iCs/>
          <w:lang w:val="fr-CA"/>
        </w:rPr>
        <w:t>conçu[e] pour remédier aux applications inconstitutionnelles ou inéquitables de cette interdiction</w:t>
      </w:r>
      <w:r w:rsidR="00B029AB">
        <w:rPr>
          <w:rFonts w:cs="Times New Roman"/>
          <w:iCs/>
          <w:lang w:val="fr-CA"/>
        </w:rPr>
        <w:t> »</w:t>
      </w:r>
      <w:r w:rsidRPr="00745E68">
        <w:rPr>
          <w:rFonts w:cs="Times New Roman"/>
          <w:iCs/>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109). Elle conclut finalement à la constitutionnalité du </w:t>
      </w:r>
      <w:r>
        <w:rPr>
          <w:rFonts w:cs="Times New Roman"/>
          <w:lang w:val="fr-CA"/>
        </w:rPr>
        <w:t>par.</w:t>
      </w:r>
      <w:r w:rsidR="00B029AB">
        <w:rPr>
          <w:rFonts w:cs="Times New Roman"/>
          <w:lang w:val="fr-CA"/>
        </w:rPr>
        <w:t xml:space="preserve"> </w:t>
      </w:r>
      <w:r w:rsidRPr="00745E68">
        <w:rPr>
          <w:rFonts w:cs="Times New Roman"/>
          <w:lang w:val="fr-CA"/>
        </w:rPr>
        <w:t xml:space="preserve">4(1) parce que </w:t>
      </w:r>
      <w:r w:rsidR="00B029AB">
        <w:rPr>
          <w:rFonts w:cs="Times New Roman"/>
          <w:lang w:val="fr-CA"/>
        </w:rPr>
        <w:t>« </w:t>
      </w:r>
      <w:r w:rsidRPr="00745E68">
        <w:rPr>
          <w:rFonts w:cs="Times New Roman"/>
          <w:lang w:val="fr-CA"/>
        </w:rPr>
        <w:t xml:space="preserve">[l]a possibilité d’accorder des exemptions sert de </w:t>
      </w:r>
      <w:r w:rsidRPr="00745E68">
        <w:rPr>
          <w:rFonts w:cs="Times New Roman"/>
          <w:u w:val="single"/>
          <w:lang w:val="fr-CA"/>
        </w:rPr>
        <w:t>soupape</w:t>
      </w:r>
      <w:r w:rsidRPr="00745E68">
        <w:rPr>
          <w:rFonts w:cs="Times New Roman"/>
          <w:lang w:val="fr-CA"/>
        </w:rPr>
        <w:t xml:space="preserve"> empêchant l’application de la </w:t>
      </w:r>
      <w:r w:rsidRPr="00745E68">
        <w:rPr>
          <w:rFonts w:cs="Times New Roman"/>
          <w:i/>
          <w:lang w:val="fr-CA"/>
        </w:rPr>
        <w:t>Loi</w:t>
      </w:r>
      <w:r w:rsidRPr="00745E68">
        <w:rPr>
          <w:rFonts w:cs="Times New Roman"/>
          <w:lang w:val="fr-CA"/>
        </w:rPr>
        <w:t xml:space="preserve"> dans les cas où son application serait [inconstitutionnelle]</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113 (je souligne)). Deuxièmement, la Juge en chef se demande si le ministre a exercé son pouvoir discrétionnaire de manière attentatoire aux droits que garantit l’</w:t>
      </w:r>
      <w:r>
        <w:rPr>
          <w:rFonts w:cs="Times New Roman"/>
          <w:lang w:val="fr-CA"/>
        </w:rPr>
        <w:t>art.</w:t>
      </w:r>
      <w:r w:rsidR="00B029AB">
        <w:rPr>
          <w:rFonts w:cs="Times New Roman"/>
          <w:lang w:val="fr-CA"/>
        </w:rPr>
        <w:t xml:space="preserve"> </w:t>
      </w:r>
      <w:r w:rsidRPr="00745E68">
        <w:rPr>
          <w:rFonts w:cs="Times New Roman"/>
          <w:lang w:val="fr-CA"/>
        </w:rPr>
        <w:t xml:space="preserve">7 aux demandeurs. Elle répond par l’affirmative et accorde une réparation sur le fondement du </w:t>
      </w:r>
      <w:r>
        <w:rPr>
          <w:rFonts w:cs="Times New Roman"/>
          <w:lang w:val="fr-CA"/>
        </w:rPr>
        <w:t>par.</w:t>
      </w:r>
      <w:r w:rsidR="00B029AB">
        <w:rPr>
          <w:rFonts w:cs="Times New Roman"/>
          <w:lang w:val="fr-CA"/>
        </w:rPr>
        <w:t xml:space="preserve"> </w:t>
      </w:r>
      <w:r w:rsidRPr="00745E68">
        <w:rPr>
          <w:rFonts w:cs="Times New Roman"/>
          <w:lang w:val="fr-CA"/>
        </w:rPr>
        <w:t xml:space="preserve">24(1) de la </w:t>
      </w:r>
      <w:r w:rsidRPr="00745E68">
        <w:rPr>
          <w:rFonts w:cs="Times New Roman"/>
          <w:i/>
          <w:lang w:val="fr-CA"/>
        </w:rPr>
        <w:t>Charte</w:t>
      </w:r>
      <w:r w:rsidRPr="00745E68">
        <w:rPr>
          <w:rFonts w:cs="Times New Roman"/>
          <w:lang w:val="fr-CA"/>
        </w:rPr>
        <w:t>. À mon avis, cette démarche en deux étapes offre un cadre d’analyse plus convaincant que la démarche axée sur les situations hypothétiques raisonnables lorsqu’il s’agit de statuer sur une contestation constitutionnelle qui se fonde sur l’</w:t>
      </w:r>
      <w:r>
        <w:rPr>
          <w:rFonts w:cs="Times New Roman"/>
          <w:lang w:val="fr-CA"/>
        </w:rPr>
        <w:t>art.</w:t>
      </w:r>
      <w:r w:rsidR="00B029AB">
        <w:rPr>
          <w:rFonts w:cs="Times New Roman"/>
          <w:lang w:val="fr-CA"/>
        </w:rPr>
        <w:t xml:space="preserve"> </w:t>
      </w:r>
      <w:r w:rsidRPr="00745E68">
        <w:rPr>
          <w:rFonts w:cs="Times New Roman"/>
          <w:lang w:val="fr-CA"/>
        </w:rPr>
        <w:t xml:space="preserve">12 et qui vise une peine minimale obligatoire applicable dans le cadre d’un régime mixte. </w:t>
      </w:r>
    </w:p>
    <w:p w:rsidR="002A4851" w:rsidRPr="00745E68" w:rsidRDefault="002A4851" w:rsidP="00A659A4">
      <w:pPr>
        <w:pStyle w:val="ParaNoNdepar-AltN"/>
        <w:rPr>
          <w:rFonts w:cs="Times New Roman"/>
          <w:lang w:val="fr-CA"/>
        </w:rPr>
      </w:pPr>
      <w:r w:rsidRPr="00745E68">
        <w:rPr>
          <w:rFonts w:cs="Times New Roman"/>
          <w:lang w:val="fr-CA"/>
        </w:rPr>
        <w:t xml:space="preserve">Les juges majoritaires affirment que le recours aux situations hypothétiques raisonnables pour se prononcer sur une peine minimale obligatoire est un principe juridique établi qui vaut nécessairement en l’espèce. Ils disent du cadre d’analyse que je propose qu’il </w:t>
      </w:r>
      <w:r w:rsidR="00B029AB">
        <w:rPr>
          <w:rFonts w:cs="Times New Roman"/>
          <w:lang w:val="fr-CA"/>
        </w:rPr>
        <w:t>« </w:t>
      </w:r>
      <w:r w:rsidRPr="00745E68">
        <w:rPr>
          <w:rFonts w:cs="Times New Roman"/>
          <w:lang w:val="fr-CA"/>
        </w:rPr>
        <w:t>s’éloigne radicalement du cadre d’analyse constitutionnelle</w:t>
      </w:r>
      <w:r w:rsidR="00B029AB">
        <w:rPr>
          <w:rFonts w:cs="Times New Roman"/>
          <w:lang w:val="fr-CA"/>
        </w:rPr>
        <w:t> »</w:t>
      </w:r>
      <w:r w:rsidRPr="00745E68">
        <w:rPr>
          <w:rFonts w:cs="Times New Roman"/>
          <w:lang w:val="fr-CA"/>
        </w:rPr>
        <w:t xml:space="preserve"> qui sous</w:t>
      </w:r>
      <w:r w:rsidR="00B029AB">
        <w:rPr>
          <w:rFonts w:cs="Times New Roman"/>
          <w:lang w:val="fr-CA"/>
        </w:rPr>
        <w:t>-</w:t>
      </w:r>
      <w:r w:rsidRPr="00745E68">
        <w:rPr>
          <w:rFonts w:cs="Times New Roman"/>
          <w:lang w:val="fr-CA"/>
        </w:rPr>
        <w:t>tend la jurisprudence de la Cour relative à l’</w:t>
      </w:r>
      <w:r>
        <w:rPr>
          <w:rFonts w:cs="Times New Roman"/>
          <w:lang w:val="fr-CA"/>
        </w:rPr>
        <w:t>art.</w:t>
      </w:r>
      <w:r w:rsidR="00B029AB">
        <w:rPr>
          <w:rFonts w:cs="Times New Roman"/>
          <w:lang w:val="fr-CA"/>
        </w:rPr>
        <w:t xml:space="preserve"> </w:t>
      </w:r>
      <w:r w:rsidRPr="00745E68">
        <w:rPr>
          <w:rFonts w:cs="Times New Roman"/>
          <w:lang w:val="fr-CA"/>
        </w:rPr>
        <w:t>12 (</w:t>
      </w:r>
      <w:r>
        <w:rPr>
          <w:rFonts w:cs="Times New Roman"/>
          <w:lang w:val="fr-CA"/>
        </w:rPr>
        <w:t>par.</w:t>
      </w:r>
      <w:r w:rsidR="00B029AB">
        <w:rPr>
          <w:rFonts w:cs="Times New Roman"/>
          <w:lang w:val="fr-CA"/>
        </w:rPr>
        <w:t xml:space="preserve"> </w:t>
      </w:r>
      <w:r w:rsidRPr="00745E68">
        <w:rPr>
          <w:rFonts w:cs="Times New Roman"/>
          <w:lang w:val="fr-CA"/>
        </w:rPr>
        <w:t>94). Soit dit en tout respect, je ne partage pas leur opinion. Le choix du législateur de créer une infraction mixte à l’</w:t>
      </w:r>
      <w:r>
        <w:rPr>
          <w:rFonts w:cs="Times New Roman"/>
          <w:lang w:val="fr-CA"/>
        </w:rPr>
        <w:t>art.</w:t>
      </w:r>
      <w:r w:rsidR="00B029AB">
        <w:rPr>
          <w:rFonts w:cs="Times New Roman"/>
          <w:lang w:val="fr-CA"/>
        </w:rPr>
        <w:t xml:space="preserve"> </w:t>
      </w:r>
      <w:r w:rsidRPr="00745E68">
        <w:rPr>
          <w:rFonts w:cs="Times New Roman"/>
          <w:lang w:val="fr-CA"/>
        </w:rPr>
        <w:t xml:space="preserve">95 fait en sorte que la présente espèce se distingue </w:t>
      </w:r>
      <w:r w:rsidRPr="00745E68">
        <w:rPr>
          <w:rFonts w:cs="Times New Roman"/>
          <w:lang w:val="fr-CA"/>
        </w:rPr>
        <w:lastRenderedPageBreak/>
        <w:t>des affaires antérieures dans lesquelles la Cour a statué sur l’application de l’</w:t>
      </w:r>
      <w:r>
        <w:rPr>
          <w:rFonts w:cs="Times New Roman"/>
          <w:lang w:val="fr-CA"/>
        </w:rPr>
        <w:t>art.</w:t>
      </w:r>
      <w:r w:rsidR="00B029AB">
        <w:rPr>
          <w:rFonts w:cs="Times New Roman"/>
          <w:lang w:val="fr-CA"/>
        </w:rPr>
        <w:t xml:space="preserve"> </w:t>
      </w:r>
      <w:r w:rsidRPr="00745E68">
        <w:rPr>
          <w:rFonts w:cs="Times New Roman"/>
          <w:lang w:val="fr-CA"/>
        </w:rPr>
        <w:t xml:space="preserve">12. Aucune de ces autres affaires ne porte sur un régime mixte de détermination de la peine qui reconnaît effectivement l’existence de situations raisonnablement prévisibles où la peine minimale obligatoire serait totalement disproportionnée. </w:t>
      </w:r>
    </w:p>
    <w:p w:rsidR="002A4851" w:rsidRPr="00745E68" w:rsidRDefault="002A4851" w:rsidP="00A659A4">
      <w:pPr>
        <w:pStyle w:val="ParaNoNdepar-AltN"/>
        <w:rPr>
          <w:rFonts w:cs="Times New Roman"/>
          <w:lang w:val="fr-CA"/>
        </w:rPr>
      </w:pPr>
      <w:r w:rsidRPr="00745E68">
        <w:rPr>
          <w:rFonts w:cs="Times New Roman"/>
          <w:lang w:val="fr-CA"/>
        </w:rPr>
        <w:t>À titre d’exemple, l’infraction créée à l’</w:t>
      </w:r>
      <w:r>
        <w:rPr>
          <w:rFonts w:cs="Times New Roman"/>
          <w:lang w:val="fr-CA"/>
        </w:rPr>
        <w:t>art.</w:t>
      </w:r>
      <w:r w:rsidR="00B029AB">
        <w:rPr>
          <w:rFonts w:cs="Times New Roman"/>
          <w:lang w:val="fr-CA"/>
        </w:rPr>
        <w:t xml:space="preserve"> </w:t>
      </w:r>
      <w:r w:rsidRPr="00745E68">
        <w:rPr>
          <w:rFonts w:cs="Times New Roman"/>
          <w:lang w:val="fr-CA"/>
        </w:rPr>
        <w:t xml:space="preserve">95 est très différente de celle dont il est question dans l’arrêt </w:t>
      </w:r>
      <w:r w:rsidRPr="00745E68">
        <w:rPr>
          <w:rFonts w:cs="Times New Roman"/>
          <w:i/>
          <w:iCs/>
          <w:lang w:val="fr-CA"/>
        </w:rPr>
        <w:t>Smith</w:t>
      </w:r>
      <w:r w:rsidRPr="00745E68">
        <w:rPr>
          <w:rFonts w:cs="Times New Roman"/>
          <w:iCs/>
          <w:lang w:val="fr-CA"/>
        </w:rPr>
        <w:t>, à savoir l</w:t>
      </w:r>
      <w:r w:rsidRPr="00745E68">
        <w:rPr>
          <w:rFonts w:cs="Times New Roman"/>
          <w:lang w:val="fr-CA"/>
        </w:rPr>
        <w:t>’importation de stupéfiants, un acte qui commande la poursuite sur mise en accusation et qui est punissable d’une peine minimale obligatoire de sept ans d’emprisonnement. Tout comme l’infraction prévue à l’</w:t>
      </w:r>
      <w:r>
        <w:rPr>
          <w:rFonts w:cs="Times New Roman"/>
          <w:lang w:val="fr-CA"/>
        </w:rPr>
        <w:t>art.</w:t>
      </w:r>
      <w:r w:rsidR="00B029AB">
        <w:rPr>
          <w:rFonts w:cs="Times New Roman"/>
          <w:lang w:val="fr-CA"/>
        </w:rPr>
        <w:t xml:space="preserve"> </w:t>
      </w:r>
      <w:r w:rsidRPr="00745E68">
        <w:rPr>
          <w:rFonts w:cs="Times New Roman"/>
          <w:lang w:val="fr-CA"/>
        </w:rPr>
        <w:t xml:space="preserve">95, cette autre infraction visait une vaste gamme de comportements, allant de la contrebande de drogues à grande échelle à la situation hypothétique de </w:t>
      </w:r>
      <w:r w:rsidR="00B029AB">
        <w:rPr>
          <w:rFonts w:cs="Times New Roman"/>
          <w:lang w:val="fr-CA"/>
        </w:rPr>
        <w:t>« </w:t>
      </w:r>
      <w:r w:rsidRPr="00745E68">
        <w:rPr>
          <w:rFonts w:cs="Times New Roman"/>
          <w:lang w:val="fr-CA"/>
        </w:rPr>
        <w:t>la jeune personne qui, à son retour en voiture au Canada après avoir passé son congé de mi</w:t>
      </w:r>
      <w:r w:rsidR="00B029AB">
        <w:rPr>
          <w:rFonts w:cs="Times New Roman"/>
          <w:lang w:val="fr-CA"/>
        </w:rPr>
        <w:t>-</w:t>
      </w:r>
      <w:r w:rsidRPr="00745E68">
        <w:rPr>
          <w:rFonts w:cs="Times New Roman"/>
          <w:lang w:val="fr-CA"/>
        </w:rPr>
        <w:t>session d’hiver aux États</w:t>
      </w:r>
      <w:r w:rsidR="00B029AB">
        <w:rPr>
          <w:rFonts w:eastAsia="MS Mincho" w:cs="Times New Roman"/>
          <w:lang w:val="fr-CA"/>
        </w:rPr>
        <w:t>-</w:t>
      </w:r>
      <w:r w:rsidRPr="00745E68">
        <w:rPr>
          <w:rFonts w:cs="Times New Roman"/>
          <w:lang w:val="fr-CA"/>
        </w:rPr>
        <w:t>Unis, aurait été surprise en possession [.</w:t>
      </w:r>
      <w:r w:rsidR="00B029AB">
        <w:rPr>
          <w:rFonts w:cs="Times New Roman"/>
          <w:lang w:val="fr-CA"/>
        </w:rPr>
        <w:t xml:space="preserve"> </w:t>
      </w:r>
      <w:r w:rsidRPr="00745E68">
        <w:rPr>
          <w:rFonts w:cs="Times New Roman"/>
          <w:lang w:val="fr-CA"/>
        </w:rPr>
        <w:t>.</w:t>
      </w:r>
      <w:r w:rsidR="00B029AB">
        <w:rPr>
          <w:rFonts w:cs="Times New Roman"/>
          <w:lang w:val="fr-CA"/>
        </w:rPr>
        <w:t xml:space="preserve"> </w:t>
      </w:r>
      <w:r w:rsidRPr="00745E68">
        <w:rPr>
          <w:rFonts w:cs="Times New Roman"/>
          <w:lang w:val="fr-CA"/>
        </w:rPr>
        <w:t>.] de son premier “joint de mari”</w:t>
      </w:r>
      <w:r w:rsidR="00B029AB">
        <w:rPr>
          <w:rFonts w:cs="Times New Roman"/>
          <w:lang w:val="fr-CA"/>
        </w:rPr>
        <w:t> »</w:t>
      </w:r>
      <w:r w:rsidRPr="00745E68">
        <w:rPr>
          <w:rFonts w:cs="Times New Roman"/>
          <w:spacing w:val="-3"/>
          <w:lang w:val="fr-CA"/>
        </w:rPr>
        <w:t xml:space="preserve"> (</w:t>
      </w:r>
      <w:r>
        <w:rPr>
          <w:rFonts w:cs="Times New Roman"/>
          <w:spacing w:val="-3"/>
          <w:lang w:val="fr-CA"/>
        </w:rPr>
        <w:t>p.</w:t>
      </w:r>
      <w:r w:rsidR="00B029AB">
        <w:rPr>
          <w:rFonts w:cs="Times New Roman"/>
          <w:spacing w:val="-3"/>
          <w:lang w:val="fr-CA"/>
        </w:rPr>
        <w:t xml:space="preserve"> </w:t>
      </w:r>
      <w:r w:rsidRPr="00745E68">
        <w:rPr>
          <w:rFonts w:cs="Times New Roman"/>
          <w:spacing w:val="-3"/>
          <w:lang w:val="fr-CA"/>
        </w:rPr>
        <w:t>1053).</w:t>
      </w:r>
      <w:r w:rsidRPr="00745E68">
        <w:rPr>
          <w:rFonts w:cs="Times New Roman"/>
          <w:lang w:val="fr-CA"/>
        </w:rPr>
        <w:t xml:space="preserve"> Cependant, contrairement à l’infraction prévue à l’</w:t>
      </w:r>
      <w:r>
        <w:rPr>
          <w:rFonts w:cs="Times New Roman"/>
          <w:lang w:val="fr-CA"/>
        </w:rPr>
        <w:t>art.</w:t>
      </w:r>
      <w:r w:rsidR="00B029AB">
        <w:rPr>
          <w:rFonts w:cs="Times New Roman"/>
          <w:lang w:val="fr-CA"/>
        </w:rPr>
        <w:t xml:space="preserve"> </w:t>
      </w:r>
      <w:r w:rsidRPr="00745E68">
        <w:rPr>
          <w:rFonts w:cs="Times New Roman"/>
          <w:lang w:val="fr-CA"/>
        </w:rPr>
        <w:t>95, elle n’offrait pas au poursuivant la possibilité d’opter pour la procédure sommaire. Le législateur n’avait pas envisagé la possibilité que l’infraction s’applique à des cas moins graves qui ne justifiaient pas une peine d’emprisonnement de sept ans. Il s’était plutôt attaqué au problème de l’importation de stupéfiants au moyen de l’instrument sans nuance qu’est la création d’un acte criminel qui commande la poursuite par mise en accusation et qui est punissable d’une longue peine d’emprisonnement obligatoire. Le régime en place n’assurait pas une protection adéquate contre l’infliction de peines totalement disproportionnées, et la Cour l’a à juste titre invalidé.</w:t>
      </w:r>
    </w:p>
    <w:p w:rsidR="002A4851" w:rsidRPr="00745E68" w:rsidRDefault="002A4851" w:rsidP="00A659A4">
      <w:pPr>
        <w:pStyle w:val="ParaNoNdepar-AltN"/>
        <w:rPr>
          <w:rFonts w:cs="Times New Roman"/>
          <w:lang w:val="fr-CA"/>
        </w:rPr>
      </w:pPr>
      <w:r w:rsidRPr="00745E68">
        <w:rPr>
          <w:rFonts w:cs="Times New Roman"/>
          <w:lang w:val="fr-CA"/>
        </w:rPr>
        <w:lastRenderedPageBreak/>
        <w:t xml:space="preserve">Toutefois, si, dans l’affaire </w:t>
      </w:r>
      <w:r w:rsidRPr="00745E68">
        <w:rPr>
          <w:rFonts w:cs="Times New Roman"/>
          <w:i/>
          <w:iCs/>
          <w:lang w:val="fr-CA"/>
        </w:rPr>
        <w:t>Smith</w:t>
      </w:r>
      <w:r w:rsidRPr="00745E68">
        <w:rPr>
          <w:rFonts w:cs="Times New Roman"/>
          <w:iCs/>
          <w:lang w:val="fr-CA"/>
        </w:rPr>
        <w:t>,</w:t>
      </w:r>
      <w:r w:rsidRPr="00745E68">
        <w:rPr>
          <w:rFonts w:cs="Times New Roman"/>
          <w:i/>
          <w:iCs/>
          <w:lang w:val="fr-CA"/>
        </w:rPr>
        <w:t xml:space="preserve"> </w:t>
      </w:r>
      <w:r w:rsidRPr="00745E68">
        <w:rPr>
          <w:rFonts w:cs="Times New Roman"/>
          <w:iCs/>
          <w:lang w:val="fr-CA"/>
        </w:rPr>
        <w:t xml:space="preserve">il </w:t>
      </w:r>
      <w:r w:rsidRPr="00745E68">
        <w:rPr>
          <w:rFonts w:cs="Times New Roman"/>
          <w:lang w:val="fr-CA"/>
        </w:rPr>
        <w:t>avait été question d’une infraction mixte comme celle que crée l’</w:t>
      </w:r>
      <w:r>
        <w:rPr>
          <w:rFonts w:cs="Times New Roman"/>
          <w:lang w:val="fr-CA"/>
        </w:rPr>
        <w:t>art.</w:t>
      </w:r>
      <w:r w:rsidR="00B029AB">
        <w:rPr>
          <w:rFonts w:cs="Times New Roman"/>
          <w:lang w:val="fr-CA"/>
        </w:rPr>
        <w:t xml:space="preserve"> </w:t>
      </w:r>
      <w:r w:rsidRPr="00745E68">
        <w:rPr>
          <w:rFonts w:cs="Times New Roman"/>
          <w:lang w:val="fr-CA"/>
        </w:rPr>
        <w:t>95, l’analyse de la Cour aurait selon moi été différente. La création d’une infraction mixte aurait traduit l’intention du législateur de soustraire les cas les moins graves à l’application de la peine minimale obligatoire. Le cas échéant, l’hypothèse considérée par le juge Lamer aurait été peu convaincante. En d’autres mots, il est pratiquement impossible de concevoir que le ministère public opte pour la mise en accusation dans le cas d’une jeune personne surprise en possession d’un seul joint de marijuana lors d’un contrôle à la frontière, en particulier lorsque cette personne s’exposerait à une peine minimale de sept ans d’emprisonnement.</w:t>
      </w:r>
    </w:p>
    <w:p w:rsidR="002A4851" w:rsidRPr="00745E68" w:rsidRDefault="002A4851" w:rsidP="00A659A4">
      <w:pPr>
        <w:pStyle w:val="ParaNoNdepar-AltN"/>
        <w:rPr>
          <w:rFonts w:cs="Times New Roman"/>
          <w:lang w:val="fr-CA"/>
        </w:rPr>
      </w:pPr>
      <w:r w:rsidRPr="00745E68">
        <w:rPr>
          <w:rFonts w:cs="Times New Roman"/>
          <w:lang w:val="fr-CA"/>
        </w:rPr>
        <w:t xml:space="preserve">En bref, je ne suis pas convaincu que la démarche axée sur les situations hypothétiques raisonnables lie la Cour ou soit même utile en l’espèce. L’intention du législateur qui adopte un régime mixte de détermination de la peine milite en faveur du recours à un cadre d’analyse différent. </w:t>
      </w:r>
    </w:p>
    <w:p w:rsidR="002A4851" w:rsidRPr="00745E68" w:rsidRDefault="002A4851" w:rsidP="00A659A4">
      <w:pPr>
        <w:pStyle w:val="Title2LevelTitre2Niveau"/>
        <w:rPr>
          <w:rFonts w:cs="Times New Roman"/>
          <w:lang w:val="fr-CA"/>
        </w:rPr>
      </w:pPr>
      <w:r w:rsidRPr="00745E68">
        <w:rPr>
          <w:rFonts w:cs="Times New Roman"/>
          <w:lang w:val="fr-CA"/>
        </w:rPr>
        <w:t>Le bon cadre d’analyse pour le contrôle au regard de l’art</w:t>
      </w:r>
      <w:r w:rsidR="00DD6118">
        <w:rPr>
          <w:rFonts w:cs="Times New Roman"/>
          <w:lang w:val="fr-CA"/>
        </w:rPr>
        <w:t>.</w:t>
      </w:r>
      <w:r w:rsidR="00B029AB">
        <w:rPr>
          <w:rFonts w:cs="Times New Roman"/>
          <w:lang w:val="fr-CA"/>
        </w:rPr>
        <w:t xml:space="preserve"> </w:t>
      </w:r>
      <w:r w:rsidRPr="00745E68">
        <w:rPr>
          <w:rFonts w:cs="Times New Roman"/>
          <w:lang w:val="fr-CA"/>
        </w:rPr>
        <w:t>12 d’une infraction mixte assortie d’une peine minimale obligatoire</w:t>
      </w:r>
    </w:p>
    <w:p w:rsidR="002A4851" w:rsidRPr="00745E68" w:rsidRDefault="002A4851" w:rsidP="00A659A4">
      <w:pPr>
        <w:pStyle w:val="ParaNoNdepar-AltN"/>
        <w:rPr>
          <w:rFonts w:cs="Times New Roman"/>
          <w:lang w:val="fr-CA"/>
        </w:rPr>
      </w:pPr>
      <w:r w:rsidRPr="00745E68">
        <w:rPr>
          <w:rFonts w:cs="Times New Roman"/>
          <w:lang w:val="fr-CA"/>
        </w:rPr>
        <w:t>Il convient à mon avis de recourir à une analyse en deux étapes pour déterminer si, dans un régime mixte, une peine minimale obligatoire respecte ou non l’</w:t>
      </w:r>
      <w:r>
        <w:rPr>
          <w:rFonts w:cs="Times New Roman"/>
          <w:lang w:val="fr-CA"/>
        </w:rPr>
        <w:t>art.</w:t>
      </w:r>
      <w:r w:rsidR="00B029AB">
        <w:rPr>
          <w:rFonts w:cs="Times New Roman"/>
          <w:lang w:val="fr-CA"/>
        </w:rPr>
        <w:t xml:space="preserve"> </w:t>
      </w:r>
      <w:r w:rsidRPr="00745E68">
        <w:rPr>
          <w:rFonts w:cs="Times New Roman"/>
          <w:lang w:val="fr-CA"/>
        </w:rPr>
        <w:t xml:space="preserve">12. Premièrement, le tribunal se demande si, </w:t>
      </w:r>
      <w:r w:rsidRPr="00745E68">
        <w:rPr>
          <w:rFonts w:cs="Times New Roman"/>
          <w:i/>
          <w:lang w:val="fr-CA"/>
        </w:rPr>
        <w:t>de façon générale</w:t>
      </w:r>
      <w:r w:rsidRPr="00745E68">
        <w:rPr>
          <w:rFonts w:cs="Times New Roman"/>
          <w:lang w:val="fr-CA"/>
        </w:rPr>
        <w:t xml:space="preserve">, le régime assure une protection adéquate contre l’infliction de peines totalement disproportionnées. Deuxièmement, il doit se demander si le poursuivant a exercé son pouvoir </w:t>
      </w:r>
      <w:r w:rsidRPr="00745E68">
        <w:rPr>
          <w:rFonts w:cs="Times New Roman"/>
          <w:lang w:val="fr-CA"/>
        </w:rPr>
        <w:lastRenderedPageBreak/>
        <w:t xml:space="preserve">discrétionnaire de manière qu’une peine totalement disproportionnée soit infligée </w:t>
      </w:r>
      <w:r w:rsidRPr="00745E68">
        <w:rPr>
          <w:rFonts w:cs="Times New Roman"/>
          <w:i/>
          <w:lang w:val="fr-CA"/>
        </w:rPr>
        <w:t>au délinquant</w:t>
      </w:r>
      <w:r w:rsidRPr="00745E68">
        <w:rPr>
          <w:rFonts w:cs="Times New Roman"/>
          <w:lang w:val="fr-CA"/>
        </w:rPr>
        <w:t xml:space="preserve"> </w:t>
      </w:r>
      <w:r w:rsidRPr="00962032">
        <w:rPr>
          <w:rFonts w:cs="Times New Roman"/>
          <w:i/>
          <w:lang w:val="fr-CA"/>
        </w:rPr>
        <w:t>en cause</w:t>
      </w:r>
      <w:r w:rsidRPr="00745E68">
        <w:rPr>
          <w:rFonts w:cs="Times New Roman"/>
          <w:lang w:val="fr-CA"/>
        </w:rPr>
        <w:t>.</w:t>
      </w:r>
    </w:p>
    <w:p w:rsidR="002A4851" w:rsidRPr="00745E68" w:rsidRDefault="002A4851" w:rsidP="00A659A4">
      <w:pPr>
        <w:pStyle w:val="Title3LevelTitre3Niveau"/>
        <w:jc w:val="both"/>
        <w:rPr>
          <w:rFonts w:cs="Times New Roman"/>
          <w:lang w:val="fr-CA"/>
        </w:rPr>
      </w:pPr>
      <w:r w:rsidRPr="00745E68">
        <w:rPr>
          <w:rFonts w:cs="Times New Roman"/>
          <w:lang w:val="fr-CA"/>
        </w:rPr>
        <w:t>Le régime assure</w:t>
      </w:r>
      <w:r w:rsidR="00B029AB">
        <w:rPr>
          <w:rFonts w:cs="Times New Roman"/>
          <w:lang w:val="fr-CA"/>
        </w:rPr>
        <w:t>-</w:t>
      </w:r>
      <w:r w:rsidRPr="00745E68">
        <w:rPr>
          <w:rFonts w:cs="Times New Roman"/>
          <w:lang w:val="fr-CA"/>
        </w:rPr>
        <w:t>t</w:t>
      </w:r>
      <w:r w:rsidR="00B029AB">
        <w:rPr>
          <w:rFonts w:cs="Times New Roman"/>
          <w:lang w:val="fr-CA"/>
        </w:rPr>
        <w:t>-</w:t>
      </w:r>
      <w:r w:rsidRPr="00745E68">
        <w:rPr>
          <w:rFonts w:cs="Times New Roman"/>
          <w:lang w:val="fr-CA"/>
        </w:rPr>
        <w:t xml:space="preserve">il de façon générale une protection adéquate contre l’infliction de peines totalement disproportionnées? </w:t>
      </w:r>
    </w:p>
    <w:p w:rsidR="002A4851" w:rsidRPr="00745E68" w:rsidRDefault="002A4851" w:rsidP="00A659A4">
      <w:pPr>
        <w:pStyle w:val="ParaNoNdepar-AltN"/>
        <w:rPr>
          <w:rFonts w:cs="Times New Roman"/>
          <w:lang w:val="fr-CA"/>
        </w:rPr>
      </w:pPr>
      <w:r w:rsidRPr="00745E68">
        <w:rPr>
          <w:rFonts w:cs="Times New Roman"/>
          <w:lang w:val="fr-CA"/>
        </w:rPr>
        <w:t>Cette étape de l’analyse comporte deux volets. Le tribunal doit d’abord établir la fourchette des peines infligées sur déclaration de culpabilité à l’issue d’une mise en accusation suivant le régime de détermination de la peine qui existait avant l’adoption de la peine minimale obligatoire contestée</w:t>
      </w:r>
      <w:r w:rsidRPr="00745E68">
        <w:rPr>
          <w:rStyle w:val="FootnoteReference"/>
          <w:rFonts w:cs="Times New Roman"/>
          <w:lang w:val="fr-CA"/>
        </w:rPr>
        <w:footnoteReference w:id="3"/>
      </w:r>
      <w:r w:rsidRPr="00745E68">
        <w:rPr>
          <w:rFonts w:cs="Times New Roman"/>
          <w:lang w:val="fr-CA"/>
        </w:rPr>
        <w:t xml:space="preserve">. Pour le faire, il s’en remet aux peines effectivement imposées dans les cas répertoriés. Il circonscrit alors l’extrémité inférieure de cette fourchette. Je n’entends pas par </w:t>
      </w:r>
      <w:r w:rsidR="00B029AB">
        <w:rPr>
          <w:rFonts w:cs="Times New Roman"/>
          <w:lang w:val="fr-CA"/>
        </w:rPr>
        <w:t>« </w:t>
      </w:r>
      <w:r w:rsidRPr="00745E68">
        <w:rPr>
          <w:rFonts w:cs="Times New Roman"/>
          <w:lang w:val="fr-CA"/>
        </w:rPr>
        <w:t>extrémité inférieure</w:t>
      </w:r>
      <w:r w:rsidR="00B029AB">
        <w:rPr>
          <w:rFonts w:cs="Times New Roman"/>
          <w:lang w:val="fr-CA"/>
        </w:rPr>
        <w:t> »</w:t>
      </w:r>
      <w:r w:rsidRPr="00745E68">
        <w:rPr>
          <w:rFonts w:cs="Times New Roman"/>
          <w:lang w:val="fr-CA"/>
        </w:rPr>
        <w:t xml:space="preserve"> la peine la moins sévère que l’on puisse recenser, mais bien les peines généralement infligées pour les actes les moins répréhensibles dans la catégorie des infractions punissables par voie de mise en accusation. Cette extrémité inférieure constitue un indicateur objectif des peines qui conviennent dans les cas les moins graves de perpétration de l’infraction où il serait réaliste que le poursuivant opte pour la mise en accusation. </w:t>
      </w:r>
    </w:p>
    <w:p w:rsidR="002A4851" w:rsidRPr="00745E68" w:rsidRDefault="002A4851" w:rsidP="00A659A4">
      <w:pPr>
        <w:pStyle w:val="ParaNoNdepar-AltN"/>
        <w:rPr>
          <w:rFonts w:cs="Times New Roman"/>
          <w:lang w:val="fr-CA"/>
        </w:rPr>
      </w:pPr>
      <w:r w:rsidRPr="00745E68">
        <w:rPr>
          <w:rFonts w:cs="Times New Roman"/>
          <w:lang w:val="fr-CA"/>
        </w:rPr>
        <w:t xml:space="preserve">Ensuite, le tribunal compare la peine minimale obligatoire contestée et l’extrémité inférieure de la fourchette antérieure. Si la peine minimale obligatoire est totalement disproportionnée aux peines situées à l’extrémité inférieure de cette </w:t>
      </w:r>
      <w:r w:rsidRPr="00745E68">
        <w:rPr>
          <w:rFonts w:cs="Times New Roman"/>
          <w:lang w:val="fr-CA"/>
        </w:rPr>
        <w:lastRenderedPageBreak/>
        <w:t xml:space="preserve">fourchette, le régime n’assure pas </w:t>
      </w:r>
      <w:r w:rsidRPr="00745E68">
        <w:rPr>
          <w:rFonts w:cs="Times New Roman"/>
          <w:i/>
          <w:lang w:val="fr-CA"/>
        </w:rPr>
        <w:t>de façon générale</w:t>
      </w:r>
      <w:r w:rsidRPr="00745E68">
        <w:rPr>
          <w:rFonts w:cs="Times New Roman"/>
          <w:lang w:val="fr-CA"/>
        </w:rPr>
        <w:t xml:space="preserve"> une protection adéquate contre l’infliction de peines totalement disproportionnées. Au contraire, il expose directement un groupe déterminable de délinquants au risque de se voir infliger une peine cruelle et inusitée en violation de l’</w:t>
      </w:r>
      <w:r>
        <w:rPr>
          <w:rFonts w:cs="Times New Roman"/>
          <w:lang w:val="fr-CA"/>
        </w:rPr>
        <w:t>art.</w:t>
      </w:r>
      <w:r w:rsidR="00B029AB">
        <w:rPr>
          <w:rFonts w:cs="Times New Roman"/>
          <w:lang w:val="fr-CA"/>
        </w:rPr>
        <w:t xml:space="preserve"> </w:t>
      </w:r>
      <w:r w:rsidRPr="00745E68">
        <w:rPr>
          <w:rFonts w:cs="Times New Roman"/>
          <w:lang w:val="fr-CA"/>
        </w:rPr>
        <w:t xml:space="preserve">12. La réparation qui s’impose alors relève du </w:t>
      </w:r>
      <w:r>
        <w:rPr>
          <w:rFonts w:cs="Times New Roman"/>
          <w:lang w:val="fr-CA"/>
        </w:rPr>
        <w:t>par.</w:t>
      </w:r>
      <w:r w:rsidR="00B029AB">
        <w:rPr>
          <w:rFonts w:cs="Times New Roman"/>
          <w:lang w:val="fr-CA"/>
        </w:rPr>
        <w:t xml:space="preserve"> </w:t>
      </w:r>
      <w:r w:rsidRPr="00745E68">
        <w:rPr>
          <w:rFonts w:cs="Times New Roman"/>
          <w:lang w:val="fr-CA"/>
        </w:rPr>
        <w:t xml:space="preserve">52(1) de la </w:t>
      </w:r>
      <w:r w:rsidRPr="00745E68">
        <w:rPr>
          <w:rFonts w:cs="Times New Roman"/>
          <w:i/>
          <w:lang w:val="fr-CA"/>
        </w:rPr>
        <w:t>Loi constitutionnelle de 1982</w:t>
      </w:r>
      <w:r w:rsidRPr="00745E68">
        <w:rPr>
          <w:rFonts w:cs="Times New Roman"/>
          <w:lang w:val="fr-CA"/>
        </w:rPr>
        <w:t>, et la peine minimale obligatoire doit être invalidée.</w:t>
      </w:r>
    </w:p>
    <w:p w:rsidR="002A4851" w:rsidRPr="00745E68" w:rsidRDefault="002A4851" w:rsidP="00A659A4">
      <w:pPr>
        <w:pStyle w:val="Title3LevelTitre3Niveau"/>
        <w:jc w:val="both"/>
        <w:rPr>
          <w:rFonts w:cs="Times New Roman"/>
          <w:lang w:val="fr-CA"/>
        </w:rPr>
      </w:pPr>
      <w:r w:rsidRPr="00745E68">
        <w:rPr>
          <w:rFonts w:cs="Times New Roman"/>
          <w:lang w:val="fr-CA"/>
        </w:rPr>
        <w:t>Le poursuivant a</w:t>
      </w:r>
      <w:r w:rsidR="00B029AB">
        <w:rPr>
          <w:rFonts w:cs="Times New Roman"/>
          <w:lang w:val="fr-CA"/>
        </w:rPr>
        <w:t>-</w:t>
      </w:r>
      <w:r w:rsidRPr="00745E68">
        <w:rPr>
          <w:rFonts w:cs="Times New Roman"/>
          <w:lang w:val="fr-CA"/>
        </w:rPr>
        <w:t>t</w:t>
      </w:r>
      <w:r w:rsidR="00B029AB">
        <w:rPr>
          <w:rFonts w:cs="Times New Roman"/>
          <w:lang w:val="fr-CA"/>
        </w:rPr>
        <w:t>-</w:t>
      </w:r>
      <w:r w:rsidRPr="00745E68">
        <w:rPr>
          <w:rFonts w:cs="Times New Roman"/>
          <w:lang w:val="fr-CA"/>
        </w:rPr>
        <w:t>il exercé son pouvoir discrétionnaire de manière qu’une peine totalement disproportionnée soit infligée au délinquant en cause?</w:t>
      </w:r>
    </w:p>
    <w:p w:rsidR="002A4851" w:rsidRPr="00745E68" w:rsidRDefault="002A4851" w:rsidP="00A659A4">
      <w:pPr>
        <w:pStyle w:val="ParaNoNdepar-AltN"/>
        <w:rPr>
          <w:rFonts w:cs="Times New Roman"/>
          <w:lang w:val="fr-CA"/>
        </w:rPr>
      </w:pPr>
      <w:r w:rsidRPr="00745E68">
        <w:rPr>
          <w:rFonts w:cs="Times New Roman"/>
          <w:lang w:val="fr-CA"/>
        </w:rPr>
        <w:t xml:space="preserve">Si le régime comme tel est maintenu, le tribunal passe à la deuxième étape de l’analyse et se demande si le poursuivant a exercé son pouvoir discrétionnaire de manière qu’une peine totalement disproportionnée soit infligée au délinquant en cause. Dans les rares cas où la décision d’opter pour la mise en accusation mènera à l’imposition d’une peine totalement disproportionnée, une réparation pourra être obtenue sur le fondement du </w:t>
      </w:r>
      <w:r>
        <w:rPr>
          <w:rFonts w:cs="Times New Roman"/>
          <w:lang w:val="fr-CA"/>
        </w:rPr>
        <w:t>par.</w:t>
      </w:r>
      <w:r w:rsidR="00B029AB">
        <w:rPr>
          <w:rFonts w:cs="Times New Roman"/>
          <w:lang w:val="fr-CA"/>
        </w:rPr>
        <w:t xml:space="preserve"> </w:t>
      </w:r>
      <w:r w:rsidRPr="00745E68">
        <w:rPr>
          <w:rFonts w:cs="Times New Roman"/>
          <w:lang w:val="fr-CA"/>
        </w:rPr>
        <w:t xml:space="preserve">24(1) de la </w:t>
      </w:r>
      <w:r w:rsidRPr="00745E68">
        <w:rPr>
          <w:rFonts w:cs="Times New Roman"/>
          <w:i/>
          <w:lang w:val="fr-CA"/>
        </w:rPr>
        <w:t>Charte</w:t>
      </w:r>
      <w:r w:rsidRPr="00745E68">
        <w:rPr>
          <w:rFonts w:cs="Times New Roman"/>
          <w:lang w:val="fr-CA"/>
        </w:rPr>
        <w:t xml:space="preserve">. </w:t>
      </w:r>
    </w:p>
    <w:p w:rsidR="002A4851" w:rsidRPr="00745E68" w:rsidRDefault="002A4851" w:rsidP="00A659A4">
      <w:pPr>
        <w:pStyle w:val="ParaNoNdepar-AltN"/>
        <w:rPr>
          <w:rFonts w:cs="Times New Roman"/>
          <w:lang w:val="fr-CA"/>
        </w:rPr>
      </w:pPr>
      <w:r w:rsidRPr="00745E68">
        <w:rPr>
          <w:rFonts w:cs="Times New Roman"/>
          <w:lang w:val="fr-CA"/>
        </w:rPr>
        <w:t>Comme nous l’avons vu, l’accent est alors mis sur la constitutionnalité non pas de la loi comme telle, mais bien de l’acte de l’État, à savoir le choix du mode de poursuite. La décision d’opter pour la procédure sommaire ou la mise en accusation relève du pouvoir discrétionnaire essentiel en matière de poursuites, un pouvoir susceptible de contrôle uniquement en cas d’abus de procédure (</w:t>
      </w:r>
      <w:r w:rsidRPr="00745E68">
        <w:rPr>
          <w:rFonts w:cs="Times New Roman"/>
          <w:i/>
          <w:spacing w:val="-3"/>
          <w:lang w:val="fr-CA"/>
        </w:rPr>
        <w:t>R. c.</w:t>
      </w:r>
      <w:r w:rsidRPr="00745E68">
        <w:rPr>
          <w:rFonts w:cs="Times New Roman"/>
          <w:spacing w:val="-3"/>
          <w:lang w:val="fr-CA"/>
        </w:rPr>
        <w:t xml:space="preserve"> </w:t>
      </w:r>
      <w:r w:rsidRPr="00745E68">
        <w:rPr>
          <w:rFonts w:cs="Times New Roman"/>
          <w:i/>
          <w:spacing w:val="-3"/>
          <w:lang w:val="fr-CA"/>
        </w:rPr>
        <w:t>Anderson</w:t>
      </w:r>
      <w:r w:rsidRPr="00745E68">
        <w:rPr>
          <w:rFonts w:cs="Times New Roman"/>
          <w:spacing w:val="-3"/>
          <w:lang w:val="fr-CA"/>
        </w:rPr>
        <w:t xml:space="preserve">, 2014 CSC 41, </w:t>
      </w:r>
      <w:r w:rsidRPr="00745E68">
        <w:rPr>
          <w:rFonts w:cs="Times New Roman"/>
          <w:lang w:val="fr-CA"/>
        </w:rPr>
        <w:t>[2014] 2 R.C.S. 167</w:t>
      </w:r>
      <w:r w:rsidRPr="00745E68">
        <w:rPr>
          <w:rFonts w:cs="Times New Roman"/>
          <w:spacing w:val="-3"/>
          <w:lang w:val="fr-CA"/>
        </w:rPr>
        <w:t xml:space="preserve">, </w:t>
      </w:r>
      <w:r>
        <w:rPr>
          <w:rFonts w:cs="Times New Roman"/>
          <w:spacing w:val="-3"/>
          <w:lang w:val="fr-CA"/>
        </w:rPr>
        <w:t>par.</w:t>
      </w:r>
      <w:r w:rsidR="00B029AB">
        <w:rPr>
          <w:rFonts w:cs="Times New Roman"/>
          <w:spacing w:val="-3"/>
          <w:lang w:val="fr-CA"/>
        </w:rPr>
        <w:t xml:space="preserve"> </w:t>
      </w:r>
      <w:r w:rsidRPr="00745E68">
        <w:rPr>
          <w:rFonts w:cs="Times New Roman"/>
          <w:spacing w:val="-3"/>
          <w:lang w:val="fr-CA"/>
        </w:rPr>
        <w:t>44 et 48)</w:t>
      </w:r>
      <w:r w:rsidRPr="00745E68">
        <w:rPr>
          <w:rFonts w:cs="Times New Roman"/>
          <w:lang w:val="fr-CA"/>
        </w:rPr>
        <w:t xml:space="preserve">. À mon sens, lorsque le choix de la mise en accusation entraînerait l’imposition d’une peine totalement </w:t>
      </w:r>
      <w:r w:rsidRPr="00745E68">
        <w:rPr>
          <w:rFonts w:cs="Times New Roman"/>
          <w:lang w:val="fr-CA"/>
        </w:rPr>
        <w:lastRenderedPageBreak/>
        <w:t>disproportionnée, il y a abus de procédure en soi contrairement à l’</w:t>
      </w:r>
      <w:r>
        <w:rPr>
          <w:rFonts w:cs="Times New Roman"/>
          <w:lang w:val="fr-CA"/>
        </w:rPr>
        <w:t>art.</w:t>
      </w:r>
      <w:r w:rsidR="00B029AB">
        <w:rPr>
          <w:rFonts w:cs="Times New Roman"/>
          <w:lang w:val="fr-CA"/>
        </w:rPr>
        <w:t xml:space="preserve"> </w:t>
      </w:r>
      <w:r w:rsidRPr="00745E68">
        <w:rPr>
          <w:rFonts w:cs="Times New Roman"/>
          <w:lang w:val="fr-CA"/>
        </w:rPr>
        <w:t xml:space="preserve">12. En général, la réparation convenable et juste dans les circonstances consiste à réduire la durée de la peine de façon qu’elle soit inférieure à la peine minimale obligatoire. </w:t>
      </w:r>
    </w:p>
    <w:p w:rsidR="002A4851" w:rsidRPr="00E20EA5" w:rsidRDefault="002A4851" w:rsidP="00DD6118">
      <w:pPr>
        <w:pStyle w:val="Title4LevelTitre4Niveau"/>
        <w:rPr>
          <w:lang w:val="fr-CA"/>
        </w:rPr>
      </w:pPr>
      <w:r w:rsidRPr="00E20EA5">
        <w:rPr>
          <w:lang w:val="fr-CA"/>
        </w:rPr>
        <w:t>Application de la notion d’abus de procédure suivant le cadre d’analyse proposé</w:t>
      </w:r>
    </w:p>
    <w:p w:rsidR="002A4851" w:rsidRPr="00745E68" w:rsidRDefault="002A4851" w:rsidP="00A659A4">
      <w:pPr>
        <w:pStyle w:val="ParaNoNdepar-AltN"/>
        <w:rPr>
          <w:rFonts w:cs="Times New Roman"/>
          <w:lang w:val="fr-CA"/>
        </w:rPr>
      </w:pPr>
      <w:r w:rsidRPr="00745E68">
        <w:rPr>
          <w:rFonts w:cs="Times New Roman"/>
          <w:lang w:val="fr-CA"/>
        </w:rPr>
        <w:t>La jurisprudence relative à l’abus de procédure au regard de l’</w:t>
      </w:r>
      <w:r>
        <w:rPr>
          <w:rFonts w:cs="Times New Roman"/>
          <w:lang w:val="fr-CA"/>
        </w:rPr>
        <w:t>art.</w:t>
      </w:r>
      <w:r w:rsidR="00B029AB">
        <w:rPr>
          <w:rFonts w:cs="Times New Roman"/>
          <w:lang w:val="fr-CA"/>
        </w:rPr>
        <w:t xml:space="preserve"> </w:t>
      </w:r>
      <w:r w:rsidRPr="00745E68">
        <w:rPr>
          <w:rFonts w:cs="Times New Roman"/>
          <w:lang w:val="fr-CA"/>
        </w:rPr>
        <w:t xml:space="preserve">7 de la </w:t>
      </w:r>
      <w:r w:rsidRPr="00745E68">
        <w:rPr>
          <w:rFonts w:cs="Times New Roman"/>
          <w:i/>
          <w:lang w:val="fr-CA"/>
        </w:rPr>
        <w:t>Charte</w:t>
      </w:r>
      <w:r w:rsidRPr="00745E68">
        <w:rPr>
          <w:rFonts w:cs="Times New Roman"/>
          <w:lang w:val="fr-CA"/>
        </w:rPr>
        <w:t xml:space="preserve"> est compatible avec le cadre d’analyse que je propose. Dans l’arrêt </w:t>
      </w:r>
      <w:r w:rsidRPr="00745E68">
        <w:rPr>
          <w:rFonts w:cs="Times New Roman"/>
          <w:i/>
          <w:lang w:val="fr-CA"/>
        </w:rPr>
        <w:t>R. c. Nixon</w:t>
      </w:r>
      <w:r w:rsidRPr="00745E68">
        <w:rPr>
          <w:rFonts w:cs="Times New Roman"/>
          <w:lang w:val="fr-CA"/>
        </w:rPr>
        <w:t xml:space="preserve">, 2011 CSC 34, [2011] 2 R.C.S. 566, la Cour renvoie à deux catégories d’abus de procédure. La première concerne </w:t>
      </w:r>
      <w:r w:rsidR="00B029AB">
        <w:rPr>
          <w:rFonts w:eastAsia="Times New Roman" w:cs="Times New Roman"/>
          <w:szCs w:val="24"/>
          <w:lang w:val="fr-CA" w:eastAsia="en-CA"/>
        </w:rPr>
        <w:t>« </w:t>
      </w:r>
      <w:r w:rsidRPr="00745E68">
        <w:rPr>
          <w:rFonts w:eastAsia="Times New Roman" w:cs="Times New Roman"/>
          <w:szCs w:val="24"/>
          <w:lang w:val="fr-CA" w:eastAsia="en-CA"/>
        </w:rPr>
        <w:t>les cas où la conduite du poursuivant porte atteinte à l’équité du procès</w:t>
      </w:r>
      <w:r w:rsidR="00B029AB">
        <w:rPr>
          <w:rFonts w:eastAsia="Times New Roman" w:cs="Times New Roman"/>
          <w:szCs w:val="24"/>
          <w:lang w:val="fr-CA" w:eastAsia="en-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36). La seconde — résiduelle — vise </w:t>
      </w:r>
      <w:r w:rsidR="00B029AB">
        <w:rPr>
          <w:rFonts w:cs="Times New Roman"/>
          <w:lang w:val="fr-CA"/>
        </w:rPr>
        <w:t>« </w:t>
      </w:r>
      <w:r w:rsidRPr="00745E68">
        <w:rPr>
          <w:rFonts w:cs="Times New Roman"/>
          <w:lang w:val="fr-CA"/>
        </w:rPr>
        <w:t>les cas où la conduite [.</w:t>
      </w:r>
      <w:r w:rsidR="00B029AB">
        <w:rPr>
          <w:rFonts w:cs="Times New Roman"/>
          <w:lang w:val="fr-CA"/>
        </w:rPr>
        <w:t xml:space="preserve"> </w:t>
      </w:r>
      <w:r w:rsidRPr="00745E68">
        <w:rPr>
          <w:rFonts w:cs="Times New Roman"/>
          <w:lang w:val="fr-CA"/>
        </w:rPr>
        <w:t>.</w:t>
      </w:r>
      <w:r w:rsidR="00B029AB">
        <w:rPr>
          <w:rFonts w:cs="Times New Roman"/>
          <w:lang w:val="fr-CA"/>
        </w:rPr>
        <w:t xml:space="preserve"> </w:t>
      </w:r>
      <w:r w:rsidRPr="00745E68">
        <w:rPr>
          <w:rFonts w:cs="Times New Roman"/>
          <w:lang w:val="fr-CA"/>
        </w:rPr>
        <w:t>.] “contre[vient] aux notions fondamentales de justice et [mine] ainsi l’intégrité du processus judiciaire”</w:t>
      </w:r>
      <w:r w:rsidR="00B029AB">
        <w:rPr>
          <w:rFonts w:cs="Times New Roman"/>
          <w:lang w:val="fr-CA"/>
        </w:rPr>
        <w:t> »</w:t>
      </w:r>
      <w:r w:rsidRPr="00745E68">
        <w:rPr>
          <w:rFonts w:cs="Times New Roman"/>
          <w:lang w:val="fr-CA"/>
        </w:rPr>
        <w:t xml:space="preserve"> (</w:t>
      </w:r>
      <w:r w:rsidRPr="00745E68">
        <w:rPr>
          <w:rFonts w:cs="Times New Roman"/>
          <w:i/>
          <w:lang w:val="fr-CA"/>
        </w:rPr>
        <w:t>ibid.</w:t>
      </w:r>
      <w:r w:rsidRPr="00745E68">
        <w:rPr>
          <w:rFonts w:cs="Times New Roman"/>
          <w:lang w:val="fr-CA"/>
        </w:rPr>
        <w:t xml:space="preserve">, citant </w:t>
      </w:r>
      <w:r w:rsidRPr="00745E68">
        <w:rPr>
          <w:rFonts w:cs="Times New Roman"/>
          <w:i/>
          <w:lang w:val="fr-CA"/>
        </w:rPr>
        <w:t>R. c. O’Connor</w:t>
      </w:r>
      <w:r w:rsidRPr="00745E68">
        <w:rPr>
          <w:rFonts w:cs="Times New Roman"/>
          <w:lang w:val="fr-CA"/>
        </w:rPr>
        <w:t xml:space="preserve">, [1995] 4 R.C.S. 411, </w:t>
      </w:r>
      <w:r>
        <w:rPr>
          <w:rFonts w:cs="Times New Roman"/>
          <w:lang w:val="fr-CA"/>
        </w:rPr>
        <w:t>par.</w:t>
      </w:r>
      <w:r w:rsidR="00B029AB">
        <w:rPr>
          <w:rFonts w:cs="Times New Roman"/>
          <w:lang w:val="fr-CA"/>
        </w:rPr>
        <w:t xml:space="preserve"> </w:t>
      </w:r>
      <w:r w:rsidRPr="00745E68">
        <w:rPr>
          <w:rFonts w:cs="Times New Roman"/>
          <w:lang w:val="fr-CA"/>
        </w:rPr>
        <w:t xml:space="preserve">73). </w:t>
      </w:r>
    </w:p>
    <w:p w:rsidR="002A4851" w:rsidRPr="00745E68" w:rsidRDefault="002A4851" w:rsidP="00A659A4">
      <w:pPr>
        <w:pStyle w:val="ParaNoNdepar-AltN"/>
        <w:rPr>
          <w:rFonts w:cs="Times New Roman"/>
          <w:lang w:val="fr-CA"/>
        </w:rPr>
      </w:pPr>
      <w:r w:rsidRPr="00745E68">
        <w:rPr>
          <w:rFonts w:cs="Times New Roman"/>
          <w:lang w:val="fr-CA"/>
        </w:rPr>
        <w:t xml:space="preserve">Les cas où la conduite du poursuivant mènerait à l’imposition d’une peine totalement disproportionnée relèvent, à mon avis, de cette catégorie résiduelle. L’acte de l’État qui expose le délinquant au risque de subir une peine cruelle et inusitée contrevient nécessairement aux </w:t>
      </w:r>
      <w:r w:rsidR="00B029AB">
        <w:rPr>
          <w:rFonts w:cs="Times New Roman"/>
          <w:lang w:val="fr-CA"/>
        </w:rPr>
        <w:t>« </w:t>
      </w:r>
      <w:r w:rsidRPr="00745E68">
        <w:rPr>
          <w:rFonts w:cs="Times New Roman"/>
          <w:lang w:val="fr-CA"/>
        </w:rPr>
        <w:t>notions fondamentales de justice</w:t>
      </w:r>
      <w:r w:rsidR="00B029AB">
        <w:rPr>
          <w:rFonts w:cs="Times New Roman"/>
          <w:lang w:val="fr-CA"/>
        </w:rPr>
        <w:t> »</w:t>
      </w:r>
      <w:r w:rsidRPr="00745E68">
        <w:rPr>
          <w:rFonts w:cs="Times New Roman"/>
          <w:lang w:val="fr-CA"/>
        </w:rPr>
        <w:t xml:space="preserve"> et </w:t>
      </w:r>
      <w:r w:rsidR="00B029AB">
        <w:rPr>
          <w:rFonts w:cs="Times New Roman"/>
          <w:lang w:val="fr-CA"/>
        </w:rPr>
        <w:t>« </w:t>
      </w:r>
      <w:r w:rsidRPr="00745E68">
        <w:rPr>
          <w:rFonts w:cs="Times New Roman"/>
          <w:lang w:val="fr-CA"/>
        </w:rPr>
        <w:t>[mine] [.</w:t>
      </w:r>
      <w:r w:rsidR="00B029AB">
        <w:rPr>
          <w:rFonts w:cs="Times New Roman"/>
          <w:lang w:val="fr-CA"/>
        </w:rPr>
        <w:t xml:space="preserve"> </w:t>
      </w:r>
      <w:r w:rsidRPr="00745E68">
        <w:rPr>
          <w:rFonts w:cs="Times New Roman"/>
          <w:lang w:val="fr-CA"/>
        </w:rPr>
        <w:t>.</w:t>
      </w:r>
      <w:r w:rsidR="00B029AB">
        <w:rPr>
          <w:rFonts w:cs="Times New Roman"/>
          <w:lang w:val="fr-CA"/>
        </w:rPr>
        <w:t xml:space="preserve"> </w:t>
      </w:r>
      <w:r w:rsidRPr="00745E68">
        <w:rPr>
          <w:rFonts w:cs="Times New Roman"/>
          <w:lang w:val="fr-CA"/>
        </w:rPr>
        <w:t>.] l’intégrité du processus judiciaire</w:t>
      </w:r>
      <w:r w:rsidR="00B029AB">
        <w:rPr>
          <w:rFonts w:cs="Times New Roman"/>
          <w:lang w:val="fr-CA"/>
        </w:rPr>
        <w:t> »</w:t>
      </w:r>
      <w:r w:rsidRPr="00745E68">
        <w:rPr>
          <w:rFonts w:cs="Times New Roman"/>
          <w:lang w:val="fr-CA"/>
        </w:rPr>
        <w:t xml:space="preserve"> (</w:t>
      </w:r>
      <w:r w:rsidRPr="00745E68">
        <w:rPr>
          <w:rFonts w:cs="Times New Roman"/>
          <w:i/>
          <w:lang w:val="fr-CA"/>
        </w:rPr>
        <w:t>ibid.</w:t>
      </w:r>
      <w:r w:rsidRPr="00745E68">
        <w:rPr>
          <w:rFonts w:cs="Times New Roman"/>
          <w:lang w:val="fr-CA"/>
        </w:rPr>
        <w:t xml:space="preserve">). Même si, dans l’arrêt </w:t>
      </w:r>
      <w:r w:rsidRPr="00745E68">
        <w:rPr>
          <w:rFonts w:cs="Times New Roman"/>
          <w:i/>
          <w:lang w:val="fr-CA"/>
        </w:rPr>
        <w:t>Nixon</w:t>
      </w:r>
      <w:r w:rsidRPr="00745E68">
        <w:rPr>
          <w:rFonts w:cs="Times New Roman"/>
          <w:lang w:val="fr-CA"/>
        </w:rPr>
        <w:t>, l’analyse de la Cour se fonde sur l’</w:t>
      </w:r>
      <w:r>
        <w:rPr>
          <w:rFonts w:cs="Times New Roman"/>
          <w:lang w:val="fr-CA"/>
        </w:rPr>
        <w:t>art.</w:t>
      </w:r>
      <w:r w:rsidR="00B029AB">
        <w:rPr>
          <w:rFonts w:cs="Times New Roman"/>
          <w:lang w:val="fr-CA"/>
        </w:rPr>
        <w:t xml:space="preserve"> </w:t>
      </w:r>
      <w:r w:rsidRPr="00745E68">
        <w:rPr>
          <w:rFonts w:cs="Times New Roman"/>
          <w:lang w:val="fr-CA"/>
        </w:rPr>
        <w:t xml:space="preserve">7 de la </w:t>
      </w:r>
      <w:r w:rsidRPr="00745E68">
        <w:rPr>
          <w:rFonts w:cs="Times New Roman"/>
          <w:i/>
          <w:lang w:val="fr-CA"/>
        </w:rPr>
        <w:t>Charte</w:t>
      </w:r>
      <w:r w:rsidRPr="00745E68">
        <w:rPr>
          <w:rFonts w:cs="Times New Roman"/>
          <w:lang w:val="fr-CA"/>
        </w:rPr>
        <w:t>, je suis convaincu qu’il peut également y avoir abus de procédure de nature résiduelle au regard de l’</w:t>
      </w:r>
      <w:r>
        <w:rPr>
          <w:rFonts w:cs="Times New Roman"/>
          <w:lang w:val="fr-CA"/>
        </w:rPr>
        <w:t>art.</w:t>
      </w:r>
      <w:r w:rsidR="00B029AB">
        <w:rPr>
          <w:rFonts w:cs="Times New Roman"/>
          <w:lang w:val="fr-CA"/>
        </w:rPr>
        <w:t xml:space="preserve"> </w:t>
      </w:r>
      <w:r w:rsidRPr="00745E68">
        <w:rPr>
          <w:rFonts w:cs="Times New Roman"/>
          <w:lang w:val="fr-CA"/>
        </w:rPr>
        <w:t xml:space="preserve">12. </w:t>
      </w:r>
    </w:p>
    <w:p w:rsidR="002A4851" w:rsidRPr="00745E68" w:rsidRDefault="002A4851" w:rsidP="00A659A4">
      <w:pPr>
        <w:pStyle w:val="ParaNoNdepar-AltN"/>
        <w:rPr>
          <w:rFonts w:cs="Times New Roman"/>
          <w:lang w:val="fr-CA"/>
        </w:rPr>
      </w:pPr>
      <w:r w:rsidRPr="00745E68">
        <w:rPr>
          <w:rFonts w:cs="Times New Roman"/>
          <w:lang w:val="fr-CA"/>
        </w:rPr>
        <w:lastRenderedPageBreak/>
        <w:t xml:space="preserve">L’abus de procédure se caractérise habituellement par une conduite répréhensible intentionnelle ou par la mauvaise foi. Cependant, dans </w:t>
      </w:r>
      <w:r w:rsidRPr="00745E68">
        <w:rPr>
          <w:rFonts w:cs="Times New Roman"/>
          <w:i/>
          <w:lang w:val="fr-CA"/>
        </w:rPr>
        <w:t>R. c. Babos</w:t>
      </w:r>
      <w:r w:rsidRPr="00745E68">
        <w:rPr>
          <w:rFonts w:cs="Times New Roman"/>
          <w:lang w:val="fr-CA"/>
        </w:rPr>
        <w:t>, 2014 CSC 16, [2014] 1 R.C.S. 309, la Cour affirme</w:t>
      </w:r>
      <w:r w:rsidR="00B029AB">
        <w:rPr>
          <w:rFonts w:cs="Times New Roman"/>
          <w:lang w:val="fr-CA"/>
        </w:rPr>
        <w:t> :</w:t>
      </w:r>
      <w:r w:rsidRPr="00745E68">
        <w:rPr>
          <w:rFonts w:cs="Times New Roman"/>
          <w:lang w:val="fr-CA"/>
        </w:rPr>
        <w:t xml:space="preserve"> </w:t>
      </w:r>
    </w:p>
    <w:p w:rsidR="002A4851" w:rsidRPr="00745E68" w:rsidRDefault="002A4851" w:rsidP="00A659A4">
      <w:pPr>
        <w:pStyle w:val="Citation-AltC"/>
        <w:ind w:hanging="1166"/>
        <w:contextualSpacing w:val="0"/>
        <w:rPr>
          <w:lang w:val="fr-CA"/>
        </w:rPr>
      </w:pPr>
      <w:r>
        <w:rPr>
          <w:lang w:val="fr-CA"/>
        </w:rPr>
        <w:tab/>
      </w:r>
      <w:r w:rsidRPr="00745E68">
        <w:rPr>
          <w:lang w:val="fr-CA"/>
        </w:rPr>
        <w:t xml:space="preserve">bien qu’il soit généralement vrai que l’on invoque la catégorie résiduelle [de l’abus de procédure] à la suite d’une </w:t>
      </w:r>
      <w:r w:rsidRPr="00745E68">
        <w:rPr>
          <w:i/>
          <w:lang w:val="fr-CA"/>
        </w:rPr>
        <w:t>conduite répréhensible</w:t>
      </w:r>
      <w:r w:rsidRPr="00745E68">
        <w:rPr>
          <w:lang w:val="fr-CA"/>
        </w:rPr>
        <w:t xml:space="preserve"> de l’État, il n’en est pas toujours ainsi.</w:t>
      </w:r>
      <w:r>
        <w:rPr>
          <w:lang w:val="fr-CA"/>
        </w:rPr>
        <w:t xml:space="preserve"> </w:t>
      </w:r>
      <w:r w:rsidRPr="00745E68">
        <w:rPr>
          <w:lang w:val="fr-CA"/>
        </w:rPr>
        <w:t>Il peut y avoir des situations où l’intégrité du système de justice est en jeu en l’absence d’une conduite répréhensible. [</w:t>
      </w:r>
      <w:r w:rsidR="00DD6118">
        <w:rPr>
          <w:lang w:val="fr-CA"/>
        </w:rPr>
        <w:t>En italique</w:t>
      </w:r>
      <w:r w:rsidRPr="00745E68">
        <w:rPr>
          <w:lang w:val="fr-CA"/>
        </w:rPr>
        <w:t xml:space="preserve"> dans l’original; </w:t>
      </w:r>
      <w:r>
        <w:rPr>
          <w:lang w:val="fr-CA"/>
        </w:rPr>
        <w:t>par.</w:t>
      </w:r>
      <w:r w:rsidR="00B029AB">
        <w:rPr>
          <w:lang w:val="fr-CA"/>
        </w:rPr>
        <w:t xml:space="preserve"> </w:t>
      </w:r>
      <w:r w:rsidRPr="00745E68">
        <w:rPr>
          <w:lang w:val="fr-CA"/>
        </w:rPr>
        <w:t xml:space="preserve">37.] </w:t>
      </w:r>
    </w:p>
    <w:p w:rsidR="002A4851" w:rsidRPr="00745E68" w:rsidRDefault="002A4851" w:rsidP="00A659A4">
      <w:pPr>
        <w:pStyle w:val="ContinueParaSuitedupar-AltP"/>
        <w:rPr>
          <w:rFonts w:cs="Times New Roman"/>
          <w:lang w:val="fr-CA"/>
        </w:rPr>
      </w:pPr>
      <w:r w:rsidRPr="00745E68">
        <w:rPr>
          <w:rFonts w:cs="Times New Roman"/>
          <w:lang w:val="fr-CA"/>
        </w:rPr>
        <w:t xml:space="preserve">La juge Charron exprime un point de vue semblable dans l’arrêt </w:t>
      </w:r>
      <w:r w:rsidRPr="00745E68">
        <w:rPr>
          <w:rFonts w:cs="Times New Roman"/>
          <w:i/>
          <w:lang w:val="fr-CA"/>
        </w:rPr>
        <w:t>Nixon</w:t>
      </w:r>
      <w:r w:rsidRPr="00745E68">
        <w:rPr>
          <w:rFonts w:cs="Times New Roman"/>
          <w:lang w:val="fr-CA"/>
        </w:rPr>
        <w:t xml:space="preserve"> et signale que </w:t>
      </w:r>
      <w:r w:rsidR="00B029AB">
        <w:rPr>
          <w:rFonts w:cs="Times New Roman"/>
          <w:lang w:val="fr-CA"/>
        </w:rPr>
        <w:t>« </w:t>
      </w:r>
      <w:r w:rsidRPr="00745E68">
        <w:rPr>
          <w:rFonts w:cs="Times New Roman"/>
          <w:lang w:val="fr-CA"/>
        </w:rPr>
        <w:t>la preuve d’une conduite répréhensible du poursuivant, quoique pertinente, n’est pas une condition préalable</w:t>
      </w:r>
      <w:r w:rsidR="00B029AB">
        <w:rPr>
          <w:rFonts w:cs="Times New Roman"/>
          <w:lang w:val="fr-CA"/>
        </w:rPr>
        <w:t> »</w:t>
      </w:r>
      <w:r w:rsidRPr="00745E68">
        <w:rPr>
          <w:rFonts w:cs="Times New Roman"/>
          <w:lang w:val="fr-CA"/>
        </w:rPr>
        <w:t xml:space="preserve"> pour conclure à l’abus de procé</w:t>
      </w:r>
      <w:r w:rsidR="00DD6118">
        <w:rPr>
          <w:rFonts w:cs="Times New Roman"/>
          <w:lang w:val="fr-CA"/>
        </w:rPr>
        <w:t>d</w:t>
      </w:r>
      <w:r w:rsidRPr="00745E68">
        <w:rPr>
          <w:rFonts w:cs="Times New Roman"/>
          <w:lang w:val="fr-CA"/>
        </w:rPr>
        <w:t>ure (</w:t>
      </w:r>
      <w:r>
        <w:rPr>
          <w:rFonts w:cs="Times New Roman"/>
          <w:lang w:val="fr-CA"/>
        </w:rPr>
        <w:t>par.</w:t>
      </w:r>
      <w:r w:rsidR="00B029AB">
        <w:rPr>
          <w:rFonts w:cs="Times New Roman"/>
          <w:lang w:val="fr-CA"/>
        </w:rPr>
        <w:t xml:space="preserve"> </w:t>
      </w:r>
      <w:r w:rsidRPr="00745E68">
        <w:rPr>
          <w:rFonts w:cs="Times New Roman"/>
          <w:lang w:val="fr-CA"/>
        </w:rPr>
        <w:t xml:space="preserve">39). </w:t>
      </w:r>
    </w:p>
    <w:p w:rsidR="002A4851" w:rsidRPr="00745E68" w:rsidRDefault="002A4851" w:rsidP="00A659A4">
      <w:pPr>
        <w:pStyle w:val="ParaNoNdepar-AltN"/>
        <w:rPr>
          <w:rFonts w:cs="Times New Roman"/>
          <w:lang w:val="fr-CA"/>
        </w:rPr>
      </w:pPr>
      <w:r w:rsidRPr="00745E68">
        <w:rPr>
          <w:rFonts w:cs="Times New Roman"/>
          <w:lang w:val="fr-CA"/>
        </w:rPr>
        <w:t xml:space="preserve">Ce principe est établi depuis longtemps. En fait, dans </w:t>
      </w:r>
      <w:r w:rsidRPr="00745E68">
        <w:rPr>
          <w:rFonts w:cs="Times New Roman"/>
          <w:i/>
          <w:lang w:val="fr-CA"/>
        </w:rPr>
        <w:t>Nixon</w:t>
      </w:r>
      <w:r w:rsidRPr="00745E68">
        <w:rPr>
          <w:rFonts w:cs="Times New Roman"/>
          <w:lang w:val="fr-CA"/>
        </w:rPr>
        <w:t xml:space="preserve">, la juge Charron cite l’arrêt </w:t>
      </w:r>
      <w:r w:rsidRPr="00745E68">
        <w:rPr>
          <w:rFonts w:cs="Times New Roman"/>
          <w:i/>
          <w:lang w:val="fr-CA"/>
        </w:rPr>
        <w:t>R. c. Keyowski</w:t>
      </w:r>
      <w:r w:rsidRPr="00745E68">
        <w:rPr>
          <w:rFonts w:cs="Times New Roman"/>
          <w:lang w:val="fr-CA"/>
        </w:rPr>
        <w:t>, [1988] 1 R.C.S. 657, où la Cour fait remarquer qu’</w:t>
      </w:r>
      <w:r w:rsidR="00B029AB">
        <w:rPr>
          <w:rFonts w:cs="Times New Roman"/>
          <w:lang w:val="fr-CA"/>
        </w:rPr>
        <w:t>« </w:t>
      </w:r>
      <w:r w:rsidRPr="00745E68">
        <w:rPr>
          <w:rFonts w:cs="Times New Roman"/>
          <w:lang w:val="fr-CA"/>
        </w:rPr>
        <w:t>exige[r] qu’il y ait une conduite blâmable ou un motif illégitime limiterait indûment l’application du principe</w:t>
      </w:r>
      <w:r w:rsidR="00B029AB">
        <w:rPr>
          <w:rFonts w:cs="Times New Roman"/>
          <w:lang w:val="fr-CA"/>
        </w:rPr>
        <w:t> »</w:t>
      </w:r>
      <w:r w:rsidRPr="00745E68">
        <w:rPr>
          <w:rFonts w:cs="Times New Roman"/>
          <w:spacing w:val="-3"/>
          <w:lang w:val="fr-CA"/>
        </w:rPr>
        <w:t xml:space="preserve"> et que </w:t>
      </w:r>
      <w:r w:rsidR="00B029AB">
        <w:rPr>
          <w:rFonts w:cs="Times New Roman"/>
          <w:spacing w:val="-3"/>
          <w:lang w:val="fr-CA"/>
        </w:rPr>
        <w:t>« </w:t>
      </w:r>
      <w:r w:rsidRPr="00745E68">
        <w:rPr>
          <w:rFonts w:cs="Times New Roman"/>
          <w:spacing w:val="-3"/>
          <w:lang w:val="fr-CA"/>
        </w:rPr>
        <w:t>[l]a conduite blâmable de la poursuite et l’existence d’un motif illégitime ne sont que deux des nombreux facteurs [à] prendre en considération</w:t>
      </w:r>
      <w:r w:rsidR="00B029AB">
        <w:rPr>
          <w:rFonts w:cs="Times New Roman"/>
          <w:spacing w:val="-3"/>
          <w:lang w:val="fr-CA"/>
        </w:rPr>
        <w:t> »</w:t>
      </w:r>
      <w:r w:rsidRPr="00745E68">
        <w:rPr>
          <w:rFonts w:cs="Times New Roman"/>
          <w:spacing w:val="-3"/>
          <w:lang w:val="fr-CA"/>
        </w:rPr>
        <w:t xml:space="preserve"> (</w:t>
      </w:r>
      <w:r>
        <w:rPr>
          <w:rFonts w:cs="Times New Roman"/>
          <w:spacing w:val="-3"/>
          <w:lang w:val="fr-CA"/>
        </w:rPr>
        <w:t>p.</w:t>
      </w:r>
      <w:r w:rsidR="00B029AB">
        <w:rPr>
          <w:rFonts w:cs="Times New Roman"/>
          <w:spacing w:val="-3"/>
          <w:lang w:val="fr-CA"/>
        </w:rPr>
        <w:t xml:space="preserve"> </w:t>
      </w:r>
      <w:r w:rsidRPr="00745E68">
        <w:rPr>
          <w:rFonts w:cs="Times New Roman"/>
          <w:spacing w:val="-3"/>
          <w:lang w:val="fr-CA"/>
        </w:rPr>
        <w:t>659). Aucune décision ultérieure n’a modifié ce principe.</w:t>
      </w:r>
    </w:p>
    <w:p w:rsidR="002A4851" w:rsidRPr="00745E68" w:rsidRDefault="002A4851" w:rsidP="00A659A4">
      <w:pPr>
        <w:pStyle w:val="ParaNoNdepar-AltN"/>
        <w:rPr>
          <w:rFonts w:cs="Times New Roman"/>
          <w:lang w:val="fr-CA"/>
        </w:rPr>
      </w:pPr>
      <w:r w:rsidRPr="00745E68">
        <w:rPr>
          <w:rFonts w:cs="Times New Roman"/>
          <w:spacing w:val="-3"/>
          <w:lang w:val="fr-CA"/>
        </w:rPr>
        <w:t xml:space="preserve">À titre d’exemple, le principe a été appliqué dans </w:t>
      </w:r>
      <w:r w:rsidRPr="00745E68">
        <w:rPr>
          <w:rFonts w:cs="Times New Roman"/>
          <w:i/>
          <w:spacing w:val="-3"/>
          <w:lang w:val="fr-CA"/>
        </w:rPr>
        <w:t xml:space="preserve">R. c. Jack </w:t>
      </w:r>
      <w:r w:rsidRPr="00745E68">
        <w:rPr>
          <w:rFonts w:cs="Times New Roman"/>
          <w:spacing w:val="-3"/>
          <w:lang w:val="fr-CA"/>
        </w:rPr>
        <w:t xml:space="preserve">(1996), 113 Man. R. (2d) 260 (C.A.), où la Cour d’appel du Manitoba s’est demandé si la tenue d’un quatrième procès pour la même accusation constituait un abus de procédure de la part du poursuivant. Prenant appui sur l’arrêt </w:t>
      </w:r>
      <w:r w:rsidRPr="00745E68">
        <w:rPr>
          <w:rFonts w:cs="Times New Roman"/>
          <w:i/>
          <w:spacing w:val="-3"/>
          <w:lang w:val="fr-CA"/>
        </w:rPr>
        <w:t>Keyowski</w:t>
      </w:r>
      <w:r w:rsidRPr="00745E68">
        <w:rPr>
          <w:rFonts w:cs="Times New Roman"/>
          <w:spacing w:val="-3"/>
          <w:lang w:val="fr-CA"/>
        </w:rPr>
        <w:t xml:space="preserve">, elle a opiné que, même en l’absence d’une conduite blâmable de la part du poursuivant, une série de procès pouvait </w:t>
      </w:r>
      <w:r w:rsidRPr="00745E68">
        <w:rPr>
          <w:rFonts w:cs="Times New Roman"/>
          <w:spacing w:val="-3"/>
          <w:lang w:val="fr-CA"/>
        </w:rPr>
        <w:lastRenderedPageBreak/>
        <w:t>constituer en soi un abus de procédure. Elle a donc estimé que l’arrêt des procédures était indiqué, car un quatrième procès aurait heurté le sens collectif du franc</w:t>
      </w:r>
      <w:r w:rsidR="00B029AB">
        <w:rPr>
          <w:rFonts w:cs="Times New Roman"/>
          <w:spacing w:val="-3"/>
          <w:lang w:val="fr-CA"/>
        </w:rPr>
        <w:t>-</w:t>
      </w:r>
      <w:r w:rsidRPr="00745E68">
        <w:rPr>
          <w:rFonts w:cs="Times New Roman"/>
          <w:spacing w:val="-3"/>
          <w:lang w:val="fr-CA"/>
        </w:rPr>
        <w:t>jeu et de la décence. Le juge en chef Lamer a confirmé la conclusion selon laquelle il y avait eu abus de procédure et il a ordonné l’arrêt des procédures (</w:t>
      </w:r>
      <w:r w:rsidRPr="00745E68">
        <w:rPr>
          <w:rFonts w:cs="Times New Roman"/>
          <w:i/>
          <w:spacing w:val="-3"/>
          <w:lang w:val="fr-CA"/>
        </w:rPr>
        <w:t>R. c. Jack</w:t>
      </w:r>
      <w:r w:rsidRPr="00745E68">
        <w:rPr>
          <w:rFonts w:cs="Times New Roman"/>
          <w:spacing w:val="-3"/>
          <w:lang w:val="fr-CA"/>
        </w:rPr>
        <w:t xml:space="preserve">, [1997] 2 R.C.S. 334). Le droit applicable est clair. L’accusé n’a pas à prouver la conduite blâmable du poursuivant pour établir l’abus de procédure. </w:t>
      </w:r>
    </w:p>
    <w:p w:rsidR="002A4851" w:rsidRPr="00745E68" w:rsidRDefault="002A4851" w:rsidP="00A659A4">
      <w:pPr>
        <w:pStyle w:val="ParaNoNdepar-AltN"/>
        <w:rPr>
          <w:rFonts w:cs="Times New Roman"/>
          <w:lang w:val="fr-CA"/>
        </w:rPr>
      </w:pPr>
      <w:r w:rsidRPr="00745E68">
        <w:rPr>
          <w:rFonts w:cs="Times New Roman"/>
          <w:lang w:val="fr-CA"/>
        </w:rPr>
        <w:t>En conséquence, point n’est besoin d’une preuve de mauvaise foi ou d’une intention malveillante du poursuivant pour conclure à un abus de procédure au regard de l’</w:t>
      </w:r>
      <w:r>
        <w:rPr>
          <w:rFonts w:cs="Times New Roman"/>
          <w:lang w:val="fr-CA"/>
        </w:rPr>
        <w:t>art.</w:t>
      </w:r>
      <w:r w:rsidR="00B029AB">
        <w:rPr>
          <w:rFonts w:cs="Times New Roman"/>
          <w:lang w:val="fr-CA"/>
        </w:rPr>
        <w:t xml:space="preserve"> </w:t>
      </w:r>
      <w:r w:rsidRPr="00745E68">
        <w:rPr>
          <w:rFonts w:cs="Times New Roman"/>
          <w:lang w:val="fr-CA"/>
        </w:rPr>
        <w:t xml:space="preserve">12. Peu importe l’intention, il y aura abus de procédure lorsque le choix de la mise en accusation </w:t>
      </w:r>
      <w:r w:rsidR="00B029AB">
        <w:rPr>
          <w:rFonts w:cs="Times New Roman"/>
          <w:lang w:val="fr-CA"/>
        </w:rPr>
        <w:t>« </w:t>
      </w:r>
      <w:r w:rsidRPr="00745E68">
        <w:rPr>
          <w:rFonts w:cs="Times New Roman"/>
          <w:lang w:val="fr-CA"/>
        </w:rPr>
        <w:t>ten[dra] à miner les attentes de la société sur le plan de l’équité en matière d’administration de la justice</w:t>
      </w:r>
      <w:r w:rsidR="00B029AB">
        <w:rPr>
          <w:rFonts w:cs="Times New Roman"/>
          <w:lang w:val="fr-CA"/>
        </w:rPr>
        <w:t> »</w:t>
      </w:r>
      <w:r w:rsidRPr="00745E68">
        <w:rPr>
          <w:rFonts w:cs="Times New Roman"/>
          <w:lang w:val="fr-CA"/>
        </w:rPr>
        <w:t xml:space="preserve"> (</w:t>
      </w:r>
      <w:r w:rsidRPr="00745E68">
        <w:rPr>
          <w:rFonts w:cs="Times New Roman"/>
          <w:i/>
          <w:lang w:val="fr-CA"/>
        </w:rPr>
        <w:t>Nixon</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41). </w:t>
      </w:r>
    </w:p>
    <w:p w:rsidR="002A4851" w:rsidRPr="00745E68" w:rsidRDefault="002A4851" w:rsidP="00A659A4">
      <w:pPr>
        <w:pStyle w:val="ParaNoNdepar-AltN"/>
        <w:rPr>
          <w:rFonts w:cs="Times New Roman"/>
          <w:lang w:val="fr-CA"/>
        </w:rPr>
      </w:pPr>
      <w:r w:rsidRPr="00745E68">
        <w:rPr>
          <w:rFonts w:cs="Times New Roman"/>
          <w:lang w:val="fr-CA"/>
        </w:rPr>
        <w:t>Bien qu’elle ne soit pas nécessaire, la preuve de mauvaise foi ou d’intention malveillante suffirait certainement pour établir l’abus de procédure au regard de l’</w:t>
      </w:r>
      <w:r>
        <w:rPr>
          <w:rFonts w:cs="Times New Roman"/>
          <w:lang w:val="fr-CA"/>
        </w:rPr>
        <w:t>art.</w:t>
      </w:r>
      <w:r w:rsidR="00B029AB">
        <w:rPr>
          <w:rFonts w:cs="Times New Roman"/>
          <w:lang w:val="fr-CA"/>
        </w:rPr>
        <w:t xml:space="preserve"> </w:t>
      </w:r>
      <w:r w:rsidRPr="00745E68">
        <w:rPr>
          <w:rFonts w:cs="Times New Roman"/>
          <w:lang w:val="fr-CA"/>
        </w:rPr>
        <w:t xml:space="preserve">12. À titre d’exemple, si le choix du mode de poursuite était influencé par des éléments discriminatoires, telle la race du délinquant, il y aurait abus de procédure (voir </w:t>
      </w:r>
      <w:r w:rsidRPr="00745E68">
        <w:rPr>
          <w:rFonts w:cs="Times New Roman"/>
          <w:i/>
          <w:spacing w:val="-3"/>
          <w:lang w:val="fr-CA"/>
        </w:rPr>
        <w:t>Anderson</w:t>
      </w:r>
      <w:r w:rsidRPr="00745E68">
        <w:rPr>
          <w:rFonts w:cs="Times New Roman"/>
          <w:spacing w:val="-3"/>
          <w:lang w:val="fr-CA"/>
        </w:rPr>
        <w:t xml:space="preserve">, </w:t>
      </w:r>
      <w:r>
        <w:rPr>
          <w:rFonts w:cs="Times New Roman"/>
          <w:spacing w:val="-3"/>
          <w:lang w:val="fr-CA"/>
        </w:rPr>
        <w:t>par.</w:t>
      </w:r>
      <w:r w:rsidR="00B029AB">
        <w:rPr>
          <w:rFonts w:cs="Times New Roman"/>
          <w:spacing w:val="-3"/>
          <w:lang w:val="fr-CA"/>
        </w:rPr>
        <w:t xml:space="preserve"> </w:t>
      </w:r>
      <w:r w:rsidRPr="00745E68">
        <w:rPr>
          <w:rFonts w:cs="Times New Roman"/>
          <w:spacing w:val="-3"/>
          <w:lang w:val="fr-CA"/>
        </w:rPr>
        <w:t>50).</w:t>
      </w:r>
    </w:p>
    <w:p w:rsidR="002A4851" w:rsidRPr="00745E68" w:rsidRDefault="002A4851" w:rsidP="00A659A4">
      <w:pPr>
        <w:pStyle w:val="ParaNoNdepar-AltN"/>
        <w:rPr>
          <w:rFonts w:cs="Times New Roman"/>
          <w:lang w:val="fr-CA"/>
        </w:rPr>
      </w:pPr>
      <w:r w:rsidRPr="00745E68">
        <w:rPr>
          <w:rFonts w:cs="Times New Roman"/>
          <w:spacing w:val="-3"/>
          <w:lang w:val="fr-CA"/>
        </w:rPr>
        <w:t xml:space="preserve">De même, l’instrumentalisation de la peine minimale obligatoire lors de la négociation relative à l’inscription d’un plaidoyer — une crainte exprimée par les </w:t>
      </w:r>
      <w:r w:rsidRPr="00745E68">
        <w:rPr>
          <w:rFonts w:cs="Times New Roman"/>
          <w:lang w:val="fr-CA"/>
        </w:rPr>
        <w:t xml:space="preserve">juges majoritaires </w:t>
      </w:r>
      <w:r w:rsidRPr="00745E68">
        <w:rPr>
          <w:rFonts w:cs="Times New Roman"/>
          <w:spacing w:val="-3"/>
          <w:lang w:val="fr-CA"/>
        </w:rPr>
        <w:t xml:space="preserve">et que je partage — justifierait une cour de justice d’intervenir. Partant, </w:t>
      </w:r>
      <w:r w:rsidRPr="00745E68">
        <w:rPr>
          <w:rFonts w:cs="Times New Roman"/>
          <w:lang w:val="fr-CA"/>
        </w:rPr>
        <w:t xml:space="preserve">si le poursuivant optait pour la mise en accusation afin que la peine minimale obligatoire alors encourue lui permette d’extorquer un plaidoyer de culpabilité, il y aurait </w:t>
      </w:r>
      <w:r w:rsidRPr="00745E68">
        <w:rPr>
          <w:rFonts w:cs="Times New Roman"/>
          <w:lang w:val="fr-CA"/>
        </w:rPr>
        <w:lastRenderedPageBreak/>
        <w:t xml:space="preserve">vraisemblablement abus de procédure justifiant une réparation fondée sur le </w:t>
      </w:r>
      <w:r>
        <w:rPr>
          <w:rFonts w:cs="Times New Roman"/>
          <w:lang w:val="fr-CA"/>
        </w:rPr>
        <w:t>par.</w:t>
      </w:r>
      <w:r w:rsidR="00B029AB">
        <w:rPr>
          <w:rFonts w:cs="Times New Roman"/>
          <w:lang w:val="fr-CA"/>
        </w:rPr>
        <w:t xml:space="preserve"> </w:t>
      </w:r>
      <w:r w:rsidRPr="00745E68">
        <w:rPr>
          <w:rFonts w:cs="Times New Roman"/>
          <w:lang w:val="fr-CA"/>
        </w:rPr>
        <w:t xml:space="preserve">24(1) (voir </w:t>
      </w:r>
      <w:r w:rsidRPr="00745E68">
        <w:rPr>
          <w:rFonts w:cs="Times New Roman"/>
          <w:i/>
          <w:lang w:val="fr-CA"/>
        </w:rPr>
        <w:t>Babos</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58</w:t>
      </w:r>
      <w:r w:rsidR="00B029AB">
        <w:rPr>
          <w:rFonts w:cs="Times New Roman"/>
          <w:lang w:val="fr-CA"/>
        </w:rPr>
        <w:t>-</w:t>
      </w:r>
      <w:r w:rsidRPr="00745E68">
        <w:rPr>
          <w:rFonts w:cs="Times New Roman"/>
          <w:lang w:val="fr-CA"/>
        </w:rPr>
        <w:t xml:space="preserve">61). Il s’ensuit que point n’est besoin d’invalider le régime de détermination de la peine pour contrer une telle dérive. Soit dit en tout respect, dans la mesure où </w:t>
      </w:r>
      <w:r w:rsidRPr="00745E68">
        <w:rPr>
          <w:rFonts w:cs="Times New Roman"/>
          <w:spacing w:val="-3"/>
          <w:lang w:val="fr-CA"/>
        </w:rPr>
        <w:t xml:space="preserve">les </w:t>
      </w:r>
      <w:r w:rsidRPr="00745E68">
        <w:rPr>
          <w:rFonts w:cs="Times New Roman"/>
          <w:lang w:val="fr-CA"/>
        </w:rPr>
        <w:t>juges majoritaires croient le contraire, je me dissocie de leur point de vue.</w:t>
      </w:r>
    </w:p>
    <w:p w:rsidR="002A4851" w:rsidRPr="00745E68" w:rsidRDefault="002A4851" w:rsidP="00A659A4">
      <w:pPr>
        <w:pStyle w:val="ParaNoNdepar-AltN"/>
        <w:rPr>
          <w:rFonts w:cs="Times New Roman"/>
          <w:lang w:val="fr-CA"/>
        </w:rPr>
      </w:pPr>
      <w:r w:rsidRPr="00745E68">
        <w:rPr>
          <w:rFonts w:cs="Times New Roman"/>
          <w:lang w:val="fr-CA"/>
        </w:rPr>
        <w:t xml:space="preserve">Il incombe au délinquant de prouver l’abus de procédure à l’étape de la détermination de la peine, après que le tribunal a été saisi d’une preuve de circonstances atténuantes ou aggravantes. Il doit démontrer que la peine minimale obligatoire serait totalement disproportionnée dans son cas. S’il y parvient, la lui imposer </w:t>
      </w:r>
      <w:r w:rsidR="00B029AB">
        <w:rPr>
          <w:rFonts w:cs="Times New Roman"/>
          <w:lang w:val="fr-CA"/>
        </w:rPr>
        <w:t>« </w:t>
      </w:r>
      <w:r w:rsidRPr="00745E68">
        <w:rPr>
          <w:rFonts w:cs="Times New Roman"/>
          <w:lang w:val="fr-CA"/>
        </w:rPr>
        <w:t>miner[ait] les attentes de la société sur le plan de l’équité en matière d’administration de la justice</w:t>
      </w:r>
      <w:r w:rsidR="00B029AB">
        <w:rPr>
          <w:rFonts w:cs="Times New Roman"/>
          <w:lang w:val="fr-CA"/>
        </w:rPr>
        <w:t> »</w:t>
      </w:r>
      <w:r w:rsidRPr="00745E68">
        <w:rPr>
          <w:rFonts w:cs="Times New Roman"/>
          <w:lang w:val="fr-CA"/>
        </w:rPr>
        <w:t xml:space="preserve"> (</w:t>
      </w:r>
      <w:r w:rsidRPr="00745E68">
        <w:rPr>
          <w:rFonts w:cs="Times New Roman"/>
          <w:i/>
          <w:lang w:val="fr-CA"/>
        </w:rPr>
        <w:t>Nixon</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41). La peine totalement disproportionnée est </w:t>
      </w:r>
      <w:r w:rsidR="00B029AB">
        <w:rPr>
          <w:rFonts w:cs="Times New Roman"/>
          <w:lang w:val="fr-CA"/>
        </w:rPr>
        <w:t>« </w:t>
      </w:r>
      <w:r w:rsidRPr="00745E68">
        <w:rPr>
          <w:rFonts w:cs="Times New Roman"/>
          <w:lang w:val="fr-CA"/>
        </w:rPr>
        <w:t>excessi[ve] au point de ne pas être compatible avec la dignité humaine</w:t>
      </w:r>
      <w:r w:rsidR="00B029AB">
        <w:rPr>
          <w:rFonts w:cs="Times New Roman"/>
          <w:lang w:val="fr-CA"/>
        </w:rPr>
        <w:t> »</w:t>
      </w:r>
      <w:r w:rsidRPr="00745E68">
        <w:rPr>
          <w:rFonts w:cs="Times New Roman"/>
          <w:lang w:val="fr-CA"/>
        </w:rPr>
        <w:t xml:space="preserve"> et elle est </w:t>
      </w:r>
      <w:r w:rsidR="00B029AB">
        <w:rPr>
          <w:rFonts w:cs="Times New Roman"/>
          <w:lang w:val="fr-CA"/>
        </w:rPr>
        <w:t>« </w:t>
      </w:r>
      <w:r w:rsidRPr="00745E68">
        <w:rPr>
          <w:rFonts w:cs="Times New Roman"/>
          <w:lang w:val="fr-CA"/>
        </w:rPr>
        <w:t>odieuse ou intolérable</w:t>
      </w:r>
      <w:r w:rsidR="00B029AB">
        <w:rPr>
          <w:rFonts w:cs="Times New Roman"/>
          <w:lang w:val="fr-CA"/>
        </w:rPr>
        <w:t> »</w:t>
      </w:r>
      <w:r w:rsidRPr="00745E68">
        <w:rPr>
          <w:rFonts w:cs="Times New Roman"/>
          <w:lang w:val="fr-CA"/>
        </w:rPr>
        <w:t xml:space="preserve"> pour la société (</w:t>
      </w:r>
      <w:r w:rsidRPr="00745E68">
        <w:rPr>
          <w:rFonts w:cs="Times New Roman"/>
          <w:i/>
          <w:lang w:val="fr-CA"/>
        </w:rPr>
        <w:t>R. c. Wiles</w:t>
      </w:r>
      <w:r w:rsidRPr="00745E68">
        <w:rPr>
          <w:rFonts w:cs="Times New Roman"/>
          <w:lang w:val="fr-CA"/>
        </w:rPr>
        <w:t xml:space="preserve">, 2005 CSC 84, [2005] 3 R.C.S. 895, </w:t>
      </w:r>
      <w:r>
        <w:rPr>
          <w:rFonts w:cs="Times New Roman"/>
          <w:lang w:val="fr-CA"/>
        </w:rPr>
        <w:t>par.</w:t>
      </w:r>
      <w:r w:rsidR="00B029AB">
        <w:rPr>
          <w:rFonts w:cs="Times New Roman"/>
          <w:lang w:val="fr-CA"/>
        </w:rPr>
        <w:t xml:space="preserve"> </w:t>
      </w:r>
      <w:r w:rsidRPr="00745E68">
        <w:rPr>
          <w:rFonts w:cs="Times New Roman"/>
          <w:lang w:val="fr-CA"/>
        </w:rPr>
        <w:t xml:space="preserve">4, citant </w:t>
      </w:r>
      <w:r w:rsidRPr="00745E68">
        <w:rPr>
          <w:rFonts w:cs="Times New Roman"/>
          <w:i/>
          <w:lang w:val="fr-CA"/>
        </w:rPr>
        <w:t>Smith</w:t>
      </w:r>
      <w:r w:rsidRPr="00745E68">
        <w:rPr>
          <w:rFonts w:cs="Times New Roman"/>
          <w:lang w:val="fr-CA"/>
        </w:rPr>
        <w:t xml:space="preserve">, </w:t>
      </w:r>
      <w:r>
        <w:rPr>
          <w:rFonts w:cs="Times New Roman"/>
          <w:lang w:val="fr-CA"/>
        </w:rPr>
        <w:t>p.</w:t>
      </w:r>
      <w:r w:rsidR="00B029AB">
        <w:rPr>
          <w:rFonts w:cs="Times New Roman"/>
          <w:lang w:val="fr-CA"/>
        </w:rPr>
        <w:t xml:space="preserve"> </w:t>
      </w:r>
      <w:r w:rsidRPr="00745E68">
        <w:rPr>
          <w:rFonts w:cs="Times New Roman"/>
          <w:lang w:val="fr-CA"/>
        </w:rPr>
        <w:t xml:space="preserve">1072, et </w:t>
      </w:r>
      <w:r w:rsidRPr="00745E68">
        <w:rPr>
          <w:rFonts w:cs="Times New Roman"/>
          <w:i/>
          <w:lang w:val="fr-CA"/>
        </w:rPr>
        <w:t>Morrisey</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26). Elle porte atteinte au droit fondamental de l’accusé à la protection contre les peines cruelles et inusitées et elle est incompatible avec l’intégrité de notre système de justice. Si, par son objet ou son effet, l’exercice du pouvoir discrétionnaire en matière de poursuites mène à un tel résultat, il faut y voir un abus de procédure en soi.</w:t>
      </w:r>
    </w:p>
    <w:p w:rsidR="002A4851" w:rsidRPr="00745E68" w:rsidRDefault="002A4851" w:rsidP="00A659A4">
      <w:pPr>
        <w:pStyle w:val="ParaNoNdepar-AltN"/>
        <w:rPr>
          <w:rFonts w:cs="Times New Roman"/>
          <w:lang w:val="fr-CA"/>
        </w:rPr>
      </w:pPr>
      <w:r w:rsidRPr="00745E68">
        <w:rPr>
          <w:rFonts w:cs="Times New Roman"/>
          <w:lang w:val="fr-CA"/>
        </w:rPr>
        <w:t xml:space="preserve">Le délinquant qui s’acquitte de ce fardeau de preuve a droit à une réparation en vertu du </w:t>
      </w:r>
      <w:r>
        <w:rPr>
          <w:rFonts w:cs="Times New Roman"/>
          <w:lang w:val="fr-CA"/>
        </w:rPr>
        <w:t>par.</w:t>
      </w:r>
      <w:r w:rsidR="00B029AB">
        <w:rPr>
          <w:rFonts w:cs="Times New Roman"/>
          <w:lang w:val="fr-CA"/>
        </w:rPr>
        <w:t xml:space="preserve"> </w:t>
      </w:r>
      <w:r w:rsidRPr="00745E68">
        <w:rPr>
          <w:rFonts w:cs="Times New Roman"/>
          <w:lang w:val="fr-CA"/>
        </w:rPr>
        <w:t xml:space="preserve">24(1). Dans la plupart des cas, la réparation convenable et </w:t>
      </w:r>
      <w:r w:rsidRPr="00745E68">
        <w:rPr>
          <w:rFonts w:cs="Times New Roman"/>
          <w:lang w:val="fr-CA"/>
        </w:rPr>
        <w:lastRenderedPageBreak/>
        <w:t xml:space="preserve">juste consiste à réduire la peine de façon qu’elle soit inférieure à la peine minimale obligatoire. </w:t>
      </w:r>
    </w:p>
    <w:p w:rsidR="002A4851" w:rsidRPr="00745E68" w:rsidRDefault="002A4851" w:rsidP="00A659A4">
      <w:pPr>
        <w:pStyle w:val="ParaNoNdepar-AltN"/>
        <w:rPr>
          <w:rFonts w:cs="Times New Roman"/>
          <w:lang w:val="fr-CA"/>
        </w:rPr>
      </w:pPr>
      <w:r w:rsidRPr="00745E68">
        <w:rPr>
          <w:rFonts w:cs="Times New Roman"/>
          <w:lang w:val="fr-CA"/>
        </w:rPr>
        <w:t xml:space="preserve">C’est pourquoi je ne peux convenir avec </w:t>
      </w:r>
      <w:r w:rsidRPr="00745E68">
        <w:rPr>
          <w:rFonts w:cs="Times New Roman"/>
          <w:spacing w:val="-3"/>
          <w:lang w:val="fr-CA"/>
        </w:rPr>
        <w:t xml:space="preserve">les </w:t>
      </w:r>
      <w:r w:rsidRPr="00745E68">
        <w:rPr>
          <w:rFonts w:cs="Times New Roman"/>
          <w:lang w:val="fr-CA"/>
        </w:rPr>
        <w:t>juges majoritaires qu’</w:t>
      </w:r>
      <w:r w:rsidR="00B029AB">
        <w:rPr>
          <w:rFonts w:cs="Times New Roman"/>
          <w:lang w:val="fr-CA"/>
        </w:rPr>
        <w:t>« </w:t>
      </w:r>
      <w:r w:rsidRPr="00745E68">
        <w:rPr>
          <w:rFonts w:cs="Times New Roman"/>
          <w:lang w:val="fr-CA"/>
        </w:rPr>
        <w:t>[il] est bien connu que la norme</w:t>
      </w:r>
      <w:r w:rsidR="00B029AB">
        <w:rPr>
          <w:rFonts w:cs="Times New Roman"/>
          <w:lang w:val="fr-CA"/>
        </w:rPr>
        <w:t> »</w:t>
      </w:r>
      <w:r w:rsidRPr="00745E68">
        <w:rPr>
          <w:rFonts w:cs="Times New Roman"/>
          <w:lang w:val="fr-CA"/>
        </w:rPr>
        <w:t xml:space="preserve"> applicable à l’abus de procédure </w:t>
      </w:r>
      <w:r w:rsidR="00B029AB">
        <w:rPr>
          <w:rFonts w:cs="Times New Roman"/>
          <w:lang w:val="fr-CA"/>
        </w:rPr>
        <w:t>« </w:t>
      </w:r>
      <w:r w:rsidRPr="00745E68">
        <w:rPr>
          <w:rFonts w:cs="Times New Roman"/>
          <w:lang w:val="fr-CA"/>
        </w:rPr>
        <w:t>est très stricte</w:t>
      </w:r>
      <w:r w:rsidR="00B029AB">
        <w:rPr>
          <w:rFonts w:cs="Times New Roman"/>
          <w:lang w:val="fr-CA"/>
        </w:rPr>
        <w:t> »</w:t>
      </w:r>
      <w:r w:rsidRPr="00745E68">
        <w:rPr>
          <w:rFonts w:cs="Times New Roman"/>
          <w:lang w:val="fr-CA"/>
        </w:rPr>
        <w:t xml:space="preserve"> et que le principe de l’abus de procédure </w:t>
      </w:r>
      <w:r w:rsidR="00B029AB">
        <w:rPr>
          <w:rFonts w:cs="Times New Roman"/>
          <w:lang w:val="fr-CA"/>
        </w:rPr>
        <w:t>« </w:t>
      </w:r>
      <w:r w:rsidRPr="00745E68">
        <w:rPr>
          <w:rFonts w:cs="Times New Roman"/>
          <w:lang w:val="fr-CA"/>
        </w:rPr>
        <w:t>protège insuffisamment contre l’infliction de peines totalement disproportionnées</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94). Soit dit en tout respect, ils se méprennent sur l’application du principe dans le cadre d’analyse que je propose. Loin d’offrir une protection </w:t>
      </w:r>
      <w:r w:rsidRPr="00745E68">
        <w:rPr>
          <w:rFonts w:cs="Times New Roman"/>
          <w:i/>
          <w:lang w:val="fr-CA"/>
        </w:rPr>
        <w:t>insuffisante</w:t>
      </w:r>
      <w:r w:rsidRPr="00745E68">
        <w:rPr>
          <w:rFonts w:cs="Times New Roman"/>
          <w:lang w:val="fr-CA"/>
        </w:rPr>
        <w:t xml:space="preserve">, il assure une protection </w:t>
      </w:r>
      <w:r w:rsidRPr="00745E68">
        <w:rPr>
          <w:rFonts w:cs="Times New Roman"/>
          <w:i/>
          <w:lang w:val="fr-CA"/>
        </w:rPr>
        <w:t>totale</w:t>
      </w:r>
      <w:r w:rsidRPr="00745E68">
        <w:rPr>
          <w:rFonts w:cs="Times New Roman"/>
          <w:lang w:val="fr-CA"/>
        </w:rPr>
        <w:t xml:space="preserve"> contre l’infliction de peines totalement disproportionnées. Lorsque le délinquant peut démontrer que la peine minimale obligatoire est totalement disproportionnée en ce qui le concerne, le tribunal doit conclure à l’abus de procédure et accorder réparation sur le fondement du </w:t>
      </w:r>
      <w:r>
        <w:rPr>
          <w:rFonts w:cs="Times New Roman"/>
          <w:lang w:val="fr-CA"/>
        </w:rPr>
        <w:t>par.</w:t>
      </w:r>
      <w:r w:rsidR="00B029AB">
        <w:rPr>
          <w:rFonts w:cs="Times New Roman"/>
          <w:lang w:val="fr-CA"/>
        </w:rPr>
        <w:t xml:space="preserve"> </w:t>
      </w:r>
      <w:r w:rsidRPr="00745E68">
        <w:rPr>
          <w:rFonts w:cs="Times New Roman"/>
          <w:lang w:val="fr-CA"/>
        </w:rPr>
        <w:t>24(1).</w:t>
      </w:r>
    </w:p>
    <w:p w:rsidR="002A4851" w:rsidRPr="00745E68" w:rsidRDefault="002A4851" w:rsidP="00A659A4">
      <w:pPr>
        <w:pStyle w:val="Title4LevelTitre4Niveau"/>
        <w:jc w:val="both"/>
        <w:rPr>
          <w:rFonts w:cs="Times New Roman"/>
          <w:lang w:val="fr-CA"/>
        </w:rPr>
      </w:pPr>
      <w:r w:rsidRPr="00745E68">
        <w:rPr>
          <w:rFonts w:cs="Times New Roman"/>
          <w:lang w:val="fr-CA"/>
        </w:rPr>
        <w:t>Le cadre d’analyse proposé est compatible avec le rejet par la Cour de l’exemption constitutionnelle</w:t>
      </w:r>
    </w:p>
    <w:p w:rsidR="002A4851" w:rsidRPr="00745E68" w:rsidRDefault="002A4851" w:rsidP="00A659A4">
      <w:pPr>
        <w:pStyle w:val="ParaNoNdepar-AltN"/>
        <w:rPr>
          <w:rFonts w:cs="Times New Roman"/>
          <w:lang w:val="fr-CA"/>
        </w:rPr>
      </w:pPr>
      <w:r w:rsidRPr="00745E68">
        <w:rPr>
          <w:rFonts w:cs="Times New Roman"/>
          <w:lang w:val="fr-CA"/>
        </w:rPr>
        <w:t xml:space="preserve">Selon l’arrêt </w:t>
      </w:r>
      <w:r w:rsidRPr="00745E68">
        <w:rPr>
          <w:rFonts w:cs="Times New Roman"/>
          <w:i/>
          <w:lang w:val="fr-CA"/>
        </w:rPr>
        <w:t>R. c. Ferguson</w:t>
      </w:r>
      <w:r w:rsidRPr="00745E68">
        <w:rPr>
          <w:rFonts w:cs="Times New Roman"/>
          <w:lang w:val="fr-CA"/>
        </w:rPr>
        <w:t>, 2008 CSC 6, [2008] 1 R.C.S. 96, lorsque le tribunal conclut qu’un régime de détermination de la peine prévoyant l’imposition de peines minimales obligatoires porte atteinte à l’</w:t>
      </w:r>
      <w:r>
        <w:rPr>
          <w:rFonts w:cs="Times New Roman"/>
          <w:lang w:val="fr-CA"/>
        </w:rPr>
        <w:t>art.</w:t>
      </w:r>
      <w:r w:rsidR="00B029AB">
        <w:rPr>
          <w:rFonts w:cs="Times New Roman"/>
          <w:lang w:val="fr-CA"/>
        </w:rPr>
        <w:t xml:space="preserve"> </w:t>
      </w:r>
      <w:r w:rsidRPr="00745E68">
        <w:rPr>
          <w:rFonts w:cs="Times New Roman"/>
          <w:lang w:val="fr-CA"/>
        </w:rPr>
        <w:t>12, la réparation convenable réside dans l’application de l’</w:t>
      </w:r>
      <w:r>
        <w:rPr>
          <w:rFonts w:cs="Times New Roman"/>
          <w:lang w:val="fr-CA"/>
        </w:rPr>
        <w:t>art.</w:t>
      </w:r>
      <w:r w:rsidR="00B029AB">
        <w:rPr>
          <w:rFonts w:cs="Times New Roman"/>
          <w:lang w:val="fr-CA"/>
        </w:rPr>
        <w:t xml:space="preserve"> </w:t>
      </w:r>
      <w:r w:rsidRPr="00745E68">
        <w:rPr>
          <w:rFonts w:cs="Times New Roman"/>
          <w:lang w:val="fr-CA"/>
        </w:rPr>
        <w:t>52, et la loi doit être invalidée. La Cour écarte expressément la possibilité que la loi puisse être sauvegardée ponctuellement par l’octroi d’une exemption en cas d’application inconstitutionnelle.</w:t>
      </w:r>
    </w:p>
    <w:p w:rsidR="002A4851" w:rsidRPr="00745E68" w:rsidRDefault="002A4851" w:rsidP="00A659A4">
      <w:pPr>
        <w:pStyle w:val="ParaNoNdepar-AltN"/>
        <w:rPr>
          <w:rFonts w:cs="Times New Roman"/>
          <w:lang w:val="fr-CA"/>
        </w:rPr>
      </w:pPr>
      <w:r w:rsidRPr="00745E68">
        <w:rPr>
          <w:rFonts w:cs="Times New Roman"/>
          <w:lang w:val="fr-CA"/>
        </w:rPr>
        <w:lastRenderedPageBreak/>
        <w:t xml:space="preserve">Je conviens que l’exemption constitutionnelle ne constitue pas une mesure appropriée pour pallier l’inconstitutionnalité d’une loi. Mon cadre d’analyse le reconnaît. La réparation qu’il prévoit vise </w:t>
      </w:r>
      <w:r w:rsidRPr="00745E68">
        <w:rPr>
          <w:rFonts w:cs="Times New Roman"/>
          <w:i/>
          <w:lang w:val="fr-CA"/>
        </w:rPr>
        <w:t>non pas</w:t>
      </w:r>
      <w:r w:rsidRPr="00745E68">
        <w:rPr>
          <w:rFonts w:cs="Times New Roman"/>
          <w:lang w:val="fr-CA"/>
        </w:rPr>
        <w:t xml:space="preserve"> une loi inconstitutionnelle, mais bien l’</w:t>
      </w:r>
      <w:r w:rsidRPr="00745E68">
        <w:rPr>
          <w:rFonts w:cs="Times New Roman"/>
          <w:i/>
          <w:lang w:val="fr-CA"/>
        </w:rPr>
        <w:t xml:space="preserve">exercice </w:t>
      </w:r>
      <w:r w:rsidRPr="00745E68">
        <w:rPr>
          <w:rFonts w:cs="Times New Roman"/>
          <w:lang w:val="fr-CA"/>
        </w:rPr>
        <w:t xml:space="preserve">par un représentant de l’État </w:t>
      </w:r>
      <w:r w:rsidRPr="00745E68">
        <w:rPr>
          <w:rFonts w:cs="Times New Roman"/>
          <w:i/>
          <w:lang w:val="fr-CA"/>
        </w:rPr>
        <w:t>d’un pouvoir discrétionnaire</w:t>
      </w:r>
      <w:r w:rsidRPr="00745E68">
        <w:rPr>
          <w:rFonts w:cs="Times New Roman"/>
          <w:lang w:val="fr-CA"/>
        </w:rPr>
        <w:t xml:space="preserve"> accordé par une loi ayant été jugée constitutionnelle à la première étape de l’analyse. Comme l’explique la Juge en chef dans l’arrêt </w:t>
      </w:r>
      <w:r w:rsidRPr="00745E68">
        <w:rPr>
          <w:rFonts w:cs="Times New Roman"/>
          <w:i/>
          <w:lang w:val="fr-CA"/>
        </w:rPr>
        <w:t>Ferguson</w:t>
      </w:r>
      <w:r w:rsidR="00B029AB">
        <w:rPr>
          <w:rFonts w:cs="Times New Roman"/>
          <w:lang w:val="fr-CA"/>
        </w:rPr>
        <w:t> :</w:t>
      </w:r>
      <w:r w:rsidRPr="00745E68">
        <w:rPr>
          <w:rFonts w:cs="Times New Roman"/>
          <w:lang w:val="fr-CA"/>
        </w:rPr>
        <w:t xml:space="preserve"> </w:t>
      </w:r>
    </w:p>
    <w:p w:rsidR="002A4851" w:rsidRPr="00745E68" w:rsidRDefault="002A4851" w:rsidP="00A659A4">
      <w:pPr>
        <w:pStyle w:val="Citation-AltC"/>
        <w:tabs>
          <w:tab w:val="left" w:pos="1440"/>
        </w:tabs>
        <w:ind w:hanging="1166"/>
        <w:contextualSpacing w:val="0"/>
        <w:rPr>
          <w:lang w:val="fr-CA"/>
        </w:rPr>
      </w:pPr>
      <w:r>
        <w:rPr>
          <w:lang w:val="fr-CA"/>
        </w:rPr>
        <w:tab/>
      </w:r>
      <w:r w:rsidR="00DD6118">
        <w:rPr>
          <w:lang w:val="fr-CA"/>
        </w:rPr>
        <w:tab/>
        <w:t xml:space="preserve">. . . </w:t>
      </w:r>
      <w:r w:rsidRPr="00745E68">
        <w:rPr>
          <w:lang w:val="fr-CA"/>
        </w:rPr>
        <w:t xml:space="preserve">on a généralement recours au </w:t>
      </w:r>
      <w:r>
        <w:rPr>
          <w:lang w:val="fr-CA"/>
        </w:rPr>
        <w:t>par.</w:t>
      </w:r>
      <w:r w:rsidR="00B029AB">
        <w:rPr>
          <w:lang w:val="fr-CA"/>
        </w:rPr>
        <w:t xml:space="preserve"> </w:t>
      </w:r>
      <w:r w:rsidRPr="00745E68">
        <w:rPr>
          <w:lang w:val="fr-CA"/>
        </w:rPr>
        <w:t xml:space="preserve">24(1) pour accorder réparation non pas lorsque des dispositions législatives sont inconstitutionnelles, mais lorsque </w:t>
      </w:r>
      <w:r w:rsidRPr="00745E68">
        <w:rPr>
          <w:u w:val="single"/>
          <w:lang w:val="fr-CA"/>
        </w:rPr>
        <w:t>des actes gouvernementaux inconstitutionnels sont commis en vertu de régimes légaux reconnus comme parfaitement constitutionnels</w:t>
      </w:r>
      <w:r w:rsidR="00B029AB">
        <w:rPr>
          <w:lang w:val="fr-CA"/>
        </w:rPr>
        <w:t xml:space="preserve"> </w:t>
      </w:r>
      <w:r w:rsidRPr="00745E68">
        <w:rPr>
          <w:lang w:val="fr-CA"/>
        </w:rPr>
        <w:t>[.</w:t>
      </w:r>
      <w:r w:rsidR="00DD6118">
        <w:rPr>
          <w:lang w:val="fr-CA"/>
        </w:rPr>
        <w:t> </w:t>
      </w:r>
      <w:r w:rsidRPr="00745E68">
        <w:rPr>
          <w:lang w:val="fr-CA"/>
        </w:rPr>
        <w:t>.</w:t>
      </w:r>
      <w:r w:rsidR="00DD6118">
        <w:rPr>
          <w:lang w:val="fr-CA"/>
        </w:rPr>
        <w:t> </w:t>
      </w:r>
      <w:r w:rsidRPr="00745E68">
        <w:rPr>
          <w:lang w:val="fr-CA"/>
        </w:rPr>
        <w:t>.]</w:t>
      </w:r>
      <w:r>
        <w:rPr>
          <w:lang w:val="fr-CA"/>
        </w:rPr>
        <w:t xml:space="preserve"> </w:t>
      </w:r>
      <w:r w:rsidRPr="00745E68">
        <w:rPr>
          <w:lang w:val="fr-CA"/>
        </w:rPr>
        <w:t>Les actes des mandataires du gouvernement qui agissent en vertu de ces régimes ne sont pas le résultat ou l’</w:t>
      </w:r>
      <w:r w:rsidR="00B029AB">
        <w:rPr>
          <w:lang w:val="fr-CA"/>
        </w:rPr>
        <w:t>« </w:t>
      </w:r>
      <w:r w:rsidRPr="00745E68">
        <w:rPr>
          <w:lang w:val="fr-CA"/>
        </w:rPr>
        <w:t>effet</w:t>
      </w:r>
      <w:r w:rsidR="00B029AB">
        <w:rPr>
          <w:lang w:val="fr-CA"/>
        </w:rPr>
        <w:t> »</w:t>
      </w:r>
      <w:r w:rsidRPr="00745E68">
        <w:rPr>
          <w:lang w:val="fr-CA"/>
        </w:rPr>
        <w:t xml:space="preserve"> obligatoire de la loi, </w:t>
      </w:r>
      <w:r w:rsidRPr="00745E68">
        <w:rPr>
          <w:u w:val="single"/>
          <w:lang w:val="fr-CA"/>
        </w:rPr>
        <w:t>mais plutôt du fait que les mandataires du gouvernement ont exercé d’une manière inconstitutionnelle le pouvoir discrétionnaire que leur conférait la loi</w:t>
      </w:r>
      <w:r w:rsidRPr="00745E68">
        <w:rPr>
          <w:lang w:val="fr-CA"/>
        </w:rPr>
        <w:t>.</w:t>
      </w:r>
      <w:r>
        <w:rPr>
          <w:lang w:val="fr-CA"/>
        </w:rPr>
        <w:t xml:space="preserve"> Le paragraphe</w:t>
      </w:r>
      <w:r w:rsidR="00B029AB">
        <w:rPr>
          <w:lang w:val="fr-CA"/>
        </w:rPr>
        <w:t xml:space="preserve"> </w:t>
      </w:r>
      <w:r w:rsidRPr="00745E68">
        <w:rPr>
          <w:lang w:val="fr-CA"/>
        </w:rPr>
        <w:t>52(1) ne s’applique donc pas.</w:t>
      </w:r>
      <w:r>
        <w:rPr>
          <w:lang w:val="fr-CA"/>
        </w:rPr>
        <w:t xml:space="preserve"> </w:t>
      </w:r>
      <w:r w:rsidRPr="00745E68">
        <w:rPr>
          <w:lang w:val="fr-CA"/>
        </w:rPr>
        <w:t xml:space="preserve">Le recours approprié est prévu au </w:t>
      </w:r>
      <w:r>
        <w:rPr>
          <w:lang w:val="fr-CA"/>
        </w:rPr>
        <w:t>par.</w:t>
      </w:r>
      <w:r w:rsidR="00B029AB">
        <w:rPr>
          <w:lang w:val="fr-CA"/>
        </w:rPr>
        <w:t xml:space="preserve"> </w:t>
      </w:r>
      <w:r w:rsidRPr="00745E68">
        <w:rPr>
          <w:lang w:val="fr-CA"/>
        </w:rPr>
        <w:t xml:space="preserve">24(1). [Je souligne; </w:t>
      </w:r>
      <w:r>
        <w:rPr>
          <w:lang w:val="fr-CA"/>
        </w:rPr>
        <w:t>par.</w:t>
      </w:r>
      <w:r w:rsidR="00B029AB">
        <w:rPr>
          <w:lang w:val="fr-CA"/>
        </w:rPr>
        <w:t xml:space="preserve"> </w:t>
      </w:r>
      <w:r w:rsidRPr="00745E68">
        <w:rPr>
          <w:lang w:val="fr-CA"/>
        </w:rPr>
        <w:t xml:space="preserve">60.] </w:t>
      </w:r>
    </w:p>
    <w:p w:rsidR="002A4851" w:rsidRPr="00745E68" w:rsidRDefault="002A4851" w:rsidP="00A659A4">
      <w:pPr>
        <w:pStyle w:val="ContinueParaSuitedupar-AltP"/>
        <w:rPr>
          <w:rFonts w:cs="Times New Roman"/>
          <w:lang w:val="fr-CA"/>
        </w:rPr>
      </w:pPr>
      <w:r w:rsidRPr="00745E68">
        <w:rPr>
          <w:rFonts w:cs="Times New Roman"/>
          <w:lang w:val="fr-CA"/>
        </w:rPr>
        <w:t>La même logique vaut pour les actes du poursuivant appelé à choisir un mode de poursuite sur le fondement de l’</w:t>
      </w:r>
      <w:r>
        <w:rPr>
          <w:rFonts w:cs="Times New Roman"/>
          <w:lang w:val="fr-CA"/>
        </w:rPr>
        <w:t>art.</w:t>
      </w:r>
      <w:r w:rsidR="00B029AB">
        <w:rPr>
          <w:rFonts w:cs="Times New Roman"/>
          <w:lang w:val="fr-CA"/>
        </w:rPr>
        <w:t xml:space="preserve"> </w:t>
      </w:r>
      <w:r w:rsidRPr="00745E68">
        <w:rPr>
          <w:rFonts w:cs="Times New Roman"/>
          <w:lang w:val="fr-CA"/>
        </w:rPr>
        <w:t xml:space="preserve">95. À mon avis, après avoir établi que le régime de détermination de la peine est constitutionnel, le tribunal peut tout à fait légitimement empêcher ses rares applications inconstitutionnelles par l’octroi ponctuel d’une réparation fondée sur le </w:t>
      </w:r>
      <w:r>
        <w:rPr>
          <w:rFonts w:cs="Times New Roman"/>
          <w:lang w:val="fr-CA"/>
        </w:rPr>
        <w:t>par.</w:t>
      </w:r>
      <w:r w:rsidR="00B029AB">
        <w:rPr>
          <w:rFonts w:cs="Times New Roman"/>
          <w:lang w:val="fr-CA"/>
        </w:rPr>
        <w:t xml:space="preserve"> </w:t>
      </w:r>
      <w:r w:rsidRPr="00745E68">
        <w:rPr>
          <w:rFonts w:cs="Times New Roman"/>
          <w:lang w:val="fr-CA"/>
        </w:rPr>
        <w:t>24(1).</w:t>
      </w:r>
    </w:p>
    <w:p w:rsidR="002A4851" w:rsidRPr="00745E68" w:rsidRDefault="002A4851" w:rsidP="00A659A4">
      <w:pPr>
        <w:pStyle w:val="Title2LevelTitre2Niveau"/>
        <w:tabs>
          <w:tab w:val="left" w:pos="576"/>
          <w:tab w:val="num" w:pos="5616"/>
        </w:tabs>
        <w:rPr>
          <w:rFonts w:cs="Times New Roman"/>
          <w:lang w:val="fr-CA"/>
        </w:rPr>
      </w:pPr>
      <w:r w:rsidRPr="00745E68">
        <w:rPr>
          <w:rFonts w:cs="Times New Roman"/>
          <w:lang w:val="fr-CA"/>
        </w:rPr>
        <w:t>Selon le cadre d’analyse que je propose, il incombe au tribunal et non au poursuivant de s’assurer du respect des exigences de la Constitution</w:t>
      </w:r>
    </w:p>
    <w:p w:rsidR="002A4851" w:rsidRPr="00745E68" w:rsidRDefault="002A4851" w:rsidP="00A659A4">
      <w:pPr>
        <w:pStyle w:val="ParaNoNdepar-AltN"/>
        <w:rPr>
          <w:rFonts w:cs="Times New Roman"/>
          <w:lang w:val="fr-CA"/>
        </w:rPr>
      </w:pPr>
      <w:r w:rsidRPr="00745E68">
        <w:rPr>
          <w:rFonts w:cs="Times New Roman"/>
          <w:lang w:val="fr-CA"/>
        </w:rPr>
        <w:lastRenderedPageBreak/>
        <w:t xml:space="preserve">Pour la Juge en chef, compter sur </w:t>
      </w:r>
      <w:r w:rsidR="00DD6118">
        <w:rPr>
          <w:rFonts w:cs="Times New Roman"/>
          <w:lang w:val="fr-CA"/>
        </w:rPr>
        <w:t xml:space="preserve">le </w:t>
      </w:r>
      <w:r w:rsidRPr="00745E68">
        <w:rPr>
          <w:rFonts w:cs="Times New Roman"/>
          <w:lang w:val="fr-CA"/>
        </w:rPr>
        <w:t xml:space="preserve">bon choix du mode de poursuite pour conclure à la constitutionnalité des peines minimales obligatoires contestées revient dans les faits </w:t>
      </w:r>
      <w:r w:rsidR="00B029AB">
        <w:rPr>
          <w:rFonts w:cs="Times New Roman"/>
          <w:lang w:val="fr-CA"/>
        </w:rPr>
        <w:t>« </w:t>
      </w:r>
      <w:r w:rsidRPr="00745E68">
        <w:rPr>
          <w:rFonts w:cs="Times New Roman"/>
          <w:lang w:val="fr-CA"/>
        </w:rPr>
        <w:t>à substituer à la tenue par un tribunal indépendant et impartial d’une audience publique sur la constitutionnalité de l’</w:t>
      </w:r>
      <w:r>
        <w:rPr>
          <w:rFonts w:cs="Times New Roman"/>
          <w:lang w:val="fr-CA"/>
        </w:rPr>
        <w:t>art.</w:t>
      </w:r>
      <w:r w:rsidR="00B029AB">
        <w:rPr>
          <w:rFonts w:cs="Times New Roman"/>
          <w:lang w:val="fr-CA"/>
        </w:rPr>
        <w:t xml:space="preserve"> </w:t>
      </w:r>
      <w:r w:rsidRPr="00745E68">
        <w:rPr>
          <w:rFonts w:cs="Times New Roman"/>
          <w:lang w:val="fr-CA"/>
        </w:rPr>
        <w:t>95 la décision discrétionnaire d’un poursuivant</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86). Elle souligne qu’il incombe aux tribunaux d’examiner attentivement la constitutionnalité des régimes de détermination de la peine qu’ils appliquent. </w:t>
      </w:r>
    </w:p>
    <w:p w:rsidR="002A4851" w:rsidRPr="00745E68" w:rsidRDefault="002A4851" w:rsidP="00A659A4">
      <w:pPr>
        <w:pStyle w:val="ParaNoNdepar-AltN"/>
        <w:rPr>
          <w:rFonts w:cs="Times New Roman"/>
          <w:lang w:val="fr-CA"/>
        </w:rPr>
      </w:pPr>
      <w:r w:rsidRPr="00745E68">
        <w:rPr>
          <w:rFonts w:cs="Times New Roman"/>
          <w:lang w:val="fr-CA"/>
        </w:rPr>
        <w:t>Je reconnais qu’il incombe au tribunal, et non au poursuivant, de s’assurer du respect des exigences de la Constitution. Suivant le cadre d’analyse que je propose, cette responsabilité demeure entièrement celle du tribun</w:t>
      </w:r>
      <w:r>
        <w:rPr>
          <w:rFonts w:cs="Times New Roman"/>
          <w:lang w:val="fr-CA"/>
        </w:rPr>
        <w:t>al.</w:t>
      </w:r>
      <w:r w:rsidR="00B029AB">
        <w:rPr>
          <w:rFonts w:cs="Times New Roman"/>
          <w:lang w:val="fr-CA"/>
        </w:rPr>
        <w:t xml:space="preserve"> </w:t>
      </w:r>
      <w:r w:rsidRPr="00745E68">
        <w:rPr>
          <w:rFonts w:cs="Times New Roman"/>
          <w:lang w:val="fr-CA"/>
        </w:rPr>
        <w:t xml:space="preserve">Mon approche est compatible sur ce point avec la mise en garde de la Cour dans l’arrêt </w:t>
      </w:r>
      <w:r w:rsidRPr="00745E68">
        <w:rPr>
          <w:rFonts w:cs="Times New Roman"/>
          <w:i/>
          <w:lang w:val="fr-CA"/>
        </w:rPr>
        <w:t>Smith</w:t>
      </w:r>
      <w:r w:rsidRPr="00745E68">
        <w:rPr>
          <w:rFonts w:cs="Times New Roman"/>
          <w:lang w:val="fr-CA"/>
        </w:rPr>
        <w:t xml:space="preserve">, à savoir que </w:t>
      </w:r>
      <w:r w:rsidR="00B029AB">
        <w:rPr>
          <w:rFonts w:cs="Times New Roman"/>
          <w:lang w:val="fr-CA"/>
        </w:rPr>
        <w:t>« </w:t>
      </w:r>
      <w:r w:rsidRPr="00745E68">
        <w:rPr>
          <w:rFonts w:cs="Times New Roman"/>
          <w:lang w:val="fr-CA"/>
        </w:rPr>
        <w:t>les tribunaux ont le devoir</w:t>
      </w:r>
      <w:r w:rsidR="00B029AB">
        <w:rPr>
          <w:rFonts w:cs="Times New Roman"/>
          <w:lang w:val="fr-CA"/>
        </w:rPr>
        <w:t> »</w:t>
      </w:r>
      <w:r w:rsidRPr="00745E68">
        <w:rPr>
          <w:rFonts w:cs="Times New Roman"/>
          <w:lang w:val="fr-CA"/>
        </w:rPr>
        <w:t xml:space="preserve"> de se demander si une loi est constitutionnelle et qu’ils ne peuvent </w:t>
      </w:r>
      <w:r w:rsidR="00B029AB">
        <w:rPr>
          <w:rFonts w:cs="Times New Roman"/>
          <w:lang w:val="fr-CA"/>
        </w:rPr>
        <w:t>« </w:t>
      </w:r>
      <w:r w:rsidRPr="00745E68">
        <w:rPr>
          <w:rFonts w:cs="Times New Roman"/>
          <w:lang w:val="fr-CA"/>
        </w:rPr>
        <w:t>laisser [.</w:t>
      </w:r>
      <w:r w:rsidR="00B029AB">
        <w:rPr>
          <w:rFonts w:cs="Times New Roman"/>
          <w:lang w:val="fr-CA"/>
        </w:rPr>
        <w:t xml:space="preserve"> </w:t>
      </w:r>
      <w:r w:rsidRPr="00745E68">
        <w:rPr>
          <w:rFonts w:cs="Times New Roman"/>
          <w:lang w:val="fr-CA"/>
        </w:rPr>
        <w:t>.</w:t>
      </w:r>
      <w:r w:rsidR="00B029AB">
        <w:rPr>
          <w:rFonts w:cs="Times New Roman"/>
          <w:lang w:val="fr-CA"/>
        </w:rPr>
        <w:t xml:space="preserve"> </w:t>
      </w:r>
      <w:r w:rsidRPr="00745E68">
        <w:rPr>
          <w:rFonts w:cs="Times New Roman"/>
          <w:lang w:val="fr-CA"/>
        </w:rPr>
        <w:t>.] au ministère public [.</w:t>
      </w:r>
      <w:r w:rsidR="00B029AB">
        <w:rPr>
          <w:rFonts w:cs="Times New Roman"/>
          <w:lang w:val="fr-CA"/>
        </w:rPr>
        <w:t xml:space="preserve"> </w:t>
      </w:r>
      <w:r w:rsidRPr="00745E68">
        <w:rPr>
          <w:rFonts w:cs="Times New Roman"/>
          <w:lang w:val="fr-CA"/>
        </w:rPr>
        <w:t>.</w:t>
      </w:r>
      <w:r w:rsidR="00B029AB">
        <w:rPr>
          <w:rFonts w:cs="Times New Roman"/>
          <w:lang w:val="fr-CA"/>
        </w:rPr>
        <w:t xml:space="preserve"> </w:t>
      </w:r>
      <w:r w:rsidRPr="00745E68">
        <w:rPr>
          <w:rFonts w:cs="Times New Roman"/>
          <w:lang w:val="fr-CA"/>
        </w:rPr>
        <w:t xml:space="preserve">.] le soin d’éviter une violation [de la </w:t>
      </w:r>
      <w:r w:rsidRPr="00745E68">
        <w:rPr>
          <w:rFonts w:cs="Times New Roman"/>
          <w:i/>
          <w:lang w:val="fr-CA"/>
        </w:rPr>
        <w:t>Charte</w:t>
      </w:r>
      <w:r w:rsidRPr="00745E68">
        <w:rPr>
          <w:rFonts w:cs="Times New Roman"/>
          <w:lang w:val="fr-CA"/>
        </w:rPr>
        <w:t>]</w:t>
      </w:r>
      <w:r w:rsidR="00B029AB">
        <w:rPr>
          <w:rFonts w:cs="Times New Roman"/>
          <w:lang w:val="fr-CA"/>
        </w:rPr>
        <w:t> »</w:t>
      </w:r>
      <w:r w:rsidRPr="00745E68">
        <w:rPr>
          <w:rFonts w:cs="Times New Roman"/>
          <w:lang w:val="fr-CA"/>
        </w:rPr>
        <w:t xml:space="preserve"> (</w:t>
      </w:r>
      <w:r>
        <w:rPr>
          <w:rFonts w:cs="Times New Roman"/>
          <w:lang w:val="fr-CA"/>
        </w:rPr>
        <w:t>p.</w:t>
      </w:r>
      <w:r w:rsidR="00B029AB">
        <w:rPr>
          <w:rFonts w:cs="Times New Roman"/>
          <w:lang w:val="fr-CA"/>
        </w:rPr>
        <w:t xml:space="preserve"> </w:t>
      </w:r>
      <w:r w:rsidRPr="00745E68">
        <w:rPr>
          <w:rFonts w:cs="Times New Roman"/>
          <w:lang w:val="fr-CA"/>
        </w:rPr>
        <w:t xml:space="preserve">1078). </w:t>
      </w:r>
    </w:p>
    <w:p w:rsidR="002A4851" w:rsidRPr="00745E68" w:rsidRDefault="002A4851" w:rsidP="00A659A4">
      <w:pPr>
        <w:pStyle w:val="ParaNoNdepar-AltN"/>
        <w:rPr>
          <w:rFonts w:cs="Times New Roman"/>
          <w:lang w:val="fr-CA"/>
        </w:rPr>
      </w:pPr>
      <w:r w:rsidRPr="00745E68">
        <w:rPr>
          <w:rFonts w:cs="Times New Roman"/>
          <w:lang w:val="fr-CA"/>
        </w:rPr>
        <w:t>Plus précisément, mon cadre d’analyse comporte deux éléments de contrôle de la conformité à l’</w:t>
      </w:r>
      <w:r>
        <w:rPr>
          <w:rFonts w:cs="Times New Roman"/>
          <w:lang w:val="fr-CA"/>
        </w:rPr>
        <w:t>art.</w:t>
      </w:r>
      <w:r w:rsidR="00B029AB">
        <w:rPr>
          <w:rFonts w:cs="Times New Roman"/>
          <w:lang w:val="fr-CA"/>
        </w:rPr>
        <w:t xml:space="preserve"> </w:t>
      </w:r>
      <w:r w:rsidRPr="00745E68">
        <w:rPr>
          <w:rFonts w:cs="Times New Roman"/>
          <w:lang w:val="fr-CA"/>
        </w:rPr>
        <w:t xml:space="preserve">12, et aucun ne tient à l’exercice du pouvoir discrétionnaire en matière de poursuites. Premièrement, lorsque le régime même de détermination de la peine est contesté, le tribunal peut le déclarer inconstitutionnel. Deuxièmement, lorsque le délinquant prétend que la peine minimale obligatoire serait totalement disproportionnée dans son cas, le tribunal peut conclure à un abus de procédure en soi et accorder une réduction de peine en vertu du </w:t>
      </w:r>
      <w:r>
        <w:rPr>
          <w:rFonts w:cs="Times New Roman"/>
          <w:lang w:val="fr-CA"/>
        </w:rPr>
        <w:t>par.</w:t>
      </w:r>
      <w:r w:rsidR="00B029AB">
        <w:rPr>
          <w:rFonts w:cs="Times New Roman"/>
          <w:lang w:val="fr-CA"/>
        </w:rPr>
        <w:t xml:space="preserve"> </w:t>
      </w:r>
      <w:r w:rsidRPr="00745E68">
        <w:rPr>
          <w:rFonts w:cs="Times New Roman"/>
          <w:lang w:val="fr-CA"/>
        </w:rPr>
        <w:t>24(1).</w:t>
      </w:r>
    </w:p>
    <w:p w:rsidR="002A4851" w:rsidRPr="00745E68" w:rsidRDefault="002A4851" w:rsidP="00A659A4">
      <w:pPr>
        <w:pStyle w:val="ParaNoNdepar-AltN"/>
        <w:rPr>
          <w:rFonts w:cs="Times New Roman"/>
          <w:lang w:val="fr-CA"/>
        </w:rPr>
      </w:pPr>
      <w:r w:rsidRPr="00745E68">
        <w:rPr>
          <w:rFonts w:cs="Times New Roman"/>
          <w:lang w:val="fr-CA"/>
        </w:rPr>
        <w:lastRenderedPageBreak/>
        <w:t>Je le répète — et j’insiste —, le choix du mode de poursuite suivant l’</w:t>
      </w:r>
      <w:r>
        <w:rPr>
          <w:rFonts w:cs="Times New Roman"/>
          <w:lang w:val="fr-CA"/>
        </w:rPr>
        <w:t>art.</w:t>
      </w:r>
      <w:r w:rsidR="00B029AB">
        <w:rPr>
          <w:rFonts w:cs="Times New Roman"/>
          <w:lang w:val="fr-CA"/>
        </w:rPr>
        <w:t xml:space="preserve"> </w:t>
      </w:r>
      <w:r w:rsidRPr="00745E68">
        <w:rPr>
          <w:rFonts w:cs="Times New Roman"/>
          <w:lang w:val="fr-CA"/>
        </w:rPr>
        <w:t>95 ne l’oblige pas à sortir du cadre de la disposition. Celle</w:t>
      </w:r>
      <w:r w:rsidR="00B029AB">
        <w:rPr>
          <w:rFonts w:cs="Times New Roman"/>
          <w:lang w:val="fr-CA"/>
        </w:rPr>
        <w:t>-</w:t>
      </w:r>
      <w:r w:rsidRPr="00745E68">
        <w:rPr>
          <w:rFonts w:cs="Times New Roman"/>
          <w:lang w:val="fr-CA"/>
        </w:rPr>
        <w:t>ci confère en effet un pouvoir discrétionnaire dont l’exercice est intégré au régime législatif pour servir de soupape contre les applications inconstitutionnelles. À mon avis, tout examen valable de la constitutionnalité de la loi doit en tenir compte (</w:t>
      </w:r>
      <w:r w:rsidRPr="00745E68">
        <w:rPr>
          <w:rFonts w:cs="Times New Roman"/>
          <w:i/>
          <w:lang w:val="fr-CA"/>
        </w:rPr>
        <w:t>PHS</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109</w:t>
      </w:r>
      <w:r w:rsidR="00B029AB">
        <w:rPr>
          <w:rFonts w:cs="Times New Roman"/>
          <w:lang w:val="fr-CA"/>
        </w:rPr>
        <w:t>-</w:t>
      </w:r>
      <w:r w:rsidRPr="00745E68">
        <w:rPr>
          <w:rFonts w:cs="Times New Roman"/>
          <w:lang w:val="fr-CA"/>
        </w:rPr>
        <w:t>114). En reconnaissant l’importance du choix du mode de poursuite, je ne laisse toutefois pas entendre que cette soupape soustrait la loi à l’examen fondé sur</w:t>
      </w:r>
      <w:r w:rsidR="00DD6118">
        <w:rPr>
          <w:rFonts w:cs="Times New Roman"/>
          <w:lang w:val="fr-CA"/>
        </w:rPr>
        <w:t xml:space="preserve"> la</w:t>
      </w:r>
      <w:r w:rsidRPr="00745E68">
        <w:rPr>
          <w:rFonts w:cs="Times New Roman"/>
          <w:lang w:val="fr-CA"/>
        </w:rPr>
        <w:t xml:space="preserve"> </w:t>
      </w:r>
      <w:r w:rsidRPr="00745E68">
        <w:rPr>
          <w:rFonts w:cs="Times New Roman"/>
          <w:i/>
          <w:lang w:val="fr-CA"/>
        </w:rPr>
        <w:t>Charte</w:t>
      </w:r>
      <w:r w:rsidRPr="00745E68">
        <w:rPr>
          <w:rFonts w:cs="Times New Roman"/>
          <w:lang w:val="fr-CA"/>
        </w:rPr>
        <w:t xml:space="preserve">, mais bien qu’elle influe sur les </w:t>
      </w:r>
      <w:r w:rsidRPr="00745E68">
        <w:rPr>
          <w:rFonts w:cs="Times New Roman"/>
          <w:i/>
          <w:lang w:val="fr-CA"/>
        </w:rPr>
        <w:t>modalités</w:t>
      </w:r>
      <w:r w:rsidRPr="00745E68">
        <w:rPr>
          <w:rFonts w:cs="Times New Roman"/>
          <w:lang w:val="fr-CA"/>
        </w:rPr>
        <w:t xml:space="preserve"> de cet examen. </w:t>
      </w:r>
    </w:p>
    <w:p w:rsidR="002A4851" w:rsidRPr="00745E68" w:rsidRDefault="002A4851" w:rsidP="00A659A4">
      <w:pPr>
        <w:pStyle w:val="ParaNoNdepar-AltN"/>
        <w:rPr>
          <w:rFonts w:cs="Times New Roman"/>
          <w:lang w:val="fr-CA"/>
        </w:rPr>
      </w:pPr>
      <w:r w:rsidRPr="00745E68">
        <w:rPr>
          <w:rFonts w:cs="Times New Roman"/>
          <w:lang w:val="fr-CA"/>
        </w:rPr>
        <w:t>Mon cadre d’analyse ne confond pas non plus les fonctions respectives du poursuivant et du tribun</w:t>
      </w:r>
      <w:r>
        <w:rPr>
          <w:rFonts w:cs="Times New Roman"/>
          <w:lang w:val="fr-CA"/>
        </w:rPr>
        <w:t>al.</w:t>
      </w:r>
      <w:r w:rsidR="00B029AB">
        <w:rPr>
          <w:rFonts w:cs="Times New Roman"/>
          <w:lang w:val="fr-CA"/>
        </w:rPr>
        <w:t xml:space="preserve"> </w:t>
      </w:r>
      <w:r w:rsidRPr="00745E68">
        <w:rPr>
          <w:rFonts w:cs="Times New Roman"/>
          <w:lang w:val="fr-CA"/>
        </w:rPr>
        <w:t xml:space="preserve">Citant l’arrêt </w:t>
      </w:r>
      <w:r w:rsidRPr="00745E68">
        <w:rPr>
          <w:rFonts w:cs="Times New Roman"/>
          <w:i/>
          <w:lang w:val="fr-CA"/>
        </w:rPr>
        <w:t>Anderson</w:t>
      </w:r>
      <w:r w:rsidRPr="00745E68">
        <w:rPr>
          <w:rFonts w:cs="Times New Roman"/>
          <w:lang w:val="fr-CA"/>
        </w:rPr>
        <w:t xml:space="preserve">, </w:t>
      </w:r>
      <w:r w:rsidRPr="00745E68">
        <w:rPr>
          <w:rFonts w:cs="Times New Roman"/>
          <w:spacing w:val="-3"/>
          <w:lang w:val="fr-CA"/>
        </w:rPr>
        <w:t xml:space="preserve">les </w:t>
      </w:r>
      <w:r w:rsidRPr="00745E68">
        <w:rPr>
          <w:rFonts w:cs="Times New Roman"/>
          <w:lang w:val="fr-CA"/>
        </w:rPr>
        <w:t xml:space="preserve">juges majoritaires insistent sur le fait que </w:t>
      </w:r>
      <w:r w:rsidR="00B029AB">
        <w:rPr>
          <w:rFonts w:cs="Times New Roman"/>
          <w:lang w:val="fr-CA"/>
        </w:rPr>
        <w:t>« </w:t>
      </w:r>
      <w:r w:rsidRPr="00745E68">
        <w:rPr>
          <w:rFonts w:cs="Times New Roman"/>
          <w:lang w:val="fr-CA"/>
        </w:rPr>
        <w:t>la détermination de la peine relève du judiciaire</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89). À leur avis, </w:t>
      </w:r>
      <w:r w:rsidR="00B029AB">
        <w:rPr>
          <w:rFonts w:cs="Times New Roman"/>
          <w:lang w:val="fr-CA"/>
        </w:rPr>
        <w:t>« </w:t>
      </w:r>
      <w:r w:rsidRPr="00745E68">
        <w:rPr>
          <w:rFonts w:cs="Times New Roman"/>
          <w:lang w:val="fr-CA"/>
        </w:rPr>
        <w:t>l’obligation faite au tribunal par un régime de peine minimale obligatoire d’infliger une peine disproportionnée ne modifie pas la fonction du poursuivant lorsqu’il s’agit de choisir le mode de poursuite</w:t>
      </w:r>
      <w:r w:rsidR="00B029AB">
        <w:rPr>
          <w:rFonts w:cs="Times New Roman"/>
          <w:lang w:val="fr-CA"/>
        </w:rPr>
        <w:t> »</w:t>
      </w:r>
      <w:r w:rsidRPr="00745E68">
        <w:rPr>
          <w:rFonts w:cs="Times New Roman"/>
          <w:lang w:val="fr-CA"/>
        </w:rPr>
        <w:t xml:space="preserve"> (</w:t>
      </w:r>
      <w:r w:rsidRPr="00745E68">
        <w:rPr>
          <w:rFonts w:cs="Times New Roman"/>
          <w:i/>
          <w:lang w:val="fr-CA"/>
        </w:rPr>
        <w:t>ibid.</w:t>
      </w:r>
      <w:r w:rsidRPr="00745E68">
        <w:rPr>
          <w:rFonts w:cs="Times New Roman"/>
          <w:lang w:val="fr-CA"/>
        </w:rPr>
        <w:t xml:space="preserve">). Je suis d’accord. Lorsqu’une personne est accusée d’une infraction mixte, il incombe au </w:t>
      </w:r>
      <w:r w:rsidRPr="00745E68">
        <w:rPr>
          <w:rFonts w:cs="Times New Roman"/>
          <w:i/>
          <w:lang w:val="fr-CA"/>
        </w:rPr>
        <w:t>ministère public</w:t>
      </w:r>
      <w:r w:rsidRPr="00745E68">
        <w:rPr>
          <w:rFonts w:cs="Times New Roman"/>
          <w:lang w:val="fr-CA"/>
        </w:rPr>
        <w:t xml:space="preserve"> de choisir le mode de poursuite en tenant compte de la gravité de l’acte reproché. Lorsque le mode de poursuite choisi est susceptible de mener à une peine totalement disproportionnée, il appartient au </w:t>
      </w:r>
      <w:r w:rsidRPr="00745E68">
        <w:rPr>
          <w:rFonts w:cs="Times New Roman"/>
          <w:i/>
          <w:lang w:val="fr-CA"/>
        </w:rPr>
        <w:t>tribunal</w:t>
      </w:r>
      <w:r w:rsidRPr="00745E68">
        <w:rPr>
          <w:rFonts w:cs="Times New Roman"/>
          <w:lang w:val="fr-CA"/>
        </w:rPr>
        <w:t xml:space="preserve"> d’éviter ce résultat. </w:t>
      </w:r>
    </w:p>
    <w:p w:rsidR="002A4851" w:rsidRPr="00745E68" w:rsidRDefault="002A4851" w:rsidP="00A659A4">
      <w:pPr>
        <w:pStyle w:val="ParaNoNdepar-AltN"/>
        <w:rPr>
          <w:rFonts w:cs="Times New Roman"/>
          <w:lang w:val="fr-CA"/>
        </w:rPr>
      </w:pPr>
      <w:r w:rsidRPr="00745E68">
        <w:rPr>
          <w:rFonts w:cs="Times New Roman"/>
          <w:lang w:val="fr-CA"/>
        </w:rPr>
        <w:t>À la lumière de ces éléments de contrôle, je ne puis souscrire à la thèse des</w:t>
      </w:r>
      <w:r w:rsidRPr="00745E68">
        <w:rPr>
          <w:rFonts w:cs="Times New Roman"/>
          <w:spacing w:val="-3"/>
          <w:lang w:val="fr-CA"/>
        </w:rPr>
        <w:t xml:space="preserve"> </w:t>
      </w:r>
      <w:r w:rsidRPr="00745E68">
        <w:rPr>
          <w:rFonts w:cs="Times New Roman"/>
          <w:lang w:val="fr-CA"/>
        </w:rPr>
        <w:t xml:space="preserve">juges majoritaires selon laquelle mon cadre d’analyse soustrait les peines minimales obligatoires à l’examen fondé sur la </w:t>
      </w:r>
      <w:r w:rsidRPr="00745E68">
        <w:rPr>
          <w:rFonts w:cs="Times New Roman"/>
          <w:i/>
          <w:lang w:val="fr-CA"/>
        </w:rPr>
        <w:t>Charte</w:t>
      </w:r>
      <w:r w:rsidRPr="00745E68">
        <w:rPr>
          <w:rFonts w:cs="Times New Roman"/>
          <w:lang w:val="fr-CA"/>
        </w:rPr>
        <w:t xml:space="preserve">. Soit dit </w:t>
      </w:r>
      <w:r w:rsidR="00DD6118" w:rsidRPr="00745E68">
        <w:rPr>
          <w:rFonts w:cs="Times New Roman"/>
          <w:lang w:val="fr-CA"/>
        </w:rPr>
        <w:t xml:space="preserve">en </w:t>
      </w:r>
      <w:r w:rsidRPr="00745E68">
        <w:rPr>
          <w:rFonts w:cs="Times New Roman"/>
          <w:lang w:val="fr-CA"/>
        </w:rPr>
        <w:t xml:space="preserve">tout respect, ce </w:t>
      </w:r>
      <w:r w:rsidRPr="00745E68">
        <w:rPr>
          <w:rFonts w:cs="Times New Roman"/>
          <w:lang w:val="fr-CA"/>
        </w:rPr>
        <w:lastRenderedPageBreak/>
        <w:t xml:space="preserve">n’est tout simplement pas le cas. Les deux éléments de contrôle susmentionnés garantissent que ce sont les tribunaux qui ont le dernier mot sur la constitutionnalité de la loi comme telle et sur son application à un délinquant en particulier. Se fondant sur l’arrêt </w:t>
      </w:r>
      <w:r w:rsidRPr="00745E68">
        <w:rPr>
          <w:rFonts w:cs="Times New Roman"/>
          <w:i/>
          <w:lang w:val="fr-CA"/>
        </w:rPr>
        <w:t>R. c. Bain</w:t>
      </w:r>
      <w:r w:rsidRPr="00745E68">
        <w:rPr>
          <w:rFonts w:cs="Times New Roman"/>
          <w:lang w:val="fr-CA"/>
        </w:rPr>
        <w:t xml:space="preserve">, [1992] 1 R.C.S. 91, mes collègues affirment que </w:t>
      </w:r>
      <w:r w:rsidR="00B029AB">
        <w:rPr>
          <w:rFonts w:cs="Times New Roman"/>
          <w:lang w:val="fr-CA"/>
        </w:rPr>
        <w:t>« </w:t>
      </w:r>
      <w:r w:rsidRPr="00745E68">
        <w:rPr>
          <w:rFonts w:cs="Times New Roman"/>
          <w:lang w:val="fr-CA"/>
        </w:rPr>
        <w:t xml:space="preserve">nul ne peut être assuré que </w:t>
      </w:r>
      <w:r w:rsidR="00DD6118">
        <w:rPr>
          <w:rFonts w:cs="Times New Roman"/>
          <w:lang w:val="fr-CA"/>
        </w:rPr>
        <w:t>[</w:t>
      </w:r>
      <w:r w:rsidRPr="00745E68">
        <w:rPr>
          <w:rFonts w:cs="Times New Roman"/>
          <w:lang w:val="fr-CA"/>
        </w:rPr>
        <w:t>l</w:t>
      </w:r>
      <w:r w:rsidR="00DD6118">
        <w:rPr>
          <w:rFonts w:cs="Times New Roman"/>
          <w:lang w:val="fr-CA"/>
        </w:rPr>
        <w:t>]</w:t>
      </w:r>
      <w:r w:rsidRPr="00745E68">
        <w:rPr>
          <w:rFonts w:cs="Times New Roman"/>
          <w:lang w:val="fr-CA"/>
        </w:rPr>
        <w:t xml:space="preserve">e pouvoir </w:t>
      </w:r>
      <w:r w:rsidR="00DD6118" w:rsidRPr="00745E68">
        <w:rPr>
          <w:rFonts w:cs="Times New Roman"/>
          <w:lang w:val="fr-CA"/>
        </w:rPr>
        <w:t>[</w:t>
      </w:r>
      <w:r w:rsidRPr="00745E68">
        <w:rPr>
          <w:rFonts w:cs="Times New Roman"/>
          <w:lang w:val="fr-CA"/>
        </w:rPr>
        <w:t xml:space="preserve">discrétionnaire en matière de poursuites] sera toujours exercé de manière à éviter </w:t>
      </w:r>
      <w:r w:rsidR="00DD6118">
        <w:rPr>
          <w:rFonts w:cs="Times New Roman"/>
          <w:lang w:val="fr-CA"/>
        </w:rPr>
        <w:t>un résultat inconstitutionnel</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95). J’en conviens. C’est précisément pour cette raison que mon cadre d’analyse permet au tribunal d’intervenir lorsque le choix du mode de poursuite fait encourir au délinquant une peine totalement disproportionnée. À mon avis, l’approche que je préconise répond entièrement aux préoccupations des juges majoritaires.</w:t>
      </w:r>
    </w:p>
    <w:p w:rsidR="002A4851" w:rsidRPr="00745E68" w:rsidRDefault="002A4851" w:rsidP="00A659A4">
      <w:pPr>
        <w:pStyle w:val="ParaNoNdepar-AltN"/>
        <w:rPr>
          <w:rFonts w:cs="Times New Roman"/>
          <w:lang w:val="fr-CA"/>
        </w:rPr>
      </w:pPr>
      <w:r w:rsidRPr="00745E68">
        <w:rPr>
          <w:rFonts w:cs="Times New Roman"/>
          <w:lang w:val="fr-CA"/>
        </w:rPr>
        <w:t xml:space="preserve">Je tiens à clarifier un autre point. La Juge en chef souligne que le ministère public effectue son choix tôt dans le processus, à un moment où tous les faits liés à l’infraction ne sont pas encore connus. La poursuite pourrait donc faire un choix inapproprié pour découvrir ensuite l’existence de circonstances atténuantes. Selon la Juge en chef, </w:t>
      </w:r>
      <w:r w:rsidR="00B029AB">
        <w:rPr>
          <w:rFonts w:cs="Times New Roman"/>
          <w:lang w:val="fr-CA"/>
        </w:rPr>
        <w:t>« </w:t>
      </w:r>
      <w:r w:rsidRPr="00745E68">
        <w:rPr>
          <w:rFonts w:cs="Times New Roman"/>
          <w:lang w:val="fr-CA"/>
        </w:rPr>
        <w:t>[l]a possibilité que le poursuivant opte pour la procédure sommaire ne permet donc pas de réfuter l’allégation des intimés fondée sur l’</w:t>
      </w:r>
      <w:r>
        <w:rPr>
          <w:rFonts w:cs="Times New Roman"/>
          <w:lang w:val="fr-CA"/>
        </w:rPr>
        <w:t>art.</w:t>
      </w:r>
      <w:r w:rsidR="00B029AB">
        <w:rPr>
          <w:rFonts w:cs="Times New Roman"/>
          <w:lang w:val="fr-CA"/>
        </w:rPr>
        <w:t xml:space="preserve"> </w:t>
      </w:r>
      <w:r w:rsidRPr="00745E68">
        <w:rPr>
          <w:rFonts w:cs="Times New Roman"/>
          <w:lang w:val="fr-CA"/>
        </w:rPr>
        <w:t>12</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97). </w:t>
      </w:r>
    </w:p>
    <w:p w:rsidR="002A4851" w:rsidRPr="00745E68" w:rsidRDefault="002A4851" w:rsidP="00A659A4">
      <w:pPr>
        <w:pStyle w:val="ParaNoNdepar-AltN"/>
        <w:rPr>
          <w:rFonts w:cs="Times New Roman"/>
          <w:lang w:val="fr-CA"/>
        </w:rPr>
      </w:pPr>
      <w:r w:rsidRPr="00745E68">
        <w:rPr>
          <w:rFonts w:cs="Times New Roman"/>
          <w:lang w:val="fr-CA"/>
        </w:rPr>
        <w:t xml:space="preserve">Sauf le respect dû à ma collègue, je diffère d’opinion pour deux raisons. Premièrement, si le ministère public apprend l’existence de faits indiquant que le choix initial n’était pas le bon, il peut ordonner l’arrêt des procédures et engager une </w:t>
      </w:r>
      <w:r w:rsidRPr="00745E68">
        <w:rPr>
          <w:rFonts w:cs="Times New Roman"/>
          <w:lang w:val="fr-CA"/>
        </w:rPr>
        <w:lastRenderedPageBreak/>
        <w:t>procédure sommaire</w:t>
      </w:r>
      <w:r w:rsidR="00B029AB">
        <w:rPr>
          <w:rFonts w:cs="Times New Roman"/>
          <w:lang w:val="fr-CA"/>
        </w:rPr>
        <w:t xml:space="preserve"> </w:t>
      </w:r>
      <w:r w:rsidRPr="00745E68">
        <w:rPr>
          <w:rFonts w:cs="Times New Roman"/>
          <w:lang w:val="fr-CA"/>
        </w:rPr>
        <w:t>(voir l’</w:t>
      </w:r>
      <w:r>
        <w:rPr>
          <w:rFonts w:cs="Times New Roman"/>
          <w:lang w:val="fr-CA"/>
        </w:rPr>
        <w:t>art.</w:t>
      </w:r>
      <w:r w:rsidR="00B029AB">
        <w:rPr>
          <w:rFonts w:cs="Times New Roman"/>
          <w:lang w:val="fr-CA"/>
        </w:rPr>
        <w:t xml:space="preserve"> </w:t>
      </w:r>
      <w:r w:rsidRPr="00745E68">
        <w:rPr>
          <w:rFonts w:cs="Times New Roman"/>
          <w:lang w:val="fr-CA"/>
        </w:rPr>
        <w:t xml:space="preserve">579 et le </w:t>
      </w:r>
      <w:r>
        <w:rPr>
          <w:rFonts w:cs="Times New Roman"/>
          <w:lang w:val="fr-CA"/>
        </w:rPr>
        <w:t>par.</w:t>
      </w:r>
      <w:r w:rsidR="00B029AB">
        <w:rPr>
          <w:rFonts w:cs="Times New Roman"/>
          <w:lang w:val="fr-CA"/>
        </w:rPr>
        <w:t xml:space="preserve"> </w:t>
      </w:r>
      <w:r w:rsidRPr="00745E68">
        <w:rPr>
          <w:rFonts w:cs="Times New Roman"/>
          <w:lang w:val="fr-CA"/>
        </w:rPr>
        <w:t xml:space="preserve">786(2) du </w:t>
      </w:r>
      <w:r w:rsidRPr="00745E68">
        <w:rPr>
          <w:rFonts w:cs="Times New Roman"/>
          <w:i/>
          <w:lang w:val="fr-CA"/>
        </w:rPr>
        <w:t>Code criminel</w:t>
      </w:r>
      <w:r w:rsidRPr="00745E68">
        <w:rPr>
          <w:rStyle w:val="FootnoteReference"/>
          <w:rFonts w:cs="Times New Roman"/>
          <w:lang w:val="fr-CA"/>
        </w:rPr>
        <w:footnoteReference w:id="4"/>
      </w:r>
      <w:r w:rsidRPr="00745E68">
        <w:rPr>
          <w:rFonts w:cs="Times New Roman"/>
          <w:lang w:val="fr-CA"/>
        </w:rPr>
        <w:t xml:space="preserve">). Deuxièmement, même si </w:t>
      </w:r>
      <w:r>
        <w:rPr>
          <w:rFonts w:cs="Times New Roman"/>
          <w:lang w:val="fr-CA"/>
        </w:rPr>
        <w:t xml:space="preserve">le </w:t>
      </w:r>
      <w:r w:rsidRPr="00745E68">
        <w:rPr>
          <w:rFonts w:cs="Times New Roman"/>
          <w:lang w:val="fr-CA"/>
        </w:rPr>
        <w:t>ministère public ne revient pas ainsi sur sa décision, le tribunal peut toujours conclure à l’abus de procédure en soi lorsque la peine minimale obligatoire est totalement disproportionnée en ce qui concerne le délinquant en cause.</w:t>
      </w:r>
    </w:p>
    <w:p w:rsidR="002A4851" w:rsidRPr="00745E68" w:rsidRDefault="002A4851" w:rsidP="00A659A4">
      <w:pPr>
        <w:pStyle w:val="Title2LevelTitre2Niveau"/>
        <w:rPr>
          <w:rFonts w:cs="Times New Roman"/>
          <w:lang w:val="fr-CA"/>
        </w:rPr>
      </w:pPr>
      <w:r w:rsidRPr="00745E68">
        <w:rPr>
          <w:rFonts w:cs="Times New Roman"/>
          <w:lang w:val="fr-CA"/>
        </w:rPr>
        <w:t>L’application du cadre d’analyse relatif à l’art</w:t>
      </w:r>
      <w:r w:rsidR="00DD6118">
        <w:rPr>
          <w:rFonts w:cs="Times New Roman"/>
          <w:lang w:val="fr-CA"/>
        </w:rPr>
        <w:t xml:space="preserve">. </w:t>
      </w:r>
      <w:r w:rsidRPr="00745E68">
        <w:rPr>
          <w:rFonts w:cs="Times New Roman"/>
          <w:lang w:val="fr-CA"/>
        </w:rPr>
        <w:t>12</w:t>
      </w:r>
    </w:p>
    <w:p w:rsidR="002A4851" w:rsidRPr="00745E68" w:rsidRDefault="002A4851" w:rsidP="00A659A4">
      <w:pPr>
        <w:pStyle w:val="ParaNoNdepar-AltN"/>
        <w:rPr>
          <w:rFonts w:cs="Times New Roman"/>
          <w:lang w:val="fr-CA"/>
        </w:rPr>
      </w:pPr>
      <w:r w:rsidRPr="00745E68">
        <w:rPr>
          <w:rFonts w:cs="Times New Roman"/>
          <w:lang w:val="fr-CA"/>
        </w:rPr>
        <w:t>Appliquons maintenant ce cadre d’analyse à chacune des affaires dont nous sommes saisis.</w:t>
      </w:r>
    </w:p>
    <w:p w:rsidR="002A4851" w:rsidRPr="00745E68" w:rsidRDefault="002A4851" w:rsidP="00A659A4">
      <w:pPr>
        <w:pStyle w:val="Title3LevelTitre3Niveau"/>
        <w:jc w:val="both"/>
        <w:rPr>
          <w:rFonts w:cs="Times New Roman"/>
          <w:lang w:val="fr-CA"/>
        </w:rPr>
      </w:pPr>
      <w:r w:rsidRPr="00745E68">
        <w:rPr>
          <w:rFonts w:cs="Times New Roman"/>
          <w:lang w:val="fr-CA"/>
        </w:rPr>
        <w:t>Application à M.</w:t>
      </w:r>
      <w:r w:rsidR="00B029AB">
        <w:rPr>
          <w:rFonts w:cs="Times New Roman"/>
          <w:lang w:val="fr-CA"/>
        </w:rPr>
        <w:t xml:space="preserve"> </w:t>
      </w:r>
      <w:r w:rsidRPr="00745E68">
        <w:rPr>
          <w:rFonts w:cs="Times New Roman"/>
          <w:lang w:val="fr-CA"/>
        </w:rPr>
        <w:t>Nur</w:t>
      </w:r>
    </w:p>
    <w:p w:rsidR="002A4851" w:rsidRPr="00745E68" w:rsidRDefault="002A4851" w:rsidP="00A659A4">
      <w:pPr>
        <w:pStyle w:val="ParaNoNdepar-AltN"/>
        <w:rPr>
          <w:rFonts w:cs="Times New Roman"/>
          <w:lang w:val="fr-CA"/>
        </w:rPr>
      </w:pPr>
      <w:r w:rsidRPr="00745E68">
        <w:rPr>
          <w:rFonts w:cs="Times New Roman"/>
          <w:lang w:val="fr-CA"/>
        </w:rPr>
        <w:t xml:space="preserve">Le juge Code conclut qu’avant </w:t>
      </w:r>
      <w:r>
        <w:rPr>
          <w:rFonts w:cs="Times New Roman"/>
          <w:lang w:val="fr-CA"/>
        </w:rPr>
        <w:t xml:space="preserve">l’application de </w:t>
      </w:r>
      <w:r w:rsidRPr="00745E68">
        <w:rPr>
          <w:rFonts w:cs="Times New Roman"/>
          <w:lang w:val="fr-CA"/>
        </w:rPr>
        <w:t>la peine minimale obligatoire de trois ans, la fourchette des peines infligées pour une première infraction à l’</w:t>
      </w:r>
      <w:r>
        <w:rPr>
          <w:rFonts w:cs="Times New Roman"/>
          <w:lang w:val="fr-CA"/>
        </w:rPr>
        <w:t>art.</w:t>
      </w:r>
      <w:r w:rsidR="00B029AB">
        <w:rPr>
          <w:rFonts w:cs="Times New Roman"/>
          <w:lang w:val="fr-CA"/>
        </w:rPr>
        <w:t xml:space="preserve"> </w:t>
      </w:r>
      <w:r w:rsidRPr="00745E68">
        <w:rPr>
          <w:rFonts w:cs="Times New Roman"/>
          <w:lang w:val="fr-CA"/>
        </w:rPr>
        <w:t>95 allait de deux ans moins un jour à trois ans d’emprisonnement</w:t>
      </w:r>
      <w:r w:rsidR="00B029AB">
        <w:rPr>
          <w:rFonts w:cs="Times New Roman"/>
          <w:lang w:val="fr-CA"/>
        </w:rPr>
        <w:t xml:space="preserve"> </w:t>
      </w:r>
      <w:r w:rsidRPr="00745E68">
        <w:rPr>
          <w:rFonts w:cs="Times New Roman"/>
          <w:lang w:val="fr-CA"/>
        </w:rPr>
        <w:t xml:space="preserve">(motifs de détermination de la peine dans </w:t>
      </w:r>
      <w:r w:rsidRPr="00745E68">
        <w:rPr>
          <w:rFonts w:cs="Times New Roman"/>
          <w:i/>
          <w:lang w:val="fr-CA"/>
        </w:rPr>
        <w:t>Nur</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42). La peine correspondant à l’extrémité inférieure de la fourchette était donc d’environ deux ans moins un jour d’emprisonnement. La peine minimale obligatoire de trois ans que prévoit actuellement le </w:t>
      </w:r>
      <w:r>
        <w:rPr>
          <w:rFonts w:cs="Times New Roman"/>
          <w:lang w:val="fr-CA"/>
        </w:rPr>
        <w:t>par.</w:t>
      </w:r>
      <w:r w:rsidR="00B029AB">
        <w:rPr>
          <w:rFonts w:cs="Times New Roman"/>
          <w:lang w:val="fr-CA"/>
        </w:rPr>
        <w:t xml:space="preserve"> </w:t>
      </w:r>
      <w:r w:rsidRPr="00745E68">
        <w:rPr>
          <w:rFonts w:cs="Times New Roman"/>
          <w:lang w:val="fr-CA"/>
        </w:rPr>
        <w:t>95(2) pour une première infraction n’est pas, à mon sens, totalement disproportionnée à la peine qui correspondait auparavant à l’extrémité inférieure de la fourchette. La peine minimale obligatoire ne viole donc pas l’</w:t>
      </w:r>
      <w:r>
        <w:rPr>
          <w:rFonts w:cs="Times New Roman"/>
          <w:lang w:val="fr-CA"/>
        </w:rPr>
        <w:t>art.</w:t>
      </w:r>
      <w:r w:rsidR="00B029AB">
        <w:rPr>
          <w:rFonts w:cs="Times New Roman"/>
          <w:lang w:val="fr-CA"/>
        </w:rPr>
        <w:t xml:space="preserve"> </w:t>
      </w:r>
      <w:r w:rsidRPr="00745E68">
        <w:rPr>
          <w:rFonts w:cs="Times New Roman"/>
          <w:lang w:val="fr-CA"/>
        </w:rPr>
        <w:t xml:space="preserve">12 à la première étape du contrôle. </w:t>
      </w:r>
    </w:p>
    <w:p w:rsidR="002A4851" w:rsidRPr="00745E68" w:rsidRDefault="002A4851" w:rsidP="00A659A4">
      <w:pPr>
        <w:pStyle w:val="ParaNoNdepar-AltN"/>
        <w:rPr>
          <w:rFonts w:cs="Times New Roman"/>
          <w:lang w:val="fr-CA"/>
        </w:rPr>
      </w:pPr>
      <w:r w:rsidRPr="00745E68">
        <w:rPr>
          <w:rFonts w:cs="Times New Roman"/>
          <w:lang w:val="fr-CA"/>
        </w:rPr>
        <w:lastRenderedPageBreak/>
        <w:t>Comme M.</w:t>
      </w:r>
      <w:r w:rsidR="00B029AB">
        <w:rPr>
          <w:rFonts w:cs="Times New Roman"/>
          <w:lang w:val="fr-CA"/>
        </w:rPr>
        <w:t xml:space="preserve"> </w:t>
      </w:r>
      <w:r w:rsidRPr="00745E68">
        <w:rPr>
          <w:rFonts w:cs="Times New Roman"/>
          <w:lang w:val="fr-CA"/>
        </w:rPr>
        <w:t>Nur reconnaît qu’une peine de trois ans d’emprisonnement n’est pas totalement disproportionnée dans son cas, la deuxième étape du contrôle est aussi franchie.</w:t>
      </w:r>
    </w:p>
    <w:p w:rsidR="002A4851" w:rsidRPr="00745E68" w:rsidRDefault="002A4851" w:rsidP="00A659A4">
      <w:pPr>
        <w:pStyle w:val="Title3LevelTitre3Niveau"/>
        <w:jc w:val="both"/>
        <w:rPr>
          <w:rFonts w:cs="Times New Roman"/>
          <w:lang w:val="fr-CA"/>
        </w:rPr>
      </w:pPr>
      <w:r w:rsidRPr="00745E68">
        <w:rPr>
          <w:rFonts w:cs="Times New Roman"/>
          <w:lang w:val="fr-CA"/>
        </w:rPr>
        <w:t>Application à M.</w:t>
      </w:r>
      <w:r w:rsidR="00B029AB">
        <w:rPr>
          <w:rFonts w:cs="Times New Roman"/>
          <w:lang w:val="fr-CA"/>
        </w:rPr>
        <w:t xml:space="preserve"> </w:t>
      </w:r>
      <w:r w:rsidRPr="00745E68">
        <w:rPr>
          <w:rFonts w:cs="Times New Roman"/>
          <w:lang w:val="fr-CA"/>
        </w:rPr>
        <w:t>Charles</w:t>
      </w:r>
    </w:p>
    <w:p w:rsidR="002A4851" w:rsidRPr="00745E68" w:rsidRDefault="002A4851" w:rsidP="00A659A4">
      <w:pPr>
        <w:pStyle w:val="ParaNoNdepar-AltN"/>
        <w:tabs>
          <w:tab w:val="left" w:pos="2552"/>
        </w:tabs>
        <w:rPr>
          <w:rFonts w:cs="Times New Roman"/>
          <w:lang w:val="fr-CA"/>
        </w:rPr>
      </w:pPr>
      <w:r w:rsidRPr="00745E68">
        <w:rPr>
          <w:rFonts w:cs="Times New Roman"/>
          <w:lang w:val="fr-CA"/>
        </w:rPr>
        <w:t>Dans ses motifs de détermination de la peine prononcés à l’audience, la juge Backhouse ne fait pas état de la fourchette des peines infligées en cas de récidive avant l’application de la peine minimale obligatoire de cinq ans (2010 ONSC 5437, 262 C.C.C. (3d) 120). Cependant, comme le souligne le juge Code, même si la fourchette des peines infligées pour une première infraction allait de deux ans moins un jour à trois ans d’emprisonnement, [</w:t>
      </w:r>
      <w:r w:rsidRPr="00745E68">
        <w:rPr>
          <w:rFonts w:cs="Times New Roman"/>
          <w:smallCaps/>
          <w:lang w:val="fr-CA"/>
        </w:rPr>
        <w:t>traduction</w:t>
      </w:r>
      <w:r w:rsidRPr="00745E68">
        <w:rPr>
          <w:rFonts w:cs="Times New Roman"/>
          <w:lang w:val="fr-CA"/>
        </w:rPr>
        <w:t xml:space="preserve">] </w:t>
      </w:r>
      <w:r w:rsidR="00B029AB">
        <w:rPr>
          <w:rFonts w:cs="Times New Roman"/>
          <w:lang w:val="fr-CA"/>
        </w:rPr>
        <w:t>« </w:t>
      </w:r>
      <w:r w:rsidRPr="00745E68">
        <w:rPr>
          <w:rFonts w:cs="Times New Roman"/>
          <w:lang w:val="fr-CA"/>
        </w:rPr>
        <w:t>[d]es peines beaucoup plus longues étaient imposées aux récidivistes</w:t>
      </w:r>
      <w:r w:rsidR="00B029AB">
        <w:rPr>
          <w:rFonts w:cs="Times New Roman"/>
          <w:lang w:val="fr-CA"/>
        </w:rPr>
        <w:t> »</w:t>
      </w:r>
      <w:r w:rsidRPr="00745E68">
        <w:rPr>
          <w:rFonts w:cs="Times New Roman"/>
          <w:lang w:val="fr-CA"/>
        </w:rPr>
        <w:t xml:space="preserve"> (motifs de détermination de la peine dans </w:t>
      </w:r>
      <w:r w:rsidRPr="00745E68">
        <w:rPr>
          <w:rFonts w:cs="Times New Roman"/>
          <w:i/>
          <w:lang w:val="fr-CA"/>
        </w:rPr>
        <w:t>Nur</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42). Il est donc clair qu’une récidive aurait entraîné une peine d’emprisonnement de bien plus de </w:t>
      </w:r>
      <w:r>
        <w:rPr>
          <w:rFonts w:cs="Times New Roman"/>
          <w:lang w:val="fr-CA"/>
        </w:rPr>
        <w:t>trois ans</w:t>
      </w:r>
      <w:r w:rsidRPr="00745E68">
        <w:rPr>
          <w:rFonts w:cs="Times New Roman"/>
          <w:lang w:val="fr-CA"/>
        </w:rPr>
        <w:t xml:space="preserve"> — à tout le moins quatre ou cinq ans. La peine minimale obligatoire actuelle de cinq ans d’emprisonnement n’est pas totalement disproportionnée aux peines de l’extrémité inférieure de la fourchette qui étaient auparavant infligées sous le régime de l’</w:t>
      </w:r>
      <w:r>
        <w:rPr>
          <w:rFonts w:cs="Times New Roman"/>
          <w:lang w:val="fr-CA"/>
        </w:rPr>
        <w:t>art.</w:t>
      </w:r>
      <w:r w:rsidR="00B029AB">
        <w:rPr>
          <w:rFonts w:cs="Times New Roman"/>
          <w:lang w:val="fr-CA"/>
        </w:rPr>
        <w:t xml:space="preserve"> </w:t>
      </w:r>
      <w:r w:rsidRPr="00745E68">
        <w:rPr>
          <w:rFonts w:cs="Times New Roman"/>
          <w:lang w:val="fr-CA"/>
        </w:rPr>
        <w:t xml:space="preserve">95 en cas de récidive. </w:t>
      </w:r>
    </w:p>
    <w:p w:rsidR="002A4851" w:rsidRPr="00745E68" w:rsidRDefault="002A4851" w:rsidP="00A659A4">
      <w:pPr>
        <w:pStyle w:val="ParaNoNdepar-AltN"/>
        <w:rPr>
          <w:rFonts w:cs="Times New Roman"/>
          <w:lang w:val="fr-CA"/>
        </w:rPr>
      </w:pPr>
      <w:r w:rsidRPr="00745E68">
        <w:rPr>
          <w:rFonts w:cs="Times New Roman"/>
          <w:lang w:val="fr-CA"/>
        </w:rPr>
        <w:t xml:space="preserve">À l’instar de </w:t>
      </w:r>
      <w:r>
        <w:rPr>
          <w:rFonts w:cs="Times New Roman"/>
          <w:lang w:val="fr-CA"/>
        </w:rPr>
        <w:t>M.</w:t>
      </w:r>
      <w:r w:rsidR="00B029AB">
        <w:rPr>
          <w:rFonts w:cs="Times New Roman"/>
          <w:lang w:val="fr-CA"/>
        </w:rPr>
        <w:t xml:space="preserve"> </w:t>
      </w:r>
      <w:r w:rsidRPr="00745E68">
        <w:rPr>
          <w:rFonts w:cs="Times New Roman"/>
          <w:lang w:val="fr-CA"/>
        </w:rPr>
        <w:t>Nur, M.</w:t>
      </w:r>
      <w:r w:rsidR="00B029AB">
        <w:rPr>
          <w:rFonts w:cs="Times New Roman"/>
          <w:lang w:val="fr-CA"/>
        </w:rPr>
        <w:t xml:space="preserve"> </w:t>
      </w:r>
      <w:r w:rsidRPr="00745E68">
        <w:rPr>
          <w:rFonts w:cs="Times New Roman"/>
          <w:lang w:val="fr-CA"/>
        </w:rPr>
        <w:t>Charles reconnaît que la peine minimale obligatoire n’est pas totalement disproportionnée en ce qui le concerne.</w:t>
      </w:r>
    </w:p>
    <w:p w:rsidR="002A4851" w:rsidRPr="00745E68" w:rsidRDefault="002A4851" w:rsidP="00A659A4">
      <w:pPr>
        <w:pStyle w:val="ParaNoNdepar-AltN"/>
        <w:rPr>
          <w:rFonts w:cs="Times New Roman"/>
          <w:lang w:val="fr-CA"/>
        </w:rPr>
      </w:pPr>
      <w:r w:rsidRPr="00745E68">
        <w:rPr>
          <w:rFonts w:cs="Times New Roman"/>
          <w:lang w:val="fr-CA"/>
        </w:rPr>
        <w:t>J’estime donc que ni le régime de détermination de la peine comme tel, ni son application à M.</w:t>
      </w:r>
      <w:r w:rsidR="00B029AB">
        <w:rPr>
          <w:rFonts w:cs="Times New Roman"/>
          <w:lang w:val="fr-CA"/>
        </w:rPr>
        <w:t xml:space="preserve"> </w:t>
      </w:r>
      <w:r w:rsidRPr="00745E68">
        <w:rPr>
          <w:rFonts w:cs="Times New Roman"/>
          <w:lang w:val="fr-CA"/>
        </w:rPr>
        <w:t>Nur ou à M.</w:t>
      </w:r>
      <w:r w:rsidR="00B029AB">
        <w:rPr>
          <w:rFonts w:cs="Times New Roman"/>
          <w:lang w:val="fr-CA"/>
        </w:rPr>
        <w:t xml:space="preserve"> </w:t>
      </w:r>
      <w:r w:rsidRPr="00745E68">
        <w:rPr>
          <w:rFonts w:cs="Times New Roman"/>
          <w:lang w:val="fr-CA"/>
        </w:rPr>
        <w:t>Charles ne contreviennent à l’</w:t>
      </w:r>
      <w:r>
        <w:rPr>
          <w:rFonts w:cs="Times New Roman"/>
          <w:lang w:val="fr-CA"/>
        </w:rPr>
        <w:t>art.</w:t>
      </w:r>
      <w:r w:rsidR="00B029AB">
        <w:rPr>
          <w:rFonts w:cs="Times New Roman"/>
          <w:lang w:val="fr-CA"/>
        </w:rPr>
        <w:t xml:space="preserve"> </w:t>
      </w:r>
      <w:r w:rsidRPr="00745E68">
        <w:rPr>
          <w:rFonts w:cs="Times New Roman"/>
          <w:lang w:val="fr-CA"/>
        </w:rPr>
        <w:t xml:space="preserve">12 de la </w:t>
      </w:r>
      <w:r w:rsidRPr="00745E68">
        <w:rPr>
          <w:rFonts w:cs="Times New Roman"/>
          <w:i/>
          <w:lang w:val="fr-CA"/>
        </w:rPr>
        <w:t>Charte</w:t>
      </w:r>
      <w:r w:rsidRPr="00745E68">
        <w:rPr>
          <w:rFonts w:cs="Times New Roman"/>
          <w:lang w:val="fr-CA"/>
        </w:rPr>
        <w:t xml:space="preserve">. </w:t>
      </w:r>
    </w:p>
    <w:p w:rsidR="002A4851" w:rsidRPr="00745E68" w:rsidRDefault="002A4851" w:rsidP="00A659A4">
      <w:pPr>
        <w:pStyle w:val="Title1LevelTitre1Niveau-AltL"/>
        <w:jc w:val="both"/>
        <w:rPr>
          <w:rFonts w:cs="Times New Roman"/>
          <w:lang w:val="fr-CA"/>
        </w:rPr>
      </w:pPr>
      <w:r w:rsidRPr="00745E68">
        <w:rPr>
          <w:rFonts w:cs="Times New Roman"/>
          <w:lang w:val="fr-CA"/>
        </w:rPr>
        <w:lastRenderedPageBreak/>
        <w:t>Partie 3</w:t>
      </w:r>
      <w:r w:rsidR="00B029AB">
        <w:rPr>
          <w:rFonts w:cs="Times New Roman"/>
          <w:lang w:val="fr-CA"/>
        </w:rPr>
        <w:t> :</w:t>
      </w:r>
      <w:r w:rsidRPr="00745E68">
        <w:rPr>
          <w:rFonts w:cs="Times New Roman"/>
          <w:lang w:val="fr-CA"/>
        </w:rPr>
        <w:t xml:space="preserve"> L’analyse au regard de l’art</w:t>
      </w:r>
      <w:r w:rsidR="00DD6118">
        <w:rPr>
          <w:rFonts w:cs="Times New Roman"/>
          <w:lang w:val="fr-CA"/>
        </w:rPr>
        <w:t>.</w:t>
      </w:r>
      <w:r w:rsidR="00B029AB">
        <w:rPr>
          <w:rFonts w:cs="Times New Roman"/>
          <w:lang w:val="fr-CA"/>
        </w:rPr>
        <w:t xml:space="preserve"> </w:t>
      </w:r>
      <w:r w:rsidRPr="00745E68">
        <w:rPr>
          <w:rFonts w:cs="Times New Roman"/>
          <w:lang w:val="fr-CA"/>
        </w:rPr>
        <w:t>7</w:t>
      </w:r>
    </w:p>
    <w:p w:rsidR="002A4851" w:rsidRPr="00745E68" w:rsidRDefault="002A4851" w:rsidP="00A659A4">
      <w:pPr>
        <w:pStyle w:val="ParaNoNdepar-AltN"/>
        <w:rPr>
          <w:rFonts w:cs="Times New Roman"/>
          <w:lang w:val="fr-CA"/>
        </w:rPr>
      </w:pPr>
      <w:r w:rsidRPr="00745E68">
        <w:rPr>
          <w:rFonts w:cs="Times New Roman"/>
          <w:lang w:val="fr-CA"/>
        </w:rPr>
        <w:t>Passons maintenant aux prétentions relatives à l’</w:t>
      </w:r>
      <w:r>
        <w:rPr>
          <w:rFonts w:cs="Times New Roman"/>
          <w:lang w:val="fr-CA"/>
        </w:rPr>
        <w:t>art.</w:t>
      </w:r>
      <w:r w:rsidR="00B029AB">
        <w:rPr>
          <w:rFonts w:cs="Times New Roman"/>
          <w:lang w:val="fr-CA"/>
        </w:rPr>
        <w:t xml:space="preserve"> </w:t>
      </w:r>
      <w:r w:rsidRPr="00745E68">
        <w:rPr>
          <w:rFonts w:cs="Times New Roman"/>
          <w:lang w:val="fr-CA"/>
        </w:rPr>
        <w:t>7 formulées dans chacun des pourvois.</w:t>
      </w:r>
    </w:p>
    <w:p w:rsidR="002A4851" w:rsidRPr="00745E68" w:rsidRDefault="002A4851" w:rsidP="00A659A4">
      <w:pPr>
        <w:pStyle w:val="Title2LevelTitre2Niveau"/>
        <w:rPr>
          <w:rFonts w:cs="Times New Roman"/>
          <w:lang w:val="fr-CA"/>
        </w:rPr>
      </w:pPr>
      <w:r>
        <w:rPr>
          <w:rFonts w:cs="Times New Roman"/>
          <w:lang w:val="fr-CA"/>
        </w:rPr>
        <w:t>M.</w:t>
      </w:r>
      <w:r w:rsidR="00B029AB">
        <w:rPr>
          <w:rFonts w:cs="Times New Roman"/>
          <w:lang w:val="fr-CA"/>
        </w:rPr>
        <w:t xml:space="preserve"> </w:t>
      </w:r>
      <w:r w:rsidRPr="00745E68">
        <w:rPr>
          <w:rFonts w:cs="Times New Roman"/>
          <w:lang w:val="fr-CA"/>
        </w:rPr>
        <w:t>Nur</w:t>
      </w:r>
    </w:p>
    <w:p w:rsidR="002A4851" w:rsidRPr="00745E68" w:rsidRDefault="002A4851" w:rsidP="00A659A4">
      <w:pPr>
        <w:pStyle w:val="ParaNoNdepar-AltN"/>
        <w:rPr>
          <w:rFonts w:cs="Times New Roman"/>
          <w:lang w:val="fr-CA"/>
        </w:rPr>
      </w:pPr>
      <w:r w:rsidRPr="00745E68">
        <w:rPr>
          <w:rFonts w:cs="Times New Roman"/>
          <w:lang w:val="fr-CA"/>
        </w:rPr>
        <w:t>M.</w:t>
      </w:r>
      <w:r w:rsidR="00B029AB">
        <w:rPr>
          <w:rFonts w:cs="Times New Roman"/>
          <w:lang w:val="fr-CA"/>
        </w:rPr>
        <w:t xml:space="preserve"> </w:t>
      </w:r>
      <w:r w:rsidRPr="00745E68">
        <w:rPr>
          <w:rFonts w:cs="Times New Roman"/>
          <w:lang w:val="fr-CA"/>
        </w:rPr>
        <w:t xml:space="preserve">Nur conteste le régime de détermination de la peine établi au </w:t>
      </w:r>
      <w:r>
        <w:rPr>
          <w:rFonts w:cs="Times New Roman"/>
          <w:lang w:val="fr-CA"/>
        </w:rPr>
        <w:t>par.</w:t>
      </w:r>
      <w:r w:rsidR="00B029AB">
        <w:rPr>
          <w:rFonts w:cs="Times New Roman"/>
          <w:lang w:val="fr-CA"/>
        </w:rPr>
        <w:t xml:space="preserve"> </w:t>
      </w:r>
      <w:r w:rsidRPr="00745E68">
        <w:rPr>
          <w:rFonts w:cs="Times New Roman"/>
          <w:lang w:val="fr-CA"/>
        </w:rPr>
        <w:t>95(2) au motif qu’il est arbitraire et viole ainsi l’</w:t>
      </w:r>
      <w:r>
        <w:rPr>
          <w:rFonts w:cs="Times New Roman"/>
          <w:lang w:val="fr-CA"/>
        </w:rPr>
        <w:t>art.</w:t>
      </w:r>
      <w:r w:rsidR="00B029AB">
        <w:rPr>
          <w:rFonts w:cs="Times New Roman"/>
          <w:lang w:val="fr-CA"/>
        </w:rPr>
        <w:t xml:space="preserve"> </w:t>
      </w:r>
      <w:r w:rsidRPr="00745E68">
        <w:rPr>
          <w:rFonts w:cs="Times New Roman"/>
          <w:lang w:val="fr-CA"/>
        </w:rPr>
        <w:t>7. Il dénonce l’</w:t>
      </w:r>
      <w:r w:rsidR="00B029AB">
        <w:rPr>
          <w:rFonts w:cs="Times New Roman"/>
          <w:lang w:val="fr-CA"/>
        </w:rPr>
        <w:t>« </w:t>
      </w:r>
      <w:r w:rsidRPr="00745E68">
        <w:rPr>
          <w:rFonts w:cs="Times New Roman"/>
          <w:lang w:val="fr-CA"/>
        </w:rPr>
        <w:t>écart</w:t>
      </w:r>
      <w:r w:rsidR="00B029AB">
        <w:rPr>
          <w:rFonts w:cs="Times New Roman"/>
          <w:lang w:val="fr-CA"/>
        </w:rPr>
        <w:t> »</w:t>
      </w:r>
      <w:r w:rsidRPr="00745E68">
        <w:rPr>
          <w:rFonts w:cs="Times New Roman"/>
          <w:lang w:val="fr-CA"/>
        </w:rPr>
        <w:t xml:space="preserve"> de deux ans entre la peine maximale d’un an qui peut être imposée lorsque le ministère public opte pour la procédure sommaire, et la peine minimale de trois ans qui s’applique lorsqu’il opte pour la mise en accusation. M.</w:t>
      </w:r>
      <w:r w:rsidR="00B029AB">
        <w:rPr>
          <w:rFonts w:cs="Times New Roman"/>
          <w:lang w:val="fr-CA"/>
        </w:rPr>
        <w:t xml:space="preserve"> </w:t>
      </w:r>
      <w:r w:rsidRPr="00745E68">
        <w:rPr>
          <w:rFonts w:cs="Times New Roman"/>
          <w:lang w:val="fr-CA"/>
        </w:rPr>
        <w:t>Nur reconnaît que la peine minimale obligatoire de trois ans d’emprisonnement vise à dénoncer les crimes liés aux armes à feu</w:t>
      </w:r>
      <w:r w:rsidR="00B029AB">
        <w:rPr>
          <w:rFonts w:cs="Times New Roman"/>
          <w:lang w:val="fr-CA"/>
        </w:rPr>
        <w:t xml:space="preserve"> </w:t>
      </w:r>
      <w:r w:rsidRPr="00745E68">
        <w:rPr>
          <w:rFonts w:cs="Times New Roman"/>
          <w:lang w:val="fr-CA"/>
        </w:rPr>
        <w:t xml:space="preserve">et à décourager leur perpétration (m.i., </w:t>
      </w:r>
      <w:r>
        <w:rPr>
          <w:rFonts w:cs="Times New Roman"/>
          <w:lang w:val="fr-CA"/>
        </w:rPr>
        <w:t>par.</w:t>
      </w:r>
      <w:r w:rsidR="00B029AB">
        <w:rPr>
          <w:rFonts w:cs="Times New Roman"/>
          <w:lang w:val="fr-CA"/>
        </w:rPr>
        <w:t xml:space="preserve"> </w:t>
      </w:r>
      <w:r w:rsidRPr="00745E68">
        <w:rPr>
          <w:rFonts w:cs="Times New Roman"/>
          <w:lang w:val="fr-CA"/>
        </w:rPr>
        <w:t>76). Il soutient néanmoins que cet écart est arbitraire en ce qu’il [</w:t>
      </w:r>
      <w:r w:rsidRPr="00745E68">
        <w:rPr>
          <w:rFonts w:cs="Times New Roman"/>
          <w:smallCaps/>
          <w:lang w:val="fr-CA"/>
        </w:rPr>
        <w:t>traduction</w:t>
      </w:r>
      <w:r w:rsidRPr="00745E68">
        <w:rPr>
          <w:rFonts w:cs="Times New Roman"/>
          <w:lang w:val="fr-CA"/>
        </w:rPr>
        <w:t>]</w:t>
      </w:r>
      <w:r w:rsidR="00B029AB">
        <w:rPr>
          <w:rFonts w:cs="Times New Roman"/>
          <w:lang w:val="fr-CA"/>
        </w:rPr>
        <w:t xml:space="preserve"> « </w:t>
      </w:r>
      <w:r w:rsidRPr="00745E68">
        <w:rPr>
          <w:rFonts w:cs="Times New Roman"/>
          <w:lang w:val="fr-CA"/>
        </w:rPr>
        <w:t>nuit à la souplesse du régime mixte et [.</w:t>
      </w:r>
      <w:r w:rsidR="00B029AB">
        <w:rPr>
          <w:rFonts w:cs="Times New Roman"/>
          <w:lang w:val="fr-CA"/>
        </w:rPr>
        <w:t xml:space="preserve"> </w:t>
      </w:r>
      <w:r w:rsidRPr="00745E68">
        <w:rPr>
          <w:rFonts w:cs="Times New Roman"/>
          <w:lang w:val="fr-CA"/>
        </w:rPr>
        <w:t>.</w:t>
      </w:r>
      <w:r w:rsidR="00B029AB">
        <w:rPr>
          <w:rFonts w:cs="Times New Roman"/>
          <w:lang w:val="fr-CA"/>
        </w:rPr>
        <w:t xml:space="preserve"> </w:t>
      </w:r>
      <w:r w:rsidRPr="00745E68">
        <w:rPr>
          <w:rFonts w:cs="Times New Roman"/>
          <w:lang w:val="fr-CA"/>
        </w:rPr>
        <w:t>.] n’est lié à aucun objectif législatif déterminable</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 xml:space="preserve">77). Plus précisément, il </w:t>
      </w:r>
      <w:r w:rsidR="00B029AB">
        <w:rPr>
          <w:rFonts w:cs="Times New Roman"/>
          <w:lang w:val="fr-CA"/>
        </w:rPr>
        <w:t>« </w:t>
      </w:r>
      <w:r w:rsidRPr="00745E68">
        <w:rPr>
          <w:rFonts w:cs="Times New Roman"/>
          <w:lang w:val="fr-CA"/>
        </w:rPr>
        <w:t>compromet cette souplesse en limitant le pouvoir discrétionnaire du ministère public et en faisant en sorte que plus d’infractions soient punissables par voie de mise en accusation</w:t>
      </w:r>
      <w:r w:rsidR="00B029AB">
        <w:rPr>
          <w:rFonts w:cs="Times New Roman"/>
          <w:lang w:val="fr-CA"/>
        </w:rPr>
        <w:t> »</w:t>
      </w:r>
      <w:r w:rsidRPr="00745E68">
        <w:rPr>
          <w:rFonts w:cs="Times New Roman"/>
          <w:lang w:val="fr-CA"/>
        </w:rPr>
        <w:t xml:space="preserve"> (</w:t>
      </w:r>
      <w:r>
        <w:rPr>
          <w:rFonts w:cs="Times New Roman"/>
          <w:lang w:val="fr-CA"/>
        </w:rPr>
        <w:t>par.</w:t>
      </w:r>
      <w:r w:rsidR="00B029AB">
        <w:rPr>
          <w:rFonts w:cs="Times New Roman"/>
          <w:lang w:val="fr-CA"/>
        </w:rPr>
        <w:t xml:space="preserve"> </w:t>
      </w:r>
      <w:r w:rsidRPr="00745E68">
        <w:rPr>
          <w:rFonts w:cs="Times New Roman"/>
          <w:lang w:val="fr-CA"/>
        </w:rPr>
        <w:t>83).</w:t>
      </w:r>
    </w:p>
    <w:p w:rsidR="002A4851" w:rsidRPr="00745E68" w:rsidRDefault="002A4851" w:rsidP="00A659A4">
      <w:pPr>
        <w:pStyle w:val="ParaNoNdepar-AltN"/>
        <w:rPr>
          <w:rFonts w:cs="Times New Roman"/>
          <w:lang w:val="fr-CA"/>
        </w:rPr>
      </w:pPr>
      <w:r w:rsidRPr="00745E68">
        <w:rPr>
          <w:rFonts w:cs="Times New Roman"/>
          <w:lang w:val="fr-CA"/>
        </w:rPr>
        <w:t>Soit dit en tout respect, cet argument ne me convainc pas. Je ne nie pas qu’un tel écart puisse, dans d’autres circonstances, soulever des préoccupations fondées sur l’</w:t>
      </w:r>
      <w:r>
        <w:rPr>
          <w:rFonts w:cs="Times New Roman"/>
          <w:lang w:val="fr-CA"/>
        </w:rPr>
        <w:t>art.</w:t>
      </w:r>
      <w:r w:rsidR="00B029AB">
        <w:rPr>
          <w:rFonts w:cs="Times New Roman"/>
          <w:lang w:val="fr-CA"/>
        </w:rPr>
        <w:t xml:space="preserve"> </w:t>
      </w:r>
      <w:r w:rsidRPr="00745E68">
        <w:rPr>
          <w:rFonts w:cs="Times New Roman"/>
          <w:lang w:val="fr-CA"/>
        </w:rPr>
        <w:t>7. Ce n’est toutefois pas le cas en l’espèce. Comme le reconnaît M.</w:t>
      </w:r>
      <w:r w:rsidR="00B029AB">
        <w:rPr>
          <w:rFonts w:cs="Times New Roman"/>
          <w:lang w:val="fr-CA"/>
        </w:rPr>
        <w:t xml:space="preserve"> </w:t>
      </w:r>
      <w:r w:rsidRPr="00745E68">
        <w:rPr>
          <w:rFonts w:cs="Times New Roman"/>
          <w:lang w:val="fr-CA"/>
        </w:rPr>
        <w:t xml:space="preserve">Nur, l’objectif principal du législateur est de dénoncer les crimes liés aux armes à feu </w:t>
      </w:r>
      <w:r w:rsidRPr="00745E68">
        <w:rPr>
          <w:rFonts w:cs="Times New Roman"/>
          <w:lang w:val="fr-CA"/>
        </w:rPr>
        <w:lastRenderedPageBreak/>
        <w:t>et de décourager leur perpétration. L’historique législatif de l’</w:t>
      </w:r>
      <w:r>
        <w:rPr>
          <w:rFonts w:cs="Times New Roman"/>
          <w:lang w:val="fr-CA"/>
        </w:rPr>
        <w:t>art.</w:t>
      </w:r>
      <w:r w:rsidR="00B029AB">
        <w:rPr>
          <w:rFonts w:cs="Times New Roman"/>
          <w:lang w:val="fr-CA"/>
        </w:rPr>
        <w:t xml:space="preserve"> </w:t>
      </w:r>
      <w:r w:rsidRPr="00745E68">
        <w:rPr>
          <w:rFonts w:cs="Times New Roman"/>
          <w:lang w:val="fr-CA"/>
        </w:rPr>
        <w:t>95 et la jurisprudence relative à cette disposition indiquent clairement que la vaste majorité des actes visés par cette infraction sont dangereux en soi et justifient une peine d’emprisonnement importante. Toutefois, le législateur a également reconnu que, dans de rares cas, la disposition peut s’appliquer à une infraction de type réglementaire, de sorte qu’il a créé une soupape qui permet alors d’opter pour la procédure sommaire.</w:t>
      </w:r>
    </w:p>
    <w:p w:rsidR="002A4851" w:rsidRPr="00745E68" w:rsidRDefault="002A4851" w:rsidP="00A659A4">
      <w:pPr>
        <w:pStyle w:val="ParaNoNdepar-AltN"/>
        <w:rPr>
          <w:rFonts w:cs="Times New Roman"/>
          <w:lang w:val="fr-CA"/>
        </w:rPr>
      </w:pPr>
      <w:r w:rsidRPr="00745E68">
        <w:rPr>
          <w:rFonts w:cs="Times New Roman"/>
          <w:lang w:val="fr-CA"/>
        </w:rPr>
        <w:t xml:space="preserve">Considéré sous cet angle, le régime de détermination de la peine n’a rien d’arbitraire. Au contraire, il a un lien manifeste avec les objectifs du législateur. Il réserve des peines plus clémentes aux délinquants les moins blâmables, tout en imposant à la vaste majorité des délinquants des peines minimales obligatoires strictes qui sont compatibles avec les objectifs de dénonciation et de dissuasion. En conséquence, l’écart de deux ans que comporte le </w:t>
      </w:r>
      <w:r>
        <w:rPr>
          <w:rFonts w:cs="Times New Roman"/>
          <w:lang w:val="fr-CA"/>
        </w:rPr>
        <w:t>par.</w:t>
      </w:r>
      <w:r w:rsidR="00B029AB">
        <w:rPr>
          <w:rFonts w:cs="Times New Roman"/>
          <w:lang w:val="fr-CA"/>
        </w:rPr>
        <w:t xml:space="preserve"> </w:t>
      </w:r>
      <w:r w:rsidRPr="00745E68">
        <w:rPr>
          <w:rFonts w:cs="Times New Roman"/>
          <w:lang w:val="fr-CA"/>
        </w:rPr>
        <w:t>95(2) ne porte pas atteinte au droit garanti à l’</w:t>
      </w:r>
      <w:r>
        <w:rPr>
          <w:rFonts w:cs="Times New Roman"/>
          <w:lang w:val="fr-CA"/>
        </w:rPr>
        <w:t>art.</w:t>
      </w:r>
      <w:r w:rsidR="00B029AB">
        <w:rPr>
          <w:rFonts w:cs="Times New Roman"/>
          <w:lang w:val="fr-CA"/>
        </w:rPr>
        <w:t xml:space="preserve"> </w:t>
      </w:r>
      <w:r w:rsidRPr="00745E68">
        <w:rPr>
          <w:rFonts w:cs="Times New Roman"/>
          <w:lang w:val="fr-CA"/>
        </w:rPr>
        <w:t xml:space="preserve">7 de la </w:t>
      </w:r>
      <w:r w:rsidRPr="00745E68">
        <w:rPr>
          <w:rFonts w:cs="Times New Roman"/>
          <w:i/>
          <w:lang w:val="fr-CA"/>
        </w:rPr>
        <w:t>Charte</w:t>
      </w:r>
      <w:r w:rsidRPr="00745E68">
        <w:rPr>
          <w:rFonts w:cs="Times New Roman"/>
          <w:lang w:val="fr-CA"/>
        </w:rPr>
        <w:t>.</w:t>
      </w:r>
    </w:p>
    <w:p w:rsidR="002A4851" w:rsidRPr="00745E68" w:rsidRDefault="002A4851" w:rsidP="00A659A4">
      <w:pPr>
        <w:pStyle w:val="Title2LevelTitre2Niveau"/>
        <w:rPr>
          <w:rFonts w:cs="Times New Roman"/>
          <w:lang w:val="fr-CA"/>
        </w:rPr>
      </w:pPr>
      <w:r>
        <w:rPr>
          <w:rFonts w:cs="Times New Roman"/>
          <w:lang w:val="fr-CA"/>
        </w:rPr>
        <w:t>M.</w:t>
      </w:r>
      <w:r w:rsidR="00B029AB">
        <w:rPr>
          <w:rFonts w:cs="Times New Roman"/>
          <w:lang w:val="fr-CA"/>
        </w:rPr>
        <w:t xml:space="preserve"> </w:t>
      </w:r>
      <w:r w:rsidRPr="00745E68">
        <w:rPr>
          <w:rFonts w:cs="Times New Roman"/>
          <w:lang w:val="fr-CA"/>
        </w:rPr>
        <w:t>Charles</w:t>
      </w:r>
    </w:p>
    <w:p w:rsidR="002A4851" w:rsidRPr="00745E68" w:rsidRDefault="002A4851" w:rsidP="00A659A4">
      <w:pPr>
        <w:pStyle w:val="ParaNoNdepar-AltN"/>
        <w:rPr>
          <w:rFonts w:cs="Times New Roman"/>
          <w:lang w:val="fr-CA"/>
        </w:rPr>
      </w:pPr>
      <w:r w:rsidRPr="00745E68">
        <w:rPr>
          <w:rFonts w:cs="Times New Roman"/>
          <w:lang w:val="fr-CA"/>
        </w:rPr>
        <w:t>Pour sa part, M.</w:t>
      </w:r>
      <w:r w:rsidR="00B029AB">
        <w:rPr>
          <w:rFonts w:cs="Times New Roman"/>
          <w:lang w:val="fr-CA"/>
        </w:rPr>
        <w:t xml:space="preserve"> </w:t>
      </w:r>
      <w:r w:rsidRPr="00745E68">
        <w:rPr>
          <w:rFonts w:cs="Times New Roman"/>
          <w:lang w:val="fr-CA"/>
        </w:rPr>
        <w:t>Charles avance deux autres arguments liés à l’</w:t>
      </w:r>
      <w:r>
        <w:rPr>
          <w:rFonts w:cs="Times New Roman"/>
          <w:lang w:val="fr-CA"/>
        </w:rPr>
        <w:t>art.</w:t>
      </w:r>
      <w:r w:rsidR="00B029AB">
        <w:rPr>
          <w:rFonts w:cs="Times New Roman"/>
          <w:lang w:val="fr-CA"/>
        </w:rPr>
        <w:t xml:space="preserve"> </w:t>
      </w:r>
      <w:r w:rsidRPr="00745E68">
        <w:rPr>
          <w:rFonts w:cs="Times New Roman"/>
          <w:lang w:val="fr-CA"/>
        </w:rPr>
        <w:t>7. Il encourt la peine minimale obligatoire de cinq ans d’emprisonnement prévue au sous</w:t>
      </w:r>
      <w:r w:rsidR="00B029AB">
        <w:rPr>
          <w:rFonts w:cs="Times New Roman"/>
          <w:lang w:val="fr-CA"/>
        </w:rPr>
        <w:t>-</w:t>
      </w:r>
      <w:r>
        <w:rPr>
          <w:rFonts w:cs="Times New Roman"/>
          <w:lang w:val="fr-CA"/>
        </w:rPr>
        <w:t>al.</w:t>
      </w:r>
      <w:r w:rsidR="00B029AB">
        <w:rPr>
          <w:rFonts w:cs="Times New Roman"/>
          <w:lang w:val="fr-CA"/>
        </w:rPr>
        <w:t xml:space="preserve"> </w:t>
      </w:r>
      <w:r w:rsidRPr="00745E68">
        <w:rPr>
          <w:rFonts w:cs="Times New Roman"/>
          <w:lang w:val="fr-CA"/>
        </w:rPr>
        <w:t>95(2)</w:t>
      </w:r>
      <w:r w:rsidRPr="00745E68">
        <w:rPr>
          <w:rFonts w:cs="Times New Roman"/>
          <w:i/>
          <w:lang w:val="fr-CA"/>
        </w:rPr>
        <w:t>a</w:t>
      </w:r>
      <w:r w:rsidRPr="00745E68">
        <w:rPr>
          <w:rFonts w:cs="Times New Roman"/>
          <w:lang w:val="fr-CA"/>
        </w:rPr>
        <w:t xml:space="preserve">)(ii) du fait que sa déclaration de culpabilité fondée sur le </w:t>
      </w:r>
      <w:r>
        <w:rPr>
          <w:rFonts w:cs="Times New Roman"/>
          <w:lang w:val="fr-CA"/>
        </w:rPr>
        <w:t>par.</w:t>
      </w:r>
      <w:r w:rsidR="00B029AB">
        <w:rPr>
          <w:rFonts w:cs="Times New Roman"/>
          <w:lang w:val="fr-CA"/>
        </w:rPr>
        <w:t xml:space="preserve"> </w:t>
      </w:r>
      <w:r w:rsidRPr="00745E68">
        <w:rPr>
          <w:rFonts w:cs="Times New Roman"/>
          <w:lang w:val="fr-CA"/>
        </w:rPr>
        <w:t xml:space="preserve">95(1) emporte </w:t>
      </w:r>
      <w:r w:rsidR="00B029AB">
        <w:rPr>
          <w:rFonts w:cs="Times New Roman"/>
          <w:lang w:val="fr-CA"/>
        </w:rPr>
        <w:t>« </w:t>
      </w:r>
      <w:r w:rsidRPr="00745E68">
        <w:rPr>
          <w:rFonts w:cs="Times New Roman"/>
          <w:lang w:val="fr-CA"/>
        </w:rPr>
        <w:t>récidive</w:t>
      </w:r>
      <w:r w:rsidR="00B029AB">
        <w:rPr>
          <w:rFonts w:cs="Times New Roman"/>
          <w:lang w:val="fr-CA"/>
        </w:rPr>
        <w:t> »</w:t>
      </w:r>
      <w:r w:rsidRPr="00745E68">
        <w:rPr>
          <w:rFonts w:cs="Times New Roman"/>
          <w:lang w:val="fr-CA"/>
        </w:rPr>
        <w:t>. Le paragraphe</w:t>
      </w:r>
      <w:r w:rsidR="00B029AB">
        <w:rPr>
          <w:rFonts w:cs="Times New Roman"/>
          <w:lang w:val="fr-CA"/>
        </w:rPr>
        <w:t xml:space="preserve"> </w:t>
      </w:r>
      <w:r w:rsidRPr="00745E68">
        <w:rPr>
          <w:rFonts w:cs="Times New Roman"/>
          <w:lang w:val="fr-CA"/>
        </w:rPr>
        <w:t xml:space="preserve">84(5) énumère les infractions susceptibles d’entraîner l’application de la peine minimale obligatoire de cinq ans. La personne déclarée coupable de l’infraction prévue au </w:t>
      </w:r>
      <w:r>
        <w:rPr>
          <w:rFonts w:cs="Times New Roman"/>
          <w:lang w:val="fr-CA"/>
        </w:rPr>
        <w:t>par.</w:t>
      </w:r>
      <w:r w:rsidR="00B029AB">
        <w:rPr>
          <w:rFonts w:cs="Times New Roman"/>
          <w:lang w:val="fr-CA"/>
        </w:rPr>
        <w:t xml:space="preserve"> </w:t>
      </w:r>
      <w:r w:rsidRPr="00745E68">
        <w:rPr>
          <w:rFonts w:cs="Times New Roman"/>
          <w:lang w:val="fr-CA"/>
        </w:rPr>
        <w:t xml:space="preserve">95(1) est en état de </w:t>
      </w:r>
      <w:r w:rsidR="00B029AB">
        <w:rPr>
          <w:rFonts w:cs="Times New Roman"/>
          <w:lang w:val="fr-CA"/>
        </w:rPr>
        <w:t>« </w:t>
      </w:r>
      <w:r w:rsidRPr="00745E68">
        <w:rPr>
          <w:rFonts w:cs="Times New Roman"/>
          <w:lang w:val="fr-CA"/>
        </w:rPr>
        <w:t>récidive</w:t>
      </w:r>
      <w:r w:rsidR="00B029AB">
        <w:rPr>
          <w:rFonts w:cs="Times New Roman"/>
          <w:lang w:val="fr-CA"/>
        </w:rPr>
        <w:t> »</w:t>
      </w:r>
      <w:r w:rsidRPr="00745E68">
        <w:rPr>
          <w:rFonts w:cs="Times New Roman"/>
          <w:lang w:val="fr-CA"/>
        </w:rPr>
        <w:t xml:space="preserve"> </w:t>
      </w:r>
      <w:r w:rsidRPr="00745E68">
        <w:rPr>
          <w:rFonts w:cs="Times New Roman"/>
          <w:lang w:val="fr-CA"/>
        </w:rPr>
        <w:lastRenderedPageBreak/>
        <w:t xml:space="preserve">lorsqu’elle a précédemment été déclarée coupable de l’une ou l’autre des infractions énumérées au </w:t>
      </w:r>
      <w:r>
        <w:rPr>
          <w:rFonts w:cs="Times New Roman"/>
          <w:lang w:val="fr-CA"/>
        </w:rPr>
        <w:t>par.</w:t>
      </w:r>
      <w:r w:rsidR="00B029AB">
        <w:rPr>
          <w:rFonts w:cs="Times New Roman"/>
          <w:lang w:val="fr-CA"/>
        </w:rPr>
        <w:t xml:space="preserve"> </w:t>
      </w:r>
      <w:r w:rsidRPr="00745E68">
        <w:rPr>
          <w:rFonts w:cs="Times New Roman"/>
          <w:lang w:val="fr-CA"/>
        </w:rPr>
        <w:t>84(5). Le paragraphe</w:t>
      </w:r>
      <w:r w:rsidR="00B029AB">
        <w:rPr>
          <w:rFonts w:cs="Times New Roman"/>
          <w:lang w:val="fr-CA"/>
        </w:rPr>
        <w:t xml:space="preserve"> </w:t>
      </w:r>
      <w:r w:rsidRPr="00745E68">
        <w:rPr>
          <w:rFonts w:cs="Times New Roman"/>
          <w:lang w:val="fr-CA"/>
        </w:rPr>
        <w:t xml:space="preserve">84(6) précise que, pour l’application du </w:t>
      </w:r>
      <w:r>
        <w:rPr>
          <w:rFonts w:cs="Times New Roman"/>
          <w:lang w:val="fr-CA"/>
        </w:rPr>
        <w:t>par.</w:t>
      </w:r>
      <w:r w:rsidR="00B029AB">
        <w:rPr>
          <w:rFonts w:cs="Times New Roman"/>
          <w:lang w:val="fr-CA"/>
        </w:rPr>
        <w:t xml:space="preserve"> </w:t>
      </w:r>
      <w:r w:rsidRPr="00745E68">
        <w:rPr>
          <w:rFonts w:cs="Times New Roman"/>
          <w:lang w:val="fr-CA"/>
        </w:rPr>
        <w:t xml:space="preserve">84(5), </w:t>
      </w:r>
      <w:r w:rsidR="00B029AB">
        <w:rPr>
          <w:rFonts w:cs="Times New Roman"/>
          <w:lang w:val="fr-CA"/>
        </w:rPr>
        <w:t>« </w:t>
      </w:r>
      <w:r w:rsidRPr="00745E68">
        <w:rPr>
          <w:rFonts w:cs="Times New Roman"/>
          <w:lang w:val="fr-CA"/>
        </w:rPr>
        <w:t>il est tenu compte de l’ordre des déclarations de culpabilité et non de l’ordre de perpétration des infractions</w:t>
      </w:r>
      <w:r w:rsidR="00B029AB">
        <w:rPr>
          <w:rFonts w:cs="Times New Roman"/>
          <w:lang w:val="fr-CA"/>
        </w:rPr>
        <w:t> »</w:t>
      </w:r>
      <w:r w:rsidRPr="00745E68">
        <w:rPr>
          <w:rFonts w:cs="Times New Roman"/>
          <w:lang w:val="fr-CA"/>
        </w:rPr>
        <w:t>.</w:t>
      </w:r>
    </w:p>
    <w:p w:rsidR="002A4851" w:rsidRPr="00745E68" w:rsidRDefault="002A4851" w:rsidP="00A659A4">
      <w:pPr>
        <w:pStyle w:val="ParaNoNdepar-AltN"/>
        <w:rPr>
          <w:rFonts w:cs="Times New Roman"/>
          <w:lang w:val="fr-CA"/>
        </w:rPr>
      </w:pPr>
      <w:r w:rsidRPr="00745E68">
        <w:rPr>
          <w:rFonts w:cs="Times New Roman"/>
          <w:lang w:val="fr-CA"/>
        </w:rPr>
        <w:t>Le premier argument de M.</w:t>
      </w:r>
      <w:r w:rsidR="00B029AB">
        <w:rPr>
          <w:rFonts w:cs="Times New Roman"/>
          <w:lang w:val="fr-CA"/>
        </w:rPr>
        <w:t xml:space="preserve"> </w:t>
      </w:r>
      <w:r w:rsidRPr="00745E68">
        <w:rPr>
          <w:rFonts w:cs="Times New Roman"/>
          <w:lang w:val="fr-CA"/>
        </w:rPr>
        <w:t xml:space="preserve">Charles a trait aux infractions énumérées au </w:t>
      </w:r>
      <w:r>
        <w:rPr>
          <w:rFonts w:cs="Times New Roman"/>
          <w:lang w:val="fr-CA"/>
        </w:rPr>
        <w:t>par.</w:t>
      </w:r>
      <w:r w:rsidR="00B029AB">
        <w:rPr>
          <w:rFonts w:cs="Times New Roman"/>
          <w:lang w:val="fr-CA"/>
        </w:rPr>
        <w:t xml:space="preserve"> </w:t>
      </w:r>
      <w:r w:rsidRPr="00745E68">
        <w:rPr>
          <w:rFonts w:cs="Times New Roman"/>
          <w:lang w:val="fr-CA"/>
        </w:rPr>
        <w:t>84(5). Il soutient que certaines d’entre elles sont [</w:t>
      </w:r>
      <w:r w:rsidRPr="00745E68">
        <w:rPr>
          <w:rFonts w:cs="Times New Roman"/>
          <w:smallCaps/>
          <w:lang w:val="fr-CA"/>
        </w:rPr>
        <w:t>traduction</w:t>
      </w:r>
      <w:r w:rsidRPr="00745E68">
        <w:rPr>
          <w:rFonts w:cs="Times New Roman"/>
          <w:lang w:val="fr-CA"/>
        </w:rPr>
        <w:t xml:space="preserve">] </w:t>
      </w:r>
      <w:r w:rsidR="00B029AB">
        <w:rPr>
          <w:rFonts w:cs="Times New Roman"/>
          <w:lang w:val="fr-CA"/>
        </w:rPr>
        <w:t>« </w:t>
      </w:r>
      <w:r w:rsidRPr="00745E68">
        <w:rPr>
          <w:rFonts w:cs="Times New Roman"/>
          <w:lang w:val="fr-CA"/>
        </w:rPr>
        <w:t>moins graves</w:t>
      </w:r>
      <w:r w:rsidR="00B029AB">
        <w:rPr>
          <w:rFonts w:cs="Times New Roman"/>
          <w:lang w:val="fr-CA"/>
        </w:rPr>
        <w:t> »</w:t>
      </w:r>
      <w:r w:rsidRPr="00745E68">
        <w:rPr>
          <w:rFonts w:cs="Times New Roman"/>
          <w:lang w:val="fr-CA"/>
        </w:rPr>
        <w:t xml:space="preserve"> ou </w:t>
      </w:r>
      <w:r w:rsidR="00B029AB">
        <w:rPr>
          <w:rFonts w:cs="Times New Roman"/>
          <w:lang w:val="fr-CA"/>
        </w:rPr>
        <w:t>« </w:t>
      </w:r>
      <w:r w:rsidRPr="00745E68">
        <w:rPr>
          <w:rFonts w:cs="Times New Roman"/>
          <w:lang w:val="fr-CA"/>
        </w:rPr>
        <w:t>non liées aux armes à feu</w:t>
      </w:r>
      <w:r w:rsidR="00B029AB">
        <w:rPr>
          <w:rFonts w:cs="Times New Roman"/>
          <w:lang w:val="fr-CA"/>
        </w:rPr>
        <w:t> »</w:t>
      </w:r>
      <w:r w:rsidRPr="00745E68">
        <w:rPr>
          <w:rFonts w:cs="Times New Roman"/>
          <w:lang w:val="fr-CA"/>
        </w:rPr>
        <w:t>, ce qui confère à la disposition une portée excessive, contrairement à l’</w:t>
      </w:r>
      <w:r>
        <w:rPr>
          <w:rFonts w:cs="Times New Roman"/>
          <w:lang w:val="fr-CA"/>
        </w:rPr>
        <w:t>art.</w:t>
      </w:r>
      <w:r w:rsidR="00B029AB">
        <w:rPr>
          <w:rFonts w:cs="Times New Roman"/>
          <w:lang w:val="fr-CA"/>
        </w:rPr>
        <w:t xml:space="preserve"> </w:t>
      </w:r>
      <w:r w:rsidRPr="00745E68">
        <w:rPr>
          <w:rFonts w:cs="Times New Roman"/>
          <w:lang w:val="fr-CA"/>
        </w:rPr>
        <w:t>7. Il en relève deux en particulier</w:t>
      </w:r>
      <w:r w:rsidR="00B029AB">
        <w:rPr>
          <w:rFonts w:cs="Times New Roman"/>
          <w:lang w:val="fr-CA"/>
        </w:rPr>
        <w:t> :</w:t>
      </w:r>
      <w:r w:rsidRPr="00745E68">
        <w:rPr>
          <w:rFonts w:cs="Times New Roman"/>
          <w:lang w:val="fr-CA"/>
        </w:rPr>
        <w:t xml:space="preserve"> usage d’une fausse arme à feu lors de la perpétration d’un acte criminel, contrairement au </w:t>
      </w:r>
      <w:r>
        <w:rPr>
          <w:rFonts w:cs="Times New Roman"/>
          <w:lang w:val="fr-CA"/>
        </w:rPr>
        <w:t>par.</w:t>
      </w:r>
      <w:r w:rsidR="00B029AB">
        <w:rPr>
          <w:rFonts w:cs="Times New Roman"/>
          <w:lang w:val="fr-CA"/>
        </w:rPr>
        <w:t xml:space="preserve"> </w:t>
      </w:r>
      <w:r w:rsidRPr="00745E68">
        <w:rPr>
          <w:rFonts w:cs="Times New Roman"/>
          <w:lang w:val="fr-CA"/>
        </w:rPr>
        <w:t>85(2), et non</w:t>
      </w:r>
      <w:r w:rsidR="00B029AB">
        <w:rPr>
          <w:rFonts w:cs="Times New Roman"/>
          <w:lang w:val="fr-CA"/>
        </w:rPr>
        <w:t>-</w:t>
      </w:r>
      <w:r w:rsidRPr="00745E68">
        <w:rPr>
          <w:rFonts w:cs="Times New Roman"/>
          <w:lang w:val="fr-CA"/>
        </w:rPr>
        <w:t xml:space="preserve">respect d’une ordonnance d’interdiction, contrairement au </w:t>
      </w:r>
      <w:r>
        <w:rPr>
          <w:rFonts w:cs="Times New Roman"/>
          <w:lang w:val="fr-CA"/>
        </w:rPr>
        <w:t>par.</w:t>
      </w:r>
      <w:r w:rsidR="00B029AB">
        <w:rPr>
          <w:rFonts w:cs="Times New Roman"/>
          <w:lang w:val="fr-CA"/>
        </w:rPr>
        <w:t xml:space="preserve"> </w:t>
      </w:r>
      <w:r w:rsidRPr="00745E68">
        <w:rPr>
          <w:rFonts w:cs="Times New Roman"/>
          <w:lang w:val="fr-CA"/>
        </w:rPr>
        <w:t>117.01(1).</w:t>
      </w:r>
    </w:p>
    <w:p w:rsidR="002A4851" w:rsidRPr="00745E68" w:rsidRDefault="002A4851" w:rsidP="00A659A4">
      <w:pPr>
        <w:pStyle w:val="ParaNoNdepar-AltN"/>
        <w:rPr>
          <w:rFonts w:cs="Times New Roman"/>
          <w:lang w:val="fr-CA"/>
        </w:rPr>
      </w:pPr>
      <w:r w:rsidRPr="00745E68">
        <w:rPr>
          <w:rFonts w:cs="Times New Roman"/>
          <w:lang w:val="fr-CA"/>
        </w:rPr>
        <w:t>Je ne puis lui donner raison. Sur ce point, je souscris pour l’essentiel aux motifs de la juge Cronk de la Cour d’appel</w:t>
      </w:r>
      <w:r w:rsidR="00B029AB">
        <w:rPr>
          <w:rFonts w:cs="Times New Roman"/>
          <w:lang w:val="fr-CA"/>
        </w:rPr>
        <w:t xml:space="preserve"> </w:t>
      </w:r>
      <w:r w:rsidRPr="00745E68">
        <w:rPr>
          <w:rFonts w:cs="Times New Roman"/>
          <w:lang w:val="fr-CA"/>
        </w:rPr>
        <w:t>(</w:t>
      </w:r>
      <w:r w:rsidRPr="00745E68">
        <w:rPr>
          <w:rFonts w:cs="Times New Roman"/>
          <w:i/>
          <w:lang w:val="fr-CA"/>
        </w:rPr>
        <w:t>R. c. Charles</w:t>
      </w:r>
      <w:r w:rsidRPr="00745E68">
        <w:rPr>
          <w:rFonts w:cs="Times New Roman"/>
          <w:lang w:val="fr-CA"/>
        </w:rPr>
        <w:t>, 2013 ONCA 681, 117 O.R. (3d) 456). Comme elle le fait remarquer, M.</w:t>
      </w:r>
      <w:r w:rsidR="00B029AB">
        <w:rPr>
          <w:rFonts w:cs="Times New Roman"/>
          <w:lang w:val="fr-CA"/>
        </w:rPr>
        <w:t xml:space="preserve"> </w:t>
      </w:r>
      <w:r w:rsidRPr="00745E68">
        <w:rPr>
          <w:rFonts w:cs="Times New Roman"/>
          <w:lang w:val="fr-CA"/>
        </w:rPr>
        <w:t>Charles [</w:t>
      </w:r>
      <w:r w:rsidRPr="00745E68">
        <w:rPr>
          <w:rFonts w:cs="Times New Roman"/>
          <w:smallCaps/>
          <w:lang w:val="fr-CA"/>
        </w:rPr>
        <w:t>traduction</w:t>
      </w:r>
      <w:r w:rsidRPr="00745E68">
        <w:rPr>
          <w:rFonts w:cs="Times New Roman"/>
          <w:lang w:val="fr-CA"/>
        </w:rPr>
        <w:t xml:space="preserve">] </w:t>
      </w:r>
      <w:r w:rsidR="00B029AB">
        <w:rPr>
          <w:rFonts w:cs="Times New Roman"/>
          <w:lang w:val="fr-CA"/>
        </w:rPr>
        <w:t>« </w:t>
      </w:r>
      <w:r w:rsidRPr="00745E68">
        <w:rPr>
          <w:rFonts w:cs="Times New Roman"/>
          <w:lang w:val="fr-CA"/>
        </w:rPr>
        <w:t>minimise la gravité du comportement qu’interdisent</w:t>
      </w:r>
      <w:r w:rsidR="00B029AB">
        <w:rPr>
          <w:rFonts w:cs="Times New Roman"/>
          <w:lang w:val="fr-CA"/>
        </w:rPr>
        <w:t> »</w:t>
      </w:r>
      <w:r w:rsidRPr="00745E68">
        <w:rPr>
          <w:rFonts w:cs="Times New Roman"/>
          <w:lang w:val="fr-CA"/>
        </w:rPr>
        <w:t xml:space="preserve"> les </w:t>
      </w:r>
      <w:r>
        <w:rPr>
          <w:rFonts w:cs="Times New Roman"/>
          <w:lang w:val="fr-CA"/>
        </w:rPr>
        <w:t>par.</w:t>
      </w:r>
      <w:r w:rsidR="00B029AB">
        <w:rPr>
          <w:rFonts w:cs="Times New Roman"/>
          <w:lang w:val="fr-CA"/>
        </w:rPr>
        <w:t xml:space="preserve"> </w:t>
      </w:r>
      <w:r w:rsidRPr="00745E68">
        <w:rPr>
          <w:rFonts w:cs="Times New Roman"/>
          <w:lang w:val="fr-CA"/>
        </w:rPr>
        <w:t xml:space="preserve">85(2) et 117.01(1) et </w:t>
      </w:r>
      <w:r w:rsidR="00B029AB">
        <w:rPr>
          <w:rFonts w:cs="Times New Roman"/>
          <w:lang w:val="fr-CA"/>
        </w:rPr>
        <w:t>« </w:t>
      </w:r>
      <w:r w:rsidRPr="00745E68">
        <w:rPr>
          <w:rFonts w:cs="Times New Roman"/>
          <w:lang w:val="fr-CA"/>
        </w:rPr>
        <w:t>fait abstraction de l’objet de ces dispositions et de leur rôle dans le régime législatif de contrôle des armes à feu</w:t>
      </w:r>
      <w:r w:rsidR="00B029AB">
        <w:rPr>
          <w:rFonts w:cs="Times New Roman"/>
          <w:lang w:val="fr-CA"/>
        </w:rPr>
        <w:t> »</w:t>
      </w:r>
      <w:r w:rsidRPr="00745E68">
        <w:rPr>
          <w:rFonts w:cs="Times New Roman"/>
          <w:lang w:val="fr-CA"/>
        </w:rPr>
        <w:t xml:space="preserve"> (</w:t>
      </w:r>
      <w:bookmarkStart w:id="0" w:name="_GoBack"/>
      <w:bookmarkEnd w:id="0"/>
      <w:r>
        <w:rPr>
          <w:rFonts w:cs="Times New Roman"/>
          <w:lang w:val="fr-CA"/>
        </w:rPr>
        <w:t>par.</w:t>
      </w:r>
      <w:r w:rsidR="00B029AB">
        <w:rPr>
          <w:rFonts w:cs="Times New Roman"/>
          <w:lang w:val="fr-CA"/>
        </w:rPr>
        <w:t xml:space="preserve"> </w:t>
      </w:r>
      <w:r w:rsidRPr="00745E68">
        <w:rPr>
          <w:rFonts w:cs="Times New Roman"/>
          <w:lang w:val="fr-CA"/>
        </w:rPr>
        <w:t xml:space="preserve">94). Ces infractions sont graves, même si elles ne comportent pas l’utilisation d’une arme à feu. J’estime que leur inclusion au </w:t>
      </w:r>
      <w:r>
        <w:rPr>
          <w:rFonts w:cs="Times New Roman"/>
          <w:lang w:val="fr-CA"/>
        </w:rPr>
        <w:t>par.</w:t>
      </w:r>
      <w:r w:rsidR="00B029AB">
        <w:rPr>
          <w:rFonts w:cs="Times New Roman"/>
          <w:lang w:val="fr-CA"/>
        </w:rPr>
        <w:t xml:space="preserve"> </w:t>
      </w:r>
      <w:r w:rsidRPr="00745E68">
        <w:rPr>
          <w:rFonts w:cs="Times New Roman"/>
          <w:lang w:val="fr-CA"/>
        </w:rPr>
        <w:t>84(5) ne confère pas une portée excessive à cette disposition.</w:t>
      </w:r>
    </w:p>
    <w:p w:rsidR="002A4851" w:rsidRPr="00745E68" w:rsidRDefault="002A4851" w:rsidP="00A659A4">
      <w:pPr>
        <w:pStyle w:val="ParaNoNdepar-AltN"/>
        <w:rPr>
          <w:rFonts w:cs="Times New Roman"/>
          <w:lang w:val="fr-CA"/>
        </w:rPr>
      </w:pPr>
      <w:r w:rsidRPr="00745E68">
        <w:rPr>
          <w:rFonts w:cs="Times New Roman"/>
          <w:lang w:val="fr-CA"/>
        </w:rPr>
        <w:t>Deuxièmement, M.</w:t>
      </w:r>
      <w:r w:rsidR="00B029AB">
        <w:rPr>
          <w:rFonts w:cs="Times New Roman"/>
          <w:lang w:val="fr-CA"/>
        </w:rPr>
        <w:t xml:space="preserve"> </w:t>
      </w:r>
      <w:r w:rsidRPr="00745E68">
        <w:rPr>
          <w:rFonts w:cs="Times New Roman"/>
          <w:lang w:val="fr-CA"/>
        </w:rPr>
        <w:t xml:space="preserve">Charles soutient que l’application du </w:t>
      </w:r>
      <w:r>
        <w:rPr>
          <w:rFonts w:cs="Times New Roman"/>
          <w:lang w:val="fr-CA"/>
        </w:rPr>
        <w:t>par.</w:t>
      </w:r>
      <w:r w:rsidR="00B029AB">
        <w:rPr>
          <w:rFonts w:cs="Times New Roman"/>
          <w:lang w:val="fr-CA"/>
        </w:rPr>
        <w:t xml:space="preserve"> </w:t>
      </w:r>
      <w:r w:rsidRPr="00745E68">
        <w:rPr>
          <w:rFonts w:cs="Times New Roman"/>
          <w:lang w:val="fr-CA"/>
        </w:rPr>
        <w:t xml:space="preserve">84(6) peut parfois être arbitraire au point d’être inconstitutionnelle. Suivant cette disposition, c’est l’ordre des déclarations de culpabilité, et non l’ordre de perpétration des </w:t>
      </w:r>
      <w:r w:rsidRPr="00745E68">
        <w:rPr>
          <w:rFonts w:cs="Times New Roman"/>
          <w:lang w:val="fr-CA"/>
        </w:rPr>
        <w:lastRenderedPageBreak/>
        <w:t xml:space="preserve">infractions, qui détermine si une infraction constitue ou non une </w:t>
      </w:r>
      <w:r w:rsidR="00B029AB">
        <w:rPr>
          <w:rFonts w:cs="Times New Roman"/>
          <w:lang w:val="fr-CA"/>
        </w:rPr>
        <w:t>« </w:t>
      </w:r>
      <w:r w:rsidRPr="00745E68">
        <w:rPr>
          <w:rFonts w:cs="Times New Roman"/>
          <w:lang w:val="fr-CA"/>
        </w:rPr>
        <w:t>récidive</w:t>
      </w:r>
      <w:r w:rsidR="00B029AB">
        <w:rPr>
          <w:rFonts w:cs="Times New Roman"/>
          <w:lang w:val="fr-CA"/>
        </w:rPr>
        <w:t> »</w:t>
      </w:r>
      <w:r w:rsidRPr="00745E68">
        <w:rPr>
          <w:rFonts w:cs="Times New Roman"/>
          <w:lang w:val="fr-CA"/>
        </w:rPr>
        <w:t xml:space="preserve">. Ainsi, le délinquant qui commet </w:t>
      </w:r>
      <w:r w:rsidRPr="00745E68">
        <w:rPr>
          <w:rFonts w:cs="Times New Roman"/>
          <w:i/>
          <w:lang w:val="fr-CA"/>
        </w:rPr>
        <w:t>d’abord</w:t>
      </w:r>
      <w:r w:rsidRPr="00745E68">
        <w:rPr>
          <w:rFonts w:cs="Times New Roman"/>
          <w:lang w:val="fr-CA"/>
        </w:rPr>
        <w:t xml:space="preserve"> l’infraction prévue au </w:t>
      </w:r>
      <w:r>
        <w:rPr>
          <w:rFonts w:cs="Times New Roman"/>
          <w:lang w:val="fr-CA"/>
        </w:rPr>
        <w:t>par.</w:t>
      </w:r>
      <w:r w:rsidR="00B029AB">
        <w:rPr>
          <w:rFonts w:cs="Times New Roman"/>
          <w:lang w:val="fr-CA"/>
        </w:rPr>
        <w:t xml:space="preserve"> </w:t>
      </w:r>
      <w:r w:rsidRPr="00745E68">
        <w:rPr>
          <w:rFonts w:cs="Times New Roman"/>
          <w:lang w:val="fr-CA"/>
        </w:rPr>
        <w:t xml:space="preserve">95(1), </w:t>
      </w:r>
      <w:r w:rsidRPr="00745E68">
        <w:rPr>
          <w:rFonts w:cs="Times New Roman"/>
          <w:i/>
          <w:lang w:val="fr-CA"/>
        </w:rPr>
        <w:t xml:space="preserve">puis </w:t>
      </w:r>
      <w:r w:rsidRPr="00745E68">
        <w:rPr>
          <w:rFonts w:cs="Times New Roman"/>
          <w:lang w:val="fr-CA"/>
        </w:rPr>
        <w:t xml:space="preserve">une infraction énumérée au </w:t>
      </w:r>
      <w:r>
        <w:rPr>
          <w:rFonts w:cs="Times New Roman"/>
          <w:lang w:val="fr-CA"/>
        </w:rPr>
        <w:t>par.</w:t>
      </w:r>
      <w:r w:rsidR="00B029AB">
        <w:rPr>
          <w:rFonts w:cs="Times New Roman"/>
          <w:lang w:val="fr-CA"/>
        </w:rPr>
        <w:t xml:space="preserve"> </w:t>
      </w:r>
      <w:r w:rsidRPr="00745E68">
        <w:rPr>
          <w:rFonts w:cs="Times New Roman"/>
          <w:lang w:val="fr-CA"/>
        </w:rPr>
        <w:t>84(5), peut encourir la peine minimale obligatoire de cinq ans même si la déclaration de culpabilité relative à la seconde infraction intervient en premier. Le résultat est selon lui arbitraire.</w:t>
      </w:r>
    </w:p>
    <w:p w:rsidR="002A4851" w:rsidRPr="00745E68" w:rsidRDefault="002A4851" w:rsidP="00A659A4">
      <w:pPr>
        <w:pStyle w:val="ParaNoNdepar-AltN"/>
        <w:rPr>
          <w:rFonts w:cs="Times New Roman"/>
          <w:lang w:val="fr-CA"/>
        </w:rPr>
      </w:pPr>
      <w:r w:rsidRPr="00745E68">
        <w:rPr>
          <w:rFonts w:cs="Times New Roman"/>
          <w:lang w:val="fr-CA"/>
        </w:rPr>
        <w:t>L’argument est purement hypothétique. Dans le cas de M.</w:t>
      </w:r>
      <w:r w:rsidR="00B029AB">
        <w:rPr>
          <w:rFonts w:cs="Times New Roman"/>
          <w:lang w:val="fr-CA"/>
        </w:rPr>
        <w:t xml:space="preserve"> </w:t>
      </w:r>
      <w:r w:rsidRPr="00745E68">
        <w:rPr>
          <w:rFonts w:cs="Times New Roman"/>
          <w:lang w:val="fr-CA"/>
        </w:rPr>
        <w:t>Charles, les deux infractions qui emportent l’application de la peine minimale obligatoire de cinq ans d’emprisonnement ont été commises — et ont donné lieu à des déclarations de culpabilité — avant la perpétration de l’infraction prévue à l’</w:t>
      </w:r>
      <w:r>
        <w:rPr>
          <w:rFonts w:cs="Times New Roman"/>
          <w:lang w:val="fr-CA"/>
        </w:rPr>
        <w:t>art.</w:t>
      </w:r>
      <w:r w:rsidR="00B029AB">
        <w:rPr>
          <w:rFonts w:cs="Times New Roman"/>
          <w:lang w:val="fr-CA"/>
        </w:rPr>
        <w:t xml:space="preserve"> </w:t>
      </w:r>
      <w:r w:rsidRPr="00745E68">
        <w:rPr>
          <w:rFonts w:cs="Times New Roman"/>
          <w:lang w:val="fr-CA"/>
        </w:rPr>
        <w:t xml:space="preserve">95. À supposer, sans en décider, que le </w:t>
      </w:r>
      <w:r>
        <w:rPr>
          <w:rFonts w:cs="Times New Roman"/>
          <w:lang w:val="fr-CA"/>
        </w:rPr>
        <w:t>par.</w:t>
      </w:r>
      <w:r w:rsidR="00B029AB">
        <w:rPr>
          <w:rFonts w:cs="Times New Roman"/>
          <w:lang w:val="fr-CA"/>
        </w:rPr>
        <w:t xml:space="preserve"> </w:t>
      </w:r>
      <w:r w:rsidRPr="00745E68">
        <w:rPr>
          <w:rFonts w:cs="Times New Roman"/>
          <w:lang w:val="fr-CA"/>
        </w:rPr>
        <w:t>84(6) est inconstitutionnel, la situation de M.</w:t>
      </w:r>
      <w:r w:rsidR="00B029AB">
        <w:rPr>
          <w:rFonts w:cs="Times New Roman"/>
          <w:lang w:val="fr-CA"/>
        </w:rPr>
        <w:t xml:space="preserve"> </w:t>
      </w:r>
      <w:r w:rsidRPr="00745E68">
        <w:rPr>
          <w:rFonts w:cs="Times New Roman"/>
          <w:lang w:val="fr-CA"/>
        </w:rPr>
        <w:t xml:space="preserve">Charles reste la même. L’invalidation du </w:t>
      </w:r>
      <w:r>
        <w:rPr>
          <w:rFonts w:cs="Times New Roman"/>
          <w:lang w:val="fr-CA"/>
        </w:rPr>
        <w:t>par.</w:t>
      </w:r>
      <w:r w:rsidR="00B029AB">
        <w:rPr>
          <w:rFonts w:cs="Times New Roman"/>
          <w:lang w:val="fr-CA"/>
        </w:rPr>
        <w:t xml:space="preserve"> </w:t>
      </w:r>
      <w:r w:rsidRPr="00745E68">
        <w:rPr>
          <w:rFonts w:cs="Times New Roman"/>
          <w:lang w:val="fr-CA"/>
        </w:rPr>
        <w:t xml:space="preserve">84(6) redonnerait vie à la règle de common law établie de longue date et définie dans l’arrêt </w:t>
      </w:r>
      <w:r w:rsidRPr="00745E68">
        <w:rPr>
          <w:rFonts w:cs="Times New Roman"/>
          <w:i/>
          <w:lang w:val="fr-CA"/>
        </w:rPr>
        <w:t>R. c. Skolnick</w:t>
      </w:r>
      <w:r w:rsidRPr="00745E68">
        <w:rPr>
          <w:rFonts w:cs="Times New Roman"/>
          <w:lang w:val="fr-CA"/>
        </w:rPr>
        <w:t>, [1982] 2 R.C.S. 47</w:t>
      </w:r>
      <w:r w:rsidR="00B029AB">
        <w:rPr>
          <w:rFonts w:cs="Times New Roman"/>
          <w:lang w:val="fr-CA"/>
        </w:rPr>
        <w:t> :</w:t>
      </w:r>
    </w:p>
    <w:p w:rsidR="002A4851" w:rsidRPr="00745E68" w:rsidRDefault="002A4851" w:rsidP="00A659A4">
      <w:pPr>
        <w:pStyle w:val="Citation-AltC"/>
        <w:ind w:hanging="1166"/>
        <w:contextualSpacing w:val="0"/>
        <w:rPr>
          <w:lang w:val="fr-CA"/>
        </w:rPr>
      </w:pPr>
      <w:r>
        <w:rPr>
          <w:lang w:val="fr-CA"/>
        </w:rPr>
        <w:tab/>
      </w:r>
      <w:r w:rsidRPr="00745E68">
        <w:rPr>
          <w:lang w:val="fr-CA"/>
        </w:rPr>
        <w:t>La règle générale veut que pour qu’on puisse imposer une sentence plus sévère pour une deuxième infraction ou une infraction subséquente, la deuxième infraction ou l’infraction subséquente doit avoir été commise après la première ou la deuxième condamnation, selon le cas .</w:t>
      </w:r>
      <w:r w:rsidR="00B029AB">
        <w:rPr>
          <w:lang w:val="fr-CA"/>
        </w:rPr>
        <w:t xml:space="preserve"> </w:t>
      </w:r>
      <w:r w:rsidRPr="00745E68">
        <w:rPr>
          <w:lang w:val="fr-CA"/>
        </w:rPr>
        <w:t>.</w:t>
      </w:r>
      <w:r w:rsidR="00B029AB">
        <w:rPr>
          <w:lang w:val="fr-CA"/>
        </w:rPr>
        <w:t xml:space="preserve"> </w:t>
      </w:r>
      <w:r w:rsidRPr="00745E68">
        <w:rPr>
          <w:lang w:val="fr-CA"/>
        </w:rPr>
        <w:t>. [</w:t>
      </w:r>
      <w:r>
        <w:rPr>
          <w:lang w:val="fr-CA"/>
        </w:rPr>
        <w:t>p.</w:t>
      </w:r>
      <w:r w:rsidR="00B029AB">
        <w:rPr>
          <w:lang w:val="fr-CA"/>
        </w:rPr>
        <w:t xml:space="preserve"> </w:t>
      </w:r>
      <w:r w:rsidRPr="00745E68">
        <w:rPr>
          <w:lang w:val="fr-CA"/>
        </w:rPr>
        <w:t>58]</w:t>
      </w:r>
    </w:p>
    <w:p w:rsidR="002A4851" w:rsidRPr="00745E68" w:rsidRDefault="002A4851" w:rsidP="00A659A4">
      <w:pPr>
        <w:pStyle w:val="ContinueParaSuitedupar-AltP"/>
        <w:rPr>
          <w:rFonts w:cs="Times New Roman"/>
          <w:lang w:val="fr-CA"/>
        </w:rPr>
      </w:pPr>
      <w:r w:rsidRPr="00745E68">
        <w:rPr>
          <w:rFonts w:cs="Times New Roman"/>
          <w:lang w:val="fr-CA"/>
        </w:rPr>
        <w:t>Si l’on appliquait cette règle de common law, M.</w:t>
      </w:r>
      <w:r w:rsidR="00B029AB">
        <w:rPr>
          <w:rFonts w:cs="Times New Roman"/>
          <w:lang w:val="fr-CA"/>
        </w:rPr>
        <w:t xml:space="preserve"> </w:t>
      </w:r>
      <w:r w:rsidRPr="00745E68">
        <w:rPr>
          <w:rFonts w:cs="Times New Roman"/>
          <w:lang w:val="fr-CA"/>
        </w:rPr>
        <w:t xml:space="preserve">Charles demeurerait passible d’une peine minimale obligatoire de cinq ans d’emprisonnement. Je ne me prononce donc pas sur la constitutionnalité du </w:t>
      </w:r>
      <w:r>
        <w:rPr>
          <w:rFonts w:cs="Times New Roman"/>
          <w:lang w:val="fr-CA"/>
        </w:rPr>
        <w:t>par.</w:t>
      </w:r>
      <w:r w:rsidR="00B029AB">
        <w:rPr>
          <w:rFonts w:cs="Times New Roman"/>
          <w:lang w:val="fr-CA"/>
        </w:rPr>
        <w:t xml:space="preserve"> </w:t>
      </w:r>
      <w:r w:rsidRPr="00745E68">
        <w:rPr>
          <w:rFonts w:cs="Times New Roman"/>
          <w:lang w:val="fr-CA"/>
        </w:rPr>
        <w:t xml:space="preserve">84(6). </w:t>
      </w:r>
    </w:p>
    <w:p w:rsidR="002A4851" w:rsidRPr="00745E68" w:rsidRDefault="002A4851" w:rsidP="00A659A4">
      <w:pPr>
        <w:pStyle w:val="ParaNoNdepar-AltN"/>
        <w:rPr>
          <w:rFonts w:cs="Times New Roman"/>
          <w:lang w:val="fr-CA"/>
        </w:rPr>
      </w:pPr>
      <w:r w:rsidRPr="00745E68">
        <w:rPr>
          <w:rFonts w:cs="Times New Roman"/>
          <w:lang w:val="fr-CA"/>
        </w:rPr>
        <w:lastRenderedPageBreak/>
        <w:t>En somme, je ne puis faire droit à aucun des arguments relatifs à l’</w:t>
      </w:r>
      <w:r>
        <w:rPr>
          <w:rFonts w:cs="Times New Roman"/>
          <w:lang w:val="fr-CA"/>
        </w:rPr>
        <w:t>art.</w:t>
      </w:r>
      <w:r w:rsidR="00B029AB">
        <w:rPr>
          <w:rFonts w:cs="Times New Roman"/>
          <w:lang w:val="fr-CA"/>
        </w:rPr>
        <w:t xml:space="preserve"> </w:t>
      </w:r>
      <w:r w:rsidRPr="00745E68">
        <w:rPr>
          <w:rFonts w:cs="Times New Roman"/>
          <w:lang w:val="fr-CA"/>
        </w:rPr>
        <w:t xml:space="preserve">7. Le régime de détermination de la peine établi au </w:t>
      </w:r>
      <w:r>
        <w:rPr>
          <w:rFonts w:cs="Times New Roman"/>
          <w:lang w:val="fr-CA"/>
        </w:rPr>
        <w:t>par.</w:t>
      </w:r>
      <w:r w:rsidR="00B029AB">
        <w:rPr>
          <w:rFonts w:cs="Times New Roman"/>
          <w:lang w:val="fr-CA"/>
        </w:rPr>
        <w:t xml:space="preserve"> </w:t>
      </w:r>
      <w:r w:rsidRPr="00745E68">
        <w:rPr>
          <w:rFonts w:cs="Times New Roman"/>
          <w:lang w:val="fr-CA"/>
        </w:rPr>
        <w:t xml:space="preserve">95(2) est bel et bien constitutionnel. </w:t>
      </w:r>
    </w:p>
    <w:p w:rsidR="002A4851" w:rsidRPr="00745E68" w:rsidRDefault="002A4851" w:rsidP="00A659A4">
      <w:pPr>
        <w:pStyle w:val="Title1LevelTitre1Niveau-AltL"/>
        <w:jc w:val="both"/>
        <w:rPr>
          <w:rFonts w:cs="Times New Roman"/>
          <w:lang w:val="fr-CA"/>
        </w:rPr>
      </w:pPr>
      <w:r w:rsidRPr="00745E68">
        <w:rPr>
          <w:rFonts w:cs="Times New Roman"/>
          <w:lang w:val="fr-CA"/>
        </w:rPr>
        <w:t>Conclusion</w:t>
      </w:r>
    </w:p>
    <w:p w:rsidR="002A4851" w:rsidRPr="00745E68" w:rsidRDefault="002A4851" w:rsidP="00A659A4">
      <w:pPr>
        <w:pStyle w:val="ParaNoNdepar-AltN"/>
        <w:rPr>
          <w:rFonts w:cs="Times New Roman"/>
          <w:lang w:val="fr-CA"/>
        </w:rPr>
      </w:pPr>
      <w:r w:rsidRPr="00745E68">
        <w:rPr>
          <w:rFonts w:cs="Times New Roman"/>
          <w:lang w:val="fr-CA"/>
        </w:rPr>
        <w:t>L’article</w:t>
      </w:r>
      <w:r w:rsidR="00B029AB">
        <w:rPr>
          <w:rFonts w:cs="Times New Roman"/>
          <w:lang w:val="fr-CA"/>
        </w:rPr>
        <w:t xml:space="preserve"> </w:t>
      </w:r>
      <w:r w:rsidRPr="00745E68">
        <w:rPr>
          <w:rFonts w:cs="Times New Roman"/>
          <w:lang w:val="fr-CA"/>
        </w:rPr>
        <w:t xml:space="preserve">95 représente la solution que le législateur a apportée après mûre réflexion au problème urgent que constituent dans nos collectivités les crimes violents perpétrés avec des armes à feu. Afin de dénoncer des actes criminels graves et de décourager leur perpétration, le législateur a créé une infraction de large portée assortie de longues peines minimales obligatoires. Parallèlement, il a prévu une soupape qui permet d’aiguiller les cas les moins graves vers la procédure sommaire, laquelle n’expose à aucune peine minimale. Soit dit en tout respect, je ne vois aucune raison de remettre en question cette mesure législative sur le fondement d’hypothèses qui ne s’appuient ni sur l’expérience ni sur le bon sens. Rien ne justifie non plus, suivant le cadre d’analyse que je propose, de revenir sur les longues délibérations de nos élus sur cet enjeu important. Je suis d’avis d’accueillir les pourvois et de confirmer la constitutionnalité du </w:t>
      </w:r>
      <w:r>
        <w:rPr>
          <w:rFonts w:cs="Times New Roman"/>
          <w:lang w:val="fr-CA"/>
        </w:rPr>
        <w:t>par.</w:t>
      </w:r>
      <w:r w:rsidR="00B029AB">
        <w:rPr>
          <w:rFonts w:cs="Times New Roman"/>
          <w:lang w:val="fr-CA"/>
        </w:rPr>
        <w:t xml:space="preserve"> </w:t>
      </w:r>
      <w:r w:rsidRPr="00745E68">
        <w:rPr>
          <w:rFonts w:cs="Times New Roman"/>
          <w:lang w:val="fr-CA"/>
        </w:rPr>
        <w:t>95(2).</w:t>
      </w:r>
    </w:p>
    <w:p w:rsidR="004D7D95" w:rsidRPr="00413A40" w:rsidRDefault="004D7D95" w:rsidP="00A659A4">
      <w:pPr>
        <w:pStyle w:val="SCCNormalDoubleSpacing"/>
        <w:spacing w:after="480"/>
        <w:rPr>
          <w:lang w:val="fr-CA"/>
        </w:rPr>
      </w:pPr>
      <w:r w:rsidRPr="00413A40">
        <w:rPr>
          <w:lang w:val="fr-CA"/>
        </w:rPr>
        <w:tab/>
      </w:r>
      <w:r w:rsidR="0069056A" w:rsidRPr="00413A40">
        <w:rPr>
          <w:i/>
          <w:lang w:val="fr-CA"/>
        </w:rPr>
        <w:t>Pourvoi</w:t>
      </w:r>
      <w:r w:rsidR="005B4B18" w:rsidRPr="00413A40">
        <w:rPr>
          <w:i/>
          <w:lang w:val="fr-CA"/>
        </w:rPr>
        <w:t>s</w:t>
      </w:r>
      <w:r w:rsidR="0069056A" w:rsidRPr="00413A40">
        <w:rPr>
          <w:i/>
          <w:lang w:val="fr-CA"/>
        </w:rPr>
        <w:t xml:space="preserve"> </w:t>
      </w:r>
      <w:r w:rsidR="00C85727" w:rsidRPr="00413A40">
        <w:rPr>
          <w:i/>
          <w:lang w:val="fr-CA"/>
        </w:rPr>
        <w:t>rejetés</w:t>
      </w:r>
      <w:r w:rsidR="002A7B10" w:rsidRPr="00413A40">
        <w:rPr>
          <w:i/>
          <w:lang w:val="fr-CA"/>
        </w:rPr>
        <w:t xml:space="preserve">, </w:t>
      </w:r>
      <w:r w:rsidR="00C85727" w:rsidRPr="00413A40">
        <w:rPr>
          <w:i/>
          <w:lang w:val="fr-CA"/>
        </w:rPr>
        <w:t xml:space="preserve">les juges </w:t>
      </w:r>
      <w:r w:rsidR="00C85727" w:rsidRPr="00413A40">
        <w:rPr>
          <w:smallCaps/>
          <w:lang w:val="fr-CA"/>
        </w:rPr>
        <w:t>Rothstein</w:t>
      </w:r>
      <w:r w:rsidR="00C85727" w:rsidRPr="00413A40">
        <w:rPr>
          <w:i/>
          <w:lang w:val="fr-CA"/>
        </w:rPr>
        <w:t xml:space="preserve">, </w:t>
      </w:r>
      <w:r w:rsidR="00C85727" w:rsidRPr="00413A40">
        <w:rPr>
          <w:smallCaps/>
          <w:lang w:val="fr-CA"/>
        </w:rPr>
        <w:t>Moldaver</w:t>
      </w:r>
      <w:r w:rsidR="00C85727" w:rsidRPr="00413A40">
        <w:rPr>
          <w:i/>
          <w:lang w:val="fr-CA"/>
        </w:rPr>
        <w:t xml:space="preserve"> et </w:t>
      </w:r>
      <w:r w:rsidR="00C85727" w:rsidRPr="00413A40">
        <w:rPr>
          <w:smallCaps/>
          <w:lang w:val="fr-CA"/>
        </w:rPr>
        <w:t>Wagner</w:t>
      </w:r>
      <w:r w:rsidR="00C85727" w:rsidRPr="00413A40">
        <w:rPr>
          <w:i/>
          <w:lang w:val="fr-CA"/>
        </w:rPr>
        <w:t xml:space="preserve"> sont dissidents</w:t>
      </w:r>
      <w:r w:rsidR="0069056A" w:rsidRPr="00413A40">
        <w:rPr>
          <w:i/>
          <w:lang w:val="fr-CA"/>
        </w:rPr>
        <w:t>.</w:t>
      </w:r>
    </w:p>
    <w:p w:rsidR="00B25464" w:rsidRPr="00413A40" w:rsidRDefault="00B25464" w:rsidP="00A659A4">
      <w:pPr>
        <w:pStyle w:val="SCCLawFirm"/>
        <w:spacing w:after="480"/>
        <w:rPr>
          <w:lang w:val="fr-CA"/>
        </w:rPr>
      </w:pPr>
      <w:r w:rsidRPr="00413A40">
        <w:rPr>
          <w:lang w:val="fr-CA"/>
        </w:rPr>
        <w:tab/>
        <w:t>Procureur de l</w:t>
      </w:r>
      <w:r w:rsidR="002D6B80">
        <w:rPr>
          <w:lang w:val="fr-CA"/>
        </w:rPr>
        <w:t>’</w:t>
      </w:r>
      <w:r w:rsidRPr="00413A40">
        <w:rPr>
          <w:lang w:val="fr-CA"/>
        </w:rPr>
        <w:t>appelante Sa Majesté la Reine</w:t>
      </w:r>
      <w:r w:rsidR="00B029AB">
        <w:rPr>
          <w:lang w:val="fr-CA"/>
        </w:rPr>
        <w:t xml:space="preserve"> : </w:t>
      </w:r>
      <w:r w:rsidRPr="00413A40">
        <w:rPr>
          <w:lang w:val="fr-CA"/>
        </w:rPr>
        <w:t>Procureur général de l</w:t>
      </w:r>
      <w:r w:rsidR="002D6B80">
        <w:rPr>
          <w:lang w:val="fr-CA"/>
        </w:rPr>
        <w:t>’</w:t>
      </w:r>
      <w:r w:rsidRPr="00413A40">
        <w:rPr>
          <w:lang w:val="fr-CA"/>
        </w:rPr>
        <w:t>Ontario, Toronto.</w:t>
      </w:r>
    </w:p>
    <w:p w:rsidR="00B25464" w:rsidRPr="00413A40" w:rsidRDefault="00B25464" w:rsidP="00A659A4">
      <w:pPr>
        <w:pStyle w:val="SCCLawFirm"/>
        <w:spacing w:after="480"/>
        <w:rPr>
          <w:lang w:val="fr-CA"/>
        </w:rPr>
      </w:pPr>
      <w:r w:rsidRPr="00413A40">
        <w:rPr>
          <w:lang w:val="fr-CA"/>
        </w:rPr>
        <w:lastRenderedPageBreak/>
        <w:tab/>
        <w:t>Procureur de l</w:t>
      </w:r>
      <w:r w:rsidR="002D6B80">
        <w:rPr>
          <w:lang w:val="fr-CA"/>
        </w:rPr>
        <w:t>’</w:t>
      </w:r>
      <w:r w:rsidRPr="00413A40">
        <w:rPr>
          <w:lang w:val="fr-CA"/>
        </w:rPr>
        <w:t>appelant le procureur général du Canada</w:t>
      </w:r>
      <w:r w:rsidR="00B029AB">
        <w:rPr>
          <w:lang w:val="fr-CA"/>
        </w:rPr>
        <w:t xml:space="preserve"> : </w:t>
      </w:r>
      <w:r w:rsidRPr="00413A40">
        <w:rPr>
          <w:lang w:val="fr-CA"/>
        </w:rPr>
        <w:t>Procureur général du Canada, Toronto.</w:t>
      </w:r>
    </w:p>
    <w:p w:rsidR="00B25464" w:rsidRPr="00413A40" w:rsidRDefault="00B25464" w:rsidP="00A659A4">
      <w:pPr>
        <w:pStyle w:val="SCCLawFirm"/>
        <w:spacing w:after="480"/>
        <w:rPr>
          <w:lang w:val="fr-CA"/>
        </w:rPr>
      </w:pPr>
      <w:r w:rsidRPr="00413A40">
        <w:rPr>
          <w:lang w:val="fr-CA"/>
        </w:rPr>
        <w:tab/>
        <w:t>Procureurs de l</w:t>
      </w:r>
      <w:r w:rsidR="002D6B80">
        <w:rPr>
          <w:lang w:val="fr-CA"/>
        </w:rPr>
        <w:t>’</w:t>
      </w:r>
      <w:r w:rsidRPr="00413A40">
        <w:rPr>
          <w:lang w:val="fr-CA"/>
        </w:rPr>
        <w:t>intimé Hussein Jama Nur</w:t>
      </w:r>
      <w:r w:rsidR="00B029AB">
        <w:rPr>
          <w:lang w:val="fr-CA"/>
        </w:rPr>
        <w:t xml:space="preserve"> : </w:t>
      </w:r>
      <w:r w:rsidRPr="00413A40">
        <w:rPr>
          <w:lang w:val="fr-CA"/>
        </w:rPr>
        <w:t>Derstine Penman, Toronto.</w:t>
      </w:r>
    </w:p>
    <w:p w:rsidR="00B25464" w:rsidRPr="00413A40" w:rsidRDefault="00B25464" w:rsidP="00A659A4">
      <w:pPr>
        <w:pStyle w:val="SCCLawFirm"/>
        <w:spacing w:after="480"/>
        <w:rPr>
          <w:lang w:val="fr-CA"/>
        </w:rPr>
      </w:pPr>
      <w:r w:rsidRPr="00413A40">
        <w:rPr>
          <w:lang w:val="fr-CA"/>
        </w:rPr>
        <w:tab/>
        <w:t>Procureurs de l</w:t>
      </w:r>
      <w:r w:rsidR="002D6B80">
        <w:rPr>
          <w:lang w:val="fr-CA"/>
        </w:rPr>
        <w:t>’</w:t>
      </w:r>
      <w:r w:rsidRPr="00413A40">
        <w:rPr>
          <w:lang w:val="fr-CA"/>
        </w:rPr>
        <w:t>intimé Sidney Charles</w:t>
      </w:r>
      <w:r w:rsidR="00B029AB">
        <w:rPr>
          <w:lang w:val="fr-CA"/>
        </w:rPr>
        <w:t xml:space="preserve"> : </w:t>
      </w:r>
      <w:r w:rsidRPr="00413A40">
        <w:rPr>
          <w:lang w:val="fr-CA"/>
        </w:rPr>
        <w:t>Edward H. Royle &amp; Associates, Toronto; Dawe &amp; Dineen, Toronto.</w:t>
      </w:r>
    </w:p>
    <w:p w:rsidR="00B25464" w:rsidRPr="00413A40" w:rsidRDefault="00B25464" w:rsidP="00A659A4">
      <w:pPr>
        <w:pStyle w:val="SCCLawFirm"/>
        <w:spacing w:after="480"/>
        <w:rPr>
          <w:lang w:val="fr-CA"/>
        </w:rPr>
      </w:pPr>
      <w:r w:rsidRPr="00413A40">
        <w:rPr>
          <w:lang w:val="fr-CA"/>
        </w:rPr>
        <w:tab/>
        <w:t>Procureur de l</w:t>
      </w:r>
      <w:r w:rsidR="002D6B80">
        <w:rPr>
          <w:lang w:val="fr-CA"/>
        </w:rPr>
        <w:t>’</w:t>
      </w:r>
      <w:r w:rsidRPr="00413A40">
        <w:rPr>
          <w:lang w:val="fr-CA"/>
        </w:rPr>
        <w:t>intervenant le procureur général du Québec</w:t>
      </w:r>
      <w:r w:rsidR="00B029AB">
        <w:rPr>
          <w:lang w:val="fr-CA"/>
        </w:rPr>
        <w:t xml:space="preserve"> : </w:t>
      </w:r>
      <w:r w:rsidRPr="00413A40">
        <w:rPr>
          <w:lang w:val="fr-CA"/>
        </w:rPr>
        <w:t>Procureur général du Québec, Québec.</w:t>
      </w:r>
    </w:p>
    <w:p w:rsidR="00B25464" w:rsidRPr="00413A40" w:rsidRDefault="00B25464" w:rsidP="00A659A4">
      <w:pPr>
        <w:pStyle w:val="SCCLawFirm"/>
        <w:spacing w:after="480"/>
        <w:rPr>
          <w:lang w:val="fr-CA"/>
        </w:rPr>
      </w:pPr>
      <w:r w:rsidRPr="00413A40">
        <w:rPr>
          <w:lang w:val="fr-CA"/>
        </w:rPr>
        <w:tab/>
        <w:t>Procureur de l</w:t>
      </w:r>
      <w:r w:rsidR="002D6B80">
        <w:rPr>
          <w:lang w:val="fr-CA"/>
        </w:rPr>
        <w:t>’</w:t>
      </w:r>
      <w:r w:rsidRPr="00413A40">
        <w:rPr>
          <w:lang w:val="fr-CA"/>
        </w:rPr>
        <w:t>intervenant le procureur général de la Colombie</w:t>
      </w:r>
      <w:r w:rsidR="00B029AB">
        <w:rPr>
          <w:lang w:val="fr-CA"/>
        </w:rPr>
        <w:t>-</w:t>
      </w:r>
      <w:r w:rsidRPr="00413A40">
        <w:rPr>
          <w:lang w:val="fr-CA"/>
        </w:rPr>
        <w:t>Britannique</w:t>
      </w:r>
      <w:r w:rsidR="00B029AB">
        <w:rPr>
          <w:lang w:val="fr-CA"/>
        </w:rPr>
        <w:t xml:space="preserve"> : </w:t>
      </w:r>
      <w:r w:rsidRPr="00413A40">
        <w:rPr>
          <w:lang w:val="fr-CA"/>
        </w:rPr>
        <w:t>Procureur général de la Colombie</w:t>
      </w:r>
      <w:r w:rsidR="00B029AB">
        <w:rPr>
          <w:lang w:val="fr-CA"/>
        </w:rPr>
        <w:t>-</w:t>
      </w:r>
      <w:r w:rsidRPr="00413A40">
        <w:rPr>
          <w:lang w:val="fr-CA"/>
        </w:rPr>
        <w:t>Britannique, Victoria.</w:t>
      </w:r>
    </w:p>
    <w:p w:rsidR="00B25464" w:rsidRPr="00413A40" w:rsidRDefault="00B25464" w:rsidP="00A659A4">
      <w:pPr>
        <w:pStyle w:val="SCCLawFirm"/>
        <w:spacing w:after="480"/>
        <w:rPr>
          <w:lang w:val="fr-CA"/>
        </w:rPr>
      </w:pPr>
      <w:r w:rsidRPr="00413A40">
        <w:rPr>
          <w:lang w:val="fr-CA"/>
        </w:rPr>
        <w:tab/>
        <w:t>Procureur de l</w:t>
      </w:r>
      <w:r w:rsidR="002D6B80">
        <w:rPr>
          <w:lang w:val="fr-CA"/>
        </w:rPr>
        <w:t>’</w:t>
      </w:r>
      <w:r w:rsidRPr="00413A40">
        <w:rPr>
          <w:lang w:val="fr-CA"/>
        </w:rPr>
        <w:t>intervenant le procureur général de l</w:t>
      </w:r>
      <w:r w:rsidR="002D6B80">
        <w:rPr>
          <w:lang w:val="fr-CA"/>
        </w:rPr>
        <w:t>’</w:t>
      </w:r>
      <w:r w:rsidRPr="00413A40">
        <w:rPr>
          <w:lang w:val="fr-CA"/>
        </w:rPr>
        <w:t>Alberta</w:t>
      </w:r>
      <w:r w:rsidR="00B029AB">
        <w:rPr>
          <w:lang w:val="fr-CA"/>
        </w:rPr>
        <w:t xml:space="preserve"> : </w:t>
      </w:r>
      <w:r w:rsidRPr="00413A40">
        <w:rPr>
          <w:lang w:val="fr-CA"/>
        </w:rPr>
        <w:t>Procureur général de l</w:t>
      </w:r>
      <w:r w:rsidR="002D6B80">
        <w:rPr>
          <w:lang w:val="fr-CA"/>
        </w:rPr>
        <w:t>’</w:t>
      </w:r>
      <w:r w:rsidRPr="00413A40">
        <w:rPr>
          <w:lang w:val="fr-CA"/>
        </w:rPr>
        <w:t>Alberta, Calgary.</w:t>
      </w:r>
    </w:p>
    <w:p w:rsidR="00B25464" w:rsidRPr="00413A40" w:rsidRDefault="00B25464" w:rsidP="00A659A4">
      <w:pPr>
        <w:pStyle w:val="SCCLawFirm"/>
        <w:spacing w:after="480"/>
        <w:rPr>
          <w:lang w:val="fr-CA"/>
        </w:rPr>
      </w:pPr>
      <w:r w:rsidRPr="00413A40">
        <w:rPr>
          <w:lang w:val="fr-CA"/>
        </w:rPr>
        <w:tab/>
        <w:t>Procureurs de l</w:t>
      </w:r>
      <w:r w:rsidR="002D6B80">
        <w:rPr>
          <w:lang w:val="fr-CA"/>
        </w:rPr>
        <w:t>’</w:t>
      </w:r>
      <w:r w:rsidRPr="00413A40">
        <w:rPr>
          <w:lang w:val="fr-CA"/>
        </w:rPr>
        <w:t>intervenante Pivot Legal Society</w:t>
      </w:r>
      <w:r w:rsidR="00B029AB">
        <w:rPr>
          <w:lang w:val="fr-CA"/>
        </w:rPr>
        <w:t xml:space="preserve"> : </w:t>
      </w:r>
      <w:r w:rsidRPr="00413A40">
        <w:rPr>
          <w:lang w:val="fr-CA"/>
        </w:rPr>
        <w:t>McCarthy Tétrault, Vancouver; Pivot Legal Society, Vancouver.</w:t>
      </w:r>
    </w:p>
    <w:p w:rsidR="00B25464" w:rsidRPr="00413A40" w:rsidRDefault="00B25464" w:rsidP="00A659A4">
      <w:pPr>
        <w:pStyle w:val="SCCLawFirm"/>
        <w:spacing w:after="480"/>
        <w:rPr>
          <w:lang w:val="fr-CA"/>
        </w:rPr>
      </w:pPr>
      <w:r w:rsidRPr="00413A40">
        <w:rPr>
          <w:lang w:val="fr-CA"/>
        </w:rPr>
        <w:tab/>
        <w:t>Procureurs de l</w:t>
      </w:r>
      <w:r w:rsidR="002D6B80">
        <w:rPr>
          <w:lang w:val="fr-CA"/>
        </w:rPr>
        <w:t>’</w:t>
      </w:r>
      <w:r w:rsidRPr="00413A40">
        <w:rPr>
          <w:lang w:val="fr-CA"/>
        </w:rPr>
        <w:t>intervenante la Société John Howard du Canada</w:t>
      </w:r>
      <w:r w:rsidR="00B029AB">
        <w:rPr>
          <w:lang w:val="fr-CA"/>
        </w:rPr>
        <w:t xml:space="preserve"> : </w:t>
      </w:r>
      <w:r w:rsidRPr="00413A40">
        <w:rPr>
          <w:lang w:val="fr-CA"/>
        </w:rPr>
        <w:t>Barnes Sammon, Ottawa.</w:t>
      </w:r>
    </w:p>
    <w:p w:rsidR="00B25464" w:rsidRPr="00413A40" w:rsidRDefault="00B25464" w:rsidP="00A659A4">
      <w:pPr>
        <w:pStyle w:val="SCCLawFirm"/>
        <w:spacing w:after="480"/>
        <w:rPr>
          <w:lang w:val="fr-CA"/>
        </w:rPr>
      </w:pPr>
      <w:r w:rsidRPr="00413A40">
        <w:rPr>
          <w:lang w:val="fr-CA"/>
        </w:rPr>
        <w:lastRenderedPageBreak/>
        <w:tab/>
        <w:t>Procureurs de l</w:t>
      </w:r>
      <w:r w:rsidR="002D6B80">
        <w:rPr>
          <w:lang w:val="fr-CA"/>
        </w:rPr>
        <w:t>’</w:t>
      </w:r>
      <w:r w:rsidRPr="00413A40">
        <w:rPr>
          <w:lang w:val="fr-CA"/>
        </w:rPr>
        <w:t>intervenante l</w:t>
      </w:r>
      <w:r w:rsidR="002D6B80">
        <w:rPr>
          <w:lang w:val="fr-CA"/>
        </w:rPr>
        <w:t>’</w:t>
      </w:r>
      <w:r w:rsidRPr="00413A40">
        <w:rPr>
          <w:lang w:val="fr-CA"/>
        </w:rPr>
        <w:t>Association canadienne des libertés civiles</w:t>
      </w:r>
      <w:r w:rsidR="00B029AB">
        <w:rPr>
          <w:lang w:val="fr-CA"/>
        </w:rPr>
        <w:t xml:space="preserve"> : </w:t>
      </w:r>
      <w:r w:rsidRPr="00413A40">
        <w:rPr>
          <w:lang w:val="fr-CA"/>
        </w:rPr>
        <w:t>Fasken Martineau DuMoulin, Toronto.</w:t>
      </w:r>
    </w:p>
    <w:p w:rsidR="00B25464" w:rsidRPr="00413A40" w:rsidRDefault="00B25464" w:rsidP="00A659A4">
      <w:pPr>
        <w:pStyle w:val="SCCLawFirm"/>
        <w:spacing w:after="480"/>
        <w:rPr>
          <w:lang w:val="fr-CA"/>
        </w:rPr>
      </w:pPr>
      <w:r w:rsidRPr="00413A40">
        <w:rPr>
          <w:lang w:val="fr-CA"/>
        </w:rPr>
        <w:tab/>
        <w:t>Procureurs de l</w:t>
      </w:r>
      <w:r w:rsidR="002D6B80">
        <w:rPr>
          <w:lang w:val="fr-CA"/>
        </w:rPr>
        <w:t>’</w:t>
      </w:r>
      <w:r w:rsidRPr="00413A40">
        <w:rPr>
          <w:lang w:val="fr-CA"/>
        </w:rPr>
        <w:t>intervenante l</w:t>
      </w:r>
      <w:r w:rsidR="002D6B80">
        <w:rPr>
          <w:lang w:val="fr-CA"/>
        </w:rPr>
        <w:t>’</w:t>
      </w:r>
      <w:r w:rsidRPr="00413A40">
        <w:rPr>
          <w:lang w:val="fr-CA"/>
        </w:rPr>
        <w:t>Association des libertés civiles de la Colombie</w:t>
      </w:r>
      <w:r w:rsidR="00B029AB">
        <w:rPr>
          <w:lang w:val="fr-CA"/>
        </w:rPr>
        <w:t>-</w:t>
      </w:r>
      <w:r w:rsidRPr="00413A40">
        <w:rPr>
          <w:lang w:val="fr-CA"/>
        </w:rPr>
        <w:t>Britannique</w:t>
      </w:r>
      <w:r w:rsidR="00B029AB">
        <w:rPr>
          <w:lang w:val="fr-CA"/>
        </w:rPr>
        <w:t xml:space="preserve"> : </w:t>
      </w:r>
      <w:r w:rsidRPr="00413A40">
        <w:rPr>
          <w:lang w:val="fr-CA"/>
        </w:rPr>
        <w:t>Ruby Shiller Chan Hasan, Toronto.</w:t>
      </w:r>
    </w:p>
    <w:p w:rsidR="00B25464" w:rsidRPr="00413A40" w:rsidRDefault="00B25464" w:rsidP="00A659A4">
      <w:pPr>
        <w:pStyle w:val="SCCLawFirm"/>
        <w:spacing w:after="480"/>
        <w:rPr>
          <w:lang w:val="fr-CA"/>
        </w:rPr>
      </w:pPr>
      <w:r w:rsidRPr="00413A40">
        <w:rPr>
          <w:lang w:val="fr-CA"/>
        </w:rPr>
        <w:tab/>
        <w:t>Procureurs de l</w:t>
      </w:r>
      <w:r w:rsidR="002D6B80">
        <w:rPr>
          <w:lang w:val="fr-CA"/>
        </w:rPr>
        <w:t>’</w:t>
      </w:r>
      <w:r w:rsidRPr="00413A40">
        <w:rPr>
          <w:lang w:val="fr-CA"/>
        </w:rPr>
        <w:t>intervenante Advocates</w:t>
      </w:r>
      <w:r w:rsidR="002D6B80">
        <w:rPr>
          <w:lang w:val="fr-CA"/>
        </w:rPr>
        <w:t>’</w:t>
      </w:r>
      <w:r w:rsidRPr="00413A40">
        <w:rPr>
          <w:lang w:val="fr-CA"/>
        </w:rPr>
        <w:t xml:space="preserve"> Society</w:t>
      </w:r>
      <w:r w:rsidR="00B029AB">
        <w:rPr>
          <w:lang w:val="fr-CA"/>
        </w:rPr>
        <w:t xml:space="preserve"> : </w:t>
      </w:r>
      <w:r w:rsidRPr="00413A40">
        <w:rPr>
          <w:lang w:val="fr-CA"/>
        </w:rPr>
        <w:t>Kapoor Barristers, Toronto.</w:t>
      </w:r>
    </w:p>
    <w:p w:rsidR="00B25464" w:rsidRPr="00413A40" w:rsidRDefault="00B25464" w:rsidP="00A659A4">
      <w:pPr>
        <w:pStyle w:val="SCCLawFirm"/>
        <w:spacing w:after="480"/>
        <w:rPr>
          <w:lang w:val="fr-CA"/>
        </w:rPr>
      </w:pPr>
      <w:r w:rsidRPr="00413A40">
        <w:rPr>
          <w:lang w:val="fr-CA"/>
        </w:rPr>
        <w:tab/>
        <w:t>Procureurs de l</w:t>
      </w:r>
      <w:r w:rsidR="002D6B80">
        <w:rPr>
          <w:lang w:val="fr-CA"/>
        </w:rPr>
        <w:t>’</w:t>
      </w:r>
      <w:r w:rsidRPr="00413A40">
        <w:rPr>
          <w:lang w:val="fr-CA"/>
        </w:rPr>
        <w:t>intervenante l</w:t>
      </w:r>
      <w:r w:rsidR="002D6B80">
        <w:rPr>
          <w:lang w:val="fr-CA"/>
        </w:rPr>
        <w:t>’</w:t>
      </w:r>
      <w:r w:rsidRPr="00413A40">
        <w:rPr>
          <w:lang w:val="fr-CA"/>
        </w:rPr>
        <w:t>Association du Barreau canadien</w:t>
      </w:r>
      <w:r w:rsidR="00B029AB">
        <w:rPr>
          <w:lang w:val="fr-CA"/>
        </w:rPr>
        <w:t xml:space="preserve"> : </w:t>
      </w:r>
      <w:r w:rsidRPr="00413A40">
        <w:rPr>
          <w:lang w:val="fr-CA"/>
        </w:rPr>
        <w:t>Peck and Company, Vancouver.</w:t>
      </w:r>
    </w:p>
    <w:p w:rsidR="00B25464" w:rsidRPr="00413A40" w:rsidRDefault="00B25464" w:rsidP="00A659A4">
      <w:pPr>
        <w:pStyle w:val="SCCLawFirm"/>
        <w:spacing w:after="480"/>
        <w:rPr>
          <w:lang w:val="fr-CA"/>
        </w:rPr>
      </w:pPr>
      <w:r w:rsidRPr="00413A40">
        <w:rPr>
          <w:lang w:val="fr-CA"/>
        </w:rPr>
        <w:tab/>
        <w:t>Procureurs de l</w:t>
      </w:r>
      <w:r w:rsidR="002D6B80">
        <w:rPr>
          <w:lang w:val="fr-CA"/>
        </w:rPr>
        <w:t>’</w:t>
      </w:r>
      <w:r w:rsidRPr="00413A40">
        <w:rPr>
          <w:lang w:val="fr-CA"/>
        </w:rPr>
        <w:t>intervenante l</w:t>
      </w:r>
      <w:r w:rsidR="002D6B80">
        <w:rPr>
          <w:lang w:val="fr-CA"/>
        </w:rPr>
        <w:t>’</w:t>
      </w:r>
      <w:r w:rsidRPr="00413A40">
        <w:rPr>
          <w:lang w:val="fr-CA"/>
        </w:rPr>
        <w:t>Association canadienne pour les armes à feu</w:t>
      </w:r>
      <w:r w:rsidR="00B029AB">
        <w:rPr>
          <w:lang w:val="fr-CA"/>
        </w:rPr>
        <w:t xml:space="preserve"> : </w:t>
      </w:r>
      <w:r w:rsidRPr="00413A40">
        <w:rPr>
          <w:lang w:val="fr-CA"/>
        </w:rPr>
        <w:t>Edelson Clifford D</w:t>
      </w:r>
      <w:r w:rsidR="002D6B80">
        <w:rPr>
          <w:lang w:val="fr-CA"/>
        </w:rPr>
        <w:t>’</w:t>
      </w:r>
      <w:r w:rsidRPr="00413A40">
        <w:rPr>
          <w:lang w:val="fr-CA"/>
        </w:rPr>
        <w:t>Angelo Friedman, Ottawa.</w:t>
      </w:r>
    </w:p>
    <w:p w:rsidR="00B25464" w:rsidRPr="00413A40" w:rsidRDefault="00B25464" w:rsidP="00A659A4">
      <w:pPr>
        <w:pStyle w:val="SCCLawFirm"/>
        <w:spacing w:after="480"/>
        <w:rPr>
          <w:lang w:val="fr-CA"/>
        </w:rPr>
      </w:pPr>
      <w:r w:rsidRPr="00413A40">
        <w:rPr>
          <w:lang w:val="fr-CA"/>
        </w:rPr>
        <w:tab/>
        <w:t>Procureurs de l</w:t>
      </w:r>
      <w:r w:rsidR="002D6B80">
        <w:rPr>
          <w:lang w:val="fr-CA"/>
        </w:rPr>
        <w:t>’</w:t>
      </w:r>
      <w:r w:rsidRPr="00413A40">
        <w:rPr>
          <w:lang w:val="fr-CA"/>
        </w:rPr>
        <w:t>intervenante l</w:t>
      </w:r>
      <w:r w:rsidR="002D6B80">
        <w:rPr>
          <w:lang w:val="fr-CA"/>
        </w:rPr>
        <w:t>’</w:t>
      </w:r>
      <w:r w:rsidRPr="00413A40">
        <w:rPr>
          <w:lang w:val="fr-CA"/>
        </w:rPr>
        <w:t>Association canadienne pour l</w:t>
      </w:r>
      <w:r w:rsidR="002D6B80">
        <w:rPr>
          <w:lang w:val="fr-CA"/>
        </w:rPr>
        <w:t>’</w:t>
      </w:r>
      <w:r w:rsidRPr="00413A40">
        <w:rPr>
          <w:lang w:val="fr-CA"/>
        </w:rPr>
        <w:t>intégration communautaire</w:t>
      </w:r>
      <w:r w:rsidR="00B029AB">
        <w:rPr>
          <w:lang w:val="fr-CA"/>
        </w:rPr>
        <w:t xml:space="preserve"> : </w:t>
      </w:r>
      <w:r w:rsidRPr="00413A40">
        <w:rPr>
          <w:lang w:val="fr-CA"/>
        </w:rPr>
        <w:t>Ursel Phillips Fellows Hopkinson, Toronto.</w:t>
      </w:r>
    </w:p>
    <w:p w:rsidR="009B57B3" w:rsidRDefault="00B25464" w:rsidP="00A659A4">
      <w:pPr>
        <w:pStyle w:val="SCCLawFirm"/>
        <w:rPr>
          <w:b/>
          <w:i w:val="0"/>
          <w:lang w:val="fr-CA"/>
        </w:rPr>
      </w:pPr>
      <w:r w:rsidRPr="00413A40">
        <w:rPr>
          <w:lang w:val="fr-CA"/>
        </w:rPr>
        <w:tab/>
      </w:r>
      <w:r w:rsidR="00360713" w:rsidRPr="00413A40">
        <w:rPr>
          <w:lang w:val="fr-CA"/>
        </w:rPr>
        <w:t>Procureurs de l</w:t>
      </w:r>
      <w:r w:rsidR="002D6B80">
        <w:rPr>
          <w:lang w:val="fr-CA"/>
        </w:rPr>
        <w:t>’</w:t>
      </w:r>
      <w:r w:rsidR="00360713" w:rsidRPr="00413A40">
        <w:rPr>
          <w:lang w:val="fr-CA"/>
        </w:rPr>
        <w:t xml:space="preserve">intervenante la Clinique </w:t>
      </w:r>
      <w:r w:rsidR="00C95B20" w:rsidRPr="00413A40">
        <w:rPr>
          <w:lang w:val="fr-CA"/>
        </w:rPr>
        <w:t>j</w:t>
      </w:r>
      <w:r w:rsidR="00360713" w:rsidRPr="00413A40">
        <w:rPr>
          <w:lang w:val="fr-CA"/>
        </w:rPr>
        <w:t xml:space="preserve">uridique </w:t>
      </w:r>
      <w:r w:rsidR="00C95B20" w:rsidRPr="00413A40">
        <w:rPr>
          <w:lang w:val="fr-CA"/>
        </w:rPr>
        <w:t>a</w:t>
      </w:r>
      <w:r w:rsidR="00360713" w:rsidRPr="00413A40">
        <w:rPr>
          <w:lang w:val="fr-CA"/>
        </w:rPr>
        <w:t xml:space="preserve">fricaine </w:t>
      </w:r>
      <w:r w:rsidR="00C95B20" w:rsidRPr="00413A40">
        <w:rPr>
          <w:lang w:val="fr-CA"/>
        </w:rPr>
        <w:t>c</w:t>
      </w:r>
      <w:r w:rsidR="00360713" w:rsidRPr="00413A40">
        <w:rPr>
          <w:lang w:val="fr-CA"/>
        </w:rPr>
        <w:t>anadienne</w:t>
      </w:r>
      <w:r w:rsidR="00B029AB">
        <w:rPr>
          <w:lang w:val="fr-CA"/>
        </w:rPr>
        <w:t xml:space="preserve"> : </w:t>
      </w:r>
      <w:r w:rsidR="00360713" w:rsidRPr="00413A40">
        <w:rPr>
          <w:lang w:val="fr-CA"/>
        </w:rPr>
        <w:t xml:space="preserve">Faisal Mirza Professional Corporation, Toronto; Clinique </w:t>
      </w:r>
      <w:r w:rsidR="00C95B20" w:rsidRPr="00413A40">
        <w:rPr>
          <w:lang w:val="fr-CA"/>
        </w:rPr>
        <w:t>j</w:t>
      </w:r>
      <w:r w:rsidR="00360713" w:rsidRPr="00413A40">
        <w:rPr>
          <w:lang w:val="fr-CA"/>
        </w:rPr>
        <w:t xml:space="preserve">uridique </w:t>
      </w:r>
      <w:r w:rsidR="00C95B20" w:rsidRPr="00413A40">
        <w:rPr>
          <w:lang w:val="fr-CA"/>
        </w:rPr>
        <w:t>a</w:t>
      </w:r>
      <w:r w:rsidR="00360713" w:rsidRPr="00413A40">
        <w:rPr>
          <w:lang w:val="fr-CA"/>
        </w:rPr>
        <w:t xml:space="preserve">fricaine </w:t>
      </w:r>
      <w:r w:rsidR="00C95B20" w:rsidRPr="00413A40">
        <w:rPr>
          <w:lang w:val="fr-CA"/>
        </w:rPr>
        <w:t>c</w:t>
      </w:r>
      <w:r w:rsidR="00360713" w:rsidRPr="00413A40">
        <w:rPr>
          <w:lang w:val="fr-CA"/>
        </w:rPr>
        <w:t>anadienne, Toronto.</w:t>
      </w:r>
    </w:p>
    <w:p w:rsidR="002A4851" w:rsidRPr="002A4851" w:rsidRDefault="002A4851" w:rsidP="00A659A4">
      <w:pPr>
        <w:pStyle w:val="SCCNormalDoubleSpacing"/>
        <w:rPr>
          <w:lang w:val="fr-CA"/>
        </w:rPr>
      </w:pPr>
    </w:p>
    <w:sectPr w:rsidR="002A4851" w:rsidRPr="002A485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A4" w:rsidRDefault="00A659A4">
      <w:r>
        <w:separator/>
      </w:r>
    </w:p>
  </w:endnote>
  <w:endnote w:type="continuationSeparator" w:id="0">
    <w:p w:rsidR="00A659A4" w:rsidRDefault="00A6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1D9" w:rsidRDefault="00361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1D9" w:rsidRDefault="00361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1D9" w:rsidRDefault="00361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A4" w:rsidRDefault="00A659A4">
      <w:r>
        <w:separator/>
      </w:r>
    </w:p>
  </w:footnote>
  <w:footnote w:type="continuationSeparator" w:id="0">
    <w:p w:rsidR="00A659A4" w:rsidRDefault="00A659A4">
      <w:r>
        <w:continuationSeparator/>
      </w:r>
    </w:p>
  </w:footnote>
  <w:footnote w:id="1">
    <w:p w:rsidR="00A659A4" w:rsidRPr="00CF32E4" w:rsidRDefault="00A659A4" w:rsidP="00205E49">
      <w:pPr>
        <w:pStyle w:val="FootnoteText"/>
        <w:ind w:left="180" w:hanging="180"/>
        <w:jc w:val="both"/>
        <w:rPr>
          <w:lang w:val="fr-CA"/>
        </w:rPr>
      </w:pPr>
      <w:r>
        <w:rPr>
          <w:rStyle w:val="FootnoteReference"/>
        </w:rPr>
        <w:footnoteRef/>
      </w:r>
      <w:r w:rsidRPr="00DC77D6">
        <w:rPr>
          <w:lang w:val="fr-CA"/>
        </w:rPr>
        <w:t xml:space="preserve"> </w:t>
      </w:r>
      <w:r>
        <w:rPr>
          <w:lang w:val="fr-CA"/>
        </w:rPr>
        <w:tab/>
      </w:r>
      <w:r w:rsidRPr="00DC77D6">
        <w:rPr>
          <w:lang w:val="fr-CA"/>
        </w:rPr>
        <w:t xml:space="preserve">Dans </w:t>
      </w:r>
      <w:r w:rsidRPr="00DC77D6">
        <w:rPr>
          <w:i/>
          <w:lang w:val="fr-CA"/>
        </w:rPr>
        <w:t>R. c. Brown</w:t>
      </w:r>
      <w:r w:rsidRPr="00DC77D6">
        <w:rPr>
          <w:lang w:val="fr-CA"/>
        </w:rPr>
        <w:t>, [1994] 3 R.C.S. 749, un arr</w:t>
      </w:r>
      <w:r>
        <w:rPr>
          <w:lang w:val="fr-CA"/>
        </w:rPr>
        <w:t xml:space="preserve">êt bref rendu de vive voix, la Cour a refusé de considérer une situation hypothétique raisonnable relative à une autre infraction sous-jacente que celle invoquée devant elle pour l’infraction d’usage d’une arme à feu lors de la perpétration d’une infraction, suivant l’art. 85 du </w:t>
      </w:r>
      <w:r>
        <w:rPr>
          <w:i/>
          <w:lang w:val="fr-CA"/>
        </w:rPr>
        <w:t>Code criminel</w:t>
      </w:r>
      <w:r>
        <w:rPr>
          <w:lang w:val="fr-CA"/>
        </w:rPr>
        <w:t xml:space="preserve">, puisque le procureur général </w:t>
      </w:r>
      <w:r w:rsidRPr="00017532">
        <w:rPr>
          <w:lang w:val="fr-CA"/>
        </w:rPr>
        <w:t>du Manitoba</w:t>
      </w:r>
      <w:r>
        <w:rPr>
          <w:lang w:val="fr-CA"/>
        </w:rPr>
        <w:t xml:space="preserve"> ne plaidait la constitutionnalité de la disposition que pour l’infraction sous-jacente de vol à main armée. La Cour ne s’est pas </w:t>
      </w:r>
      <w:r w:rsidRPr="00FA0FEB">
        <w:rPr>
          <w:lang w:val="fr-CA"/>
        </w:rPr>
        <w:t>attardée à la</w:t>
      </w:r>
      <w:r>
        <w:rPr>
          <w:lang w:val="fr-CA"/>
        </w:rPr>
        <w:t xml:space="preserve"> teneur d’une situation hypothétique raisonnable.</w:t>
      </w:r>
    </w:p>
  </w:footnote>
  <w:footnote w:id="2">
    <w:p w:rsidR="00A659A4" w:rsidRPr="00A53E12" w:rsidRDefault="00A659A4" w:rsidP="00A659A4">
      <w:pPr>
        <w:pStyle w:val="FootnoteText"/>
        <w:ind w:left="180" w:hanging="180"/>
        <w:rPr>
          <w:lang w:val="fr-CA"/>
        </w:rPr>
      </w:pPr>
      <w:r w:rsidRPr="00A53E12">
        <w:rPr>
          <w:rStyle w:val="FootnoteReference"/>
        </w:rPr>
        <w:footnoteRef/>
      </w:r>
      <w:r w:rsidRPr="00A53E12">
        <w:rPr>
          <w:lang w:val="fr-CA"/>
        </w:rPr>
        <w:t xml:space="preserve"> </w:t>
      </w:r>
      <w:r>
        <w:rPr>
          <w:lang w:val="fr-CA"/>
        </w:rPr>
        <w:tab/>
      </w:r>
      <w:r w:rsidRPr="00A53E12">
        <w:rPr>
          <w:lang w:val="fr-CA"/>
        </w:rPr>
        <w:t>Au par.</w:t>
      </w:r>
      <w:r>
        <w:rPr>
          <w:lang w:val="fr-CA"/>
        </w:rPr>
        <w:t xml:space="preserve"> </w:t>
      </w:r>
      <w:r w:rsidRPr="00A53E12">
        <w:rPr>
          <w:lang w:val="fr-CA"/>
        </w:rPr>
        <w:t xml:space="preserve">80 de leurs motifs, les juges majoritaires invoquent </w:t>
      </w:r>
      <w:r w:rsidRPr="00A53E12">
        <w:rPr>
          <w:i/>
          <w:lang w:val="fr-CA"/>
        </w:rPr>
        <w:t>R. c. MacDonald</w:t>
      </w:r>
      <w:r w:rsidRPr="00A53E12">
        <w:rPr>
          <w:lang w:val="fr-CA"/>
        </w:rPr>
        <w:t>, 2014 CSC 3, [2014] 1 R.C.S. 37, pour illustrer un cas raisonnablement prévisible d’infraction de type réglementaire. Or, on ne peut y voir l’illustration d’une telle infraction étant donné les circonstances aggravantes en cause.</w:t>
      </w:r>
      <w:r>
        <w:rPr>
          <w:lang w:val="fr-CA"/>
        </w:rPr>
        <w:t xml:space="preserve"> Les actes reprochés à M. </w:t>
      </w:r>
      <w:r w:rsidRPr="00A53E12">
        <w:rPr>
          <w:lang w:val="fr-CA"/>
        </w:rPr>
        <w:t>MacDonald allait bien au delà de la possession d’une arme à feu à un autre endroit que celui précisé dans son permis. Les juges majoritaires statuent en effet que le policier qui l’a arrêté avait des motifs raisonnables de croire à l’existence d’une menace imminente pour sa sécurité ou celle du public (</w:t>
      </w:r>
      <w:r w:rsidRPr="00A53E12">
        <w:rPr>
          <w:i/>
          <w:lang w:val="fr-CA"/>
        </w:rPr>
        <w:t>MacDonald</w:t>
      </w:r>
      <w:r w:rsidRPr="00A53E12">
        <w:rPr>
          <w:lang w:val="fr-CA"/>
        </w:rPr>
        <w:t>, par.</w:t>
      </w:r>
      <w:r>
        <w:rPr>
          <w:lang w:val="fr-CA"/>
        </w:rPr>
        <w:t xml:space="preserve"> </w:t>
      </w:r>
      <w:r w:rsidRPr="00A53E12">
        <w:rPr>
          <w:lang w:val="fr-CA"/>
        </w:rPr>
        <w:t>46)</w:t>
      </w:r>
      <w:r w:rsidR="00A24434">
        <w:rPr>
          <w:lang w:val="fr-CA"/>
        </w:rPr>
        <w:t>.</w:t>
      </w:r>
      <w:r w:rsidRPr="00A53E12">
        <w:rPr>
          <w:lang w:val="fr-CA"/>
        </w:rPr>
        <w:t xml:space="preserve"> </w:t>
      </w:r>
    </w:p>
  </w:footnote>
  <w:footnote w:id="3">
    <w:p w:rsidR="00A659A4" w:rsidRPr="00A53E12" w:rsidRDefault="00A659A4" w:rsidP="00DD6118">
      <w:pPr>
        <w:pStyle w:val="FootnoteText"/>
        <w:ind w:left="180" w:hanging="180"/>
        <w:jc w:val="both"/>
        <w:rPr>
          <w:lang w:val="fr-CA"/>
        </w:rPr>
      </w:pPr>
      <w:r w:rsidRPr="00A53E12">
        <w:rPr>
          <w:rStyle w:val="FootnoteReference"/>
          <w:lang w:val="fr-CA"/>
        </w:rPr>
        <w:footnoteRef/>
      </w:r>
      <w:r w:rsidRPr="00A53E12">
        <w:rPr>
          <w:lang w:val="fr-CA"/>
        </w:rPr>
        <w:t xml:space="preserve"> </w:t>
      </w:r>
      <w:r w:rsidR="00DD6118">
        <w:rPr>
          <w:lang w:val="fr-CA"/>
        </w:rPr>
        <w:tab/>
      </w:r>
      <w:r w:rsidRPr="00A53E12">
        <w:rPr>
          <w:lang w:val="fr-CA"/>
        </w:rPr>
        <w:t>Ce sera le cas même lorsque le régime antérieur prévoyait une peine minimale obligatoire. Par exemple, lorsqu’une infraction appelait auparavant l’imposition d’une peine minimale obligatoire de deux ans d’emprisonnement, peine qui est passée par la suite à quatre ans, la fourchette des peines imposées suivant le régime antérieur constituera la fourchette des peines appliquées lorsque la peine minimale obligatoire de deux ans était en vigueur. Lorsqu’il s’agit d’une nouvelle infraction et qu’aucune fourchette antérieure n’existe, le tribunal examinera les peines infligées pour des infractions semblables afin d’établir une fourchette plausible.</w:t>
      </w:r>
    </w:p>
  </w:footnote>
  <w:footnote w:id="4">
    <w:p w:rsidR="00A659A4" w:rsidRPr="00A53E12" w:rsidRDefault="00A659A4" w:rsidP="00DD6118">
      <w:pPr>
        <w:pStyle w:val="FootnoteText"/>
        <w:ind w:left="180" w:hanging="180"/>
        <w:rPr>
          <w:lang w:val="fr-CA"/>
        </w:rPr>
      </w:pPr>
      <w:r w:rsidRPr="00A53E12">
        <w:rPr>
          <w:rStyle w:val="FootnoteReference"/>
        </w:rPr>
        <w:footnoteRef/>
      </w:r>
      <w:r w:rsidRPr="00A53E12">
        <w:rPr>
          <w:lang w:val="fr-CA"/>
        </w:rPr>
        <w:t xml:space="preserve"> </w:t>
      </w:r>
      <w:r w:rsidR="00DD6118">
        <w:rPr>
          <w:lang w:val="fr-CA"/>
        </w:rPr>
        <w:tab/>
      </w:r>
      <w:r w:rsidRPr="00A53E12">
        <w:rPr>
          <w:lang w:val="fr-CA"/>
        </w:rPr>
        <w:t>Le ministère public peut le faire de façon unilatérale dans les six mois suivant l’infraction; après ce délai, le consentement de l’accusé est nécessaire</w:t>
      </w:r>
      <w:r>
        <w:rPr>
          <w:lang w:val="fr-CA"/>
        </w:rPr>
        <w:t xml:space="preserve"> </w:t>
      </w:r>
      <w:r w:rsidRPr="00A53E12">
        <w:rPr>
          <w:lang w:val="fr-CA"/>
        </w:rPr>
        <w:t>(voir le par.</w:t>
      </w:r>
      <w:r>
        <w:rPr>
          <w:lang w:val="fr-CA"/>
        </w:rPr>
        <w:t xml:space="preserve"> </w:t>
      </w:r>
      <w:r w:rsidRPr="00A53E12">
        <w:rPr>
          <w:lang w:val="fr-CA"/>
        </w:rPr>
        <w:t xml:space="preserve">786(2) du </w:t>
      </w:r>
      <w:r w:rsidRPr="00A53E12">
        <w:rPr>
          <w:i/>
          <w:lang w:val="fr-CA"/>
        </w:rPr>
        <w:t>Code criminel</w:t>
      </w:r>
      <w:r w:rsidRPr="00A53E12">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1D9" w:rsidRDefault="00361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A4" w:rsidRPr="00450352" w:rsidRDefault="00A659A4"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1D9" w:rsidRDefault="00361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F75A05"/>
    <w:multiLevelType w:val="multilevel"/>
    <w:tmpl w:val="8BBE875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1639F"/>
    <w:multiLevelType w:val="hybridMultilevel"/>
    <w:tmpl w:val="A7644246"/>
    <w:lvl w:ilvl="0" w:tplc="28A6AB0E">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BE5C14"/>
    <w:multiLevelType w:val="multilevel"/>
    <w:tmpl w:val="463A7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BB13BA"/>
    <w:multiLevelType w:val="hybridMultilevel"/>
    <w:tmpl w:val="46EAF50E"/>
    <w:lvl w:ilvl="0" w:tplc="200CDAE0">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6931D4"/>
    <w:multiLevelType w:val="multilevel"/>
    <w:tmpl w:val="80606D3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3130A"/>
    <w:multiLevelType w:val="multilevel"/>
    <w:tmpl w:val="FB8A723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33A1577"/>
    <w:multiLevelType w:val="hybridMultilevel"/>
    <w:tmpl w:val="A756FB86"/>
    <w:lvl w:ilvl="0" w:tplc="84D44EF0">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3F21486"/>
    <w:multiLevelType w:val="hybridMultilevel"/>
    <w:tmpl w:val="3CB43F0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CF194C"/>
    <w:multiLevelType w:val="multilevel"/>
    <w:tmpl w:val="61F4581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3"/>
  </w:num>
  <w:num w:numId="26">
    <w:abstractNumId w:val="4"/>
  </w:num>
  <w:num w:numId="27">
    <w:abstractNumId w:val="0"/>
  </w:num>
  <w:num w:numId="28">
    <w:abstractNumId w:val="8"/>
  </w:num>
  <w:num w:numId="29">
    <w:abstractNumId w:val="9"/>
  </w:num>
  <w:num w:numId="30">
    <w:abstractNumId w:val="7"/>
  </w:num>
  <w:num w:numId="31">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num>
  <w:num w:numId="36">
    <w:abstractNumId w:val="1"/>
  </w:num>
  <w:num w:numId="37">
    <w:abstractNumId w:val="14"/>
  </w:num>
  <w:num w:numId="38">
    <w:abstractNumId w:val="2"/>
  </w:num>
  <w:num w:numId="39">
    <w:abstractNumId w:val="10"/>
  </w:num>
  <w:num w:numId="40">
    <w:abstractNumId w:val="5"/>
  </w:num>
  <w:num w:numId="41">
    <w:abstractNumId w:val="11"/>
    <w:lvlOverride w:ilvl="0">
      <w:startOverride w:val="1"/>
    </w:lvlOverride>
    <w:lvlOverride w:ilvl="1">
      <w:startOverride w:val="1"/>
    </w:lvlOverride>
    <w:lvlOverride w:ilvl="2">
      <w:startOverride w:val="1"/>
    </w:lvlOverride>
    <w:lvlOverride w:ilvl="3">
      <w:startOverride w:val="2"/>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6120"/>
    <w:rsid w:val="00023FC7"/>
    <w:rsid w:val="00025198"/>
    <w:rsid w:val="000260BD"/>
    <w:rsid w:val="00030451"/>
    <w:rsid w:val="00037420"/>
    <w:rsid w:val="00052A2C"/>
    <w:rsid w:val="000578A3"/>
    <w:rsid w:val="000648CC"/>
    <w:rsid w:val="0007243B"/>
    <w:rsid w:val="00084013"/>
    <w:rsid w:val="0008447C"/>
    <w:rsid w:val="000972B5"/>
    <w:rsid w:val="000A1FA7"/>
    <w:rsid w:val="000A790C"/>
    <w:rsid w:val="000B166C"/>
    <w:rsid w:val="000C5322"/>
    <w:rsid w:val="000C59B8"/>
    <w:rsid w:val="000C6AF0"/>
    <w:rsid w:val="000D0A77"/>
    <w:rsid w:val="000F7993"/>
    <w:rsid w:val="00104F33"/>
    <w:rsid w:val="00111DE2"/>
    <w:rsid w:val="00116B38"/>
    <w:rsid w:val="001207FA"/>
    <w:rsid w:val="0013392F"/>
    <w:rsid w:val="001339F2"/>
    <w:rsid w:val="00135406"/>
    <w:rsid w:val="00135972"/>
    <w:rsid w:val="001426A9"/>
    <w:rsid w:val="00154CC1"/>
    <w:rsid w:val="00154D7C"/>
    <w:rsid w:val="001570B0"/>
    <w:rsid w:val="0015752C"/>
    <w:rsid w:val="00157737"/>
    <w:rsid w:val="00165277"/>
    <w:rsid w:val="00170592"/>
    <w:rsid w:val="001720F7"/>
    <w:rsid w:val="001913E5"/>
    <w:rsid w:val="00195D83"/>
    <w:rsid w:val="001A00C1"/>
    <w:rsid w:val="001A7236"/>
    <w:rsid w:val="001B33E0"/>
    <w:rsid w:val="001B4573"/>
    <w:rsid w:val="001B7098"/>
    <w:rsid w:val="001C779F"/>
    <w:rsid w:val="001D2AC1"/>
    <w:rsid w:val="001D4994"/>
    <w:rsid w:val="001D4E88"/>
    <w:rsid w:val="001E159C"/>
    <w:rsid w:val="00201084"/>
    <w:rsid w:val="00205E49"/>
    <w:rsid w:val="00217435"/>
    <w:rsid w:val="00220FC2"/>
    <w:rsid w:val="002222F4"/>
    <w:rsid w:val="00224FC0"/>
    <w:rsid w:val="00225EA4"/>
    <w:rsid w:val="00226EAF"/>
    <w:rsid w:val="00231F3A"/>
    <w:rsid w:val="002371A8"/>
    <w:rsid w:val="002406EE"/>
    <w:rsid w:val="00243EC8"/>
    <w:rsid w:val="002454EA"/>
    <w:rsid w:val="00270D93"/>
    <w:rsid w:val="002745CC"/>
    <w:rsid w:val="00293638"/>
    <w:rsid w:val="002A4851"/>
    <w:rsid w:val="002A7B10"/>
    <w:rsid w:val="002A7F74"/>
    <w:rsid w:val="002B6FBE"/>
    <w:rsid w:val="002B7924"/>
    <w:rsid w:val="002C10A6"/>
    <w:rsid w:val="002D28C3"/>
    <w:rsid w:val="002D39A4"/>
    <w:rsid w:val="002D6B80"/>
    <w:rsid w:val="002E6705"/>
    <w:rsid w:val="002F7EB2"/>
    <w:rsid w:val="003002A8"/>
    <w:rsid w:val="0030329A"/>
    <w:rsid w:val="0031086F"/>
    <w:rsid w:val="0031414C"/>
    <w:rsid w:val="00314E01"/>
    <w:rsid w:val="0032089D"/>
    <w:rsid w:val="003310DE"/>
    <w:rsid w:val="003323B0"/>
    <w:rsid w:val="00340A49"/>
    <w:rsid w:val="0035169A"/>
    <w:rsid w:val="0035259D"/>
    <w:rsid w:val="00360713"/>
    <w:rsid w:val="003611D9"/>
    <w:rsid w:val="00364B18"/>
    <w:rsid w:val="00381110"/>
    <w:rsid w:val="0039312D"/>
    <w:rsid w:val="003A125D"/>
    <w:rsid w:val="003A4C70"/>
    <w:rsid w:val="003B215F"/>
    <w:rsid w:val="003B26AD"/>
    <w:rsid w:val="003C0171"/>
    <w:rsid w:val="003C0F0E"/>
    <w:rsid w:val="003C55DC"/>
    <w:rsid w:val="003C799C"/>
    <w:rsid w:val="003D0399"/>
    <w:rsid w:val="003E1C71"/>
    <w:rsid w:val="003F327B"/>
    <w:rsid w:val="00406166"/>
    <w:rsid w:val="0040704B"/>
    <w:rsid w:val="0041041E"/>
    <w:rsid w:val="00410A55"/>
    <w:rsid w:val="00411300"/>
    <w:rsid w:val="00413A40"/>
    <w:rsid w:val="00413F17"/>
    <w:rsid w:val="00415417"/>
    <w:rsid w:val="00423507"/>
    <w:rsid w:val="00426659"/>
    <w:rsid w:val="00431E71"/>
    <w:rsid w:val="00450352"/>
    <w:rsid w:val="00454BDB"/>
    <w:rsid w:val="00455E5B"/>
    <w:rsid w:val="00465132"/>
    <w:rsid w:val="004674B9"/>
    <w:rsid w:val="0048010D"/>
    <w:rsid w:val="00480C90"/>
    <w:rsid w:val="0048396F"/>
    <w:rsid w:val="00493C18"/>
    <w:rsid w:val="004A600C"/>
    <w:rsid w:val="004A6118"/>
    <w:rsid w:val="004C0B65"/>
    <w:rsid w:val="004C478D"/>
    <w:rsid w:val="004D7D95"/>
    <w:rsid w:val="004E2C26"/>
    <w:rsid w:val="00501E65"/>
    <w:rsid w:val="005125A8"/>
    <w:rsid w:val="00517549"/>
    <w:rsid w:val="00520ABC"/>
    <w:rsid w:val="00520DED"/>
    <w:rsid w:val="00521AE8"/>
    <w:rsid w:val="00527180"/>
    <w:rsid w:val="00542E62"/>
    <w:rsid w:val="00555291"/>
    <w:rsid w:val="00566AD1"/>
    <w:rsid w:val="005724EB"/>
    <w:rsid w:val="00583EDE"/>
    <w:rsid w:val="00591F0C"/>
    <w:rsid w:val="005A6079"/>
    <w:rsid w:val="005B3FF3"/>
    <w:rsid w:val="005B4B18"/>
    <w:rsid w:val="005D4DBB"/>
    <w:rsid w:val="005E4698"/>
    <w:rsid w:val="005E4BEF"/>
    <w:rsid w:val="005F264D"/>
    <w:rsid w:val="00603924"/>
    <w:rsid w:val="00605227"/>
    <w:rsid w:val="00610539"/>
    <w:rsid w:val="006105FA"/>
    <w:rsid w:val="00613969"/>
    <w:rsid w:val="00625C35"/>
    <w:rsid w:val="0063035F"/>
    <w:rsid w:val="00645B9C"/>
    <w:rsid w:val="00647E49"/>
    <w:rsid w:val="00650509"/>
    <w:rsid w:val="006529FC"/>
    <w:rsid w:val="00656313"/>
    <w:rsid w:val="006565F4"/>
    <w:rsid w:val="006739A6"/>
    <w:rsid w:val="00684EEA"/>
    <w:rsid w:val="006871BE"/>
    <w:rsid w:val="0069056A"/>
    <w:rsid w:val="0069689B"/>
    <w:rsid w:val="006B5FF5"/>
    <w:rsid w:val="006C635D"/>
    <w:rsid w:val="006F30AF"/>
    <w:rsid w:val="00701759"/>
    <w:rsid w:val="00705C15"/>
    <w:rsid w:val="007110F6"/>
    <w:rsid w:val="00720089"/>
    <w:rsid w:val="007208D1"/>
    <w:rsid w:val="00720A7B"/>
    <w:rsid w:val="00740A18"/>
    <w:rsid w:val="00744518"/>
    <w:rsid w:val="00747288"/>
    <w:rsid w:val="00747DD3"/>
    <w:rsid w:val="007549C8"/>
    <w:rsid w:val="00756A78"/>
    <w:rsid w:val="00766D14"/>
    <w:rsid w:val="00767A0F"/>
    <w:rsid w:val="00781DB0"/>
    <w:rsid w:val="00791272"/>
    <w:rsid w:val="007A0463"/>
    <w:rsid w:val="007A05F6"/>
    <w:rsid w:val="007B6F4A"/>
    <w:rsid w:val="007C1DEF"/>
    <w:rsid w:val="007E1C47"/>
    <w:rsid w:val="007E3163"/>
    <w:rsid w:val="007E337A"/>
    <w:rsid w:val="007E4DF4"/>
    <w:rsid w:val="007E5C70"/>
    <w:rsid w:val="007F2FF5"/>
    <w:rsid w:val="007F3F08"/>
    <w:rsid w:val="007F6D41"/>
    <w:rsid w:val="00804CC6"/>
    <w:rsid w:val="00817190"/>
    <w:rsid w:val="008260E2"/>
    <w:rsid w:val="008322BD"/>
    <w:rsid w:val="00834F73"/>
    <w:rsid w:val="00835B0B"/>
    <w:rsid w:val="00864C8A"/>
    <w:rsid w:val="00864CF8"/>
    <w:rsid w:val="00873C62"/>
    <w:rsid w:val="00874914"/>
    <w:rsid w:val="008858D4"/>
    <w:rsid w:val="00891422"/>
    <w:rsid w:val="00892E1A"/>
    <w:rsid w:val="008A0347"/>
    <w:rsid w:val="008B660A"/>
    <w:rsid w:val="008C01DA"/>
    <w:rsid w:val="008E74EE"/>
    <w:rsid w:val="008F2674"/>
    <w:rsid w:val="008F78E9"/>
    <w:rsid w:val="009079BC"/>
    <w:rsid w:val="009179F9"/>
    <w:rsid w:val="00917C7A"/>
    <w:rsid w:val="00926FBD"/>
    <w:rsid w:val="00933E5E"/>
    <w:rsid w:val="00935218"/>
    <w:rsid w:val="00937C52"/>
    <w:rsid w:val="009403F3"/>
    <w:rsid w:val="00951068"/>
    <w:rsid w:val="00953136"/>
    <w:rsid w:val="009555B7"/>
    <w:rsid w:val="009567AA"/>
    <w:rsid w:val="009602C9"/>
    <w:rsid w:val="00967374"/>
    <w:rsid w:val="00967A08"/>
    <w:rsid w:val="00970584"/>
    <w:rsid w:val="00986ED5"/>
    <w:rsid w:val="009A343A"/>
    <w:rsid w:val="009B2F23"/>
    <w:rsid w:val="009B4F68"/>
    <w:rsid w:val="009B57B3"/>
    <w:rsid w:val="009D2920"/>
    <w:rsid w:val="009D5AEB"/>
    <w:rsid w:val="009F08AA"/>
    <w:rsid w:val="009F0E33"/>
    <w:rsid w:val="009F6F6B"/>
    <w:rsid w:val="00A149DF"/>
    <w:rsid w:val="00A1755C"/>
    <w:rsid w:val="00A21B90"/>
    <w:rsid w:val="00A22AAC"/>
    <w:rsid w:val="00A24434"/>
    <w:rsid w:val="00A41805"/>
    <w:rsid w:val="00A47E88"/>
    <w:rsid w:val="00A51882"/>
    <w:rsid w:val="00A52AFB"/>
    <w:rsid w:val="00A548CB"/>
    <w:rsid w:val="00A5521C"/>
    <w:rsid w:val="00A643E7"/>
    <w:rsid w:val="00A659A4"/>
    <w:rsid w:val="00A73C38"/>
    <w:rsid w:val="00AB670D"/>
    <w:rsid w:val="00AB6CCE"/>
    <w:rsid w:val="00AF03C5"/>
    <w:rsid w:val="00AF17FD"/>
    <w:rsid w:val="00B000D8"/>
    <w:rsid w:val="00B00F75"/>
    <w:rsid w:val="00B029AB"/>
    <w:rsid w:val="00B145B6"/>
    <w:rsid w:val="00B25464"/>
    <w:rsid w:val="00B279EB"/>
    <w:rsid w:val="00B50C81"/>
    <w:rsid w:val="00B53804"/>
    <w:rsid w:val="00B557F8"/>
    <w:rsid w:val="00B62EA6"/>
    <w:rsid w:val="00B63C49"/>
    <w:rsid w:val="00B81542"/>
    <w:rsid w:val="00B815FC"/>
    <w:rsid w:val="00B91DE6"/>
    <w:rsid w:val="00B92F78"/>
    <w:rsid w:val="00B93FBC"/>
    <w:rsid w:val="00BA7DA0"/>
    <w:rsid w:val="00BB2EE4"/>
    <w:rsid w:val="00BB4C92"/>
    <w:rsid w:val="00BB72B1"/>
    <w:rsid w:val="00BC2108"/>
    <w:rsid w:val="00BD0E9E"/>
    <w:rsid w:val="00BD1BEC"/>
    <w:rsid w:val="00BD2464"/>
    <w:rsid w:val="00BD32FF"/>
    <w:rsid w:val="00BD6A88"/>
    <w:rsid w:val="00BE7A67"/>
    <w:rsid w:val="00BF6394"/>
    <w:rsid w:val="00BF6FE9"/>
    <w:rsid w:val="00C02092"/>
    <w:rsid w:val="00C24D91"/>
    <w:rsid w:val="00C26DB2"/>
    <w:rsid w:val="00C35FB0"/>
    <w:rsid w:val="00C401CB"/>
    <w:rsid w:val="00C457A3"/>
    <w:rsid w:val="00C53F14"/>
    <w:rsid w:val="00C600CF"/>
    <w:rsid w:val="00C6084F"/>
    <w:rsid w:val="00C62A66"/>
    <w:rsid w:val="00C66359"/>
    <w:rsid w:val="00C71458"/>
    <w:rsid w:val="00C77613"/>
    <w:rsid w:val="00C828E7"/>
    <w:rsid w:val="00C83BD1"/>
    <w:rsid w:val="00C85727"/>
    <w:rsid w:val="00C86719"/>
    <w:rsid w:val="00C921DD"/>
    <w:rsid w:val="00C95B20"/>
    <w:rsid w:val="00CA6391"/>
    <w:rsid w:val="00CC6DB5"/>
    <w:rsid w:val="00CD31E2"/>
    <w:rsid w:val="00CD74F1"/>
    <w:rsid w:val="00CE036E"/>
    <w:rsid w:val="00CE0BBC"/>
    <w:rsid w:val="00CE3171"/>
    <w:rsid w:val="00CE6101"/>
    <w:rsid w:val="00CF0EFA"/>
    <w:rsid w:val="00CF1601"/>
    <w:rsid w:val="00D0172F"/>
    <w:rsid w:val="00D01E33"/>
    <w:rsid w:val="00D0248E"/>
    <w:rsid w:val="00D068A7"/>
    <w:rsid w:val="00D06D10"/>
    <w:rsid w:val="00D17476"/>
    <w:rsid w:val="00D314F9"/>
    <w:rsid w:val="00D32086"/>
    <w:rsid w:val="00D37A3F"/>
    <w:rsid w:val="00D4431D"/>
    <w:rsid w:val="00D4667A"/>
    <w:rsid w:val="00D62155"/>
    <w:rsid w:val="00D63A1C"/>
    <w:rsid w:val="00D7516F"/>
    <w:rsid w:val="00D95F8E"/>
    <w:rsid w:val="00DA0590"/>
    <w:rsid w:val="00DC1739"/>
    <w:rsid w:val="00DC1788"/>
    <w:rsid w:val="00DD6118"/>
    <w:rsid w:val="00DE319C"/>
    <w:rsid w:val="00DF0CA8"/>
    <w:rsid w:val="00DF2B48"/>
    <w:rsid w:val="00DF49A7"/>
    <w:rsid w:val="00E07EE2"/>
    <w:rsid w:val="00E07FD1"/>
    <w:rsid w:val="00E10832"/>
    <w:rsid w:val="00E2012A"/>
    <w:rsid w:val="00E24573"/>
    <w:rsid w:val="00E25E1E"/>
    <w:rsid w:val="00E27EE7"/>
    <w:rsid w:val="00E345B8"/>
    <w:rsid w:val="00E35404"/>
    <w:rsid w:val="00E45109"/>
    <w:rsid w:val="00E47B7A"/>
    <w:rsid w:val="00E56A44"/>
    <w:rsid w:val="00E60269"/>
    <w:rsid w:val="00E833D6"/>
    <w:rsid w:val="00E83FCB"/>
    <w:rsid w:val="00E97830"/>
    <w:rsid w:val="00EA26A9"/>
    <w:rsid w:val="00ED05F6"/>
    <w:rsid w:val="00ED5BB3"/>
    <w:rsid w:val="00EE0830"/>
    <w:rsid w:val="00EE6CB8"/>
    <w:rsid w:val="00EF0683"/>
    <w:rsid w:val="00EF39CA"/>
    <w:rsid w:val="00F0037B"/>
    <w:rsid w:val="00F0070C"/>
    <w:rsid w:val="00F00EB7"/>
    <w:rsid w:val="00F33B7E"/>
    <w:rsid w:val="00F36AB6"/>
    <w:rsid w:val="00F37A09"/>
    <w:rsid w:val="00F409CE"/>
    <w:rsid w:val="00F4379D"/>
    <w:rsid w:val="00F50D2D"/>
    <w:rsid w:val="00F56C8B"/>
    <w:rsid w:val="00F62639"/>
    <w:rsid w:val="00F66810"/>
    <w:rsid w:val="00F6699F"/>
    <w:rsid w:val="00F84DF4"/>
    <w:rsid w:val="00F85C97"/>
    <w:rsid w:val="00F86201"/>
    <w:rsid w:val="00F9014A"/>
    <w:rsid w:val="00F90E13"/>
    <w:rsid w:val="00FA392B"/>
    <w:rsid w:val="00FB37D2"/>
    <w:rsid w:val="00FC1FDE"/>
    <w:rsid w:val="00FC4EFB"/>
    <w:rsid w:val="00FD068D"/>
    <w:rsid w:val="00FD1DC2"/>
    <w:rsid w:val="00FD4F28"/>
    <w:rsid w:val="00FE6784"/>
    <w:rsid w:val="00FE7A8B"/>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781DB0"/>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A485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A4851"/>
    <w:rPr>
      <w:rFonts w:eastAsiaTheme="minorHAnsi" w:cstheme="minorBidi"/>
      <w:sz w:val="24"/>
      <w:szCs w:val="22"/>
      <w:lang w:eastAsia="en-US"/>
    </w:rPr>
  </w:style>
  <w:style w:type="character" w:customStyle="1" w:styleId="SCCBanSummaryChar">
    <w:name w:val="SCC.BanSummary Char"/>
    <w:basedOn w:val="DefaultParagraphFont"/>
    <w:link w:val="SCCBanSummary"/>
    <w:rsid w:val="002A4851"/>
    <w:rPr>
      <w:b/>
      <w:sz w:val="24"/>
    </w:rPr>
  </w:style>
  <w:style w:type="table" w:styleId="TableGrid">
    <w:name w:val="Table Grid"/>
    <w:basedOn w:val="TableNormal"/>
    <w:uiPriority w:val="59"/>
    <w:rsid w:val="002A485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A485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A485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A485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2A4851"/>
    <w:pPr>
      <w:numPr>
        <w:numId w:val="30"/>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A4851"/>
    <w:pPr>
      <w:numPr>
        <w:ilvl w:val="1"/>
      </w:numPr>
      <w:jc w:val="both"/>
    </w:pPr>
    <w:rPr>
      <w:i/>
      <w:u w:val="none"/>
    </w:rPr>
  </w:style>
  <w:style w:type="paragraph" w:customStyle="1" w:styleId="Title3LevelTitre3Niveau">
    <w:name w:val="Title 3 Level / Titre 3 Niveau"/>
    <w:basedOn w:val="Title1LevelTitre1Niveau-AltL"/>
    <w:next w:val="ParaNoNdepar-AltN"/>
    <w:uiPriority w:val="4"/>
    <w:qFormat/>
    <w:rsid w:val="002A4851"/>
    <w:pPr>
      <w:numPr>
        <w:ilvl w:val="2"/>
      </w:numPr>
    </w:pPr>
  </w:style>
  <w:style w:type="paragraph" w:customStyle="1" w:styleId="Title4LevelTitre4Niveau">
    <w:name w:val="Title 4 Level / Titre 4 Niveau"/>
    <w:basedOn w:val="Title3LevelTitre3Niveau"/>
    <w:next w:val="ParaNoNdepar-AltN"/>
    <w:uiPriority w:val="4"/>
    <w:qFormat/>
    <w:rsid w:val="002A4851"/>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2A4851"/>
    <w:pPr>
      <w:numPr>
        <w:ilvl w:val="4"/>
      </w:numPr>
    </w:pPr>
  </w:style>
  <w:style w:type="paragraph" w:styleId="TOC1">
    <w:name w:val="toc 1"/>
    <w:basedOn w:val="Normal"/>
    <w:next w:val="Normal"/>
    <w:autoRedefine/>
    <w:uiPriority w:val="39"/>
    <w:unhideWhenUsed/>
    <w:rsid w:val="002A485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A485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A485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A485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A485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A4851"/>
    <w:pPr>
      <w:tabs>
        <w:tab w:val="left" w:pos="2160"/>
        <w:tab w:val="right" w:leader="dot" w:pos="8270"/>
      </w:tabs>
      <w:spacing w:after="100"/>
      <w:ind w:left="1800"/>
    </w:pPr>
    <w:rPr>
      <w:noProof/>
    </w:rPr>
  </w:style>
  <w:style w:type="table" w:customStyle="1" w:styleId="TableGrid1">
    <w:name w:val="Table Grid1"/>
    <w:basedOn w:val="TableNormal"/>
    <w:uiPriority w:val="59"/>
    <w:rsid w:val="002A485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A4851"/>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A4851"/>
    <w:pPr>
      <w:numPr>
        <w:ilvl w:val="5"/>
      </w:numPr>
    </w:pPr>
    <w:rPr>
      <w:i/>
      <w:u w:val="none"/>
    </w:rPr>
  </w:style>
  <w:style w:type="paragraph" w:styleId="FootnoteText">
    <w:name w:val="footnote text"/>
    <w:basedOn w:val="Normal"/>
    <w:link w:val="FootnoteTextChar"/>
    <w:uiPriority w:val="99"/>
    <w:semiHidden/>
    <w:unhideWhenUsed/>
    <w:rsid w:val="002A4851"/>
    <w:rPr>
      <w:sz w:val="20"/>
    </w:rPr>
  </w:style>
  <w:style w:type="character" w:customStyle="1" w:styleId="FootnoteTextChar">
    <w:name w:val="Footnote Text Char"/>
    <w:basedOn w:val="DefaultParagraphFont"/>
    <w:link w:val="FootnoteText"/>
    <w:uiPriority w:val="99"/>
    <w:semiHidden/>
    <w:rsid w:val="002A4851"/>
  </w:style>
  <w:style w:type="character" w:styleId="FootnoteReference">
    <w:name w:val="footnote reference"/>
    <w:basedOn w:val="DefaultParagraphFont"/>
    <w:uiPriority w:val="99"/>
    <w:semiHidden/>
    <w:unhideWhenUsed/>
    <w:rsid w:val="002A4851"/>
    <w:rPr>
      <w:vertAlign w:val="superscript"/>
    </w:rPr>
  </w:style>
  <w:style w:type="character" w:customStyle="1" w:styleId="decisia-reflex2-icon">
    <w:name w:val="decisia-reflex2-icon"/>
    <w:basedOn w:val="DefaultParagraphFont"/>
    <w:rsid w:val="002A4851"/>
    <w:rPr>
      <w:strike w:val="0"/>
      <w:dstrike w:val="0"/>
      <w:sz w:val="19"/>
      <w:szCs w:val="19"/>
      <w:u w:val="none"/>
      <w:effect w:val="none"/>
    </w:rPr>
  </w:style>
  <w:style w:type="paragraph" w:customStyle="1" w:styleId="paranondepar-altn1">
    <w:name w:val="paranondepar-altn1"/>
    <w:basedOn w:val="Normal"/>
    <w:rsid w:val="002A4851"/>
    <w:pPr>
      <w:spacing w:before="480" w:after="480" w:line="480" w:lineRule="auto"/>
      <w:ind w:left="90"/>
      <w:jc w:val="both"/>
    </w:pPr>
    <w:rPr>
      <w:szCs w:val="24"/>
    </w:rPr>
  </w:style>
  <w:style w:type="paragraph" w:customStyle="1" w:styleId="subsection">
    <w:name w:val="subsection"/>
    <w:basedOn w:val="Normal"/>
    <w:rsid w:val="002A4851"/>
    <w:pPr>
      <w:spacing w:before="168" w:after="120"/>
      <w:ind w:firstLine="360"/>
    </w:pPr>
    <w:rPr>
      <w:szCs w:val="24"/>
    </w:rPr>
  </w:style>
  <w:style w:type="paragraph" w:customStyle="1" w:styleId="paragraph">
    <w:name w:val="paragraph"/>
    <w:basedOn w:val="Normal"/>
    <w:rsid w:val="002A4851"/>
    <w:pPr>
      <w:spacing w:before="168" w:after="120"/>
      <w:ind w:left="360"/>
    </w:pPr>
    <w:rPr>
      <w:szCs w:val="24"/>
    </w:rPr>
  </w:style>
  <w:style w:type="paragraph" w:customStyle="1" w:styleId="subparagraph">
    <w:name w:val="subparagraph"/>
    <w:basedOn w:val="Normal"/>
    <w:rsid w:val="002A4851"/>
    <w:pPr>
      <w:spacing w:before="168" w:after="120"/>
      <w:ind w:left="720"/>
    </w:pPr>
    <w:rPr>
      <w:szCs w:val="24"/>
    </w:rPr>
  </w:style>
  <w:style w:type="character" w:customStyle="1" w:styleId="sectionlabel">
    <w:name w:val="sectionlabel"/>
    <w:basedOn w:val="DefaultParagraphFont"/>
    <w:rsid w:val="002A4851"/>
    <w:rPr>
      <w:b/>
      <w:bCs/>
    </w:rPr>
  </w:style>
  <w:style w:type="character" w:styleId="Emphasis">
    <w:name w:val="Emphasis"/>
    <w:basedOn w:val="DefaultParagraphFont"/>
    <w:uiPriority w:val="20"/>
    <w:qFormat/>
    <w:rsid w:val="002A4851"/>
    <w:rPr>
      <w:i/>
      <w:iCs/>
    </w:rPr>
  </w:style>
  <w:style w:type="character" w:customStyle="1" w:styleId="wb-invisible">
    <w:name w:val="wb-invisible"/>
    <w:basedOn w:val="DefaultParagraphFont"/>
    <w:rsid w:val="002A4851"/>
  </w:style>
  <w:style w:type="paragraph" w:customStyle="1" w:styleId="continuedsectionsubsection">
    <w:name w:val="continuedsectionsubsection"/>
    <w:basedOn w:val="Normal"/>
    <w:rsid w:val="002A4851"/>
    <w:pPr>
      <w:spacing w:before="168" w:after="120"/>
    </w:pPr>
    <w:rPr>
      <w:szCs w:val="24"/>
    </w:rPr>
  </w:style>
  <w:style w:type="character" w:styleId="HTMLCite">
    <w:name w:val="HTML Cite"/>
    <w:basedOn w:val="DefaultParagraphFont"/>
    <w:uiPriority w:val="99"/>
    <w:semiHidden/>
    <w:unhideWhenUsed/>
    <w:rsid w:val="002A4851"/>
    <w:rPr>
      <w:i/>
      <w:iCs/>
    </w:rPr>
  </w:style>
  <w:style w:type="paragraph" w:customStyle="1" w:styleId="section">
    <w:name w:val="section"/>
    <w:basedOn w:val="Normal"/>
    <w:rsid w:val="002A4851"/>
    <w:pPr>
      <w:spacing w:before="168" w:after="120"/>
      <w:ind w:firstLine="360"/>
    </w:pPr>
    <w:rPr>
      <w:szCs w:val="24"/>
    </w:rPr>
  </w:style>
  <w:style w:type="paragraph" w:styleId="ListParagraph">
    <w:name w:val="List Paragraph"/>
    <w:basedOn w:val="Normal"/>
    <w:uiPriority w:val="34"/>
    <w:rsid w:val="002A4851"/>
    <w:pPr>
      <w:ind w:left="720"/>
      <w:contextualSpacing/>
    </w:pPr>
    <w:rPr>
      <w:szCs w:val="24"/>
    </w:rPr>
  </w:style>
  <w:style w:type="paragraph" w:customStyle="1" w:styleId="SCCCoram">
    <w:name w:val="SCC.Coram"/>
    <w:basedOn w:val="Normal"/>
    <w:next w:val="Normal"/>
    <w:link w:val="SCCCoramChar"/>
    <w:rsid w:val="002A485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A4851"/>
    <w:rPr>
      <w:rFonts w:eastAsiaTheme="minorHAnsi" w:cstheme="minorBidi"/>
      <w:sz w:val="24"/>
      <w:szCs w:val="22"/>
      <w:lang w:eastAsia="en-US"/>
    </w:rPr>
  </w:style>
  <w:style w:type="character" w:customStyle="1" w:styleId="SCCLsocPartyRoleChar">
    <w:name w:val="SCC.Lsoc.PartyRole Char"/>
    <w:basedOn w:val="DefaultParagraphFont"/>
    <w:rsid w:val="00BD2464"/>
    <w:rPr>
      <w:lang w:val="en-CA"/>
    </w:rPr>
  </w:style>
  <w:style w:type="paragraph" w:customStyle="1" w:styleId="SCCLsocPrefix">
    <w:name w:val="SCC.Lsoc.Prefix"/>
    <w:basedOn w:val="Normal"/>
    <w:next w:val="Normal"/>
    <w:link w:val="SCCLsocPrefixChar"/>
    <w:rsid w:val="00BD2464"/>
    <w:rPr>
      <w:rFonts w:eastAsiaTheme="minorHAnsi" w:cstheme="minorBidi"/>
      <w:b/>
      <w:smallCaps/>
      <w:szCs w:val="24"/>
      <w:lang w:eastAsia="en-US"/>
    </w:rPr>
  </w:style>
  <w:style w:type="character" w:customStyle="1" w:styleId="SCCLsocPrefixChar">
    <w:name w:val="SCC.Lsoc.Prefix Char"/>
    <w:basedOn w:val="DefaultParagraphFont"/>
    <w:link w:val="SCCLsocPrefix"/>
    <w:rsid w:val="00BD2464"/>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10A29-F00B-4CD5-98C9-D5D708C7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27572</Words>
  <Characters>157166</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2015-04-17T14:32:00Z</dcterms:created>
  <dcterms:modified xsi:type="dcterms:W3CDTF">2015-10-02T17:44:00Z</dcterms:modified>
</cp:coreProperties>
</file>