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E1" w:rsidRDefault="002B61E1" w:rsidP="002B61E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642794" r:id="rId9"/>
        </w:object>
      </w:r>
      <w:r>
        <w:t xml:space="preserve"> </w:t>
      </w:r>
      <w:r>
        <w:ptab w:relativeTo="margin" w:alignment="right" w:leader="none"/>
      </w:r>
    </w:p>
    <w:p w:rsidR="002B61E1" w:rsidRDefault="002B61E1" w:rsidP="002B61E1">
      <w:pPr>
        <w:pStyle w:val="Header"/>
      </w:pPr>
    </w:p>
    <w:p w:rsidR="002B61E1" w:rsidRPr="001E12E2" w:rsidRDefault="002B61E1" w:rsidP="002B61E1">
      <w:pPr>
        <w:jc w:val="center"/>
        <w:rPr>
          <w:b/>
        </w:rPr>
      </w:pPr>
      <w:r w:rsidRPr="001E12E2">
        <w:rPr>
          <w:b/>
        </w:rPr>
        <w:t>COUR SUPRÊME DU CANADA</w:t>
      </w:r>
    </w:p>
    <w:p w:rsidR="002B61E1" w:rsidRDefault="002B61E1" w:rsidP="002B61E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B61E1" w:rsidRPr="001E12E2" w:rsidTr="00D675D1">
        <w:trPr>
          <w:cantSplit/>
        </w:trPr>
        <w:tc>
          <w:tcPr>
            <w:tcW w:w="6768" w:type="dxa"/>
          </w:tcPr>
          <w:p w:rsidR="002B61E1" w:rsidRPr="00B22DAE" w:rsidRDefault="002B61E1" w:rsidP="002B61E1">
            <w:pPr>
              <w:widowControl w:val="0"/>
              <w:spacing w:after="720"/>
              <w:jc w:val="both"/>
              <w:rPr>
                <w:lang w:val="en-US"/>
              </w:rPr>
            </w:pPr>
            <w:r w:rsidRPr="008A2F56">
              <w:rPr>
                <w:b/>
                <w:smallCaps/>
                <w:lang w:val="en-US"/>
              </w:rPr>
              <w:t>Référence :</w:t>
            </w:r>
            <w:r w:rsidRPr="008A2F56">
              <w:rPr>
                <w:lang w:val="en-US"/>
              </w:rPr>
              <w:t xml:space="preserve"> White Burgess </w:t>
            </w:r>
            <w:proofErr w:type="spellStart"/>
            <w:r w:rsidRPr="008A2F56">
              <w:rPr>
                <w:lang w:val="en-US"/>
              </w:rPr>
              <w:t>Langille</w:t>
            </w:r>
            <w:proofErr w:type="spellEnd"/>
            <w:r w:rsidRPr="008A2F56">
              <w:rPr>
                <w:lang w:val="en-US"/>
              </w:rPr>
              <w:t xml:space="preserve"> Inman </w:t>
            </w:r>
            <w:r w:rsidRPr="008A2F56">
              <w:rPr>
                <w:i/>
                <w:lang w:val="en-US"/>
              </w:rPr>
              <w:t>c.</w:t>
            </w:r>
            <w:r w:rsidRPr="008A2F56">
              <w:rPr>
                <w:lang w:val="en-US"/>
              </w:rPr>
              <w:t xml:space="preserve"> Abbott and Haliburton Co., 2015 CSC 23</w:t>
            </w:r>
            <w:r>
              <w:rPr>
                <w:lang w:val="en-US"/>
              </w:rPr>
              <w:t xml:space="preserve">, </w:t>
            </w:r>
            <w:r>
              <w:rPr>
                <w:lang w:val="en-US"/>
              </w:rPr>
              <w:t>[2015] 2 R.C.S. 182</w:t>
            </w:r>
          </w:p>
          <w:p w:rsidR="002B61E1" w:rsidRPr="008A2F56" w:rsidRDefault="002B61E1" w:rsidP="00D675D1">
            <w:pPr>
              <w:rPr>
                <w:lang w:val="en-US"/>
              </w:rPr>
            </w:pPr>
          </w:p>
        </w:tc>
        <w:tc>
          <w:tcPr>
            <w:tcW w:w="2808" w:type="dxa"/>
          </w:tcPr>
          <w:p w:rsidR="002B61E1" w:rsidRPr="001E12E2" w:rsidRDefault="002B61E1" w:rsidP="00D675D1">
            <w:r w:rsidRPr="001E12E2">
              <w:rPr>
                <w:b/>
                <w:smallCaps/>
              </w:rPr>
              <w:t>Date</w:t>
            </w:r>
            <w:r>
              <w:rPr>
                <w:b/>
                <w:smallCaps/>
              </w:rPr>
              <w:t> :</w:t>
            </w:r>
            <w:r w:rsidRPr="001E12E2">
              <w:t xml:space="preserve"> </w:t>
            </w:r>
            <w:r>
              <w:t>20150430</w:t>
            </w:r>
          </w:p>
          <w:p w:rsidR="002B61E1" w:rsidRPr="001E12E2" w:rsidRDefault="002B61E1" w:rsidP="00D675D1">
            <w:r w:rsidRPr="001E12E2">
              <w:rPr>
                <w:b/>
                <w:smallCaps/>
              </w:rPr>
              <w:t>Do</w:t>
            </w:r>
            <w:r>
              <w:rPr>
                <w:b/>
                <w:smallCaps/>
              </w:rPr>
              <w:t>ssier :</w:t>
            </w:r>
            <w:r w:rsidRPr="001E12E2">
              <w:t xml:space="preserve"> </w:t>
            </w:r>
            <w:r>
              <w:t>35492</w:t>
            </w:r>
          </w:p>
        </w:tc>
      </w:tr>
    </w:tbl>
    <w:p w:rsidR="002B61E1" w:rsidRDefault="002B61E1" w:rsidP="002B61E1">
      <w:pPr>
        <w:pStyle w:val="SCCLsocPrefix"/>
      </w:pPr>
      <w:r>
        <w:t>Entre :</w:t>
      </w:r>
    </w:p>
    <w:p w:rsidR="002B61E1" w:rsidRPr="002B61E1" w:rsidRDefault="002B61E1" w:rsidP="002B61E1">
      <w:pPr>
        <w:pStyle w:val="SCCLsocParty"/>
        <w:jc w:val="center"/>
        <w:rPr>
          <w:lang w:val="fr-CA"/>
        </w:rPr>
      </w:pPr>
      <w:r w:rsidRPr="002B61E1">
        <w:rPr>
          <w:lang w:val="fr-CA"/>
        </w:rPr>
        <w:t xml:space="preserve">White Burgess </w:t>
      </w:r>
      <w:proofErr w:type="spellStart"/>
      <w:r w:rsidRPr="002B61E1">
        <w:rPr>
          <w:lang w:val="fr-CA"/>
        </w:rPr>
        <w:t>Langille</w:t>
      </w:r>
      <w:proofErr w:type="spellEnd"/>
      <w:r w:rsidRPr="002B61E1">
        <w:rPr>
          <w:lang w:val="fr-CA"/>
        </w:rPr>
        <w:t xml:space="preserve"> Inman, faisant affaire sous la raison sociale</w:t>
      </w:r>
    </w:p>
    <w:p w:rsidR="002B61E1" w:rsidRPr="008A2F56" w:rsidRDefault="002B61E1" w:rsidP="002B61E1">
      <w:pPr>
        <w:pStyle w:val="SCCLsocParty"/>
        <w:jc w:val="center"/>
        <w:rPr>
          <w:lang w:val="en-US"/>
        </w:rPr>
      </w:pPr>
      <w:r w:rsidRPr="008A2F56">
        <w:rPr>
          <w:lang w:val="en-US"/>
        </w:rPr>
        <w:t xml:space="preserve">WBLI Chartered Accountants </w:t>
      </w:r>
      <w:proofErr w:type="gramStart"/>
      <w:r w:rsidRPr="008A2F56">
        <w:rPr>
          <w:lang w:val="en-US"/>
        </w:rPr>
        <w:t>et</w:t>
      </w:r>
      <w:proofErr w:type="gramEnd"/>
      <w:r w:rsidRPr="008A2F56">
        <w:rPr>
          <w:lang w:val="en-US"/>
        </w:rPr>
        <w:t xml:space="preserve"> R. Brian Burgess</w:t>
      </w:r>
    </w:p>
    <w:p w:rsidR="002B61E1" w:rsidRPr="008A2F56" w:rsidRDefault="002B61E1" w:rsidP="002B61E1">
      <w:pPr>
        <w:jc w:val="center"/>
        <w:rPr>
          <w:lang w:val="en-US"/>
        </w:rPr>
      </w:pPr>
      <w:proofErr w:type="spellStart"/>
      <w:r w:rsidRPr="008A2F56">
        <w:rPr>
          <w:lang w:val="en-US"/>
        </w:rPr>
        <w:t>Appelants</w:t>
      </w:r>
      <w:proofErr w:type="spellEnd"/>
    </w:p>
    <w:p w:rsidR="002B61E1" w:rsidRPr="002B61E1" w:rsidRDefault="002B61E1" w:rsidP="002B61E1">
      <w:pPr>
        <w:pStyle w:val="SCCLsocVersus"/>
        <w:spacing w:after="0"/>
        <w:jc w:val="center"/>
        <w:rPr>
          <w:i w:val="0"/>
          <w:lang w:val="en-US"/>
        </w:rPr>
      </w:pPr>
      <w:proofErr w:type="gramStart"/>
      <w:r w:rsidRPr="002B61E1">
        <w:rPr>
          <w:i w:val="0"/>
          <w:lang w:val="en-US"/>
        </w:rPr>
        <w:t>et</w:t>
      </w:r>
      <w:proofErr w:type="gramEnd"/>
    </w:p>
    <w:p w:rsidR="002B61E1" w:rsidRPr="008A2F56" w:rsidRDefault="002B61E1" w:rsidP="002B61E1">
      <w:pPr>
        <w:pStyle w:val="SCCLsocParty"/>
        <w:jc w:val="center"/>
        <w:rPr>
          <w:lang w:val="en-US"/>
        </w:rPr>
      </w:pPr>
      <w:r w:rsidRPr="008A2F56">
        <w:rPr>
          <w:lang w:val="en-US"/>
        </w:rPr>
        <w:t>Abbott and Haliburton Company Limited,</w:t>
      </w:r>
    </w:p>
    <w:p w:rsidR="002B61E1" w:rsidRPr="008A2F56" w:rsidRDefault="002B61E1" w:rsidP="002B61E1">
      <w:pPr>
        <w:pStyle w:val="SCCLsocParty"/>
        <w:jc w:val="center"/>
        <w:rPr>
          <w:lang w:val="en-US"/>
        </w:rPr>
      </w:pPr>
      <w:r w:rsidRPr="008A2F56">
        <w:rPr>
          <w:lang w:val="en-US"/>
        </w:rPr>
        <w:t>A.W. Allen &amp; Son Limited, Berwick Building Supplies Limited,</w:t>
      </w:r>
    </w:p>
    <w:p w:rsidR="002B61E1" w:rsidRPr="008A2F56" w:rsidRDefault="002B61E1" w:rsidP="002B61E1">
      <w:pPr>
        <w:pStyle w:val="SCCLsocParty"/>
        <w:jc w:val="center"/>
        <w:rPr>
          <w:lang w:val="en-US"/>
        </w:rPr>
      </w:pPr>
      <w:r w:rsidRPr="008A2F56">
        <w:rPr>
          <w:lang w:val="en-US"/>
        </w:rPr>
        <w:t xml:space="preserve">Bishop’s Falls Building Supplies Limited, Arthur Boudreau &amp; </w:t>
      </w:r>
      <w:proofErr w:type="spellStart"/>
      <w:r w:rsidRPr="008A2F56">
        <w:rPr>
          <w:lang w:val="en-US"/>
        </w:rPr>
        <w:t>Fils</w:t>
      </w:r>
      <w:proofErr w:type="spellEnd"/>
      <w:r w:rsidRPr="008A2F56">
        <w:rPr>
          <w:lang w:val="en-US"/>
        </w:rPr>
        <w:t xml:space="preserve"> </w:t>
      </w:r>
      <w:proofErr w:type="spellStart"/>
      <w:r w:rsidRPr="008A2F56">
        <w:rPr>
          <w:lang w:val="en-US"/>
        </w:rPr>
        <w:t>Ltée</w:t>
      </w:r>
      <w:proofErr w:type="spellEnd"/>
      <w:r w:rsidRPr="008A2F56">
        <w:rPr>
          <w:lang w:val="en-US"/>
        </w:rPr>
        <w:t>,</w:t>
      </w:r>
    </w:p>
    <w:p w:rsidR="002B61E1" w:rsidRPr="008A2F56" w:rsidRDefault="002B61E1" w:rsidP="002B61E1">
      <w:pPr>
        <w:pStyle w:val="SCCLsocParty"/>
        <w:jc w:val="center"/>
        <w:rPr>
          <w:lang w:val="en-US"/>
        </w:rPr>
      </w:pPr>
      <w:r w:rsidRPr="008A2F56">
        <w:rPr>
          <w:lang w:val="en-US"/>
        </w:rPr>
        <w:t xml:space="preserve">Brennan Contractors &amp; Supplies Ltd., F. J. </w:t>
      </w:r>
      <w:proofErr w:type="spellStart"/>
      <w:r w:rsidRPr="008A2F56">
        <w:rPr>
          <w:lang w:val="en-US"/>
        </w:rPr>
        <w:t>Brideau</w:t>
      </w:r>
      <w:proofErr w:type="spellEnd"/>
      <w:r w:rsidRPr="008A2F56">
        <w:rPr>
          <w:lang w:val="en-US"/>
        </w:rPr>
        <w:t xml:space="preserve"> &amp; </w:t>
      </w:r>
      <w:proofErr w:type="spellStart"/>
      <w:r w:rsidRPr="008A2F56">
        <w:rPr>
          <w:lang w:val="en-US"/>
        </w:rPr>
        <w:t>Fils</w:t>
      </w:r>
      <w:proofErr w:type="spellEnd"/>
      <w:r w:rsidRPr="008A2F56">
        <w:rPr>
          <w:lang w:val="en-US"/>
        </w:rPr>
        <w:t xml:space="preserve"> </w:t>
      </w:r>
      <w:proofErr w:type="spellStart"/>
      <w:r w:rsidRPr="008A2F56">
        <w:rPr>
          <w:lang w:val="en-US"/>
        </w:rPr>
        <w:t>Limitée</w:t>
      </w:r>
      <w:proofErr w:type="spellEnd"/>
      <w:r w:rsidRPr="008A2F56">
        <w:rPr>
          <w:lang w:val="en-US"/>
        </w:rPr>
        <w:t>, Cabot Building Supplies Company (1988) Limited, Robert Churchill Building Supplies Limited,</w:t>
      </w:r>
    </w:p>
    <w:p w:rsidR="002B61E1" w:rsidRPr="008A2F56" w:rsidRDefault="002B61E1" w:rsidP="002B61E1">
      <w:pPr>
        <w:pStyle w:val="SCCLsocParty"/>
        <w:jc w:val="center"/>
        <w:rPr>
          <w:lang w:val="en-US"/>
        </w:rPr>
      </w:pPr>
      <w:r w:rsidRPr="008A2F56">
        <w:rPr>
          <w:lang w:val="en-US"/>
        </w:rPr>
        <w:t xml:space="preserve">CDL Holdings Limited, </w:t>
      </w:r>
      <w:proofErr w:type="spellStart"/>
      <w:r w:rsidRPr="008A2F56">
        <w:rPr>
          <w:lang w:val="en-US"/>
        </w:rPr>
        <w:t>auparavant</w:t>
      </w:r>
      <w:proofErr w:type="spellEnd"/>
      <w:r w:rsidRPr="008A2F56">
        <w:rPr>
          <w:lang w:val="en-US"/>
        </w:rPr>
        <w:t xml:space="preserve"> Ch</w:t>
      </w:r>
      <w:bookmarkStart w:id="0" w:name="_GoBack"/>
      <w:bookmarkEnd w:id="0"/>
      <w:r w:rsidRPr="008A2F56">
        <w:rPr>
          <w:lang w:val="en-US"/>
        </w:rPr>
        <w:t xml:space="preserve">ester Dawe Limited, Fraser Supplies (1980) Ltd., R. D. Gillis Building Supplies Limited, </w:t>
      </w:r>
      <w:proofErr w:type="spellStart"/>
      <w:r w:rsidRPr="008A2F56">
        <w:rPr>
          <w:lang w:val="en-US"/>
        </w:rPr>
        <w:t>Yvon</w:t>
      </w:r>
      <w:proofErr w:type="spellEnd"/>
      <w:r w:rsidRPr="008A2F56">
        <w:rPr>
          <w:lang w:val="en-US"/>
        </w:rPr>
        <w:t xml:space="preserve"> Godin Ltd., Truro Wood Industries Limited/Home Care Properties Limited, Hann’s Hardware and Sporting Goods Limited, </w:t>
      </w:r>
      <w:proofErr w:type="spellStart"/>
      <w:r w:rsidRPr="008A2F56">
        <w:rPr>
          <w:lang w:val="en-US"/>
        </w:rPr>
        <w:t>Harbour</w:t>
      </w:r>
      <w:proofErr w:type="spellEnd"/>
      <w:r w:rsidRPr="008A2F56">
        <w:rPr>
          <w:lang w:val="en-US"/>
        </w:rPr>
        <w:t xml:space="preserve"> Breton Building Supplies Limited, Hillier’s Trades Limited, </w:t>
      </w:r>
      <w:proofErr w:type="spellStart"/>
      <w:r w:rsidRPr="008A2F56">
        <w:rPr>
          <w:lang w:val="en-US"/>
        </w:rPr>
        <w:t>Hubcraft</w:t>
      </w:r>
      <w:proofErr w:type="spellEnd"/>
      <w:r w:rsidRPr="008A2F56">
        <w:rPr>
          <w:lang w:val="en-US"/>
        </w:rPr>
        <w:t xml:space="preserve"> Building Supplies Limited, </w:t>
      </w:r>
      <w:proofErr w:type="spellStart"/>
      <w:r w:rsidRPr="008A2F56">
        <w:rPr>
          <w:lang w:val="en-US"/>
        </w:rPr>
        <w:t>Lumbermart</w:t>
      </w:r>
      <w:proofErr w:type="spellEnd"/>
      <w:r w:rsidRPr="008A2F56">
        <w:rPr>
          <w:lang w:val="en-US"/>
        </w:rPr>
        <w:t xml:space="preserve"> Limited, Maple Leaf Farm Supplies Limited, S.W. Mifflin Ltd., </w:t>
      </w:r>
      <w:proofErr w:type="spellStart"/>
      <w:r w:rsidRPr="008A2F56">
        <w:rPr>
          <w:lang w:val="en-US"/>
        </w:rPr>
        <w:t>Nauss</w:t>
      </w:r>
      <w:proofErr w:type="spellEnd"/>
      <w:r w:rsidRPr="008A2F56">
        <w:rPr>
          <w:lang w:val="en-US"/>
        </w:rPr>
        <w:t xml:space="preserve"> Brothers Limited, O’Leary Farmers’ Co-operative </w:t>
      </w:r>
      <w:proofErr w:type="spellStart"/>
      <w:r w:rsidRPr="008A2F56">
        <w:rPr>
          <w:lang w:val="en-US"/>
        </w:rPr>
        <w:t>Ass’n</w:t>
      </w:r>
      <w:proofErr w:type="spellEnd"/>
      <w:r w:rsidRPr="008A2F56">
        <w:rPr>
          <w:lang w:val="en-US"/>
        </w:rPr>
        <w:t xml:space="preserve">. Ltd., </w:t>
      </w:r>
      <w:proofErr w:type="spellStart"/>
      <w:r w:rsidRPr="008A2F56">
        <w:rPr>
          <w:lang w:val="en-US"/>
        </w:rPr>
        <w:t>Pellerin</w:t>
      </w:r>
      <w:proofErr w:type="spellEnd"/>
      <w:r w:rsidRPr="008A2F56">
        <w:rPr>
          <w:lang w:val="en-US"/>
        </w:rPr>
        <w:t xml:space="preserve"> Building Supplies Inc., Pleasant Supplies Incorporated, J. I. Pritchett &amp; Sons Limited, Centre Multi-Décor de </w:t>
      </w:r>
      <w:proofErr w:type="spellStart"/>
      <w:r w:rsidRPr="008A2F56">
        <w:rPr>
          <w:lang w:val="en-US"/>
        </w:rPr>
        <w:t>Richibucto</w:t>
      </w:r>
      <w:proofErr w:type="spellEnd"/>
      <w:r w:rsidRPr="008A2F56">
        <w:rPr>
          <w:lang w:val="en-US"/>
        </w:rPr>
        <w:t xml:space="preserve"> </w:t>
      </w:r>
      <w:proofErr w:type="spellStart"/>
      <w:r w:rsidRPr="008A2F56">
        <w:rPr>
          <w:lang w:val="en-US"/>
        </w:rPr>
        <w:t>Ltée</w:t>
      </w:r>
      <w:proofErr w:type="spellEnd"/>
      <w:r w:rsidRPr="008A2F56">
        <w:rPr>
          <w:lang w:val="en-US"/>
        </w:rPr>
        <w:t xml:space="preserve">, U. J. </w:t>
      </w:r>
      <w:proofErr w:type="spellStart"/>
      <w:r w:rsidRPr="008A2F56">
        <w:rPr>
          <w:lang w:val="en-US"/>
        </w:rPr>
        <w:t>Robichaud</w:t>
      </w:r>
      <w:proofErr w:type="spellEnd"/>
      <w:r w:rsidRPr="008A2F56">
        <w:rPr>
          <w:lang w:val="en-US"/>
        </w:rPr>
        <w:t xml:space="preserve"> &amp; Sons Woodworkers Limited, </w:t>
      </w:r>
      <w:proofErr w:type="spellStart"/>
      <w:r w:rsidRPr="008A2F56">
        <w:rPr>
          <w:lang w:val="en-US"/>
        </w:rPr>
        <w:t>Quincaillerie</w:t>
      </w:r>
      <w:proofErr w:type="spellEnd"/>
      <w:r w:rsidRPr="008A2F56">
        <w:rPr>
          <w:lang w:val="en-US"/>
        </w:rPr>
        <w:t xml:space="preserve"> Saint-Louis </w:t>
      </w:r>
      <w:proofErr w:type="spellStart"/>
      <w:r w:rsidRPr="008A2F56">
        <w:rPr>
          <w:lang w:val="en-US"/>
        </w:rPr>
        <w:t>Ltée</w:t>
      </w:r>
      <w:proofErr w:type="spellEnd"/>
      <w:r w:rsidRPr="008A2F56">
        <w:rPr>
          <w:lang w:val="en-US"/>
        </w:rPr>
        <w:t xml:space="preserve">, R &amp; J </w:t>
      </w:r>
      <w:proofErr w:type="spellStart"/>
      <w:r w:rsidRPr="008A2F56">
        <w:rPr>
          <w:lang w:val="en-US"/>
        </w:rPr>
        <w:t>Swinamer’s</w:t>
      </w:r>
      <w:proofErr w:type="spellEnd"/>
      <w:r w:rsidRPr="008A2F56">
        <w:rPr>
          <w:lang w:val="en-US"/>
        </w:rPr>
        <w:t xml:space="preserve"> Supplies Limited, 508686 N.B. INC. </w:t>
      </w:r>
      <w:proofErr w:type="spellStart"/>
      <w:r w:rsidRPr="008A2F56">
        <w:rPr>
          <w:lang w:val="en-US"/>
        </w:rPr>
        <w:t>faisant</w:t>
      </w:r>
      <w:proofErr w:type="spellEnd"/>
      <w:r w:rsidRPr="008A2F56">
        <w:rPr>
          <w:lang w:val="en-US"/>
        </w:rPr>
        <w:t xml:space="preserve"> affaire sous la raison </w:t>
      </w:r>
      <w:proofErr w:type="spellStart"/>
      <w:r w:rsidRPr="008A2F56">
        <w:rPr>
          <w:lang w:val="en-US"/>
        </w:rPr>
        <w:t>sociale</w:t>
      </w:r>
      <w:proofErr w:type="spellEnd"/>
      <w:r w:rsidRPr="008A2F56">
        <w:rPr>
          <w:lang w:val="en-US"/>
        </w:rPr>
        <w:t xml:space="preserve"> T.N.T. Insulation and Building Supplies, Taylor Lumber and Building Supplies Limited, Two by Four Lumber Sales Ltd., </w:t>
      </w:r>
      <w:proofErr w:type="spellStart"/>
      <w:r w:rsidRPr="008A2F56">
        <w:rPr>
          <w:lang w:val="en-US"/>
        </w:rPr>
        <w:t>Walbourne</w:t>
      </w:r>
      <w:proofErr w:type="spellEnd"/>
      <w:r w:rsidRPr="008A2F56">
        <w:rPr>
          <w:lang w:val="en-US"/>
        </w:rPr>
        <w:t xml:space="preserve"> Enterprises Ltd., Western Bay Hardware Limited, White’s Construction Limited,</w:t>
      </w:r>
    </w:p>
    <w:p w:rsidR="002B61E1" w:rsidRPr="008A2F56" w:rsidRDefault="002B61E1" w:rsidP="002B61E1">
      <w:pPr>
        <w:pStyle w:val="SCCLsocParty"/>
        <w:jc w:val="center"/>
        <w:rPr>
          <w:lang w:val="en-US"/>
        </w:rPr>
      </w:pPr>
      <w:r w:rsidRPr="008A2F56">
        <w:rPr>
          <w:lang w:val="en-US"/>
        </w:rPr>
        <w:t xml:space="preserve">D. J. Williams and Sons Limited </w:t>
      </w:r>
      <w:proofErr w:type="gramStart"/>
      <w:r w:rsidRPr="008A2F56">
        <w:rPr>
          <w:lang w:val="en-US"/>
        </w:rPr>
        <w:t>et</w:t>
      </w:r>
      <w:proofErr w:type="gramEnd"/>
      <w:r w:rsidRPr="008A2F56">
        <w:rPr>
          <w:lang w:val="en-US"/>
        </w:rPr>
        <w:t xml:space="preserve"> Woodland Building Supplies Limited</w:t>
      </w:r>
    </w:p>
    <w:p w:rsidR="002B61E1" w:rsidRPr="002B61E1" w:rsidRDefault="002B61E1" w:rsidP="002B61E1">
      <w:pPr>
        <w:jc w:val="center"/>
        <w:rPr>
          <w:lang w:val="fr-CA"/>
        </w:rPr>
      </w:pPr>
      <w:r w:rsidRPr="002B61E1">
        <w:rPr>
          <w:lang w:val="fr-CA"/>
        </w:rPr>
        <w:t>Intimés</w:t>
      </w:r>
    </w:p>
    <w:p w:rsidR="002B61E1" w:rsidRPr="002B61E1" w:rsidRDefault="002B61E1" w:rsidP="002B61E1">
      <w:pPr>
        <w:pStyle w:val="SCCLsocOtherPartySeparator"/>
        <w:spacing w:after="0"/>
        <w:jc w:val="center"/>
        <w:rPr>
          <w:lang w:val="fr-CA"/>
        </w:rPr>
      </w:pPr>
      <w:r w:rsidRPr="002B61E1">
        <w:rPr>
          <w:lang w:val="fr-CA"/>
        </w:rPr>
        <w:t>- et -</w:t>
      </w:r>
    </w:p>
    <w:p w:rsidR="002B61E1" w:rsidRPr="002B61E1" w:rsidRDefault="002B61E1" w:rsidP="002B61E1">
      <w:pPr>
        <w:pStyle w:val="SCCLsocParty"/>
        <w:jc w:val="center"/>
        <w:rPr>
          <w:lang w:val="fr-CA"/>
        </w:rPr>
      </w:pPr>
      <w:r w:rsidRPr="002B61E1">
        <w:rPr>
          <w:lang w:val="fr-CA"/>
        </w:rPr>
        <w:t xml:space="preserve">Procureur général du Canada et </w:t>
      </w:r>
      <w:proofErr w:type="spellStart"/>
      <w:r w:rsidRPr="002B61E1">
        <w:rPr>
          <w:lang w:val="fr-CA"/>
        </w:rPr>
        <w:t>Criminal</w:t>
      </w:r>
      <w:proofErr w:type="spellEnd"/>
      <w:r w:rsidRPr="002B61E1">
        <w:rPr>
          <w:lang w:val="fr-CA"/>
        </w:rPr>
        <w:t xml:space="preserve"> </w:t>
      </w:r>
      <w:proofErr w:type="spellStart"/>
      <w:r w:rsidRPr="002B61E1">
        <w:rPr>
          <w:lang w:val="fr-CA"/>
        </w:rPr>
        <w:t>Lawyers</w:t>
      </w:r>
      <w:proofErr w:type="spellEnd"/>
      <w:r w:rsidRPr="002B61E1">
        <w:rPr>
          <w:lang w:val="fr-CA"/>
        </w:rPr>
        <w:t>’ Association (Ontario)</w:t>
      </w:r>
    </w:p>
    <w:p w:rsidR="002B61E1" w:rsidRDefault="002B61E1" w:rsidP="002B61E1">
      <w:pPr>
        <w:jc w:val="center"/>
      </w:pPr>
      <w:proofErr w:type="spellStart"/>
      <w:r>
        <w:t>Intervenants</w:t>
      </w:r>
      <w:proofErr w:type="spellEnd"/>
    </w:p>
    <w:p w:rsidR="002B61E1" w:rsidRDefault="002B61E1" w:rsidP="002B61E1"/>
    <w:p w:rsidR="002B61E1" w:rsidRPr="002B61E1" w:rsidRDefault="002B61E1" w:rsidP="002B61E1">
      <w:pPr>
        <w:jc w:val="center"/>
        <w:rPr>
          <w:b/>
          <w:smallCaps/>
          <w:lang w:val="fr-CA"/>
        </w:rPr>
      </w:pPr>
      <w:r w:rsidRPr="002B61E1">
        <w:rPr>
          <w:b/>
          <w:smallCaps/>
          <w:lang w:val="fr-CA"/>
        </w:rPr>
        <w:t>Traduction française officielle</w:t>
      </w:r>
    </w:p>
    <w:p w:rsidR="002B61E1" w:rsidRPr="002B61E1" w:rsidRDefault="002B61E1" w:rsidP="002B61E1">
      <w:pPr>
        <w:rPr>
          <w:lang w:val="fr-CA"/>
        </w:rPr>
      </w:pPr>
    </w:p>
    <w:p w:rsidR="002B61E1" w:rsidRPr="002B61E1" w:rsidRDefault="002B61E1" w:rsidP="002B61E1">
      <w:pPr>
        <w:rPr>
          <w:lang w:val="fr-CA"/>
        </w:rPr>
      </w:pPr>
      <w:r w:rsidRPr="002B61E1">
        <w:rPr>
          <w:b/>
          <w:smallCaps/>
          <w:lang w:val="fr-CA"/>
        </w:rPr>
        <w:lastRenderedPageBreak/>
        <w:t>Coram :</w:t>
      </w:r>
      <w:r w:rsidRPr="002B61E1">
        <w:rPr>
          <w:lang w:val="fr-CA"/>
        </w:rPr>
        <w:t xml:space="preserve"> La juge en chef </w:t>
      </w:r>
      <w:proofErr w:type="spellStart"/>
      <w:r w:rsidRPr="002B61E1">
        <w:rPr>
          <w:lang w:val="fr-CA"/>
        </w:rPr>
        <w:t>McLachlin</w:t>
      </w:r>
      <w:proofErr w:type="spellEnd"/>
      <w:r w:rsidRPr="002B61E1">
        <w:rPr>
          <w:lang w:val="fr-CA"/>
        </w:rPr>
        <w:t xml:space="preserve"> et les juges Abella, </w:t>
      </w:r>
      <w:proofErr w:type="spellStart"/>
      <w:r w:rsidRPr="002B61E1">
        <w:rPr>
          <w:lang w:val="fr-CA"/>
        </w:rPr>
        <w:t>Rothstein</w:t>
      </w:r>
      <w:proofErr w:type="spellEnd"/>
      <w:r w:rsidRPr="002B61E1">
        <w:rPr>
          <w:lang w:val="fr-CA"/>
        </w:rPr>
        <w:t xml:space="preserve">, Cromwell, </w:t>
      </w:r>
      <w:proofErr w:type="spellStart"/>
      <w:r w:rsidRPr="002B61E1">
        <w:rPr>
          <w:lang w:val="fr-CA"/>
        </w:rPr>
        <w:t>Moldaver</w:t>
      </w:r>
      <w:proofErr w:type="spellEnd"/>
      <w:r w:rsidRPr="002B61E1">
        <w:rPr>
          <w:lang w:val="fr-CA"/>
        </w:rPr>
        <w:t>, Wagner et Gascon</w:t>
      </w:r>
    </w:p>
    <w:p w:rsidR="002B61E1" w:rsidRPr="002B61E1" w:rsidRDefault="002B61E1" w:rsidP="002B61E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B61E1" w:rsidRPr="002B61E1" w:rsidTr="00D675D1">
        <w:trPr>
          <w:cantSplit/>
        </w:trPr>
        <w:tc>
          <w:tcPr>
            <w:tcW w:w="3618" w:type="dxa"/>
          </w:tcPr>
          <w:p w:rsidR="002B61E1" w:rsidRPr="002B61E1" w:rsidRDefault="002B61E1" w:rsidP="00D675D1">
            <w:pPr>
              <w:rPr>
                <w:b/>
                <w:smallCaps/>
                <w:lang w:val="fr-CA"/>
              </w:rPr>
            </w:pPr>
            <w:r w:rsidRPr="002B61E1">
              <w:rPr>
                <w:b/>
                <w:smallCaps/>
                <w:lang w:val="fr-CA"/>
              </w:rPr>
              <w:t>Motifs de jugement :</w:t>
            </w:r>
          </w:p>
          <w:p w:rsidR="002B61E1" w:rsidRPr="002B61E1" w:rsidRDefault="002B61E1" w:rsidP="00D675D1">
            <w:pPr>
              <w:rPr>
                <w:lang w:val="fr-CA"/>
              </w:rPr>
            </w:pPr>
            <w:r w:rsidRPr="002B61E1">
              <w:rPr>
                <w:lang w:val="fr-CA"/>
              </w:rPr>
              <w:t>(par. 1 à 63)</w:t>
            </w:r>
          </w:p>
        </w:tc>
        <w:tc>
          <w:tcPr>
            <w:tcW w:w="5958" w:type="dxa"/>
          </w:tcPr>
          <w:p w:rsidR="002B61E1" w:rsidRPr="002B61E1" w:rsidRDefault="002B61E1" w:rsidP="00D675D1">
            <w:pPr>
              <w:rPr>
                <w:lang w:val="fr-CA"/>
              </w:rPr>
            </w:pPr>
            <w:r w:rsidRPr="002B61E1">
              <w:rPr>
                <w:lang w:val="fr-CA"/>
              </w:rPr>
              <w:t xml:space="preserve">Le juge Cromwell (avec l’accord de la juge en chef </w:t>
            </w:r>
            <w:proofErr w:type="spellStart"/>
            <w:r w:rsidRPr="002B61E1">
              <w:rPr>
                <w:lang w:val="fr-CA"/>
              </w:rPr>
              <w:t>McLachlin</w:t>
            </w:r>
            <w:proofErr w:type="spellEnd"/>
            <w:r w:rsidRPr="002B61E1">
              <w:rPr>
                <w:lang w:val="fr-CA"/>
              </w:rPr>
              <w:t xml:space="preserve"> et des juges Abella, </w:t>
            </w:r>
            <w:proofErr w:type="spellStart"/>
            <w:r w:rsidRPr="002B61E1">
              <w:rPr>
                <w:lang w:val="fr-CA"/>
              </w:rPr>
              <w:t>Rothstein</w:t>
            </w:r>
            <w:proofErr w:type="spellEnd"/>
            <w:r w:rsidRPr="002B61E1">
              <w:rPr>
                <w:lang w:val="fr-CA"/>
              </w:rPr>
              <w:t xml:space="preserve">, </w:t>
            </w:r>
            <w:proofErr w:type="spellStart"/>
            <w:r w:rsidRPr="002B61E1">
              <w:rPr>
                <w:lang w:val="fr-CA"/>
              </w:rPr>
              <w:t>Moldaver</w:t>
            </w:r>
            <w:proofErr w:type="spellEnd"/>
            <w:r w:rsidRPr="002B61E1">
              <w:rPr>
                <w:lang w:val="fr-CA"/>
              </w:rPr>
              <w:t>, Wagner et Gascon)</w:t>
            </w:r>
          </w:p>
        </w:tc>
      </w:tr>
    </w:tbl>
    <w:p w:rsidR="002B61E1" w:rsidRPr="002B61E1" w:rsidRDefault="002B61E1" w:rsidP="002B61E1">
      <w:pPr>
        <w:rPr>
          <w:lang w:val="fr-CA"/>
        </w:rPr>
      </w:pPr>
    </w:p>
    <w:p w:rsidR="002B61E1" w:rsidRPr="002B61E1" w:rsidRDefault="002B61E1" w:rsidP="002B61E1">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2B61E1" w:rsidRPr="002B61E1" w:rsidRDefault="002B61E1" w:rsidP="001F4CC4">
      <w:pPr>
        <w:widowControl w:val="0"/>
        <w:spacing w:after="720"/>
        <w:jc w:val="both"/>
        <w:rPr>
          <w:lang w:val="fr-CA"/>
        </w:rPr>
      </w:pPr>
    </w:p>
    <w:p w:rsidR="004D7D95" w:rsidRPr="00B22DAE" w:rsidRDefault="00B22DAE" w:rsidP="001F4CC4">
      <w:pPr>
        <w:widowControl w:val="0"/>
        <w:spacing w:after="720"/>
        <w:jc w:val="both"/>
        <w:rPr>
          <w:lang w:val="en-US"/>
        </w:rPr>
      </w:pPr>
      <w:r w:rsidRPr="00B22DAE">
        <w:rPr>
          <w:lang w:val="en-US"/>
        </w:rPr>
        <w:t xml:space="preserve">White Burgess </w:t>
      </w:r>
      <w:proofErr w:type="spellStart"/>
      <w:r w:rsidRPr="00B22DAE">
        <w:rPr>
          <w:lang w:val="en-US"/>
        </w:rPr>
        <w:t>Langille</w:t>
      </w:r>
      <w:proofErr w:type="spellEnd"/>
      <w:r w:rsidRPr="00B22DAE">
        <w:rPr>
          <w:lang w:val="en-US"/>
        </w:rPr>
        <w:t xml:space="preserve"> Inman </w:t>
      </w:r>
      <w:r w:rsidRPr="00B22DAE">
        <w:rPr>
          <w:i/>
          <w:lang w:val="en-US"/>
        </w:rPr>
        <w:t>c.</w:t>
      </w:r>
      <w:r w:rsidRPr="00B22DAE">
        <w:rPr>
          <w:lang w:val="en-US"/>
        </w:rPr>
        <w:t xml:space="preserve"> Abbott and Haliburton Co.</w:t>
      </w:r>
      <w:r>
        <w:rPr>
          <w:lang w:val="en-US"/>
        </w:rPr>
        <w:t xml:space="preserve">, </w:t>
      </w:r>
      <w:r w:rsidRPr="00B22DAE">
        <w:rPr>
          <w:lang w:val="en-US"/>
        </w:rPr>
        <w:t>2015 CSC 23</w:t>
      </w:r>
      <w:r>
        <w:rPr>
          <w:lang w:val="en-US"/>
        </w:rPr>
        <w:t>, [2015] 2 R.C.S. 182</w:t>
      </w:r>
    </w:p>
    <w:p w:rsidR="00746626" w:rsidRPr="00C60592" w:rsidRDefault="001075BA" w:rsidP="001F4CC4">
      <w:pPr>
        <w:pStyle w:val="SCCLsocParty"/>
        <w:widowControl w:val="0"/>
        <w:rPr>
          <w:lang w:val="fr-CA"/>
        </w:rPr>
      </w:pPr>
      <w:r w:rsidRPr="00C60592">
        <w:rPr>
          <w:lang w:val="fr-CA"/>
        </w:rPr>
        <w:t xml:space="preserve">White Burgess </w:t>
      </w:r>
      <w:proofErr w:type="spellStart"/>
      <w:r w:rsidRPr="00C60592">
        <w:rPr>
          <w:lang w:val="fr-CA"/>
        </w:rPr>
        <w:t>Langille</w:t>
      </w:r>
      <w:proofErr w:type="spellEnd"/>
      <w:r w:rsidRPr="00C60592">
        <w:rPr>
          <w:lang w:val="fr-CA"/>
        </w:rPr>
        <w:t xml:space="preserve"> Inman, faisant affaire sous </w:t>
      </w:r>
    </w:p>
    <w:p w:rsidR="00E1357A" w:rsidRPr="00C60592" w:rsidRDefault="001075BA" w:rsidP="001F4CC4">
      <w:pPr>
        <w:pStyle w:val="SCCLsocParty"/>
        <w:widowControl w:val="0"/>
        <w:rPr>
          <w:lang w:val="fr-CA"/>
        </w:rPr>
      </w:pPr>
      <w:proofErr w:type="gramStart"/>
      <w:r w:rsidRPr="00C60592">
        <w:rPr>
          <w:lang w:val="fr-CA"/>
        </w:rPr>
        <w:t>l</w:t>
      </w:r>
      <w:r w:rsidR="006E464B" w:rsidRPr="00C60592">
        <w:rPr>
          <w:lang w:val="fr-CA"/>
        </w:rPr>
        <w:t>a</w:t>
      </w:r>
      <w:proofErr w:type="gramEnd"/>
      <w:r w:rsidRPr="00C60592">
        <w:rPr>
          <w:lang w:val="fr-CA"/>
        </w:rPr>
        <w:t xml:space="preserve"> </w:t>
      </w:r>
      <w:r w:rsidR="006E464B" w:rsidRPr="00C60592">
        <w:rPr>
          <w:lang w:val="fr-CA"/>
        </w:rPr>
        <w:t>raison sociale</w:t>
      </w:r>
      <w:r w:rsidRPr="00C60592">
        <w:rPr>
          <w:lang w:val="fr-CA"/>
        </w:rPr>
        <w:t xml:space="preserve"> WBLI </w:t>
      </w:r>
      <w:proofErr w:type="spellStart"/>
      <w:r w:rsidRPr="00C60592">
        <w:rPr>
          <w:lang w:val="fr-CA"/>
        </w:rPr>
        <w:t>Chartered</w:t>
      </w:r>
      <w:proofErr w:type="spellEnd"/>
      <w:r w:rsidRPr="00C60592">
        <w:rPr>
          <w:lang w:val="fr-CA"/>
        </w:rPr>
        <w:t xml:space="preserve"> </w:t>
      </w:r>
      <w:proofErr w:type="spellStart"/>
      <w:r w:rsidRPr="00C60592">
        <w:rPr>
          <w:lang w:val="fr-CA"/>
        </w:rPr>
        <w:t>Accountants</w:t>
      </w:r>
      <w:proofErr w:type="spellEnd"/>
      <w:r w:rsidR="00746626" w:rsidRPr="00C60592">
        <w:rPr>
          <w:lang w:val="fr-CA"/>
        </w:rPr>
        <w:t xml:space="preserve"> et </w:t>
      </w:r>
    </w:p>
    <w:p w:rsidR="00E1357A" w:rsidRPr="00C60592" w:rsidRDefault="001D0F24" w:rsidP="001F4CC4">
      <w:pPr>
        <w:pStyle w:val="SCCLsocLastPartyInRole"/>
        <w:widowControl w:val="0"/>
      </w:pPr>
      <w:r w:rsidRPr="00C60592">
        <w:t>R.</w:t>
      </w:r>
      <w:r w:rsidR="001F4CC4">
        <w:t xml:space="preserve"> </w:t>
      </w:r>
      <w:r w:rsidR="001075BA" w:rsidRPr="00C60592">
        <w:t>Brian Burgess</w:t>
      </w:r>
      <w:r w:rsidR="00B27AE9" w:rsidRPr="00C60592">
        <w:rPr>
          <w:rStyle w:val="SCCLsocPartyRole"/>
        </w:rPr>
        <w:tab/>
      </w:r>
      <w:proofErr w:type="spellStart"/>
      <w:r w:rsidR="00B27AE9" w:rsidRPr="00C60592">
        <w:rPr>
          <w:rStyle w:val="SCCLsocPartyRole"/>
        </w:rPr>
        <w:t>Appelant</w:t>
      </w:r>
      <w:r w:rsidR="001075BA" w:rsidRPr="00C60592">
        <w:rPr>
          <w:rStyle w:val="SCCLsocPartyRole"/>
        </w:rPr>
        <w:t>s</w:t>
      </w:r>
      <w:proofErr w:type="spellEnd"/>
    </w:p>
    <w:p w:rsidR="00E1357A" w:rsidRPr="00C60592" w:rsidRDefault="001075BA" w:rsidP="001F4CC4">
      <w:pPr>
        <w:pStyle w:val="SCCLsocVersus"/>
        <w:widowControl w:val="0"/>
      </w:pPr>
      <w:proofErr w:type="gramStart"/>
      <w:r w:rsidRPr="00C60592">
        <w:t>c</w:t>
      </w:r>
      <w:proofErr w:type="gramEnd"/>
      <w:r w:rsidRPr="00C60592">
        <w:t>.</w:t>
      </w:r>
    </w:p>
    <w:p w:rsidR="00B27AE9" w:rsidRPr="00C60592" w:rsidRDefault="001075BA" w:rsidP="001F4CC4">
      <w:pPr>
        <w:pStyle w:val="SCCLsocParty"/>
        <w:widowControl w:val="0"/>
      </w:pPr>
      <w:r w:rsidRPr="00C60592">
        <w:t>Abbott and Haliburton Company Limited,</w:t>
      </w:r>
      <w:r w:rsidR="00B27AE9" w:rsidRPr="00C60592">
        <w:t xml:space="preserve"> </w:t>
      </w:r>
      <w:r w:rsidRPr="00C60592">
        <w:t xml:space="preserve">A.W. Allen &amp; Son </w:t>
      </w:r>
    </w:p>
    <w:p w:rsidR="00B27AE9" w:rsidRPr="00C60592" w:rsidRDefault="001075BA" w:rsidP="001F4CC4">
      <w:pPr>
        <w:pStyle w:val="SCCLsocParty"/>
        <w:widowControl w:val="0"/>
      </w:pPr>
      <w:r w:rsidRPr="00C60592">
        <w:t xml:space="preserve">Limited, Berwick Building Supplies Limited, Bishop’s </w:t>
      </w:r>
      <w:proofErr w:type="gramStart"/>
      <w:r w:rsidRPr="00C60592">
        <w:t>Falls</w:t>
      </w:r>
      <w:proofErr w:type="gramEnd"/>
      <w:r w:rsidRPr="00C60592">
        <w:t xml:space="preserve"> </w:t>
      </w:r>
    </w:p>
    <w:p w:rsidR="00B27AE9" w:rsidRPr="00C60592" w:rsidRDefault="001075BA" w:rsidP="001F4CC4">
      <w:pPr>
        <w:pStyle w:val="SCCLsocParty"/>
        <w:widowControl w:val="0"/>
        <w:rPr>
          <w:lang w:val="en-US"/>
        </w:rPr>
      </w:pPr>
      <w:r w:rsidRPr="00C60592">
        <w:t>Building Supplies Limited,</w:t>
      </w:r>
      <w:r w:rsidR="00B27AE9" w:rsidRPr="00C60592">
        <w:t xml:space="preserve"> </w:t>
      </w:r>
      <w:r w:rsidRPr="00C60592">
        <w:rPr>
          <w:lang w:val="en-US"/>
        </w:rPr>
        <w:t xml:space="preserve">Arthur Boudreau &amp; </w:t>
      </w:r>
      <w:proofErr w:type="spellStart"/>
      <w:r w:rsidRPr="00C60592">
        <w:rPr>
          <w:lang w:val="en-US"/>
        </w:rPr>
        <w:t>Fils</w:t>
      </w:r>
      <w:proofErr w:type="spellEnd"/>
      <w:r w:rsidRPr="00C60592">
        <w:rPr>
          <w:lang w:val="en-US"/>
        </w:rPr>
        <w:t xml:space="preserve"> </w:t>
      </w:r>
      <w:proofErr w:type="spellStart"/>
      <w:r w:rsidRPr="00C60592">
        <w:rPr>
          <w:lang w:val="en-US"/>
        </w:rPr>
        <w:t>Ltée</w:t>
      </w:r>
      <w:proofErr w:type="spellEnd"/>
      <w:r w:rsidRPr="00C60592">
        <w:rPr>
          <w:lang w:val="en-US"/>
        </w:rPr>
        <w:t xml:space="preserve">, </w:t>
      </w:r>
    </w:p>
    <w:p w:rsidR="00B27AE9" w:rsidRPr="00C60592" w:rsidRDefault="001075BA" w:rsidP="001F4CC4">
      <w:pPr>
        <w:pStyle w:val="SCCLsocParty"/>
        <w:widowControl w:val="0"/>
        <w:rPr>
          <w:lang w:val="fr-CA"/>
        </w:rPr>
      </w:pPr>
      <w:proofErr w:type="spellStart"/>
      <w:r w:rsidRPr="00C60592">
        <w:rPr>
          <w:lang w:val="fr-CA"/>
        </w:rPr>
        <w:t>Brennan</w:t>
      </w:r>
      <w:proofErr w:type="spellEnd"/>
      <w:r w:rsidRPr="00C60592">
        <w:rPr>
          <w:lang w:val="fr-CA"/>
        </w:rPr>
        <w:t xml:space="preserve"> </w:t>
      </w:r>
      <w:proofErr w:type="spellStart"/>
      <w:r w:rsidRPr="00C60592">
        <w:rPr>
          <w:lang w:val="fr-CA"/>
        </w:rPr>
        <w:t>Contractors</w:t>
      </w:r>
      <w:proofErr w:type="spellEnd"/>
      <w:r w:rsidRPr="00C60592">
        <w:rPr>
          <w:lang w:val="fr-CA"/>
        </w:rPr>
        <w:t xml:space="preserve"> &amp; Supplies Ltd.,</w:t>
      </w:r>
      <w:r w:rsidR="00B27AE9" w:rsidRPr="00C60592">
        <w:rPr>
          <w:lang w:val="fr-CA"/>
        </w:rPr>
        <w:t xml:space="preserve"> </w:t>
      </w:r>
      <w:r w:rsidR="00042138" w:rsidRPr="00C60592">
        <w:rPr>
          <w:lang w:val="fr-CA"/>
        </w:rPr>
        <w:t>F.</w:t>
      </w:r>
      <w:r w:rsidR="001F4CC4">
        <w:rPr>
          <w:lang w:val="fr-CA"/>
        </w:rPr>
        <w:t xml:space="preserve"> </w:t>
      </w:r>
      <w:r w:rsidRPr="00C60592">
        <w:rPr>
          <w:lang w:val="fr-CA"/>
        </w:rPr>
        <w:t xml:space="preserve">J. </w:t>
      </w:r>
      <w:proofErr w:type="spellStart"/>
      <w:r w:rsidRPr="00C60592">
        <w:rPr>
          <w:lang w:val="fr-CA"/>
        </w:rPr>
        <w:t>Brideau</w:t>
      </w:r>
      <w:proofErr w:type="spellEnd"/>
      <w:r w:rsidRPr="00C60592">
        <w:rPr>
          <w:lang w:val="fr-CA"/>
        </w:rPr>
        <w:t xml:space="preserve"> &amp; Fils </w:t>
      </w:r>
    </w:p>
    <w:p w:rsidR="00B27AE9" w:rsidRPr="00C60592" w:rsidRDefault="001075BA" w:rsidP="001F4CC4">
      <w:pPr>
        <w:pStyle w:val="SCCLsocParty"/>
        <w:widowControl w:val="0"/>
      </w:pPr>
      <w:proofErr w:type="spellStart"/>
      <w:r w:rsidRPr="00C60592">
        <w:t>Limitée</w:t>
      </w:r>
      <w:proofErr w:type="spellEnd"/>
      <w:r w:rsidRPr="00C60592">
        <w:t xml:space="preserve">, Cabot Building Supplies Company (1988) Limited, </w:t>
      </w:r>
    </w:p>
    <w:p w:rsidR="00B27AE9" w:rsidRPr="00C60592" w:rsidRDefault="001075BA" w:rsidP="001F4CC4">
      <w:pPr>
        <w:pStyle w:val="SCCLsocParty"/>
        <w:widowControl w:val="0"/>
      </w:pPr>
      <w:r w:rsidRPr="00C60592">
        <w:t>Robert Churchill Building Supplies Limited,</w:t>
      </w:r>
      <w:r w:rsidR="00B27AE9" w:rsidRPr="00C60592">
        <w:t xml:space="preserve"> </w:t>
      </w:r>
      <w:r w:rsidRPr="00C60592">
        <w:t xml:space="preserve">CDL Holdings </w:t>
      </w:r>
    </w:p>
    <w:p w:rsidR="00B27AE9" w:rsidRPr="00C60592" w:rsidRDefault="001075BA" w:rsidP="001F4CC4">
      <w:pPr>
        <w:pStyle w:val="SCCLsocParty"/>
        <w:widowControl w:val="0"/>
      </w:pPr>
      <w:r w:rsidRPr="00C60592">
        <w:t xml:space="preserve">Limited, </w:t>
      </w:r>
      <w:proofErr w:type="spellStart"/>
      <w:r w:rsidR="00A25141" w:rsidRPr="00C60592">
        <w:t>auparavant</w:t>
      </w:r>
      <w:proofErr w:type="spellEnd"/>
      <w:r w:rsidRPr="00C60592">
        <w:t xml:space="preserve"> Chester Dawe</w:t>
      </w:r>
      <w:r w:rsidR="00B27AE9" w:rsidRPr="00C60592">
        <w:t xml:space="preserve"> Limited, Fraser Supplies </w:t>
      </w:r>
    </w:p>
    <w:p w:rsidR="00B27AE9" w:rsidRPr="00C60592" w:rsidRDefault="00B27AE9" w:rsidP="001F4CC4">
      <w:pPr>
        <w:pStyle w:val="SCCLsocParty"/>
        <w:widowControl w:val="0"/>
      </w:pPr>
      <w:r w:rsidRPr="00C60592">
        <w:t>(1980</w:t>
      </w:r>
      <w:r w:rsidR="00042138" w:rsidRPr="00C60592">
        <w:t>) Ltd., R.</w:t>
      </w:r>
      <w:r w:rsidR="001F4CC4">
        <w:t xml:space="preserve"> </w:t>
      </w:r>
      <w:r w:rsidR="001075BA" w:rsidRPr="00C60592">
        <w:t xml:space="preserve">D. Gillis Building Supplies Limited, </w:t>
      </w:r>
      <w:proofErr w:type="spellStart"/>
      <w:r w:rsidR="001075BA" w:rsidRPr="00C60592">
        <w:t>Yvon</w:t>
      </w:r>
      <w:proofErr w:type="spellEnd"/>
      <w:r w:rsidR="001075BA" w:rsidRPr="00C60592">
        <w:t xml:space="preserve"> Godin </w:t>
      </w:r>
    </w:p>
    <w:p w:rsidR="00B27AE9" w:rsidRPr="00C60592" w:rsidRDefault="001075BA" w:rsidP="001F4CC4">
      <w:pPr>
        <w:pStyle w:val="SCCLsocParty"/>
        <w:widowControl w:val="0"/>
      </w:pPr>
      <w:r w:rsidRPr="00C60592">
        <w:t xml:space="preserve">Ltd., Truro Wood Industries Limited/Home Care Properties </w:t>
      </w:r>
    </w:p>
    <w:p w:rsidR="00B27AE9" w:rsidRPr="00C60592" w:rsidRDefault="001075BA" w:rsidP="001F4CC4">
      <w:pPr>
        <w:pStyle w:val="SCCLsocParty"/>
        <w:widowControl w:val="0"/>
      </w:pPr>
      <w:r w:rsidRPr="00C60592">
        <w:t>Limited, Hann’s Hardware and Sporting Goods Limited,</w:t>
      </w:r>
      <w:r w:rsidR="00B27AE9" w:rsidRPr="00C60592">
        <w:t xml:space="preserve"> </w:t>
      </w:r>
    </w:p>
    <w:p w:rsidR="00B27AE9" w:rsidRPr="00C60592" w:rsidRDefault="001075BA" w:rsidP="001F4CC4">
      <w:pPr>
        <w:pStyle w:val="SCCLsocParty"/>
        <w:widowControl w:val="0"/>
      </w:pPr>
      <w:r w:rsidRPr="00C60592">
        <w:t>Harbour Breton Building Supplies Limited, Hillier</w:t>
      </w:r>
      <w:r w:rsidR="00B27AE9" w:rsidRPr="00C60592">
        <w:t>’</w:t>
      </w:r>
      <w:r w:rsidRPr="00C60592">
        <w:t xml:space="preserve">s Trades </w:t>
      </w:r>
    </w:p>
    <w:p w:rsidR="00B27AE9" w:rsidRPr="00C60592" w:rsidRDefault="001075BA" w:rsidP="001F4CC4">
      <w:pPr>
        <w:pStyle w:val="SCCLsocParty"/>
        <w:widowControl w:val="0"/>
      </w:pPr>
      <w:r w:rsidRPr="00C60592">
        <w:t xml:space="preserve">Limited, </w:t>
      </w:r>
      <w:proofErr w:type="spellStart"/>
      <w:r w:rsidRPr="00C60592">
        <w:t>Hubcraft</w:t>
      </w:r>
      <w:proofErr w:type="spellEnd"/>
      <w:r w:rsidRPr="00C60592">
        <w:t xml:space="preserve"> Building Supplies Limited, </w:t>
      </w:r>
      <w:proofErr w:type="spellStart"/>
      <w:r w:rsidRPr="00C60592">
        <w:t>Lumbermart</w:t>
      </w:r>
      <w:proofErr w:type="spellEnd"/>
      <w:r w:rsidRPr="00C60592">
        <w:t xml:space="preserve"> </w:t>
      </w:r>
    </w:p>
    <w:p w:rsidR="00B27AE9" w:rsidRPr="00C60592" w:rsidRDefault="001075BA" w:rsidP="001F4CC4">
      <w:pPr>
        <w:pStyle w:val="SCCLsocParty"/>
        <w:widowControl w:val="0"/>
      </w:pPr>
      <w:r w:rsidRPr="00C60592">
        <w:t>Limited, Maple Leaf Farm Supplies Limited,</w:t>
      </w:r>
      <w:r w:rsidR="00B27AE9" w:rsidRPr="00C60592">
        <w:t xml:space="preserve"> </w:t>
      </w:r>
      <w:r w:rsidRPr="00C60592">
        <w:t xml:space="preserve">S.W. Mifflin Ltd., </w:t>
      </w:r>
    </w:p>
    <w:p w:rsidR="00B27AE9" w:rsidRPr="00C60592" w:rsidRDefault="001075BA" w:rsidP="001F4CC4">
      <w:pPr>
        <w:pStyle w:val="SCCLsocParty"/>
        <w:widowControl w:val="0"/>
      </w:pPr>
      <w:proofErr w:type="spellStart"/>
      <w:r w:rsidRPr="00C60592">
        <w:t>Nauss</w:t>
      </w:r>
      <w:proofErr w:type="spellEnd"/>
      <w:r w:rsidRPr="00C60592">
        <w:t xml:space="preserve"> Brothers Limited, O’Leary Farmers’ Co</w:t>
      </w:r>
      <w:r w:rsidR="001F4CC4">
        <w:t>-</w:t>
      </w:r>
      <w:r w:rsidRPr="00C60592">
        <w:t xml:space="preserve">operative </w:t>
      </w:r>
    </w:p>
    <w:p w:rsidR="00B27AE9" w:rsidRPr="00C60592" w:rsidRDefault="001075BA" w:rsidP="001F4CC4">
      <w:pPr>
        <w:pStyle w:val="SCCLsocParty"/>
        <w:widowControl w:val="0"/>
      </w:pPr>
      <w:proofErr w:type="spellStart"/>
      <w:r w:rsidRPr="00C60592">
        <w:t>Ass’n</w:t>
      </w:r>
      <w:proofErr w:type="spellEnd"/>
      <w:r w:rsidRPr="00C60592">
        <w:t xml:space="preserve">. Ltd., </w:t>
      </w:r>
      <w:proofErr w:type="spellStart"/>
      <w:r w:rsidRPr="00C60592">
        <w:t>Pellerin</w:t>
      </w:r>
      <w:proofErr w:type="spellEnd"/>
      <w:r w:rsidRPr="00C60592">
        <w:t xml:space="preserve"> Building Supplies Inc., Pleasant Supplies </w:t>
      </w:r>
    </w:p>
    <w:p w:rsidR="00042138" w:rsidRPr="00C60592" w:rsidRDefault="00042138" w:rsidP="001F4CC4">
      <w:pPr>
        <w:pStyle w:val="SCCLsocParty"/>
        <w:widowControl w:val="0"/>
      </w:pPr>
      <w:r w:rsidRPr="00C60592">
        <w:t>Incorporated, J.</w:t>
      </w:r>
      <w:r w:rsidR="001F4CC4">
        <w:t xml:space="preserve"> </w:t>
      </w:r>
      <w:r w:rsidR="001075BA" w:rsidRPr="00C60592">
        <w:t>I. Pritchett &amp; Sons Limited,</w:t>
      </w:r>
      <w:r w:rsidR="00B27AE9" w:rsidRPr="00C60592">
        <w:t xml:space="preserve"> </w:t>
      </w:r>
      <w:r w:rsidR="001075BA" w:rsidRPr="00C60592">
        <w:t>Centre Multi</w:t>
      </w:r>
      <w:r w:rsidR="001F4CC4">
        <w:t>-</w:t>
      </w:r>
      <w:r w:rsidR="001075BA" w:rsidRPr="00C60592">
        <w:t xml:space="preserve">Décor </w:t>
      </w:r>
      <w:r w:rsidRPr="00C60592">
        <w:t>d</w:t>
      </w:r>
      <w:r w:rsidR="001075BA" w:rsidRPr="00C60592">
        <w:t xml:space="preserve">e </w:t>
      </w:r>
    </w:p>
    <w:p w:rsidR="00B27AE9" w:rsidRPr="00C60592" w:rsidRDefault="001075BA" w:rsidP="001F4CC4">
      <w:pPr>
        <w:pStyle w:val="SCCLsocParty"/>
        <w:widowControl w:val="0"/>
      </w:pPr>
      <w:proofErr w:type="spellStart"/>
      <w:r w:rsidRPr="00C60592">
        <w:t>Richibucto</w:t>
      </w:r>
      <w:proofErr w:type="spellEnd"/>
      <w:r w:rsidRPr="00C60592">
        <w:t xml:space="preserve"> </w:t>
      </w:r>
      <w:proofErr w:type="spellStart"/>
      <w:r w:rsidRPr="00C60592">
        <w:t>Ltée</w:t>
      </w:r>
      <w:proofErr w:type="spellEnd"/>
      <w:r w:rsidRPr="00C60592">
        <w:t>, U.</w:t>
      </w:r>
      <w:r w:rsidR="001F4CC4">
        <w:t xml:space="preserve"> </w:t>
      </w:r>
      <w:r w:rsidRPr="00C60592">
        <w:t xml:space="preserve">J. </w:t>
      </w:r>
      <w:proofErr w:type="spellStart"/>
      <w:r w:rsidRPr="00C60592">
        <w:t>Robichaud</w:t>
      </w:r>
      <w:proofErr w:type="spellEnd"/>
      <w:r w:rsidRPr="00C60592">
        <w:t xml:space="preserve"> &amp; Sons Woodworkers </w:t>
      </w:r>
    </w:p>
    <w:p w:rsidR="00B27AE9" w:rsidRPr="00C5424E" w:rsidRDefault="001075BA" w:rsidP="001F4CC4">
      <w:pPr>
        <w:pStyle w:val="SCCLsocParty"/>
        <w:widowControl w:val="0"/>
      </w:pPr>
      <w:r w:rsidRPr="00C5424E">
        <w:t xml:space="preserve">Limited, </w:t>
      </w:r>
      <w:proofErr w:type="spellStart"/>
      <w:r w:rsidRPr="00C5424E">
        <w:t>Quincaillerie</w:t>
      </w:r>
      <w:proofErr w:type="spellEnd"/>
      <w:r w:rsidRPr="00C5424E">
        <w:t xml:space="preserve"> Saint</w:t>
      </w:r>
      <w:r w:rsidR="001F4CC4">
        <w:t>-</w:t>
      </w:r>
      <w:r w:rsidRPr="00C5424E">
        <w:t xml:space="preserve">Louis </w:t>
      </w:r>
      <w:proofErr w:type="spellStart"/>
      <w:r w:rsidRPr="00C5424E">
        <w:t>Ltée</w:t>
      </w:r>
      <w:proofErr w:type="spellEnd"/>
      <w:r w:rsidRPr="00C5424E">
        <w:t xml:space="preserve">, R &amp; J </w:t>
      </w:r>
      <w:proofErr w:type="spellStart"/>
      <w:r w:rsidRPr="00C5424E">
        <w:t>Swinamer’s</w:t>
      </w:r>
      <w:proofErr w:type="spellEnd"/>
      <w:r w:rsidRPr="00C5424E">
        <w:t xml:space="preserve"> </w:t>
      </w:r>
    </w:p>
    <w:p w:rsidR="006E464B" w:rsidRPr="00C60592" w:rsidRDefault="001075BA" w:rsidP="001F4CC4">
      <w:pPr>
        <w:pStyle w:val="SCCLsocParty"/>
        <w:widowControl w:val="0"/>
        <w:rPr>
          <w:lang w:val="fr-CA"/>
        </w:rPr>
      </w:pPr>
      <w:r w:rsidRPr="00C60592">
        <w:rPr>
          <w:lang w:val="fr-CA"/>
        </w:rPr>
        <w:t>Supplies Limited, 508686 N.B. INC. faisant affaire sous l</w:t>
      </w:r>
      <w:r w:rsidR="006E464B" w:rsidRPr="00C60592">
        <w:rPr>
          <w:lang w:val="fr-CA"/>
        </w:rPr>
        <w:t>a</w:t>
      </w:r>
      <w:r w:rsidRPr="00C60592">
        <w:rPr>
          <w:lang w:val="fr-CA"/>
        </w:rPr>
        <w:t xml:space="preserve"> </w:t>
      </w:r>
      <w:r w:rsidR="006E464B" w:rsidRPr="00C60592">
        <w:rPr>
          <w:lang w:val="fr-CA"/>
        </w:rPr>
        <w:t>raison sociale</w:t>
      </w:r>
      <w:r w:rsidRPr="00C60592">
        <w:rPr>
          <w:lang w:val="fr-CA"/>
        </w:rPr>
        <w:t xml:space="preserve"> </w:t>
      </w:r>
    </w:p>
    <w:p w:rsidR="00B27AE9" w:rsidRPr="00C60592" w:rsidRDefault="001075BA" w:rsidP="001F4CC4">
      <w:pPr>
        <w:pStyle w:val="SCCLsocParty"/>
        <w:widowControl w:val="0"/>
      </w:pPr>
      <w:r w:rsidRPr="00C60592">
        <w:rPr>
          <w:lang w:val="en-US"/>
        </w:rPr>
        <w:t>T.N.T. Insulation and Building Supplies,</w:t>
      </w:r>
      <w:r w:rsidR="00B27AE9" w:rsidRPr="00C60592">
        <w:rPr>
          <w:lang w:val="en-US"/>
        </w:rPr>
        <w:t xml:space="preserve"> </w:t>
      </w:r>
      <w:r w:rsidRPr="00C60592">
        <w:t xml:space="preserve">Taylor Lumber and </w:t>
      </w:r>
    </w:p>
    <w:p w:rsidR="00B27AE9" w:rsidRPr="00C60592" w:rsidRDefault="001075BA" w:rsidP="001F4CC4">
      <w:pPr>
        <w:pStyle w:val="SCCLsocParty"/>
        <w:widowControl w:val="0"/>
      </w:pPr>
      <w:r w:rsidRPr="00C60592">
        <w:t xml:space="preserve">Building Supplies Limited, Two by Four Lumber Sales Ltd., </w:t>
      </w:r>
    </w:p>
    <w:p w:rsidR="00B27AE9" w:rsidRPr="00C60592" w:rsidRDefault="001075BA" w:rsidP="001F4CC4">
      <w:pPr>
        <w:pStyle w:val="SCCLsocParty"/>
        <w:widowControl w:val="0"/>
      </w:pPr>
      <w:proofErr w:type="spellStart"/>
      <w:r w:rsidRPr="00C60592">
        <w:lastRenderedPageBreak/>
        <w:t>Walbourne</w:t>
      </w:r>
      <w:proofErr w:type="spellEnd"/>
      <w:r w:rsidRPr="00C60592">
        <w:t xml:space="preserve"> Enterprises Ltd., Western Bay Hardware Limited, </w:t>
      </w:r>
    </w:p>
    <w:p w:rsidR="00B27AE9" w:rsidRPr="00C60592" w:rsidRDefault="001075BA" w:rsidP="001F4CC4">
      <w:pPr>
        <w:pStyle w:val="SCCLsocParty"/>
        <w:widowControl w:val="0"/>
      </w:pPr>
      <w:r w:rsidRPr="00C60592">
        <w:t>W</w:t>
      </w:r>
      <w:r w:rsidR="00042138" w:rsidRPr="00C60592">
        <w:t>hite’s Construction Limited, D.</w:t>
      </w:r>
      <w:r w:rsidR="001F4CC4">
        <w:t xml:space="preserve"> </w:t>
      </w:r>
      <w:r w:rsidRPr="00C60592">
        <w:t>J. Williams and Sons Limited</w:t>
      </w:r>
      <w:r w:rsidR="0098394A" w:rsidRPr="00C60592">
        <w:t xml:space="preserve"> </w:t>
      </w:r>
      <w:proofErr w:type="gramStart"/>
      <w:r w:rsidR="0098394A" w:rsidRPr="00C60592">
        <w:t>et</w:t>
      </w:r>
      <w:proofErr w:type="gramEnd"/>
      <w:r w:rsidRPr="00C60592">
        <w:t xml:space="preserve"> </w:t>
      </w:r>
    </w:p>
    <w:p w:rsidR="00E1357A" w:rsidRPr="00B22DAE" w:rsidRDefault="001075BA" w:rsidP="001F4CC4">
      <w:pPr>
        <w:pStyle w:val="SCCLsocParty"/>
        <w:widowControl w:val="0"/>
        <w:spacing w:after="720"/>
        <w:rPr>
          <w:lang w:val="fr-CA"/>
        </w:rPr>
      </w:pPr>
      <w:r w:rsidRPr="00B22DAE">
        <w:rPr>
          <w:lang w:val="fr-CA"/>
        </w:rPr>
        <w:t>Woodland Building Supplies Limited</w:t>
      </w:r>
      <w:r w:rsidR="00B27AE9" w:rsidRPr="00B22DAE">
        <w:rPr>
          <w:rStyle w:val="SCCLsocPartyRole"/>
          <w:lang w:val="fr-CA"/>
        </w:rPr>
        <w:tab/>
        <w:t>Intimé</w:t>
      </w:r>
      <w:r w:rsidR="0098394A" w:rsidRPr="00B22DAE">
        <w:rPr>
          <w:rStyle w:val="SCCLsocPartyRole"/>
          <w:lang w:val="fr-CA"/>
        </w:rPr>
        <w:t>e</w:t>
      </w:r>
      <w:r w:rsidRPr="00B22DAE">
        <w:rPr>
          <w:rStyle w:val="SCCLsocPartyRole"/>
          <w:lang w:val="fr-CA"/>
        </w:rPr>
        <w:t>s</w:t>
      </w:r>
    </w:p>
    <w:p w:rsidR="00E1357A" w:rsidRPr="00B22DAE" w:rsidRDefault="001075BA" w:rsidP="001F4CC4">
      <w:pPr>
        <w:pStyle w:val="SCCLsocOtherPartySeparator"/>
        <w:widowControl w:val="0"/>
        <w:rPr>
          <w:lang w:val="fr-CA"/>
        </w:rPr>
      </w:pPr>
      <w:proofErr w:type="gramStart"/>
      <w:r w:rsidRPr="00B22DAE">
        <w:rPr>
          <w:lang w:val="fr-CA"/>
        </w:rPr>
        <w:t>et</w:t>
      </w:r>
      <w:proofErr w:type="gramEnd"/>
    </w:p>
    <w:p w:rsidR="00B27AE9" w:rsidRPr="00C60592" w:rsidRDefault="001075BA" w:rsidP="001F4CC4">
      <w:pPr>
        <w:pStyle w:val="SCCLsocParty"/>
        <w:widowControl w:val="0"/>
        <w:rPr>
          <w:lang w:val="fr-CA"/>
        </w:rPr>
      </w:pPr>
      <w:r w:rsidRPr="00C60592">
        <w:rPr>
          <w:lang w:val="fr-CA"/>
        </w:rPr>
        <w:t>Procureur général du Canada</w:t>
      </w:r>
      <w:r w:rsidR="00B27AE9" w:rsidRPr="00C60592">
        <w:rPr>
          <w:lang w:val="fr-CA"/>
        </w:rPr>
        <w:t xml:space="preserve"> et </w:t>
      </w:r>
    </w:p>
    <w:p w:rsidR="00E1357A" w:rsidRPr="00C60592" w:rsidRDefault="0098394A" w:rsidP="001F4CC4">
      <w:pPr>
        <w:pStyle w:val="SCCLsocParty"/>
        <w:widowControl w:val="0"/>
        <w:spacing w:after="720"/>
        <w:rPr>
          <w:lang w:val="fr-CA"/>
        </w:rPr>
      </w:pPr>
      <w:proofErr w:type="spellStart"/>
      <w:r w:rsidRPr="00C60592">
        <w:rPr>
          <w:lang w:val="fr-CA"/>
        </w:rPr>
        <w:t>Criminal</w:t>
      </w:r>
      <w:proofErr w:type="spellEnd"/>
      <w:r w:rsidRPr="00C60592">
        <w:rPr>
          <w:lang w:val="fr-CA"/>
        </w:rPr>
        <w:t xml:space="preserve"> </w:t>
      </w:r>
      <w:proofErr w:type="spellStart"/>
      <w:r w:rsidRPr="00C60592">
        <w:rPr>
          <w:lang w:val="fr-CA"/>
        </w:rPr>
        <w:t>Lawyers</w:t>
      </w:r>
      <w:proofErr w:type="spellEnd"/>
      <w:r w:rsidRPr="00C60592">
        <w:rPr>
          <w:lang w:val="fr-CA"/>
        </w:rPr>
        <w:t xml:space="preserve">’ </w:t>
      </w:r>
      <w:r w:rsidR="001075BA" w:rsidRPr="00C60592">
        <w:rPr>
          <w:lang w:val="fr-CA"/>
        </w:rPr>
        <w:t>Association (Ontario)</w:t>
      </w:r>
      <w:r w:rsidR="00B27AE9" w:rsidRPr="00C60592">
        <w:rPr>
          <w:rStyle w:val="SCCLsocPartyRole"/>
          <w:lang w:val="fr-CA"/>
        </w:rPr>
        <w:tab/>
        <w:t>Intervenant</w:t>
      </w:r>
      <w:r w:rsidR="001075BA" w:rsidRPr="00C60592">
        <w:rPr>
          <w:rStyle w:val="SCCLsocPartyRole"/>
          <w:lang w:val="fr-CA"/>
        </w:rPr>
        <w:t>s</w:t>
      </w:r>
    </w:p>
    <w:p w:rsidR="004D7D95" w:rsidRPr="00C60592" w:rsidRDefault="004D7D95" w:rsidP="001F4CC4">
      <w:pPr>
        <w:widowControl w:val="0"/>
        <w:spacing w:after="720"/>
        <w:jc w:val="both"/>
        <w:rPr>
          <w:b/>
          <w:lang w:val="en-US"/>
        </w:rPr>
      </w:pPr>
      <w:proofErr w:type="spellStart"/>
      <w:proofErr w:type="gramStart"/>
      <w:r w:rsidRPr="00C60592">
        <w:rPr>
          <w:b/>
          <w:lang w:val="en-US"/>
        </w:rPr>
        <w:t>Répertorié</w:t>
      </w:r>
      <w:proofErr w:type="spellEnd"/>
      <w:r w:rsidR="001F4CC4">
        <w:rPr>
          <w:b/>
          <w:lang w:val="en-US"/>
        </w:rPr>
        <w:t> :</w:t>
      </w:r>
      <w:proofErr w:type="gramEnd"/>
      <w:r w:rsidR="001F4CC4">
        <w:rPr>
          <w:b/>
          <w:lang w:val="en-US"/>
        </w:rPr>
        <w:t xml:space="preserve"> </w:t>
      </w:r>
      <w:r w:rsidRPr="00C60592">
        <w:rPr>
          <w:b/>
          <w:lang w:val="en-US"/>
        </w:rPr>
        <w:t xml:space="preserve">White Burgess </w:t>
      </w:r>
      <w:proofErr w:type="spellStart"/>
      <w:r w:rsidRPr="00C60592">
        <w:rPr>
          <w:b/>
          <w:lang w:val="en-US"/>
        </w:rPr>
        <w:t>Langi</w:t>
      </w:r>
      <w:r w:rsidR="00B27AE9" w:rsidRPr="00C60592">
        <w:rPr>
          <w:b/>
          <w:lang w:val="en-US"/>
        </w:rPr>
        <w:t>lle</w:t>
      </w:r>
      <w:proofErr w:type="spellEnd"/>
      <w:r w:rsidR="00B27AE9" w:rsidRPr="00C60592">
        <w:rPr>
          <w:b/>
          <w:lang w:val="en-US"/>
        </w:rPr>
        <w:t xml:space="preserve"> Inman </w:t>
      </w:r>
      <w:r w:rsidRPr="00C60592">
        <w:rPr>
          <w:b/>
          <w:i/>
          <w:lang w:val="en-US"/>
        </w:rPr>
        <w:t>c.</w:t>
      </w:r>
      <w:r w:rsidRPr="00C60592">
        <w:rPr>
          <w:b/>
          <w:lang w:val="en-US"/>
        </w:rPr>
        <w:t xml:space="preserve"> Abbott and Haliburt</w:t>
      </w:r>
      <w:r w:rsidR="00B27AE9" w:rsidRPr="00C60592">
        <w:rPr>
          <w:b/>
          <w:lang w:val="en-US"/>
        </w:rPr>
        <w:t>on</w:t>
      </w:r>
      <w:r w:rsidR="001D0F24" w:rsidRPr="00C60592">
        <w:rPr>
          <w:b/>
          <w:lang w:val="en-US"/>
        </w:rPr>
        <w:t xml:space="preserve"> Co.</w:t>
      </w:r>
    </w:p>
    <w:p w:rsidR="004D7D95" w:rsidRPr="00C60592" w:rsidRDefault="00F62639" w:rsidP="001F4CC4">
      <w:pPr>
        <w:pStyle w:val="SCCSystemYear"/>
        <w:widowControl w:val="0"/>
        <w:spacing w:after="720"/>
        <w:jc w:val="both"/>
        <w:rPr>
          <w:lang w:val="fr-CA"/>
        </w:rPr>
      </w:pPr>
      <w:r w:rsidRPr="00C60592">
        <w:rPr>
          <w:lang w:val="fr-CA"/>
        </w:rPr>
        <w:t>201</w:t>
      </w:r>
      <w:r w:rsidR="001D0F24" w:rsidRPr="00C60592">
        <w:rPr>
          <w:lang w:val="fr-CA"/>
        </w:rPr>
        <w:t>5</w:t>
      </w:r>
      <w:r w:rsidR="00693A1E" w:rsidRPr="00C60592">
        <w:rPr>
          <w:lang w:val="fr-CA"/>
        </w:rPr>
        <w:t xml:space="preserve"> CSC</w:t>
      </w:r>
      <w:r w:rsidR="001F4CC4">
        <w:rPr>
          <w:lang w:val="fr-CA"/>
        </w:rPr>
        <w:t xml:space="preserve"> </w:t>
      </w:r>
      <w:r w:rsidR="00693A1E" w:rsidRPr="00C60592">
        <w:rPr>
          <w:lang w:val="fr-CA"/>
        </w:rPr>
        <w:t>23</w:t>
      </w:r>
    </w:p>
    <w:p w:rsidR="004D7D95" w:rsidRPr="00C60592" w:rsidRDefault="004D7D95" w:rsidP="001F4CC4">
      <w:pPr>
        <w:widowControl w:val="0"/>
        <w:spacing w:after="720"/>
        <w:jc w:val="both"/>
        <w:rPr>
          <w:lang w:val="fr-CA"/>
        </w:rPr>
      </w:pPr>
      <w:r w:rsidRPr="00C60592">
        <w:rPr>
          <w:lang w:val="fr-CA"/>
        </w:rPr>
        <w:t>N</w:t>
      </w:r>
      <w:r w:rsidRPr="00C60592">
        <w:rPr>
          <w:vertAlign w:val="superscript"/>
          <w:lang w:val="fr-CA"/>
        </w:rPr>
        <w:t>o</w:t>
      </w:r>
      <w:r w:rsidRPr="00C60592">
        <w:rPr>
          <w:lang w:val="fr-CA"/>
        </w:rPr>
        <w:t xml:space="preserve"> du greffe</w:t>
      </w:r>
      <w:r w:rsidR="001F4CC4">
        <w:rPr>
          <w:lang w:val="fr-CA"/>
        </w:rPr>
        <w:t xml:space="preserve"> : </w:t>
      </w:r>
      <w:r w:rsidRPr="00C60592">
        <w:rPr>
          <w:lang w:val="fr-CA"/>
        </w:rPr>
        <w:t>35492.</w:t>
      </w:r>
    </w:p>
    <w:p w:rsidR="004D7D95" w:rsidRPr="00C60592" w:rsidRDefault="00F62639" w:rsidP="001F4CC4">
      <w:pPr>
        <w:widowControl w:val="0"/>
        <w:spacing w:after="720"/>
        <w:jc w:val="both"/>
        <w:rPr>
          <w:lang w:val="fr-CA"/>
        </w:rPr>
      </w:pPr>
      <w:r w:rsidRPr="00C60592">
        <w:rPr>
          <w:lang w:val="fr-CA"/>
        </w:rPr>
        <w:t>2014</w:t>
      </w:r>
      <w:r w:rsidR="001F4CC4">
        <w:rPr>
          <w:lang w:val="fr-CA"/>
        </w:rPr>
        <w:t xml:space="preserve"> : </w:t>
      </w:r>
      <w:r w:rsidR="002D1734">
        <w:rPr>
          <w:lang w:val="fr-CA"/>
        </w:rPr>
        <w:t>7</w:t>
      </w:r>
      <w:r w:rsidR="001F4CC4">
        <w:rPr>
          <w:lang w:val="fr-CA"/>
        </w:rPr>
        <w:t xml:space="preserve"> </w:t>
      </w:r>
      <w:r w:rsidRPr="00C60592">
        <w:rPr>
          <w:lang w:val="fr-CA"/>
        </w:rPr>
        <w:t>octobre</w:t>
      </w:r>
      <w:r w:rsidR="004D7D95" w:rsidRPr="00C60592">
        <w:rPr>
          <w:lang w:val="fr-CA"/>
        </w:rPr>
        <w:t xml:space="preserve">; </w:t>
      </w:r>
      <w:r w:rsidR="001D0F24" w:rsidRPr="00C60592">
        <w:rPr>
          <w:lang w:val="fr-CA"/>
        </w:rPr>
        <w:t>2015</w:t>
      </w:r>
      <w:r w:rsidR="001F4CC4">
        <w:rPr>
          <w:lang w:val="fr-CA"/>
        </w:rPr>
        <w:t xml:space="preserve"> : </w:t>
      </w:r>
      <w:r w:rsidR="00693A1E" w:rsidRPr="00C60592">
        <w:rPr>
          <w:lang w:val="fr-CA"/>
        </w:rPr>
        <w:t>30 avril</w:t>
      </w:r>
      <w:r w:rsidR="004D7D95" w:rsidRPr="00C60592">
        <w:rPr>
          <w:lang w:val="fr-CA"/>
        </w:rPr>
        <w:t>.</w:t>
      </w:r>
    </w:p>
    <w:p w:rsidR="004D7D95" w:rsidRPr="00C60592" w:rsidRDefault="004D7D95" w:rsidP="001F4CC4">
      <w:pPr>
        <w:widowControl w:val="0"/>
        <w:spacing w:after="720"/>
        <w:jc w:val="both"/>
        <w:rPr>
          <w:lang w:val="fr-CA"/>
        </w:rPr>
      </w:pPr>
      <w:r w:rsidRPr="00C60592">
        <w:rPr>
          <w:lang w:val="fr-CA"/>
        </w:rPr>
        <w:t>Présents</w:t>
      </w:r>
      <w:r w:rsidR="001F4CC4">
        <w:rPr>
          <w:lang w:val="fr-CA"/>
        </w:rPr>
        <w:t xml:space="preserve"> : </w:t>
      </w:r>
      <w:r w:rsidRPr="00C60592">
        <w:rPr>
          <w:lang w:val="fr-CA"/>
        </w:rPr>
        <w:t xml:space="preserve">La juge en chef </w:t>
      </w:r>
      <w:proofErr w:type="spellStart"/>
      <w:r w:rsidRPr="00C60592">
        <w:rPr>
          <w:lang w:val="fr-CA"/>
        </w:rPr>
        <w:t>McLachlin</w:t>
      </w:r>
      <w:proofErr w:type="spellEnd"/>
      <w:r w:rsidRPr="00C60592">
        <w:rPr>
          <w:lang w:val="fr-CA"/>
        </w:rPr>
        <w:t xml:space="preserve"> et les juges Abella, </w:t>
      </w:r>
      <w:proofErr w:type="spellStart"/>
      <w:r w:rsidRPr="00C60592">
        <w:rPr>
          <w:lang w:val="fr-CA"/>
        </w:rPr>
        <w:t>Rothstein</w:t>
      </w:r>
      <w:proofErr w:type="spellEnd"/>
      <w:r w:rsidRPr="00C60592">
        <w:rPr>
          <w:lang w:val="fr-CA"/>
        </w:rPr>
        <w:t xml:space="preserve">, Cromwell, </w:t>
      </w:r>
      <w:proofErr w:type="spellStart"/>
      <w:r w:rsidRPr="00C60592">
        <w:rPr>
          <w:lang w:val="fr-CA"/>
        </w:rPr>
        <w:t>Moldaver</w:t>
      </w:r>
      <w:proofErr w:type="spellEnd"/>
      <w:r w:rsidRPr="00C60592">
        <w:rPr>
          <w:lang w:val="fr-CA"/>
        </w:rPr>
        <w:t>, Wagner et Gascon.</w:t>
      </w:r>
    </w:p>
    <w:p w:rsidR="004D7D95" w:rsidRPr="00C60592" w:rsidRDefault="004D7D95" w:rsidP="001F4CC4">
      <w:pPr>
        <w:widowControl w:val="0"/>
        <w:spacing w:after="720"/>
        <w:jc w:val="both"/>
        <w:rPr>
          <w:smallCaps/>
          <w:lang w:val="fr-CA"/>
        </w:rPr>
      </w:pPr>
      <w:r w:rsidRPr="00C60592">
        <w:rPr>
          <w:smallCaps/>
          <w:lang w:val="fr-CA"/>
        </w:rPr>
        <w:t xml:space="preserve">en appel de la cour d’appel de la </w:t>
      </w:r>
      <w:proofErr w:type="spellStart"/>
      <w:r w:rsidRPr="00C60592">
        <w:rPr>
          <w:smallCaps/>
          <w:lang w:val="fr-CA"/>
        </w:rPr>
        <w:t>nouvelle</w:t>
      </w:r>
      <w:r w:rsidR="001F4CC4">
        <w:rPr>
          <w:smallCaps/>
          <w:lang w:val="fr-CA"/>
        </w:rPr>
        <w:t>-</w:t>
      </w:r>
      <w:r w:rsidRPr="00C60592">
        <w:rPr>
          <w:smallCaps/>
          <w:lang w:val="fr-CA"/>
        </w:rPr>
        <w:t>écosse</w:t>
      </w:r>
      <w:proofErr w:type="spellEnd"/>
    </w:p>
    <w:p w:rsidR="0097437F" w:rsidRPr="00C60592" w:rsidRDefault="004D7D95" w:rsidP="001F4CC4">
      <w:pPr>
        <w:pStyle w:val="SCCNormalDoubleSpacing"/>
        <w:widowControl w:val="0"/>
        <w:spacing w:after="480"/>
        <w:rPr>
          <w:i/>
          <w:lang w:val="fr-CA"/>
        </w:rPr>
      </w:pPr>
      <w:r w:rsidRPr="00C60592">
        <w:rPr>
          <w:lang w:val="fr-CA"/>
        </w:rPr>
        <w:tab/>
      </w:r>
      <w:r w:rsidR="0097437F" w:rsidRPr="00C60592">
        <w:rPr>
          <w:i/>
          <w:lang w:val="fr-CA"/>
        </w:rPr>
        <w:t xml:space="preserve">Preuve </w:t>
      </w:r>
      <w:r w:rsidR="006E464B" w:rsidRPr="00C60592">
        <w:rPr>
          <w:i/>
          <w:lang w:val="fr-CA"/>
        </w:rPr>
        <w:t>—</w:t>
      </w:r>
      <w:r w:rsidR="0097437F" w:rsidRPr="00C60592">
        <w:rPr>
          <w:i/>
          <w:lang w:val="fr-CA"/>
        </w:rPr>
        <w:t xml:space="preserve"> Admissibilité </w:t>
      </w:r>
      <w:r w:rsidR="006E464B" w:rsidRPr="00C60592">
        <w:rPr>
          <w:i/>
          <w:lang w:val="fr-CA"/>
        </w:rPr>
        <w:t xml:space="preserve">— </w:t>
      </w:r>
      <w:r w:rsidR="0097437F" w:rsidRPr="00C60592">
        <w:rPr>
          <w:i/>
          <w:lang w:val="fr-CA"/>
        </w:rPr>
        <w:t xml:space="preserve">Preuve d’expert </w:t>
      </w:r>
      <w:r w:rsidR="006E464B" w:rsidRPr="00C60592">
        <w:rPr>
          <w:i/>
          <w:lang w:val="fr-CA"/>
        </w:rPr>
        <w:t xml:space="preserve">— </w:t>
      </w:r>
      <w:r w:rsidR="0097437F" w:rsidRPr="00C60592">
        <w:rPr>
          <w:i/>
          <w:lang w:val="fr-CA"/>
        </w:rPr>
        <w:t xml:space="preserve">Normes fondamentales d’admissibilité </w:t>
      </w:r>
      <w:r w:rsidR="006E464B" w:rsidRPr="00C60592">
        <w:rPr>
          <w:i/>
          <w:lang w:val="fr-CA"/>
        </w:rPr>
        <w:t xml:space="preserve">— </w:t>
      </w:r>
      <w:r w:rsidR="0097437F" w:rsidRPr="00C60592">
        <w:rPr>
          <w:i/>
          <w:lang w:val="fr-CA"/>
        </w:rPr>
        <w:t xml:space="preserve">Expert qualifié </w:t>
      </w:r>
      <w:r w:rsidR="006E464B" w:rsidRPr="00C60592">
        <w:rPr>
          <w:i/>
          <w:lang w:val="fr-CA"/>
        </w:rPr>
        <w:t xml:space="preserve">— </w:t>
      </w:r>
      <w:r w:rsidR="0097437F" w:rsidRPr="00C60592">
        <w:rPr>
          <w:i/>
          <w:lang w:val="fr-CA"/>
        </w:rPr>
        <w:t xml:space="preserve">Indépendance et impartialité </w:t>
      </w:r>
      <w:r w:rsidR="006E464B" w:rsidRPr="00C60592">
        <w:rPr>
          <w:i/>
          <w:lang w:val="fr-CA"/>
        </w:rPr>
        <w:t xml:space="preserve">— </w:t>
      </w:r>
      <w:r w:rsidR="0097437F" w:rsidRPr="00C60592">
        <w:rPr>
          <w:i/>
          <w:lang w:val="fr-CA"/>
        </w:rPr>
        <w:t xml:space="preserve">Nature de l’obligation de l’expert envers le tribunal </w:t>
      </w:r>
      <w:r w:rsidR="006E464B" w:rsidRPr="00C60592">
        <w:rPr>
          <w:i/>
          <w:lang w:val="fr-CA"/>
        </w:rPr>
        <w:t xml:space="preserve">— </w:t>
      </w:r>
      <w:r w:rsidR="0097437F" w:rsidRPr="00C60592">
        <w:rPr>
          <w:i/>
          <w:lang w:val="fr-CA"/>
        </w:rPr>
        <w:t xml:space="preserve">Rapport entre l’obligation de l’expert et l’admissibilité de son témoignage </w:t>
      </w:r>
      <w:r w:rsidR="006E464B" w:rsidRPr="00C60592">
        <w:rPr>
          <w:i/>
          <w:lang w:val="fr-CA"/>
        </w:rPr>
        <w:t xml:space="preserve">— </w:t>
      </w:r>
      <w:r w:rsidR="0097437F" w:rsidRPr="00C60592">
        <w:rPr>
          <w:i/>
          <w:lang w:val="fr-CA"/>
        </w:rPr>
        <w:t xml:space="preserve">Opinion d’une </w:t>
      </w:r>
      <w:proofErr w:type="spellStart"/>
      <w:r w:rsidR="0097437F" w:rsidRPr="00C60592">
        <w:rPr>
          <w:i/>
          <w:lang w:val="fr-CA"/>
        </w:rPr>
        <w:t>juricomptable</w:t>
      </w:r>
      <w:proofErr w:type="spellEnd"/>
      <w:r w:rsidR="0097437F" w:rsidRPr="00C60592">
        <w:rPr>
          <w:i/>
          <w:lang w:val="fr-CA"/>
        </w:rPr>
        <w:t xml:space="preserve"> sur la négligence possible des vérificateurs précédents dans l’exercice de leurs fonctions </w:t>
      </w:r>
      <w:r w:rsidR="006E464B" w:rsidRPr="00C60592">
        <w:rPr>
          <w:i/>
          <w:lang w:val="fr-CA"/>
        </w:rPr>
        <w:t xml:space="preserve">— </w:t>
      </w:r>
      <w:r w:rsidR="0097437F" w:rsidRPr="00C60592">
        <w:rPr>
          <w:i/>
          <w:lang w:val="fr-CA"/>
        </w:rPr>
        <w:t xml:space="preserve">Requête en </w:t>
      </w:r>
      <w:r w:rsidR="0097437F" w:rsidRPr="00C60592">
        <w:rPr>
          <w:i/>
          <w:lang w:val="fr-CA"/>
        </w:rPr>
        <w:lastRenderedPageBreak/>
        <w:t xml:space="preserve">radiation de l’affidavit de l’expert présentée par les vérificateurs précédents au motif que l’expert n’était pas un témoin expert impartial </w:t>
      </w:r>
      <w:r w:rsidR="006E464B" w:rsidRPr="00C60592">
        <w:rPr>
          <w:i/>
          <w:lang w:val="fr-CA"/>
        </w:rPr>
        <w:t xml:space="preserve">— </w:t>
      </w:r>
      <w:r w:rsidR="0097437F" w:rsidRPr="00C60592">
        <w:rPr>
          <w:i/>
          <w:lang w:val="fr-CA"/>
        </w:rPr>
        <w:t>Le</w:t>
      </w:r>
      <w:r w:rsidR="00E479E4" w:rsidRPr="00C60592">
        <w:rPr>
          <w:i/>
          <w:lang w:val="fr-CA"/>
        </w:rPr>
        <w:t>s éléments de l’obligation de l’</w:t>
      </w:r>
      <w:r w:rsidR="0097437F" w:rsidRPr="00C60592">
        <w:rPr>
          <w:i/>
          <w:lang w:val="fr-CA"/>
        </w:rPr>
        <w:t>expert envers le tribunal jouent</w:t>
      </w:r>
      <w:r w:rsidR="001F4CC4">
        <w:rPr>
          <w:i/>
          <w:lang w:val="fr-CA"/>
        </w:rPr>
        <w:t>-</w:t>
      </w:r>
      <w:r w:rsidR="0097437F" w:rsidRPr="00C60592">
        <w:rPr>
          <w:i/>
          <w:lang w:val="fr-CA"/>
        </w:rPr>
        <w:t>ils au regard de l’admissibilité du témoignage plutôt que simplement de la valeur probante de celui</w:t>
      </w:r>
      <w:r w:rsidR="001F4CC4">
        <w:rPr>
          <w:i/>
          <w:lang w:val="fr-CA"/>
        </w:rPr>
        <w:t>-</w:t>
      </w:r>
      <w:r w:rsidR="0097437F" w:rsidRPr="00C60592">
        <w:rPr>
          <w:i/>
          <w:lang w:val="fr-CA"/>
        </w:rPr>
        <w:t xml:space="preserve">ci? </w:t>
      </w:r>
      <w:r w:rsidR="006E464B" w:rsidRPr="00C60592">
        <w:rPr>
          <w:i/>
          <w:lang w:val="fr-CA"/>
        </w:rPr>
        <w:t xml:space="preserve">— </w:t>
      </w:r>
      <w:r w:rsidR="00E479E4" w:rsidRPr="00C60592">
        <w:rPr>
          <w:i/>
          <w:lang w:val="fr-CA"/>
        </w:rPr>
        <w:t>Dans l’</w:t>
      </w:r>
      <w:r w:rsidR="0097437F" w:rsidRPr="00C60592">
        <w:rPr>
          <w:i/>
          <w:lang w:val="fr-CA"/>
        </w:rPr>
        <w:t>affirmative, l’indépendance et l’impartialité constituent</w:t>
      </w:r>
      <w:r w:rsidR="001F4CC4">
        <w:rPr>
          <w:i/>
          <w:lang w:val="fr-CA"/>
        </w:rPr>
        <w:t>-</w:t>
      </w:r>
      <w:r w:rsidR="0097437F" w:rsidRPr="00C60592">
        <w:rPr>
          <w:i/>
          <w:lang w:val="fr-CA"/>
        </w:rPr>
        <w:t>el</w:t>
      </w:r>
      <w:r w:rsidR="006E464B" w:rsidRPr="00C60592">
        <w:rPr>
          <w:i/>
          <w:lang w:val="fr-CA"/>
        </w:rPr>
        <w:t>le</w:t>
      </w:r>
      <w:r w:rsidR="00C5424E">
        <w:rPr>
          <w:i/>
          <w:lang w:val="fr-CA"/>
        </w:rPr>
        <w:t>s</w:t>
      </w:r>
      <w:r w:rsidR="006E464B" w:rsidRPr="00C60592">
        <w:rPr>
          <w:i/>
          <w:lang w:val="fr-CA"/>
        </w:rPr>
        <w:t xml:space="preserve"> un critère d’admissibilité?</w:t>
      </w:r>
    </w:p>
    <w:p w:rsidR="0097437F" w:rsidRPr="00C60592" w:rsidRDefault="006E464B" w:rsidP="001F4CC4">
      <w:pPr>
        <w:pStyle w:val="SCCNormalDoubleSpacing"/>
        <w:widowControl w:val="0"/>
        <w:spacing w:after="480"/>
        <w:rPr>
          <w:lang w:val="fr-CA"/>
        </w:rPr>
      </w:pPr>
      <w:r w:rsidRPr="00C60592">
        <w:rPr>
          <w:lang w:val="fr-CA"/>
        </w:rPr>
        <w:tab/>
      </w:r>
      <w:r w:rsidR="0097437F" w:rsidRPr="00C60592">
        <w:rPr>
          <w:lang w:val="fr-CA"/>
        </w:rPr>
        <w:t xml:space="preserve">Les actionnaires ont intenté une action pour négligence professionnelle contre les anciens vérificateurs de leur compagnie après avoir engagé un autre cabinet comptable, GT, de Kentville, pour effectuer diverses tâches comptables, qui, selon eux, avaient révélé des erreurs par les vérificateurs précédents. Les vérificateurs ont présenté une requête en jugement sommaire visant à faire rejeter l’action. En réponse, les actionnaires ont fait appel à M, une associée en </w:t>
      </w:r>
      <w:proofErr w:type="spellStart"/>
      <w:r w:rsidR="0097437F" w:rsidRPr="00C60592">
        <w:rPr>
          <w:lang w:val="fr-CA"/>
        </w:rPr>
        <w:t>juricomptabilité</w:t>
      </w:r>
      <w:proofErr w:type="spellEnd"/>
      <w:r w:rsidR="0097437F" w:rsidRPr="00C60592">
        <w:rPr>
          <w:lang w:val="fr-CA"/>
        </w:rPr>
        <w:t xml:space="preserve"> du cabinet GT de Halifax, pour qu’elle examine tous les documents pertinents et rédige un rapport de ses constatations. Son affidavit expose ces dernières, notamment que les vérificateurs, selon elle, ne se sont pas acquittés de leurs obligations professionnelles envers les actionnaires. Les vérificateurs ont présenté une requête en radiation de l’affidavit de M au motif qu’elle n’était pas un témoin expert imparti</w:t>
      </w:r>
      <w:r w:rsidR="002D1734">
        <w:rPr>
          <w:lang w:val="fr-CA"/>
        </w:rPr>
        <w:t>al.</w:t>
      </w:r>
      <w:r w:rsidR="001F4CC4">
        <w:rPr>
          <w:lang w:val="fr-CA"/>
        </w:rPr>
        <w:t xml:space="preserve"> </w:t>
      </w:r>
    </w:p>
    <w:p w:rsidR="0097437F" w:rsidRPr="00C60592" w:rsidRDefault="0097437F" w:rsidP="001F4CC4">
      <w:pPr>
        <w:pStyle w:val="SCCNormalDoubleSpacing"/>
        <w:widowControl w:val="0"/>
        <w:spacing w:after="480"/>
        <w:rPr>
          <w:lang w:val="fr-CA"/>
        </w:rPr>
      </w:pPr>
      <w:r w:rsidRPr="00C60592">
        <w:rPr>
          <w:lang w:val="fr-CA"/>
        </w:rPr>
        <w:tab/>
        <w:t>Le juge des requêtes s’est dit d’accord avec les vérificateurs pour l’essentiel et a radié intégralement l’affidavit de M.</w:t>
      </w:r>
      <w:r w:rsidR="003578A4" w:rsidRPr="00C60592">
        <w:rPr>
          <w:lang w:val="fr-CA"/>
        </w:rPr>
        <w:t xml:space="preserve"> </w:t>
      </w:r>
      <w:r w:rsidRPr="00C60592">
        <w:rPr>
          <w:lang w:val="fr-CA"/>
        </w:rPr>
        <w:t>Les juges majoritaires de la Cour d’appel ont conclu que le juge des requêtes avait eu tort d’exclure l’affidavit de M et ont accueilli l’appel.</w:t>
      </w:r>
    </w:p>
    <w:p w:rsidR="0097437F" w:rsidRPr="00C60592" w:rsidRDefault="0097437F" w:rsidP="001F4CC4">
      <w:pPr>
        <w:pStyle w:val="SCCNormalDoubleSpacing"/>
        <w:widowControl w:val="0"/>
        <w:spacing w:after="480"/>
        <w:rPr>
          <w:lang w:val="fr-CA"/>
        </w:rPr>
      </w:pPr>
      <w:r w:rsidRPr="00C60592">
        <w:rPr>
          <w:lang w:val="fr-CA"/>
        </w:rPr>
        <w:tab/>
      </w:r>
      <w:r w:rsidRPr="00C60592">
        <w:rPr>
          <w:i/>
          <w:lang w:val="fr-CA"/>
        </w:rPr>
        <w:t>Arrêt</w:t>
      </w:r>
      <w:r w:rsidR="001F4CC4">
        <w:rPr>
          <w:lang w:val="fr-CA"/>
        </w:rPr>
        <w:t> :</w:t>
      </w:r>
      <w:r w:rsidRPr="00C60592">
        <w:rPr>
          <w:lang w:val="fr-CA"/>
        </w:rPr>
        <w:t xml:space="preserve"> Le pourvoi est rejeté.</w:t>
      </w:r>
      <w:r w:rsidR="003578A4" w:rsidRPr="00C60592">
        <w:rPr>
          <w:lang w:val="fr-CA"/>
        </w:rPr>
        <w:t xml:space="preserve"> </w:t>
      </w:r>
    </w:p>
    <w:p w:rsidR="0097437F" w:rsidRPr="00C60592" w:rsidRDefault="006E464B" w:rsidP="001F4CC4">
      <w:pPr>
        <w:pStyle w:val="SCCNormalDoubleSpacing"/>
        <w:widowControl w:val="0"/>
        <w:spacing w:after="480"/>
        <w:rPr>
          <w:lang w:val="fr-CA"/>
        </w:rPr>
      </w:pPr>
      <w:r w:rsidRPr="00C60592">
        <w:rPr>
          <w:lang w:val="fr-CA"/>
        </w:rPr>
        <w:lastRenderedPageBreak/>
        <w:tab/>
      </w:r>
      <w:r w:rsidR="0097437F" w:rsidRPr="00C60592">
        <w:rPr>
          <w:lang w:val="fr-CA"/>
        </w:rPr>
        <w:t xml:space="preserve">La démarche qui permet de déterminer l’admissibilité du témoignage d’opinion de l’expert est scindée en deux. Dans un premier temps, celui qui veut présenter le témoignage doit démontrer qu'il satisfait aux critères d’admissibilité, soit les quatre critères énoncés dans l’arrêt </w:t>
      </w:r>
      <w:r w:rsidR="0097437F" w:rsidRPr="00C60592">
        <w:rPr>
          <w:i/>
          <w:lang w:val="fr-CA"/>
        </w:rPr>
        <w:t xml:space="preserve">R. c. </w:t>
      </w:r>
      <w:r w:rsidR="0097437F" w:rsidRPr="00C60592">
        <w:rPr>
          <w:i/>
          <w:iCs/>
          <w:lang w:val="fr-CA"/>
        </w:rPr>
        <w:t>Mohan</w:t>
      </w:r>
      <w:r w:rsidR="0097437F" w:rsidRPr="00C60592">
        <w:rPr>
          <w:lang w:val="fr-CA"/>
        </w:rPr>
        <w:t>, [1994] 2 R.C.S. 9, à savoir la pertinence, la nécessité, l’absence de toute règle d’exclusion et la qualification suffisante de l’expert. Tout témoignage qui ne satisfait pas à ces critères devrait être exclu. Dans un deuxième temps, le juge</w:t>
      </w:r>
      <w:r w:rsidR="001F4CC4">
        <w:rPr>
          <w:lang w:val="fr-CA"/>
        </w:rPr>
        <w:t>-</w:t>
      </w:r>
      <w:r w:rsidR="0097437F" w:rsidRPr="00C60592">
        <w:rPr>
          <w:lang w:val="fr-CA"/>
        </w:rPr>
        <w:t xml:space="preserve">gardien exerce son pouvoir discrétionnaire en déterminant si le témoignage d’expert qui satisfait aux conditions préalables à l’admissibilité est assez avantageux pour le procès pour justifier son admission malgré le préjudice potentiel, pour le procès, qui peut découler de son admission. </w:t>
      </w:r>
    </w:p>
    <w:p w:rsidR="0097437F" w:rsidRPr="00C60592" w:rsidRDefault="006E464B" w:rsidP="001F4CC4">
      <w:pPr>
        <w:pStyle w:val="SCCNormalDoubleSpacing"/>
        <w:widowControl w:val="0"/>
        <w:spacing w:after="480"/>
        <w:rPr>
          <w:lang w:val="fr-CA"/>
        </w:rPr>
      </w:pPr>
      <w:r w:rsidRPr="00C60592">
        <w:rPr>
          <w:lang w:val="fr-CA"/>
        </w:rPr>
        <w:tab/>
      </w:r>
      <w:r w:rsidR="0097437F" w:rsidRPr="00C60592">
        <w:rPr>
          <w:lang w:val="fr-CA"/>
        </w:rPr>
        <w:t>L’expert a l’obligation envers le tribunal de donner un témoignage d’opinion qui soit juste, objectif et imparti</w:t>
      </w:r>
      <w:r w:rsidR="002D1734">
        <w:rPr>
          <w:lang w:val="fr-CA"/>
        </w:rPr>
        <w:t>al.</w:t>
      </w:r>
      <w:r w:rsidR="001F4CC4">
        <w:rPr>
          <w:lang w:val="fr-CA"/>
        </w:rPr>
        <w:t xml:space="preserve"> </w:t>
      </w:r>
      <w:r w:rsidR="0097437F" w:rsidRPr="00C60592">
        <w:rPr>
          <w:lang w:val="fr-CA"/>
        </w:rPr>
        <w:t>Il doit être conscient de cette obligation et pouvoir et vouloir s’en acquitter. L’opinion de l’expert doit être impartiale, en ce sens qu’elle découle d’un examen objectif des questions à trancher. Elle doit être indépendante, c’est</w:t>
      </w:r>
      <w:r w:rsidR="001F4CC4">
        <w:rPr>
          <w:lang w:val="fr-CA"/>
        </w:rPr>
        <w:t>-</w:t>
      </w:r>
      <w:r w:rsidR="0097437F" w:rsidRPr="00C60592">
        <w:rPr>
          <w:lang w:val="fr-CA"/>
        </w:rPr>
        <w:t>à</w:t>
      </w:r>
      <w:r w:rsidR="001F4CC4">
        <w:rPr>
          <w:lang w:val="fr-CA"/>
        </w:rPr>
        <w:t>-</w:t>
      </w:r>
      <w:r w:rsidR="0097437F" w:rsidRPr="00C60592">
        <w:rPr>
          <w:lang w:val="fr-CA"/>
        </w:rPr>
        <w:t>dire qu’elle doit être le fruit du jugement indépendant de l’expert, non influencée par la partie pour qui il témoigne ou l’issue du litige. Elle doit être exempte de parti pris, en ce sens qu’elle ne doit pas favoriser injustement la position d’une partie au détriment de celle de l’autre. Le critère décisif est que l’opinion de l’expert ne changerait pas, peu importe la partie qui aurait retenu ses services. Ces concepts, il va sans dire, doivent être appliqués aux réalités du débat contradictoire.</w:t>
      </w:r>
    </w:p>
    <w:p w:rsidR="0097437F" w:rsidRPr="00C60592" w:rsidRDefault="006E464B" w:rsidP="001F4CC4">
      <w:pPr>
        <w:pStyle w:val="SCCNormalDoubleSpacing"/>
        <w:widowControl w:val="0"/>
        <w:spacing w:after="480"/>
        <w:rPr>
          <w:lang w:val="fr-CA"/>
        </w:rPr>
      </w:pPr>
      <w:r w:rsidRPr="00C60592">
        <w:rPr>
          <w:lang w:val="fr-CA"/>
        </w:rPr>
        <w:tab/>
      </w:r>
      <w:r w:rsidR="0097437F" w:rsidRPr="00C60592">
        <w:rPr>
          <w:lang w:val="fr-CA"/>
        </w:rPr>
        <w:t xml:space="preserve">C’est sous le volet </w:t>
      </w:r>
      <w:r w:rsidR="001F4CC4">
        <w:rPr>
          <w:lang w:val="fr-CA"/>
        </w:rPr>
        <w:t>« </w:t>
      </w:r>
      <w:r w:rsidR="0097437F" w:rsidRPr="00C60592">
        <w:rPr>
          <w:lang w:val="fr-CA"/>
        </w:rPr>
        <w:t>qualification suffisante de l’expert</w:t>
      </w:r>
      <w:r w:rsidR="001F4CC4">
        <w:rPr>
          <w:lang w:val="fr-CA"/>
        </w:rPr>
        <w:t> »</w:t>
      </w:r>
      <w:r w:rsidR="0097437F" w:rsidRPr="00C60592">
        <w:rPr>
          <w:lang w:val="fr-CA"/>
        </w:rPr>
        <w:t xml:space="preserve"> du cadre établi </w:t>
      </w:r>
      <w:r w:rsidR="0097437F" w:rsidRPr="00C60592">
        <w:rPr>
          <w:lang w:val="fr-CA"/>
        </w:rPr>
        <w:lastRenderedPageBreak/>
        <w:t xml:space="preserve">par l’arrêt </w:t>
      </w:r>
      <w:r w:rsidR="0097437F" w:rsidRPr="00C60592">
        <w:rPr>
          <w:i/>
          <w:iCs/>
          <w:lang w:val="fr-CA"/>
        </w:rPr>
        <w:t xml:space="preserve">Mohan </w:t>
      </w:r>
      <w:r w:rsidR="0097437F" w:rsidRPr="00C60592">
        <w:rPr>
          <w:iCs/>
          <w:lang w:val="fr-CA"/>
        </w:rPr>
        <w:t xml:space="preserve">qu’il convient d’abord d’examiner </w:t>
      </w:r>
      <w:r w:rsidR="0097437F" w:rsidRPr="00C60592">
        <w:rPr>
          <w:lang w:val="fr-CA"/>
        </w:rPr>
        <w:t xml:space="preserve">les préoccupations concernant l’obligation de l’expert envers le tribunal et s’il peut ou veut s’en acquitter. Le témoin expert proposé qui ne peut ou ne veut s’acquitter de son obligation envers le tribunal </w:t>
      </w:r>
      <w:r w:rsidR="0097437F" w:rsidRPr="00C60592">
        <w:rPr>
          <w:shd w:val="clear" w:color="auto" w:fill="FFFFFF"/>
          <w:lang w:val="fr-CA"/>
        </w:rPr>
        <w:t>ne possède pas la qualification suffisante</w:t>
      </w:r>
      <w:r w:rsidR="0097437F" w:rsidRPr="00C60592">
        <w:rPr>
          <w:lang w:val="fr-CA"/>
        </w:rPr>
        <w:t xml:space="preserve"> pour exercer ce rôle. S’il ne satisfait pas à ce critère d’admissibilité, son témoignage ne devrait pas être admis. Or, dès lors qu’il y est satisfait, toute réserve </w:t>
      </w:r>
      <w:r w:rsidR="0028773F">
        <w:rPr>
          <w:lang w:val="fr-CA"/>
        </w:rPr>
        <w:t>qui demeure quant à savoir si l’</w:t>
      </w:r>
      <w:r w:rsidR="0097437F" w:rsidRPr="00C60592">
        <w:rPr>
          <w:lang w:val="fr-CA"/>
        </w:rPr>
        <w:t>expert s</w:t>
      </w:r>
      <w:r w:rsidR="0028773F">
        <w:rPr>
          <w:lang w:val="fr-CA"/>
        </w:rPr>
        <w:t>’</w:t>
      </w:r>
      <w:r w:rsidR="0097437F" w:rsidRPr="00C60592">
        <w:rPr>
          <w:lang w:val="fr-CA"/>
        </w:rPr>
        <w:t>est conformé à son obligation devrait être examinée dans le cadre de l’analyse coût</w:t>
      </w:r>
      <w:r w:rsidR="001F4CC4">
        <w:rPr>
          <w:lang w:val="fr-CA"/>
        </w:rPr>
        <w:t>-</w:t>
      </w:r>
      <w:r w:rsidR="0097437F" w:rsidRPr="00C60592">
        <w:rPr>
          <w:lang w:val="fr-CA"/>
        </w:rPr>
        <w:t>bénéf</w:t>
      </w:r>
      <w:r w:rsidR="0028773F">
        <w:rPr>
          <w:lang w:val="fr-CA"/>
        </w:rPr>
        <w:t>ices qu’effectue le juge dans l’</w:t>
      </w:r>
      <w:r w:rsidR="0097437F" w:rsidRPr="00C60592">
        <w:rPr>
          <w:lang w:val="fr-CA"/>
        </w:rPr>
        <w:t xml:space="preserve">exercice de son rôle de gardien. </w:t>
      </w:r>
    </w:p>
    <w:p w:rsidR="0097437F" w:rsidRPr="00C60592" w:rsidRDefault="006E464B" w:rsidP="001F4CC4">
      <w:pPr>
        <w:pStyle w:val="SCCNormalDoubleSpacing"/>
        <w:widowControl w:val="0"/>
        <w:spacing w:after="480"/>
        <w:rPr>
          <w:lang w:val="fr-CA"/>
        </w:rPr>
      </w:pPr>
      <w:r w:rsidRPr="00C60592">
        <w:rPr>
          <w:lang w:val="fr-CA"/>
        </w:rPr>
        <w:tab/>
      </w:r>
      <w:r w:rsidR="0097437F" w:rsidRPr="00C60592">
        <w:rPr>
          <w:lang w:val="fr-CA"/>
        </w:rPr>
        <w:t>L’idée, en imposant ce critère supplémentaire, n’est pas de prolonger ni de complexifier les procès et il ne devrait pas en résulter un tel effet. Le juge de première instance doit déterminer, compte tenu tant de la situation particulière de l’expert que de la teneur du témoignage proposé, si l’expert peut ou veut s’acquitter de sa principale obligation envers le tribun</w:t>
      </w:r>
      <w:r w:rsidR="002D1734">
        <w:rPr>
          <w:lang w:val="fr-CA"/>
        </w:rPr>
        <w:t>al.</w:t>
      </w:r>
      <w:r w:rsidR="001F4CC4">
        <w:rPr>
          <w:lang w:val="fr-CA"/>
        </w:rPr>
        <w:t xml:space="preserve"> </w:t>
      </w:r>
      <w:r w:rsidR="0097437F" w:rsidRPr="00C60592">
        <w:rPr>
          <w:lang w:val="fr-CA"/>
        </w:rPr>
        <w:t>En l’absence d’une contestation, il est généralement satisfait au critère dès lors que l’expert, dans son attestation ou sa déposition, reconnaît son obligation et l’accepte. Toutefois, si la partie qui s’oppose à l’admission démontre un motif réaliste de croire que l’expert ne peut ou ne veut s’acquitter de son obligation, il revient à la partie qui produit la preuve d’en établir l’admissibilité. La décision d’exclure le témoignage à la première étape de l’analyse pour non</w:t>
      </w:r>
      <w:r w:rsidR="001F4CC4">
        <w:rPr>
          <w:lang w:val="fr-CA"/>
        </w:rPr>
        <w:t>-</w:t>
      </w:r>
      <w:r w:rsidR="0097437F" w:rsidRPr="00C60592">
        <w:rPr>
          <w:lang w:val="fr-CA"/>
        </w:rPr>
        <w:t xml:space="preserve">conformité aux critères d’admissibilité ne devrait être </w:t>
      </w:r>
      <w:proofErr w:type="gramStart"/>
      <w:r w:rsidR="0097437F" w:rsidRPr="00C60592">
        <w:rPr>
          <w:lang w:val="fr-CA"/>
        </w:rPr>
        <w:t>prise</w:t>
      </w:r>
      <w:proofErr w:type="gramEnd"/>
      <w:r w:rsidR="0097437F" w:rsidRPr="00C60592">
        <w:rPr>
          <w:lang w:val="fr-CA"/>
        </w:rPr>
        <w:t xml:space="preserve"> que dans les cas manifestes où l’expert proposé ne peut ou ne veut fournir une preuve juste, objective et impartiale. Dans les autres cas, le témoignage ne devrait pas être exclu d’office, et son admissibilité sera déterminée à l’issue d’une pondération globale du coût et des bénéfices de son admission.</w:t>
      </w:r>
    </w:p>
    <w:p w:rsidR="0097437F" w:rsidRPr="00C60592" w:rsidRDefault="006E464B" w:rsidP="001F4CC4">
      <w:pPr>
        <w:pStyle w:val="SCCNormalDoubleSpacing"/>
        <w:widowControl w:val="0"/>
        <w:spacing w:after="480"/>
        <w:rPr>
          <w:lang w:val="fr-CA"/>
        </w:rPr>
      </w:pPr>
      <w:r w:rsidRPr="00C60592">
        <w:rPr>
          <w:lang w:val="fr-CA"/>
        </w:rPr>
        <w:lastRenderedPageBreak/>
        <w:tab/>
      </w:r>
      <w:r w:rsidR="0097437F" w:rsidRPr="00C60592">
        <w:rPr>
          <w:lang w:val="fr-CA"/>
        </w:rPr>
        <w:t>La notion d’apparence de parti pris n’est pas pertinente lorsqu’il s’agit de déterminer si le témoin expert pourra ou voudra s’acquitter de sa principale obligation envers le tribun</w:t>
      </w:r>
      <w:r w:rsidR="002D1734">
        <w:rPr>
          <w:lang w:val="fr-CA"/>
        </w:rPr>
        <w:t>al.</w:t>
      </w:r>
      <w:r w:rsidR="001F4CC4">
        <w:rPr>
          <w:lang w:val="fr-CA"/>
        </w:rPr>
        <w:t xml:space="preserve"> </w:t>
      </w:r>
      <w:r w:rsidR="0097437F" w:rsidRPr="00C60592">
        <w:rPr>
          <w:lang w:val="fr-CA"/>
        </w:rPr>
        <w:t>Lorsque l’on se penche sur l’intérêt d’un expert ou sur ses rapports avec une partie, il ne s’agit pas de se demander si un observateur raisonnable penserait que l’expert est indépendant ou non; il s’agit plutôt de déterminer si la relation de l’expert avec une partie ou son intérêt fait en sorte qu’il ne peut ou ne veut s’acquitter de sa principale obligation envers le tribunal, en l'occurrence apporter au tribunal une aide juste, objective et impartiale.</w:t>
      </w:r>
      <w:r w:rsidR="003578A4" w:rsidRPr="00C60592">
        <w:rPr>
          <w:lang w:val="fr-CA"/>
        </w:rPr>
        <w:t xml:space="preserve"> </w:t>
      </w:r>
    </w:p>
    <w:p w:rsidR="0097437F" w:rsidRPr="00C60592" w:rsidRDefault="0097437F" w:rsidP="001F4CC4">
      <w:pPr>
        <w:pStyle w:val="SCCNormalDoubleSpacing"/>
        <w:widowControl w:val="0"/>
        <w:spacing w:after="480"/>
        <w:rPr>
          <w:lang w:val="fr-CA"/>
        </w:rPr>
      </w:pPr>
      <w:r w:rsidRPr="00C60592">
        <w:rPr>
          <w:lang w:val="fr-CA"/>
        </w:rPr>
        <w:tab/>
        <w:t>En l’espèce, le dossier ne révèle aucun élément qui permette de conclure que le témoignage de M devrait être exclu parce que celle</w:t>
      </w:r>
      <w:r w:rsidR="001F4CC4">
        <w:rPr>
          <w:lang w:val="fr-CA"/>
        </w:rPr>
        <w:t>-</w:t>
      </w:r>
      <w:r w:rsidRPr="00C60592">
        <w:rPr>
          <w:lang w:val="fr-CA"/>
        </w:rPr>
        <w:t>ci ne pouvait ou ne voulait rendre devant le tribunal un témoignage juste, objectif et imparti</w:t>
      </w:r>
      <w:r w:rsidR="002D1734">
        <w:rPr>
          <w:lang w:val="fr-CA"/>
        </w:rPr>
        <w:t>al.</w:t>
      </w:r>
      <w:r w:rsidR="001F4CC4">
        <w:rPr>
          <w:lang w:val="fr-CA"/>
        </w:rPr>
        <w:t xml:space="preserve"> </w:t>
      </w:r>
      <w:r w:rsidRPr="00C60592">
        <w:rPr>
          <w:lang w:val="fr-CA"/>
        </w:rPr>
        <w:t>La majorité de la Cour d’appel a eu raison de conclure que le juge des requêtes avait commis une erreur manifeste et dominante en estimant que M était dans une situation de conflit d’intérêts qui l’empêchait de rendre un témoignage objectif et imparti</w:t>
      </w:r>
      <w:r w:rsidR="002D1734">
        <w:rPr>
          <w:lang w:val="fr-CA"/>
        </w:rPr>
        <w:t>al.</w:t>
      </w:r>
      <w:r w:rsidR="001F4CC4">
        <w:rPr>
          <w:lang w:val="fr-CA"/>
        </w:rPr>
        <w:t xml:space="preserve"> </w:t>
      </w:r>
    </w:p>
    <w:p w:rsidR="004D7D95" w:rsidRPr="00C60592" w:rsidRDefault="004D7D95" w:rsidP="001F4CC4">
      <w:pPr>
        <w:pStyle w:val="SCCNormalDoubleSpacing"/>
        <w:widowControl w:val="0"/>
        <w:spacing w:after="720" w:line="240" w:lineRule="auto"/>
        <w:rPr>
          <w:b/>
          <w:lang w:val="fr-CA"/>
        </w:rPr>
      </w:pPr>
      <w:r w:rsidRPr="00C60592">
        <w:rPr>
          <w:b/>
          <w:lang w:val="fr-CA"/>
        </w:rPr>
        <w:t>Jurisprudence</w:t>
      </w:r>
    </w:p>
    <w:p w:rsidR="004D7D95" w:rsidRPr="00C60592" w:rsidRDefault="004D7D95" w:rsidP="001F4CC4">
      <w:pPr>
        <w:pStyle w:val="SCCNormalDoubleSpacing"/>
        <w:widowControl w:val="0"/>
        <w:spacing w:after="480"/>
        <w:rPr>
          <w:lang w:val="en-US"/>
        </w:rPr>
      </w:pPr>
      <w:r w:rsidRPr="00C60592">
        <w:rPr>
          <w:lang w:val="fr-CA"/>
        </w:rPr>
        <w:tab/>
      </w:r>
      <w:r w:rsidR="0081542C" w:rsidRPr="00C60592">
        <w:rPr>
          <w:b/>
          <w:lang w:val="fr-CA"/>
        </w:rPr>
        <w:t>Arrêts appliqués</w:t>
      </w:r>
      <w:r w:rsidR="001F4CC4">
        <w:rPr>
          <w:b/>
          <w:lang w:val="fr-CA"/>
        </w:rPr>
        <w:t> :</w:t>
      </w:r>
      <w:r w:rsidR="0081542C" w:rsidRPr="00C60592">
        <w:rPr>
          <w:lang w:val="fr-CA"/>
        </w:rPr>
        <w:t xml:space="preserve"> </w:t>
      </w:r>
      <w:r w:rsidR="0081542C" w:rsidRPr="00C60592">
        <w:rPr>
          <w:i/>
          <w:lang w:val="fr-CA"/>
        </w:rPr>
        <w:t>R. c. Mohan</w:t>
      </w:r>
      <w:r w:rsidR="0081542C" w:rsidRPr="00C60592">
        <w:rPr>
          <w:lang w:val="fr-CA"/>
        </w:rPr>
        <w:t xml:space="preserve">, [1994] 2 R.C.S. 9; </w:t>
      </w:r>
      <w:r w:rsidR="00185024" w:rsidRPr="00C60592">
        <w:rPr>
          <w:i/>
          <w:lang w:val="fr-CA"/>
        </w:rPr>
        <w:t>Mouvement laïque québécois c. Saguenay (Ville)</w:t>
      </w:r>
      <w:r w:rsidR="00185024" w:rsidRPr="00C60592">
        <w:rPr>
          <w:lang w:val="fr-CA"/>
        </w:rPr>
        <w:t>, 2015 CSC 16</w:t>
      </w:r>
      <w:r w:rsidR="00457184">
        <w:rPr>
          <w:lang w:val="fr-CA"/>
        </w:rPr>
        <w:t>, [2015] 2 R.C.S. 3</w:t>
      </w:r>
      <w:r w:rsidR="00185024" w:rsidRPr="00C60592">
        <w:rPr>
          <w:lang w:val="fr-CA"/>
        </w:rPr>
        <w:t xml:space="preserve">; </w:t>
      </w:r>
      <w:r w:rsidR="0081542C" w:rsidRPr="00C60592">
        <w:rPr>
          <w:b/>
          <w:lang w:val="fr-CA"/>
        </w:rPr>
        <w:t>arrêt adopté</w:t>
      </w:r>
      <w:r w:rsidR="001F4CC4">
        <w:rPr>
          <w:b/>
          <w:lang w:val="fr-CA"/>
        </w:rPr>
        <w:t> :</w:t>
      </w:r>
      <w:r w:rsidR="0081542C" w:rsidRPr="00C60592">
        <w:rPr>
          <w:lang w:val="fr-CA"/>
        </w:rPr>
        <w:t xml:space="preserve"> </w:t>
      </w:r>
      <w:r w:rsidR="00185024" w:rsidRPr="00C60592">
        <w:rPr>
          <w:i/>
          <w:lang w:val="fr-CA"/>
        </w:rPr>
        <w:t>R. c. Abbey</w:t>
      </w:r>
      <w:r w:rsidR="00185024" w:rsidRPr="00C60592">
        <w:rPr>
          <w:lang w:val="fr-CA"/>
        </w:rPr>
        <w:t xml:space="preserve">, 2009 ONCA 624, 97 O.R. (3d) 330, autorisation d’appel refusée, [2010] 2 R.C.S. v; </w:t>
      </w:r>
      <w:r w:rsidR="0081542C" w:rsidRPr="00C60592">
        <w:rPr>
          <w:b/>
          <w:lang w:val="fr-CA"/>
        </w:rPr>
        <w:t>a</w:t>
      </w:r>
      <w:r w:rsidRPr="00C60592">
        <w:rPr>
          <w:b/>
          <w:lang w:val="fr-CA"/>
        </w:rPr>
        <w:t>rrêts mentionnés</w:t>
      </w:r>
      <w:r w:rsidR="001F4CC4">
        <w:rPr>
          <w:b/>
          <w:lang w:val="fr-CA"/>
        </w:rPr>
        <w:t> :</w:t>
      </w:r>
      <w:r w:rsidRPr="00C60592">
        <w:rPr>
          <w:lang w:val="fr-CA"/>
        </w:rPr>
        <w:t xml:space="preserve"> </w:t>
      </w:r>
      <w:r w:rsidR="006C0333" w:rsidRPr="00C60592">
        <w:rPr>
          <w:i/>
          <w:lang w:val="fr-CA"/>
        </w:rPr>
        <w:t xml:space="preserve">Lord </w:t>
      </w:r>
      <w:proofErr w:type="spellStart"/>
      <w:r w:rsidR="006C0333" w:rsidRPr="00C60592">
        <w:rPr>
          <w:i/>
          <w:lang w:val="fr-CA"/>
        </w:rPr>
        <w:t>Abinger</w:t>
      </w:r>
      <w:proofErr w:type="spellEnd"/>
      <w:r w:rsidR="006C0333" w:rsidRPr="00C60592">
        <w:rPr>
          <w:i/>
          <w:lang w:val="fr-CA"/>
        </w:rPr>
        <w:t xml:space="preserve"> c. Ashton</w:t>
      </w:r>
      <w:r w:rsidR="006C0333" w:rsidRPr="00C60592">
        <w:rPr>
          <w:lang w:val="fr-CA"/>
        </w:rPr>
        <w:t xml:space="preserve"> (1873), L.R. 17 </w:t>
      </w:r>
      <w:proofErr w:type="spellStart"/>
      <w:r w:rsidR="006C0333" w:rsidRPr="00C60592">
        <w:rPr>
          <w:lang w:val="fr-CA"/>
        </w:rPr>
        <w:t>Eq</w:t>
      </w:r>
      <w:proofErr w:type="spellEnd"/>
      <w:r w:rsidR="006C0333" w:rsidRPr="00C60592">
        <w:rPr>
          <w:lang w:val="fr-CA"/>
        </w:rPr>
        <w:t xml:space="preserve">. 358; </w:t>
      </w:r>
      <w:r w:rsidR="006C0333" w:rsidRPr="00C60592">
        <w:rPr>
          <w:i/>
          <w:lang w:val="fr-CA"/>
        </w:rPr>
        <w:t>R. c. D.D.</w:t>
      </w:r>
      <w:r w:rsidR="006C0333" w:rsidRPr="00C60592">
        <w:rPr>
          <w:lang w:val="fr-CA"/>
        </w:rPr>
        <w:t xml:space="preserve">, 2000 CSC 43, [2000] 2 R.C.S. 275; </w:t>
      </w:r>
      <w:proofErr w:type="spellStart"/>
      <w:r w:rsidR="006C0333" w:rsidRPr="00C60592">
        <w:rPr>
          <w:i/>
          <w:lang w:val="fr-CA"/>
        </w:rPr>
        <w:t>Gra</w:t>
      </w:r>
      <w:r w:rsidR="00F93BA8" w:rsidRPr="00C60592">
        <w:rPr>
          <w:i/>
          <w:lang w:val="fr-CA"/>
        </w:rPr>
        <w:t>a</w:t>
      </w:r>
      <w:r w:rsidR="006C0333" w:rsidRPr="00C60592">
        <w:rPr>
          <w:i/>
          <w:lang w:val="fr-CA"/>
        </w:rPr>
        <w:t>t</w:t>
      </w:r>
      <w:proofErr w:type="spellEnd"/>
      <w:r w:rsidR="006C0333" w:rsidRPr="00C60592">
        <w:rPr>
          <w:i/>
          <w:lang w:val="fr-CA"/>
        </w:rPr>
        <w:t xml:space="preserve"> c. La Reine</w:t>
      </w:r>
      <w:r w:rsidR="006C0333" w:rsidRPr="00C60592">
        <w:rPr>
          <w:lang w:val="fr-CA"/>
        </w:rPr>
        <w:t xml:space="preserve">, [1982] 2 R.C.S. 819; </w:t>
      </w:r>
      <w:r w:rsidR="006C0333" w:rsidRPr="00C60592">
        <w:rPr>
          <w:i/>
          <w:lang w:val="fr-CA"/>
        </w:rPr>
        <w:t>R. c. Abbey</w:t>
      </w:r>
      <w:r w:rsidR="006C0333" w:rsidRPr="00C60592">
        <w:rPr>
          <w:lang w:val="fr-CA"/>
        </w:rPr>
        <w:t xml:space="preserve">, [1982] 2 R.C.S. 24; </w:t>
      </w:r>
      <w:r w:rsidR="006C0333" w:rsidRPr="00C60592">
        <w:rPr>
          <w:i/>
          <w:lang w:val="fr-CA"/>
        </w:rPr>
        <w:t>R. c. J.</w:t>
      </w:r>
      <w:r w:rsidR="001F4CC4">
        <w:rPr>
          <w:i/>
          <w:lang w:val="fr-CA"/>
        </w:rPr>
        <w:t>-</w:t>
      </w:r>
      <w:r w:rsidR="006C0333" w:rsidRPr="00C60592">
        <w:rPr>
          <w:i/>
          <w:lang w:val="fr-CA"/>
        </w:rPr>
        <w:t>L.J.</w:t>
      </w:r>
      <w:r w:rsidR="006C0333" w:rsidRPr="00C60592">
        <w:rPr>
          <w:lang w:val="fr-CA"/>
        </w:rPr>
        <w:t xml:space="preserve">, 2000 CSC 51, [2000] 2 R.C.S. 600; </w:t>
      </w:r>
      <w:r w:rsidR="006C0333" w:rsidRPr="00C60592">
        <w:rPr>
          <w:i/>
          <w:lang w:val="fr-CA"/>
        </w:rPr>
        <w:t xml:space="preserve">R. c. </w:t>
      </w:r>
      <w:proofErr w:type="spellStart"/>
      <w:r w:rsidR="006C0333" w:rsidRPr="00C60592">
        <w:rPr>
          <w:i/>
          <w:lang w:val="fr-CA"/>
        </w:rPr>
        <w:lastRenderedPageBreak/>
        <w:t>Sekhon</w:t>
      </w:r>
      <w:proofErr w:type="spellEnd"/>
      <w:r w:rsidR="006C0333" w:rsidRPr="00C60592">
        <w:rPr>
          <w:lang w:val="fr-CA"/>
        </w:rPr>
        <w:t xml:space="preserve">, 2014 CSC 15, [2014] 1 R.C.S. 272; </w:t>
      </w:r>
      <w:proofErr w:type="spellStart"/>
      <w:r w:rsidR="006C0333" w:rsidRPr="00C60592">
        <w:rPr>
          <w:i/>
          <w:lang w:val="fr-CA"/>
        </w:rPr>
        <w:t>Masterpiece</w:t>
      </w:r>
      <w:proofErr w:type="spellEnd"/>
      <w:r w:rsidR="006C0333" w:rsidRPr="00C60592">
        <w:rPr>
          <w:i/>
          <w:lang w:val="fr-CA"/>
        </w:rPr>
        <w:t xml:space="preserve"> Inc. c. </w:t>
      </w:r>
      <w:proofErr w:type="spellStart"/>
      <w:r w:rsidR="006C0333" w:rsidRPr="00C60592">
        <w:rPr>
          <w:i/>
          <w:lang w:val="fr-CA"/>
        </w:rPr>
        <w:t>Alavida</w:t>
      </w:r>
      <w:proofErr w:type="spellEnd"/>
      <w:r w:rsidR="006C0333" w:rsidRPr="00C60592">
        <w:rPr>
          <w:i/>
          <w:lang w:val="fr-CA"/>
        </w:rPr>
        <w:t xml:space="preserve"> </w:t>
      </w:r>
      <w:proofErr w:type="spellStart"/>
      <w:r w:rsidR="006C0333" w:rsidRPr="00C60592">
        <w:rPr>
          <w:i/>
          <w:lang w:val="fr-CA"/>
        </w:rPr>
        <w:t>Lifestyles</w:t>
      </w:r>
      <w:proofErr w:type="spellEnd"/>
      <w:r w:rsidR="006C0333" w:rsidRPr="00C60592">
        <w:rPr>
          <w:i/>
          <w:lang w:val="fr-CA"/>
        </w:rPr>
        <w:t xml:space="preserve"> Inc.</w:t>
      </w:r>
      <w:r w:rsidR="006C0333" w:rsidRPr="00C60592">
        <w:rPr>
          <w:lang w:val="fr-CA"/>
        </w:rPr>
        <w:t xml:space="preserve">, 2011 CSC 27, [2011] 2 R.C.S. 387; </w:t>
      </w:r>
      <w:r w:rsidR="006C0333" w:rsidRPr="00C60592">
        <w:rPr>
          <w:i/>
          <w:lang w:val="fr-CA"/>
        </w:rPr>
        <w:t xml:space="preserve">R. c. </w:t>
      </w:r>
      <w:proofErr w:type="spellStart"/>
      <w:r w:rsidR="006C0333" w:rsidRPr="00C60592">
        <w:rPr>
          <w:i/>
          <w:lang w:val="fr-CA"/>
        </w:rPr>
        <w:t>Trochym</w:t>
      </w:r>
      <w:proofErr w:type="spellEnd"/>
      <w:r w:rsidR="006C0333" w:rsidRPr="00C60592">
        <w:rPr>
          <w:lang w:val="fr-CA"/>
        </w:rPr>
        <w:t>, 2007 CSC 6, [2007] 1 R.C.S. 239;</w:t>
      </w:r>
      <w:r w:rsidR="00D236A8" w:rsidRPr="00C60592">
        <w:rPr>
          <w:lang w:val="fr-CA"/>
        </w:rPr>
        <w:t xml:space="preserve"> </w:t>
      </w:r>
      <w:r w:rsidR="00D236A8" w:rsidRPr="00C60592">
        <w:rPr>
          <w:i/>
          <w:lang w:val="fr-CA"/>
        </w:rPr>
        <w:t>R. c. Boswell</w:t>
      </w:r>
      <w:r w:rsidR="00D236A8" w:rsidRPr="00C60592">
        <w:rPr>
          <w:lang w:val="fr-CA"/>
        </w:rPr>
        <w:t xml:space="preserve">, 2011 ONCA 283, 85 C.R. (6th) 290; </w:t>
      </w:r>
      <w:r w:rsidR="00D236A8" w:rsidRPr="00C60592">
        <w:rPr>
          <w:i/>
          <w:lang w:val="fr-CA"/>
        </w:rPr>
        <w:t>R. c. C.</w:t>
      </w:r>
      <w:r w:rsidR="001F4CC4">
        <w:rPr>
          <w:i/>
          <w:lang w:val="fr-CA"/>
        </w:rPr>
        <w:t xml:space="preserve"> </w:t>
      </w:r>
      <w:r w:rsidR="00D236A8" w:rsidRPr="00C60592">
        <w:rPr>
          <w:i/>
          <w:lang w:val="fr-CA"/>
        </w:rPr>
        <w:t>(M.)</w:t>
      </w:r>
      <w:r w:rsidR="00D236A8" w:rsidRPr="00C60592">
        <w:rPr>
          <w:lang w:val="fr-CA"/>
        </w:rPr>
        <w:t xml:space="preserve">, 2014 ONCA 611, 13 C.R. (7th) 396; </w:t>
      </w:r>
      <w:r w:rsidR="00D236A8" w:rsidRPr="00C60592">
        <w:rPr>
          <w:i/>
          <w:lang w:val="fr-CA"/>
        </w:rPr>
        <w:t xml:space="preserve">National Justice </w:t>
      </w:r>
      <w:proofErr w:type="spellStart"/>
      <w:r w:rsidR="00D236A8" w:rsidRPr="00C60592">
        <w:rPr>
          <w:i/>
          <w:lang w:val="fr-CA"/>
        </w:rPr>
        <w:t>Compania</w:t>
      </w:r>
      <w:proofErr w:type="spellEnd"/>
      <w:r w:rsidR="00D236A8" w:rsidRPr="00C60592">
        <w:rPr>
          <w:i/>
          <w:lang w:val="fr-CA"/>
        </w:rPr>
        <w:t xml:space="preserve"> </w:t>
      </w:r>
      <w:proofErr w:type="spellStart"/>
      <w:r w:rsidR="00D236A8" w:rsidRPr="00C60592">
        <w:rPr>
          <w:i/>
          <w:lang w:val="fr-CA"/>
        </w:rPr>
        <w:t>Naviera</w:t>
      </w:r>
      <w:proofErr w:type="spellEnd"/>
      <w:r w:rsidR="00D236A8" w:rsidRPr="00C60592">
        <w:rPr>
          <w:i/>
          <w:lang w:val="fr-CA"/>
        </w:rPr>
        <w:t xml:space="preserve"> S.A. c. </w:t>
      </w:r>
      <w:proofErr w:type="spellStart"/>
      <w:r w:rsidR="00D236A8" w:rsidRPr="00C60592">
        <w:rPr>
          <w:i/>
          <w:lang w:val="fr-CA"/>
        </w:rPr>
        <w:t>Prudential</w:t>
      </w:r>
      <w:proofErr w:type="spellEnd"/>
      <w:r w:rsidR="00D236A8" w:rsidRPr="00C60592">
        <w:rPr>
          <w:i/>
          <w:lang w:val="fr-CA"/>
        </w:rPr>
        <w:t xml:space="preserve"> Assurance Co.</w:t>
      </w:r>
      <w:r w:rsidR="00D236A8" w:rsidRPr="00C60592">
        <w:rPr>
          <w:lang w:val="fr-CA"/>
        </w:rPr>
        <w:t xml:space="preserve">, [1993] 2 Lloyd’s </w:t>
      </w:r>
      <w:proofErr w:type="spellStart"/>
      <w:r w:rsidR="00D236A8" w:rsidRPr="00C60592">
        <w:rPr>
          <w:lang w:val="fr-CA"/>
        </w:rPr>
        <w:t>Re</w:t>
      </w:r>
      <w:r w:rsidR="002D1734">
        <w:rPr>
          <w:lang w:val="fr-CA"/>
        </w:rPr>
        <w:t>p</w:t>
      </w:r>
      <w:proofErr w:type="spellEnd"/>
      <w:r w:rsidR="002D1734">
        <w:rPr>
          <w:lang w:val="fr-CA"/>
        </w:rPr>
        <w:t>.</w:t>
      </w:r>
      <w:r w:rsidR="001F4CC4">
        <w:rPr>
          <w:lang w:val="fr-CA"/>
        </w:rPr>
        <w:t xml:space="preserve"> </w:t>
      </w:r>
      <w:r w:rsidR="00D236A8" w:rsidRPr="00C60592">
        <w:rPr>
          <w:lang w:val="fr-CA"/>
        </w:rPr>
        <w:t xml:space="preserve">68, inf. par [1995] 1 Lloyd’s </w:t>
      </w:r>
      <w:proofErr w:type="spellStart"/>
      <w:r w:rsidR="00D236A8" w:rsidRPr="00C60592">
        <w:rPr>
          <w:lang w:val="fr-CA"/>
        </w:rPr>
        <w:t>Re</w:t>
      </w:r>
      <w:r w:rsidR="002D1734">
        <w:rPr>
          <w:lang w:val="fr-CA"/>
        </w:rPr>
        <w:t>p</w:t>
      </w:r>
      <w:proofErr w:type="spellEnd"/>
      <w:r w:rsidR="002D1734">
        <w:rPr>
          <w:lang w:val="fr-CA"/>
        </w:rPr>
        <w:t>.</w:t>
      </w:r>
      <w:r w:rsidR="001F4CC4">
        <w:rPr>
          <w:lang w:val="fr-CA"/>
        </w:rPr>
        <w:t xml:space="preserve"> </w:t>
      </w:r>
      <w:r w:rsidR="00D236A8" w:rsidRPr="00C60592">
        <w:rPr>
          <w:lang w:val="fr-CA"/>
        </w:rPr>
        <w:t xml:space="preserve">455; </w:t>
      </w:r>
      <w:proofErr w:type="spellStart"/>
      <w:r w:rsidR="00D236A8" w:rsidRPr="00C60592">
        <w:rPr>
          <w:i/>
          <w:lang w:val="fr-CA"/>
        </w:rPr>
        <w:t>Fellowes</w:t>
      </w:r>
      <w:proofErr w:type="spellEnd"/>
      <w:r w:rsidR="00D236A8" w:rsidRPr="00C60592">
        <w:rPr>
          <w:i/>
          <w:lang w:val="fr-CA"/>
        </w:rPr>
        <w:t xml:space="preserve">, McNeil c. Kansa General International </w:t>
      </w:r>
      <w:proofErr w:type="spellStart"/>
      <w:r w:rsidR="00D236A8" w:rsidRPr="00C60592">
        <w:rPr>
          <w:i/>
          <w:lang w:val="fr-CA"/>
        </w:rPr>
        <w:t>Insurance</w:t>
      </w:r>
      <w:proofErr w:type="spellEnd"/>
      <w:r w:rsidR="00D236A8" w:rsidRPr="00C60592">
        <w:rPr>
          <w:i/>
          <w:lang w:val="fr-CA"/>
        </w:rPr>
        <w:t xml:space="preserve"> Co.</w:t>
      </w:r>
      <w:r w:rsidR="00D236A8" w:rsidRPr="00C60592">
        <w:rPr>
          <w:lang w:val="fr-CA"/>
        </w:rPr>
        <w:t xml:space="preserve"> </w:t>
      </w:r>
      <w:r w:rsidR="00D236A8" w:rsidRPr="00C60592">
        <w:t xml:space="preserve">(1998), 40 O.R. (3d) 456; </w:t>
      </w:r>
      <w:r w:rsidR="00D236A8" w:rsidRPr="00C60592">
        <w:rPr>
          <w:i/>
        </w:rPr>
        <w:t>Royal Trust Cor</w:t>
      </w:r>
      <w:r w:rsidR="002D1734">
        <w:rPr>
          <w:i/>
        </w:rPr>
        <w:t>p.</w:t>
      </w:r>
      <w:r w:rsidR="001F4CC4">
        <w:rPr>
          <w:i/>
        </w:rPr>
        <w:t xml:space="preserve"> </w:t>
      </w:r>
      <w:r w:rsidR="00D236A8" w:rsidRPr="00C60592">
        <w:rPr>
          <w:i/>
        </w:rPr>
        <w:t>of Canada c. Fisherman</w:t>
      </w:r>
      <w:r w:rsidR="00D236A8" w:rsidRPr="00C60592">
        <w:t xml:space="preserve"> (2000), 49 O.R. (3d) 187; </w:t>
      </w:r>
      <w:r w:rsidR="00D236A8" w:rsidRPr="00C60592">
        <w:rPr>
          <w:i/>
        </w:rPr>
        <w:t>R. c. Docherty</w:t>
      </w:r>
      <w:r w:rsidR="00D236A8" w:rsidRPr="00C60592">
        <w:t xml:space="preserve">, 2010 ONSC 3628; </w:t>
      </w:r>
      <w:r w:rsidR="00D236A8" w:rsidRPr="00C60592">
        <w:rPr>
          <w:i/>
        </w:rPr>
        <w:t>Ocean c. Economical Mutual Insurance Co.</w:t>
      </w:r>
      <w:r w:rsidR="00D236A8" w:rsidRPr="00C60592">
        <w:t xml:space="preserve">, 2010 NSSC 315, 293 N.S.R. (2d) 394; </w:t>
      </w:r>
      <w:r w:rsidR="00D236A8" w:rsidRPr="00C60592">
        <w:rPr>
          <w:i/>
        </w:rPr>
        <w:t>Handley c. Punnett</w:t>
      </w:r>
      <w:r w:rsidR="00D236A8" w:rsidRPr="00C60592">
        <w:t xml:space="preserve">, 2003 BCSC 294; </w:t>
      </w:r>
      <w:r w:rsidR="00D236A8" w:rsidRPr="00C60592">
        <w:rPr>
          <w:i/>
        </w:rPr>
        <w:t xml:space="preserve">Bank of Montreal c. </w:t>
      </w:r>
      <w:proofErr w:type="spellStart"/>
      <w:r w:rsidR="00D236A8" w:rsidRPr="00C60592">
        <w:rPr>
          <w:i/>
        </w:rPr>
        <w:t>Citak</w:t>
      </w:r>
      <w:proofErr w:type="spellEnd"/>
      <w:r w:rsidR="00D236A8" w:rsidRPr="00C60592">
        <w:t xml:space="preserve">, [2001] O.J. </w:t>
      </w:r>
      <w:r w:rsidR="002D1734">
        <w:t>No.</w:t>
      </w:r>
      <w:r w:rsidR="001F4CC4">
        <w:t xml:space="preserve"> </w:t>
      </w:r>
      <w:r w:rsidR="00D236A8" w:rsidRPr="00C60592">
        <w:t xml:space="preserve">1096 (QL); </w:t>
      </w:r>
      <w:r w:rsidR="00D236A8" w:rsidRPr="00C60592">
        <w:rPr>
          <w:i/>
        </w:rPr>
        <w:t>Dean Construction Co. c. M.J. Dixon Construction Ltd.</w:t>
      </w:r>
      <w:r w:rsidR="00D236A8" w:rsidRPr="00C60592">
        <w:t xml:space="preserve">, 2011 ONSC 4629, 5 C.L.R. (4th) 240; </w:t>
      </w:r>
      <w:proofErr w:type="spellStart"/>
      <w:r w:rsidR="00D236A8" w:rsidRPr="00C60592">
        <w:rPr>
          <w:i/>
        </w:rPr>
        <w:t>Hutchingame</w:t>
      </w:r>
      <w:proofErr w:type="spellEnd"/>
      <w:r w:rsidR="00D236A8" w:rsidRPr="00C60592">
        <w:rPr>
          <w:i/>
        </w:rPr>
        <w:t xml:space="preserve"> c. Johnstone</w:t>
      </w:r>
      <w:r w:rsidR="00D236A8" w:rsidRPr="00C60592">
        <w:t xml:space="preserve">, 2006 BCSC 271; </w:t>
      </w:r>
      <w:proofErr w:type="spellStart"/>
      <w:r w:rsidR="00D236A8" w:rsidRPr="00C60592">
        <w:rPr>
          <w:i/>
        </w:rPr>
        <w:t>Alfano</w:t>
      </w:r>
      <w:proofErr w:type="spellEnd"/>
      <w:r w:rsidR="00D236A8" w:rsidRPr="00C60592">
        <w:rPr>
          <w:i/>
        </w:rPr>
        <w:t xml:space="preserve"> c. Piersanti</w:t>
      </w:r>
      <w:r w:rsidR="00D236A8" w:rsidRPr="00C60592">
        <w:t xml:space="preserve">, 2012 ONCA 297, 291 O.A.C. 62; </w:t>
      </w:r>
      <w:r w:rsidR="00D236A8" w:rsidRPr="00C60592">
        <w:rPr>
          <w:i/>
        </w:rPr>
        <w:t>Kirby Lowbed Services Ltd. c. Bank of Nova Scotia</w:t>
      </w:r>
      <w:r w:rsidR="00D236A8" w:rsidRPr="00C60592">
        <w:t xml:space="preserve">, 2003 BCSC 617; </w:t>
      </w:r>
      <w:r w:rsidR="00D236A8" w:rsidRPr="00C60592">
        <w:rPr>
          <w:i/>
        </w:rPr>
        <w:t>Gould c. Western Coal Corp.</w:t>
      </w:r>
      <w:r w:rsidR="00D236A8" w:rsidRPr="00C60592">
        <w:t xml:space="preserve">, 2012 ONSC 5184, 7 B.L.R. (5th) 19; </w:t>
      </w:r>
      <w:r w:rsidR="00D236A8" w:rsidRPr="00C60592">
        <w:rPr>
          <w:i/>
        </w:rPr>
        <w:t>United City Properties Ltd. c. Tong</w:t>
      </w:r>
      <w:r w:rsidR="00D236A8" w:rsidRPr="00C60592">
        <w:t xml:space="preserve">, 2010 BCSC 111; </w:t>
      </w:r>
      <w:r w:rsidR="00D236A8" w:rsidRPr="00C60592">
        <w:rPr>
          <w:i/>
        </w:rPr>
        <w:t>R. c. INCO Ltd.</w:t>
      </w:r>
      <w:r w:rsidR="00D236A8" w:rsidRPr="00C60592">
        <w:t xml:space="preserve"> (2006), 80 O.R. (3d) 594; </w:t>
      </w:r>
      <w:r w:rsidR="00D236A8" w:rsidRPr="00C60592">
        <w:rPr>
          <w:i/>
        </w:rPr>
        <w:t>R. c. Klassen</w:t>
      </w:r>
      <w:r w:rsidR="00D236A8" w:rsidRPr="00C60592">
        <w:t>, 2003 MBQB 253, 179 Man.</w:t>
      </w:r>
      <w:r w:rsidR="001F4CC4">
        <w:t xml:space="preserve"> </w:t>
      </w:r>
      <w:r w:rsidR="00D236A8" w:rsidRPr="00C60592">
        <w:t xml:space="preserve">R. (2d) 115; </w:t>
      </w:r>
      <w:r w:rsidR="00D236A8" w:rsidRPr="00C60592">
        <w:rPr>
          <w:i/>
        </w:rPr>
        <w:t>Gallant c. Brake</w:t>
      </w:r>
      <w:r w:rsidR="001F4CC4">
        <w:rPr>
          <w:i/>
        </w:rPr>
        <w:t>-</w:t>
      </w:r>
      <w:r w:rsidR="00D236A8" w:rsidRPr="00C60592">
        <w:rPr>
          <w:i/>
        </w:rPr>
        <w:t>Patten</w:t>
      </w:r>
      <w:r w:rsidR="00D236A8" w:rsidRPr="00C60592">
        <w:t xml:space="preserve">, 2012 NLCA 23, 321 Nfld. &amp; P.E.I.R. 77; </w:t>
      </w:r>
      <w:r w:rsidR="00D236A8" w:rsidRPr="00C60592">
        <w:rPr>
          <w:i/>
        </w:rPr>
        <w:t>R. c. Violette</w:t>
      </w:r>
      <w:r w:rsidR="00D236A8" w:rsidRPr="00C60592">
        <w:t xml:space="preserve">, 2008 BCSC 920; </w:t>
      </w:r>
      <w:r w:rsidR="00D236A8" w:rsidRPr="00C60592">
        <w:rPr>
          <w:i/>
        </w:rPr>
        <w:t>Armchair Passenger Transport Ltd. c. Helical Bar Plc</w:t>
      </w:r>
      <w:r w:rsidR="00D236A8" w:rsidRPr="00C60592">
        <w:t xml:space="preserve">, [2003] EWHC 367; </w:t>
      </w:r>
      <w:r w:rsidR="00D236A8" w:rsidRPr="00C60592">
        <w:rPr>
          <w:i/>
        </w:rPr>
        <w:t>R. (</w:t>
      </w:r>
      <w:proofErr w:type="spellStart"/>
      <w:r w:rsidR="00D236A8" w:rsidRPr="00C60592">
        <w:rPr>
          <w:i/>
        </w:rPr>
        <w:t>Factortame</w:t>
      </w:r>
      <w:proofErr w:type="spellEnd"/>
      <w:r w:rsidR="00D236A8" w:rsidRPr="00C60592">
        <w:rPr>
          <w:i/>
        </w:rPr>
        <w:t xml:space="preserve"> Ltd.) c. Secretary of State for Transport</w:t>
      </w:r>
      <w:r w:rsidR="00D236A8" w:rsidRPr="00C60592">
        <w:t xml:space="preserve">, [2002] EWCA </w:t>
      </w:r>
      <w:proofErr w:type="spellStart"/>
      <w:r w:rsidR="00D236A8" w:rsidRPr="00C60592">
        <w:t>Civ</w:t>
      </w:r>
      <w:proofErr w:type="spellEnd"/>
      <w:r w:rsidR="00D236A8" w:rsidRPr="00C60592">
        <w:t xml:space="preserve"> 932, [2003] Q.B. 381; </w:t>
      </w:r>
      <w:r w:rsidR="00D236A8" w:rsidRPr="00C60592">
        <w:rPr>
          <w:i/>
        </w:rPr>
        <w:t xml:space="preserve">Gallaher International Ltd. c. </w:t>
      </w:r>
      <w:proofErr w:type="spellStart"/>
      <w:r w:rsidR="00D236A8" w:rsidRPr="00C60592">
        <w:rPr>
          <w:i/>
        </w:rPr>
        <w:t>Tlais</w:t>
      </w:r>
      <w:proofErr w:type="spellEnd"/>
      <w:r w:rsidR="00D236A8" w:rsidRPr="00C60592">
        <w:rPr>
          <w:i/>
        </w:rPr>
        <w:t xml:space="preserve"> Enterprises Ltd.</w:t>
      </w:r>
      <w:r w:rsidR="00D236A8" w:rsidRPr="00C60592">
        <w:t xml:space="preserve">, [2007] EWHC 464; </w:t>
      </w:r>
      <w:r w:rsidR="00D236A8" w:rsidRPr="00C60592">
        <w:rPr>
          <w:i/>
        </w:rPr>
        <w:t>Meat Cor</w:t>
      </w:r>
      <w:r w:rsidR="002D1734">
        <w:rPr>
          <w:i/>
        </w:rPr>
        <w:t>p.</w:t>
      </w:r>
      <w:r w:rsidR="001F4CC4">
        <w:rPr>
          <w:i/>
        </w:rPr>
        <w:t xml:space="preserve"> </w:t>
      </w:r>
      <w:r w:rsidR="00D236A8" w:rsidRPr="00C60592">
        <w:rPr>
          <w:i/>
        </w:rPr>
        <w:t>of Namibia Ltd. c. Dawn Meats (U.K.) Ltd.</w:t>
      </w:r>
      <w:r w:rsidR="00D236A8" w:rsidRPr="00C60592">
        <w:t xml:space="preserve">, [2011] EWHC 474; </w:t>
      </w:r>
      <w:proofErr w:type="spellStart"/>
      <w:r w:rsidR="00D236A8" w:rsidRPr="00C60592">
        <w:rPr>
          <w:i/>
        </w:rPr>
        <w:t>Matchbet</w:t>
      </w:r>
      <w:proofErr w:type="spellEnd"/>
      <w:r w:rsidR="00D236A8" w:rsidRPr="00C60592">
        <w:rPr>
          <w:i/>
        </w:rPr>
        <w:t xml:space="preserve"> Ltd. c. </w:t>
      </w:r>
      <w:proofErr w:type="spellStart"/>
      <w:r w:rsidR="00D236A8" w:rsidRPr="00C60592">
        <w:rPr>
          <w:i/>
        </w:rPr>
        <w:t>Openbet</w:t>
      </w:r>
      <w:proofErr w:type="spellEnd"/>
      <w:r w:rsidR="00D236A8" w:rsidRPr="00C60592">
        <w:rPr>
          <w:i/>
        </w:rPr>
        <w:t xml:space="preserve"> Retail Ltd.</w:t>
      </w:r>
      <w:r w:rsidR="00D236A8" w:rsidRPr="00C60592">
        <w:t xml:space="preserve">, [2013] EWHC 3067; </w:t>
      </w:r>
      <w:r w:rsidR="00D236A8" w:rsidRPr="00C60592">
        <w:rPr>
          <w:i/>
        </w:rPr>
        <w:t xml:space="preserve">FGT Custodians Pty. Ltd. c. </w:t>
      </w:r>
      <w:proofErr w:type="spellStart"/>
      <w:r w:rsidR="00D236A8" w:rsidRPr="00C60592">
        <w:rPr>
          <w:i/>
        </w:rPr>
        <w:t>Fagenblat</w:t>
      </w:r>
      <w:proofErr w:type="spellEnd"/>
      <w:r w:rsidR="00D236A8" w:rsidRPr="00C60592">
        <w:t xml:space="preserve">, [2003] VSCA 33; </w:t>
      </w:r>
      <w:r w:rsidR="00D236A8" w:rsidRPr="00C60592">
        <w:rPr>
          <w:i/>
        </w:rPr>
        <w:t>Collins Thomson c. Clayton</w:t>
      </w:r>
      <w:r w:rsidR="00D236A8" w:rsidRPr="00C60592">
        <w:t xml:space="preserve">, [2002] NSWSC 366; </w:t>
      </w:r>
      <w:proofErr w:type="spellStart"/>
      <w:r w:rsidR="00D236A8" w:rsidRPr="00C60592">
        <w:rPr>
          <w:i/>
        </w:rPr>
        <w:t>Kirch</w:t>
      </w:r>
      <w:proofErr w:type="spellEnd"/>
      <w:r w:rsidR="00D236A8" w:rsidRPr="00C60592">
        <w:rPr>
          <w:i/>
        </w:rPr>
        <w:t xml:space="preserve"> Communications Pty Ltd. c. Gene Engineering Pty Ltd.</w:t>
      </w:r>
      <w:r w:rsidR="00D236A8" w:rsidRPr="00C60592">
        <w:t xml:space="preserve">, [2002] NSWSC 485; </w:t>
      </w:r>
      <w:r w:rsidR="00D236A8" w:rsidRPr="00C60592">
        <w:rPr>
          <w:i/>
        </w:rPr>
        <w:t xml:space="preserve">SmithKline Beecham (Australia) Pty Ltd. </w:t>
      </w:r>
      <w:r w:rsidR="00D236A8" w:rsidRPr="00C60592">
        <w:rPr>
          <w:i/>
        </w:rPr>
        <w:lastRenderedPageBreak/>
        <w:t xml:space="preserve">c. </w:t>
      </w:r>
      <w:proofErr w:type="spellStart"/>
      <w:r w:rsidR="00D236A8" w:rsidRPr="00C60592">
        <w:rPr>
          <w:i/>
        </w:rPr>
        <w:t>Chipman</w:t>
      </w:r>
      <w:proofErr w:type="spellEnd"/>
      <w:r w:rsidR="00D236A8" w:rsidRPr="00C60592">
        <w:t xml:space="preserve">, [2003] FCA 796, 131 F.C.R. 500; </w:t>
      </w:r>
      <w:r w:rsidR="00D236A8" w:rsidRPr="00C60592">
        <w:rPr>
          <w:i/>
        </w:rPr>
        <w:t xml:space="preserve">Rodriguez c. </w:t>
      </w:r>
      <w:proofErr w:type="spellStart"/>
      <w:r w:rsidR="00D236A8" w:rsidRPr="00C60592">
        <w:rPr>
          <w:i/>
        </w:rPr>
        <w:t>Pacificare</w:t>
      </w:r>
      <w:proofErr w:type="spellEnd"/>
      <w:r w:rsidR="00D236A8" w:rsidRPr="00C60592">
        <w:rPr>
          <w:i/>
        </w:rPr>
        <w:t xml:space="preserve"> of Texas, Inc.</w:t>
      </w:r>
      <w:r w:rsidR="00D236A8" w:rsidRPr="00C60592">
        <w:t xml:space="preserve">, 980 F.2d 1014 (1993); </w:t>
      </w:r>
      <w:proofErr w:type="spellStart"/>
      <w:r w:rsidR="00D236A8" w:rsidRPr="00C60592">
        <w:rPr>
          <w:i/>
        </w:rPr>
        <w:t>Tagatz</w:t>
      </w:r>
      <w:proofErr w:type="spellEnd"/>
      <w:r w:rsidR="00D236A8" w:rsidRPr="00C60592">
        <w:rPr>
          <w:i/>
        </w:rPr>
        <w:t xml:space="preserve"> c. Marquette University</w:t>
      </w:r>
      <w:r w:rsidR="00D236A8" w:rsidRPr="00C60592">
        <w:t xml:space="preserve">, 861 F.2d 1040 (1988); </w:t>
      </w:r>
      <w:r w:rsidR="00D236A8" w:rsidRPr="00C60592">
        <w:rPr>
          <w:i/>
        </w:rPr>
        <w:t>Apple Inc. c. Motorola, Inc.</w:t>
      </w:r>
      <w:r w:rsidR="00D236A8" w:rsidRPr="00C60592">
        <w:t xml:space="preserve">, 757 F.3d 1286 (2014); </w:t>
      </w:r>
      <w:proofErr w:type="spellStart"/>
      <w:r w:rsidR="00D236A8" w:rsidRPr="00C60592">
        <w:rPr>
          <w:i/>
        </w:rPr>
        <w:t>Agribrands</w:t>
      </w:r>
      <w:proofErr w:type="spellEnd"/>
      <w:r w:rsidR="00D236A8" w:rsidRPr="00C60592">
        <w:rPr>
          <w:i/>
        </w:rPr>
        <w:t xml:space="preserve"> Purina Canada Inc. c. </w:t>
      </w:r>
      <w:proofErr w:type="spellStart"/>
      <w:r w:rsidR="00D236A8" w:rsidRPr="00C60592">
        <w:rPr>
          <w:i/>
        </w:rPr>
        <w:t>Kasamekas</w:t>
      </w:r>
      <w:proofErr w:type="spellEnd"/>
      <w:r w:rsidR="00D236A8" w:rsidRPr="00C60592">
        <w:t xml:space="preserve">, 2010 ONSC 166; </w:t>
      </w:r>
      <w:r w:rsidR="00D236A8" w:rsidRPr="00C60592">
        <w:rPr>
          <w:i/>
        </w:rPr>
        <w:t>R. c. Demetrius</w:t>
      </w:r>
      <w:r w:rsidR="00D236A8" w:rsidRPr="00C60592">
        <w:t xml:space="preserve">, 2009 </w:t>
      </w:r>
      <w:proofErr w:type="spellStart"/>
      <w:r w:rsidR="00D236A8" w:rsidRPr="00C60592">
        <w:t>CanLII</w:t>
      </w:r>
      <w:proofErr w:type="spellEnd"/>
      <w:r w:rsidR="00D236A8" w:rsidRPr="00C60592">
        <w:t xml:space="preserve"> 22797; </w:t>
      </w:r>
      <w:r w:rsidR="00D236A8" w:rsidRPr="00C60592">
        <w:rPr>
          <w:i/>
        </w:rPr>
        <w:t>International Hi</w:t>
      </w:r>
      <w:r w:rsidR="001F4CC4">
        <w:rPr>
          <w:i/>
        </w:rPr>
        <w:t>-</w:t>
      </w:r>
      <w:r w:rsidR="00D236A8" w:rsidRPr="00C60592">
        <w:rPr>
          <w:i/>
        </w:rPr>
        <w:t>Tech Industries Inc</w:t>
      </w:r>
      <w:r w:rsidR="00665F6C" w:rsidRPr="00C60592">
        <w:rPr>
          <w:i/>
        </w:rPr>
        <w:t>.</w:t>
      </w:r>
      <w:r w:rsidR="00D236A8" w:rsidRPr="00C60592">
        <w:rPr>
          <w:i/>
        </w:rPr>
        <w:t xml:space="preserve"> c. FANUC Robotics Canada Ltd.</w:t>
      </w:r>
      <w:r w:rsidR="00D236A8" w:rsidRPr="00C60592">
        <w:t xml:space="preserve">, 2006 BCSC 2011; </w:t>
      </w:r>
      <w:proofErr w:type="spellStart"/>
      <w:r w:rsidR="00D236A8" w:rsidRPr="00C60592">
        <w:rPr>
          <w:i/>
        </w:rPr>
        <w:t>Casurina</w:t>
      </w:r>
      <w:proofErr w:type="spellEnd"/>
      <w:r w:rsidR="00D236A8" w:rsidRPr="00C60592">
        <w:rPr>
          <w:i/>
        </w:rPr>
        <w:t xml:space="preserve"> Ltd. Partnership c. Rio </w:t>
      </w:r>
      <w:proofErr w:type="spellStart"/>
      <w:r w:rsidR="00D236A8" w:rsidRPr="00C60592">
        <w:rPr>
          <w:i/>
        </w:rPr>
        <w:t>Algom</w:t>
      </w:r>
      <w:proofErr w:type="spellEnd"/>
      <w:r w:rsidR="00D236A8" w:rsidRPr="00C60592">
        <w:rPr>
          <w:i/>
        </w:rPr>
        <w:t xml:space="preserve"> Ltd.</w:t>
      </w:r>
      <w:r w:rsidR="00D236A8" w:rsidRPr="00C60592">
        <w:t xml:space="preserve"> (2002), 28 B.L.R. (3d) 44; </w:t>
      </w:r>
      <w:r w:rsidR="00D236A8" w:rsidRPr="00C60592">
        <w:rPr>
          <w:i/>
        </w:rPr>
        <w:t>Prairie Well Servicing Ltd. c. Tundra Oil and Gas Ltd.</w:t>
      </w:r>
      <w:r w:rsidR="00D236A8" w:rsidRPr="00C60592">
        <w:t>, 2000 MBQB 52, 146 Man.</w:t>
      </w:r>
      <w:r w:rsidR="001F4CC4">
        <w:t xml:space="preserve"> </w:t>
      </w:r>
      <w:r w:rsidR="00D236A8" w:rsidRPr="00C60592">
        <w:t xml:space="preserve">R. (2d) 284; </w:t>
      </w:r>
      <w:proofErr w:type="spellStart"/>
      <w:r w:rsidR="00D236A8" w:rsidRPr="00C60592">
        <w:rPr>
          <w:i/>
        </w:rPr>
        <w:t>Deemar</w:t>
      </w:r>
      <w:proofErr w:type="spellEnd"/>
      <w:r w:rsidR="00D236A8" w:rsidRPr="00C60592">
        <w:rPr>
          <w:i/>
        </w:rPr>
        <w:t xml:space="preserve"> c. College of Veterinarians of Ontario</w:t>
      </w:r>
      <w:r w:rsidR="00D236A8" w:rsidRPr="00C60592">
        <w:t xml:space="preserve">, 2008 ONCA 600, 92 O.R. (3d) 97; </w:t>
      </w:r>
      <w:proofErr w:type="spellStart"/>
      <w:r w:rsidR="00D236A8" w:rsidRPr="00C60592">
        <w:rPr>
          <w:i/>
        </w:rPr>
        <w:t>Coady</w:t>
      </w:r>
      <w:proofErr w:type="spellEnd"/>
      <w:r w:rsidR="00D236A8" w:rsidRPr="00C60592">
        <w:rPr>
          <w:i/>
        </w:rPr>
        <w:t xml:space="preserve"> c. Burton Canada Co.</w:t>
      </w:r>
      <w:r w:rsidR="00D236A8" w:rsidRPr="00C60592">
        <w:t xml:space="preserve">, 2013 NSCA 95, 333 N.S.R. (2d) 348; </w:t>
      </w:r>
      <w:proofErr w:type="spellStart"/>
      <w:r w:rsidR="00D236A8" w:rsidRPr="00C60592">
        <w:rPr>
          <w:i/>
        </w:rPr>
        <w:t>Fougere</w:t>
      </w:r>
      <w:proofErr w:type="spellEnd"/>
      <w:r w:rsidR="00D236A8" w:rsidRPr="00C60592">
        <w:rPr>
          <w:i/>
        </w:rPr>
        <w:t xml:space="preserve"> c. Blunden Construction Ltd.</w:t>
      </w:r>
      <w:r w:rsidR="00D236A8" w:rsidRPr="00C60592">
        <w:t>, 2014 NSCA 52, 345 N.S.R. (2d) 385.</w:t>
      </w:r>
    </w:p>
    <w:p w:rsidR="004D7D95" w:rsidRPr="00C60592" w:rsidRDefault="004D7D95" w:rsidP="001F4CC4">
      <w:pPr>
        <w:pStyle w:val="SCCNormalDoubleSpacing"/>
        <w:widowControl w:val="0"/>
        <w:spacing w:after="720" w:line="240" w:lineRule="auto"/>
        <w:rPr>
          <w:b/>
          <w:lang w:val="fr-CA"/>
        </w:rPr>
      </w:pPr>
      <w:r w:rsidRPr="00C60592">
        <w:rPr>
          <w:b/>
          <w:lang w:val="fr-CA"/>
        </w:rPr>
        <w:t>Lois et règlements cités</w:t>
      </w:r>
    </w:p>
    <w:p w:rsidR="00F24C02" w:rsidRPr="00C60592" w:rsidRDefault="00F24C02" w:rsidP="001F4CC4">
      <w:pPr>
        <w:pStyle w:val="SCCNormalDoubleSpacing"/>
        <w:widowControl w:val="0"/>
        <w:spacing w:after="240" w:line="240" w:lineRule="auto"/>
        <w:ind w:left="539" w:hanging="539"/>
        <w:rPr>
          <w:lang w:val="fr-CA"/>
        </w:rPr>
      </w:pPr>
      <w:r w:rsidRPr="00C60592">
        <w:rPr>
          <w:i/>
          <w:lang w:val="fr-CA"/>
        </w:rPr>
        <w:t>Loi instituant le nouveau Code de procédure civile</w:t>
      </w:r>
      <w:r w:rsidRPr="00C60592">
        <w:rPr>
          <w:lang w:val="fr-CA"/>
        </w:rPr>
        <w:t>, L.Q. 2014, c.</w:t>
      </w:r>
      <w:r w:rsidR="001F4CC4">
        <w:rPr>
          <w:lang w:val="fr-CA"/>
        </w:rPr>
        <w:t xml:space="preserve"> </w:t>
      </w:r>
      <w:r w:rsidRPr="00C60592">
        <w:rPr>
          <w:lang w:val="fr-CA"/>
        </w:rPr>
        <w:t xml:space="preserve">1, </w:t>
      </w:r>
      <w:r w:rsidR="002D1734">
        <w:rPr>
          <w:lang w:val="fr-CA"/>
        </w:rPr>
        <w:t>art.</w:t>
      </w:r>
      <w:r w:rsidR="001F4CC4">
        <w:rPr>
          <w:lang w:val="fr-CA"/>
        </w:rPr>
        <w:t xml:space="preserve"> </w:t>
      </w:r>
      <w:r w:rsidRPr="00C60592">
        <w:rPr>
          <w:lang w:val="fr-CA"/>
        </w:rPr>
        <w:t>22</w:t>
      </w:r>
      <w:r w:rsidR="00FF1FE6" w:rsidRPr="00C60592">
        <w:rPr>
          <w:lang w:val="fr-CA"/>
        </w:rPr>
        <w:t>, 235</w:t>
      </w:r>
      <w:r w:rsidRPr="00C60592">
        <w:rPr>
          <w:lang w:val="fr-CA"/>
        </w:rPr>
        <w:t xml:space="preserve"> [non en vigueur].</w:t>
      </w:r>
    </w:p>
    <w:p w:rsidR="001D53CC" w:rsidRPr="00C60592" w:rsidRDefault="001D53CC" w:rsidP="001F4CC4">
      <w:pPr>
        <w:pStyle w:val="SCCNormalDoubleSpacing"/>
        <w:widowControl w:val="0"/>
        <w:spacing w:after="240" w:line="240" w:lineRule="auto"/>
        <w:ind w:left="539" w:hanging="539"/>
        <w:rPr>
          <w:lang w:val="fr-CA"/>
        </w:rPr>
      </w:pPr>
      <w:r w:rsidRPr="00C60592">
        <w:rPr>
          <w:i/>
          <w:lang w:val="fr-CA"/>
        </w:rPr>
        <w:t>Règles de la Cour du Banc de la Reine</w:t>
      </w:r>
      <w:r w:rsidR="003578A4" w:rsidRPr="00C60592">
        <w:rPr>
          <w:lang w:val="fr-CA"/>
        </w:rPr>
        <w:t xml:space="preserve"> (Saskatchewan), règle</w:t>
      </w:r>
      <w:r w:rsidR="001F4CC4">
        <w:rPr>
          <w:lang w:val="fr-CA"/>
        </w:rPr>
        <w:t xml:space="preserve"> </w:t>
      </w:r>
      <w:r w:rsidRPr="00C60592">
        <w:rPr>
          <w:lang w:val="fr-CA"/>
        </w:rPr>
        <w:t>5</w:t>
      </w:r>
      <w:r w:rsidR="001F4CC4">
        <w:rPr>
          <w:lang w:val="fr-CA"/>
        </w:rPr>
        <w:t>-</w:t>
      </w:r>
      <w:r w:rsidRPr="00C60592">
        <w:rPr>
          <w:lang w:val="fr-CA"/>
        </w:rPr>
        <w:t>37.</w:t>
      </w:r>
    </w:p>
    <w:p w:rsidR="00FF1FE6" w:rsidRPr="00C60592" w:rsidRDefault="00FF1FE6" w:rsidP="001F4CC4">
      <w:pPr>
        <w:pStyle w:val="SCCNormalDoubleSpacing"/>
        <w:widowControl w:val="0"/>
        <w:spacing w:after="240" w:line="240" w:lineRule="auto"/>
        <w:ind w:left="539" w:hanging="539"/>
        <w:rPr>
          <w:lang w:val="fr-CA"/>
        </w:rPr>
      </w:pPr>
      <w:r w:rsidRPr="00C60592">
        <w:rPr>
          <w:i/>
          <w:lang w:val="fr-CA"/>
        </w:rPr>
        <w:t>Règles de procédure</w:t>
      </w:r>
      <w:r w:rsidR="003578A4" w:rsidRPr="00C60592">
        <w:rPr>
          <w:lang w:val="fr-CA"/>
        </w:rPr>
        <w:t>, Y.D. 2009/65, règle</w:t>
      </w:r>
      <w:r w:rsidR="001F4CC4">
        <w:rPr>
          <w:lang w:val="fr-CA"/>
        </w:rPr>
        <w:t xml:space="preserve"> </w:t>
      </w:r>
      <w:r w:rsidRPr="00C60592">
        <w:rPr>
          <w:lang w:val="fr-CA"/>
        </w:rPr>
        <w:t>34(23).</w:t>
      </w:r>
    </w:p>
    <w:p w:rsidR="00FD53E7" w:rsidRPr="00C60592" w:rsidRDefault="00FD53E7" w:rsidP="001F4CC4">
      <w:pPr>
        <w:pStyle w:val="SCCNormalDoubleSpacing"/>
        <w:widowControl w:val="0"/>
        <w:spacing w:after="240" w:line="240" w:lineRule="auto"/>
        <w:ind w:left="539" w:hanging="539"/>
        <w:rPr>
          <w:lang w:val="fr-CA"/>
        </w:rPr>
      </w:pPr>
      <w:r w:rsidRPr="00C60592">
        <w:rPr>
          <w:i/>
          <w:lang w:val="fr-CA"/>
        </w:rPr>
        <w:t>Règles de procédure civile</w:t>
      </w:r>
      <w:r w:rsidRPr="00C60592">
        <w:rPr>
          <w:lang w:val="fr-CA"/>
        </w:rPr>
        <w:t xml:space="preserve">, R.R.O. 1990, </w:t>
      </w:r>
      <w:proofErr w:type="spellStart"/>
      <w:r w:rsidRPr="00C60592">
        <w:rPr>
          <w:lang w:val="fr-CA"/>
        </w:rPr>
        <w:t>Règl</w:t>
      </w:r>
      <w:proofErr w:type="spellEnd"/>
      <w:r w:rsidRPr="00C60592">
        <w:rPr>
          <w:lang w:val="fr-CA"/>
        </w:rPr>
        <w:t>. 194</w:t>
      </w:r>
      <w:r w:rsidR="003578A4" w:rsidRPr="00C60592">
        <w:rPr>
          <w:lang w:val="fr-CA"/>
        </w:rPr>
        <w:t>, règles</w:t>
      </w:r>
      <w:r w:rsidR="001F4CC4">
        <w:rPr>
          <w:lang w:val="fr-CA"/>
        </w:rPr>
        <w:t xml:space="preserve"> </w:t>
      </w:r>
      <w:r w:rsidR="00FF1FE6" w:rsidRPr="00C60592">
        <w:rPr>
          <w:lang w:val="fr-CA"/>
        </w:rPr>
        <w:t xml:space="preserve">4.1.01(1), (2), </w:t>
      </w:r>
      <w:proofErr w:type="gramStart"/>
      <w:r w:rsidR="00FF1FE6" w:rsidRPr="00C60592">
        <w:rPr>
          <w:lang w:val="fr-CA"/>
        </w:rPr>
        <w:t>53.03(</w:t>
      </w:r>
      <w:proofErr w:type="gramEnd"/>
      <w:r w:rsidR="00FF1FE6" w:rsidRPr="00C60592">
        <w:rPr>
          <w:lang w:val="fr-CA"/>
        </w:rPr>
        <w:t>2.1)</w:t>
      </w:r>
      <w:r w:rsidRPr="00C60592">
        <w:rPr>
          <w:lang w:val="fr-CA"/>
        </w:rPr>
        <w:t>.</w:t>
      </w:r>
    </w:p>
    <w:p w:rsidR="001D53CC" w:rsidRPr="00C60592" w:rsidRDefault="001D53CC" w:rsidP="001F4CC4">
      <w:pPr>
        <w:pStyle w:val="SCCNormalDoubleSpacing"/>
        <w:widowControl w:val="0"/>
        <w:spacing w:after="240" w:line="240" w:lineRule="auto"/>
        <w:ind w:left="539" w:hanging="539"/>
        <w:rPr>
          <w:lang w:val="fr-CA"/>
        </w:rPr>
      </w:pPr>
      <w:r w:rsidRPr="00C60592">
        <w:rPr>
          <w:i/>
          <w:lang w:val="fr-CA"/>
        </w:rPr>
        <w:t>Règles de procédure civile</w:t>
      </w:r>
      <w:r w:rsidRPr="00C60592">
        <w:rPr>
          <w:lang w:val="fr-CA"/>
        </w:rPr>
        <w:t xml:space="preserve"> (Nouvelle</w:t>
      </w:r>
      <w:r w:rsidR="001F4CC4">
        <w:rPr>
          <w:lang w:val="fr-CA"/>
        </w:rPr>
        <w:t>-</w:t>
      </w:r>
      <w:r w:rsidRPr="00C60592">
        <w:rPr>
          <w:lang w:val="fr-CA"/>
        </w:rPr>
        <w:t>Écosse), règles</w:t>
      </w:r>
      <w:r w:rsidR="001F4CC4">
        <w:rPr>
          <w:lang w:val="fr-CA"/>
        </w:rPr>
        <w:t xml:space="preserve"> </w:t>
      </w:r>
      <w:r w:rsidRPr="00C60592">
        <w:rPr>
          <w:lang w:val="fr-CA"/>
        </w:rPr>
        <w:t>5</w:t>
      </w:r>
      <w:r w:rsidR="00570124" w:rsidRPr="00C60592">
        <w:rPr>
          <w:lang w:val="fr-CA"/>
        </w:rPr>
        <w:t xml:space="preserve">5.01(2), 55.04(1)a), b), </w:t>
      </w:r>
      <w:r w:rsidRPr="00C60592">
        <w:rPr>
          <w:lang w:val="fr-CA"/>
        </w:rPr>
        <w:t>c).</w:t>
      </w:r>
    </w:p>
    <w:p w:rsidR="001D53CC" w:rsidRPr="00C60592" w:rsidRDefault="001D53CC" w:rsidP="001F4CC4">
      <w:pPr>
        <w:pStyle w:val="SCCNormalDoubleSpacing"/>
        <w:widowControl w:val="0"/>
        <w:spacing w:after="240" w:line="240" w:lineRule="auto"/>
        <w:ind w:left="539" w:hanging="539"/>
        <w:rPr>
          <w:lang w:val="fr-CA"/>
        </w:rPr>
      </w:pPr>
      <w:r w:rsidRPr="00C60592">
        <w:rPr>
          <w:i/>
          <w:lang w:val="fr-CA"/>
        </w:rPr>
        <w:t>Règles des Cours fédérales</w:t>
      </w:r>
      <w:r w:rsidR="003578A4" w:rsidRPr="00C60592">
        <w:rPr>
          <w:lang w:val="fr-CA"/>
        </w:rPr>
        <w:t>, DORS/98</w:t>
      </w:r>
      <w:r w:rsidR="001F4CC4">
        <w:rPr>
          <w:lang w:val="fr-CA"/>
        </w:rPr>
        <w:t>-</w:t>
      </w:r>
      <w:r w:rsidR="003578A4" w:rsidRPr="00C60592">
        <w:rPr>
          <w:lang w:val="fr-CA"/>
        </w:rPr>
        <w:t>106, règle</w:t>
      </w:r>
      <w:r w:rsidR="001F4CC4">
        <w:rPr>
          <w:lang w:val="fr-CA"/>
        </w:rPr>
        <w:t xml:space="preserve"> </w:t>
      </w:r>
      <w:r w:rsidRPr="00C60592">
        <w:rPr>
          <w:lang w:val="fr-CA"/>
        </w:rPr>
        <w:t>52.2(1)</w:t>
      </w:r>
      <w:r w:rsidRPr="00C60592">
        <w:rPr>
          <w:i/>
          <w:lang w:val="fr-CA"/>
        </w:rPr>
        <w:t>c</w:t>
      </w:r>
      <w:r w:rsidRPr="00C60592">
        <w:rPr>
          <w:lang w:val="fr-CA"/>
        </w:rPr>
        <w:t>).</w:t>
      </w:r>
    </w:p>
    <w:p w:rsidR="000D3798" w:rsidRPr="00C60592" w:rsidRDefault="000D3798" w:rsidP="001F4CC4">
      <w:pPr>
        <w:pStyle w:val="SCCNormalDoubleSpacing"/>
        <w:widowControl w:val="0"/>
        <w:spacing w:after="240" w:line="240" w:lineRule="auto"/>
        <w:ind w:left="539" w:hanging="539"/>
        <w:rPr>
          <w:lang w:val="en-US"/>
        </w:rPr>
      </w:pPr>
      <w:r w:rsidRPr="00C60592">
        <w:rPr>
          <w:i/>
          <w:lang w:val="en-US"/>
        </w:rPr>
        <w:t>Rules of Civil Procedure</w:t>
      </w:r>
      <w:r w:rsidRPr="00C60592">
        <w:rPr>
          <w:lang w:val="en-US"/>
        </w:rPr>
        <w:t xml:space="preserve"> (</w:t>
      </w:r>
      <w:proofErr w:type="spellStart"/>
      <w:r w:rsidRPr="00C60592">
        <w:rPr>
          <w:lang w:val="en-US"/>
        </w:rPr>
        <w:t>Île</w:t>
      </w:r>
      <w:proofErr w:type="spellEnd"/>
      <w:r w:rsidR="001F4CC4">
        <w:rPr>
          <w:lang w:val="en-US"/>
        </w:rPr>
        <w:t>-</w:t>
      </w:r>
      <w:r w:rsidRPr="00C60592">
        <w:rPr>
          <w:lang w:val="en-US"/>
        </w:rPr>
        <w:t>du</w:t>
      </w:r>
      <w:r w:rsidR="001F4CC4">
        <w:rPr>
          <w:lang w:val="en-US"/>
        </w:rPr>
        <w:t>-</w:t>
      </w:r>
      <w:r w:rsidRPr="00C60592">
        <w:rPr>
          <w:lang w:val="en-US"/>
        </w:rPr>
        <w:t>Prince</w:t>
      </w:r>
      <w:r w:rsidR="001F4CC4">
        <w:rPr>
          <w:lang w:val="en-US"/>
        </w:rPr>
        <w:t>-</w:t>
      </w:r>
      <w:proofErr w:type="spellStart"/>
      <w:r w:rsidRPr="00C60592">
        <w:rPr>
          <w:lang w:val="en-US"/>
        </w:rPr>
        <w:t>Édouard</w:t>
      </w:r>
      <w:proofErr w:type="spellEnd"/>
      <w:r w:rsidRPr="00C60592">
        <w:rPr>
          <w:lang w:val="en-US"/>
        </w:rPr>
        <w:t xml:space="preserve">), </w:t>
      </w:r>
      <w:proofErr w:type="spellStart"/>
      <w:r w:rsidRPr="00C60592">
        <w:rPr>
          <w:lang w:val="en-US"/>
        </w:rPr>
        <w:t>règle</w:t>
      </w:r>
      <w:proofErr w:type="spellEnd"/>
      <w:r w:rsidR="001F4CC4">
        <w:rPr>
          <w:lang w:val="en-US"/>
        </w:rPr>
        <w:t xml:space="preserve"> </w:t>
      </w:r>
      <w:r w:rsidR="00FF1FE6" w:rsidRPr="00C60592">
        <w:t>53.03(3</w:t>
      </w:r>
      <w:proofErr w:type="gramStart"/>
      <w:r w:rsidR="00FF1FE6" w:rsidRPr="00C60592">
        <w:t>)(</w:t>
      </w:r>
      <w:proofErr w:type="gramEnd"/>
      <w:r w:rsidR="00FF1FE6" w:rsidRPr="00C60592">
        <w:t>g)</w:t>
      </w:r>
      <w:r w:rsidRPr="00C60592">
        <w:rPr>
          <w:lang w:val="en-US"/>
        </w:rPr>
        <w:t>.</w:t>
      </w:r>
    </w:p>
    <w:p w:rsidR="00FF1FE6" w:rsidRPr="00C60592" w:rsidRDefault="00FF1FE6" w:rsidP="001F4CC4">
      <w:pPr>
        <w:pStyle w:val="SCCNormalDoubleSpacing"/>
        <w:widowControl w:val="0"/>
        <w:spacing w:after="720" w:line="240" w:lineRule="auto"/>
        <w:ind w:left="540" w:hanging="540"/>
      </w:pPr>
      <w:r w:rsidRPr="00C60592">
        <w:rPr>
          <w:i/>
        </w:rPr>
        <w:t>Supreme Court Civil Rules</w:t>
      </w:r>
      <w:r w:rsidRPr="00C60592">
        <w:t xml:space="preserve">, B.C. Reg. 168/2009, </w:t>
      </w:r>
      <w:proofErr w:type="spellStart"/>
      <w:r w:rsidRPr="00C60592">
        <w:t>règles</w:t>
      </w:r>
      <w:proofErr w:type="spellEnd"/>
      <w:r w:rsidR="001F4CC4">
        <w:t xml:space="preserve"> </w:t>
      </w:r>
      <w:r w:rsidRPr="00C60592">
        <w:t>11</w:t>
      </w:r>
      <w:r w:rsidR="001F4CC4">
        <w:t>-</w:t>
      </w:r>
      <w:r w:rsidRPr="00C60592">
        <w:t>2(1), (2).</w:t>
      </w:r>
    </w:p>
    <w:p w:rsidR="004D7D95" w:rsidRPr="00C60592" w:rsidRDefault="004D7D95" w:rsidP="001F4CC4">
      <w:pPr>
        <w:pStyle w:val="SCCNormalDoubleSpacing"/>
        <w:widowControl w:val="0"/>
        <w:spacing w:after="720" w:line="240" w:lineRule="auto"/>
        <w:rPr>
          <w:b/>
          <w:lang w:val="fr-CA"/>
        </w:rPr>
      </w:pPr>
      <w:r w:rsidRPr="00C60592">
        <w:rPr>
          <w:b/>
          <w:lang w:val="fr-CA"/>
        </w:rPr>
        <w:t>Doctrine et autres documents cités</w:t>
      </w:r>
    </w:p>
    <w:p w:rsidR="005954AE" w:rsidRPr="00C60592" w:rsidRDefault="005954AE" w:rsidP="001F4CC4">
      <w:pPr>
        <w:pStyle w:val="SCCNormalDoubleSpacing"/>
        <w:widowControl w:val="0"/>
        <w:spacing w:after="240" w:line="240" w:lineRule="auto"/>
        <w:ind w:left="540" w:hanging="540"/>
        <w:rPr>
          <w:lang w:val="fr-CA"/>
        </w:rPr>
      </w:pPr>
      <w:r w:rsidRPr="00C60592">
        <w:rPr>
          <w:lang w:val="fr-CA"/>
        </w:rPr>
        <w:lastRenderedPageBreak/>
        <w:t>Anderson, Glenn</w:t>
      </w:r>
      <w:r w:rsidR="001F4CC4">
        <w:rPr>
          <w:lang w:val="fr-CA"/>
        </w:rPr>
        <w:t xml:space="preserve"> </w:t>
      </w:r>
      <w:r w:rsidRPr="00C60592">
        <w:rPr>
          <w:lang w:val="fr-CA"/>
        </w:rPr>
        <w:t xml:space="preserve">R. </w:t>
      </w:r>
      <w:r w:rsidRPr="00C60592">
        <w:rPr>
          <w:i/>
          <w:lang w:val="fr-CA"/>
        </w:rPr>
        <w:t xml:space="preserve">Expert </w:t>
      </w:r>
      <w:proofErr w:type="spellStart"/>
      <w:r w:rsidRPr="00C60592">
        <w:rPr>
          <w:i/>
          <w:lang w:val="fr-CA"/>
        </w:rPr>
        <w:t>Evidence</w:t>
      </w:r>
      <w:proofErr w:type="spellEnd"/>
      <w:r w:rsidRPr="00C60592">
        <w:rPr>
          <w:lang w:val="fr-CA"/>
        </w:rPr>
        <w:t xml:space="preserve">, 3rd </w:t>
      </w:r>
      <w:proofErr w:type="spellStart"/>
      <w:proofErr w:type="gramStart"/>
      <w:r w:rsidRPr="00C60592">
        <w:rPr>
          <w:lang w:val="fr-CA"/>
        </w:rPr>
        <w:t>ed</w:t>
      </w:r>
      <w:proofErr w:type="spellEnd"/>
      <w:r w:rsidRPr="00C60592">
        <w:rPr>
          <w:lang w:val="fr-CA"/>
        </w:rPr>
        <w:t>.</w:t>
      </w:r>
      <w:r w:rsidR="00E256D7">
        <w:rPr>
          <w:lang w:val="fr-CA"/>
        </w:rPr>
        <w:t>,</w:t>
      </w:r>
      <w:proofErr w:type="gramEnd"/>
      <w:r w:rsidRPr="00C60592">
        <w:rPr>
          <w:lang w:val="fr-CA"/>
        </w:rPr>
        <w:t xml:space="preserve"> Markham (Ont.), </w:t>
      </w:r>
      <w:proofErr w:type="spellStart"/>
      <w:r w:rsidRPr="00C60592">
        <w:rPr>
          <w:lang w:val="fr-CA"/>
        </w:rPr>
        <w:t>LexisNexis</w:t>
      </w:r>
      <w:proofErr w:type="spellEnd"/>
      <w:r w:rsidRPr="00C60592">
        <w:rPr>
          <w:lang w:val="fr-CA"/>
        </w:rPr>
        <w:t>, 2014.</w:t>
      </w:r>
    </w:p>
    <w:p w:rsidR="005954AE" w:rsidRPr="00C60592" w:rsidRDefault="005954AE" w:rsidP="001F4CC4">
      <w:pPr>
        <w:pStyle w:val="SCCNormalDoubleSpacing"/>
        <w:widowControl w:val="0"/>
        <w:spacing w:after="240" w:line="240" w:lineRule="auto"/>
        <w:ind w:left="539" w:hanging="539"/>
        <w:rPr>
          <w:lang w:val="fr-CA"/>
        </w:rPr>
      </w:pPr>
      <w:proofErr w:type="spellStart"/>
      <w:r w:rsidRPr="00C60592">
        <w:rPr>
          <w:lang w:val="fr-CA"/>
        </w:rPr>
        <w:t>Béchard</w:t>
      </w:r>
      <w:proofErr w:type="spellEnd"/>
      <w:r w:rsidRPr="00C60592">
        <w:rPr>
          <w:lang w:val="fr-CA"/>
        </w:rPr>
        <w:t xml:space="preserve">, Donald, avec la collaboration de Jessica </w:t>
      </w:r>
      <w:proofErr w:type="spellStart"/>
      <w:r w:rsidRPr="00C60592">
        <w:rPr>
          <w:lang w:val="fr-CA"/>
        </w:rPr>
        <w:t>Béchard</w:t>
      </w:r>
      <w:proofErr w:type="spellEnd"/>
      <w:r w:rsidRPr="00C60592">
        <w:rPr>
          <w:lang w:val="fr-CA"/>
        </w:rPr>
        <w:t xml:space="preserve">. </w:t>
      </w:r>
      <w:r w:rsidRPr="00C60592">
        <w:rPr>
          <w:i/>
          <w:lang w:val="fr-CA"/>
        </w:rPr>
        <w:t>L’expert</w:t>
      </w:r>
      <w:r w:rsidRPr="00C60592">
        <w:rPr>
          <w:lang w:val="fr-CA"/>
        </w:rPr>
        <w:t xml:space="preserve">, </w:t>
      </w:r>
      <w:proofErr w:type="spellStart"/>
      <w:r w:rsidRPr="00C60592">
        <w:rPr>
          <w:lang w:val="fr-CA"/>
        </w:rPr>
        <w:t>Cowansville</w:t>
      </w:r>
      <w:proofErr w:type="spellEnd"/>
      <w:r w:rsidRPr="00C60592">
        <w:rPr>
          <w:lang w:val="fr-CA"/>
        </w:rPr>
        <w:t xml:space="preserve"> (</w:t>
      </w:r>
      <w:proofErr w:type="spellStart"/>
      <w:r w:rsidRPr="00C60592">
        <w:rPr>
          <w:lang w:val="fr-CA"/>
        </w:rPr>
        <w:t>Qc</w:t>
      </w:r>
      <w:proofErr w:type="spellEnd"/>
      <w:r w:rsidRPr="00C60592">
        <w:rPr>
          <w:lang w:val="fr-CA"/>
        </w:rPr>
        <w:t>), Yvon Blais, 2011.</w:t>
      </w:r>
    </w:p>
    <w:p w:rsidR="005954AE" w:rsidRPr="00C60592" w:rsidRDefault="005954AE" w:rsidP="001F4CC4">
      <w:pPr>
        <w:pStyle w:val="SCCNormalDoubleSpacing"/>
        <w:widowControl w:val="0"/>
        <w:spacing w:after="240" w:line="240" w:lineRule="auto"/>
        <w:ind w:left="540" w:hanging="540"/>
      </w:pPr>
      <w:r w:rsidRPr="00C60592">
        <w:rPr>
          <w:i/>
        </w:rPr>
        <w:t>Canadian Encyclopedic Digest</w:t>
      </w:r>
      <w:r w:rsidRPr="00C60592">
        <w:t xml:space="preserve">, Ontario 4th ed., </w:t>
      </w:r>
      <w:r w:rsidR="002D1734">
        <w:t>vol.</w:t>
      </w:r>
      <w:r w:rsidR="001F4CC4">
        <w:t xml:space="preserve"> </w:t>
      </w:r>
      <w:r w:rsidRPr="00C60592">
        <w:t>24, Toronto, Carswell, 2014</w:t>
      </w:r>
      <w:r w:rsidR="004F6F80" w:rsidRPr="00C60592">
        <w:t xml:space="preserve"> (loose</w:t>
      </w:r>
      <w:r w:rsidR="001F4CC4">
        <w:t>-</w:t>
      </w:r>
      <w:r w:rsidR="004F6F80" w:rsidRPr="00C60592">
        <w:t>leaf updated 2014, release 6)</w:t>
      </w:r>
      <w:r w:rsidRPr="00C60592">
        <w:t>.</w:t>
      </w:r>
    </w:p>
    <w:p w:rsidR="005954AE" w:rsidRPr="00C60592" w:rsidRDefault="005954AE" w:rsidP="001F4CC4">
      <w:pPr>
        <w:pStyle w:val="SCCNormalDoubleSpacing"/>
        <w:widowControl w:val="0"/>
        <w:spacing w:after="240" w:line="240" w:lineRule="auto"/>
        <w:ind w:left="540" w:hanging="540"/>
        <w:rPr>
          <w:lang w:val="fr-CA"/>
        </w:rPr>
      </w:pPr>
      <w:r w:rsidRPr="00C60592">
        <w:rPr>
          <w:lang w:val="fr-CA"/>
        </w:rPr>
        <w:t xml:space="preserve">Chamberland, Luc. </w:t>
      </w:r>
      <w:r w:rsidRPr="00C60592">
        <w:rPr>
          <w:i/>
          <w:lang w:val="fr-CA"/>
        </w:rPr>
        <w:t>Le nouveau Code de procédure civile commenté</w:t>
      </w:r>
      <w:r w:rsidR="00D814B7" w:rsidRPr="00C60592">
        <w:rPr>
          <w:lang w:val="fr-CA"/>
        </w:rPr>
        <w:t>,</w:t>
      </w:r>
      <w:r w:rsidRPr="00C60592">
        <w:rPr>
          <w:lang w:val="fr-CA"/>
        </w:rPr>
        <w:t xml:space="preserve"> </w:t>
      </w:r>
      <w:proofErr w:type="spellStart"/>
      <w:r w:rsidRPr="00C60592">
        <w:rPr>
          <w:lang w:val="fr-CA"/>
        </w:rPr>
        <w:t>Cowansville</w:t>
      </w:r>
      <w:proofErr w:type="spellEnd"/>
      <w:r w:rsidRPr="00C60592">
        <w:rPr>
          <w:lang w:val="fr-CA"/>
        </w:rPr>
        <w:t xml:space="preserve"> (</w:t>
      </w:r>
      <w:proofErr w:type="spellStart"/>
      <w:r w:rsidRPr="00C60592">
        <w:rPr>
          <w:lang w:val="fr-CA"/>
        </w:rPr>
        <w:t>Qc</w:t>
      </w:r>
      <w:proofErr w:type="spellEnd"/>
      <w:r w:rsidRPr="00C60592">
        <w:rPr>
          <w:lang w:val="fr-CA"/>
        </w:rPr>
        <w:t>), Yvon Blais, 2014.</w:t>
      </w:r>
    </w:p>
    <w:p w:rsidR="005954AE" w:rsidRPr="00C60592" w:rsidRDefault="005954AE" w:rsidP="001F4CC4">
      <w:pPr>
        <w:pStyle w:val="SCCNormalDoubleSpacing"/>
        <w:widowControl w:val="0"/>
        <w:spacing w:after="240" w:line="240" w:lineRule="auto"/>
        <w:ind w:left="540" w:hanging="540"/>
      </w:pPr>
      <w:r w:rsidRPr="00C60592">
        <w:rPr>
          <w:i/>
        </w:rPr>
        <w:t xml:space="preserve">Corpus Juris </w:t>
      </w:r>
      <w:proofErr w:type="spellStart"/>
      <w:r w:rsidRPr="00C60592">
        <w:rPr>
          <w:i/>
        </w:rPr>
        <w:t>Secundum</w:t>
      </w:r>
      <w:proofErr w:type="spellEnd"/>
      <w:r w:rsidRPr="00C60592">
        <w:t xml:space="preserve">, </w:t>
      </w:r>
      <w:r w:rsidR="002D1734">
        <w:t>vol.</w:t>
      </w:r>
      <w:r w:rsidR="001F4CC4">
        <w:t xml:space="preserve"> </w:t>
      </w:r>
      <w:r w:rsidRPr="00C60592">
        <w:t>32, Eagan (Minn.), Thomson West, 2008.</w:t>
      </w:r>
    </w:p>
    <w:p w:rsidR="005954AE" w:rsidRPr="00C60592" w:rsidRDefault="005954AE" w:rsidP="001F4CC4">
      <w:pPr>
        <w:pStyle w:val="SCCNormalDoubleSpacing"/>
        <w:widowControl w:val="0"/>
        <w:spacing w:after="240" w:line="240" w:lineRule="auto"/>
        <w:ind w:left="540" w:hanging="540"/>
      </w:pPr>
      <w:r w:rsidRPr="00C60592">
        <w:rPr>
          <w:i/>
        </w:rPr>
        <w:t>Cross and Tapper on Evidence</w:t>
      </w:r>
      <w:r w:rsidRPr="00C60592">
        <w:t>, 12th ed. by Colin Tapper, Oxford, Oxford University Press, 2010.</w:t>
      </w:r>
    </w:p>
    <w:p w:rsidR="005954AE" w:rsidRPr="00C60592" w:rsidRDefault="005954AE" w:rsidP="001F4CC4">
      <w:pPr>
        <w:pStyle w:val="SCCNormalDoubleSpacing"/>
        <w:widowControl w:val="0"/>
        <w:spacing w:after="240" w:line="240" w:lineRule="auto"/>
        <w:ind w:left="540" w:hanging="540"/>
      </w:pPr>
      <w:proofErr w:type="spellStart"/>
      <w:r w:rsidRPr="00C60592">
        <w:t>Freckelton</w:t>
      </w:r>
      <w:proofErr w:type="spellEnd"/>
      <w:r w:rsidRPr="00C60592">
        <w:t xml:space="preserve">, Ian, and Hugh Selby. </w:t>
      </w:r>
      <w:r w:rsidRPr="00C60592">
        <w:rPr>
          <w:i/>
        </w:rPr>
        <w:t xml:space="preserve">Expert </w:t>
      </w:r>
      <w:proofErr w:type="gramStart"/>
      <w:r w:rsidRPr="00C60592">
        <w:rPr>
          <w:i/>
        </w:rPr>
        <w:t>Evidence</w:t>
      </w:r>
      <w:r w:rsidR="001F4CC4">
        <w:rPr>
          <w:i/>
        </w:rPr>
        <w:t> :</w:t>
      </w:r>
      <w:proofErr w:type="gramEnd"/>
      <w:r w:rsidRPr="00C60592">
        <w:rPr>
          <w:i/>
        </w:rPr>
        <w:t xml:space="preserve"> Law, Practice, Procedure and Advocacy</w:t>
      </w:r>
      <w:r w:rsidRPr="00C60592">
        <w:t xml:space="preserve">, 5th ed., </w:t>
      </w:r>
      <w:proofErr w:type="spellStart"/>
      <w:r w:rsidRPr="00C60592">
        <w:t>Pyrmont</w:t>
      </w:r>
      <w:proofErr w:type="spellEnd"/>
      <w:r w:rsidRPr="00C60592">
        <w:t xml:space="preserve"> (N.S.W.), </w:t>
      </w:r>
      <w:proofErr w:type="spellStart"/>
      <w:r w:rsidRPr="00C60592">
        <w:t>Lawbook</w:t>
      </w:r>
      <w:proofErr w:type="spellEnd"/>
      <w:r w:rsidRPr="00C60592">
        <w:t xml:space="preserve"> Co., 2013.</w:t>
      </w:r>
    </w:p>
    <w:p w:rsidR="005954AE" w:rsidRPr="00C60592" w:rsidRDefault="005954AE" w:rsidP="001F4CC4">
      <w:pPr>
        <w:pStyle w:val="SCCNormalDoubleSpacing"/>
        <w:widowControl w:val="0"/>
        <w:spacing w:after="240" w:line="240" w:lineRule="auto"/>
        <w:ind w:left="540" w:hanging="540"/>
      </w:pPr>
      <w:r w:rsidRPr="00C60592">
        <w:rPr>
          <w:i/>
        </w:rPr>
        <w:t xml:space="preserve">Halsbury’s Laws of </w:t>
      </w:r>
      <w:proofErr w:type="gramStart"/>
      <w:r w:rsidRPr="00C60592">
        <w:rPr>
          <w:i/>
        </w:rPr>
        <w:t>Canada</w:t>
      </w:r>
      <w:r w:rsidR="001F4CC4">
        <w:rPr>
          <w:i/>
        </w:rPr>
        <w:t> :</w:t>
      </w:r>
      <w:proofErr w:type="gramEnd"/>
      <w:r w:rsidRPr="00C60592">
        <w:rPr>
          <w:i/>
        </w:rPr>
        <w:t xml:space="preserve"> Evidence</w:t>
      </w:r>
      <w:r w:rsidRPr="00C60592">
        <w:t>, 2014 Reissue, contributed by Hamish</w:t>
      </w:r>
      <w:r w:rsidR="001F4CC4">
        <w:t xml:space="preserve"> </w:t>
      </w:r>
      <w:r w:rsidRPr="00C60592">
        <w:t>C. Stewart</w:t>
      </w:r>
      <w:r w:rsidR="000F6DE0" w:rsidRPr="00C60592">
        <w:t>,</w:t>
      </w:r>
      <w:r w:rsidRPr="00C60592">
        <w:t xml:space="preserve"> Markham (Ont.), LexisNexis, 2014.</w:t>
      </w:r>
    </w:p>
    <w:p w:rsidR="005954AE" w:rsidRPr="00C60592" w:rsidRDefault="005954AE" w:rsidP="001F4CC4">
      <w:pPr>
        <w:pStyle w:val="SCCNormalDoubleSpacing"/>
        <w:widowControl w:val="0"/>
        <w:spacing w:after="240" w:line="240" w:lineRule="auto"/>
        <w:ind w:left="540" w:hanging="540"/>
      </w:pPr>
      <w:r w:rsidRPr="00C60592">
        <w:t>Lederman, Sidney</w:t>
      </w:r>
      <w:r w:rsidR="001F4CC4">
        <w:t xml:space="preserve"> </w:t>
      </w:r>
      <w:r w:rsidRPr="00C60592">
        <w:t>N., Alan</w:t>
      </w:r>
      <w:r w:rsidR="001F4CC4">
        <w:t xml:space="preserve"> </w:t>
      </w:r>
      <w:r w:rsidRPr="00C60592">
        <w:t>W. Bryant and Michelle</w:t>
      </w:r>
      <w:r w:rsidR="001F4CC4">
        <w:t xml:space="preserve"> </w:t>
      </w:r>
      <w:r w:rsidRPr="00C60592">
        <w:t xml:space="preserve">K. </w:t>
      </w:r>
      <w:proofErr w:type="spellStart"/>
      <w:r w:rsidRPr="00C60592">
        <w:t>Fuerst</w:t>
      </w:r>
      <w:proofErr w:type="spellEnd"/>
      <w:r w:rsidRPr="00C60592">
        <w:t xml:space="preserve">. </w:t>
      </w:r>
      <w:r w:rsidRPr="00C60592">
        <w:rPr>
          <w:i/>
        </w:rPr>
        <w:t>The Law of Evidence in Canada</w:t>
      </w:r>
      <w:r w:rsidRPr="00C60592">
        <w:t>, 4th ed.</w:t>
      </w:r>
      <w:r w:rsidR="00CB41B3" w:rsidRPr="00C60592">
        <w:t>,</w:t>
      </w:r>
      <w:r w:rsidRPr="00C60592">
        <w:t xml:space="preserve"> </w:t>
      </w:r>
      <w:r w:rsidR="00CB41B3" w:rsidRPr="00C60592">
        <w:t>Markham</w:t>
      </w:r>
      <w:r w:rsidRPr="00C60592">
        <w:t xml:space="preserve"> </w:t>
      </w:r>
      <w:r w:rsidR="00CB41B3" w:rsidRPr="00C60592">
        <w:t>(</w:t>
      </w:r>
      <w:r w:rsidRPr="00C60592">
        <w:t>Ont.</w:t>
      </w:r>
      <w:r w:rsidR="00CB41B3" w:rsidRPr="00C60592">
        <w:t>),</w:t>
      </w:r>
      <w:r w:rsidRPr="00C60592">
        <w:t xml:space="preserve"> LexisNexis, 2014.</w:t>
      </w:r>
    </w:p>
    <w:p w:rsidR="005954AE" w:rsidRPr="00C60592" w:rsidRDefault="005954AE" w:rsidP="001F4CC4">
      <w:pPr>
        <w:pStyle w:val="SCCNormalDoubleSpacing"/>
        <w:widowControl w:val="0"/>
        <w:spacing w:after="240" w:line="240" w:lineRule="auto"/>
        <w:ind w:left="540" w:hanging="540"/>
      </w:pPr>
      <w:r w:rsidRPr="00C60592">
        <w:rPr>
          <w:i/>
        </w:rPr>
        <w:t>McWilliams’ Canadian Criminal Evidence</w:t>
      </w:r>
      <w:r w:rsidRPr="00C60592">
        <w:t>, 5th ed. by S.</w:t>
      </w:r>
      <w:r w:rsidR="001F4CC4">
        <w:t xml:space="preserve"> </w:t>
      </w:r>
      <w:r w:rsidRPr="00C60592">
        <w:t>Casey Hill, David</w:t>
      </w:r>
      <w:r w:rsidR="001F4CC4">
        <w:t xml:space="preserve"> </w:t>
      </w:r>
      <w:r w:rsidRPr="00C60592">
        <w:t xml:space="preserve">M. </w:t>
      </w:r>
      <w:proofErr w:type="spellStart"/>
      <w:r w:rsidRPr="00C60592">
        <w:t>Tanovich</w:t>
      </w:r>
      <w:proofErr w:type="spellEnd"/>
      <w:r w:rsidRPr="00C60592">
        <w:t xml:space="preserve"> and Louis</w:t>
      </w:r>
      <w:r w:rsidR="001F4CC4">
        <w:t xml:space="preserve"> </w:t>
      </w:r>
      <w:r w:rsidR="002D1734">
        <w:t>P.</w:t>
      </w:r>
      <w:r w:rsidR="001F4CC4">
        <w:t xml:space="preserve"> </w:t>
      </w:r>
      <w:proofErr w:type="spellStart"/>
      <w:r w:rsidRPr="00C60592">
        <w:t>Strezos</w:t>
      </w:r>
      <w:proofErr w:type="spellEnd"/>
      <w:r w:rsidRPr="00C60592">
        <w:t>, eds.</w:t>
      </w:r>
      <w:r w:rsidR="00CB41B3" w:rsidRPr="00C60592">
        <w:t>,</w:t>
      </w:r>
      <w:r w:rsidRPr="00C60592">
        <w:t xml:space="preserve"> Toronto</w:t>
      </w:r>
      <w:r w:rsidR="00CB41B3" w:rsidRPr="00C60592">
        <w:t>,</w:t>
      </w:r>
      <w:r w:rsidRPr="00C60592">
        <w:t xml:space="preserve"> Canada Law Book, 201</w:t>
      </w:r>
      <w:r w:rsidR="00D56293" w:rsidRPr="00C60592">
        <w:t>3</w:t>
      </w:r>
      <w:r w:rsidRPr="00C60592">
        <w:t xml:space="preserve"> (loose</w:t>
      </w:r>
      <w:r w:rsidR="001F4CC4">
        <w:t>-</w:t>
      </w:r>
      <w:r w:rsidRPr="00C60592">
        <w:t>leaf updated 201</w:t>
      </w:r>
      <w:r w:rsidR="00995435" w:rsidRPr="00C60592">
        <w:t>4</w:t>
      </w:r>
      <w:r w:rsidRPr="00C60592">
        <w:t xml:space="preserve">, release </w:t>
      </w:r>
      <w:r w:rsidR="00995435" w:rsidRPr="00C60592">
        <w:t>5</w:t>
      </w:r>
      <w:r w:rsidRPr="00C60592">
        <w:t>).</w:t>
      </w:r>
    </w:p>
    <w:p w:rsidR="005954AE" w:rsidRPr="00C60592" w:rsidRDefault="005954AE" w:rsidP="001F4CC4">
      <w:pPr>
        <w:pStyle w:val="SCCNormalDoubleSpacing"/>
        <w:widowControl w:val="0"/>
        <w:spacing w:after="240" w:line="240" w:lineRule="auto"/>
        <w:ind w:left="540" w:hanging="540"/>
      </w:pPr>
      <w:proofErr w:type="spellStart"/>
      <w:r w:rsidRPr="00C60592">
        <w:t>Michell</w:t>
      </w:r>
      <w:proofErr w:type="spellEnd"/>
      <w:r w:rsidRPr="00C60592">
        <w:t xml:space="preserve">, Paul, and </w:t>
      </w:r>
      <w:proofErr w:type="spellStart"/>
      <w:r w:rsidRPr="00C60592">
        <w:t>Renu</w:t>
      </w:r>
      <w:proofErr w:type="spellEnd"/>
      <w:r w:rsidRPr="00C60592">
        <w:t xml:space="preserve"> </w:t>
      </w:r>
      <w:proofErr w:type="spellStart"/>
      <w:r w:rsidRPr="00C60592">
        <w:t>Mandhane</w:t>
      </w:r>
      <w:proofErr w:type="spellEnd"/>
      <w:r w:rsidRPr="00C60592">
        <w:t>.</w:t>
      </w:r>
      <w:r w:rsidR="00462483" w:rsidRPr="00C60592">
        <w:t xml:space="preserve"> </w:t>
      </w:r>
      <w:r w:rsidR="001F4CC4">
        <w:t>« </w:t>
      </w:r>
      <w:r w:rsidRPr="00C60592">
        <w:t>The Uncertain Duty of the Expert Witness</w:t>
      </w:r>
      <w:r w:rsidR="001F4CC4">
        <w:t> »</w:t>
      </w:r>
      <w:r w:rsidRPr="00C60592">
        <w:t xml:space="preserve"> (2005), 42 </w:t>
      </w:r>
      <w:r w:rsidRPr="00C60592">
        <w:rPr>
          <w:i/>
        </w:rPr>
        <w:t>Alta. L. Rev.</w:t>
      </w:r>
      <w:r w:rsidRPr="00C60592">
        <w:t xml:space="preserve"> 635.</w:t>
      </w:r>
    </w:p>
    <w:p w:rsidR="005954AE" w:rsidRPr="00C60592" w:rsidRDefault="005954AE" w:rsidP="001F4CC4">
      <w:pPr>
        <w:pStyle w:val="SCCNormalDoubleSpacing"/>
        <w:widowControl w:val="0"/>
        <w:spacing w:after="240" w:line="240" w:lineRule="auto"/>
        <w:ind w:left="539" w:hanging="539"/>
        <w:rPr>
          <w:lang w:val="fr-CA"/>
        </w:rPr>
      </w:pPr>
      <w:r w:rsidRPr="00C60592">
        <w:rPr>
          <w:lang w:val="fr-CA"/>
        </w:rPr>
        <w:t xml:space="preserve">Ontario. </w:t>
      </w:r>
      <w:r w:rsidRPr="00C60592">
        <w:rPr>
          <w:i/>
          <w:lang w:val="fr-CA"/>
        </w:rPr>
        <w:t>Commission sur les poursuites contre Guy Paul Morin</w:t>
      </w:r>
      <w:r w:rsidR="001F4CC4">
        <w:rPr>
          <w:i/>
          <w:lang w:val="fr-CA"/>
        </w:rPr>
        <w:t> :</w:t>
      </w:r>
      <w:r w:rsidRPr="00C60592">
        <w:rPr>
          <w:i/>
          <w:lang w:val="fr-CA"/>
        </w:rPr>
        <w:t xml:space="preserve"> Rapport</w:t>
      </w:r>
      <w:r w:rsidRPr="00C60592">
        <w:rPr>
          <w:lang w:val="fr-CA"/>
        </w:rPr>
        <w:t xml:space="preserve"> (Rapport Kaufman), Toronto, Ministère du Procureur général, 1998.</w:t>
      </w:r>
    </w:p>
    <w:p w:rsidR="005954AE" w:rsidRPr="00C60592" w:rsidRDefault="005954AE" w:rsidP="001F4CC4">
      <w:pPr>
        <w:pStyle w:val="SCCNormalDoubleSpacing"/>
        <w:widowControl w:val="0"/>
        <w:spacing w:after="240" w:line="240" w:lineRule="auto"/>
        <w:ind w:left="539" w:hanging="539"/>
        <w:rPr>
          <w:lang w:val="fr-CA"/>
        </w:rPr>
      </w:pPr>
      <w:r w:rsidRPr="00C60592">
        <w:rPr>
          <w:lang w:val="fr-CA"/>
        </w:rPr>
        <w:t xml:space="preserve">Ontario. </w:t>
      </w:r>
      <w:r w:rsidRPr="00C60592">
        <w:rPr>
          <w:i/>
          <w:lang w:val="fr-CA"/>
        </w:rPr>
        <w:t>Projet de réforme du système de justice civile</w:t>
      </w:r>
      <w:r w:rsidR="001F4CC4">
        <w:rPr>
          <w:i/>
          <w:lang w:val="fr-CA"/>
        </w:rPr>
        <w:t> :</w:t>
      </w:r>
      <w:r w:rsidRPr="00C60592">
        <w:rPr>
          <w:i/>
          <w:lang w:val="fr-CA"/>
        </w:rPr>
        <w:t xml:space="preserve"> Résumé des conclusions et des recommandations</w:t>
      </w:r>
      <w:r w:rsidRPr="00C60592">
        <w:rPr>
          <w:lang w:val="fr-CA"/>
        </w:rPr>
        <w:t xml:space="preserve"> (Rapport Osborne), Toronto, Ministère du Procureur général, 2007.</w:t>
      </w:r>
    </w:p>
    <w:p w:rsidR="005954AE" w:rsidRPr="00C60592" w:rsidRDefault="005954AE" w:rsidP="001F4CC4">
      <w:pPr>
        <w:pStyle w:val="SCCNormalDoubleSpacing"/>
        <w:widowControl w:val="0"/>
        <w:spacing w:after="240" w:line="240" w:lineRule="auto"/>
        <w:ind w:left="539" w:hanging="539"/>
        <w:rPr>
          <w:lang w:val="fr-CA"/>
        </w:rPr>
      </w:pPr>
      <w:r w:rsidRPr="00C60592">
        <w:rPr>
          <w:lang w:val="fr-CA"/>
        </w:rPr>
        <w:t xml:space="preserve">Ontario. </w:t>
      </w:r>
      <w:r w:rsidRPr="00C60592">
        <w:rPr>
          <w:i/>
          <w:lang w:val="fr-CA"/>
        </w:rPr>
        <w:t>Rapport de la Commission d’enquête sur la médecine légale pédiatrique en Ontario</w:t>
      </w:r>
      <w:r w:rsidRPr="00C60592">
        <w:rPr>
          <w:lang w:val="fr-CA"/>
        </w:rPr>
        <w:t xml:space="preserve"> (Rapport </w:t>
      </w:r>
      <w:proofErr w:type="spellStart"/>
      <w:r w:rsidRPr="00C60592">
        <w:rPr>
          <w:lang w:val="fr-CA"/>
        </w:rPr>
        <w:t>Goudge</w:t>
      </w:r>
      <w:proofErr w:type="spellEnd"/>
      <w:r w:rsidRPr="00C60592">
        <w:rPr>
          <w:lang w:val="fr-CA"/>
        </w:rPr>
        <w:t>), Toronto, Ministère du Procureur général, 2008.</w:t>
      </w:r>
    </w:p>
    <w:p w:rsidR="005954AE" w:rsidRPr="00C60592" w:rsidRDefault="005954AE" w:rsidP="001F4CC4">
      <w:pPr>
        <w:pStyle w:val="SCCNormalDoubleSpacing"/>
        <w:widowControl w:val="0"/>
        <w:spacing w:after="240" w:line="240" w:lineRule="auto"/>
        <w:ind w:left="539" w:hanging="539"/>
      </w:pPr>
      <w:proofErr w:type="spellStart"/>
      <w:r w:rsidRPr="00C60592">
        <w:t>Paciocco</w:t>
      </w:r>
      <w:proofErr w:type="spellEnd"/>
      <w:r w:rsidRPr="00C60592">
        <w:t xml:space="preserve">, David. </w:t>
      </w:r>
      <w:r w:rsidR="001F4CC4">
        <w:t>« </w:t>
      </w:r>
      <w:r w:rsidRPr="00C60592">
        <w:t>Taking a “</w:t>
      </w:r>
      <w:proofErr w:type="spellStart"/>
      <w:r w:rsidRPr="00C60592">
        <w:t>Goudge</w:t>
      </w:r>
      <w:proofErr w:type="spellEnd"/>
      <w:r w:rsidRPr="00C60592">
        <w:t xml:space="preserve">” out of Bluster and </w:t>
      </w:r>
      <w:proofErr w:type="gramStart"/>
      <w:r w:rsidRPr="00C60592">
        <w:t>Blarney</w:t>
      </w:r>
      <w:r w:rsidR="001F4CC4">
        <w:t> :</w:t>
      </w:r>
      <w:proofErr w:type="gramEnd"/>
      <w:r w:rsidRPr="00C60592">
        <w:t xml:space="preserve"> an “Evidence</w:t>
      </w:r>
      <w:r w:rsidR="001F4CC4">
        <w:t>-</w:t>
      </w:r>
      <w:r w:rsidRPr="00C60592">
        <w:t>Based Approach” to Expert Testimony</w:t>
      </w:r>
      <w:r w:rsidR="001F4CC4">
        <w:t> »</w:t>
      </w:r>
      <w:r w:rsidRPr="00C60592">
        <w:t xml:space="preserve"> (2009), 13 </w:t>
      </w:r>
      <w:r w:rsidRPr="00C60592">
        <w:rPr>
          <w:i/>
        </w:rPr>
        <w:t>Rev. can. D.</w:t>
      </w:r>
      <w:r w:rsidR="002D1734">
        <w:rPr>
          <w:i/>
        </w:rPr>
        <w:t>P.</w:t>
      </w:r>
      <w:r w:rsidR="001F4CC4">
        <w:rPr>
          <w:i/>
        </w:rPr>
        <w:t xml:space="preserve"> </w:t>
      </w:r>
      <w:r w:rsidRPr="00C60592">
        <w:t>135.</w:t>
      </w:r>
    </w:p>
    <w:p w:rsidR="005954AE" w:rsidRPr="00C60592" w:rsidRDefault="005954AE" w:rsidP="001F4CC4">
      <w:pPr>
        <w:pStyle w:val="SCCNormalDoubleSpacing"/>
        <w:widowControl w:val="0"/>
        <w:spacing w:after="240" w:line="240" w:lineRule="auto"/>
        <w:ind w:left="539" w:hanging="539"/>
        <w:rPr>
          <w:lang w:val="en-US"/>
        </w:rPr>
      </w:pPr>
      <w:proofErr w:type="spellStart"/>
      <w:r w:rsidRPr="00C60592">
        <w:rPr>
          <w:lang w:val="en-US"/>
        </w:rPr>
        <w:t>Paciocco</w:t>
      </w:r>
      <w:proofErr w:type="spellEnd"/>
      <w:r w:rsidRPr="00C60592">
        <w:rPr>
          <w:lang w:val="en-US"/>
        </w:rPr>
        <w:t>, David</w:t>
      </w:r>
      <w:r w:rsidR="001F4CC4">
        <w:rPr>
          <w:lang w:val="en-US"/>
        </w:rPr>
        <w:t xml:space="preserve"> </w:t>
      </w:r>
      <w:r w:rsidRPr="00C60592">
        <w:rPr>
          <w:lang w:val="en-US"/>
        </w:rPr>
        <w:t xml:space="preserve">M. </w:t>
      </w:r>
      <w:r w:rsidR="001F4CC4">
        <w:rPr>
          <w:lang w:val="en-US"/>
        </w:rPr>
        <w:t>« </w:t>
      </w:r>
      <w:r w:rsidRPr="00C60592">
        <w:rPr>
          <w:lang w:val="en-US"/>
        </w:rPr>
        <w:t xml:space="preserve">Unplugging Jukebox Testimony in an Adversarial </w:t>
      </w:r>
      <w:proofErr w:type="gramStart"/>
      <w:r w:rsidRPr="00C60592">
        <w:rPr>
          <w:lang w:val="en-US"/>
        </w:rPr>
        <w:t>System</w:t>
      </w:r>
      <w:r w:rsidR="001F4CC4">
        <w:rPr>
          <w:lang w:val="en-US"/>
        </w:rPr>
        <w:t> :</w:t>
      </w:r>
      <w:proofErr w:type="gramEnd"/>
      <w:r w:rsidRPr="00C60592">
        <w:rPr>
          <w:lang w:val="en-US"/>
        </w:rPr>
        <w:t xml:space="preserve"> Strategies for Changing the Tune on Partial Experts</w:t>
      </w:r>
      <w:r w:rsidR="001F4CC4">
        <w:rPr>
          <w:lang w:val="en-US"/>
        </w:rPr>
        <w:t> »</w:t>
      </w:r>
      <w:r w:rsidRPr="00C60592">
        <w:rPr>
          <w:lang w:val="en-US"/>
        </w:rPr>
        <w:t xml:space="preserve"> (2009), 34 </w:t>
      </w:r>
      <w:r w:rsidRPr="00C60592">
        <w:rPr>
          <w:i/>
          <w:lang w:val="en-US"/>
        </w:rPr>
        <w:t>Queen’s L.J.</w:t>
      </w:r>
      <w:r w:rsidRPr="00C60592">
        <w:rPr>
          <w:lang w:val="en-US"/>
        </w:rPr>
        <w:t xml:space="preserve"> 565.</w:t>
      </w:r>
    </w:p>
    <w:p w:rsidR="005954AE" w:rsidRPr="00C60592" w:rsidRDefault="005954AE" w:rsidP="001F4CC4">
      <w:pPr>
        <w:pStyle w:val="SCCNormalDoubleSpacing"/>
        <w:widowControl w:val="0"/>
        <w:spacing w:after="240" w:line="240" w:lineRule="auto"/>
        <w:ind w:left="540" w:hanging="540"/>
      </w:pPr>
      <w:proofErr w:type="spellStart"/>
      <w:r w:rsidRPr="00C60592">
        <w:lastRenderedPageBreak/>
        <w:t>Paciocco</w:t>
      </w:r>
      <w:proofErr w:type="spellEnd"/>
      <w:r w:rsidRPr="00C60592">
        <w:t>, David</w:t>
      </w:r>
      <w:r w:rsidR="001F4CC4">
        <w:t xml:space="preserve"> </w:t>
      </w:r>
      <w:r w:rsidRPr="00C60592">
        <w:t xml:space="preserve">M., and Lee Stuesser. </w:t>
      </w:r>
      <w:r w:rsidRPr="00C60592">
        <w:rPr>
          <w:i/>
        </w:rPr>
        <w:t>The Law of Evidence</w:t>
      </w:r>
      <w:r w:rsidRPr="00C60592">
        <w:t>, 7th ed.</w:t>
      </w:r>
      <w:r w:rsidR="00CB41B3" w:rsidRPr="00C60592">
        <w:t>,</w:t>
      </w:r>
      <w:r w:rsidRPr="00C60592">
        <w:t xml:space="preserve"> Toronto</w:t>
      </w:r>
      <w:r w:rsidR="00CB41B3" w:rsidRPr="00C60592">
        <w:t>,</w:t>
      </w:r>
      <w:r w:rsidRPr="00C60592">
        <w:t xml:space="preserve"> Irwin Law, 2015.</w:t>
      </w:r>
    </w:p>
    <w:p w:rsidR="005954AE" w:rsidRPr="00C60592" w:rsidRDefault="005954AE" w:rsidP="001F4CC4">
      <w:pPr>
        <w:pStyle w:val="SCCNormalDoubleSpacing"/>
        <w:widowControl w:val="0"/>
        <w:spacing w:after="240" w:line="240" w:lineRule="auto"/>
        <w:ind w:left="540" w:hanging="540"/>
      </w:pPr>
      <w:proofErr w:type="spellStart"/>
      <w:r w:rsidRPr="00C60592">
        <w:rPr>
          <w:i/>
        </w:rPr>
        <w:t>Phipson</w:t>
      </w:r>
      <w:proofErr w:type="spellEnd"/>
      <w:r w:rsidRPr="00C60592">
        <w:rPr>
          <w:i/>
        </w:rPr>
        <w:t xml:space="preserve"> on Evidence</w:t>
      </w:r>
      <w:r w:rsidRPr="00C60592">
        <w:t>, 18th ed. by Hodge</w:t>
      </w:r>
      <w:r w:rsidR="001F4CC4">
        <w:t xml:space="preserve"> </w:t>
      </w:r>
      <w:r w:rsidRPr="00C60592">
        <w:t xml:space="preserve">M. </w:t>
      </w:r>
      <w:proofErr w:type="spellStart"/>
      <w:r w:rsidRPr="00C60592">
        <w:t>Malek</w:t>
      </w:r>
      <w:proofErr w:type="spellEnd"/>
      <w:r w:rsidRPr="00C60592">
        <w:t xml:space="preserve"> et al., eds.</w:t>
      </w:r>
      <w:r w:rsidR="00CB41B3" w:rsidRPr="00C60592">
        <w:t>,</w:t>
      </w:r>
      <w:r w:rsidRPr="00C60592">
        <w:t xml:space="preserve"> London</w:t>
      </w:r>
      <w:r w:rsidR="00CB41B3" w:rsidRPr="00C60592">
        <w:t>,</w:t>
      </w:r>
      <w:r w:rsidRPr="00C60592">
        <w:t xml:space="preserve"> Sweet &amp; Maxwell, 2013.</w:t>
      </w:r>
    </w:p>
    <w:p w:rsidR="00CB41B3" w:rsidRPr="00C60592" w:rsidRDefault="00CB41B3" w:rsidP="001F4CC4">
      <w:pPr>
        <w:pStyle w:val="SCCNormalDoubleSpacing"/>
        <w:widowControl w:val="0"/>
        <w:spacing w:after="240" w:line="240" w:lineRule="auto"/>
        <w:ind w:left="540" w:hanging="540"/>
      </w:pPr>
      <w:proofErr w:type="spellStart"/>
      <w:r w:rsidRPr="00C60592">
        <w:t>Royaume</w:t>
      </w:r>
      <w:proofErr w:type="spellEnd"/>
      <w:r w:rsidR="001F4CC4">
        <w:t>-</w:t>
      </w:r>
      <w:r w:rsidRPr="00C60592">
        <w:t xml:space="preserve">Uni. </w:t>
      </w:r>
      <w:r w:rsidRPr="00C60592">
        <w:rPr>
          <w:i/>
        </w:rPr>
        <w:t xml:space="preserve">Access to </w:t>
      </w:r>
      <w:proofErr w:type="gramStart"/>
      <w:r w:rsidRPr="00C60592">
        <w:rPr>
          <w:i/>
        </w:rPr>
        <w:t>Justice</w:t>
      </w:r>
      <w:r w:rsidR="001F4CC4">
        <w:rPr>
          <w:i/>
        </w:rPr>
        <w:t> :</w:t>
      </w:r>
      <w:proofErr w:type="gramEnd"/>
      <w:r w:rsidRPr="00C60592">
        <w:rPr>
          <w:i/>
        </w:rPr>
        <w:t xml:space="preserve"> Final Report</w:t>
      </w:r>
      <w:r w:rsidRPr="00C60592">
        <w:t xml:space="preserve"> (Woolf Report), London, HMSO, 1996.</w:t>
      </w:r>
    </w:p>
    <w:p w:rsidR="005954AE" w:rsidRPr="00C60592" w:rsidRDefault="005954AE" w:rsidP="001F4CC4">
      <w:pPr>
        <w:pStyle w:val="SCCNormalDoubleSpacing"/>
        <w:widowControl w:val="0"/>
        <w:spacing w:after="240" w:line="240" w:lineRule="auto"/>
        <w:ind w:left="539" w:hanging="539"/>
        <w:rPr>
          <w:lang w:val="fr-CA"/>
        </w:rPr>
      </w:pPr>
      <w:r w:rsidRPr="00C60592">
        <w:rPr>
          <w:lang w:val="fr-CA"/>
        </w:rPr>
        <w:t>Royer, Jean</w:t>
      </w:r>
      <w:r w:rsidR="001F4CC4">
        <w:rPr>
          <w:lang w:val="fr-CA"/>
        </w:rPr>
        <w:t>-</w:t>
      </w:r>
      <w:r w:rsidRPr="00C60592">
        <w:rPr>
          <w:lang w:val="fr-CA"/>
        </w:rPr>
        <w:t xml:space="preserve">Claude, et Sophie </w:t>
      </w:r>
      <w:proofErr w:type="spellStart"/>
      <w:r w:rsidRPr="00C60592">
        <w:rPr>
          <w:lang w:val="fr-CA"/>
        </w:rPr>
        <w:t>Lavallée</w:t>
      </w:r>
      <w:proofErr w:type="spellEnd"/>
      <w:r w:rsidRPr="00C60592">
        <w:rPr>
          <w:lang w:val="fr-CA"/>
        </w:rPr>
        <w:t xml:space="preserve">. </w:t>
      </w:r>
      <w:r w:rsidRPr="00C60592">
        <w:rPr>
          <w:i/>
          <w:lang w:val="fr-CA"/>
        </w:rPr>
        <w:t>La preuve civile</w:t>
      </w:r>
      <w:r w:rsidRPr="00C60592">
        <w:rPr>
          <w:lang w:val="fr-CA"/>
        </w:rPr>
        <w:t>, 4</w:t>
      </w:r>
      <w:r w:rsidRPr="00C60592">
        <w:rPr>
          <w:vertAlign w:val="superscript"/>
          <w:lang w:val="fr-CA"/>
        </w:rPr>
        <w:t>e</w:t>
      </w:r>
      <w:r w:rsidRPr="00C60592">
        <w:rPr>
          <w:lang w:val="fr-CA"/>
        </w:rPr>
        <w:t xml:space="preserve"> éd., </w:t>
      </w:r>
      <w:proofErr w:type="spellStart"/>
      <w:r w:rsidRPr="00C60592">
        <w:rPr>
          <w:lang w:val="fr-CA"/>
        </w:rPr>
        <w:t>Cowansville</w:t>
      </w:r>
      <w:proofErr w:type="spellEnd"/>
      <w:r w:rsidRPr="00C60592">
        <w:rPr>
          <w:lang w:val="fr-CA"/>
        </w:rPr>
        <w:t xml:space="preserve"> (</w:t>
      </w:r>
      <w:proofErr w:type="spellStart"/>
      <w:r w:rsidRPr="00C60592">
        <w:rPr>
          <w:lang w:val="fr-CA"/>
        </w:rPr>
        <w:t>Qc</w:t>
      </w:r>
      <w:proofErr w:type="spellEnd"/>
      <w:r w:rsidRPr="00C60592">
        <w:rPr>
          <w:lang w:val="fr-CA"/>
        </w:rPr>
        <w:t>), Yvon Blais, 2008.</w:t>
      </w:r>
    </w:p>
    <w:p w:rsidR="005954AE" w:rsidRPr="00C60592" w:rsidRDefault="005954AE" w:rsidP="001F4CC4">
      <w:pPr>
        <w:pStyle w:val="SCCNormalDoubleSpacing"/>
        <w:widowControl w:val="0"/>
        <w:spacing w:after="720" w:line="240" w:lineRule="auto"/>
        <w:ind w:left="540" w:hanging="540"/>
      </w:pPr>
      <w:r w:rsidRPr="00C60592">
        <w:t xml:space="preserve">Thayer, James Bradley. </w:t>
      </w:r>
      <w:r w:rsidRPr="00C60592">
        <w:rPr>
          <w:i/>
        </w:rPr>
        <w:t>A Preliminary Treatise on Evidence at the Common Law</w:t>
      </w:r>
      <w:r w:rsidR="00CB41B3" w:rsidRPr="00C60592">
        <w:t>,</w:t>
      </w:r>
      <w:r w:rsidRPr="00C60592">
        <w:t xml:space="preserve"> Boston</w:t>
      </w:r>
      <w:r w:rsidR="00CB41B3" w:rsidRPr="00C60592">
        <w:t>,</w:t>
      </w:r>
      <w:r w:rsidRPr="00C60592">
        <w:t xml:space="preserve"> Little, Brown and Co., 1898 (reprinted South Hackensack </w:t>
      </w:r>
      <w:r w:rsidR="00CB41B3" w:rsidRPr="00C60592">
        <w:t>(</w:t>
      </w:r>
      <w:r w:rsidRPr="00C60592">
        <w:t>N.J.</w:t>
      </w:r>
      <w:r w:rsidR="00CB41B3" w:rsidRPr="00C60592">
        <w:t>),</w:t>
      </w:r>
      <w:r w:rsidRPr="00C60592">
        <w:t xml:space="preserve"> Rothman Reprints, Inc., 1969).</w:t>
      </w:r>
    </w:p>
    <w:p w:rsidR="00F54F62" w:rsidRPr="00C60592" w:rsidRDefault="00F54F62" w:rsidP="001F4CC4">
      <w:pPr>
        <w:pStyle w:val="SCCNormalDoubleSpacing"/>
        <w:widowControl w:val="0"/>
        <w:spacing w:after="480"/>
        <w:rPr>
          <w:lang w:val="fr-CA"/>
        </w:rPr>
      </w:pPr>
      <w:r w:rsidRPr="00C60592">
        <w:rPr>
          <w:lang w:val="en-US"/>
        </w:rPr>
        <w:tab/>
      </w:r>
      <w:r w:rsidR="004D7D95" w:rsidRPr="00C60592">
        <w:rPr>
          <w:lang w:val="fr-CA"/>
        </w:rPr>
        <w:t>POURVOI contre un arrêt de la Cour d’appel de la Nouvelle</w:t>
      </w:r>
      <w:r w:rsidR="001F4CC4">
        <w:rPr>
          <w:lang w:val="fr-CA"/>
        </w:rPr>
        <w:t>-</w:t>
      </w:r>
      <w:r w:rsidR="004D7D95" w:rsidRPr="00C60592">
        <w:rPr>
          <w:lang w:val="fr-CA"/>
        </w:rPr>
        <w:t>Écosse</w:t>
      </w:r>
      <w:r w:rsidRPr="00C60592">
        <w:rPr>
          <w:lang w:val="fr-CA"/>
        </w:rPr>
        <w:t xml:space="preserve"> (le juge en chef MacDonald et les juges </w:t>
      </w:r>
      <w:proofErr w:type="spellStart"/>
      <w:r w:rsidRPr="00C60592">
        <w:rPr>
          <w:lang w:val="fr-CA"/>
        </w:rPr>
        <w:t>Oland</w:t>
      </w:r>
      <w:proofErr w:type="spellEnd"/>
      <w:r w:rsidRPr="00C60592">
        <w:rPr>
          <w:lang w:val="fr-CA"/>
        </w:rPr>
        <w:t xml:space="preserve"> et Beveridge), 2013 NSCA 66, 330 N.S.R. (2d) 301, 361 D.L.R. (4th) 659, 36 C.P</w:t>
      </w:r>
      <w:r w:rsidR="003578A4" w:rsidRPr="00C60592">
        <w:rPr>
          <w:lang w:val="fr-CA"/>
        </w:rPr>
        <w:t xml:space="preserve">.C. (7th) 22, [2013] N.S.J. </w:t>
      </w:r>
      <w:r w:rsidR="002D1734">
        <w:rPr>
          <w:lang w:val="fr-CA"/>
        </w:rPr>
        <w:t>No.</w:t>
      </w:r>
      <w:r w:rsidR="001F4CC4">
        <w:rPr>
          <w:lang w:val="fr-CA"/>
        </w:rPr>
        <w:t xml:space="preserve"> </w:t>
      </w:r>
      <w:r w:rsidRPr="00C60592">
        <w:rPr>
          <w:lang w:val="fr-CA"/>
        </w:rPr>
        <w:t xml:space="preserve">259 (QL), 2013 </w:t>
      </w:r>
      <w:proofErr w:type="spellStart"/>
      <w:r w:rsidRPr="00C60592">
        <w:rPr>
          <w:lang w:val="fr-CA"/>
        </w:rPr>
        <w:t>CarswellNS</w:t>
      </w:r>
      <w:proofErr w:type="spellEnd"/>
      <w:r w:rsidRPr="00C60592">
        <w:rPr>
          <w:lang w:val="fr-CA"/>
        </w:rPr>
        <w:t xml:space="preserve"> 360</w:t>
      </w:r>
      <w:r w:rsidR="00C3588F" w:rsidRPr="00C60592">
        <w:rPr>
          <w:lang w:val="fr-CA"/>
        </w:rPr>
        <w:t xml:space="preserve"> (WL Can.)</w:t>
      </w:r>
      <w:r w:rsidRPr="00C60592">
        <w:rPr>
          <w:lang w:val="fr-CA"/>
        </w:rPr>
        <w:t xml:space="preserve">, </w:t>
      </w:r>
      <w:r w:rsidR="00DF5C5E" w:rsidRPr="00C60592">
        <w:rPr>
          <w:lang w:val="fr-CA"/>
        </w:rPr>
        <w:t xml:space="preserve">qui a infirmé </w:t>
      </w:r>
      <w:r w:rsidR="00434A2F" w:rsidRPr="00C60592">
        <w:rPr>
          <w:lang w:val="fr-CA"/>
        </w:rPr>
        <w:t xml:space="preserve">en partie </w:t>
      </w:r>
      <w:r w:rsidR="00DF5C5E" w:rsidRPr="00C60592">
        <w:rPr>
          <w:lang w:val="fr-CA"/>
        </w:rPr>
        <w:t>une dé</w:t>
      </w:r>
      <w:r w:rsidRPr="00C60592">
        <w:rPr>
          <w:lang w:val="fr-CA"/>
        </w:rPr>
        <w:t xml:space="preserve">cision </w:t>
      </w:r>
      <w:r w:rsidR="00DF5C5E" w:rsidRPr="00C60592">
        <w:rPr>
          <w:lang w:val="fr-CA"/>
        </w:rPr>
        <w:t>du juge</w:t>
      </w:r>
      <w:r w:rsidRPr="00C60592">
        <w:rPr>
          <w:lang w:val="fr-CA"/>
        </w:rPr>
        <w:t xml:space="preserve"> Pickup, 2012 NSSC 210, 317 N.S.R. (2d) 283, 26 C.P.</w:t>
      </w:r>
      <w:r w:rsidR="003578A4" w:rsidRPr="00C60592">
        <w:rPr>
          <w:lang w:val="fr-CA"/>
        </w:rPr>
        <w:t xml:space="preserve">C. (7th) 280, [2012] N.S.J. </w:t>
      </w:r>
      <w:r w:rsidR="002D1734">
        <w:rPr>
          <w:lang w:val="fr-CA"/>
        </w:rPr>
        <w:t>No.</w:t>
      </w:r>
      <w:r w:rsidR="001F4CC4">
        <w:rPr>
          <w:lang w:val="fr-CA"/>
        </w:rPr>
        <w:t xml:space="preserve"> </w:t>
      </w:r>
      <w:r w:rsidRPr="00C60592">
        <w:rPr>
          <w:lang w:val="fr-CA"/>
        </w:rPr>
        <w:t xml:space="preserve">289 (QL), 2012 </w:t>
      </w:r>
      <w:proofErr w:type="spellStart"/>
      <w:r w:rsidRPr="00C60592">
        <w:rPr>
          <w:lang w:val="fr-CA"/>
        </w:rPr>
        <w:t>CarswellNS</w:t>
      </w:r>
      <w:proofErr w:type="spellEnd"/>
      <w:r w:rsidRPr="00C60592">
        <w:rPr>
          <w:lang w:val="fr-CA"/>
        </w:rPr>
        <w:t xml:space="preserve"> 376</w:t>
      </w:r>
      <w:r w:rsidR="00C3588F" w:rsidRPr="00C60592">
        <w:rPr>
          <w:lang w:val="fr-CA"/>
        </w:rPr>
        <w:t xml:space="preserve"> (WL Can.)</w:t>
      </w:r>
      <w:r w:rsidRPr="00C60592">
        <w:rPr>
          <w:lang w:val="fr-CA"/>
        </w:rPr>
        <w:t xml:space="preserve">. </w:t>
      </w:r>
      <w:r w:rsidR="00DF5C5E" w:rsidRPr="00C60592">
        <w:rPr>
          <w:lang w:val="fr-CA"/>
        </w:rPr>
        <w:t>Pourvoi</w:t>
      </w:r>
      <w:r w:rsidRPr="00C60592">
        <w:rPr>
          <w:lang w:val="fr-CA"/>
        </w:rPr>
        <w:t xml:space="preserve"> </w:t>
      </w:r>
      <w:r w:rsidR="00BD29A7" w:rsidRPr="00C60592">
        <w:rPr>
          <w:lang w:val="fr-CA"/>
        </w:rPr>
        <w:t>rejeté</w:t>
      </w:r>
      <w:r w:rsidRPr="00C60592">
        <w:rPr>
          <w:lang w:val="fr-CA"/>
        </w:rPr>
        <w:t>.</w:t>
      </w:r>
    </w:p>
    <w:p w:rsidR="00E1357A" w:rsidRPr="00C60592" w:rsidRDefault="001D0F24" w:rsidP="001F4CC4">
      <w:pPr>
        <w:pStyle w:val="SCCNormalDoubleSpacing"/>
        <w:widowControl w:val="0"/>
        <w:spacing w:after="480"/>
        <w:rPr>
          <w:lang w:val="fr-CA"/>
        </w:rPr>
      </w:pPr>
      <w:r w:rsidRPr="00C60592">
        <w:rPr>
          <w:i/>
          <w:lang w:val="fr-CA"/>
        </w:rPr>
        <w:tab/>
        <w:t>Alan</w:t>
      </w:r>
      <w:r w:rsidR="001075BA" w:rsidRPr="00C60592">
        <w:rPr>
          <w:i/>
          <w:lang w:val="fr-CA"/>
        </w:rPr>
        <w:t xml:space="preserve"> D</w:t>
      </w:r>
      <w:r w:rsidR="00B27AE9" w:rsidRPr="00C60592">
        <w:rPr>
          <w:i/>
          <w:lang w:val="fr-CA"/>
        </w:rPr>
        <w:t>’</w:t>
      </w:r>
      <w:r w:rsidR="001075BA" w:rsidRPr="00C60592">
        <w:rPr>
          <w:i/>
          <w:lang w:val="fr-CA"/>
        </w:rPr>
        <w:t>Silva</w:t>
      </w:r>
      <w:r w:rsidR="001075BA" w:rsidRPr="00C60592">
        <w:rPr>
          <w:lang w:val="fr-CA"/>
        </w:rPr>
        <w:t xml:space="preserve">, </w:t>
      </w:r>
      <w:r w:rsidRPr="00C60592">
        <w:rPr>
          <w:i/>
          <w:lang w:val="fr-CA"/>
        </w:rPr>
        <w:t>James</w:t>
      </w:r>
      <w:r w:rsidR="001075BA" w:rsidRPr="00C60592">
        <w:rPr>
          <w:i/>
          <w:lang w:val="fr-CA"/>
        </w:rPr>
        <w:t xml:space="preserve"> Wilson</w:t>
      </w:r>
      <w:r w:rsidR="001075BA" w:rsidRPr="00C60592">
        <w:rPr>
          <w:lang w:val="fr-CA"/>
        </w:rPr>
        <w:t xml:space="preserve"> </w:t>
      </w:r>
      <w:r w:rsidR="00BD29A7" w:rsidRPr="00C60592">
        <w:rPr>
          <w:lang w:val="fr-CA"/>
        </w:rPr>
        <w:t xml:space="preserve">et </w:t>
      </w:r>
      <w:r w:rsidR="00BD29A7" w:rsidRPr="00C60592">
        <w:rPr>
          <w:i/>
          <w:lang w:val="fr-CA"/>
        </w:rPr>
        <w:t xml:space="preserve">Aaron </w:t>
      </w:r>
      <w:proofErr w:type="spellStart"/>
      <w:r w:rsidR="00BD29A7" w:rsidRPr="00C60592">
        <w:rPr>
          <w:i/>
          <w:lang w:val="fr-CA"/>
        </w:rPr>
        <w:t>Kreaden</w:t>
      </w:r>
      <w:proofErr w:type="spellEnd"/>
      <w:r w:rsidR="00BD29A7" w:rsidRPr="00C60592">
        <w:rPr>
          <w:lang w:val="fr-CA"/>
        </w:rPr>
        <w:t xml:space="preserve">, </w:t>
      </w:r>
      <w:r w:rsidR="001075BA" w:rsidRPr="00C60592">
        <w:rPr>
          <w:lang w:val="fr-CA"/>
        </w:rPr>
        <w:t>pour l</w:t>
      </w:r>
      <w:r w:rsidR="00984A03" w:rsidRPr="00C60592">
        <w:rPr>
          <w:lang w:val="fr-CA"/>
        </w:rPr>
        <w:t>es appelants</w:t>
      </w:r>
      <w:r w:rsidR="001075BA" w:rsidRPr="00C60592">
        <w:rPr>
          <w:lang w:val="fr-CA"/>
        </w:rPr>
        <w:t>.</w:t>
      </w:r>
    </w:p>
    <w:p w:rsidR="00E1357A" w:rsidRPr="00C60592" w:rsidRDefault="00063AD8" w:rsidP="001F4CC4">
      <w:pPr>
        <w:pStyle w:val="SCCNormalDoubleSpacing"/>
        <w:widowControl w:val="0"/>
        <w:spacing w:after="480"/>
        <w:rPr>
          <w:lang w:val="fr-CA"/>
        </w:rPr>
      </w:pPr>
      <w:r w:rsidRPr="00C60592">
        <w:rPr>
          <w:i/>
          <w:lang w:val="fr-CA"/>
        </w:rPr>
        <w:tab/>
        <w:t xml:space="preserve">Jon </w:t>
      </w:r>
      <w:proofErr w:type="spellStart"/>
      <w:r w:rsidRPr="00C60592">
        <w:rPr>
          <w:i/>
          <w:lang w:val="fr-CA"/>
        </w:rPr>
        <w:t>Laxer</w:t>
      </w:r>
      <w:proofErr w:type="spellEnd"/>
      <w:r w:rsidR="001075BA" w:rsidRPr="00C60592">
        <w:rPr>
          <w:lang w:val="fr-CA"/>
        </w:rPr>
        <w:t xml:space="preserve"> </w:t>
      </w:r>
      <w:r w:rsidR="00BD29A7" w:rsidRPr="00C60592">
        <w:rPr>
          <w:lang w:val="fr-CA"/>
        </w:rPr>
        <w:t xml:space="preserve">et </w:t>
      </w:r>
      <w:r w:rsidR="001075BA" w:rsidRPr="00C60592">
        <w:rPr>
          <w:i/>
          <w:lang w:val="fr-CA"/>
        </w:rPr>
        <w:t>Brian</w:t>
      </w:r>
      <w:r w:rsidR="001F4CC4">
        <w:rPr>
          <w:i/>
          <w:lang w:val="fr-CA"/>
        </w:rPr>
        <w:t xml:space="preserve"> </w:t>
      </w:r>
      <w:r w:rsidR="001075BA" w:rsidRPr="00C60592">
        <w:rPr>
          <w:i/>
          <w:lang w:val="fr-CA"/>
        </w:rPr>
        <w:t>F.</w:t>
      </w:r>
      <w:r w:rsidR="001F4CC4">
        <w:rPr>
          <w:i/>
          <w:lang w:val="fr-CA"/>
        </w:rPr>
        <w:t xml:space="preserve"> </w:t>
      </w:r>
      <w:r w:rsidR="002D1734">
        <w:rPr>
          <w:i/>
          <w:lang w:val="fr-CA"/>
        </w:rPr>
        <w:t>P.</w:t>
      </w:r>
      <w:r w:rsidR="001F4CC4">
        <w:rPr>
          <w:i/>
          <w:lang w:val="fr-CA"/>
        </w:rPr>
        <w:t xml:space="preserve"> </w:t>
      </w:r>
      <w:r w:rsidR="001075BA" w:rsidRPr="00C60592">
        <w:rPr>
          <w:i/>
          <w:lang w:val="fr-CA"/>
        </w:rPr>
        <w:t>Murphy</w:t>
      </w:r>
      <w:r w:rsidR="001075BA" w:rsidRPr="00C60592">
        <w:rPr>
          <w:lang w:val="fr-CA"/>
        </w:rPr>
        <w:t>, pour l</w:t>
      </w:r>
      <w:r w:rsidRPr="00C60592">
        <w:rPr>
          <w:lang w:val="fr-CA"/>
        </w:rPr>
        <w:t xml:space="preserve">es </w:t>
      </w:r>
      <w:r w:rsidR="001075BA" w:rsidRPr="00C60592">
        <w:rPr>
          <w:lang w:val="fr-CA"/>
        </w:rPr>
        <w:t>intimé</w:t>
      </w:r>
      <w:r w:rsidR="0098394A" w:rsidRPr="00C60592">
        <w:rPr>
          <w:lang w:val="fr-CA"/>
        </w:rPr>
        <w:t>e</w:t>
      </w:r>
      <w:r w:rsidRPr="00C60592">
        <w:rPr>
          <w:lang w:val="fr-CA"/>
        </w:rPr>
        <w:t>s</w:t>
      </w:r>
      <w:r w:rsidR="001075BA" w:rsidRPr="00C60592">
        <w:rPr>
          <w:lang w:val="fr-CA"/>
        </w:rPr>
        <w:t>.</w:t>
      </w:r>
    </w:p>
    <w:p w:rsidR="00E1357A" w:rsidRPr="00C60592" w:rsidRDefault="001D0F24" w:rsidP="001F4CC4">
      <w:pPr>
        <w:pStyle w:val="SCCNormalDoubleSpacing"/>
        <w:widowControl w:val="0"/>
        <w:spacing w:after="480"/>
        <w:rPr>
          <w:lang w:val="fr-CA"/>
        </w:rPr>
      </w:pPr>
      <w:r w:rsidRPr="00C60592">
        <w:rPr>
          <w:i/>
          <w:lang w:val="fr-CA"/>
        </w:rPr>
        <w:tab/>
        <w:t>Michael</w:t>
      </w:r>
      <w:r w:rsidR="001F4CC4">
        <w:rPr>
          <w:i/>
          <w:lang w:val="fr-CA"/>
        </w:rPr>
        <w:t xml:space="preserve"> </w:t>
      </w:r>
      <w:r w:rsidR="001075BA" w:rsidRPr="00C60592">
        <w:rPr>
          <w:i/>
          <w:lang w:val="fr-CA"/>
        </w:rPr>
        <w:t>H. Morris</w:t>
      </w:r>
      <w:r w:rsidR="001075BA" w:rsidRPr="00C60592">
        <w:rPr>
          <w:lang w:val="fr-CA"/>
        </w:rPr>
        <w:t>, pour l</w:t>
      </w:r>
      <w:r w:rsidR="00063AD8" w:rsidRPr="00C60592">
        <w:rPr>
          <w:lang w:val="fr-CA"/>
        </w:rPr>
        <w:t>’</w:t>
      </w:r>
      <w:r w:rsidR="001075BA" w:rsidRPr="00C60592">
        <w:rPr>
          <w:lang w:val="fr-CA"/>
        </w:rPr>
        <w:t>intervenant</w:t>
      </w:r>
      <w:r w:rsidR="00063AD8" w:rsidRPr="00C60592">
        <w:rPr>
          <w:lang w:val="fr-CA"/>
        </w:rPr>
        <w:t xml:space="preserve"> le p</w:t>
      </w:r>
      <w:r w:rsidR="001075BA" w:rsidRPr="00C60592">
        <w:rPr>
          <w:lang w:val="fr-CA"/>
        </w:rPr>
        <w:t>rocureur général du Canada.</w:t>
      </w:r>
    </w:p>
    <w:p w:rsidR="00E1357A" w:rsidRPr="00C60592" w:rsidRDefault="001075BA" w:rsidP="001F4CC4">
      <w:pPr>
        <w:pStyle w:val="SCCNormalDoubleSpacing"/>
        <w:widowControl w:val="0"/>
        <w:spacing w:after="480"/>
        <w:rPr>
          <w:lang w:val="fr-CA"/>
        </w:rPr>
      </w:pPr>
      <w:r w:rsidRPr="00C60592">
        <w:rPr>
          <w:i/>
          <w:lang w:val="fr-CA"/>
        </w:rPr>
        <w:tab/>
        <w:t xml:space="preserve">Matthew </w:t>
      </w:r>
      <w:proofErr w:type="spellStart"/>
      <w:r w:rsidRPr="00C60592">
        <w:rPr>
          <w:i/>
          <w:lang w:val="fr-CA"/>
        </w:rPr>
        <w:t>Gourlay</w:t>
      </w:r>
      <w:proofErr w:type="spellEnd"/>
      <w:r w:rsidRPr="00C60592">
        <w:rPr>
          <w:lang w:val="fr-CA"/>
        </w:rPr>
        <w:t>, pour l</w:t>
      </w:r>
      <w:r w:rsidR="00063AD8" w:rsidRPr="00C60592">
        <w:rPr>
          <w:lang w:val="fr-CA"/>
        </w:rPr>
        <w:t>’intervenant</w:t>
      </w:r>
      <w:r w:rsidRPr="00C60592">
        <w:rPr>
          <w:lang w:val="fr-CA"/>
        </w:rPr>
        <w:t xml:space="preserve">e </w:t>
      </w:r>
      <w:proofErr w:type="spellStart"/>
      <w:r w:rsidRPr="00C60592">
        <w:rPr>
          <w:lang w:val="fr-CA"/>
        </w:rPr>
        <w:t>Criminal</w:t>
      </w:r>
      <w:proofErr w:type="spellEnd"/>
      <w:r w:rsidRPr="00C60592">
        <w:rPr>
          <w:lang w:val="fr-CA"/>
        </w:rPr>
        <w:t xml:space="preserve"> </w:t>
      </w:r>
      <w:proofErr w:type="spellStart"/>
      <w:r w:rsidRPr="00C60592">
        <w:rPr>
          <w:lang w:val="fr-CA"/>
        </w:rPr>
        <w:t>Lawyers</w:t>
      </w:r>
      <w:proofErr w:type="spellEnd"/>
      <w:r w:rsidR="00063AD8" w:rsidRPr="00C60592">
        <w:rPr>
          <w:lang w:val="fr-CA"/>
        </w:rPr>
        <w:t>’</w:t>
      </w:r>
      <w:r w:rsidRPr="00C60592">
        <w:rPr>
          <w:lang w:val="fr-CA"/>
        </w:rPr>
        <w:t xml:space="preserve"> Association (Ontario).</w:t>
      </w:r>
    </w:p>
    <w:p w:rsidR="001F4CC4" w:rsidRPr="001F4CC4" w:rsidRDefault="001F4CC4" w:rsidP="001F4CC4">
      <w:pPr>
        <w:pStyle w:val="JudgeJuge"/>
        <w:widowControl w:val="0"/>
        <w:spacing w:before="480"/>
        <w:outlineLvl w:val="0"/>
        <w:rPr>
          <w:smallCaps w:val="0"/>
          <w:lang w:val="fr-CA"/>
        </w:rPr>
      </w:pPr>
      <w:r>
        <w:rPr>
          <w:smallCaps w:val="0"/>
          <w:lang w:val="fr-CA"/>
        </w:rPr>
        <w:lastRenderedPageBreak/>
        <w:tab/>
      </w:r>
      <w:r w:rsidRPr="001F4CC4">
        <w:rPr>
          <w:smallCaps w:val="0"/>
          <w:lang w:val="fr-CA"/>
        </w:rPr>
        <w:t>Version française du jugement de la Cour rendu par</w:t>
      </w:r>
    </w:p>
    <w:p w:rsidR="001F4CC4" w:rsidRPr="004C6457" w:rsidRDefault="001F4CC4" w:rsidP="001F4CC4">
      <w:pPr>
        <w:pStyle w:val="JudgeJuge"/>
        <w:widowControl w:val="0"/>
        <w:spacing w:before="480"/>
        <w:outlineLvl w:val="0"/>
        <w:rPr>
          <w:lang w:val="fr-CA"/>
        </w:rPr>
      </w:pPr>
      <w:r w:rsidRPr="004C6457">
        <w:rPr>
          <w:lang w:val="fr-CA"/>
        </w:rPr>
        <w:tab/>
        <w:t xml:space="preserve">Le juge Cromwell — </w:t>
      </w:r>
    </w:p>
    <w:p w:rsidR="001F4CC4" w:rsidRPr="004C6457" w:rsidRDefault="001F4CC4" w:rsidP="001F4CC4">
      <w:pPr>
        <w:pStyle w:val="Title1LevelTitre1Niveau-AltL"/>
        <w:widowControl w:val="0"/>
        <w:numPr>
          <w:ilvl w:val="0"/>
          <w:numId w:val="23"/>
        </w:numPr>
        <w:spacing w:before="0"/>
        <w:rPr>
          <w:rFonts w:cs="Times New Roman"/>
          <w:lang w:val="fr-CA"/>
        </w:rPr>
      </w:pPr>
      <w:r w:rsidRPr="004C6457">
        <w:rPr>
          <w:rFonts w:cs="Times New Roman"/>
          <w:lang w:val="fr-CA"/>
        </w:rPr>
        <w:t>Introduction et questions en litige</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témoignage d’expert peut constituer la pièce maîtresse dans la recherche de la vérité tout comme il peut présenter des dangers particuliers. Pour se prémunir contre ces dangers, la Cour depuis une vingtaine d’années resserre graduellement les règles d’admissibilité et renforce le rôle de gardien du juge de première instance. Ainsi, l’admission du témoignage d’expert est subordonnée au respect de certaines normes fondamentales. La question à trancher dans le cadre du présent pourvoi est de savoir si l’indépendance et l’impartialité de l’expert que l’on se propose de citer comme témoin devraient compter au nombre de ces normes fondamentales d’admissibilité. À mon avis elles devraient l’être.</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témoin expert a l’obligation particulière d’apporter au tribunal une aide juste, objective et impartiale. La personne que l’on se propose de citer à ce titre, mais qui ne peut ou ne veut se conformer à cette obligation, n’a pas la qualification pour témoigner à titre d’expert et ne devrait pas y être autorisée. Des réserves moins fondamentales quant à l’indépendance et à l’impartialité de l’expert devraient jouer dans l’analyse globale des coûts et des bénéfices de l’admission du témoignage.</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Appliquant ces principes, je partage la conclusion à laquelle sont </w:t>
      </w:r>
      <w:r w:rsidRPr="004C6457">
        <w:rPr>
          <w:rFonts w:cs="Times New Roman"/>
          <w:lang w:val="fr-CA"/>
        </w:rPr>
        <w:lastRenderedPageBreak/>
        <w:t>parvenus les juges majoritaires de la Cour d’appel de la Nouvelle</w:t>
      </w:r>
      <w:r>
        <w:rPr>
          <w:rFonts w:cs="Times New Roman"/>
          <w:lang w:val="fr-CA"/>
        </w:rPr>
        <w:t>-</w:t>
      </w:r>
      <w:r w:rsidRPr="004C6457">
        <w:rPr>
          <w:rFonts w:cs="Times New Roman"/>
          <w:lang w:val="fr-CA"/>
        </w:rPr>
        <w:t>Écosse et suis d’avis de rejeter le présent pourvoi avec dépens.</w:t>
      </w:r>
    </w:p>
    <w:p w:rsidR="001F4CC4" w:rsidRPr="004C6457" w:rsidRDefault="001F4CC4" w:rsidP="001F4CC4">
      <w:pPr>
        <w:pStyle w:val="Title1LevelTitre1Niveau-AltL"/>
        <w:widowControl w:val="0"/>
        <w:numPr>
          <w:ilvl w:val="0"/>
          <w:numId w:val="23"/>
        </w:numPr>
        <w:rPr>
          <w:rFonts w:cs="Times New Roman"/>
          <w:lang w:val="fr-CA"/>
        </w:rPr>
      </w:pPr>
      <w:r w:rsidRPr="004C6457">
        <w:rPr>
          <w:rFonts w:cs="Times New Roman"/>
          <w:lang w:val="fr-CA"/>
        </w:rPr>
        <w:t>Rappel des faits et historique judiciaire</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t>Les faits et la procédure</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présent pourvoi découle d’une action pour négligence professionnelle intentée par les intimées (ci</w:t>
      </w:r>
      <w:r>
        <w:rPr>
          <w:rFonts w:cs="Times New Roman"/>
          <w:lang w:val="fr-CA"/>
        </w:rPr>
        <w:t>-</w:t>
      </w:r>
      <w:r w:rsidRPr="004C6457">
        <w:rPr>
          <w:rFonts w:cs="Times New Roman"/>
          <w:lang w:val="fr-CA"/>
        </w:rPr>
        <w:t xml:space="preserve">après </w:t>
      </w:r>
      <w:r>
        <w:rPr>
          <w:rFonts w:cs="Times New Roman"/>
          <w:lang w:val="fr-CA"/>
        </w:rPr>
        <w:t>« </w:t>
      </w:r>
      <w:r w:rsidRPr="004C6457">
        <w:rPr>
          <w:rFonts w:cs="Times New Roman"/>
          <w:lang w:val="fr-CA"/>
        </w:rPr>
        <w:t>les actionnaires</w:t>
      </w:r>
      <w:r>
        <w:rPr>
          <w:rFonts w:cs="Times New Roman"/>
          <w:lang w:val="fr-CA"/>
        </w:rPr>
        <w:t> »</w:t>
      </w:r>
      <w:r w:rsidR="00BA5B52">
        <w:rPr>
          <w:rFonts w:cs="Times New Roman"/>
          <w:lang w:val="fr-CA"/>
        </w:rPr>
        <w:t>) contre les appelant</w:t>
      </w:r>
      <w:r w:rsidRPr="004C6457">
        <w:rPr>
          <w:rFonts w:cs="Times New Roman"/>
          <w:lang w:val="fr-CA"/>
        </w:rPr>
        <w:t>s, les anciens vérificateurs de leur compagnie (ci</w:t>
      </w:r>
      <w:r>
        <w:rPr>
          <w:rFonts w:cs="Times New Roman"/>
          <w:lang w:val="fr-CA"/>
        </w:rPr>
        <w:t>-</w:t>
      </w:r>
      <w:r w:rsidRPr="004C6457">
        <w:rPr>
          <w:rFonts w:cs="Times New Roman"/>
          <w:lang w:val="fr-CA"/>
        </w:rPr>
        <w:t xml:space="preserve">après </w:t>
      </w:r>
      <w:r>
        <w:rPr>
          <w:rFonts w:cs="Times New Roman"/>
          <w:lang w:val="fr-CA"/>
        </w:rPr>
        <w:t>« </w:t>
      </w:r>
      <w:r w:rsidRPr="004C6457">
        <w:rPr>
          <w:rFonts w:cs="Times New Roman"/>
          <w:lang w:val="fr-CA"/>
        </w:rPr>
        <w:t>les vérificateurs</w:t>
      </w:r>
      <w:r>
        <w:rPr>
          <w:rFonts w:cs="Times New Roman"/>
          <w:lang w:val="fr-CA"/>
        </w:rPr>
        <w:t> »</w:t>
      </w:r>
      <w:r w:rsidRPr="004C6457">
        <w:rPr>
          <w:rFonts w:cs="Times New Roman"/>
          <w:lang w:val="fr-CA"/>
        </w:rPr>
        <w:t xml:space="preserve">). Les actionnaires ont intenté cette poursuite après avoir engagé un autre cabinet comptable, Grant Thornton </w:t>
      </w:r>
      <w:proofErr w:type="spellStart"/>
      <w:r w:rsidRPr="004C6457">
        <w:rPr>
          <w:rFonts w:cs="Times New Roman"/>
          <w:lang w:val="fr-CA"/>
        </w:rPr>
        <w:t>srl</w:t>
      </w:r>
      <w:proofErr w:type="spellEnd"/>
      <w:r w:rsidRPr="004C6457">
        <w:rPr>
          <w:rFonts w:cs="Times New Roman"/>
          <w:lang w:val="fr-CA"/>
        </w:rPr>
        <w:t xml:space="preserve">, de Kentville, pour effectuer diverses tâches comptables, qui, selon eux, avaient révélé des erreurs par les vérificateurs précédents. Les actionnaires reprochent essentiellement aux vérificateurs de ne pas avoir appliqué les normes de vérification et comptables généralement reconnues et de leur avoir ainsi causé une perte. La principale question dans le cadre de l’action est de savoir si les vérificateurs ont fait preuve de négligence dans l’exercice de leurs fonctions. </w:t>
      </w:r>
    </w:p>
    <w:p w:rsidR="001F4CC4" w:rsidRPr="004C6457" w:rsidRDefault="001F4CC4" w:rsidP="001F4CC4">
      <w:pPr>
        <w:pStyle w:val="ParaNoNdepar-AltN"/>
        <w:widowControl w:val="0"/>
        <w:tabs>
          <w:tab w:val="clear" w:pos="1166"/>
          <w:tab w:val="num" w:pos="1152"/>
        </w:tabs>
        <w:rPr>
          <w:rFonts w:cs="Times New Roman"/>
          <w:lang w:val="fr-FR"/>
        </w:rPr>
      </w:pPr>
      <w:r w:rsidRPr="004C6457">
        <w:rPr>
          <w:rFonts w:cs="Times New Roman"/>
          <w:lang w:val="fr-FR"/>
        </w:rPr>
        <w:t>En août 2010, les vérificateurs ont présenté une requête en jugement sommaire visant à faire rejeter l’action. En réponse, les actionnaires ont fait appel à M</w:t>
      </w:r>
      <w:r w:rsidRPr="004C6457">
        <w:rPr>
          <w:rFonts w:cs="Times New Roman"/>
          <w:vertAlign w:val="superscript"/>
          <w:lang w:val="fr-FR"/>
        </w:rPr>
        <w:t>me</w:t>
      </w:r>
      <w:r>
        <w:rPr>
          <w:rFonts w:cs="Times New Roman"/>
          <w:lang w:val="fr-FR"/>
        </w:rPr>
        <w:t xml:space="preserve"> </w:t>
      </w:r>
      <w:r w:rsidRPr="004C6457">
        <w:rPr>
          <w:rFonts w:cs="Times New Roman"/>
          <w:lang w:val="fr-FR"/>
        </w:rPr>
        <w:t>Susan</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une associée en </w:t>
      </w:r>
      <w:proofErr w:type="spellStart"/>
      <w:r w:rsidRPr="004C6457">
        <w:rPr>
          <w:rFonts w:cs="Times New Roman"/>
          <w:lang w:val="fr-FR"/>
        </w:rPr>
        <w:t>juricomptabilité</w:t>
      </w:r>
      <w:proofErr w:type="spellEnd"/>
      <w:r w:rsidRPr="004C6457">
        <w:rPr>
          <w:rFonts w:cs="Times New Roman"/>
          <w:lang w:val="fr-FR"/>
        </w:rPr>
        <w:t xml:space="preserve"> du cabinet Grant Thornton de Halifax, pour qu’elle examine tous les documents pertinents, notamment ceux déposés dans le cadre de l’action, et rédige un rapport de ses constatations. Son affidavit expose ces dernières, notamment que les vérificateurs, selon elle, ne se sont </w:t>
      </w:r>
      <w:r w:rsidRPr="004C6457">
        <w:rPr>
          <w:rFonts w:cs="Times New Roman"/>
          <w:lang w:val="fr-FR"/>
        </w:rPr>
        <w:lastRenderedPageBreak/>
        <w:t>pas acquittés de leurs obligations professionnelles envers les actionnaires. Les vérificateurs ont présenté une requête en radiation de l’affidavit de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au motif qu’elle n’était pas un témoin expert impartial.</w:t>
      </w:r>
      <w:r>
        <w:rPr>
          <w:rFonts w:cs="Times New Roman"/>
          <w:lang w:val="fr-FR"/>
        </w:rPr>
        <w:t xml:space="preserve"> </w:t>
      </w:r>
      <w:r w:rsidRPr="004C6457">
        <w:rPr>
          <w:rFonts w:cs="Times New Roman"/>
          <w:lang w:val="fr-FR"/>
        </w:rPr>
        <w:t>Ils ont fait valoir que l’action se résumait à une bataille d’opinions entre deux cabinets comptables, en l’occurrence celui des vérificateurs et celui du témoin expert. Le cabinet de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pourrait être tenu responsable si sa démarche n’était pas acceptée par le tribunal et, en tant qu’associée, M</w:t>
      </w:r>
      <w:r w:rsidRPr="004C6457">
        <w:rPr>
          <w:rFonts w:cs="Times New Roman"/>
          <w:vertAlign w:val="superscript"/>
          <w:lang w:val="fr-FR"/>
        </w:rPr>
        <w:t>me</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pourrait être tenue personnellement responsable. Sa responsabilité potentielle — si son opinion n’était pas acceptée — se traduit par un intérêt financier personnel dans le règlement du litige; or, de l’avis des vérificateurs, cela devrait suffire à la rendre inhabile à témoigner.</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Depuis, l’instance a été tout sauf sommaire et ne s’est toujours pas soldée par un jugement. Le litige a plutôt porté sur la question du témoignage de l’expert; la </w:t>
      </w:r>
      <w:r w:rsidRPr="004C6457">
        <w:rPr>
          <w:rFonts w:cs="Times New Roman"/>
          <w:lang w:val="fr-FR"/>
        </w:rPr>
        <w:t>requête en jugement sommaire</w:t>
      </w:r>
      <w:r w:rsidRPr="004C6457">
        <w:rPr>
          <w:rFonts w:cs="Times New Roman"/>
          <w:lang w:val="fr-CA"/>
        </w:rPr>
        <w:t xml:space="preserve"> n’a pas encore été entendue sur le fond.</w:t>
      </w:r>
    </w:p>
    <w:p w:rsidR="001F4CC4" w:rsidRPr="004C6457" w:rsidRDefault="001F4CC4" w:rsidP="001F4CC4">
      <w:pPr>
        <w:pStyle w:val="Title2LevelTitre2Niveau"/>
        <w:widowControl w:val="0"/>
        <w:numPr>
          <w:ilvl w:val="1"/>
          <w:numId w:val="23"/>
        </w:numPr>
        <w:ind w:left="578" w:hanging="578"/>
        <w:rPr>
          <w:rFonts w:cs="Times New Roman"/>
          <w:lang w:val="fr-CA"/>
        </w:rPr>
      </w:pPr>
      <w:bookmarkStart w:id="1" w:name="_Toc399605463"/>
      <w:r w:rsidRPr="004C6457">
        <w:rPr>
          <w:rFonts w:cs="Times New Roman"/>
          <w:lang w:val="fr-CA"/>
        </w:rPr>
        <w:t>Les juridictions inférieures</w:t>
      </w:r>
      <w:bookmarkEnd w:id="1"/>
    </w:p>
    <w:p w:rsidR="001F4CC4" w:rsidRPr="004C6457" w:rsidRDefault="001F4CC4" w:rsidP="001F4CC4">
      <w:pPr>
        <w:pStyle w:val="Title3LevelTitre3Niveau"/>
        <w:widowControl w:val="0"/>
        <w:numPr>
          <w:ilvl w:val="2"/>
          <w:numId w:val="23"/>
        </w:numPr>
        <w:rPr>
          <w:rFonts w:cs="Times New Roman"/>
          <w:lang w:val="fr-CA"/>
        </w:rPr>
      </w:pPr>
      <w:r w:rsidRPr="004C6457">
        <w:rPr>
          <w:rFonts w:cs="Times New Roman"/>
          <w:lang w:val="fr-CA"/>
        </w:rPr>
        <w:t>Cour suprême de la Nouvelle</w:t>
      </w:r>
      <w:r>
        <w:rPr>
          <w:rFonts w:cs="Times New Roman"/>
          <w:lang w:val="fr-CA"/>
        </w:rPr>
        <w:t>-</w:t>
      </w:r>
      <w:r w:rsidRPr="004C6457">
        <w:rPr>
          <w:rFonts w:cs="Times New Roman"/>
          <w:lang w:val="fr-CA"/>
        </w:rPr>
        <w:t>Écosse</w:t>
      </w:r>
      <w:r>
        <w:rPr>
          <w:rFonts w:cs="Times New Roman"/>
          <w:lang w:val="fr-CA"/>
        </w:rPr>
        <w:t> :</w:t>
      </w:r>
      <w:r w:rsidRPr="004C6457">
        <w:rPr>
          <w:rFonts w:cs="Times New Roman"/>
          <w:lang w:val="fr-CA"/>
        </w:rPr>
        <w:t xml:space="preserve"> 2012 NSSC 210, 317 N.S.R. (2d) 283 (le juge Pickup)</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juge Pickup s’est dit d’accord avec les vérificateurs pour l’essentiel et a radié intégralement l’affidavit de M</w:t>
      </w:r>
      <w:r w:rsidRPr="004C6457">
        <w:rPr>
          <w:rFonts w:cs="Times New Roman"/>
          <w:vertAlign w:val="superscript"/>
          <w:lang w:val="fr-CA"/>
        </w:rPr>
        <w:t>me</w:t>
      </w:r>
      <w:r>
        <w:rPr>
          <w:rFonts w:cs="Times New Roman"/>
          <w:lang w:val="fr-CA"/>
        </w:rPr>
        <w:t xml:space="preserve"> </w:t>
      </w:r>
      <w:proofErr w:type="spellStart"/>
      <w:r w:rsidRPr="004C6457">
        <w:rPr>
          <w:rFonts w:cs="Times New Roman"/>
          <w:lang w:val="fr-CA"/>
        </w:rPr>
        <w:t>MacMillan</w:t>
      </w:r>
      <w:proofErr w:type="spellEnd"/>
      <w:r w:rsidRPr="004C6457">
        <w:rPr>
          <w:rFonts w:cs="Times New Roman"/>
          <w:lang w:val="fr-CA"/>
        </w:rPr>
        <w:t xml:space="preserve"> (par.</w:t>
      </w:r>
      <w:r>
        <w:rPr>
          <w:rFonts w:cs="Times New Roman"/>
          <w:lang w:val="fr-CA"/>
        </w:rPr>
        <w:t xml:space="preserve"> </w:t>
      </w:r>
      <w:r w:rsidRPr="004C6457">
        <w:rPr>
          <w:rFonts w:cs="Times New Roman"/>
          <w:lang w:val="fr-CA"/>
        </w:rPr>
        <w:t>106). Il était d’avis que, pour être admissible, le témoignage de l’expert [</w:t>
      </w:r>
      <w:r w:rsidRPr="004C6457">
        <w:rPr>
          <w:rFonts w:cs="Times New Roman"/>
          <w:smallCaps/>
          <w:lang w:val="fr-CA"/>
        </w:rPr>
        <w:t>traduction</w:t>
      </w:r>
      <w:r w:rsidRPr="004C6457">
        <w:rPr>
          <w:rFonts w:cs="Times New Roman"/>
          <w:lang w:val="fr-CA"/>
        </w:rPr>
        <w:t>]</w:t>
      </w:r>
      <w:r>
        <w:rPr>
          <w:rFonts w:cs="Times New Roman"/>
          <w:lang w:val="fr-CA"/>
        </w:rPr>
        <w:t xml:space="preserve"> « </w:t>
      </w:r>
      <w:r w:rsidRPr="004C6457">
        <w:rPr>
          <w:rFonts w:cs="Times New Roman"/>
          <w:lang w:val="fr-CA"/>
        </w:rPr>
        <w:t>doit être indépendant et impartial et être perçu comme tel</w:t>
      </w:r>
      <w:r>
        <w:rPr>
          <w:rFonts w:cs="Times New Roman"/>
          <w:lang w:val="fr-CA"/>
        </w:rPr>
        <w:t> »</w:t>
      </w:r>
      <w:r w:rsidRPr="004C6457">
        <w:rPr>
          <w:rFonts w:cs="Times New Roman"/>
          <w:lang w:val="fr-CA"/>
        </w:rPr>
        <w:t xml:space="preserve"> (par.</w:t>
      </w:r>
      <w:r>
        <w:rPr>
          <w:rFonts w:cs="Times New Roman"/>
          <w:lang w:val="fr-CA"/>
        </w:rPr>
        <w:t xml:space="preserve"> </w:t>
      </w:r>
      <w:r w:rsidRPr="004C6457">
        <w:rPr>
          <w:rFonts w:cs="Times New Roman"/>
          <w:lang w:val="fr-CA"/>
        </w:rPr>
        <w:t xml:space="preserve">99) et, partant, a conclu qu’il s’agissait de l’un des </w:t>
      </w:r>
      <w:r>
        <w:rPr>
          <w:rFonts w:cs="Times New Roman"/>
          <w:lang w:val="fr-CA"/>
        </w:rPr>
        <w:t>« </w:t>
      </w:r>
      <w:r w:rsidRPr="004C6457">
        <w:rPr>
          <w:rFonts w:cs="Times New Roman"/>
          <w:lang w:val="fr-CA"/>
        </w:rPr>
        <w:t>cas les plus évidents où la fiabilité de l’expert [</w:t>
      </w:r>
      <w:r>
        <w:rPr>
          <w:rFonts w:cs="Times New Roman"/>
          <w:lang w:val="fr-CA"/>
        </w:rPr>
        <w:t>. . .</w:t>
      </w:r>
      <w:r w:rsidRPr="004C6457">
        <w:rPr>
          <w:rFonts w:cs="Times New Roman"/>
          <w:lang w:val="fr-CA"/>
        </w:rPr>
        <w:t xml:space="preserve">] ne satisfait pas aux </w:t>
      </w:r>
      <w:r w:rsidRPr="004C6457">
        <w:rPr>
          <w:rFonts w:cs="Times New Roman"/>
          <w:lang w:val="fr-CA"/>
        </w:rPr>
        <w:lastRenderedPageBreak/>
        <w:t>critères d’admissibilité</w:t>
      </w:r>
      <w:r>
        <w:rPr>
          <w:rFonts w:cs="Times New Roman"/>
          <w:lang w:val="fr-CA"/>
        </w:rPr>
        <w:t> »</w:t>
      </w:r>
      <w:r w:rsidRPr="004C6457">
        <w:rPr>
          <w:rFonts w:cs="Times New Roman"/>
          <w:lang w:val="fr-CA"/>
        </w:rPr>
        <w:t xml:space="preserve"> (par.</w:t>
      </w:r>
      <w:r>
        <w:rPr>
          <w:rFonts w:cs="Times New Roman"/>
          <w:lang w:val="fr-CA"/>
        </w:rPr>
        <w:t xml:space="preserve"> </w:t>
      </w:r>
      <w:r w:rsidRPr="004C6457">
        <w:rPr>
          <w:rFonts w:cs="Times New Roman"/>
          <w:lang w:val="fr-CA"/>
        </w:rPr>
        <w:t>101).</w:t>
      </w:r>
    </w:p>
    <w:p w:rsidR="001F4CC4" w:rsidRPr="004C6457" w:rsidRDefault="001F4CC4" w:rsidP="001F4CC4">
      <w:pPr>
        <w:pStyle w:val="Title3LevelTitre3Niveau"/>
        <w:widowControl w:val="0"/>
        <w:numPr>
          <w:ilvl w:val="2"/>
          <w:numId w:val="23"/>
        </w:numPr>
        <w:rPr>
          <w:rFonts w:cs="Times New Roman"/>
          <w:lang w:val="fr-CA"/>
        </w:rPr>
      </w:pPr>
      <w:r w:rsidRPr="004C6457">
        <w:rPr>
          <w:rFonts w:cs="Times New Roman"/>
          <w:lang w:val="fr-CA"/>
        </w:rPr>
        <w:t>Cour d’appel de la Nouvelle</w:t>
      </w:r>
      <w:r>
        <w:rPr>
          <w:rFonts w:cs="Times New Roman"/>
          <w:lang w:val="fr-CA"/>
        </w:rPr>
        <w:t>-</w:t>
      </w:r>
      <w:r w:rsidRPr="004C6457">
        <w:rPr>
          <w:rFonts w:cs="Times New Roman"/>
          <w:lang w:val="fr-CA"/>
        </w:rPr>
        <w:t>Écosse</w:t>
      </w:r>
      <w:r>
        <w:rPr>
          <w:rFonts w:cs="Times New Roman"/>
          <w:lang w:val="fr-CA"/>
        </w:rPr>
        <w:t> :</w:t>
      </w:r>
      <w:r w:rsidRPr="004C6457">
        <w:rPr>
          <w:rFonts w:cs="Times New Roman"/>
          <w:lang w:val="fr-CA"/>
        </w:rPr>
        <w:t xml:space="preserve"> 2013 NSCA 66, 330 N.S.R. (2d) 301 (le juge Beveridge, avec l’appui de la juge </w:t>
      </w:r>
      <w:proofErr w:type="spellStart"/>
      <w:r w:rsidRPr="004C6457">
        <w:rPr>
          <w:rFonts w:cs="Times New Roman"/>
          <w:lang w:val="fr-CA"/>
        </w:rPr>
        <w:t>Oland</w:t>
      </w:r>
      <w:proofErr w:type="spellEnd"/>
      <w:r w:rsidRPr="004C6457">
        <w:rPr>
          <w:rFonts w:cs="Times New Roman"/>
          <w:lang w:val="fr-CA"/>
        </w:rPr>
        <w:t>; le juge en chef MacDonald est dissident)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Les juges majoritaires de la Cour d’appel ont conclu que le juge des requêtes avait eu tort d’exclure l’affidavit de M</w:t>
      </w:r>
      <w:r w:rsidRPr="004C6457">
        <w:rPr>
          <w:rFonts w:cs="Times New Roman"/>
          <w:vertAlign w:val="superscript"/>
          <w:lang w:val="fr-CA"/>
        </w:rPr>
        <w:t>me</w:t>
      </w:r>
      <w:r>
        <w:rPr>
          <w:rFonts w:cs="Times New Roman"/>
          <w:lang w:val="fr-CA"/>
        </w:rPr>
        <w:t xml:space="preserve"> </w:t>
      </w:r>
      <w:proofErr w:type="spellStart"/>
      <w:r w:rsidRPr="004C6457">
        <w:rPr>
          <w:rFonts w:cs="Times New Roman"/>
          <w:lang w:val="fr-CA"/>
        </w:rPr>
        <w:t>MacMillan</w:t>
      </w:r>
      <w:proofErr w:type="spellEnd"/>
      <w:r w:rsidRPr="004C6457">
        <w:rPr>
          <w:rFonts w:cs="Times New Roman"/>
          <w:lang w:val="fr-CA"/>
        </w:rPr>
        <w:t xml:space="preserve">. Le juge Beveridge a écrit que, si le tribunal peut, en vertu de son pouvoir discrétionnaire, écarter le témoignage de l’expert pour cause de partialité réelle, le critère retenu par le juge des requêtes, en l’occurrence que l’expert </w:t>
      </w:r>
      <w:r>
        <w:rPr>
          <w:rFonts w:cs="Times New Roman"/>
          <w:lang w:val="fr-CA"/>
        </w:rPr>
        <w:t>« </w:t>
      </w:r>
      <w:r w:rsidRPr="004C6457">
        <w:rPr>
          <w:rFonts w:cs="Times New Roman"/>
          <w:lang w:val="fr-CA"/>
        </w:rPr>
        <w:t>doit être indépendant et impartial et être perçu comme tel</w:t>
      </w:r>
      <w:r>
        <w:rPr>
          <w:rFonts w:cs="Times New Roman"/>
          <w:lang w:val="fr-CA"/>
        </w:rPr>
        <w:t> »</w:t>
      </w:r>
      <w:r w:rsidR="006A32A0">
        <w:rPr>
          <w:rFonts w:cs="Times New Roman"/>
          <w:lang w:val="fr-CA"/>
        </w:rPr>
        <w:t>,</w:t>
      </w:r>
      <w:r w:rsidRPr="004C6457">
        <w:rPr>
          <w:rFonts w:cs="Times New Roman"/>
          <w:lang w:val="fr-CA"/>
        </w:rPr>
        <w:t xml:space="preserve"> était mal fondé en droit. Il n’aurait pas dû déclarer inadmissible le témoignage de M</w:t>
      </w:r>
      <w:r w:rsidRPr="004C6457">
        <w:rPr>
          <w:rFonts w:cs="Times New Roman"/>
          <w:vertAlign w:val="superscript"/>
          <w:lang w:val="fr-CA"/>
        </w:rPr>
        <w:t>me</w:t>
      </w:r>
      <w:r>
        <w:rPr>
          <w:rFonts w:cs="Times New Roman"/>
          <w:lang w:val="fr-CA"/>
        </w:rPr>
        <w:t xml:space="preserve"> </w:t>
      </w:r>
      <w:proofErr w:type="spellStart"/>
      <w:r w:rsidRPr="004C6457">
        <w:rPr>
          <w:rFonts w:cs="Times New Roman"/>
          <w:lang w:val="fr-CA"/>
        </w:rPr>
        <w:t>MacMillan</w:t>
      </w:r>
      <w:proofErr w:type="spellEnd"/>
      <w:r w:rsidRPr="004C6457">
        <w:rPr>
          <w:rFonts w:cs="Times New Roman"/>
          <w:lang w:val="fr-CA"/>
        </w:rPr>
        <w:t xml:space="preserve"> ni radier son affidavit.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juge en chef MacDonald, dissident, était d’avis de confirmer la décision du juge des requêtes, parce que ce dernier avait selon lui exposé et appliqué correctement les principes juridiques pertinents.</w:t>
      </w:r>
    </w:p>
    <w:p w:rsidR="001F4CC4" w:rsidRPr="004C6457" w:rsidRDefault="001F4CC4" w:rsidP="001F4CC4">
      <w:pPr>
        <w:pStyle w:val="Title1LevelTitre1Niveau-AltL"/>
        <w:widowControl w:val="0"/>
        <w:numPr>
          <w:ilvl w:val="0"/>
          <w:numId w:val="23"/>
        </w:numPr>
        <w:rPr>
          <w:rFonts w:cs="Times New Roman"/>
          <w:lang w:val="fr-CA"/>
        </w:rPr>
      </w:pPr>
      <w:r w:rsidRPr="004C6457">
        <w:rPr>
          <w:rFonts w:cs="Times New Roman"/>
          <w:lang w:val="fr-CA"/>
        </w:rPr>
        <w:t xml:space="preserve">Analyse </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t>Aperçu</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Selon moi, l’expert a l’obligation envers le tribunal de donner un témoignage d’opinion qui soit juste, objectif et impartial. Il doit être conscient de cette obligation et pouvoir et vouloir s’en acquitter. S’il ne satisfait pas à ce critère, son témoignage ne devrait pas être admis. Or, dès lors qu’il y est satisfait, les réserves </w:t>
      </w:r>
      <w:r w:rsidRPr="004C6457">
        <w:rPr>
          <w:rFonts w:cs="Times New Roman"/>
          <w:lang w:val="fr-CA"/>
        </w:rPr>
        <w:lastRenderedPageBreak/>
        <w:t xml:space="preserve">quant à l’indépendance ou à l’impartialité du témoin expert devraient être examinées dans l’évaluation globale des coûts et des bénéfices de l’admission du témoignage. Cette démarche issue de la </w:t>
      </w:r>
      <w:proofErr w:type="spellStart"/>
      <w:r w:rsidRPr="004C6457">
        <w:rPr>
          <w:rFonts w:cs="Times New Roman"/>
          <w:lang w:val="fr-CA"/>
        </w:rPr>
        <w:t>common</w:t>
      </w:r>
      <w:proofErr w:type="spellEnd"/>
      <w:r w:rsidRPr="004C6457">
        <w:rPr>
          <w:rFonts w:cs="Times New Roman"/>
          <w:lang w:val="fr-CA"/>
        </w:rPr>
        <w:t xml:space="preserve"> </w:t>
      </w:r>
      <w:proofErr w:type="spellStart"/>
      <w:r w:rsidRPr="004C6457">
        <w:rPr>
          <w:rFonts w:cs="Times New Roman"/>
          <w:lang w:val="fr-CA"/>
        </w:rPr>
        <w:t>law</w:t>
      </w:r>
      <w:proofErr w:type="spellEnd"/>
      <w:r w:rsidRPr="004C6457">
        <w:rPr>
          <w:rFonts w:cs="Times New Roman"/>
          <w:lang w:val="fr-CA"/>
        </w:rPr>
        <w:t xml:space="preserve"> cède le pas bien sûr aux dispositions législatives et connexes établissant dans certains cas des règles d’admissibilité différentes.</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t>Impartialité et indépendance du témoin expert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Les préoccupations quant à savoir si les témoins experts retenus par les parties sont impartiaux — c’est</w:t>
      </w:r>
      <w:r>
        <w:rPr>
          <w:rFonts w:cs="Times New Roman"/>
          <w:lang w:val="fr-CA"/>
        </w:rPr>
        <w:t>-</w:t>
      </w:r>
      <w:r w:rsidRPr="004C6457">
        <w:rPr>
          <w:rFonts w:cs="Times New Roman"/>
          <w:lang w:val="fr-CA"/>
        </w:rPr>
        <w:t>à</w:t>
      </w:r>
      <w:r>
        <w:rPr>
          <w:rFonts w:cs="Times New Roman"/>
          <w:lang w:val="fr-CA"/>
        </w:rPr>
        <w:t>-</w:t>
      </w:r>
      <w:r w:rsidRPr="004C6457">
        <w:rPr>
          <w:rFonts w:cs="Times New Roman"/>
          <w:lang w:val="fr-CA"/>
        </w:rPr>
        <w:t>dire s’ils expriment leur opinion professionnelle sans parti pris — et indépendants — c’est</w:t>
      </w:r>
      <w:r>
        <w:rPr>
          <w:rFonts w:cs="Times New Roman"/>
          <w:lang w:val="fr-CA"/>
        </w:rPr>
        <w:t>-</w:t>
      </w:r>
      <w:r w:rsidRPr="004C6457">
        <w:rPr>
          <w:rFonts w:cs="Times New Roman"/>
          <w:lang w:val="fr-CA"/>
        </w:rPr>
        <w:t>à</w:t>
      </w:r>
      <w:r>
        <w:rPr>
          <w:rFonts w:cs="Times New Roman"/>
          <w:lang w:val="fr-CA"/>
        </w:rPr>
        <w:t>-</w:t>
      </w:r>
      <w:r w:rsidRPr="004C6457">
        <w:rPr>
          <w:rFonts w:cs="Times New Roman"/>
          <w:lang w:val="fr-CA"/>
        </w:rPr>
        <w:t>dire si leur opinion est le fruit des conclusions auxquelles ils sont parvenus de façon indépendante en se fondant sur leurs propres connaissances et jugement — ne datent pas d’hier (voir, p.</w:t>
      </w:r>
      <w:r>
        <w:rPr>
          <w:rFonts w:cs="Times New Roman"/>
          <w:lang w:val="fr-CA"/>
        </w:rPr>
        <w:t xml:space="preserve"> </w:t>
      </w:r>
      <w:r w:rsidRPr="004C6457">
        <w:rPr>
          <w:rFonts w:cs="Times New Roman"/>
          <w:lang w:val="fr-CA"/>
        </w:rPr>
        <w:t xml:space="preserve">ex., G. R. Anderson, </w:t>
      </w:r>
      <w:r w:rsidRPr="004C6457">
        <w:rPr>
          <w:rFonts w:cs="Times New Roman"/>
          <w:i/>
          <w:iCs/>
          <w:lang w:val="fr-CA"/>
        </w:rPr>
        <w:t xml:space="preserve">Expert </w:t>
      </w:r>
      <w:proofErr w:type="spellStart"/>
      <w:r w:rsidRPr="004C6457">
        <w:rPr>
          <w:rFonts w:cs="Times New Roman"/>
          <w:i/>
          <w:iCs/>
          <w:lang w:val="fr-CA"/>
        </w:rPr>
        <w:t>Evidence</w:t>
      </w:r>
      <w:proofErr w:type="spellEnd"/>
      <w:r w:rsidRPr="004C6457">
        <w:rPr>
          <w:rFonts w:cs="Times New Roman"/>
          <w:lang w:val="fr-CA"/>
        </w:rPr>
        <w:t xml:space="preserve"> (3</w:t>
      </w:r>
      <w:r w:rsidRPr="004C6457">
        <w:rPr>
          <w:rFonts w:cs="Times New Roman"/>
          <w:vertAlign w:val="superscript"/>
          <w:lang w:val="fr-CA"/>
        </w:rPr>
        <w:t>e</w:t>
      </w:r>
      <w:r w:rsidRPr="004C6457">
        <w:rPr>
          <w:rFonts w:cs="Times New Roman"/>
          <w:lang w:val="fr-CA"/>
        </w:rPr>
        <w:t xml:space="preserve"> éd. 2014), p.</w:t>
      </w:r>
      <w:r>
        <w:rPr>
          <w:rFonts w:cs="Times New Roman"/>
          <w:lang w:val="fr-CA"/>
        </w:rPr>
        <w:t xml:space="preserve"> </w:t>
      </w:r>
      <w:r w:rsidRPr="004C6457">
        <w:rPr>
          <w:rFonts w:cs="Times New Roman"/>
          <w:lang w:val="fr-CA"/>
        </w:rPr>
        <w:t xml:space="preserve">509; S. N. </w:t>
      </w:r>
      <w:proofErr w:type="spellStart"/>
      <w:r w:rsidRPr="004C6457">
        <w:rPr>
          <w:rFonts w:cs="Times New Roman"/>
          <w:lang w:val="fr-CA"/>
        </w:rPr>
        <w:t>Lederman</w:t>
      </w:r>
      <w:proofErr w:type="spellEnd"/>
      <w:r w:rsidRPr="004C6457">
        <w:rPr>
          <w:rFonts w:cs="Times New Roman"/>
          <w:lang w:val="fr-CA"/>
        </w:rPr>
        <w:t xml:space="preserve">, A. W. Bryant et M. K. </w:t>
      </w:r>
      <w:proofErr w:type="spellStart"/>
      <w:r w:rsidRPr="004C6457">
        <w:rPr>
          <w:rFonts w:cs="Times New Roman"/>
          <w:lang w:val="fr-CA"/>
        </w:rPr>
        <w:t>Fuerst</w:t>
      </w:r>
      <w:proofErr w:type="spellEnd"/>
      <w:r w:rsidRPr="004C6457">
        <w:rPr>
          <w:rFonts w:cs="Times New Roman"/>
          <w:lang w:val="fr-CA"/>
        </w:rPr>
        <w:t xml:space="preserve">, </w:t>
      </w:r>
      <w:r w:rsidRPr="004C6457">
        <w:rPr>
          <w:rFonts w:cs="Times New Roman"/>
          <w:i/>
          <w:iCs/>
          <w:lang w:val="fr-CA"/>
        </w:rPr>
        <w:t xml:space="preserve">The Law of </w:t>
      </w:r>
      <w:proofErr w:type="spellStart"/>
      <w:r w:rsidRPr="004C6457">
        <w:rPr>
          <w:rFonts w:cs="Times New Roman"/>
          <w:i/>
          <w:iCs/>
          <w:lang w:val="fr-CA"/>
        </w:rPr>
        <w:t>Evidence</w:t>
      </w:r>
      <w:proofErr w:type="spellEnd"/>
      <w:r w:rsidRPr="004C6457">
        <w:rPr>
          <w:rFonts w:cs="Times New Roman"/>
          <w:i/>
          <w:iCs/>
          <w:lang w:val="fr-CA"/>
        </w:rPr>
        <w:t xml:space="preserve"> in Canada</w:t>
      </w:r>
      <w:r w:rsidRPr="004C6457">
        <w:rPr>
          <w:rFonts w:cs="Times New Roman"/>
          <w:lang w:val="fr-CA"/>
        </w:rPr>
        <w:t xml:space="preserve"> (4</w:t>
      </w:r>
      <w:r w:rsidRPr="004C6457">
        <w:rPr>
          <w:rFonts w:cs="Times New Roman"/>
          <w:vertAlign w:val="superscript"/>
          <w:lang w:val="fr-CA"/>
        </w:rPr>
        <w:t>e</w:t>
      </w:r>
      <w:r w:rsidRPr="004C6457">
        <w:rPr>
          <w:rFonts w:cs="Times New Roman"/>
          <w:lang w:val="fr-CA"/>
        </w:rPr>
        <w:t xml:space="preserve"> éd. 2014), p.</w:t>
      </w:r>
      <w:r>
        <w:rPr>
          <w:rFonts w:cs="Times New Roman"/>
          <w:lang w:val="fr-CA"/>
        </w:rPr>
        <w:t xml:space="preserve"> </w:t>
      </w:r>
      <w:r w:rsidRPr="004C6457">
        <w:rPr>
          <w:rFonts w:cs="Times New Roman"/>
          <w:lang w:val="fr-CA"/>
        </w:rPr>
        <w:t xml:space="preserve">783). Comme le soulignait Sir George </w:t>
      </w:r>
      <w:proofErr w:type="spellStart"/>
      <w:r w:rsidRPr="004C6457">
        <w:rPr>
          <w:rFonts w:cs="Times New Roman"/>
          <w:lang w:val="fr-CA"/>
        </w:rPr>
        <w:t>Jessel</w:t>
      </w:r>
      <w:proofErr w:type="spellEnd"/>
      <w:r w:rsidRPr="004C6457">
        <w:rPr>
          <w:rFonts w:cs="Times New Roman"/>
          <w:lang w:val="fr-CA"/>
        </w:rPr>
        <w:t>, maître des rôles, dans les années 1870,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[i]l existe indubitablement une tendance naturelle à faire quelque chose d’utile pour celui qui nous emploie et nous rémunère bien. C’est tout à fait naturel et si infaillible que nous voyons constamment des personnes qui se considèrent, non pas comme des témoins, mais comme les mandataires rémunérés de la personne qui les emploie</w:t>
      </w:r>
      <w:r>
        <w:rPr>
          <w:rFonts w:cs="Times New Roman"/>
          <w:lang w:val="fr-CA"/>
        </w:rPr>
        <w:t> »</w:t>
      </w:r>
      <w:r w:rsidRPr="004C6457">
        <w:rPr>
          <w:rFonts w:cs="Times New Roman"/>
          <w:lang w:val="fr-CA"/>
        </w:rPr>
        <w:t xml:space="preserve"> (</w:t>
      </w:r>
      <w:r w:rsidRPr="004C6457">
        <w:rPr>
          <w:rFonts w:cs="Times New Roman"/>
          <w:i/>
          <w:iCs/>
          <w:lang w:val="fr-CA"/>
        </w:rPr>
        <w:t xml:space="preserve">Lord </w:t>
      </w:r>
      <w:proofErr w:type="spellStart"/>
      <w:r w:rsidRPr="004C6457">
        <w:rPr>
          <w:rFonts w:cs="Times New Roman"/>
          <w:i/>
          <w:iCs/>
          <w:lang w:val="fr-CA"/>
        </w:rPr>
        <w:t>Abinger</w:t>
      </w:r>
      <w:proofErr w:type="spellEnd"/>
      <w:r w:rsidRPr="004C6457">
        <w:rPr>
          <w:rFonts w:cs="Times New Roman"/>
          <w:i/>
          <w:iCs/>
          <w:lang w:val="fr-CA"/>
        </w:rPr>
        <w:t xml:space="preserve"> c. Ashton</w:t>
      </w:r>
      <w:r w:rsidRPr="004C6457">
        <w:rPr>
          <w:rFonts w:cs="Times New Roman"/>
          <w:lang w:val="fr-CA"/>
        </w:rPr>
        <w:t xml:space="preserve"> (1873), L.R. 17 </w:t>
      </w:r>
      <w:proofErr w:type="spellStart"/>
      <w:r w:rsidRPr="004C6457">
        <w:rPr>
          <w:rFonts w:cs="Times New Roman"/>
          <w:lang w:val="fr-CA"/>
        </w:rPr>
        <w:t>Eq</w:t>
      </w:r>
      <w:proofErr w:type="spellEnd"/>
      <w:r w:rsidRPr="004C6457">
        <w:rPr>
          <w:rFonts w:cs="Times New Roman"/>
          <w:lang w:val="fr-CA"/>
        </w:rPr>
        <w:t>. 358, p.</w:t>
      </w:r>
      <w:r>
        <w:rPr>
          <w:rFonts w:cs="Times New Roman"/>
          <w:lang w:val="fr-CA"/>
        </w:rPr>
        <w:t xml:space="preserve"> </w:t>
      </w:r>
      <w:r w:rsidRPr="004C6457">
        <w:rPr>
          <w:rFonts w:cs="Times New Roman"/>
          <w:lang w:val="fr-CA"/>
        </w:rPr>
        <w:t xml:space="preserve">374).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L’expérience récente n’a fait qu’aviver ces préoccupations; nous savons que trop bien que le manque d’indépendance et d’impartialité d’un expert peut donner </w:t>
      </w:r>
      <w:r w:rsidRPr="004C6457">
        <w:rPr>
          <w:rFonts w:cs="Times New Roman"/>
          <w:lang w:val="fr-CA"/>
        </w:rPr>
        <w:lastRenderedPageBreak/>
        <w:t>lieu à de très graves erreurs judiciaires (</w:t>
      </w:r>
      <w:r w:rsidRPr="004C6457">
        <w:rPr>
          <w:rFonts w:cs="Times New Roman"/>
          <w:i/>
          <w:iCs/>
          <w:lang w:val="fr-CA"/>
        </w:rPr>
        <w:t>R. c. D.D.</w:t>
      </w:r>
      <w:r w:rsidRPr="004C6457">
        <w:rPr>
          <w:rFonts w:cs="Times New Roman"/>
          <w:lang w:val="fr-CA"/>
        </w:rPr>
        <w:t>, 2000 CSC 43, [2000]</w:t>
      </w:r>
      <w:r>
        <w:rPr>
          <w:rFonts w:cs="Times New Roman"/>
          <w:lang w:val="fr-CA"/>
        </w:rPr>
        <w:t xml:space="preserve"> </w:t>
      </w:r>
      <w:r w:rsidRPr="004C6457">
        <w:rPr>
          <w:rFonts w:cs="Times New Roman"/>
          <w:lang w:val="fr-CA"/>
        </w:rPr>
        <w:t>2</w:t>
      </w:r>
      <w:r>
        <w:rPr>
          <w:rFonts w:cs="Times New Roman"/>
          <w:lang w:val="fr-CA"/>
        </w:rPr>
        <w:t xml:space="preserve"> </w:t>
      </w:r>
      <w:r w:rsidRPr="004C6457">
        <w:rPr>
          <w:rFonts w:cs="Times New Roman"/>
          <w:lang w:val="fr-CA"/>
        </w:rPr>
        <w:t>R.C.S. 275, par.</w:t>
      </w:r>
      <w:r>
        <w:rPr>
          <w:rFonts w:cs="Times New Roman"/>
          <w:lang w:val="fr-CA"/>
        </w:rPr>
        <w:t xml:space="preserve"> </w:t>
      </w:r>
      <w:r w:rsidRPr="004C6457">
        <w:rPr>
          <w:rFonts w:cs="Times New Roman"/>
          <w:lang w:val="fr-CA"/>
        </w:rPr>
        <w:t xml:space="preserve">52). Comme l’a souligné le juge Beveridge dans la présente affaire, la </w:t>
      </w:r>
      <w:r w:rsidRPr="004C6457">
        <w:rPr>
          <w:rFonts w:cs="Times New Roman"/>
          <w:i/>
          <w:iCs/>
          <w:lang w:val="fr-CA"/>
        </w:rPr>
        <w:t>Commission sur les poursuites contre Guy Paul Morin</w:t>
      </w:r>
      <w:r>
        <w:rPr>
          <w:rFonts w:cs="Times New Roman"/>
          <w:i/>
          <w:iCs/>
          <w:lang w:val="fr-CA"/>
        </w:rPr>
        <w:t> :</w:t>
      </w:r>
      <w:r w:rsidRPr="004C6457">
        <w:rPr>
          <w:rFonts w:cs="Times New Roman"/>
          <w:i/>
          <w:iCs/>
          <w:lang w:val="fr-CA"/>
        </w:rPr>
        <w:t xml:space="preserve"> Rapport</w:t>
      </w:r>
      <w:r w:rsidRPr="004C6457">
        <w:rPr>
          <w:rFonts w:cs="Times New Roman"/>
          <w:lang w:val="fr-CA"/>
        </w:rPr>
        <w:t xml:space="preserve"> (1998), rédigé par l’honorable Fred Kaufman, et </w:t>
      </w:r>
      <w:r w:rsidR="004622D4">
        <w:rPr>
          <w:rFonts w:cs="Times New Roman"/>
          <w:lang w:val="fr-CA"/>
        </w:rPr>
        <w:t xml:space="preserve">le </w:t>
      </w:r>
      <w:r w:rsidR="004622D4" w:rsidRPr="006A32A0">
        <w:rPr>
          <w:rFonts w:cs="Times New Roman"/>
          <w:i/>
          <w:lang w:val="fr-CA"/>
        </w:rPr>
        <w:t xml:space="preserve">Rapport de </w:t>
      </w:r>
      <w:r w:rsidRPr="006A32A0">
        <w:rPr>
          <w:rFonts w:cs="Times New Roman"/>
          <w:i/>
          <w:lang w:val="fr-CA"/>
        </w:rPr>
        <w:t>la</w:t>
      </w:r>
      <w:r w:rsidRPr="004C6457">
        <w:rPr>
          <w:rFonts w:cs="Times New Roman"/>
          <w:lang w:val="fr-CA"/>
        </w:rPr>
        <w:t xml:space="preserve"> </w:t>
      </w:r>
      <w:r w:rsidRPr="004C6457">
        <w:rPr>
          <w:rFonts w:cs="Times New Roman"/>
          <w:i/>
          <w:iCs/>
          <w:lang w:val="fr-CA"/>
        </w:rPr>
        <w:t>Commission d’enquête sur la médecine légale pédiatrique en Ontario</w:t>
      </w:r>
      <w:r>
        <w:rPr>
          <w:rFonts w:cs="Times New Roman"/>
          <w:i/>
          <w:iCs/>
          <w:lang w:val="fr-CA"/>
        </w:rPr>
        <w:t> </w:t>
      </w:r>
      <w:r w:rsidRPr="004C6457">
        <w:rPr>
          <w:rFonts w:cs="Times New Roman"/>
          <w:lang w:val="fr-CA"/>
        </w:rPr>
        <w:t>(2008)</w:t>
      </w:r>
      <w:r w:rsidR="006A32A0">
        <w:rPr>
          <w:rFonts w:cs="Times New Roman"/>
          <w:lang w:val="fr-CA"/>
        </w:rPr>
        <w:t>,</w:t>
      </w:r>
      <w:r w:rsidRPr="004C6457">
        <w:rPr>
          <w:rFonts w:cs="Times New Roman"/>
          <w:lang w:val="fr-CA"/>
        </w:rPr>
        <w:t xml:space="preserve"> de l’honorable Stephen</w:t>
      </w:r>
      <w:r>
        <w:rPr>
          <w:rFonts w:cs="Times New Roman"/>
          <w:lang w:val="fr-CA"/>
        </w:rPr>
        <w:t xml:space="preserve"> </w:t>
      </w:r>
      <w:r w:rsidRPr="004C6457">
        <w:rPr>
          <w:rFonts w:cs="Times New Roman"/>
          <w:lang w:val="fr-CA"/>
        </w:rPr>
        <w:t xml:space="preserve">T. </w:t>
      </w:r>
      <w:proofErr w:type="spellStart"/>
      <w:r w:rsidRPr="004C6457">
        <w:rPr>
          <w:rFonts w:cs="Times New Roman"/>
          <w:lang w:val="fr-CA"/>
        </w:rPr>
        <w:t>Goudge</w:t>
      </w:r>
      <w:proofErr w:type="spellEnd"/>
      <w:r w:rsidRPr="004C6457">
        <w:rPr>
          <w:rFonts w:cs="Times New Roman"/>
          <w:lang w:val="fr-CA"/>
        </w:rPr>
        <w:t>, donnent deux exemples concrets de cas où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[l]’opinion apparemment solide et impartiale, mais erronée, d’un scientifique expert a joué un rôle de premier plan dans des erreurs judiciaires</w:t>
      </w:r>
      <w:r>
        <w:rPr>
          <w:rFonts w:cs="Times New Roman"/>
          <w:lang w:val="fr-CA"/>
        </w:rPr>
        <w:t> »</w:t>
      </w:r>
      <w:r w:rsidRPr="004C6457">
        <w:rPr>
          <w:rFonts w:cs="Times New Roman"/>
          <w:lang w:val="fr-CA"/>
        </w:rPr>
        <w:t xml:space="preserve"> (par.</w:t>
      </w:r>
      <w:r>
        <w:rPr>
          <w:rFonts w:cs="Times New Roman"/>
          <w:lang w:val="fr-CA"/>
        </w:rPr>
        <w:t xml:space="preserve"> </w:t>
      </w:r>
      <w:r w:rsidRPr="004C6457">
        <w:rPr>
          <w:rFonts w:cs="Times New Roman"/>
          <w:lang w:val="fr-CA"/>
        </w:rPr>
        <w:t>105)</w:t>
      </w:r>
      <w:r w:rsidR="004622D4">
        <w:rPr>
          <w:rFonts w:cs="Times New Roman"/>
          <w:lang w:val="fr-CA"/>
        </w:rPr>
        <w:t>.</w:t>
      </w:r>
      <w:r w:rsidRPr="004C6457">
        <w:rPr>
          <w:rFonts w:cs="Times New Roman"/>
          <w:lang w:val="fr-CA"/>
        </w:rPr>
        <w:t xml:space="preserve"> D’autres rapports mettent en évidence la nécessité cruciale que l’expert soit impartial et indépendant dans les procès civils (</w:t>
      </w:r>
      <w:r w:rsidRPr="004C6457">
        <w:rPr>
          <w:rFonts w:cs="Times New Roman"/>
          <w:i/>
          <w:lang w:val="fr-CA"/>
        </w:rPr>
        <w:t>ibid</w:t>
      </w:r>
      <w:r w:rsidRPr="00533DB7">
        <w:rPr>
          <w:rFonts w:cs="Times New Roman"/>
          <w:i/>
          <w:lang w:val="fr-CA"/>
        </w:rPr>
        <w:t>.</w:t>
      </w:r>
      <w:r w:rsidRPr="004C6457">
        <w:rPr>
          <w:rFonts w:cs="Times New Roman"/>
          <w:lang w:val="fr-CA"/>
        </w:rPr>
        <w:t>, par.</w:t>
      </w:r>
      <w:r>
        <w:rPr>
          <w:rFonts w:cs="Times New Roman"/>
          <w:lang w:val="fr-CA"/>
        </w:rPr>
        <w:t xml:space="preserve"> </w:t>
      </w:r>
      <w:r w:rsidRPr="004C6457">
        <w:rPr>
          <w:rFonts w:cs="Times New Roman"/>
          <w:lang w:val="fr-CA"/>
        </w:rPr>
        <w:t xml:space="preserve">106; voir le très honorable lord Woolf, </w:t>
      </w:r>
      <w:r w:rsidRPr="004C6457">
        <w:rPr>
          <w:rFonts w:cs="Times New Roman"/>
          <w:i/>
          <w:iCs/>
          <w:lang w:val="fr-CA"/>
        </w:rPr>
        <w:t>Access to Justice</w:t>
      </w:r>
      <w:r w:rsidR="00533DB7">
        <w:rPr>
          <w:rFonts w:cs="Times New Roman"/>
          <w:i/>
          <w:iCs/>
          <w:lang w:val="fr-CA"/>
        </w:rPr>
        <w:t xml:space="preserve"> </w:t>
      </w:r>
      <w:r w:rsidRPr="004C6457">
        <w:rPr>
          <w:rFonts w:cs="Times New Roman"/>
          <w:i/>
          <w:iCs/>
          <w:lang w:val="fr-CA"/>
        </w:rPr>
        <w:t xml:space="preserve">: Final Report </w:t>
      </w:r>
      <w:r w:rsidRPr="004C6457">
        <w:rPr>
          <w:rFonts w:cs="Times New Roman"/>
          <w:iCs/>
          <w:lang w:val="fr-CA"/>
        </w:rPr>
        <w:t>(</w:t>
      </w:r>
      <w:r w:rsidRPr="004C6457">
        <w:rPr>
          <w:rFonts w:cs="Times New Roman"/>
          <w:lang w:val="fr-CA"/>
        </w:rPr>
        <w:t>1996); l</w:t>
      </w:r>
      <w:r w:rsidRPr="004C6457">
        <w:rPr>
          <w:rFonts w:cs="Times New Roman"/>
          <w:shd w:val="clear" w:color="auto" w:fill="FFFFFF"/>
          <w:lang w:val="fr-CA"/>
        </w:rPr>
        <w:t xml:space="preserve">’honorable Coulter A. Osborne, </w:t>
      </w:r>
      <w:r w:rsidRPr="004C6457">
        <w:rPr>
          <w:rFonts w:cs="Times New Roman"/>
          <w:i/>
          <w:iCs/>
          <w:lang w:val="fr-CA"/>
        </w:rPr>
        <w:t>Projet de réforme du système de justice civile</w:t>
      </w:r>
      <w:r>
        <w:rPr>
          <w:rFonts w:cs="Times New Roman"/>
          <w:i/>
          <w:iCs/>
          <w:lang w:val="fr-CA"/>
        </w:rPr>
        <w:t> :</w:t>
      </w:r>
      <w:r w:rsidRPr="004C6457">
        <w:rPr>
          <w:rFonts w:cs="Times New Roman"/>
          <w:i/>
          <w:iCs/>
          <w:lang w:val="fr-CA"/>
        </w:rPr>
        <w:t xml:space="preserve"> Résumé des conclusions et des recommandations</w:t>
      </w:r>
      <w:r w:rsidRPr="004C6457">
        <w:rPr>
          <w:rFonts w:cs="Times New Roman"/>
          <w:lang w:val="fr-CA"/>
        </w:rPr>
        <w:t xml:space="preserve"> (2007)).</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Pour déterminer la meilleure solution en droit de la preuve à ces préoccupations, il nous faut nous poser plusieurs questions. Est</w:t>
      </w:r>
      <w:r>
        <w:rPr>
          <w:rFonts w:cs="Times New Roman"/>
          <w:lang w:val="fr-CA"/>
        </w:rPr>
        <w:t>-</w:t>
      </w:r>
      <w:r w:rsidRPr="004C6457">
        <w:rPr>
          <w:rFonts w:cs="Times New Roman"/>
          <w:lang w:val="fr-CA"/>
        </w:rPr>
        <w:t>ce que les réserves au sujet du parti pris possible d’un expert jouent au regard de l’admissibilité de son témoignage ou seulement de la valeur probante de ce dernier? Dans le premier cas, devrait</w:t>
      </w:r>
      <w:r>
        <w:rPr>
          <w:rFonts w:cs="Times New Roman"/>
          <w:lang w:val="fr-CA"/>
        </w:rPr>
        <w:t>-</w:t>
      </w:r>
      <w:r w:rsidRPr="004C6457">
        <w:rPr>
          <w:rFonts w:cs="Times New Roman"/>
          <w:lang w:val="fr-CA"/>
        </w:rPr>
        <w:t xml:space="preserve">on y répondre par un critère d’admissibilité, par un </w:t>
      </w:r>
      <w:r w:rsidRPr="004C6457">
        <w:rPr>
          <w:rFonts w:cs="Times New Roman"/>
          <w:spacing w:val="-3"/>
          <w:shd w:val="clear" w:color="auto" w:fill="FFFFFF"/>
          <w:lang w:val="fr-CA"/>
        </w:rPr>
        <w:t>pouvoir discrétionnaire permettant d’écarter la preuve ou les deux</w:t>
      </w:r>
      <w:r w:rsidRPr="004C6457">
        <w:rPr>
          <w:rFonts w:cs="Times New Roman"/>
          <w:lang w:val="fr-CA"/>
        </w:rPr>
        <w:t>? Quand justifient</w:t>
      </w:r>
      <w:r>
        <w:rPr>
          <w:rFonts w:cs="Times New Roman"/>
          <w:lang w:val="fr-CA"/>
        </w:rPr>
        <w:t>-</w:t>
      </w:r>
      <w:r w:rsidRPr="004C6457">
        <w:rPr>
          <w:rFonts w:cs="Times New Roman"/>
          <w:lang w:val="fr-CA"/>
        </w:rPr>
        <w:t>elles que soit exclu un témoignage? Enfin, comment la solution s’inscrit</w:t>
      </w:r>
      <w:r>
        <w:rPr>
          <w:rFonts w:cs="Times New Roman"/>
          <w:lang w:val="fr-CA"/>
        </w:rPr>
        <w:t>-</w:t>
      </w:r>
      <w:r w:rsidRPr="004C6457">
        <w:rPr>
          <w:rFonts w:cs="Times New Roman"/>
          <w:lang w:val="fr-CA"/>
        </w:rPr>
        <w:t>elle dans le cadre juridique actuel régissant l’admissibilité des témoignages d’experts? Pour répondre à ces questions, nous devons d’abord nous pencher sur ce cadre juridique, circonscrire les obligations du témoin envers le tribunal, puis voir comment ces dernières s’intègrent le mieux dans le cadre juridique.</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lastRenderedPageBreak/>
        <w:t>Le cadre juridique</w:t>
      </w:r>
      <w:r w:rsidRPr="004C6457">
        <w:rPr>
          <w:rFonts w:cs="Times New Roman"/>
          <w:i w:val="0"/>
          <w:lang w:val="fr-CA"/>
        </w:rPr>
        <w:t xml:space="preserve"> </w:t>
      </w:r>
    </w:p>
    <w:p w:rsidR="001F4CC4" w:rsidRPr="004C6457" w:rsidRDefault="001F4CC4" w:rsidP="001F4CC4">
      <w:pPr>
        <w:pStyle w:val="Title3LevelTitre3Niveau"/>
        <w:widowControl w:val="0"/>
        <w:numPr>
          <w:ilvl w:val="2"/>
          <w:numId w:val="23"/>
        </w:numPr>
        <w:rPr>
          <w:rFonts w:cs="Times New Roman"/>
          <w:lang w:val="fr-CA"/>
        </w:rPr>
      </w:pPr>
      <w:r w:rsidRPr="004C6457">
        <w:rPr>
          <w:rFonts w:cs="Times New Roman"/>
          <w:lang w:val="fr-CA"/>
        </w:rPr>
        <w:t>La règle d’exclusion des témoignages d’opinion</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La règle générale moderne selon laquelle toute preuve pertinente est admissible est assortie de nombreuses exceptions. L’une d’elles a trait au témoignage d’opinion, lequel fait l’objet d’une règle d’exclusion complexe. La déposition des témoins doit relater les faits qu’ils ont perçus, et non présenter les inférences, ou opinions, qu’ils en tirent. Comme l’a dit il y a longtemps un </w:t>
      </w:r>
      <w:r w:rsidRPr="004C6457">
        <w:rPr>
          <w:rFonts w:cs="Times New Roman"/>
          <w:spacing w:val="-3"/>
          <w:shd w:val="clear" w:color="auto" w:fill="FFFFFF"/>
          <w:lang w:val="fr-CA"/>
        </w:rPr>
        <w:t>éminent spécialiste de la preuve, [</w:t>
      </w:r>
      <w:r w:rsidRPr="004C6457">
        <w:rPr>
          <w:rFonts w:cs="Times New Roman"/>
          <w:smallCaps/>
          <w:spacing w:val="-3"/>
          <w:shd w:val="clear" w:color="auto" w:fill="FFFFFF"/>
          <w:lang w:val="fr-CA"/>
        </w:rPr>
        <w:t>traduction</w:t>
      </w:r>
      <w:r w:rsidRPr="004C6457">
        <w:rPr>
          <w:rFonts w:cs="Times New Roman"/>
          <w:spacing w:val="-3"/>
          <w:shd w:val="clear" w:color="auto" w:fill="FFFFFF"/>
          <w:lang w:val="fr-CA"/>
        </w:rPr>
        <w:t xml:space="preserve">] </w:t>
      </w:r>
      <w:r>
        <w:rPr>
          <w:rFonts w:cs="Times New Roman"/>
          <w:spacing w:val="-3"/>
          <w:shd w:val="clear" w:color="auto" w:fill="FFFFFF"/>
          <w:lang w:val="fr-CA"/>
        </w:rPr>
        <w:t>« </w:t>
      </w:r>
      <w:r w:rsidRPr="004C6457">
        <w:rPr>
          <w:rFonts w:cs="Times New Roman"/>
          <w:spacing w:val="-3"/>
          <w:shd w:val="clear" w:color="auto" w:fill="FFFFFF"/>
          <w:lang w:val="fr-CA"/>
        </w:rPr>
        <w:t>c’est au jury de se faire une opinion et de tirer des inférences et des conclusions, pas au témoin</w:t>
      </w:r>
      <w:r>
        <w:rPr>
          <w:rFonts w:cs="Times New Roman"/>
          <w:spacing w:val="-3"/>
          <w:shd w:val="clear" w:color="auto" w:fill="FFFFFF"/>
          <w:lang w:val="fr-CA"/>
        </w:rPr>
        <w:t> »</w:t>
      </w:r>
      <w:r w:rsidRPr="004C6457">
        <w:rPr>
          <w:rFonts w:cs="Times New Roman"/>
          <w:spacing w:val="-3"/>
          <w:sz w:val="26"/>
          <w:szCs w:val="26"/>
          <w:shd w:val="clear" w:color="auto" w:fill="FFFFFF"/>
          <w:lang w:val="fr-CA"/>
        </w:rPr>
        <w:t xml:space="preserve"> </w:t>
      </w:r>
      <w:r w:rsidRPr="004C6457">
        <w:rPr>
          <w:rFonts w:cs="Times New Roman"/>
          <w:spacing w:val="-3"/>
          <w:shd w:val="clear" w:color="auto" w:fill="FFFFFF"/>
          <w:lang w:val="fr-CA"/>
        </w:rPr>
        <w:t>(J.</w:t>
      </w:r>
      <w:r>
        <w:rPr>
          <w:rFonts w:cs="Times New Roman"/>
          <w:spacing w:val="-3"/>
          <w:shd w:val="clear" w:color="auto" w:fill="FFFFFF"/>
          <w:lang w:val="fr-CA"/>
        </w:rPr>
        <w:t xml:space="preserve"> </w:t>
      </w:r>
      <w:r w:rsidRPr="004C6457">
        <w:rPr>
          <w:rFonts w:cs="Times New Roman"/>
          <w:spacing w:val="-3"/>
          <w:shd w:val="clear" w:color="auto" w:fill="FFFFFF"/>
          <w:lang w:val="fr-CA"/>
        </w:rPr>
        <w:t>B.</w:t>
      </w:r>
      <w:r>
        <w:rPr>
          <w:rFonts w:cs="Times New Roman"/>
          <w:spacing w:val="-3"/>
          <w:shd w:val="clear" w:color="auto" w:fill="FFFFFF"/>
          <w:lang w:val="fr-CA"/>
        </w:rPr>
        <w:t xml:space="preserve"> </w:t>
      </w:r>
      <w:r w:rsidRPr="004C6457">
        <w:rPr>
          <w:rFonts w:cs="Times New Roman"/>
          <w:spacing w:val="-3"/>
          <w:shd w:val="clear" w:color="auto" w:fill="FFFFFF"/>
          <w:lang w:val="fr-CA"/>
        </w:rPr>
        <w:t>Thayer,</w:t>
      </w:r>
      <w:r w:rsidRPr="004C6457">
        <w:rPr>
          <w:rFonts w:cs="Times New Roman"/>
          <w:spacing w:val="-3"/>
          <w:sz w:val="26"/>
          <w:szCs w:val="26"/>
          <w:shd w:val="clear" w:color="auto" w:fill="FFFFFF"/>
          <w:lang w:val="fr-CA"/>
        </w:rPr>
        <w:t xml:space="preserve"> </w:t>
      </w:r>
      <w:r w:rsidRPr="004C6457">
        <w:rPr>
          <w:rFonts w:cs="Times New Roman"/>
          <w:i/>
          <w:iCs/>
          <w:lang w:val="fr-CA"/>
        </w:rPr>
        <w:t xml:space="preserve">A </w:t>
      </w:r>
      <w:proofErr w:type="spellStart"/>
      <w:r w:rsidRPr="004C6457">
        <w:rPr>
          <w:rFonts w:cs="Times New Roman"/>
          <w:i/>
          <w:iCs/>
          <w:lang w:val="fr-CA"/>
        </w:rPr>
        <w:t>Preliminary</w:t>
      </w:r>
      <w:proofErr w:type="spellEnd"/>
      <w:r w:rsidRPr="004C6457">
        <w:rPr>
          <w:rFonts w:cs="Times New Roman"/>
          <w:i/>
          <w:iCs/>
          <w:lang w:val="fr-CA"/>
        </w:rPr>
        <w:t xml:space="preserve"> </w:t>
      </w:r>
      <w:proofErr w:type="spellStart"/>
      <w:r w:rsidRPr="004C6457">
        <w:rPr>
          <w:rFonts w:cs="Times New Roman"/>
          <w:i/>
          <w:iCs/>
          <w:lang w:val="fr-CA"/>
        </w:rPr>
        <w:t>Treatise</w:t>
      </w:r>
      <w:proofErr w:type="spellEnd"/>
      <w:r w:rsidRPr="004C6457">
        <w:rPr>
          <w:rFonts w:cs="Times New Roman"/>
          <w:i/>
          <w:iCs/>
          <w:lang w:val="fr-CA"/>
        </w:rPr>
        <w:t xml:space="preserve"> on </w:t>
      </w:r>
      <w:proofErr w:type="spellStart"/>
      <w:r w:rsidRPr="004C6457">
        <w:rPr>
          <w:rFonts w:cs="Times New Roman"/>
          <w:i/>
          <w:iCs/>
          <w:lang w:val="fr-CA"/>
        </w:rPr>
        <w:t>Evidence</w:t>
      </w:r>
      <w:proofErr w:type="spellEnd"/>
      <w:r w:rsidRPr="004C6457">
        <w:rPr>
          <w:rFonts w:cs="Times New Roman"/>
          <w:i/>
          <w:iCs/>
          <w:lang w:val="fr-CA"/>
        </w:rPr>
        <w:t xml:space="preserve"> at the Common Law</w:t>
      </w:r>
      <w:r w:rsidRPr="004C6457">
        <w:rPr>
          <w:rFonts w:cs="Times New Roman"/>
          <w:lang w:val="fr-CA"/>
        </w:rPr>
        <w:t xml:space="preserve"> (1898; réimprimé 1969), p.</w:t>
      </w:r>
      <w:r>
        <w:rPr>
          <w:rFonts w:cs="Times New Roman"/>
          <w:lang w:val="fr-CA"/>
        </w:rPr>
        <w:t xml:space="preserve"> </w:t>
      </w:r>
      <w:r w:rsidRPr="004C6457">
        <w:rPr>
          <w:rFonts w:cs="Times New Roman"/>
          <w:lang w:val="fr-CA"/>
        </w:rPr>
        <w:t>524; voir également C.</w:t>
      </w:r>
      <w:r>
        <w:rPr>
          <w:rFonts w:cs="Times New Roman"/>
          <w:lang w:val="fr-CA"/>
        </w:rPr>
        <w:t xml:space="preserve"> </w:t>
      </w:r>
      <w:proofErr w:type="spellStart"/>
      <w:r w:rsidRPr="004C6457">
        <w:rPr>
          <w:rFonts w:cs="Times New Roman"/>
          <w:lang w:val="fr-CA"/>
        </w:rPr>
        <w:t>Tapper</w:t>
      </w:r>
      <w:proofErr w:type="spellEnd"/>
      <w:r w:rsidRPr="004C6457">
        <w:rPr>
          <w:rFonts w:cs="Times New Roman"/>
          <w:lang w:val="fr-CA"/>
        </w:rPr>
        <w:t xml:space="preserve">, </w:t>
      </w:r>
      <w:r w:rsidRPr="004C6457">
        <w:rPr>
          <w:rFonts w:cs="Times New Roman"/>
          <w:i/>
          <w:iCs/>
          <w:lang w:val="fr-CA"/>
        </w:rPr>
        <w:t xml:space="preserve">Cross and </w:t>
      </w:r>
      <w:proofErr w:type="spellStart"/>
      <w:r w:rsidRPr="004C6457">
        <w:rPr>
          <w:rFonts w:cs="Times New Roman"/>
          <w:i/>
          <w:iCs/>
          <w:lang w:val="fr-CA"/>
        </w:rPr>
        <w:t>Tapper</w:t>
      </w:r>
      <w:proofErr w:type="spellEnd"/>
      <w:r w:rsidRPr="004C6457">
        <w:rPr>
          <w:rFonts w:cs="Times New Roman"/>
          <w:i/>
          <w:iCs/>
          <w:lang w:val="fr-CA"/>
        </w:rPr>
        <w:t xml:space="preserve"> on </w:t>
      </w:r>
      <w:proofErr w:type="spellStart"/>
      <w:r w:rsidRPr="004C6457">
        <w:rPr>
          <w:rFonts w:cs="Times New Roman"/>
          <w:i/>
          <w:iCs/>
          <w:lang w:val="fr-CA"/>
        </w:rPr>
        <w:t>Evidence</w:t>
      </w:r>
      <w:proofErr w:type="spellEnd"/>
      <w:r w:rsidRPr="004C6457">
        <w:rPr>
          <w:rFonts w:cs="Times New Roman"/>
          <w:lang w:val="fr-CA"/>
        </w:rPr>
        <w:t xml:space="preserve"> (12</w:t>
      </w:r>
      <w:r w:rsidRPr="004C6457">
        <w:rPr>
          <w:rFonts w:cs="Times New Roman"/>
          <w:vertAlign w:val="superscript"/>
          <w:lang w:val="fr-CA"/>
        </w:rPr>
        <w:t>e</w:t>
      </w:r>
      <w:r>
        <w:rPr>
          <w:rFonts w:cs="Times New Roman"/>
          <w:vertAlign w:val="superscript"/>
          <w:lang w:val="fr-CA"/>
        </w:rPr>
        <w:t xml:space="preserve"> </w:t>
      </w:r>
      <w:r w:rsidRPr="004C6457">
        <w:rPr>
          <w:rFonts w:cs="Times New Roman"/>
          <w:lang w:val="fr-CA"/>
        </w:rPr>
        <w:t>éd. 2010), p.</w:t>
      </w:r>
      <w:r>
        <w:rPr>
          <w:rFonts w:cs="Times New Roman"/>
          <w:lang w:val="fr-CA"/>
        </w:rPr>
        <w:t xml:space="preserve"> </w:t>
      </w:r>
      <w:r w:rsidRPr="004C6457">
        <w:rPr>
          <w:rFonts w:cs="Times New Roman"/>
          <w:lang w:val="fr-CA"/>
        </w:rPr>
        <w:t>530). Même si plusieurs raisons ont été avancées pour expliquer cette règle d’exclusion, la plus convaincante est probablement celle selon laquelle ces inférences toutes faites ne sont pas utiles au juge des faits et peuvent même l’induire en erreur (voir, p.</w:t>
      </w:r>
      <w:r>
        <w:rPr>
          <w:rFonts w:cs="Times New Roman"/>
          <w:lang w:val="fr-CA"/>
        </w:rPr>
        <w:t xml:space="preserve"> </w:t>
      </w:r>
      <w:r w:rsidRPr="004C6457">
        <w:rPr>
          <w:rFonts w:cs="Times New Roman"/>
          <w:lang w:val="fr-CA"/>
        </w:rPr>
        <w:t xml:space="preserve">ex., </w:t>
      </w:r>
      <w:proofErr w:type="spellStart"/>
      <w:r w:rsidRPr="004C6457">
        <w:rPr>
          <w:rFonts w:cs="Times New Roman"/>
          <w:i/>
          <w:iCs/>
          <w:lang w:val="fr-CA"/>
        </w:rPr>
        <w:t>Graat</w:t>
      </w:r>
      <w:proofErr w:type="spellEnd"/>
      <w:r w:rsidRPr="004C6457">
        <w:rPr>
          <w:rFonts w:cs="Times New Roman"/>
          <w:i/>
          <w:iCs/>
          <w:lang w:val="fr-CA"/>
        </w:rPr>
        <w:t xml:space="preserve"> c. La Reine</w:t>
      </w:r>
      <w:r w:rsidRPr="004C6457">
        <w:rPr>
          <w:rFonts w:cs="Times New Roman"/>
          <w:lang w:val="fr-CA"/>
        </w:rPr>
        <w:t>, [1982] 2 R.C.S. 819, p.</w:t>
      </w:r>
      <w:r>
        <w:rPr>
          <w:rFonts w:cs="Times New Roman"/>
          <w:lang w:val="fr-CA"/>
        </w:rPr>
        <w:t xml:space="preserve"> </w:t>
      </w:r>
      <w:r w:rsidRPr="004C6457">
        <w:rPr>
          <w:rFonts w:cs="Times New Roman"/>
          <w:lang w:val="fr-CA"/>
        </w:rPr>
        <w:t xml:space="preserve">836; </w:t>
      </w:r>
      <w:proofErr w:type="spellStart"/>
      <w:r w:rsidRPr="004C6457">
        <w:rPr>
          <w:rFonts w:cs="Times New Roman"/>
          <w:i/>
          <w:lang w:val="fr-CA"/>
        </w:rPr>
        <w:t>Halsbury’s</w:t>
      </w:r>
      <w:proofErr w:type="spellEnd"/>
      <w:r w:rsidRPr="004C6457">
        <w:rPr>
          <w:rFonts w:cs="Times New Roman"/>
          <w:i/>
          <w:lang w:val="fr-CA"/>
        </w:rPr>
        <w:t xml:space="preserve"> </w:t>
      </w:r>
      <w:proofErr w:type="spellStart"/>
      <w:r w:rsidRPr="004C6457">
        <w:rPr>
          <w:rFonts w:cs="Times New Roman"/>
          <w:i/>
          <w:lang w:val="fr-CA"/>
        </w:rPr>
        <w:t>Laws</w:t>
      </w:r>
      <w:proofErr w:type="spellEnd"/>
      <w:r w:rsidRPr="004C6457">
        <w:rPr>
          <w:rFonts w:cs="Times New Roman"/>
          <w:i/>
          <w:lang w:val="fr-CA"/>
        </w:rPr>
        <w:t xml:space="preserve"> of Canada</w:t>
      </w:r>
      <w:r>
        <w:rPr>
          <w:rFonts w:cs="Times New Roman"/>
          <w:i/>
          <w:lang w:val="fr-CA"/>
        </w:rPr>
        <w:t> :</w:t>
      </w:r>
      <w:r w:rsidRPr="004C6457">
        <w:rPr>
          <w:rFonts w:cs="Times New Roman"/>
          <w:lang w:val="fr-CA"/>
        </w:rPr>
        <w:t xml:space="preserve"> </w:t>
      </w:r>
      <w:proofErr w:type="spellStart"/>
      <w:r w:rsidRPr="004C6457">
        <w:rPr>
          <w:rFonts w:cs="Times New Roman"/>
          <w:i/>
          <w:lang w:val="fr-CA"/>
        </w:rPr>
        <w:t>Evidence</w:t>
      </w:r>
      <w:proofErr w:type="spellEnd"/>
      <w:r w:rsidRPr="004C6457">
        <w:rPr>
          <w:rFonts w:cs="Times New Roman"/>
          <w:lang w:val="fr-CA"/>
        </w:rPr>
        <w:t xml:space="preserve"> (2014 réédition), par.</w:t>
      </w:r>
      <w:r>
        <w:rPr>
          <w:rFonts w:cs="Times New Roman"/>
          <w:lang w:val="fr-CA"/>
        </w:rPr>
        <w:t xml:space="preserve"> </w:t>
      </w:r>
      <w:r w:rsidRPr="004C6457">
        <w:rPr>
          <w:rFonts w:cs="Times New Roman"/>
          <w:lang w:val="fr-CA"/>
        </w:rPr>
        <w:t>HEV</w:t>
      </w:r>
      <w:r>
        <w:rPr>
          <w:rFonts w:cs="Times New Roman"/>
          <w:lang w:val="fr-CA"/>
        </w:rPr>
        <w:t>-</w:t>
      </w:r>
      <w:r w:rsidRPr="004C6457">
        <w:rPr>
          <w:rFonts w:cs="Times New Roman"/>
          <w:lang w:val="fr-CA"/>
        </w:rPr>
        <w:t xml:space="preserve">137 </w:t>
      </w:r>
      <w:r>
        <w:rPr>
          <w:rFonts w:cs="Times New Roman"/>
          <w:lang w:val="fr-CA"/>
        </w:rPr>
        <w:t>« </w:t>
      </w:r>
      <w:r w:rsidRPr="004C6457">
        <w:rPr>
          <w:rFonts w:cs="Times New Roman"/>
          <w:lang w:val="fr-CA"/>
        </w:rPr>
        <w:t xml:space="preserve">General </w:t>
      </w:r>
      <w:proofErr w:type="spellStart"/>
      <w:r w:rsidRPr="004C6457">
        <w:rPr>
          <w:rFonts w:cs="Times New Roman"/>
          <w:lang w:val="fr-CA"/>
        </w:rPr>
        <w:t>rule</w:t>
      </w:r>
      <w:proofErr w:type="spellEnd"/>
      <w:r w:rsidRPr="004C6457">
        <w:rPr>
          <w:rFonts w:cs="Times New Roman"/>
          <w:lang w:val="fr-CA"/>
        </w:rPr>
        <w:t xml:space="preserve"> </w:t>
      </w:r>
      <w:proofErr w:type="spellStart"/>
      <w:r w:rsidRPr="004C6457">
        <w:rPr>
          <w:rFonts w:cs="Times New Roman"/>
          <w:lang w:val="fr-CA"/>
        </w:rPr>
        <w:t>against</w:t>
      </w:r>
      <w:proofErr w:type="spellEnd"/>
      <w:r w:rsidRPr="004C6457">
        <w:rPr>
          <w:rFonts w:cs="Times New Roman"/>
          <w:lang w:val="fr-CA"/>
        </w:rPr>
        <w:t xml:space="preserve"> opinion </w:t>
      </w:r>
      <w:proofErr w:type="spellStart"/>
      <w:r w:rsidRPr="004C6457">
        <w:rPr>
          <w:rFonts w:cs="Times New Roman"/>
          <w:lang w:val="fr-CA"/>
        </w:rPr>
        <w:t>evidence</w:t>
      </w:r>
      <w:proofErr w:type="spellEnd"/>
      <w:r>
        <w:rPr>
          <w:rFonts w:cs="Times New Roman"/>
          <w:lang w:val="fr-CA"/>
        </w:rPr>
        <w:t> »</w:t>
      </w:r>
      <w:r w:rsidRPr="004C6457">
        <w:rPr>
          <w:rFonts w:cs="Times New Roman"/>
          <w:lang w:val="fr-CA"/>
        </w:rPr>
        <w: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Cependant, ce ne sont pas tous les témoignages d’opinion qui sont exclus. L’exception qui nous intéresse plus particulièrement dans le présent pourvoi est celle qui s’applique au témoignage d’opinion d’un expert sur des questions qui exigent des connaissances spécialisées. Pour reprendre les propos du professeur </w:t>
      </w:r>
      <w:proofErr w:type="spellStart"/>
      <w:r w:rsidRPr="004C6457">
        <w:rPr>
          <w:rFonts w:cs="Times New Roman"/>
          <w:lang w:val="fr-CA"/>
        </w:rPr>
        <w:t>Tapper</w:t>
      </w:r>
      <w:proofErr w:type="spellEnd"/>
      <w:r w:rsidRPr="004C6457">
        <w:rPr>
          <w:rFonts w:cs="Times New Roman"/>
          <w:lang w:val="fr-CA"/>
        </w:rPr>
        <w:t>,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 xml:space="preserve">le droit reconnaît que, dans la mesure où les questions exigent des </w:t>
      </w:r>
      <w:r w:rsidRPr="004C6457">
        <w:rPr>
          <w:rFonts w:cs="Times New Roman"/>
          <w:lang w:val="fr-CA"/>
        </w:rPr>
        <w:lastRenderedPageBreak/>
        <w:t>connaissances ou des compétences particulières, les juges et les jurés ne sont pas forcément en mesure de tirer une véritable conclusion d’après les faits relatés par les témoins. Le témoin est par conséquent admis à faire part de son opinion sur ces questions, pourvu qu’il soit un expert en la matière</w:t>
      </w:r>
      <w:r>
        <w:rPr>
          <w:rFonts w:cs="Times New Roman"/>
          <w:lang w:val="fr-CA"/>
        </w:rPr>
        <w:t> »</w:t>
      </w:r>
      <w:r w:rsidRPr="004C6457">
        <w:rPr>
          <w:rFonts w:cs="Times New Roman"/>
          <w:lang w:val="fr-CA"/>
        </w:rPr>
        <w:t xml:space="preserve"> (p.</w:t>
      </w:r>
      <w:r>
        <w:rPr>
          <w:rFonts w:cs="Times New Roman"/>
          <w:lang w:val="fr-CA"/>
        </w:rPr>
        <w:t xml:space="preserve"> </w:t>
      </w:r>
      <w:r w:rsidRPr="004C6457">
        <w:rPr>
          <w:rFonts w:cs="Times New Roman"/>
          <w:lang w:val="fr-CA"/>
        </w:rPr>
        <w:t xml:space="preserve">530; voir également </w:t>
      </w:r>
      <w:r w:rsidRPr="004C6457">
        <w:rPr>
          <w:rFonts w:cs="Times New Roman"/>
          <w:i/>
          <w:iCs/>
          <w:lang w:val="fr-CA"/>
        </w:rPr>
        <w:t>R.</w:t>
      </w:r>
      <w:r>
        <w:rPr>
          <w:rFonts w:cs="Times New Roman"/>
          <w:i/>
          <w:iCs/>
          <w:lang w:val="fr-CA"/>
        </w:rPr>
        <w:t xml:space="preserve"> </w:t>
      </w:r>
      <w:r w:rsidRPr="004C6457">
        <w:rPr>
          <w:rFonts w:cs="Times New Roman"/>
          <w:i/>
          <w:iCs/>
          <w:lang w:val="fr-CA"/>
        </w:rPr>
        <w:t>c. Abbey</w:t>
      </w:r>
      <w:r w:rsidRPr="004C6457">
        <w:rPr>
          <w:rFonts w:cs="Times New Roman"/>
          <w:lang w:val="fr-CA"/>
        </w:rPr>
        <w:t>,</w:t>
      </w:r>
      <w:r w:rsidRPr="004C6457">
        <w:rPr>
          <w:rFonts w:cs="Times New Roman"/>
          <w:i/>
          <w:iCs/>
          <w:lang w:val="fr-CA"/>
        </w:rPr>
        <w:t xml:space="preserve"> </w:t>
      </w:r>
      <w:r w:rsidRPr="004C6457">
        <w:rPr>
          <w:rFonts w:cs="Times New Roman"/>
          <w:lang w:val="fr-CA"/>
        </w:rPr>
        <w:t>[1982] 2 R.C.S. 24, p.</w:t>
      </w:r>
      <w:r>
        <w:rPr>
          <w:rFonts w:cs="Times New Roman"/>
          <w:lang w:val="fr-CA"/>
        </w:rPr>
        <w:t xml:space="preserve"> </w:t>
      </w:r>
      <w:r w:rsidRPr="004C6457">
        <w:rPr>
          <w:rFonts w:cs="Times New Roman"/>
          <w:lang w:val="fr-CA"/>
        </w:rPr>
        <w:t>42).</w:t>
      </w:r>
    </w:p>
    <w:p w:rsidR="001F4CC4" w:rsidRPr="004C6457" w:rsidRDefault="001F4CC4" w:rsidP="001F4CC4">
      <w:pPr>
        <w:pStyle w:val="Title3LevelTitre3Niveau"/>
        <w:widowControl w:val="0"/>
        <w:numPr>
          <w:ilvl w:val="2"/>
          <w:numId w:val="23"/>
        </w:numPr>
        <w:rPr>
          <w:rFonts w:cs="Times New Roman"/>
          <w:lang w:val="fr-CA"/>
        </w:rPr>
      </w:pPr>
      <w:r w:rsidRPr="004C6457">
        <w:rPr>
          <w:rFonts w:cs="Times New Roman"/>
          <w:lang w:val="fr-CA"/>
        </w:rPr>
        <w:t>Le cadre juridique actuel régissant le témoignage d’opinion d’un expert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Depuis au moins le milieu des années 1990, la Cour a répondu à nombre de préoccupations concernant l’incidence d’une preuve d’expert d’une valeur douteuse sur le déroulement de l’instance. La jurisprudence a clarifié et resserré les critères d’admissibilité, établi de nouvelles exigences de fiabilité, notamment en ce qui concerne la preuve </w:t>
      </w:r>
      <w:r w:rsidRPr="004C6457">
        <w:rPr>
          <w:rFonts w:cs="Times New Roman"/>
          <w:shd w:val="clear" w:color="auto" w:fill="FFFFFF"/>
          <w:lang w:val="fr-CA"/>
        </w:rPr>
        <w:t xml:space="preserve">issue de sciences nouvelles, </w:t>
      </w:r>
      <w:r w:rsidRPr="004C6457">
        <w:rPr>
          <w:rFonts w:cs="Times New Roman"/>
          <w:lang w:val="fr-CA"/>
        </w:rPr>
        <w:t xml:space="preserve">et renforcé l’important rôle de </w:t>
      </w:r>
      <w:r>
        <w:rPr>
          <w:rFonts w:cs="Times New Roman"/>
          <w:lang w:val="fr-CA"/>
        </w:rPr>
        <w:t>« </w:t>
      </w:r>
      <w:r w:rsidRPr="004C6457">
        <w:rPr>
          <w:rFonts w:cs="Times New Roman"/>
          <w:lang w:val="fr-CA"/>
        </w:rPr>
        <w:t>gardien</w:t>
      </w:r>
      <w:r>
        <w:rPr>
          <w:rFonts w:cs="Times New Roman"/>
          <w:lang w:val="fr-CA"/>
        </w:rPr>
        <w:t> »</w:t>
      </w:r>
      <w:r w:rsidRPr="004C6457">
        <w:rPr>
          <w:rFonts w:cs="Times New Roman"/>
          <w:lang w:val="fr-CA"/>
        </w:rPr>
        <w:t xml:space="preserve"> du juge qui consiste à écarter d’emblée les témoignages dont la valeur ne justifie pas la confusion, la lenteur et les frais que leur admission risque de causer.</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Nous pouvons prendre comme point de départ de cette nouvelle tendance la décision de la Cour dans l’affaire </w:t>
      </w:r>
      <w:r w:rsidRPr="004C6457">
        <w:rPr>
          <w:rFonts w:cs="Times New Roman"/>
          <w:i/>
          <w:iCs/>
          <w:lang w:val="fr-CA"/>
        </w:rPr>
        <w:t>R. c. Mohan</w:t>
      </w:r>
      <w:r w:rsidRPr="004C6457">
        <w:rPr>
          <w:rFonts w:cs="Times New Roman"/>
          <w:lang w:val="fr-CA"/>
        </w:rPr>
        <w:t xml:space="preserve">, [1994] 2 R.C.S. 9. Cet arrêt a mis en lumière les dangers du témoignage d’expert et établi un critère à quatre volets pour en évaluer l’admissibilité. Ces dangers sont bien connus. Il y a notamment le risque que le juge des faits s’en remette inconsidérément à l’opinion de l’expert au lieu de l’évaluer avec circonspection. Comme le souligne le juge </w:t>
      </w:r>
      <w:proofErr w:type="spellStart"/>
      <w:r w:rsidRPr="004C6457">
        <w:rPr>
          <w:rFonts w:cs="Times New Roman"/>
          <w:lang w:val="fr-CA"/>
        </w:rPr>
        <w:t>Sopinka</w:t>
      </w:r>
      <w:proofErr w:type="spellEnd"/>
      <w:r w:rsidRPr="004C6457">
        <w:rPr>
          <w:rFonts w:cs="Times New Roman"/>
          <w:lang w:val="fr-CA"/>
        </w:rPr>
        <w:t xml:space="preserve"> dans l’arrêt </w:t>
      </w:r>
      <w:r w:rsidRPr="004C6457">
        <w:rPr>
          <w:rFonts w:cs="Times New Roman"/>
          <w:i/>
          <w:iCs/>
          <w:lang w:val="fr-CA"/>
        </w:rPr>
        <w:t>Mohan</w:t>
      </w:r>
      <w:r>
        <w:rPr>
          <w:rFonts w:cs="Times New Roman"/>
          <w:lang w:val="fr-CA"/>
        </w:rPr>
        <w:t> :</w:t>
      </w:r>
    </w:p>
    <w:p w:rsidR="001F4CC4" w:rsidRPr="004C6457" w:rsidRDefault="001F4CC4" w:rsidP="00533DB7">
      <w:pPr>
        <w:pStyle w:val="Citation-AltC"/>
        <w:widowControl w:val="0"/>
        <w:tabs>
          <w:tab w:val="left" w:pos="1440"/>
        </w:tabs>
        <w:spacing w:after="480"/>
        <w:ind w:hanging="1166"/>
        <w:contextualSpacing w:val="0"/>
        <w:rPr>
          <w:lang w:val="fr-CA"/>
        </w:rPr>
      </w:pPr>
      <w:r w:rsidRPr="004C6457">
        <w:rPr>
          <w:spacing w:val="-3"/>
          <w:lang w:val="fr-CA"/>
        </w:rPr>
        <w:lastRenderedPageBreak/>
        <w:tab/>
      </w:r>
      <w:r w:rsidRPr="004C6457">
        <w:rPr>
          <w:spacing w:val="-3"/>
          <w:lang w:val="fr-CA"/>
        </w:rPr>
        <w:tab/>
        <w:t>La preuve d’expert risque d’être utilisée à mauvais escient et de fausser le processus de recherche des faits. Exprimée en des termes scientifiques que le jury ne comprend pas bien et présentée par un témoin aux qualifications impressionnantes, cette preuve est susceptible d’être considérée par le jury comme étant pratiquement infaillible et comme ayant plus de poids qu’elle ne le mérite.</w:t>
      </w:r>
      <w:r w:rsidRPr="004C6457">
        <w:rPr>
          <w:lang w:val="fr-CA"/>
        </w:rPr>
        <w:t xml:space="preserve"> [p.</w:t>
      </w:r>
      <w:r>
        <w:rPr>
          <w:lang w:val="fr-CA"/>
        </w:rPr>
        <w:t xml:space="preserve"> </w:t>
      </w:r>
      <w:r w:rsidRPr="004C6457">
        <w:rPr>
          <w:lang w:val="fr-CA"/>
        </w:rPr>
        <w:t>21]</w:t>
      </w:r>
    </w:p>
    <w:p w:rsidR="001F4CC4" w:rsidRPr="004C6457" w:rsidRDefault="001F4CC4" w:rsidP="001F4CC4">
      <w:pPr>
        <w:pStyle w:val="ContinueParaSuitedupar-AltP"/>
        <w:widowControl w:val="0"/>
        <w:spacing w:after="240"/>
        <w:rPr>
          <w:rFonts w:cs="Times New Roman"/>
          <w:lang w:val="fr-CA"/>
        </w:rPr>
      </w:pPr>
      <w:r w:rsidRPr="004C6457">
        <w:rPr>
          <w:rFonts w:cs="Times New Roman"/>
          <w:lang w:val="fr-CA"/>
        </w:rPr>
        <w:t xml:space="preserve">(Voir également </w:t>
      </w:r>
      <w:r w:rsidRPr="004C6457">
        <w:rPr>
          <w:rFonts w:cs="Times New Roman"/>
          <w:i/>
          <w:iCs/>
          <w:lang w:val="fr-CA"/>
        </w:rPr>
        <w:t>D.D.</w:t>
      </w:r>
      <w:r w:rsidRPr="004C6457">
        <w:rPr>
          <w:rFonts w:cs="Times New Roman"/>
          <w:lang w:val="fr-CA"/>
        </w:rPr>
        <w:t>,</w:t>
      </w:r>
      <w:r w:rsidRPr="004C6457">
        <w:rPr>
          <w:rFonts w:cs="Times New Roman"/>
          <w:i/>
          <w:iCs/>
          <w:lang w:val="fr-CA"/>
        </w:rPr>
        <w:t xml:space="preserve"> </w:t>
      </w:r>
      <w:r w:rsidRPr="004C6457">
        <w:rPr>
          <w:rFonts w:cs="Times New Roman"/>
          <w:lang w:val="fr-CA"/>
        </w:rPr>
        <w:t>par.</w:t>
      </w:r>
      <w:r>
        <w:rPr>
          <w:rFonts w:cs="Times New Roman"/>
          <w:lang w:val="fr-CA"/>
        </w:rPr>
        <w:t xml:space="preserve"> </w:t>
      </w:r>
      <w:r w:rsidRPr="004C6457">
        <w:rPr>
          <w:rFonts w:cs="Times New Roman"/>
          <w:lang w:val="fr-CA"/>
        </w:rPr>
        <w:t xml:space="preserve">53; </w:t>
      </w:r>
      <w:r w:rsidRPr="004C6457">
        <w:rPr>
          <w:rFonts w:cs="Times New Roman"/>
          <w:i/>
          <w:iCs/>
          <w:lang w:val="fr-CA"/>
        </w:rPr>
        <w:t>R. c. J.</w:t>
      </w:r>
      <w:r>
        <w:rPr>
          <w:rFonts w:cs="Times New Roman"/>
          <w:i/>
          <w:iCs/>
          <w:lang w:val="fr-CA"/>
        </w:rPr>
        <w:t>-</w:t>
      </w:r>
      <w:r w:rsidRPr="004C6457">
        <w:rPr>
          <w:rFonts w:cs="Times New Roman"/>
          <w:i/>
          <w:iCs/>
          <w:lang w:val="fr-CA"/>
        </w:rPr>
        <w:t>L.J.</w:t>
      </w:r>
      <w:r w:rsidRPr="004C6457">
        <w:rPr>
          <w:rFonts w:cs="Times New Roman"/>
          <w:lang w:val="fr-CA"/>
        </w:rPr>
        <w:t>, 2000 CSC 51, [2000] 2 R.C.S. 600, par.</w:t>
      </w:r>
      <w:r>
        <w:rPr>
          <w:rFonts w:cs="Times New Roman"/>
          <w:lang w:val="fr-CA"/>
        </w:rPr>
        <w:t xml:space="preserve"> </w:t>
      </w:r>
      <w:r w:rsidRPr="004C6457">
        <w:rPr>
          <w:rFonts w:cs="Times New Roman"/>
          <w:lang w:val="fr-CA"/>
        </w:rPr>
        <w:t>25</w:t>
      </w:r>
      <w:r>
        <w:rPr>
          <w:rFonts w:cs="Times New Roman"/>
          <w:lang w:val="fr-CA"/>
        </w:rPr>
        <w:t>-</w:t>
      </w:r>
      <w:r w:rsidRPr="004C6457">
        <w:rPr>
          <w:rFonts w:cs="Times New Roman"/>
          <w:lang w:val="fr-CA"/>
        </w:rPr>
        <w:t xml:space="preserve">26; </w:t>
      </w:r>
      <w:r w:rsidRPr="004C6457">
        <w:rPr>
          <w:rFonts w:cs="Times New Roman"/>
          <w:i/>
          <w:iCs/>
          <w:lang w:val="fr-CA"/>
        </w:rPr>
        <w:t xml:space="preserve">R. c. </w:t>
      </w:r>
      <w:proofErr w:type="spellStart"/>
      <w:r w:rsidRPr="004C6457">
        <w:rPr>
          <w:rFonts w:cs="Times New Roman"/>
          <w:i/>
          <w:iCs/>
          <w:lang w:val="fr-CA"/>
        </w:rPr>
        <w:t>Sekhon</w:t>
      </w:r>
      <w:proofErr w:type="spellEnd"/>
      <w:r w:rsidRPr="004C6457">
        <w:rPr>
          <w:rFonts w:cs="Times New Roman"/>
          <w:lang w:val="fr-CA"/>
        </w:rPr>
        <w:t>, 2014 CSC 15, [2014] 1 R.C.S. 272, par.</w:t>
      </w:r>
      <w:r>
        <w:rPr>
          <w:rFonts w:cs="Times New Roman"/>
          <w:lang w:val="fr-CA"/>
        </w:rPr>
        <w:t xml:space="preserve"> </w:t>
      </w:r>
      <w:r w:rsidRPr="004C6457">
        <w:rPr>
          <w:rFonts w:cs="Times New Roman"/>
          <w:lang w:val="fr-CA"/>
        </w:rPr>
        <w:t>46.)</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Il s’agit de préserver le procès devant juge et jury, et non pas d’y substituer le procès instruit par des experts. Il y a un risque que le jury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soit incapable de faire un examen critique et efficace de la preuve</w:t>
      </w:r>
      <w:r>
        <w:rPr>
          <w:rFonts w:cs="Times New Roman"/>
          <w:lang w:val="fr-CA"/>
        </w:rPr>
        <w:t> »</w:t>
      </w:r>
      <w:r w:rsidRPr="004C6457">
        <w:rPr>
          <w:rFonts w:cs="Times New Roman"/>
          <w:lang w:val="fr-CA"/>
        </w:rPr>
        <w:t xml:space="preserve"> (</w:t>
      </w:r>
      <w:r w:rsidRPr="004C6457">
        <w:rPr>
          <w:rFonts w:cs="Times New Roman"/>
          <w:i/>
          <w:lang w:val="fr-CA"/>
        </w:rPr>
        <w:t>R. c.</w:t>
      </w:r>
      <w:r w:rsidRPr="004C6457">
        <w:rPr>
          <w:rFonts w:cs="Times New Roman"/>
          <w:lang w:val="fr-CA"/>
        </w:rPr>
        <w:t xml:space="preserve"> </w:t>
      </w:r>
      <w:r w:rsidRPr="004C6457">
        <w:rPr>
          <w:rFonts w:cs="Times New Roman"/>
          <w:i/>
          <w:iCs/>
          <w:lang w:val="fr-CA"/>
        </w:rPr>
        <w:t>Abbey</w:t>
      </w:r>
      <w:r w:rsidRPr="004C6457">
        <w:rPr>
          <w:rFonts w:cs="Times New Roman"/>
          <w:lang w:val="fr-CA"/>
        </w:rPr>
        <w:t>, 2009 ONCA 624, 97 O.R. (3d) 330, par.</w:t>
      </w:r>
      <w:r>
        <w:rPr>
          <w:rFonts w:cs="Times New Roman"/>
          <w:lang w:val="fr-CA"/>
        </w:rPr>
        <w:t xml:space="preserve"> </w:t>
      </w:r>
      <w:r w:rsidRPr="004C6457">
        <w:rPr>
          <w:rFonts w:cs="Times New Roman"/>
          <w:lang w:val="fr-CA"/>
        </w:rPr>
        <w:t xml:space="preserve">90, autorisation </w:t>
      </w:r>
      <w:r w:rsidR="006A32A0">
        <w:rPr>
          <w:rFonts w:cs="Times New Roman"/>
          <w:lang w:val="fr-CA"/>
        </w:rPr>
        <w:t>d’appel</w:t>
      </w:r>
      <w:r w:rsidRPr="004C6457">
        <w:rPr>
          <w:rFonts w:cs="Times New Roman"/>
          <w:lang w:val="fr-CA"/>
        </w:rPr>
        <w:t xml:space="preserve"> refusée, [2010] 2 R.C.S. v). Le juge des faits doit faire appel à son </w:t>
      </w:r>
      <w:r>
        <w:rPr>
          <w:rFonts w:cs="Times New Roman"/>
          <w:lang w:val="fr-CA"/>
        </w:rPr>
        <w:t>« </w:t>
      </w:r>
      <w:r w:rsidRPr="004C6457">
        <w:rPr>
          <w:rFonts w:cs="Times New Roman"/>
          <w:lang w:val="fr-CA"/>
        </w:rPr>
        <w:t>jugement éclairé</w:t>
      </w:r>
      <w:r>
        <w:rPr>
          <w:rFonts w:cs="Times New Roman"/>
          <w:lang w:val="fr-CA"/>
        </w:rPr>
        <w:t> »</w:t>
      </w:r>
      <w:r w:rsidRPr="004C6457">
        <w:rPr>
          <w:rFonts w:cs="Times New Roman"/>
          <w:lang w:val="fr-CA"/>
        </w:rPr>
        <w:t xml:space="preserve"> plutôt que simplement trancher la question sur le fondement d’un </w:t>
      </w:r>
      <w:r>
        <w:rPr>
          <w:rFonts w:cs="Times New Roman"/>
          <w:lang w:val="fr-CA"/>
        </w:rPr>
        <w:t>« </w:t>
      </w:r>
      <w:r w:rsidRPr="004C6457">
        <w:rPr>
          <w:rFonts w:cs="Times New Roman"/>
          <w:lang w:val="fr-CA"/>
        </w:rPr>
        <w:t>acte de confiance</w:t>
      </w:r>
      <w:r>
        <w:rPr>
          <w:rFonts w:cs="Times New Roman"/>
          <w:lang w:val="fr-CA"/>
        </w:rPr>
        <w:t> »</w:t>
      </w:r>
      <w:r w:rsidRPr="004C6457">
        <w:rPr>
          <w:rFonts w:cs="Times New Roman"/>
          <w:lang w:val="fr-CA"/>
        </w:rPr>
        <w:t xml:space="preserve"> à l’égard de l’opinion de l’expert (</w:t>
      </w:r>
      <w:r w:rsidRPr="004C6457">
        <w:rPr>
          <w:rFonts w:cs="Times New Roman"/>
          <w:i/>
          <w:iCs/>
          <w:lang w:val="fr-CA"/>
        </w:rPr>
        <w:t>J.</w:t>
      </w:r>
      <w:r>
        <w:rPr>
          <w:rFonts w:cs="Times New Roman"/>
          <w:i/>
          <w:iCs/>
          <w:lang w:val="fr-CA"/>
        </w:rPr>
        <w:t>-</w:t>
      </w:r>
      <w:r w:rsidRPr="004C6457">
        <w:rPr>
          <w:rFonts w:cs="Times New Roman"/>
          <w:i/>
          <w:iCs/>
          <w:lang w:val="fr-CA"/>
        </w:rPr>
        <w:t>L.J.</w:t>
      </w:r>
      <w:r w:rsidRPr="004C6457">
        <w:rPr>
          <w:rFonts w:cs="Times New Roman"/>
          <w:lang w:val="fr-CA"/>
        </w:rPr>
        <w:t>, par.</w:t>
      </w:r>
      <w:r>
        <w:rPr>
          <w:rFonts w:cs="Times New Roman"/>
          <w:lang w:val="fr-CA"/>
        </w:rPr>
        <w:t xml:space="preserve"> </w:t>
      </w:r>
      <w:r w:rsidRPr="004C6457">
        <w:rPr>
          <w:rFonts w:cs="Times New Roman"/>
          <w:lang w:val="fr-CA"/>
        </w:rPr>
        <w:t xml:space="preserve">56). Le danger de </w:t>
      </w:r>
      <w:r>
        <w:rPr>
          <w:rFonts w:cs="Times New Roman"/>
          <w:lang w:val="fr-CA"/>
        </w:rPr>
        <w:t>« </w:t>
      </w:r>
      <w:r w:rsidRPr="004C6457">
        <w:rPr>
          <w:rFonts w:cs="Times New Roman"/>
          <w:lang w:val="fr-CA"/>
        </w:rPr>
        <w:t>s’en remettre à l’opinion de l’expert</w:t>
      </w:r>
      <w:r>
        <w:rPr>
          <w:rFonts w:cs="Times New Roman"/>
          <w:lang w:val="fr-CA"/>
        </w:rPr>
        <w:t> »</w:t>
      </w:r>
      <w:r w:rsidRPr="004C6457">
        <w:rPr>
          <w:rFonts w:cs="Times New Roman"/>
          <w:lang w:val="fr-CA"/>
        </w:rPr>
        <w:t xml:space="preserve"> est également exacerbé par le fait que la preuve d’expert est imperméable au contre</w:t>
      </w:r>
      <w:r>
        <w:rPr>
          <w:rFonts w:cs="Times New Roman"/>
          <w:lang w:val="fr-CA"/>
        </w:rPr>
        <w:t>-</w:t>
      </w:r>
      <w:r w:rsidRPr="004C6457">
        <w:rPr>
          <w:rFonts w:cs="Times New Roman"/>
          <w:lang w:val="fr-CA"/>
        </w:rPr>
        <w:t>interrogatoire efficace par des avocats qui ne sont pas des experts dans ce domaine (</w:t>
      </w:r>
      <w:r w:rsidRPr="004C6457">
        <w:rPr>
          <w:rFonts w:cs="Times New Roman"/>
          <w:i/>
          <w:iCs/>
          <w:lang w:val="fr-CA"/>
        </w:rPr>
        <w:t>D.D.</w:t>
      </w:r>
      <w:r w:rsidRPr="004C6457">
        <w:rPr>
          <w:rFonts w:cs="Times New Roman"/>
          <w:lang w:val="fr-CA"/>
        </w:rPr>
        <w:t>,</w:t>
      </w:r>
      <w:r w:rsidRPr="004C6457">
        <w:rPr>
          <w:rFonts w:cs="Times New Roman"/>
          <w:i/>
          <w:iCs/>
          <w:lang w:val="fr-CA"/>
        </w:rPr>
        <w:t xml:space="preserve"> </w:t>
      </w:r>
      <w:r w:rsidRPr="004C6457">
        <w:rPr>
          <w:rFonts w:cs="Times New Roman"/>
          <w:lang w:val="fr-CA"/>
        </w:rPr>
        <w:t>par.</w:t>
      </w:r>
      <w:r>
        <w:rPr>
          <w:rFonts w:cs="Times New Roman"/>
          <w:lang w:val="fr-CA"/>
        </w:rPr>
        <w:t xml:space="preserve"> </w:t>
      </w:r>
      <w:r w:rsidRPr="004C6457">
        <w:rPr>
          <w:rFonts w:cs="Times New Roman"/>
          <w:lang w:val="fr-CA"/>
        </w:rPr>
        <w:t>54). La jurisprudence aborde un certain nombre d’autres problèmes connexes</w:t>
      </w:r>
      <w:r>
        <w:rPr>
          <w:rFonts w:cs="Times New Roman"/>
          <w:lang w:val="fr-CA"/>
        </w:rPr>
        <w:t> :</w:t>
      </w:r>
      <w:r w:rsidRPr="004C6457">
        <w:rPr>
          <w:rFonts w:cs="Times New Roman"/>
          <w:lang w:val="fr-CA"/>
        </w:rPr>
        <w:t xml:space="preserve"> le préjudice qui pourrait éventuellement découler d’une opinion d’expert fondée sur des informations qui ne sont pas attestées sous serment et qui ne peuvent pas faire l’objet d’un contre</w:t>
      </w:r>
      <w:r>
        <w:rPr>
          <w:rFonts w:cs="Times New Roman"/>
          <w:lang w:val="fr-CA"/>
        </w:rPr>
        <w:t>-</w:t>
      </w:r>
      <w:r w:rsidRPr="004C6457">
        <w:rPr>
          <w:rFonts w:cs="Times New Roman"/>
          <w:lang w:val="fr-CA"/>
        </w:rPr>
        <w:t>interrogatoire (</w:t>
      </w:r>
      <w:r w:rsidRPr="004C6457">
        <w:rPr>
          <w:rFonts w:cs="Times New Roman"/>
          <w:i/>
          <w:iCs/>
          <w:lang w:val="fr-CA"/>
        </w:rPr>
        <w:t>D.D.</w:t>
      </w:r>
      <w:r w:rsidRPr="004C6457">
        <w:rPr>
          <w:rFonts w:cs="Times New Roman"/>
          <w:lang w:val="fr-CA"/>
        </w:rPr>
        <w:t>, par.</w:t>
      </w:r>
      <w:r>
        <w:rPr>
          <w:rFonts w:cs="Times New Roman"/>
          <w:lang w:val="fr-CA"/>
        </w:rPr>
        <w:t xml:space="preserve"> </w:t>
      </w:r>
      <w:r w:rsidRPr="004C6457">
        <w:rPr>
          <w:rFonts w:cs="Times New Roman"/>
          <w:lang w:val="fr-CA"/>
        </w:rPr>
        <w:t xml:space="preserve">55); le danger d’admettre en preuve de la </w:t>
      </w:r>
      <w:r>
        <w:rPr>
          <w:rFonts w:cs="Times New Roman"/>
          <w:lang w:val="fr-CA"/>
        </w:rPr>
        <w:t>« </w:t>
      </w:r>
      <w:r w:rsidRPr="004C6457">
        <w:rPr>
          <w:rFonts w:cs="Times New Roman"/>
          <w:lang w:val="fr-CA"/>
        </w:rPr>
        <w:t>science de pacotille</w:t>
      </w:r>
      <w:r>
        <w:rPr>
          <w:rFonts w:cs="Times New Roman"/>
          <w:lang w:val="fr-CA"/>
        </w:rPr>
        <w:t> »</w:t>
      </w:r>
      <w:r w:rsidRPr="004C6457">
        <w:rPr>
          <w:rFonts w:cs="Times New Roman"/>
          <w:lang w:val="fr-CA"/>
        </w:rPr>
        <w:t xml:space="preserve"> (</w:t>
      </w:r>
      <w:r w:rsidRPr="004C6457">
        <w:rPr>
          <w:rFonts w:cs="Times New Roman"/>
          <w:i/>
          <w:iCs/>
          <w:lang w:val="fr-CA"/>
        </w:rPr>
        <w:t>J.</w:t>
      </w:r>
      <w:r>
        <w:rPr>
          <w:rFonts w:cs="Times New Roman"/>
          <w:i/>
          <w:iCs/>
          <w:lang w:val="fr-CA"/>
        </w:rPr>
        <w:t>-</w:t>
      </w:r>
      <w:r w:rsidRPr="004C6457">
        <w:rPr>
          <w:rFonts w:cs="Times New Roman"/>
          <w:i/>
          <w:iCs/>
          <w:lang w:val="fr-CA"/>
        </w:rPr>
        <w:t>L.J.</w:t>
      </w:r>
      <w:r w:rsidRPr="004C6457">
        <w:rPr>
          <w:rFonts w:cs="Times New Roman"/>
          <w:lang w:val="fr-CA"/>
        </w:rPr>
        <w:t>, par.</w:t>
      </w:r>
      <w:r>
        <w:rPr>
          <w:rFonts w:cs="Times New Roman"/>
          <w:lang w:val="fr-CA"/>
        </w:rPr>
        <w:t xml:space="preserve"> </w:t>
      </w:r>
      <w:r w:rsidRPr="004C6457">
        <w:rPr>
          <w:rFonts w:cs="Times New Roman"/>
          <w:lang w:val="fr-CA"/>
        </w:rPr>
        <w:t xml:space="preserve">25); le risque qu’un </w:t>
      </w:r>
      <w:r>
        <w:rPr>
          <w:rFonts w:cs="Times New Roman"/>
          <w:lang w:val="fr-CA"/>
        </w:rPr>
        <w:t>« </w:t>
      </w:r>
      <w:r w:rsidRPr="004C6457">
        <w:rPr>
          <w:rFonts w:cs="Times New Roman"/>
          <w:lang w:val="fr-CA"/>
        </w:rPr>
        <w:t>concours d’experts</w:t>
      </w:r>
      <w:r>
        <w:rPr>
          <w:rFonts w:cs="Times New Roman"/>
          <w:lang w:val="fr-CA"/>
        </w:rPr>
        <w:t> »</w:t>
      </w:r>
      <w:r w:rsidRPr="004C6457">
        <w:rPr>
          <w:rFonts w:cs="Times New Roman"/>
          <w:lang w:val="fr-CA"/>
        </w:rPr>
        <w:t xml:space="preserve"> ne distraie le juge des faits au lieu de l’aider (</w:t>
      </w:r>
      <w:r w:rsidRPr="004C6457">
        <w:rPr>
          <w:rFonts w:cs="Times New Roman"/>
          <w:i/>
          <w:iCs/>
          <w:lang w:val="fr-CA"/>
        </w:rPr>
        <w:t>Mohan</w:t>
      </w:r>
      <w:r w:rsidRPr="004C6457">
        <w:rPr>
          <w:rFonts w:cs="Times New Roman"/>
          <w:lang w:val="fr-CA"/>
        </w:rPr>
        <w:t>, p.</w:t>
      </w:r>
      <w:r>
        <w:rPr>
          <w:rFonts w:cs="Times New Roman"/>
          <w:lang w:val="fr-CA"/>
        </w:rPr>
        <w:t xml:space="preserve"> </w:t>
      </w:r>
      <w:r w:rsidRPr="004C6457">
        <w:rPr>
          <w:rFonts w:cs="Times New Roman"/>
          <w:lang w:val="fr-CA"/>
        </w:rPr>
        <w:t>24). Un autre danger bien connu associé à l’admission de la preuve d’expert est le fait qu’elle peut exiger un délai et des frais démesurés (</w:t>
      </w:r>
      <w:r w:rsidRPr="004C6457">
        <w:rPr>
          <w:rFonts w:cs="Times New Roman"/>
          <w:i/>
          <w:iCs/>
          <w:lang w:val="fr-CA"/>
        </w:rPr>
        <w:t>Mohan</w:t>
      </w:r>
      <w:r w:rsidRPr="004C6457">
        <w:rPr>
          <w:rFonts w:cs="Times New Roman"/>
          <w:lang w:val="fr-CA"/>
        </w:rPr>
        <w:t>, p.</w:t>
      </w:r>
      <w:r>
        <w:rPr>
          <w:rFonts w:cs="Times New Roman"/>
          <w:lang w:val="fr-CA"/>
        </w:rPr>
        <w:t xml:space="preserve"> </w:t>
      </w:r>
      <w:r w:rsidRPr="004C6457">
        <w:rPr>
          <w:rFonts w:cs="Times New Roman"/>
          <w:lang w:val="fr-CA"/>
        </w:rPr>
        <w:t xml:space="preserve">21; </w:t>
      </w:r>
      <w:r w:rsidRPr="004C6457">
        <w:rPr>
          <w:rFonts w:cs="Times New Roman"/>
          <w:i/>
          <w:iCs/>
          <w:lang w:val="fr-CA"/>
        </w:rPr>
        <w:t>D.D.</w:t>
      </w:r>
      <w:r w:rsidRPr="004C6457">
        <w:rPr>
          <w:rFonts w:cs="Times New Roman"/>
          <w:lang w:val="fr-CA"/>
        </w:rPr>
        <w:t>,</w:t>
      </w:r>
      <w:r w:rsidRPr="004C6457">
        <w:rPr>
          <w:rFonts w:cs="Times New Roman"/>
          <w:i/>
          <w:iCs/>
          <w:lang w:val="fr-CA"/>
        </w:rPr>
        <w:t xml:space="preserve"> </w:t>
      </w:r>
      <w:r w:rsidRPr="004C6457">
        <w:rPr>
          <w:rFonts w:cs="Times New Roman"/>
          <w:lang w:val="fr-CA"/>
        </w:rPr>
        <w:t>par.</w:t>
      </w:r>
      <w:r>
        <w:rPr>
          <w:rFonts w:cs="Times New Roman"/>
          <w:lang w:val="fr-CA"/>
        </w:rPr>
        <w:t xml:space="preserve"> </w:t>
      </w:r>
      <w:r w:rsidRPr="004C6457">
        <w:rPr>
          <w:rFonts w:cs="Times New Roman"/>
          <w:lang w:val="fr-CA"/>
        </w:rPr>
        <w:t xml:space="preserve">56; </w:t>
      </w:r>
      <w:proofErr w:type="spellStart"/>
      <w:r w:rsidRPr="004C6457">
        <w:rPr>
          <w:rFonts w:cs="Times New Roman"/>
          <w:i/>
          <w:iCs/>
          <w:lang w:val="fr-CA"/>
        </w:rPr>
        <w:lastRenderedPageBreak/>
        <w:t>Masterpiece</w:t>
      </w:r>
      <w:proofErr w:type="spellEnd"/>
      <w:r w:rsidRPr="004C6457">
        <w:rPr>
          <w:rFonts w:cs="Times New Roman"/>
          <w:i/>
          <w:iCs/>
          <w:lang w:val="fr-CA"/>
        </w:rPr>
        <w:t xml:space="preserve"> Inc. c. </w:t>
      </w:r>
      <w:proofErr w:type="spellStart"/>
      <w:r w:rsidRPr="004C6457">
        <w:rPr>
          <w:rFonts w:cs="Times New Roman"/>
          <w:i/>
          <w:iCs/>
          <w:lang w:val="fr-CA"/>
        </w:rPr>
        <w:t>Alavida</w:t>
      </w:r>
      <w:proofErr w:type="spellEnd"/>
      <w:r w:rsidRPr="004C6457">
        <w:rPr>
          <w:rFonts w:cs="Times New Roman"/>
          <w:i/>
          <w:iCs/>
          <w:lang w:val="fr-CA"/>
        </w:rPr>
        <w:t xml:space="preserve"> </w:t>
      </w:r>
      <w:proofErr w:type="spellStart"/>
      <w:r w:rsidRPr="004C6457">
        <w:rPr>
          <w:rFonts w:cs="Times New Roman"/>
          <w:i/>
          <w:iCs/>
          <w:lang w:val="fr-CA"/>
        </w:rPr>
        <w:t>Lifestyles</w:t>
      </w:r>
      <w:proofErr w:type="spellEnd"/>
      <w:r w:rsidRPr="004C6457">
        <w:rPr>
          <w:rFonts w:cs="Times New Roman"/>
          <w:i/>
          <w:iCs/>
          <w:lang w:val="fr-CA"/>
        </w:rPr>
        <w:t xml:space="preserve"> Inc.</w:t>
      </w:r>
      <w:r w:rsidRPr="004C6457">
        <w:rPr>
          <w:rFonts w:cs="Times New Roman"/>
          <w:lang w:val="fr-CA"/>
        </w:rPr>
        <w:t>, 2011 CSC 27, [2011] 2 R.C.S. 387, par.</w:t>
      </w:r>
      <w:r>
        <w:rPr>
          <w:rFonts w:cs="Times New Roman"/>
          <w:lang w:val="fr-CA"/>
        </w:rPr>
        <w:t xml:space="preserve"> </w:t>
      </w:r>
      <w:r w:rsidRPr="004C6457">
        <w:rPr>
          <w:rFonts w:cs="Times New Roman"/>
          <w:lang w:val="fr-CA"/>
        </w:rPr>
        <w:t xml:space="preserve">76).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Pour parer à ces dangers, la Cour dans l’arrêt </w:t>
      </w:r>
      <w:r w:rsidRPr="004C6457">
        <w:rPr>
          <w:rFonts w:cs="Times New Roman"/>
          <w:i/>
          <w:iCs/>
          <w:lang w:val="fr-CA"/>
        </w:rPr>
        <w:t>Mohan</w:t>
      </w:r>
      <w:r w:rsidRPr="004C6457">
        <w:rPr>
          <w:rFonts w:cs="Times New Roman"/>
          <w:lang w:val="fr-CA"/>
        </w:rPr>
        <w:t xml:space="preserve"> a établi une structure de base à deux volets définissant les règles d’admissibilité du témoignage d’opinion d’un expert. En premier lieu, celui qui cherche à faire admettre une preuve d’opinion émanant d’un expert doit démontrer qu’elle satisfait à quatre critères</w:t>
      </w:r>
      <w:r>
        <w:rPr>
          <w:rFonts w:cs="Times New Roman"/>
          <w:lang w:val="fr-CA"/>
        </w:rPr>
        <w:t> :</w:t>
      </w:r>
      <w:r w:rsidRPr="004C6457">
        <w:rPr>
          <w:rFonts w:cs="Times New Roman"/>
          <w:lang w:val="fr-CA"/>
        </w:rPr>
        <w:t xml:space="preserve"> (1)</w:t>
      </w:r>
      <w:r>
        <w:rPr>
          <w:rFonts w:cs="Times New Roman"/>
          <w:lang w:val="fr-CA"/>
        </w:rPr>
        <w:t xml:space="preserve"> </w:t>
      </w:r>
      <w:r w:rsidRPr="004C6457">
        <w:rPr>
          <w:rFonts w:cs="Times New Roman"/>
          <w:lang w:val="fr-CA"/>
        </w:rPr>
        <w:t>la pertinence; (2)</w:t>
      </w:r>
      <w:r>
        <w:rPr>
          <w:rFonts w:cs="Times New Roman"/>
          <w:lang w:val="fr-CA"/>
        </w:rPr>
        <w:t xml:space="preserve"> </w:t>
      </w:r>
      <w:r w:rsidRPr="004C6457">
        <w:rPr>
          <w:rFonts w:cs="Times New Roman"/>
          <w:lang w:val="fr-CA"/>
        </w:rPr>
        <w:t>la nécessité d’aider le juge des faits; (3)</w:t>
      </w:r>
      <w:r>
        <w:rPr>
          <w:rFonts w:cs="Times New Roman"/>
          <w:lang w:val="fr-CA"/>
        </w:rPr>
        <w:t xml:space="preserve"> </w:t>
      </w:r>
      <w:r w:rsidRPr="004C6457">
        <w:rPr>
          <w:rFonts w:cs="Times New Roman"/>
          <w:lang w:val="fr-CA"/>
        </w:rPr>
        <w:t>l’absence de toute règle d’exclusion; (4)</w:t>
      </w:r>
      <w:r>
        <w:rPr>
          <w:rFonts w:cs="Times New Roman"/>
          <w:lang w:val="fr-CA"/>
        </w:rPr>
        <w:t xml:space="preserve"> </w:t>
      </w:r>
      <w:r w:rsidRPr="004C6457">
        <w:rPr>
          <w:rFonts w:cs="Times New Roman"/>
          <w:lang w:val="fr-CA"/>
        </w:rPr>
        <w:t>la qualification suffisante de l’expert (</w:t>
      </w:r>
      <w:r w:rsidRPr="004C6457">
        <w:rPr>
          <w:rFonts w:cs="Times New Roman"/>
          <w:i/>
          <w:iCs/>
          <w:lang w:val="fr-CA"/>
        </w:rPr>
        <w:t>Mohan</w:t>
      </w:r>
      <w:r w:rsidRPr="004C6457">
        <w:rPr>
          <w:rFonts w:cs="Times New Roman"/>
          <w:lang w:val="fr-CA"/>
        </w:rPr>
        <w:t>, p.</w:t>
      </w:r>
      <w:r>
        <w:rPr>
          <w:rFonts w:cs="Times New Roman"/>
          <w:lang w:val="fr-CA"/>
        </w:rPr>
        <w:t xml:space="preserve"> </w:t>
      </w:r>
      <w:r w:rsidRPr="004C6457">
        <w:rPr>
          <w:rFonts w:cs="Times New Roman"/>
          <w:lang w:val="fr-CA"/>
        </w:rPr>
        <w:t>20</w:t>
      </w:r>
      <w:r>
        <w:rPr>
          <w:rFonts w:cs="Times New Roman"/>
          <w:lang w:val="fr-CA"/>
        </w:rPr>
        <w:t>-</w:t>
      </w:r>
      <w:r w:rsidRPr="004C6457">
        <w:rPr>
          <w:rFonts w:cs="Times New Roman"/>
          <w:lang w:val="fr-CA"/>
        </w:rPr>
        <w:t>25; voir également</w:t>
      </w:r>
      <w:r w:rsidRPr="004C6457">
        <w:rPr>
          <w:rFonts w:cs="Times New Roman"/>
          <w:i/>
          <w:iCs/>
          <w:lang w:val="fr-CA"/>
        </w:rPr>
        <w:t xml:space="preserve"> </w:t>
      </w:r>
      <w:proofErr w:type="spellStart"/>
      <w:r w:rsidRPr="004C6457">
        <w:rPr>
          <w:rFonts w:cs="Times New Roman"/>
          <w:i/>
          <w:iCs/>
          <w:lang w:val="fr-CA"/>
        </w:rPr>
        <w:t>Sekhon</w:t>
      </w:r>
      <w:proofErr w:type="spellEnd"/>
      <w:r w:rsidRPr="004C6457">
        <w:rPr>
          <w:rFonts w:cs="Times New Roman"/>
          <w:lang w:val="fr-CA"/>
        </w:rPr>
        <w:t>, par.</w:t>
      </w:r>
      <w:r>
        <w:rPr>
          <w:rFonts w:cs="Times New Roman"/>
          <w:lang w:val="fr-CA"/>
        </w:rPr>
        <w:t xml:space="preserve"> </w:t>
      </w:r>
      <w:r w:rsidRPr="004C6457">
        <w:rPr>
          <w:rFonts w:cs="Times New Roman"/>
          <w:lang w:val="fr-CA"/>
        </w:rPr>
        <w:t xml:space="preserve">43). L’arrêt </w:t>
      </w:r>
      <w:r w:rsidRPr="004C6457">
        <w:rPr>
          <w:rFonts w:cs="Times New Roman"/>
          <w:i/>
          <w:iCs/>
          <w:lang w:val="fr-CA"/>
        </w:rPr>
        <w:t xml:space="preserve">Mohan </w:t>
      </w:r>
      <w:r w:rsidRPr="004C6457">
        <w:rPr>
          <w:rFonts w:cs="Times New Roman"/>
          <w:lang w:val="fr-CA"/>
        </w:rPr>
        <w:t>insiste par ailleurs sur le rôle important du juge du procès pour déterminer si une preuve d’expert par ailleurs admissible devrait être exclue parce que sa valeur probante est surpassée par son effet préjudiciable — un pouvoir discrétionnaire résiduel permettant d’exclure une preuve à l’issue d’une analyse coût</w:t>
      </w:r>
      <w:r>
        <w:rPr>
          <w:rFonts w:cs="Times New Roman"/>
          <w:lang w:val="fr-CA"/>
        </w:rPr>
        <w:t>-</w:t>
      </w:r>
      <w:r w:rsidRPr="004C6457">
        <w:rPr>
          <w:rFonts w:cs="Times New Roman"/>
          <w:lang w:val="fr-CA"/>
        </w:rPr>
        <w:t>bénéfices (p.</w:t>
      </w:r>
      <w:r>
        <w:rPr>
          <w:rFonts w:cs="Times New Roman"/>
          <w:lang w:val="fr-CA"/>
        </w:rPr>
        <w:t xml:space="preserve"> </w:t>
      </w:r>
      <w:r w:rsidRPr="004C6457">
        <w:rPr>
          <w:rFonts w:cs="Times New Roman"/>
          <w:lang w:val="fr-CA"/>
        </w:rPr>
        <w:t>21). Il s’agit du second volet de la structure, mis en évidence par la jurisprudence ultérieure (</w:t>
      </w:r>
      <w:proofErr w:type="spellStart"/>
      <w:r w:rsidRPr="004C6457">
        <w:rPr>
          <w:rFonts w:cs="Times New Roman"/>
          <w:lang w:val="fr-CA"/>
        </w:rPr>
        <w:t>Lederman</w:t>
      </w:r>
      <w:proofErr w:type="spellEnd"/>
      <w:r w:rsidRPr="004C6457">
        <w:rPr>
          <w:rFonts w:cs="Times New Roman"/>
          <w:lang w:val="fr-CA"/>
        </w:rPr>
        <w:t xml:space="preserve">, Bryant et </w:t>
      </w:r>
      <w:proofErr w:type="spellStart"/>
      <w:r w:rsidRPr="004C6457">
        <w:rPr>
          <w:rFonts w:cs="Times New Roman"/>
          <w:lang w:val="fr-CA"/>
        </w:rPr>
        <w:t>Fuerst</w:t>
      </w:r>
      <w:proofErr w:type="spellEnd"/>
      <w:r w:rsidRPr="004C6457">
        <w:rPr>
          <w:rFonts w:cs="Times New Roman"/>
          <w:lang w:val="fr-CA"/>
        </w:rPr>
        <w:t>, p.</w:t>
      </w:r>
      <w:r>
        <w:rPr>
          <w:rFonts w:cs="Times New Roman"/>
          <w:lang w:val="fr-CA"/>
        </w:rPr>
        <w:t xml:space="preserve"> </w:t>
      </w:r>
      <w:r w:rsidRPr="004C6457">
        <w:rPr>
          <w:rFonts w:cs="Times New Roman"/>
          <w:lang w:val="fr-CA"/>
        </w:rPr>
        <w:t>789</w:t>
      </w:r>
      <w:r>
        <w:rPr>
          <w:rFonts w:cs="Times New Roman"/>
          <w:lang w:val="fr-CA"/>
        </w:rPr>
        <w:t>-</w:t>
      </w:r>
      <w:r w:rsidRPr="004C6457">
        <w:rPr>
          <w:rFonts w:cs="Times New Roman"/>
          <w:lang w:val="fr-CA"/>
        </w:rPr>
        <w:t xml:space="preserve">790; </w:t>
      </w:r>
      <w:r w:rsidRPr="004C6457">
        <w:rPr>
          <w:rFonts w:cs="Times New Roman"/>
          <w:i/>
          <w:iCs/>
          <w:lang w:val="fr-CA"/>
        </w:rPr>
        <w:t>J.</w:t>
      </w:r>
      <w:r>
        <w:rPr>
          <w:rFonts w:eastAsia="MS Mincho" w:cs="Times New Roman"/>
          <w:i/>
          <w:iCs/>
          <w:lang w:val="fr-CA"/>
        </w:rPr>
        <w:t>-</w:t>
      </w:r>
      <w:r w:rsidRPr="004C6457">
        <w:rPr>
          <w:rFonts w:cs="Times New Roman"/>
          <w:i/>
          <w:iCs/>
          <w:lang w:val="fr-CA"/>
        </w:rPr>
        <w:t>L.J.</w:t>
      </w:r>
      <w:r w:rsidRPr="004C6457">
        <w:rPr>
          <w:rFonts w:cs="Times New Roman"/>
          <w:lang w:val="fr-CA"/>
        </w:rPr>
        <w:t>, par.</w:t>
      </w:r>
      <w:r>
        <w:rPr>
          <w:rFonts w:cs="Times New Roman"/>
          <w:lang w:val="fr-CA"/>
        </w:rPr>
        <w:t xml:space="preserve"> </w:t>
      </w:r>
      <w:r w:rsidRPr="004C6457">
        <w:rPr>
          <w:rFonts w:cs="Times New Roman"/>
          <w:lang w:val="fr-CA"/>
        </w:rPr>
        <w:t>28).</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L’arrêt </w:t>
      </w:r>
      <w:r w:rsidRPr="004C6457">
        <w:rPr>
          <w:rFonts w:cs="Times New Roman"/>
          <w:i/>
          <w:iCs/>
          <w:lang w:val="fr-CA"/>
        </w:rPr>
        <w:t xml:space="preserve">Mohan </w:t>
      </w:r>
      <w:r w:rsidRPr="004C6457">
        <w:rPr>
          <w:rFonts w:cs="Times New Roman"/>
          <w:lang w:val="fr-CA"/>
        </w:rPr>
        <w:t xml:space="preserve">et la jurisprudence ultérieure ne précisent toutefois pas comment cette analyse </w:t>
      </w:r>
      <w:r>
        <w:rPr>
          <w:rFonts w:cs="Times New Roman"/>
          <w:lang w:val="fr-CA"/>
        </w:rPr>
        <w:t>« </w:t>
      </w:r>
      <w:r w:rsidRPr="004C6457">
        <w:rPr>
          <w:rFonts w:cs="Times New Roman"/>
          <w:lang w:val="fr-CA"/>
        </w:rPr>
        <w:t>du coût et des bénéfices</w:t>
      </w:r>
      <w:r>
        <w:rPr>
          <w:rFonts w:cs="Times New Roman"/>
          <w:lang w:val="fr-CA"/>
        </w:rPr>
        <w:t> »</w:t>
      </w:r>
      <w:r w:rsidRPr="004C6457">
        <w:rPr>
          <w:rFonts w:cs="Times New Roman"/>
          <w:lang w:val="fr-CA"/>
        </w:rPr>
        <w:t xml:space="preserve"> s’inscrit dans l’analyse globale. La Cour dans cet arrêt procède à l’analyse coût</w:t>
      </w:r>
      <w:r>
        <w:rPr>
          <w:rFonts w:cs="Times New Roman"/>
          <w:lang w:val="fr-CA"/>
        </w:rPr>
        <w:t>-</w:t>
      </w:r>
      <w:r w:rsidRPr="004C6457">
        <w:rPr>
          <w:rFonts w:cs="Times New Roman"/>
          <w:lang w:val="fr-CA"/>
        </w:rPr>
        <w:t>bénéfices relativement à certains des quatre critères, mais elle fait aussi observer qu’une telle analyse peut relever de l’exercice d’un pouvoir discrétionnaire général qui permet d’exclure une preuve dont la valeur probante ne justifie pas son admission, compte tenu de ses effets potentiellement préjudiciables (p.</w:t>
      </w:r>
      <w:r>
        <w:rPr>
          <w:rFonts w:cs="Times New Roman"/>
          <w:lang w:val="fr-CA"/>
        </w:rPr>
        <w:t xml:space="preserve"> </w:t>
      </w:r>
      <w:r w:rsidRPr="004C6457">
        <w:rPr>
          <w:rFonts w:cs="Times New Roman"/>
          <w:lang w:val="fr-CA"/>
        </w:rPr>
        <w:t xml:space="preserve">21). Depuis l’arrêt </w:t>
      </w:r>
      <w:r w:rsidRPr="004C6457">
        <w:rPr>
          <w:rFonts w:cs="Times New Roman"/>
          <w:i/>
          <w:iCs/>
          <w:lang w:val="fr-CA"/>
        </w:rPr>
        <w:t>Mohan</w:t>
      </w:r>
      <w:r w:rsidRPr="004C6457">
        <w:rPr>
          <w:rFonts w:cs="Times New Roman"/>
          <w:lang w:val="fr-CA"/>
        </w:rPr>
        <w:t xml:space="preserve">, la jurisprudence s’est </w:t>
      </w:r>
      <w:r w:rsidRPr="004C6457">
        <w:rPr>
          <w:rFonts w:cs="Times New Roman"/>
          <w:lang w:val="fr-CA"/>
        </w:rPr>
        <w:lastRenderedPageBreak/>
        <w:t xml:space="preserve">également intéressée à des aspects particuliers du témoignage d’opinion d’un expert, mais souvent sans expliciter la place qu’occupent ces autres préoccupations dans l’analyse. Cependant, la jurisprudence, dans son ensemble, tend indubitablement à resserrer les critères d’admissibilité et à renforcer le rôle de gardien du juge.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Par exemple, le critère de nécessité a été mis en évidence dans des décisions telles que </w:t>
      </w:r>
      <w:r w:rsidRPr="004C6457">
        <w:rPr>
          <w:rFonts w:cs="Times New Roman"/>
          <w:i/>
          <w:iCs/>
          <w:lang w:val="fr-CA"/>
        </w:rPr>
        <w:t>D.D.</w:t>
      </w:r>
      <w:r w:rsidRPr="004C6457">
        <w:rPr>
          <w:rFonts w:cs="Times New Roman"/>
          <w:lang w:val="fr-CA"/>
        </w:rPr>
        <w:t xml:space="preserve"> La majorité y souligne que l’exigence de nécessité </w:t>
      </w:r>
      <w:r>
        <w:rPr>
          <w:rFonts w:cs="Times New Roman"/>
          <w:lang w:val="fr-CA"/>
        </w:rPr>
        <w:t>« </w:t>
      </w:r>
      <w:r w:rsidRPr="004C6457">
        <w:rPr>
          <w:rFonts w:cs="Times New Roman"/>
          <w:lang w:val="fr-CA"/>
        </w:rPr>
        <w:t>vise à ce que les dangers liés à la preuve d’expert ne soient pas traités à la légère</w:t>
      </w:r>
      <w:r>
        <w:rPr>
          <w:rFonts w:cs="Times New Roman"/>
          <w:lang w:val="fr-CA"/>
        </w:rPr>
        <w:t> »</w:t>
      </w:r>
      <w:r w:rsidRPr="004C6457">
        <w:rPr>
          <w:rFonts w:cs="Times New Roman"/>
          <w:lang w:val="fr-CA"/>
        </w:rPr>
        <w:t xml:space="preserve">, ajoutant que </w:t>
      </w:r>
      <w:r>
        <w:rPr>
          <w:rFonts w:cs="Times New Roman"/>
          <w:lang w:val="fr-CA"/>
        </w:rPr>
        <w:t>« </w:t>
      </w:r>
      <w:r w:rsidRPr="004C6457">
        <w:rPr>
          <w:rFonts w:cs="Times New Roman"/>
          <w:lang w:val="fr-CA"/>
        </w:rPr>
        <w:t>[l]a simple pertinence ou “utilité” ne suffit pas</w:t>
      </w:r>
      <w:r>
        <w:rPr>
          <w:rFonts w:cs="Times New Roman"/>
          <w:lang w:val="fr-CA"/>
        </w:rPr>
        <w:t> »</w:t>
      </w:r>
      <w:r w:rsidRPr="004C6457">
        <w:rPr>
          <w:rFonts w:cs="Times New Roman"/>
          <w:lang w:val="fr-CA"/>
        </w:rPr>
        <w:t xml:space="preserve"> (par.</w:t>
      </w:r>
      <w:r>
        <w:rPr>
          <w:rFonts w:cs="Times New Roman"/>
          <w:lang w:val="fr-CA"/>
        </w:rPr>
        <w:t xml:space="preserve"> </w:t>
      </w:r>
      <w:r w:rsidRPr="004C6457">
        <w:rPr>
          <w:rFonts w:cs="Times New Roman"/>
          <w:lang w:val="fr-CA"/>
        </w:rPr>
        <w:t>46). D’autres décisions ont abordé la fiabilité des principes scientifiques à la base d’une opinion et, en fait, des éléments de preuve techniques en général (</w:t>
      </w:r>
      <w:r w:rsidRPr="004C6457">
        <w:rPr>
          <w:rFonts w:cs="Times New Roman"/>
          <w:i/>
          <w:iCs/>
          <w:lang w:val="fr-CA"/>
        </w:rPr>
        <w:t>J.</w:t>
      </w:r>
      <w:r>
        <w:rPr>
          <w:rFonts w:cs="Times New Roman"/>
          <w:i/>
          <w:iCs/>
          <w:lang w:val="fr-CA"/>
        </w:rPr>
        <w:t>-</w:t>
      </w:r>
      <w:r w:rsidRPr="004C6457">
        <w:rPr>
          <w:rFonts w:cs="Times New Roman"/>
          <w:i/>
          <w:iCs/>
          <w:lang w:val="fr-CA"/>
        </w:rPr>
        <w:t>L.J.</w:t>
      </w:r>
      <w:r w:rsidRPr="004C6457">
        <w:rPr>
          <w:rFonts w:cs="Times New Roman"/>
          <w:lang w:val="fr-CA"/>
        </w:rPr>
        <w:t>;</w:t>
      </w:r>
      <w:r w:rsidRPr="004C6457">
        <w:rPr>
          <w:rFonts w:cs="Times New Roman"/>
          <w:i/>
          <w:iCs/>
          <w:lang w:val="fr-CA"/>
        </w:rPr>
        <w:t xml:space="preserve"> R. c. </w:t>
      </w:r>
      <w:proofErr w:type="spellStart"/>
      <w:r w:rsidRPr="004C6457">
        <w:rPr>
          <w:rFonts w:cs="Times New Roman"/>
          <w:i/>
          <w:iCs/>
          <w:lang w:val="fr-CA"/>
        </w:rPr>
        <w:t>Trochym</w:t>
      </w:r>
      <w:proofErr w:type="spellEnd"/>
      <w:r w:rsidRPr="004C6457">
        <w:rPr>
          <w:rFonts w:cs="Times New Roman"/>
          <w:iCs/>
          <w:lang w:val="fr-CA"/>
        </w:rPr>
        <w:t>,</w:t>
      </w:r>
      <w:r w:rsidRPr="004C6457">
        <w:rPr>
          <w:rFonts w:cs="Times New Roman"/>
          <w:lang w:val="fr-CA"/>
        </w:rPr>
        <w:t xml:space="preserve"> 2007 CSC 6, [2007] 1 R.C.S. 239). Toutefois, on ne sait toujours pas où exactement, dans l’analyse globale, s’inscrivent l’analyse coût</w:t>
      </w:r>
      <w:r>
        <w:rPr>
          <w:rFonts w:cs="Times New Roman"/>
          <w:lang w:val="fr-CA"/>
        </w:rPr>
        <w:t>-</w:t>
      </w:r>
      <w:r w:rsidRPr="004C6457">
        <w:rPr>
          <w:rFonts w:cs="Times New Roman"/>
          <w:lang w:val="fr-CA"/>
        </w:rPr>
        <w:t>bénéfices et les préoccupations comme celles relatives à la fiabilité.</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L’arrêt </w:t>
      </w:r>
      <w:r w:rsidRPr="004C6457">
        <w:rPr>
          <w:rFonts w:cs="Times New Roman"/>
          <w:i/>
          <w:iCs/>
          <w:lang w:val="fr-CA"/>
        </w:rPr>
        <w:t>Abbey</w:t>
      </w:r>
      <w:r w:rsidRPr="004C6457">
        <w:rPr>
          <w:rFonts w:cs="Times New Roman"/>
          <w:lang w:val="fr-CA"/>
        </w:rPr>
        <w:t xml:space="preserve"> (ONCA) a apporté des précisions utiles en scindant la démarche en deux temps. Je suis d’avis de l’adopter, à peu de choses près.</w:t>
      </w:r>
    </w:p>
    <w:p w:rsidR="001F4CC4" w:rsidRPr="004C6457" w:rsidRDefault="001F4CC4" w:rsidP="001F4CC4">
      <w:pPr>
        <w:pStyle w:val="ParaNoNdepar-AltN"/>
        <w:widowControl w:val="0"/>
        <w:tabs>
          <w:tab w:val="clear" w:pos="1166"/>
          <w:tab w:val="num" w:pos="1152"/>
        </w:tabs>
        <w:rPr>
          <w:rFonts w:cs="Times New Roman"/>
          <w:lang w:val="fr-FR"/>
        </w:rPr>
      </w:pPr>
      <w:r w:rsidRPr="004C6457">
        <w:rPr>
          <w:rFonts w:cs="Times New Roman"/>
          <w:lang w:val="fr-CA"/>
        </w:rPr>
        <w:t xml:space="preserve">Dans un premier temps, celui qui veut présenter le témoignage doit démontrer qu’il satisfait aux critères d’admissibilité, soit les quatre critères énoncés dans l’arrêt </w:t>
      </w:r>
      <w:r w:rsidRPr="004C6457">
        <w:rPr>
          <w:rFonts w:cs="Times New Roman"/>
          <w:i/>
          <w:iCs/>
          <w:lang w:val="fr-CA"/>
        </w:rPr>
        <w:t>Mohan</w:t>
      </w:r>
      <w:r w:rsidRPr="004C6457">
        <w:rPr>
          <w:rFonts w:cs="Times New Roman"/>
          <w:lang w:val="fr-CA"/>
        </w:rPr>
        <w:t xml:space="preserve">, à savoir la pertinence, la nécessité, l’absence de toute règle d’exclusion et la qualification suffisante de l’expert. De plus, dans le cas d’une opinion fondée sur une science nouvelle ou contestée ou sur une science utilisée à des fins nouvelles, la fiabilité des principes scientifiques étayant la preuve doit être </w:t>
      </w:r>
      <w:r w:rsidRPr="004C6457">
        <w:rPr>
          <w:rFonts w:cs="Times New Roman"/>
          <w:lang w:val="fr-CA"/>
        </w:rPr>
        <w:lastRenderedPageBreak/>
        <w:t>démontrée (</w:t>
      </w:r>
      <w:r w:rsidRPr="004C6457">
        <w:rPr>
          <w:rFonts w:cs="Times New Roman"/>
          <w:i/>
          <w:iCs/>
          <w:lang w:val="fr-CA"/>
        </w:rPr>
        <w:t>J.</w:t>
      </w:r>
      <w:r>
        <w:rPr>
          <w:rFonts w:cs="Times New Roman"/>
          <w:i/>
          <w:iCs/>
          <w:lang w:val="fr-CA"/>
        </w:rPr>
        <w:t>-</w:t>
      </w:r>
      <w:r w:rsidRPr="004C6457">
        <w:rPr>
          <w:rFonts w:cs="Times New Roman"/>
          <w:i/>
          <w:iCs/>
          <w:lang w:val="fr-CA"/>
        </w:rPr>
        <w:t>L.J.</w:t>
      </w:r>
      <w:r w:rsidRPr="004C6457">
        <w:rPr>
          <w:rFonts w:cs="Times New Roman"/>
          <w:lang w:val="fr-CA"/>
        </w:rPr>
        <w:t>, par.</w:t>
      </w:r>
      <w:r>
        <w:rPr>
          <w:rFonts w:cs="Times New Roman"/>
          <w:lang w:val="fr-CA"/>
        </w:rPr>
        <w:t xml:space="preserve"> </w:t>
      </w:r>
      <w:r w:rsidRPr="004C6457">
        <w:rPr>
          <w:rFonts w:cs="Times New Roman"/>
          <w:lang w:val="fr-CA"/>
        </w:rPr>
        <w:t>33, 35</w:t>
      </w:r>
      <w:r>
        <w:rPr>
          <w:rFonts w:cs="Times New Roman"/>
          <w:lang w:val="fr-CA"/>
        </w:rPr>
        <w:t>-</w:t>
      </w:r>
      <w:r w:rsidRPr="004C6457">
        <w:rPr>
          <w:rFonts w:cs="Times New Roman"/>
          <w:lang w:val="fr-CA"/>
        </w:rPr>
        <w:t xml:space="preserve">36 et 47; </w:t>
      </w:r>
      <w:proofErr w:type="spellStart"/>
      <w:r w:rsidRPr="004C6457">
        <w:rPr>
          <w:rFonts w:cs="Times New Roman"/>
          <w:i/>
          <w:iCs/>
          <w:lang w:val="fr-CA"/>
        </w:rPr>
        <w:t>Trochym</w:t>
      </w:r>
      <w:proofErr w:type="spellEnd"/>
      <w:r w:rsidRPr="004C6457">
        <w:rPr>
          <w:rFonts w:cs="Times New Roman"/>
          <w:lang w:val="fr-CA"/>
        </w:rPr>
        <w:t>, par.</w:t>
      </w:r>
      <w:r>
        <w:rPr>
          <w:rFonts w:cs="Times New Roman"/>
          <w:lang w:val="fr-CA"/>
        </w:rPr>
        <w:t xml:space="preserve"> </w:t>
      </w:r>
      <w:r w:rsidRPr="004C6457">
        <w:rPr>
          <w:rFonts w:cs="Times New Roman"/>
          <w:lang w:val="fr-FR"/>
        </w:rPr>
        <w:t xml:space="preserve">27; </w:t>
      </w:r>
      <w:proofErr w:type="spellStart"/>
      <w:r w:rsidRPr="004C6457">
        <w:rPr>
          <w:rFonts w:cs="Times New Roman"/>
          <w:lang w:val="fr-FR"/>
        </w:rPr>
        <w:t>Lederman</w:t>
      </w:r>
      <w:proofErr w:type="spellEnd"/>
      <w:r w:rsidRPr="004C6457">
        <w:rPr>
          <w:rFonts w:cs="Times New Roman"/>
          <w:lang w:val="fr-FR"/>
        </w:rPr>
        <w:t xml:space="preserve">, Bryant et </w:t>
      </w:r>
      <w:proofErr w:type="spellStart"/>
      <w:r w:rsidRPr="004C6457">
        <w:rPr>
          <w:rFonts w:cs="Times New Roman"/>
          <w:lang w:val="fr-FR"/>
        </w:rPr>
        <w:t>Fuerst</w:t>
      </w:r>
      <w:proofErr w:type="spellEnd"/>
      <w:r w:rsidRPr="004C6457">
        <w:rPr>
          <w:rFonts w:cs="Times New Roman"/>
          <w:lang w:val="fr-FR"/>
        </w:rPr>
        <w:t>, p.</w:t>
      </w:r>
      <w:r>
        <w:rPr>
          <w:rFonts w:cs="Times New Roman"/>
          <w:lang w:val="fr-FR"/>
        </w:rPr>
        <w:t xml:space="preserve"> </w:t>
      </w:r>
      <w:r w:rsidRPr="004C6457">
        <w:rPr>
          <w:rFonts w:cs="Times New Roman"/>
          <w:lang w:val="fr-FR"/>
        </w:rPr>
        <w:t>788</w:t>
      </w:r>
      <w:r>
        <w:rPr>
          <w:rFonts w:cs="Times New Roman"/>
          <w:lang w:val="fr-FR"/>
        </w:rPr>
        <w:t>-</w:t>
      </w:r>
      <w:r w:rsidRPr="004C6457">
        <w:rPr>
          <w:rFonts w:cs="Times New Roman"/>
          <w:lang w:val="fr-FR"/>
        </w:rPr>
        <w:t>789 et 800</w:t>
      </w:r>
      <w:r>
        <w:rPr>
          <w:rFonts w:cs="Times New Roman"/>
          <w:lang w:val="fr-FR"/>
        </w:rPr>
        <w:t>-</w:t>
      </w:r>
      <w:r w:rsidRPr="004C6457">
        <w:rPr>
          <w:rFonts w:cs="Times New Roman"/>
          <w:lang w:val="fr-FR"/>
        </w:rPr>
        <w:t>801). Le critère de la pertinence, à ce stade, s’entend de la pertinence logique (</w:t>
      </w:r>
      <w:r w:rsidRPr="004C6457">
        <w:rPr>
          <w:rFonts w:cs="Times New Roman"/>
          <w:i/>
          <w:iCs/>
          <w:lang w:val="fr-FR"/>
        </w:rPr>
        <w:t xml:space="preserve">Abbey </w:t>
      </w:r>
      <w:r w:rsidRPr="004C6457">
        <w:rPr>
          <w:rFonts w:cs="Times New Roman"/>
          <w:iCs/>
          <w:lang w:val="fr-FR"/>
        </w:rPr>
        <w:t>(ONCA)</w:t>
      </w:r>
      <w:r w:rsidRPr="004C6457">
        <w:rPr>
          <w:rFonts w:cs="Times New Roman"/>
          <w:lang w:val="fr-FR"/>
        </w:rPr>
        <w:t>, par.</w:t>
      </w:r>
      <w:r>
        <w:rPr>
          <w:rFonts w:cs="Times New Roman"/>
          <w:lang w:val="fr-FR"/>
        </w:rPr>
        <w:t xml:space="preserve"> </w:t>
      </w:r>
      <w:r w:rsidRPr="004C6457">
        <w:rPr>
          <w:rFonts w:cs="Times New Roman"/>
          <w:lang w:val="fr-FR"/>
        </w:rPr>
        <w:t xml:space="preserve">82; </w:t>
      </w:r>
      <w:r w:rsidRPr="004C6457">
        <w:rPr>
          <w:rFonts w:cs="Times New Roman"/>
          <w:i/>
          <w:iCs/>
          <w:lang w:val="fr-FR"/>
        </w:rPr>
        <w:t>J.</w:t>
      </w:r>
      <w:r>
        <w:rPr>
          <w:rFonts w:cs="Times New Roman"/>
          <w:i/>
          <w:iCs/>
          <w:lang w:val="fr-FR"/>
        </w:rPr>
        <w:t>-</w:t>
      </w:r>
      <w:r w:rsidRPr="004C6457">
        <w:rPr>
          <w:rFonts w:cs="Times New Roman"/>
          <w:i/>
          <w:iCs/>
          <w:lang w:val="fr-FR"/>
        </w:rPr>
        <w:t>L.J.</w:t>
      </w:r>
      <w:r w:rsidRPr="004C6457">
        <w:rPr>
          <w:rFonts w:cs="Times New Roman"/>
          <w:lang w:val="fr-FR"/>
        </w:rPr>
        <w:t>, par.</w:t>
      </w:r>
      <w:r>
        <w:rPr>
          <w:rFonts w:cs="Times New Roman"/>
          <w:lang w:val="fr-FR"/>
        </w:rPr>
        <w:t xml:space="preserve"> </w:t>
      </w:r>
      <w:r w:rsidRPr="004C6457">
        <w:rPr>
          <w:rFonts w:cs="Times New Roman"/>
          <w:lang w:val="fr-FR"/>
        </w:rPr>
        <w:t>47). Tout témoignage qui ne satisfait pas à ces critères devrait être exclu. Il est à noter qu’à mon avis, la nécessité demeure un critère (</w:t>
      </w:r>
      <w:r w:rsidRPr="004C6457">
        <w:rPr>
          <w:rFonts w:cs="Times New Roman"/>
          <w:i/>
          <w:iCs/>
          <w:lang w:val="fr-FR"/>
        </w:rPr>
        <w:t>D.D.</w:t>
      </w:r>
      <w:r w:rsidRPr="004C6457">
        <w:rPr>
          <w:rFonts w:cs="Times New Roman"/>
          <w:lang w:val="fr-FR"/>
        </w:rPr>
        <w:t>,</w:t>
      </w:r>
      <w:r w:rsidRPr="004C6457">
        <w:rPr>
          <w:rFonts w:cs="Times New Roman"/>
          <w:i/>
          <w:iCs/>
          <w:lang w:val="fr-FR"/>
        </w:rPr>
        <w:t xml:space="preserve"> </w:t>
      </w:r>
      <w:r w:rsidRPr="004C6457">
        <w:rPr>
          <w:rFonts w:cs="Times New Roman"/>
          <w:lang w:val="fr-FR"/>
        </w:rPr>
        <w:t>par.</w:t>
      </w:r>
      <w:r>
        <w:rPr>
          <w:rFonts w:cs="Times New Roman"/>
          <w:lang w:val="fr-FR"/>
        </w:rPr>
        <w:t xml:space="preserve"> </w:t>
      </w:r>
      <w:r w:rsidRPr="004C6457">
        <w:rPr>
          <w:rFonts w:cs="Times New Roman"/>
          <w:lang w:val="fr-FR"/>
        </w:rPr>
        <w:t>57; voir D.</w:t>
      </w:r>
      <w:r>
        <w:rPr>
          <w:rFonts w:cs="Times New Roman"/>
          <w:lang w:val="fr-FR"/>
        </w:rPr>
        <w:t xml:space="preserve"> </w:t>
      </w:r>
      <w:r w:rsidRPr="004C6457">
        <w:rPr>
          <w:rFonts w:cs="Times New Roman"/>
          <w:lang w:val="fr-FR"/>
        </w:rPr>
        <w:t>M.</w:t>
      </w:r>
      <w:r>
        <w:rPr>
          <w:rFonts w:cs="Times New Roman"/>
          <w:lang w:val="fr-FR"/>
        </w:rPr>
        <w:t xml:space="preserve"> </w:t>
      </w:r>
      <w:proofErr w:type="spellStart"/>
      <w:r w:rsidRPr="004C6457">
        <w:rPr>
          <w:rFonts w:cs="Times New Roman"/>
          <w:lang w:val="fr-FR"/>
        </w:rPr>
        <w:t>Paciocco</w:t>
      </w:r>
      <w:proofErr w:type="spellEnd"/>
      <w:r w:rsidRPr="004C6457">
        <w:rPr>
          <w:rFonts w:cs="Times New Roman"/>
          <w:lang w:val="fr-FR"/>
        </w:rPr>
        <w:t xml:space="preserve"> et L.</w:t>
      </w:r>
      <w:r>
        <w:rPr>
          <w:rFonts w:cs="Times New Roman"/>
          <w:lang w:val="fr-FR"/>
        </w:rPr>
        <w:t xml:space="preserve"> </w:t>
      </w:r>
      <w:r w:rsidRPr="004C6457">
        <w:rPr>
          <w:rFonts w:cs="Times New Roman"/>
          <w:lang w:val="fr-FR"/>
        </w:rPr>
        <w:t xml:space="preserve">Stuesser, </w:t>
      </w:r>
      <w:r w:rsidRPr="004C6457">
        <w:rPr>
          <w:rFonts w:cs="Times New Roman"/>
          <w:i/>
          <w:iCs/>
          <w:lang w:val="fr-FR"/>
        </w:rPr>
        <w:t>The</w:t>
      </w:r>
      <w:r w:rsidRPr="004C6457">
        <w:rPr>
          <w:rFonts w:cs="Times New Roman"/>
          <w:lang w:val="fr-FR"/>
        </w:rPr>
        <w:t xml:space="preserve"> </w:t>
      </w:r>
      <w:r w:rsidRPr="004C6457">
        <w:rPr>
          <w:rFonts w:cs="Times New Roman"/>
          <w:i/>
          <w:iCs/>
          <w:lang w:val="fr-FR"/>
        </w:rPr>
        <w:t>Law of Evidence</w:t>
      </w:r>
      <w:r w:rsidRPr="004C6457">
        <w:rPr>
          <w:rFonts w:cs="Times New Roman"/>
          <w:lang w:val="fr-FR"/>
        </w:rPr>
        <w:t xml:space="preserve"> (7</w:t>
      </w:r>
      <w:r w:rsidRPr="004C6457">
        <w:rPr>
          <w:rFonts w:cs="Times New Roman"/>
          <w:vertAlign w:val="superscript"/>
          <w:lang w:val="fr-FR"/>
        </w:rPr>
        <w:t xml:space="preserve">e </w:t>
      </w:r>
      <w:r w:rsidRPr="004C6457">
        <w:rPr>
          <w:rFonts w:cs="Times New Roman"/>
          <w:lang w:val="fr-FR"/>
        </w:rPr>
        <w:t>éd. 2015), p.</w:t>
      </w:r>
      <w:r>
        <w:rPr>
          <w:rFonts w:cs="Times New Roman"/>
          <w:lang w:val="fr-FR"/>
        </w:rPr>
        <w:t xml:space="preserve"> </w:t>
      </w:r>
      <w:r w:rsidRPr="004C6457">
        <w:rPr>
          <w:rFonts w:cs="Times New Roman"/>
          <w:lang w:val="fr-FR"/>
        </w:rPr>
        <w:t>209</w:t>
      </w:r>
      <w:r>
        <w:rPr>
          <w:rFonts w:cs="Times New Roman"/>
          <w:lang w:val="fr-FR"/>
        </w:rPr>
        <w:t>-</w:t>
      </w:r>
      <w:r w:rsidRPr="004C6457">
        <w:rPr>
          <w:rFonts w:cs="Times New Roman"/>
          <w:lang w:val="fr-FR"/>
        </w:rPr>
        <w:t xml:space="preserve">210; </w:t>
      </w:r>
      <w:r w:rsidRPr="004C6457">
        <w:rPr>
          <w:rFonts w:cs="Times New Roman"/>
          <w:i/>
          <w:iCs/>
          <w:lang w:val="fr-FR"/>
        </w:rPr>
        <w:t>R. c. Boswell</w:t>
      </w:r>
      <w:r w:rsidRPr="004C6457">
        <w:rPr>
          <w:rFonts w:cs="Times New Roman"/>
          <w:lang w:val="fr-FR"/>
        </w:rPr>
        <w:t>, 2011 ONCA 283, 85 C.R. (6th) 290, par.</w:t>
      </w:r>
      <w:r>
        <w:rPr>
          <w:rFonts w:cs="Times New Roman"/>
          <w:lang w:val="fr-FR"/>
        </w:rPr>
        <w:t xml:space="preserve"> </w:t>
      </w:r>
      <w:r w:rsidRPr="004C6457">
        <w:rPr>
          <w:rFonts w:cs="Times New Roman"/>
          <w:lang w:val="fr-FR"/>
        </w:rPr>
        <w:t xml:space="preserve">13; </w:t>
      </w:r>
      <w:r w:rsidRPr="004C6457">
        <w:rPr>
          <w:rFonts w:cs="Times New Roman"/>
          <w:i/>
          <w:iCs/>
          <w:lang w:val="fr-FR"/>
        </w:rPr>
        <w:t>R. c. C.</w:t>
      </w:r>
      <w:r w:rsidR="00533DB7">
        <w:rPr>
          <w:rFonts w:cs="Times New Roman"/>
          <w:i/>
          <w:iCs/>
          <w:lang w:val="fr-FR"/>
        </w:rPr>
        <w:t xml:space="preserve"> </w:t>
      </w:r>
      <w:r w:rsidRPr="004C6457">
        <w:rPr>
          <w:rFonts w:cs="Times New Roman"/>
          <w:i/>
          <w:iCs/>
          <w:lang w:val="fr-FR"/>
        </w:rPr>
        <w:t>(M.)</w:t>
      </w:r>
      <w:r w:rsidRPr="004C6457">
        <w:rPr>
          <w:rFonts w:cs="Times New Roman"/>
          <w:lang w:val="fr-FR"/>
        </w:rPr>
        <w:t>, 2014 ONCA 611, 13 C.R. (7th) 396, par.</w:t>
      </w:r>
      <w:r>
        <w:rPr>
          <w:rFonts w:cs="Times New Roman"/>
          <w:lang w:val="fr-FR"/>
        </w:rPr>
        <w:t xml:space="preserve"> </w:t>
      </w:r>
      <w:r w:rsidRPr="004C6457">
        <w:rPr>
          <w:rFonts w:cs="Times New Roman"/>
          <w:lang w:val="fr-FR"/>
        </w:rPr>
        <w:t>72).</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FR"/>
        </w:rPr>
        <w:t>Dans un deuxième temps, le juge</w:t>
      </w:r>
      <w:r>
        <w:rPr>
          <w:rFonts w:cs="Times New Roman"/>
          <w:lang w:val="fr-FR"/>
        </w:rPr>
        <w:t>-</w:t>
      </w:r>
      <w:r w:rsidRPr="004C6457">
        <w:rPr>
          <w:rFonts w:cs="Times New Roman"/>
          <w:lang w:val="fr-FR"/>
        </w:rPr>
        <w:t xml:space="preserve">gardien exerce son pouvoir discrétionnaire en soupesant les risques et les bénéfices éventuels que présente l’admission du témoignage, afin de décider si les premiers sont justifiés par les seconds. Cet exercice nécessaire de pondération a été décrit de plusieurs façons. Dans l’arrêt </w:t>
      </w:r>
      <w:r w:rsidRPr="004C6457">
        <w:rPr>
          <w:rFonts w:cs="Times New Roman"/>
          <w:i/>
          <w:iCs/>
          <w:lang w:val="fr-FR"/>
        </w:rPr>
        <w:t>Mohan</w:t>
      </w:r>
      <w:r w:rsidRPr="004C6457">
        <w:rPr>
          <w:rFonts w:cs="Times New Roman"/>
          <w:lang w:val="fr-FR"/>
        </w:rPr>
        <w:t xml:space="preserve">, le juge </w:t>
      </w:r>
      <w:proofErr w:type="spellStart"/>
      <w:r w:rsidRPr="004C6457">
        <w:rPr>
          <w:rFonts w:cs="Times New Roman"/>
          <w:lang w:val="fr-FR"/>
        </w:rPr>
        <w:t>Sopinka</w:t>
      </w:r>
      <w:proofErr w:type="spellEnd"/>
      <w:r w:rsidRPr="004C6457">
        <w:rPr>
          <w:rFonts w:cs="Times New Roman"/>
          <w:lang w:val="fr-FR"/>
        </w:rPr>
        <w:t xml:space="preserve"> parle du </w:t>
      </w:r>
      <w:r>
        <w:rPr>
          <w:rFonts w:cs="Times New Roman"/>
          <w:lang w:val="fr-FR"/>
        </w:rPr>
        <w:t>« </w:t>
      </w:r>
      <w:r w:rsidRPr="004C6457">
        <w:rPr>
          <w:rFonts w:cs="Times New Roman"/>
          <w:lang w:val="fr-FR"/>
        </w:rPr>
        <w:t>facteur fiabilité</w:t>
      </w:r>
      <w:r>
        <w:rPr>
          <w:rFonts w:cs="Times New Roman"/>
          <w:lang w:val="fr-FR"/>
        </w:rPr>
        <w:t>-</w:t>
      </w:r>
      <w:r w:rsidRPr="004C6457">
        <w:rPr>
          <w:rFonts w:cs="Times New Roman"/>
          <w:lang w:val="fr-FR"/>
        </w:rPr>
        <w:t>effet</w:t>
      </w:r>
      <w:r>
        <w:rPr>
          <w:rFonts w:cs="Times New Roman"/>
          <w:lang w:val="fr-FR"/>
        </w:rPr>
        <w:t> »</w:t>
      </w:r>
      <w:r w:rsidRPr="004C6457">
        <w:rPr>
          <w:rFonts w:cs="Times New Roman"/>
          <w:lang w:val="fr-FR"/>
        </w:rPr>
        <w:t xml:space="preserve"> (p.</w:t>
      </w:r>
      <w:r>
        <w:rPr>
          <w:rFonts w:cs="Times New Roman"/>
          <w:lang w:val="fr-FR"/>
        </w:rPr>
        <w:t xml:space="preserve"> </w:t>
      </w:r>
      <w:r w:rsidRPr="004C6457">
        <w:rPr>
          <w:rFonts w:cs="Times New Roman"/>
          <w:lang w:val="fr-FR"/>
        </w:rPr>
        <w:t xml:space="preserve">21), tandis que, dans l’arrêt </w:t>
      </w:r>
      <w:r w:rsidRPr="004C6457">
        <w:rPr>
          <w:rFonts w:cs="Times New Roman"/>
          <w:i/>
          <w:iCs/>
          <w:lang w:val="fr-FR"/>
        </w:rPr>
        <w:t>J.</w:t>
      </w:r>
      <w:r>
        <w:rPr>
          <w:rFonts w:cs="Times New Roman"/>
          <w:i/>
          <w:iCs/>
          <w:lang w:val="fr-FR"/>
        </w:rPr>
        <w:t>-</w:t>
      </w:r>
      <w:r w:rsidRPr="004C6457">
        <w:rPr>
          <w:rFonts w:cs="Times New Roman"/>
          <w:i/>
          <w:iCs/>
          <w:lang w:val="fr-FR"/>
        </w:rPr>
        <w:t>L.J</w:t>
      </w:r>
      <w:r w:rsidRPr="00533DB7">
        <w:rPr>
          <w:rFonts w:cs="Times New Roman"/>
          <w:i/>
          <w:lang w:val="fr-FR"/>
        </w:rPr>
        <w:t>.</w:t>
      </w:r>
      <w:r w:rsidRPr="004C6457">
        <w:rPr>
          <w:rFonts w:cs="Times New Roman"/>
          <w:lang w:val="fr-FR"/>
        </w:rPr>
        <w:t xml:space="preserve">, le juge Binnie renvoie à </w:t>
      </w:r>
      <w:r>
        <w:rPr>
          <w:rFonts w:cs="Times New Roman"/>
          <w:lang w:val="fr-FR"/>
        </w:rPr>
        <w:t>« </w:t>
      </w:r>
      <w:r w:rsidRPr="004C6457">
        <w:rPr>
          <w:rFonts w:cs="Times New Roman"/>
          <w:lang w:val="fr-FR"/>
        </w:rPr>
        <w:t>la pertinence, la fiabilité et la nécessité par rapport au délai, au préjudice, à la confusion qui peuvent résulter</w:t>
      </w:r>
      <w:r>
        <w:rPr>
          <w:rFonts w:cs="Times New Roman"/>
          <w:lang w:val="fr-FR"/>
        </w:rPr>
        <w:t> »</w:t>
      </w:r>
      <w:r w:rsidRPr="004C6457">
        <w:rPr>
          <w:rFonts w:cs="Times New Roman"/>
          <w:lang w:val="fr-FR"/>
        </w:rPr>
        <w:t xml:space="preserve"> (par.</w:t>
      </w:r>
      <w:r>
        <w:rPr>
          <w:rFonts w:cs="Times New Roman"/>
          <w:lang w:val="fr-FR"/>
        </w:rPr>
        <w:t xml:space="preserve"> </w:t>
      </w:r>
      <w:r w:rsidRPr="004C6457">
        <w:rPr>
          <w:rFonts w:cs="Times New Roman"/>
          <w:lang w:val="fr-FR"/>
        </w:rPr>
        <w:t xml:space="preserve">47). Le juge Doherty résume bien la question dans l’arrêt </w:t>
      </w:r>
      <w:r w:rsidRPr="004C6457">
        <w:rPr>
          <w:rFonts w:cs="Times New Roman"/>
          <w:i/>
          <w:iCs/>
          <w:lang w:val="fr-FR"/>
        </w:rPr>
        <w:t>Abbey</w:t>
      </w:r>
      <w:r w:rsidRPr="004C6457">
        <w:rPr>
          <w:rFonts w:cs="Times New Roman"/>
          <w:iCs/>
          <w:lang w:val="fr-FR"/>
        </w:rPr>
        <w:t>,</w:t>
      </w:r>
      <w:r w:rsidRPr="004C6457">
        <w:rPr>
          <w:rFonts w:cs="Times New Roman"/>
          <w:i/>
          <w:iCs/>
          <w:lang w:val="fr-FR"/>
        </w:rPr>
        <w:t xml:space="preserve"> </w:t>
      </w:r>
      <w:r w:rsidRPr="004C6457">
        <w:rPr>
          <w:rFonts w:cs="Times New Roman"/>
          <w:lang w:val="fr-FR"/>
        </w:rPr>
        <w:t xml:space="preserve">lorsqu’il explique que </w:t>
      </w:r>
      <w:r w:rsidRPr="004C6457">
        <w:rPr>
          <w:rFonts w:cs="Times New Roman"/>
          <w:smallCaps/>
          <w:lang w:val="fr-FR"/>
        </w:rPr>
        <w:t>[traduction]</w:t>
      </w:r>
      <w:r w:rsidRPr="004C6457">
        <w:rPr>
          <w:rFonts w:cs="Times New Roman"/>
          <w:lang w:val="fr-FR"/>
        </w:rPr>
        <w:t xml:space="preserve"> </w:t>
      </w:r>
      <w:r>
        <w:rPr>
          <w:rFonts w:cs="Times New Roman"/>
          <w:lang w:val="fr-FR"/>
        </w:rPr>
        <w:t>« </w:t>
      </w:r>
      <w:r w:rsidRPr="004C6457">
        <w:rPr>
          <w:rFonts w:cs="Times New Roman"/>
          <w:lang w:val="fr-FR"/>
        </w:rPr>
        <w:t>le juge du procès doit décider si le témoignage d’expert qui satisfait aux conditions préalables à l’admissibilité est assez avantageux pour le procès pour justifier son admission malgré le préjudice potentiel, pour le procès, qui peut découler de son admission</w:t>
      </w:r>
      <w:r>
        <w:rPr>
          <w:rFonts w:cs="Times New Roman"/>
          <w:lang w:val="fr-FR"/>
        </w:rPr>
        <w:t> »</w:t>
      </w:r>
      <w:r w:rsidRPr="004C6457">
        <w:rPr>
          <w:rFonts w:cs="Times New Roman"/>
          <w:lang w:val="fr-FR"/>
        </w:rPr>
        <w:t xml:space="preserve"> (par.</w:t>
      </w:r>
      <w:r>
        <w:rPr>
          <w:rFonts w:cs="Times New Roman"/>
          <w:lang w:val="fr-FR"/>
        </w:rPr>
        <w:t xml:space="preserve"> </w:t>
      </w:r>
      <w:r w:rsidRPr="004C6457">
        <w:rPr>
          <w:rFonts w:cs="Times New Roman"/>
          <w:lang w:val="fr-FR"/>
        </w:rPr>
        <w:t>76).</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 cadre analytique ainsi délimité, penchons</w:t>
      </w:r>
      <w:r>
        <w:rPr>
          <w:rFonts w:cs="Times New Roman"/>
          <w:lang w:val="fr-CA"/>
        </w:rPr>
        <w:t>-</w:t>
      </w:r>
      <w:r w:rsidRPr="004C6457">
        <w:rPr>
          <w:rFonts w:cs="Times New Roman"/>
          <w:lang w:val="fr-CA"/>
        </w:rPr>
        <w:t xml:space="preserve">nous sur la nature de l’obligation de l’expert envers le tribunal et voyons comment elle s’inscrit dans ce cadre. </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lastRenderedPageBreak/>
        <w:t>L’obligation de l’expert envers le tribunal</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Les grandes lignes de l’obligation du témoin expert envers le tribunal sont peu contestées. Comme Anderson l’écrit</w:t>
      </w:r>
      <w:r>
        <w:rPr>
          <w:rFonts w:cs="Times New Roman"/>
          <w:lang w:val="fr-CA"/>
        </w:rPr>
        <w:t> :</w:t>
      </w:r>
      <w:r w:rsidRPr="004C6457">
        <w:rPr>
          <w:rFonts w:cs="Times New Roman"/>
          <w:lang w:val="fr-CA"/>
        </w:rPr>
        <w:t xml:space="preserve"> </w:t>
      </w:r>
      <w:r w:rsidRPr="004C6457">
        <w:rPr>
          <w:rFonts w:cs="Times New Roman"/>
          <w:smallCaps/>
          <w:lang w:val="fr-CA"/>
        </w:rPr>
        <w:t xml:space="preserve">[traduction] </w:t>
      </w:r>
      <w:r>
        <w:rPr>
          <w:rFonts w:cs="Times New Roman"/>
          <w:lang w:val="fr-CA"/>
        </w:rPr>
        <w:t>« </w:t>
      </w:r>
      <w:r w:rsidR="0089106B">
        <w:rPr>
          <w:rFonts w:cs="Times New Roman"/>
          <w:lang w:val="fr-CA"/>
        </w:rPr>
        <w:t>L</w:t>
      </w:r>
      <w:r w:rsidRPr="004C6457">
        <w:rPr>
          <w:rFonts w:cs="Times New Roman"/>
          <w:lang w:val="fr-CA"/>
        </w:rPr>
        <w:t>’obligation de fournir une aide indépendante au tribunal sous la forme d’avis objectif et exempt de parti pris a été énoncé</w:t>
      </w:r>
      <w:r w:rsidR="00533DB7">
        <w:rPr>
          <w:rFonts w:cs="Times New Roman"/>
          <w:lang w:val="fr-CA"/>
        </w:rPr>
        <w:t>e</w:t>
      </w:r>
      <w:r w:rsidRPr="004C6457">
        <w:rPr>
          <w:rFonts w:cs="Times New Roman"/>
          <w:lang w:val="fr-CA"/>
        </w:rPr>
        <w:t xml:space="preserve"> à de nombreuses reprises par les tribunaux de </w:t>
      </w:r>
      <w:proofErr w:type="spellStart"/>
      <w:r w:rsidRPr="004C6457">
        <w:rPr>
          <w:rFonts w:cs="Times New Roman"/>
          <w:lang w:val="fr-CA"/>
        </w:rPr>
        <w:t>common</w:t>
      </w:r>
      <w:proofErr w:type="spellEnd"/>
      <w:r w:rsidRPr="004C6457">
        <w:rPr>
          <w:rFonts w:cs="Times New Roman"/>
          <w:lang w:val="fr-CA"/>
        </w:rPr>
        <w:t xml:space="preserve"> </w:t>
      </w:r>
      <w:proofErr w:type="spellStart"/>
      <w:r w:rsidRPr="004C6457">
        <w:rPr>
          <w:rFonts w:cs="Times New Roman"/>
          <w:lang w:val="fr-CA"/>
        </w:rPr>
        <w:t>law</w:t>
      </w:r>
      <w:proofErr w:type="spellEnd"/>
      <w:r w:rsidRPr="004C6457">
        <w:rPr>
          <w:rFonts w:cs="Times New Roman"/>
          <w:lang w:val="fr-CA"/>
        </w:rPr>
        <w:t xml:space="preserve"> un peu partout dans le monde</w:t>
      </w:r>
      <w:r>
        <w:rPr>
          <w:rFonts w:cs="Times New Roman"/>
          <w:lang w:val="fr-CA"/>
        </w:rPr>
        <w:t> »</w:t>
      </w:r>
      <w:r w:rsidRPr="004C6457">
        <w:rPr>
          <w:rFonts w:cs="Times New Roman"/>
          <w:lang w:val="fr-CA"/>
        </w:rPr>
        <w:t xml:space="preserve"> (p.</w:t>
      </w:r>
      <w:r>
        <w:rPr>
          <w:rFonts w:cs="Times New Roman"/>
          <w:lang w:val="fr-CA"/>
        </w:rPr>
        <w:t xml:space="preserve"> </w:t>
      </w:r>
      <w:r w:rsidRPr="004C6457">
        <w:rPr>
          <w:rFonts w:cs="Times New Roman"/>
          <w:lang w:val="fr-CA"/>
        </w:rPr>
        <w:t>227). J’ajouterais qu’une obligation semblable existe en droit civil québécois (J.</w:t>
      </w:r>
      <w:r>
        <w:rPr>
          <w:rFonts w:cs="Times New Roman"/>
          <w:lang w:val="fr-CA"/>
        </w:rPr>
        <w:t>-</w:t>
      </w:r>
      <w:r w:rsidRPr="004C6457">
        <w:rPr>
          <w:rFonts w:cs="Times New Roman"/>
          <w:lang w:val="fr-CA"/>
        </w:rPr>
        <w:t>C.</w:t>
      </w:r>
      <w:r>
        <w:rPr>
          <w:rFonts w:cs="Times New Roman"/>
          <w:lang w:val="fr-CA"/>
        </w:rPr>
        <w:t xml:space="preserve"> </w:t>
      </w:r>
      <w:r w:rsidRPr="004C6457">
        <w:rPr>
          <w:rFonts w:cs="Times New Roman"/>
          <w:lang w:val="fr-CA"/>
        </w:rPr>
        <w:t>Royer et S.</w:t>
      </w:r>
      <w:r>
        <w:rPr>
          <w:rFonts w:cs="Times New Roman"/>
          <w:lang w:val="fr-CA"/>
        </w:rPr>
        <w:t xml:space="preserve"> </w:t>
      </w:r>
      <w:proofErr w:type="spellStart"/>
      <w:r w:rsidRPr="004C6457">
        <w:rPr>
          <w:rFonts w:cs="Times New Roman"/>
          <w:lang w:val="fr-CA"/>
        </w:rPr>
        <w:t>Lavallée</w:t>
      </w:r>
      <w:proofErr w:type="spellEnd"/>
      <w:r w:rsidRPr="004C6457">
        <w:rPr>
          <w:rFonts w:cs="Times New Roman"/>
          <w:lang w:val="fr-CA"/>
        </w:rPr>
        <w:t xml:space="preserve">, </w:t>
      </w:r>
      <w:r w:rsidRPr="004C6457">
        <w:rPr>
          <w:rFonts w:cs="Times New Roman"/>
          <w:i/>
          <w:iCs/>
          <w:lang w:val="fr-CA"/>
        </w:rPr>
        <w:t>La preuve civile</w:t>
      </w:r>
      <w:r w:rsidRPr="004C6457">
        <w:rPr>
          <w:rFonts w:cs="Times New Roman"/>
          <w:lang w:val="fr-CA"/>
        </w:rPr>
        <w:t xml:space="preserve"> (4</w:t>
      </w:r>
      <w:r w:rsidRPr="004C6457">
        <w:rPr>
          <w:rFonts w:cs="Times New Roman"/>
          <w:vertAlign w:val="superscript"/>
          <w:lang w:val="fr-CA"/>
        </w:rPr>
        <w:t>e</w:t>
      </w:r>
      <w:r>
        <w:rPr>
          <w:rFonts w:cs="Times New Roman"/>
          <w:vertAlign w:val="superscript"/>
          <w:lang w:val="fr-CA"/>
        </w:rPr>
        <w:t xml:space="preserve"> </w:t>
      </w:r>
      <w:r w:rsidRPr="004C6457">
        <w:rPr>
          <w:rFonts w:cs="Times New Roman"/>
          <w:lang w:val="fr-CA"/>
        </w:rPr>
        <w:t>éd. 2008), par.</w:t>
      </w:r>
      <w:r>
        <w:rPr>
          <w:rFonts w:cs="Times New Roman"/>
          <w:lang w:val="fr-CA"/>
        </w:rPr>
        <w:t xml:space="preserve"> </w:t>
      </w:r>
      <w:r w:rsidRPr="004C6457">
        <w:rPr>
          <w:rFonts w:cs="Times New Roman"/>
          <w:lang w:val="fr-CA"/>
        </w:rPr>
        <w:t>468; D.</w:t>
      </w:r>
      <w:r>
        <w:rPr>
          <w:rFonts w:cs="Times New Roman"/>
          <w:lang w:val="fr-CA"/>
        </w:rPr>
        <w:t xml:space="preserve"> </w:t>
      </w:r>
      <w:proofErr w:type="spellStart"/>
      <w:r w:rsidRPr="004C6457">
        <w:rPr>
          <w:rFonts w:cs="Times New Roman"/>
          <w:lang w:val="fr-CA"/>
        </w:rPr>
        <w:t>Béchard</w:t>
      </w:r>
      <w:proofErr w:type="spellEnd"/>
      <w:r w:rsidR="0089106B">
        <w:rPr>
          <w:rFonts w:cs="Times New Roman"/>
          <w:lang w:val="fr-CA"/>
        </w:rPr>
        <w:t>,</w:t>
      </w:r>
      <w:r w:rsidRPr="004C6457">
        <w:rPr>
          <w:rFonts w:cs="Times New Roman"/>
          <w:lang w:val="fr-CA"/>
        </w:rPr>
        <w:t xml:space="preserve"> avec la collaboration de J. </w:t>
      </w:r>
      <w:proofErr w:type="spellStart"/>
      <w:r w:rsidRPr="004C6457">
        <w:rPr>
          <w:rFonts w:cs="Times New Roman"/>
          <w:lang w:val="fr-CA"/>
        </w:rPr>
        <w:t>Béchard</w:t>
      </w:r>
      <w:proofErr w:type="spellEnd"/>
      <w:r w:rsidRPr="004C6457">
        <w:rPr>
          <w:rFonts w:cs="Times New Roman"/>
          <w:lang w:val="fr-CA"/>
        </w:rPr>
        <w:t xml:space="preserve">, </w:t>
      </w:r>
      <w:r w:rsidRPr="004C6457">
        <w:rPr>
          <w:rFonts w:cs="Times New Roman"/>
          <w:i/>
          <w:iCs/>
          <w:lang w:val="fr-CA"/>
        </w:rPr>
        <w:t>L’expert</w:t>
      </w:r>
      <w:r w:rsidRPr="004C6457">
        <w:rPr>
          <w:rFonts w:cs="Times New Roman"/>
          <w:lang w:val="fr-CA"/>
        </w:rPr>
        <w:t xml:space="preserve"> (2011)</w:t>
      </w:r>
      <w:r w:rsidR="00533DB7">
        <w:rPr>
          <w:rFonts w:cs="Times New Roman"/>
          <w:lang w:val="fr-CA"/>
        </w:rPr>
        <w:t>, c</w:t>
      </w:r>
      <w:r w:rsidRPr="004C6457">
        <w:rPr>
          <w:rFonts w:cs="Times New Roman"/>
          <w:lang w:val="fr-CA"/>
        </w:rPr>
        <w:t>.</w:t>
      </w:r>
      <w:r>
        <w:rPr>
          <w:rFonts w:cs="Times New Roman"/>
          <w:lang w:val="fr-CA"/>
        </w:rPr>
        <w:t xml:space="preserve"> </w:t>
      </w:r>
      <w:r w:rsidRPr="004C6457">
        <w:rPr>
          <w:rFonts w:cs="Times New Roman"/>
          <w:lang w:val="fr-CA"/>
        </w:rPr>
        <w:t xml:space="preserve">9; </w:t>
      </w:r>
      <w:r w:rsidRPr="004C6457">
        <w:rPr>
          <w:rFonts w:cs="Times New Roman"/>
          <w:i/>
          <w:iCs/>
          <w:lang w:val="fr-CA"/>
        </w:rPr>
        <w:t>Loi instituant le nouveau Code de procédure civile</w:t>
      </w:r>
      <w:r w:rsidRPr="004C6457">
        <w:rPr>
          <w:rFonts w:cs="Times New Roman"/>
          <w:lang w:val="fr-CA"/>
        </w:rPr>
        <w:t>, L.Q. 2014, c.</w:t>
      </w:r>
      <w:r>
        <w:rPr>
          <w:rFonts w:cs="Times New Roman"/>
          <w:lang w:val="fr-CA"/>
        </w:rPr>
        <w:t xml:space="preserve"> </w:t>
      </w:r>
      <w:r w:rsidR="0089106B">
        <w:rPr>
          <w:rFonts w:cs="Times New Roman"/>
          <w:lang w:val="fr-CA"/>
        </w:rPr>
        <w:t>1,</w:t>
      </w:r>
      <w:r w:rsidRPr="004C6457">
        <w:rPr>
          <w:rFonts w:cs="Times New Roman"/>
          <w:lang w:val="fr-CA"/>
        </w:rPr>
        <w:t xml:space="preserve"> art.</w:t>
      </w:r>
      <w:r>
        <w:rPr>
          <w:rFonts w:cs="Times New Roman"/>
          <w:lang w:val="fr-CA"/>
        </w:rPr>
        <w:t xml:space="preserve"> </w:t>
      </w:r>
      <w:r w:rsidRPr="004C6457">
        <w:rPr>
          <w:rFonts w:cs="Times New Roman"/>
          <w:lang w:val="fr-CA"/>
        </w:rPr>
        <w:t>22 (non en vigueur); L.</w:t>
      </w:r>
      <w:r>
        <w:rPr>
          <w:rFonts w:cs="Times New Roman"/>
          <w:lang w:val="fr-CA"/>
        </w:rPr>
        <w:t xml:space="preserve"> </w:t>
      </w:r>
      <w:r w:rsidRPr="004C6457">
        <w:rPr>
          <w:rFonts w:cs="Times New Roman"/>
          <w:lang w:val="fr-CA"/>
        </w:rPr>
        <w:t>Chamberland,</w:t>
      </w:r>
      <w:r w:rsidRPr="004C6457">
        <w:rPr>
          <w:rFonts w:cs="Times New Roman"/>
          <w:i/>
          <w:iCs/>
          <w:lang w:val="fr-CA"/>
        </w:rPr>
        <w:t xml:space="preserve"> Le nouveau Code de procédure civile commenté</w:t>
      </w:r>
      <w:r w:rsidRPr="004C6457">
        <w:rPr>
          <w:rFonts w:cs="Times New Roman"/>
          <w:lang w:val="fr-CA"/>
        </w:rPr>
        <w:t xml:space="preserve"> (2014), p.</w:t>
      </w:r>
      <w:r>
        <w:rPr>
          <w:rFonts w:cs="Times New Roman"/>
          <w:lang w:val="fr-CA"/>
        </w:rPr>
        <w:t xml:space="preserve"> </w:t>
      </w:r>
      <w:r w:rsidRPr="004C6457">
        <w:rPr>
          <w:rFonts w:cs="Times New Roman"/>
          <w:lang w:val="fr-CA"/>
        </w:rPr>
        <w:t>14 et 121).</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On trouve dans l’arrêt anglais </w:t>
      </w:r>
      <w:r w:rsidRPr="004C6457">
        <w:rPr>
          <w:rFonts w:cs="Times New Roman"/>
          <w:i/>
          <w:iCs/>
          <w:lang w:val="fr-CA"/>
        </w:rPr>
        <w:t xml:space="preserve">National Justice </w:t>
      </w:r>
      <w:proofErr w:type="spellStart"/>
      <w:r w:rsidRPr="004C6457">
        <w:rPr>
          <w:rFonts w:cs="Times New Roman"/>
          <w:i/>
          <w:iCs/>
          <w:lang w:val="fr-CA"/>
        </w:rPr>
        <w:t>Compania</w:t>
      </w:r>
      <w:proofErr w:type="spellEnd"/>
      <w:r w:rsidRPr="004C6457">
        <w:rPr>
          <w:rFonts w:cs="Times New Roman"/>
          <w:i/>
          <w:iCs/>
          <w:lang w:val="fr-CA"/>
        </w:rPr>
        <w:t xml:space="preserve"> </w:t>
      </w:r>
      <w:proofErr w:type="spellStart"/>
      <w:r w:rsidRPr="004C6457">
        <w:rPr>
          <w:rFonts w:cs="Times New Roman"/>
          <w:i/>
          <w:iCs/>
          <w:lang w:val="fr-CA"/>
        </w:rPr>
        <w:t>Naviera</w:t>
      </w:r>
      <w:proofErr w:type="spellEnd"/>
      <w:r w:rsidRPr="004C6457">
        <w:rPr>
          <w:rFonts w:cs="Times New Roman"/>
          <w:i/>
          <w:iCs/>
          <w:lang w:val="fr-CA"/>
        </w:rPr>
        <w:t xml:space="preserve"> S.A. c. </w:t>
      </w:r>
      <w:proofErr w:type="spellStart"/>
      <w:r w:rsidRPr="004C6457">
        <w:rPr>
          <w:rFonts w:cs="Times New Roman"/>
          <w:i/>
          <w:iCs/>
          <w:lang w:val="fr-CA"/>
        </w:rPr>
        <w:t>Prudential</w:t>
      </w:r>
      <w:proofErr w:type="spellEnd"/>
      <w:r w:rsidRPr="004C6457">
        <w:rPr>
          <w:rFonts w:cs="Times New Roman"/>
          <w:i/>
          <w:iCs/>
          <w:lang w:val="fr-CA"/>
        </w:rPr>
        <w:t xml:space="preserve"> Assurance Co.</w:t>
      </w:r>
      <w:r w:rsidRPr="004C6457">
        <w:rPr>
          <w:rFonts w:cs="Times New Roman"/>
          <w:iCs/>
          <w:lang w:val="fr-CA"/>
        </w:rPr>
        <w:t xml:space="preserve">, </w:t>
      </w:r>
      <w:r w:rsidRPr="004C6457">
        <w:rPr>
          <w:rFonts w:cs="Times New Roman"/>
          <w:lang w:val="fr-CA"/>
        </w:rPr>
        <w:t xml:space="preserve">[1993] 2 Lloyd’s </w:t>
      </w:r>
      <w:proofErr w:type="spellStart"/>
      <w:r w:rsidRPr="004C6457">
        <w:rPr>
          <w:rFonts w:cs="Times New Roman"/>
          <w:lang w:val="fr-CA"/>
        </w:rPr>
        <w:t>Rep</w:t>
      </w:r>
      <w:proofErr w:type="spellEnd"/>
      <w:r w:rsidRPr="004C6457">
        <w:rPr>
          <w:rFonts w:cs="Times New Roman"/>
          <w:lang w:val="fr-CA"/>
        </w:rPr>
        <w:t>.</w:t>
      </w:r>
      <w:r>
        <w:rPr>
          <w:rFonts w:cs="Times New Roman"/>
          <w:lang w:val="fr-CA"/>
        </w:rPr>
        <w:t xml:space="preserve"> </w:t>
      </w:r>
      <w:r w:rsidRPr="004C6457">
        <w:rPr>
          <w:rFonts w:cs="Times New Roman"/>
          <w:lang w:val="fr-CA"/>
        </w:rPr>
        <w:t>68 (Q.B.)</w:t>
      </w:r>
      <w:r w:rsidR="0089106B">
        <w:rPr>
          <w:rFonts w:cs="Times New Roman"/>
          <w:lang w:val="fr-CA"/>
        </w:rPr>
        <w:t>,</w:t>
      </w:r>
      <w:r w:rsidRPr="004C6457">
        <w:rPr>
          <w:rFonts w:cs="Times New Roman"/>
          <w:lang w:val="fr-CA"/>
        </w:rPr>
        <w:t xml:space="preserve"> un énoncé des éléments de cette obligation qui fait autorité. Au terme d’un procès de 87</w:t>
      </w:r>
      <w:r>
        <w:rPr>
          <w:rFonts w:cs="Times New Roman"/>
          <w:lang w:val="fr-CA"/>
        </w:rPr>
        <w:t xml:space="preserve"> </w:t>
      </w:r>
      <w:r w:rsidRPr="004C6457">
        <w:rPr>
          <w:rFonts w:cs="Times New Roman"/>
          <w:lang w:val="fr-CA"/>
        </w:rPr>
        <w:t xml:space="preserve">jours, le juge </w:t>
      </w:r>
      <w:proofErr w:type="spellStart"/>
      <w:r w:rsidRPr="004C6457">
        <w:rPr>
          <w:rFonts w:cs="Times New Roman"/>
          <w:lang w:val="fr-CA"/>
        </w:rPr>
        <w:t>Cresswell</w:t>
      </w:r>
      <w:proofErr w:type="spellEnd"/>
      <w:r w:rsidRPr="004C6457">
        <w:rPr>
          <w:rFonts w:cs="Times New Roman"/>
          <w:lang w:val="fr-CA"/>
        </w:rPr>
        <w:t xml:space="preserve"> a conclu qu’une méconnaissance des obligations et responsabilités des témoins experts avait contribué à prolonger le procès. Il a dressé, dans une remarque incidente, une liste des obligations et responsabilités des experts, dont les deux premiers points ont particulièrement influencé l’évolution du droit canadien</w:t>
      </w:r>
      <w:r>
        <w:rPr>
          <w:rFonts w:cs="Times New Roman"/>
          <w:lang w:val="fr-CA"/>
        </w:rPr>
        <w:t> :</w:t>
      </w:r>
    </w:p>
    <w:p w:rsidR="001F4CC4" w:rsidRPr="004C6457" w:rsidRDefault="001F4CC4" w:rsidP="001F4CC4">
      <w:pPr>
        <w:pStyle w:val="ParaNoNdepar-AltN"/>
        <w:widowControl w:val="0"/>
        <w:numPr>
          <w:ilvl w:val="0"/>
          <w:numId w:val="0"/>
        </w:numPr>
        <w:spacing w:before="0" w:after="240" w:line="240" w:lineRule="auto"/>
        <w:ind w:left="1080"/>
        <w:rPr>
          <w:rFonts w:cs="Times New Roman"/>
          <w:smallCaps/>
          <w:lang w:val="fr-CA"/>
        </w:rPr>
      </w:pPr>
      <w:r w:rsidRPr="004C6457">
        <w:rPr>
          <w:rFonts w:cs="Times New Roman"/>
          <w:smallCaps/>
          <w:lang w:val="fr-CA"/>
        </w:rPr>
        <w:t>[traduction]</w:t>
      </w:r>
    </w:p>
    <w:p w:rsidR="001F4CC4" w:rsidRPr="004C6457" w:rsidRDefault="001F4CC4" w:rsidP="00533DB7">
      <w:pPr>
        <w:pStyle w:val="Citation-AltC"/>
        <w:widowControl w:val="0"/>
        <w:numPr>
          <w:ilvl w:val="3"/>
          <w:numId w:val="10"/>
        </w:numPr>
        <w:tabs>
          <w:tab w:val="left" w:pos="1890"/>
        </w:tabs>
        <w:spacing w:after="240"/>
        <w:ind w:left="1134" w:firstLine="284"/>
        <w:contextualSpacing w:val="0"/>
        <w:rPr>
          <w:lang w:val="fr-CA"/>
        </w:rPr>
      </w:pPr>
      <w:r w:rsidRPr="004C6457">
        <w:rPr>
          <w:lang w:val="fr-CA"/>
        </w:rPr>
        <w:t xml:space="preserve">Le témoignage de l’expert présenté à la Cour devrait être </w:t>
      </w:r>
      <w:r w:rsidRPr="004C6457">
        <w:rPr>
          <w:u w:val="single"/>
          <w:lang w:val="fr-CA"/>
        </w:rPr>
        <w:t>le produit indépendant de l’expert n’ayant subi quant à la forme ou au fond aucune influence dictée par les exigences du litige</w:t>
      </w:r>
      <w:r w:rsidRPr="004C6457">
        <w:rPr>
          <w:lang w:val="fr-CA"/>
        </w:rPr>
        <w:t xml:space="preserve"> et être perçu comme </w:t>
      </w:r>
      <w:proofErr w:type="gramStart"/>
      <w:r w:rsidRPr="004C6457">
        <w:rPr>
          <w:lang w:val="fr-CA"/>
        </w:rPr>
        <w:t>tel</w:t>
      </w:r>
      <w:r w:rsidR="00533DB7">
        <w:rPr>
          <w:lang w:val="fr-CA"/>
        </w:rPr>
        <w:t xml:space="preserve"> </w:t>
      </w:r>
      <w:r>
        <w:rPr>
          <w:lang w:val="fr-CA"/>
        </w:rPr>
        <w:t>.</w:t>
      </w:r>
      <w:proofErr w:type="gramEnd"/>
      <w:r>
        <w:rPr>
          <w:lang w:val="fr-CA"/>
        </w:rPr>
        <w:t> . .</w:t>
      </w:r>
      <w:r w:rsidRPr="004C6457">
        <w:rPr>
          <w:lang w:val="fr-CA"/>
        </w:rPr>
        <w:t xml:space="preserve"> </w:t>
      </w:r>
    </w:p>
    <w:p w:rsidR="001F4CC4" w:rsidRPr="004C6457" w:rsidRDefault="001F4CC4" w:rsidP="007849E2">
      <w:pPr>
        <w:pStyle w:val="Citation-AltC"/>
        <w:widowControl w:val="0"/>
        <w:numPr>
          <w:ilvl w:val="3"/>
          <w:numId w:val="10"/>
        </w:numPr>
        <w:tabs>
          <w:tab w:val="left" w:pos="1890"/>
        </w:tabs>
        <w:spacing w:after="480"/>
        <w:ind w:left="1138" w:firstLine="288"/>
        <w:contextualSpacing w:val="0"/>
        <w:rPr>
          <w:lang w:val="fr-CA"/>
        </w:rPr>
      </w:pPr>
      <w:r w:rsidRPr="004C6457">
        <w:rPr>
          <w:lang w:val="fr-CA"/>
        </w:rPr>
        <w:lastRenderedPageBreak/>
        <w:t xml:space="preserve">Le </w:t>
      </w:r>
      <w:r w:rsidRPr="004C6457">
        <w:rPr>
          <w:rStyle w:val="highlight"/>
          <w:lang w:val="fr-CA"/>
        </w:rPr>
        <w:t xml:space="preserve">rôle du </w:t>
      </w:r>
      <w:r w:rsidRPr="00B22DAE">
        <w:rPr>
          <w:lang w:val="fr-CA"/>
        </w:rPr>
        <w:t>témoin</w:t>
      </w:r>
      <w:r w:rsidRPr="004C6457">
        <w:rPr>
          <w:rStyle w:val="highlight"/>
          <w:lang w:val="fr-CA"/>
        </w:rPr>
        <w:t xml:space="preserve"> expert consiste à </w:t>
      </w:r>
      <w:r w:rsidRPr="004C6457">
        <w:rPr>
          <w:lang w:val="fr-CA"/>
        </w:rPr>
        <w:t xml:space="preserve">fournir une aide indépendante au tribunal sous la forme </w:t>
      </w:r>
      <w:r w:rsidRPr="004C6457">
        <w:rPr>
          <w:u w:val="single"/>
          <w:lang w:val="fr-CA"/>
        </w:rPr>
        <w:t>d’avis objectif et exempt de parti pris</w:t>
      </w:r>
      <w:r w:rsidRPr="004C6457">
        <w:rPr>
          <w:lang w:val="fr-CA"/>
        </w:rPr>
        <w:t xml:space="preserve"> </w:t>
      </w:r>
      <w:r w:rsidRPr="004C6457">
        <w:rPr>
          <w:rStyle w:val="highlight"/>
          <w:lang w:val="fr-CA"/>
        </w:rPr>
        <w:t xml:space="preserve">sur des questions relevant de son champ d’expertise </w:t>
      </w:r>
      <w:r w:rsidRPr="004C6457">
        <w:rPr>
          <w:lang w:val="fr-CA"/>
        </w:rPr>
        <w:t>[</w:t>
      </w:r>
      <w:r>
        <w:rPr>
          <w:lang w:val="fr-CA"/>
        </w:rPr>
        <w:t>. . .</w:t>
      </w:r>
      <w:r w:rsidR="0089106B">
        <w:rPr>
          <w:lang w:val="fr-CA"/>
        </w:rPr>
        <w:t>]</w:t>
      </w:r>
      <w:r w:rsidRPr="004C6457">
        <w:rPr>
          <w:lang w:val="fr-CA"/>
        </w:rPr>
        <w:t xml:space="preserve"> La personne qui témoigne comme expert devant la Haute Cour ne doit jamais s’arroger le rôle de défenseur. [Je souligne; </w:t>
      </w:r>
      <w:r w:rsidR="00D26DA5">
        <w:rPr>
          <w:lang w:val="fr-CA"/>
        </w:rPr>
        <w:t>référence</w:t>
      </w:r>
      <w:r w:rsidRPr="004C6457">
        <w:rPr>
          <w:lang w:val="fr-CA"/>
        </w:rPr>
        <w:t xml:space="preserve"> omis</w:t>
      </w:r>
      <w:r w:rsidR="00D26DA5">
        <w:rPr>
          <w:lang w:val="fr-CA"/>
        </w:rPr>
        <w:t>e</w:t>
      </w:r>
      <w:r w:rsidRPr="004C6457">
        <w:rPr>
          <w:lang w:val="fr-CA"/>
        </w:rPr>
        <w:t>; p.</w:t>
      </w:r>
      <w:r>
        <w:rPr>
          <w:lang w:val="fr-CA"/>
        </w:rPr>
        <w:t xml:space="preserve"> </w:t>
      </w:r>
      <w:r w:rsidRPr="004C6457">
        <w:rPr>
          <w:lang w:val="fr-CA"/>
        </w:rPr>
        <w:t>81.]</w:t>
      </w:r>
    </w:p>
    <w:p w:rsidR="001F4CC4" w:rsidRPr="004C6457" w:rsidRDefault="001F4CC4" w:rsidP="007849E2">
      <w:pPr>
        <w:pStyle w:val="Citation-AltC"/>
        <w:widowControl w:val="0"/>
        <w:spacing w:after="480" w:line="480" w:lineRule="auto"/>
        <w:ind w:left="0"/>
        <w:contextualSpacing w:val="0"/>
        <w:rPr>
          <w:lang w:val="fr-CA"/>
        </w:rPr>
      </w:pPr>
      <w:r w:rsidRPr="004C6457">
        <w:rPr>
          <w:lang w:val="fr-CA"/>
        </w:rPr>
        <w:t xml:space="preserve">(La Cour d’appel a confirmé ces obligations ([1995] 1 Lloyd’s </w:t>
      </w:r>
      <w:proofErr w:type="spellStart"/>
      <w:r w:rsidRPr="004C6457">
        <w:rPr>
          <w:lang w:val="fr-CA"/>
        </w:rPr>
        <w:t>Rep</w:t>
      </w:r>
      <w:proofErr w:type="spellEnd"/>
      <w:r w:rsidRPr="004C6457">
        <w:rPr>
          <w:lang w:val="fr-CA"/>
        </w:rPr>
        <w:t>.</w:t>
      </w:r>
      <w:r>
        <w:rPr>
          <w:lang w:val="fr-CA"/>
        </w:rPr>
        <w:t xml:space="preserve"> </w:t>
      </w:r>
      <w:r w:rsidRPr="004C6457">
        <w:rPr>
          <w:lang w:val="fr-CA"/>
        </w:rPr>
        <w:t>455 (C.A.), p.</w:t>
      </w:r>
      <w:r>
        <w:rPr>
          <w:lang w:val="fr-CA"/>
        </w:rPr>
        <w:t xml:space="preserve"> </w:t>
      </w:r>
      <w:r w:rsidR="00D8001D">
        <w:rPr>
          <w:lang w:val="fr-CA"/>
        </w:rPr>
        <w:t>496</w:t>
      </w:r>
      <w:r w:rsidRPr="004C6457">
        <w:rPr>
          <w:lang w:val="fr-CA"/>
        </w:rPr>
        <w:t>)</w:t>
      </w:r>
      <w:r w:rsidR="00D8001D">
        <w:rPr>
          <w:lang w:val="fr-CA"/>
        </w:rPr>
        <w:t>.</w:t>
      </w:r>
      <w:r w:rsidRPr="004C6457">
        <w:rPr>
          <w:lang w:val="fr-CA"/>
        </w:rPr>
        <w: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Plusieurs provinces et territoires ont des directives expresses en ce qui concerne l’obligation du témoin expert. En Nouvelle</w:t>
      </w:r>
      <w:r>
        <w:rPr>
          <w:rFonts w:cs="Times New Roman"/>
          <w:lang w:val="fr-CA"/>
        </w:rPr>
        <w:t>-</w:t>
      </w:r>
      <w:r w:rsidRPr="004C6457">
        <w:rPr>
          <w:rFonts w:cs="Times New Roman"/>
          <w:lang w:val="fr-CA"/>
        </w:rPr>
        <w:t xml:space="preserve">Écosse, par exemple, les </w:t>
      </w:r>
      <w:r w:rsidRPr="004C6457">
        <w:rPr>
          <w:rFonts w:cs="Times New Roman"/>
          <w:i/>
          <w:lang w:val="fr-CA"/>
        </w:rPr>
        <w:t>Règles de procédure civile</w:t>
      </w:r>
      <w:r w:rsidRPr="004C6457">
        <w:rPr>
          <w:rFonts w:cs="Times New Roman"/>
          <w:lang w:val="fr-CA"/>
        </w:rPr>
        <w:t xml:space="preserve"> prévoient que le rapport d’expert, signé par ce dernier, déclare notamment qu’il fournit une opinion objective pour prêter assistance à la cour; qu’il est disposé à se former un jugement indépendant dans l’assistance qu’il prête à la cour; que son rapport comprend tout ce qu’il considère comme pertinent par rapport à l’opinion exprimée et attire l’attention sur tout ce qui pourrait mener raisonnablement à une conclusion différente (al.</w:t>
      </w:r>
      <w:r>
        <w:rPr>
          <w:rFonts w:cs="Times New Roman"/>
          <w:lang w:val="fr-CA"/>
        </w:rPr>
        <w:t xml:space="preserve"> </w:t>
      </w:r>
      <w:r w:rsidRPr="004C6457">
        <w:rPr>
          <w:rFonts w:cs="Times New Roman"/>
          <w:lang w:val="fr-CA"/>
        </w:rPr>
        <w:t>55.04(1)</w:t>
      </w:r>
      <w:r w:rsidRPr="007849E2">
        <w:rPr>
          <w:rFonts w:cs="Times New Roman"/>
          <w:lang w:val="fr-CA"/>
        </w:rPr>
        <w:t>a</w:t>
      </w:r>
      <w:r w:rsidRPr="004C6457">
        <w:rPr>
          <w:rFonts w:cs="Times New Roman"/>
          <w:lang w:val="fr-CA"/>
        </w:rPr>
        <w:t xml:space="preserve">), </w:t>
      </w:r>
      <w:r w:rsidRPr="007849E2">
        <w:rPr>
          <w:rFonts w:cs="Times New Roman"/>
          <w:lang w:val="fr-CA"/>
        </w:rPr>
        <w:t>b</w:t>
      </w:r>
      <w:r w:rsidRPr="004C6457">
        <w:rPr>
          <w:rFonts w:cs="Times New Roman"/>
          <w:lang w:val="fr-CA"/>
        </w:rPr>
        <w:t xml:space="preserve">) et </w:t>
      </w:r>
      <w:r w:rsidRPr="007849E2">
        <w:rPr>
          <w:rFonts w:cs="Times New Roman"/>
          <w:lang w:val="fr-CA"/>
        </w:rPr>
        <w:t>c</w:t>
      </w:r>
      <w:r w:rsidRPr="004C6457">
        <w:rPr>
          <w:rFonts w:cs="Times New Roman"/>
          <w:lang w:val="fr-CA"/>
        </w:rPr>
        <w:t xml:space="preserve">)). Même si ces exigences n’ont aucune incidence sur les règles de preuve sur l’admissibilité d’une opinion d’expert, elles résument bien la conception assez largement partagée de l’obligation d’un témoin expert envers le tribunal.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L’obligation de l’expert est définie de façon similaire dans les règles de procédure civile d’autres provinces et territoires du Canada (Anderson, p.</w:t>
      </w:r>
      <w:r>
        <w:rPr>
          <w:rFonts w:cs="Times New Roman"/>
          <w:lang w:val="fr-CA"/>
        </w:rPr>
        <w:t xml:space="preserve"> </w:t>
      </w:r>
      <w:r w:rsidRPr="004C6457">
        <w:rPr>
          <w:rFonts w:cs="Times New Roman"/>
          <w:lang w:val="fr-CA"/>
        </w:rPr>
        <w:t xml:space="preserve">227; </w:t>
      </w:r>
      <w:r w:rsidRPr="004C6457">
        <w:rPr>
          <w:rFonts w:cs="Times New Roman"/>
          <w:i/>
          <w:lang w:val="fr-CA"/>
        </w:rPr>
        <w:t>Règles de la Cour du Banc de la Reine</w:t>
      </w:r>
      <w:r w:rsidRPr="004C6457">
        <w:rPr>
          <w:rFonts w:cs="Times New Roman"/>
          <w:lang w:val="fr-CA"/>
        </w:rPr>
        <w:t xml:space="preserve"> de la </w:t>
      </w:r>
      <w:r w:rsidRPr="004C6457">
        <w:rPr>
          <w:rFonts w:cs="Times New Roman"/>
          <w:iCs/>
          <w:lang w:val="fr-CA"/>
        </w:rPr>
        <w:t>Saskatchewan</w:t>
      </w:r>
      <w:r w:rsidRPr="004C6457">
        <w:rPr>
          <w:rFonts w:cs="Times New Roman"/>
          <w:lang w:val="fr-CA"/>
        </w:rPr>
        <w:t xml:space="preserve">, </w:t>
      </w:r>
      <w:r w:rsidR="00D8001D">
        <w:rPr>
          <w:rFonts w:cs="Times New Roman"/>
          <w:lang w:val="fr-CA"/>
        </w:rPr>
        <w:t>règle</w:t>
      </w:r>
      <w:r>
        <w:rPr>
          <w:rFonts w:cs="Times New Roman"/>
          <w:lang w:val="fr-CA"/>
        </w:rPr>
        <w:t xml:space="preserve"> 5-</w:t>
      </w:r>
      <w:r w:rsidRPr="004C6457">
        <w:rPr>
          <w:rFonts w:cs="Times New Roman"/>
          <w:lang w:val="fr-CA"/>
        </w:rPr>
        <w:t xml:space="preserve">37; </w:t>
      </w:r>
      <w:proofErr w:type="spellStart"/>
      <w:r w:rsidRPr="004C6457">
        <w:rPr>
          <w:rFonts w:cs="Times New Roman"/>
          <w:i/>
          <w:iCs/>
          <w:lang w:val="fr-CA"/>
        </w:rPr>
        <w:t>Supreme</w:t>
      </w:r>
      <w:proofErr w:type="spellEnd"/>
      <w:r w:rsidRPr="004C6457">
        <w:rPr>
          <w:rFonts w:cs="Times New Roman"/>
          <w:i/>
          <w:iCs/>
          <w:lang w:val="fr-CA"/>
        </w:rPr>
        <w:t xml:space="preserve"> Court Civil </w:t>
      </w:r>
      <w:proofErr w:type="spellStart"/>
      <w:r w:rsidRPr="004C6457">
        <w:rPr>
          <w:rFonts w:cs="Times New Roman"/>
          <w:i/>
          <w:iCs/>
          <w:lang w:val="fr-CA"/>
        </w:rPr>
        <w:t>Rules</w:t>
      </w:r>
      <w:proofErr w:type="spellEnd"/>
      <w:r w:rsidRPr="004C6457">
        <w:rPr>
          <w:rFonts w:cs="Times New Roman"/>
          <w:lang w:val="fr-CA"/>
        </w:rPr>
        <w:t xml:space="preserve">, B.C. Reg. 168/2009, </w:t>
      </w:r>
      <w:r w:rsidR="00D8001D">
        <w:rPr>
          <w:rFonts w:cs="Times New Roman"/>
          <w:lang w:val="fr-CA"/>
        </w:rPr>
        <w:t>par.</w:t>
      </w:r>
      <w:r>
        <w:rPr>
          <w:rFonts w:cs="Times New Roman"/>
          <w:lang w:val="fr-CA"/>
        </w:rPr>
        <w:t xml:space="preserve"> </w:t>
      </w:r>
      <w:r w:rsidRPr="004C6457">
        <w:rPr>
          <w:rFonts w:cs="Times New Roman"/>
          <w:lang w:val="fr-CA"/>
        </w:rPr>
        <w:t>11</w:t>
      </w:r>
      <w:r>
        <w:rPr>
          <w:rFonts w:cs="Times New Roman"/>
          <w:lang w:val="fr-CA"/>
        </w:rPr>
        <w:t>-</w:t>
      </w:r>
      <w:r w:rsidRPr="004C6457">
        <w:rPr>
          <w:rFonts w:cs="Times New Roman"/>
          <w:lang w:val="fr-CA"/>
        </w:rPr>
        <w:t xml:space="preserve">2(1); </w:t>
      </w:r>
      <w:r w:rsidRPr="004C6457">
        <w:rPr>
          <w:rFonts w:cs="Times New Roman"/>
          <w:i/>
          <w:iCs/>
          <w:lang w:val="fr-CA"/>
        </w:rPr>
        <w:t>Règles de procédure civile</w:t>
      </w:r>
      <w:r w:rsidRPr="004C6457">
        <w:rPr>
          <w:rFonts w:cs="Times New Roman"/>
          <w:lang w:val="fr-CA"/>
        </w:rPr>
        <w:t xml:space="preserve">, R.R.O. 1990, </w:t>
      </w:r>
      <w:proofErr w:type="spellStart"/>
      <w:r w:rsidRPr="004C6457">
        <w:rPr>
          <w:rFonts w:cs="Times New Roman"/>
          <w:lang w:val="fr-CA"/>
        </w:rPr>
        <w:t>Règl</w:t>
      </w:r>
      <w:proofErr w:type="spellEnd"/>
      <w:r w:rsidRPr="004C6457">
        <w:rPr>
          <w:rFonts w:cs="Times New Roman"/>
          <w:lang w:val="fr-CA"/>
        </w:rPr>
        <w:t>. 194, par.</w:t>
      </w:r>
      <w:r>
        <w:rPr>
          <w:rFonts w:cs="Times New Roman"/>
          <w:lang w:val="fr-CA"/>
        </w:rPr>
        <w:t xml:space="preserve"> </w:t>
      </w:r>
      <w:r w:rsidRPr="004C6457">
        <w:rPr>
          <w:rFonts w:cs="Times New Roman"/>
          <w:lang w:val="fr-CA"/>
        </w:rPr>
        <w:t xml:space="preserve">4.1.01(1); </w:t>
      </w:r>
      <w:r w:rsidRPr="004C6457">
        <w:rPr>
          <w:rFonts w:cs="Times New Roman"/>
          <w:i/>
          <w:iCs/>
          <w:lang w:val="fr-CA"/>
        </w:rPr>
        <w:t>Règles de procédure</w:t>
      </w:r>
      <w:r w:rsidR="007849E2" w:rsidRPr="007849E2">
        <w:rPr>
          <w:rFonts w:cs="Times New Roman"/>
          <w:iCs/>
          <w:lang w:val="fr-CA"/>
        </w:rPr>
        <w:t>,</w:t>
      </w:r>
      <w:r w:rsidRPr="004C6457">
        <w:rPr>
          <w:rFonts w:cs="Times New Roman"/>
          <w:i/>
          <w:iCs/>
          <w:lang w:val="fr-CA"/>
        </w:rPr>
        <w:t xml:space="preserve"> </w:t>
      </w:r>
      <w:r w:rsidRPr="004C6457">
        <w:rPr>
          <w:rFonts w:cs="Times New Roman"/>
          <w:iCs/>
          <w:lang w:val="fr-CA"/>
        </w:rPr>
        <w:t>Y.</w:t>
      </w:r>
      <w:r w:rsidR="007849E2">
        <w:rPr>
          <w:rFonts w:cs="Times New Roman"/>
          <w:iCs/>
          <w:lang w:val="fr-CA"/>
        </w:rPr>
        <w:t>D</w:t>
      </w:r>
      <w:r w:rsidRPr="004C6457">
        <w:rPr>
          <w:rFonts w:cs="Times New Roman"/>
          <w:iCs/>
          <w:lang w:val="fr-CA"/>
        </w:rPr>
        <w:t>. 2009/65</w:t>
      </w:r>
      <w:r w:rsidRPr="004C6457">
        <w:rPr>
          <w:rFonts w:cs="Times New Roman"/>
          <w:lang w:val="fr-CA"/>
        </w:rPr>
        <w:t>, par.</w:t>
      </w:r>
      <w:r>
        <w:rPr>
          <w:rFonts w:cs="Times New Roman"/>
          <w:lang w:val="fr-CA"/>
        </w:rPr>
        <w:t xml:space="preserve"> </w:t>
      </w:r>
      <w:r w:rsidRPr="004C6457">
        <w:rPr>
          <w:rFonts w:cs="Times New Roman"/>
          <w:lang w:val="fr-CA"/>
        </w:rPr>
        <w:t xml:space="preserve">34(23); </w:t>
      </w:r>
      <w:r w:rsidRPr="004C6457">
        <w:rPr>
          <w:rFonts w:cs="Times New Roman"/>
          <w:i/>
          <w:iCs/>
          <w:lang w:val="fr-CA"/>
        </w:rPr>
        <w:t>Loi instituant le nouveau Code de procédure civile</w:t>
      </w:r>
      <w:r w:rsidRPr="004C6457">
        <w:rPr>
          <w:rFonts w:cs="Times New Roman"/>
          <w:lang w:val="fr-CA"/>
        </w:rPr>
        <w:t>, art.</w:t>
      </w:r>
      <w:r>
        <w:rPr>
          <w:rFonts w:cs="Times New Roman"/>
          <w:lang w:val="fr-CA"/>
        </w:rPr>
        <w:t xml:space="preserve"> </w:t>
      </w:r>
      <w:r w:rsidRPr="004C6457">
        <w:rPr>
          <w:rFonts w:cs="Times New Roman"/>
          <w:lang w:val="fr-CA"/>
        </w:rPr>
        <w:t xml:space="preserve">22). De plus, les règles de la </w:t>
      </w:r>
      <w:r w:rsidRPr="004C6457">
        <w:rPr>
          <w:rFonts w:cs="Times New Roman"/>
          <w:lang w:val="fr-CA"/>
        </w:rPr>
        <w:lastRenderedPageBreak/>
        <w:t>Saskatchewan, de la Colombie</w:t>
      </w:r>
      <w:r>
        <w:rPr>
          <w:rFonts w:cs="Times New Roman"/>
          <w:lang w:val="fr-CA"/>
        </w:rPr>
        <w:t>-</w:t>
      </w:r>
      <w:r w:rsidRPr="004C6457">
        <w:rPr>
          <w:rFonts w:cs="Times New Roman"/>
          <w:lang w:val="fr-CA"/>
        </w:rPr>
        <w:t>Britannique, de l’Ontario, de la Nouvelle</w:t>
      </w:r>
      <w:r>
        <w:rPr>
          <w:rFonts w:cs="Times New Roman"/>
          <w:lang w:val="fr-CA"/>
        </w:rPr>
        <w:t>-</w:t>
      </w:r>
      <w:r w:rsidRPr="004C6457">
        <w:rPr>
          <w:rFonts w:cs="Times New Roman"/>
          <w:lang w:val="fr-CA"/>
        </w:rPr>
        <w:t>Écosse, de l’Île</w:t>
      </w:r>
      <w:r>
        <w:rPr>
          <w:rFonts w:cs="Times New Roman"/>
          <w:lang w:val="fr-CA"/>
        </w:rPr>
        <w:t>-</w:t>
      </w:r>
      <w:r w:rsidRPr="004C6457">
        <w:rPr>
          <w:rFonts w:cs="Times New Roman"/>
          <w:lang w:val="fr-CA"/>
        </w:rPr>
        <w:t>du</w:t>
      </w:r>
      <w:r>
        <w:rPr>
          <w:rFonts w:cs="Times New Roman"/>
          <w:lang w:val="fr-CA"/>
        </w:rPr>
        <w:t>-</w:t>
      </w:r>
      <w:r w:rsidRPr="004C6457">
        <w:rPr>
          <w:rFonts w:cs="Times New Roman"/>
          <w:lang w:val="fr-CA"/>
        </w:rPr>
        <w:t>Prince</w:t>
      </w:r>
      <w:r>
        <w:rPr>
          <w:rFonts w:cs="Times New Roman"/>
          <w:lang w:val="fr-CA"/>
        </w:rPr>
        <w:t>-</w:t>
      </w:r>
      <w:r w:rsidRPr="004C6457">
        <w:rPr>
          <w:rFonts w:cs="Times New Roman"/>
          <w:lang w:val="fr-CA"/>
        </w:rPr>
        <w:t>Édouard, du Québec et des Cours fédérales en la matière exigent que les experts certifient qu’ils sont informés de leur obligation envers l</w:t>
      </w:r>
      <w:r w:rsidR="00D8001D">
        <w:rPr>
          <w:rFonts w:cs="Times New Roman"/>
          <w:lang w:val="fr-CA"/>
        </w:rPr>
        <w:t>e tribunal et s’en acquitteront</w:t>
      </w:r>
      <w:r w:rsidRPr="004C6457">
        <w:rPr>
          <w:rFonts w:cs="Times New Roman"/>
          <w:lang w:val="fr-CA"/>
        </w:rPr>
        <w:t xml:space="preserve"> (Anderson, p.</w:t>
      </w:r>
      <w:r>
        <w:rPr>
          <w:rFonts w:cs="Times New Roman"/>
          <w:lang w:val="fr-CA"/>
        </w:rPr>
        <w:t xml:space="preserve"> </w:t>
      </w:r>
      <w:r w:rsidRPr="004C6457">
        <w:rPr>
          <w:rFonts w:cs="Times New Roman"/>
          <w:lang w:val="fr-CA"/>
        </w:rPr>
        <w:t xml:space="preserve">228; </w:t>
      </w:r>
      <w:r w:rsidRPr="004C6457">
        <w:rPr>
          <w:rFonts w:cs="Times New Roman"/>
          <w:i/>
          <w:lang w:val="fr-CA"/>
        </w:rPr>
        <w:t>Règles de la</w:t>
      </w:r>
      <w:r w:rsidRPr="004C6457">
        <w:rPr>
          <w:rFonts w:cs="Times New Roman"/>
          <w:lang w:val="fr-CA"/>
        </w:rPr>
        <w:t xml:space="preserve"> </w:t>
      </w:r>
      <w:r w:rsidRPr="004C6457">
        <w:rPr>
          <w:rFonts w:cs="Times New Roman"/>
          <w:i/>
          <w:lang w:val="fr-CA"/>
        </w:rPr>
        <w:t xml:space="preserve">Cour du Banc de la Reine </w:t>
      </w:r>
      <w:r w:rsidRPr="004C6457">
        <w:rPr>
          <w:rFonts w:cs="Times New Roman"/>
          <w:lang w:val="fr-CA"/>
        </w:rPr>
        <w:t xml:space="preserve">de la </w:t>
      </w:r>
      <w:r w:rsidRPr="004C6457">
        <w:rPr>
          <w:rFonts w:cs="Times New Roman"/>
          <w:iCs/>
          <w:lang w:val="fr-CA"/>
        </w:rPr>
        <w:t>Saskatchewan</w:t>
      </w:r>
      <w:r w:rsidRPr="004C6457">
        <w:rPr>
          <w:rFonts w:cs="Times New Roman"/>
          <w:lang w:val="fr-CA"/>
        </w:rPr>
        <w:t xml:space="preserve">, </w:t>
      </w:r>
      <w:r w:rsidR="00D8001D">
        <w:rPr>
          <w:rFonts w:cs="Times New Roman"/>
          <w:lang w:val="fr-CA"/>
        </w:rPr>
        <w:t>par</w:t>
      </w:r>
      <w:r w:rsidRPr="004C6457">
        <w:rPr>
          <w:rFonts w:cs="Times New Roman"/>
          <w:lang w:val="fr-CA"/>
        </w:rPr>
        <w:t>.</w:t>
      </w:r>
      <w:r>
        <w:rPr>
          <w:rFonts w:cs="Times New Roman"/>
          <w:lang w:val="fr-CA"/>
        </w:rPr>
        <w:t xml:space="preserve"> </w:t>
      </w:r>
      <w:r w:rsidRPr="004C6457">
        <w:rPr>
          <w:rFonts w:cs="Times New Roman"/>
          <w:lang w:val="fr-CA"/>
        </w:rPr>
        <w:t>5</w:t>
      </w:r>
      <w:r>
        <w:rPr>
          <w:rFonts w:cs="Times New Roman"/>
          <w:lang w:val="fr-CA"/>
        </w:rPr>
        <w:t>-</w:t>
      </w:r>
      <w:r w:rsidRPr="004C6457">
        <w:rPr>
          <w:rFonts w:cs="Times New Roman"/>
          <w:lang w:val="fr-CA"/>
        </w:rPr>
        <w:t xml:space="preserve">37(3); </w:t>
      </w:r>
      <w:proofErr w:type="spellStart"/>
      <w:r w:rsidRPr="004C6457">
        <w:rPr>
          <w:rFonts w:cs="Times New Roman"/>
          <w:i/>
          <w:iCs/>
          <w:lang w:val="fr-CA"/>
        </w:rPr>
        <w:t>Supreme</w:t>
      </w:r>
      <w:proofErr w:type="spellEnd"/>
      <w:r w:rsidRPr="004C6457">
        <w:rPr>
          <w:rFonts w:cs="Times New Roman"/>
          <w:i/>
          <w:iCs/>
          <w:lang w:val="fr-CA"/>
        </w:rPr>
        <w:t xml:space="preserve"> Court Civil </w:t>
      </w:r>
      <w:proofErr w:type="spellStart"/>
      <w:r w:rsidRPr="004C6457">
        <w:rPr>
          <w:rFonts w:cs="Times New Roman"/>
          <w:i/>
          <w:iCs/>
          <w:lang w:val="fr-CA"/>
        </w:rPr>
        <w:t>Rules</w:t>
      </w:r>
      <w:proofErr w:type="spellEnd"/>
      <w:r w:rsidR="008D325D">
        <w:rPr>
          <w:rFonts w:cs="Times New Roman"/>
          <w:i/>
          <w:iCs/>
          <w:lang w:val="fr-CA"/>
        </w:rPr>
        <w:t xml:space="preserve"> </w:t>
      </w:r>
      <w:r w:rsidR="008D325D" w:rsidRPr="00CE2490">
        <w:rPr>
          <w:rFonts w:cs="Times New Roman"/>
          <w:iCs/>
          <w:lang w:val="fr-CA"/>
        </w:rPr>
        <w:t>de la Colombie-Britannique</w:t>
      </w:r>
      <w:r w:rsidRPr="004C6457">
        <w:rPr>
          <w:rFonts w:cs="Times New Roman"/>
          <w:lang w:val="fr-CA"/>
        </w:rPr>
        <w:t>, par.</w:t>
      </w:r>
      <w:r>
        <w:rPr>
          <w:rFonts w:cs="Times New Roman"/>
          <w:lang w:val="fr-CA"/>
        </w:rPr>
        <w:t xml:space="preserve"> </w:t>
      </w:r>
      <w:r w:rsidRPr="004C6457">
        <w:rPr>
          <w:rFonts w:cs="Times New Roman"/>
          <w:lang w:val="fr-CA"/>
        </w:rPr>
        <w:t>11</w:t>
      </w:r>
      <w:r>
        <w:rPr>
          <w:rFonts w:cs="Times New Roman"/>
          <w:lang w:val="fr-CA"/>
        </w:rPr>
        <w:t>-</w:t>
      </w:r>
      <w:r w:rsidRPr="004C6457">
        <w:rPr>
          <w:rFonts w:cs="Times New Roman"/>
          <w:lang w:val="fr-CA"/>
        </w:rPr>
        <w:t xml:space="preserve">2(2); </w:t>
      </w:r>
      <w:r w:rsidRPr="004C6457">
        <w:rPr>
          <w:rFonts w:cs="Times New Roman"/>
          <w:i/>
          <w:iCs/>
          <w:lang w:val="fr-CA"/>
        </w:rPr>
        <w:t xml:space="preserve">Règles de procédure civile </w:t>
      </w:r>
      <w:r w:rsidRPr="004C6457">
        <w:rPr>
          <w:rFonts w:cs="Times New Roman"/>
          <w:iCs/>
          <w:lang w:val="fr-CA"/>
        </w:rPr>
        <w:t>de l’Ontario</w:t>
      </w:r>
      <w:r w:rsidRPr="004C6457">
        <w:rPr>
          <w:rFonts w:cs="Times New Roman"/>
          <w:lang w:val="fr-CA"/>
        </w:rPr>
        <w:t>, par.</w:t>
      </w:r>
      <w:r>
        <w:rPr>
          <w:rFonts w:cs="Times New Roman"/>
          <w:lang w:val="fr-CA"/>
        </w:rPr>
        <w:t xml:space="preserve"> </w:t>
      </w:r>
      <w:r w:rsidRPr="004C6457">
        <w:rPr>
          <w:rFonts w:cs="Times New Roman"/>
          <w:lang w:val="fr-CA"/>
        </w:rPr>
        <w:t xml:space="preserve">53.03(2.1); </w:t>
      </w:r>
      <w:r w:rsidRPr="004C6457">
        <w:rPr>
          <w:rFonts w:cs="Times New Roman"/>
          <w:i/>
          <w:lang w:val="fr-CA"/>
        </w:rPr>
        <w:t xml:space="preserve">Règles de procédure civile </w:t>
      </w:r>
      <w:r w:rsidRPr="008D325D">
        <w:rPr>
          <w:rFonts w:cs="Times New Roman"/>
          <w:lang w:val="fr-CA"/>
        </w:rPr>
        <w:t>de la Nouvelle-Écosse</w:t>
      </w:r>
      <w:r w:rsidRPr="004C6457">
        <w:rPr>
          <w:rFonts w:cs="Times New Roman"/>
          <w:lang w:val="fr-CA"/>
        </w:rPr>
        <w:t>, al.</w:t>
      </w:r>
      <w:r>
        <w:rPr>
          <w:rFonts w:cs="Times New Roman"/>
          <w:lang w:val="fr-CA"/>
        </w:rPr>
        <w:t xml:space="preserve"> </w:t>
      </w:r>
      <w:r w:rsidRPr="004C6457">
        <w:rPr>
          <w:rFonts w:cs="Times New Roman"/>
          <w:lang w:val="fr-CA"/>
        </w:rPr>
        <w:t>55.04(1)</w:t>
      </w:r>
      <w:r w:rsidRPr="00A87F38">
        <w:rPr>
          <w:rFonts w:cs="Times New Roman"/>
          <w:lang w:val="fr-CA"/>
        </w:rPr>
        <w:t>a</w:t>
      </w:r>
      <w:r w:rsidRPr="004C6457">
        <w:rPr>
          <w:rFonts w:cs="Times New Roman"/>
          <w:lang w:val="fr-CA"/>
        </w:rPr>
        <w:t xml:space="preserve">); </w:t>
      </w:r>
      <w:proofErr w:type="spellStart"/>
      <w:r w:rsidRPr="004C6457">
        <w:rPr>
          <w:rFonts w:cs="Times New Roman"/>
          <w:i/>
          <w:iCs/>
          <w:lang w:val="fr-CA"/>
        </w:rPr>
        <w:t>Rules</w:t>
      </w:r>
      <w:proofErr w:type="spellEnd"/>
      <w:r w:rsidRPr="004C6457">
        <w:rPr>
          <w:rFonts w:cs="Times New Roman"/>
          <w:i/>
          <w:iCs/>
          <w:lang w:val="fr-CA"/>
        </w:rPr>
        <w:t xml:space="preserve"> of Civil </w:t>
      </w:r>
      <w:proofErr w:type="spellStart"/>
      <w:r w:rsidRPr="004C6457">
        <w:rPr>
          <w:rFonts w:cs="Times New Roman"/>
          <w:i/>
          <w:iCs/>
          <w:lang w:val="fr-CA"/>
        </w:rPr>
        <w:t>Procedure</w:t>
      </w:r>
      <w:proofErr w:type="spellEnd"/>
      <w:r w:rsidRPr="004C6457">
        <w:rPr>
          <w:rFonts w:cs="Times New Roman"/>
          <w:i/>
          <w:iCs/>
          <w:lang w:val="fr-CA"/>
        </w:rPr>
        <w:t xml:space="preserve"> </w:t>
      </w:r>
      <w:r w:rsidRPr="004C6457">
        <w:rPr>
          <w:rFonts w:cs="Times New Roman"/>
          <w:iCs/>
          <w:lang w:val="fr-CA"/>
        </w:rPr>
        <w:t>de l’</w:t>
      </w:r>
      <w:r w:rsidRPr="004C6457">
        <w:rPr>
          <w:rFonts w:cs="Times New Roman"/>
          <w:lang w:val="fr-CA"/>
        </w:rPr>
        <w:t>Île</w:t>
      </w:r>
      <w:r>
        <w:rPr>
          <w:rFonts w:cs="Times New Roman"/>
          <w:lang w:val="fr-CA"/>
        </w:rPr>
        <w:t>-</w:t>
      </w:r>
      <w:r w:rsidRPr="004C6457">
        <w:rPr>
          <w:rFonts w:cs="Times New Roman"/>
          <w:lang w:val="fr-CA"/>
        </w:rPr>
        <w:t>du</w:t>
      </w:r>
      <w:r>
        <w:rPr>
          <w:rFonts w:cs="Times New Roman"/>
          <w:lang w:val="fr-CA"/>
        </w:rPr>
        <w:t>-</w:t>
      </w:r>
      <w:r w:rsidRPr="004C6457">
        <w:rPr>
          <w:rFonts w:cs="Times New Roman"/>
          <w:lang w:val="fr-CA"/>
        </w:rPr>
        <w:t>Prince</w:t>
      </w:r>
      <w:r>
        <w:rPr>
          <w:rFonts w:cs="Times New Roman"/>
          <w:lang w:val="fr-CA"/>
        </w:rPr>
        <w:t>-</w:t>
      </w:r>
      <w:r w:rsidRPr="004C6457">
        <w:rPr>
          <w:rFonts w:cs="Times New Roman"/>
          <w:lang w:val="fr-CA"/>
        </w:rPr>
        <w:t>Édouard, al.</w:t>
      </w:r>
      <w:r>
        <w:rPr>
          <w:rFonts w:cs="Times New Roman"/>
          <w:lang w:val="fr-CA"/>
        </w:rPr>
        <w:t xml:space="preserve"> </w:t>
      </w:r>
      <w:r w:rsidRPr="004C6457">
        <w:rPr>
          <w:rFonts w:cs="Times New Roman"/>
          <w:lang w:val="fr-CA"/>
        </w:rPr>
        <w:t>53.03(3</w:t>
      </w:r>
      <w:proofErr w:type="gramStart"/>
      <w:r w:rsidRPr="004C6457">
        <w:rPr>
          <w:rFonts w:cs="Times New Roman"/>
          <w:lang w:val="fr-CA"/>
        </w:rPr>
        <w:t>)</w:t>
      </w:r>
      <w:r>
        <w:rPr>
          <w:rFonts w:cs="Times New Roman"/>
          <w:lang w:val="fr-CA"/>
        </w:rPr>
        <w:t>(</w:t>
      </w:r>
      <w:proofErr w:type="gramEnd"/>
      <w:r w:rsidRPr="00A87F38">
        <w:rPr>
          <w:rFonts w:cs="Times New Roman"/>
          <w:iCs/>
          <w:lang w:val="fr-CA"/>
        </w:rPr>
        <w:t>g</w:t>
      </w:r>
      <w:r w:rsidRPr="004C6457">
        <w:rPr>
          <w:rFonts w:cs="Times New Roman"/>
          <w:lang w:val="fr-CA"/>
        </w:rPr>
        <w:t xml:space="preserve">); </w:t>
      </w:r>
      <w:r w:rsidRPr="004C6457">
        <w:rPr>
          <w:rFonts w:cs="Times New Roman"/>
          <w:i/>
          <w:iCs/>
          <w:lang w:val="fr-CA"/>
        </w:rPr>
        <w:t>Loi instituant le nouveau Code de procédure civile</w:t>
      </w:r>
      <w:r w:rsidRPr="004C6457">
        <w:rPr>
          <w:rFonts w:cs="Times New Roman"/>
          <w:lang w:val="fr-CA"/>
        </w:rPr>
        <w:t>, art.</w:t>
      </w:r>
      <w:r>
        <w:rPr>
          <w:rFonts w:cs="Times New Roman"/>
          <w:lang w:val="fr-CA"/>
        </w:rPr>
        <w:t xml:space="preserve"> </w:t>
      </w:r>
      <w:r w:rsidRPr="004C6457">
        <w:rPr>
          <w:rFonts w:cs="Times New Roman"/>
          <w:lang w:val="fr-CA"/>
        </w:rPr>
        <w:t xml:space="preserve">235 (non en vigueur); </w:t>
      </w:r>
      <w:r w:rsidRPr="004C6457">
        <w:rPr>
          <w:rFonts w:cs="Times New Roman"/>
          <w:i/>
          <w:iCs/>
          <w:lang w:val="fr-CA"/>
        </w:rPr>
        <w:t>Règles des Cours fédérales</w:t>
      </w:r>
      <w:r w:rsidRPr="004C6457">
        <w:rPr>
          <w:rFonts w:cs="Times New Roman"/>
          <w:lang w:val="fr-CA"/>
        </w:rPr>
        <w:t>, DORS/98</w:t>
      </w:r>
      <w:r>
        <w:rPr>
          <w:rFonts w:cs="Times New Roman"/>
          <w:lang w:val="fr-CA"/>
        </w:rPr>
        <w:t>-</w:t>
      </w:r>
      <w:r w:rsidRPr="004C6457">
        <w:rPr>
          <w:rFonts w:cs="Times New Roman"/>
          <w:lang w:val="fr-CA"/>
        </w:rPr>
        <w:t>106, al.</w:t>
      </w:r>
      <w:r>
        <w:rPr>
          <w:rFonts w:cs="Times New Roman"/>
          <w:lang w:val="fr-CA"/>
        </w:rPr>
        <w:t xml:space="preserve"> </w:t>
      </w:r>
      <w:r w:rsidRPr="004C6457">
        <w:rPr>
          <w:rFonts w:cs="Times New Roman"/>
          <w:lang w:val="fr-CA"/>
        </w:rPr>
        <w:t>52.2(1)</w:t>
      </w:r>
      <w:r w:rsidRPr="004C6457">
        <w:rPr>
          <w:rFonts w:cs="Times New Roman"/>
          <w:i/>
          <w:iCs/>
          <w:lang w:val="fr-CA"/>
        </w:rPr>
        <w:t>c</w:t>
      </w:r>
      <w:r w:rsidRPr="004C6457">
        <w:rPr>
          <w:rFonts w:cs="Times New Roman"/>
          <w:lang w:val="fr-CA"/>
        </w:rPr>
        <w:t>)).</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Les </w:t>
      </w:r>
      <w:r w:rsidRPr="004C6457">
        <w:rPr>
          <w:rFonts w:cs="Times New Roman"/>
          <w:i/>
          <w:lang w:val="fr-CA"/>
        </w:rPr>
        <w:t>Règles de procédure civile</w:t>
      </w:r>
      <w:r w:rsidRPr="004C6457">
        <w:rPr>
          <w:rFonts w:cs="Times New Roman"/>
          <w:lang w:val="fr-CA"/>
        </w:rPr>
        <w:t xml:space="preserve"> de l’Ontario énoncent sans doute le plus succinctement et complètement l’obligation de l’expert envers le tribunal, en l’occurrence celle de rendre un témoignage d’opinion qui soit équitable, objectif et impartial (</w:t>
      </w:r>
      <w:r w:rsidR="006B5771">
        <w:rPr>
          <w:rFonts w:cs="Times New Roman"/>
          <w:lang w:val="fr-CA"/>
        </w:rPr>
        <w:t>al</w:t>
      </w:r>
      <w:r w:rsidRPr="004C6457">
        <w:rPr>
          <w:rFonts w:cs="Times New Roman"/>
          <w:lang w:val="fr-CA"/>
        </w:rPr>
        <w:t>.</w:t>
      </w:r>
      <w:r>
        <w:rPr>
          <w:rFonts w:cs="Times New Roman"/>
          <w:lang w:val="fr-CA"/>
        </w:rPr>
        <w:t xml:space="preserve"> </w:t>
      </w:r>
      <w:r w:rsidRPr="004C6457">
        <w:rPr>
          <w:rFonts w:cs="Times New Roman"/>
          <w:lang w:val="fr-CA"/>
        </w:rPr>
        <w:t>4.1.01(1</w:t>
      </w:r>
      <w:proofErr w:type="gramStart"/>
      <w:r w:rsidRPr="004C6457">
        <w:rPr>
          <w:rFonts w:cs="Times New Roman"/>
          <w:lang w:val="fr-CA"/>
        </w:rPr>
        <w:t>)a</w:t>
      </w:r>
      <w:proofErr w:type="gramEnd"/>
      <w:r w:rsidRPr="004C6457">
        <w:rPr>
          <w:rFonts w:cs="Times New Roman"/>
          <w:lang w:val="fr-CA"/>
        </w:rPr>
        <w:t xml:space="preserve">)). Les </w:t>
      </w:r>
      <w:r w:rsidRPr="004C6457">
        <w:rPr>
          <w:rFonts w:cs="Times New Roman"/>
          <w:i/>
          <w:lang w:val="fr-CA"/>
        </w:rPr>
        <w:t>Règles</w:t>
      </w:r>
      <w:r w:rsidRPr="004C6457">
        <w:rPr>
          <w:rFonts w:cs="Times New Roman"/>
          <w:lang w:val="fr-CA"/>
        </w:rPr>
        <w:t xml:space="preserve"> prévoient également expressément que cette obligation l’emporte sur toute obligation de l’expert envers la partie qui l’a engagé (par.</w:t>
      </w:r>
      <w:r>
        <w:rPr>
          <w:rFonts w:cs="Times New Roman"/>
          <w:lang w:val="fr-CA"/>
        </w:rPr>
        <w:t xml:space="preserve"> </w:t>
      </w:r>
      <w:r w:rsidRPr="004C6457">
        <w:rPr>
          <w:rFonts w:cs="Times New Roman"/>
          <w:lang w:val="fr-CA"/>
        </w:rPr>
        <w:t xml:space="preserve">4.1.01(2)). De même, la </w:t>
      </w:r>
      <w:r w:rsidRPr="004C6457">
        <w:rPr>
          <w:rFonts w:cs="Times New Roman"/>
          <w:i/>
          <w:lang w:val="fr-CA"/>
        </w:rPr>
        <w:t>Loi instituant le nouveau</w:t>
      </w:r>
      <w:r w:rsidRPr="004C6457">
        <w:rPr>
          <w:rFonts w:cs="Times New Roman"/>
          <w:lang w:val="fr-CA"/>
        </w:rPr>
        <w:t xml:space="preserve"> </w:t>
      </w:r>
      <w:r w:rsidRPr="004C6457">
        <w:rPr>
          <w:rFonts w:cs="Times New Roman"/>
          <w:i/>
          <w:iCs/>
          <w:lang w:val="fr-CA"/>
        </w:rPr>
        <w:t xml:space="preserve">Code de procédure civile </w:t>
      </w:r>
      <w:r w:rsidRPr="004C6457">
        <w:rPr>
          <w:rFonts w:cs="Times New Roman"/>
          <w:iCs/>
          <w:lang w:val="fr-CA"/>
        </w:rPr>
        <w:t xml:space="preserve">du Québec </w:t>
      </w:r>
      <w:r w:rsidRPr="004C6457">
        <w:rPr>
          <w:rFonts w:cs="Times New Roman"/>
          <w:lang w:val="fr-CA"/>
        </w:rPr>
        <w:t xml:space="preserve">prévoit expressément, parmi ses principes directeurs, que la mission première de l’expert envers le tribunal prime les intérêts des parties et qu’il doit l’accomplir </w:t>
      </w:r>
      <w:r>
        <w:rPr>
          <w:rFonts w:cs="Times New Roman"/>
          <w:lang w:val="fr-CA"/>
        </w:rPr>
        <w:t>« </w:t>
      </w:r>
      <w:r w:rsidRPr="004C6457">
        <w:rPr>
          <w:rFonts w:cs="Times New Roman"/>
          <w:lang w:val="fr-CA"/>
        </w:rPr>
        <w:t>avec objectivité, impartialité et rigueur</w:t>
      </w:r>
      <w:r>
        <w:rPr>
          <w:rFonts w:cs="Times New Roman"/>
          <w:lang w:val="fr-CA"/>
        </w:rPr>
        <w:t> »</w:t>
      </w:r>
      <w:r w:rsidRPr="004C6457">
        <w:rPr>
          <w:rFonts w:cs="Times New Roman"/>
          <w:lang w:val="fr-CA"/>
        </w:rPr>
        <w:t xml:space="preserve"> (art.</w:t>
      </w:r>
      <w:r>
        <w:rPr>
          <w:rFonts w:cs="Times New Roman"/>
          <w:lang w:val="fr-CA"/>
        </w:rPr>
        <w:t xml:space="preserve"> </w:t>
      </w:r>
      <w:r w:rsidRPr="004C6457">
        <w:rPr>
          <w:rFonts w:cs="Times New Roman"/>
          <w:lang w:val="fr-CA"/>
        </w:rPr>
        <w:t>22; Chamberland, p.</w:t>
      </w:r>
      <w:r>
        <w:rPr>
          <w:rFonts w:cs="Times New Roman"/>
          <w:lang w:val="fr-CA"/>
        </w:rPr>
        <w:t xml:space="preserve"> </w:t>
      </w:r>
      <w:r w:rsidRPr="004C6457">
        <w:rPr>
          <w:rFonts w:cs="Times New Roman"/>
          <w:lang w:val="fr-CA"/>
        </w:rPr>
        <w:t xml:space="preserve">14 et 121).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Bon nombre de règles de procédure ne font que reprendre l’obligation à laquelle le témoin expert est tenu envers le tribunal en </w:t>
      </w:r>
      <w:proofErr w:type="spellStart"/>
      <w:r w:rsidRPr="004C6457">
        <w:rPr>
          <w:rFonts w:cs="Times New Roman"/>
          <w:iCs/>
          <w:lang w:val="fr-CA"/>
        </w:rPr>
        <w:t>common</w:t>
      </w:r>
      <w:proofErr w:type="spellEnd"/>
      <w:r w:rsidRPr="004C6457">
        <w:rPr>
          <w:rFonts w:cs="Times New Roman"/>
          <w:iCs/>
          <w:lang w:val="fr-CA"/>
        </w:rPr>
        <w:t xml:space="preserve"> </w:t>
      </w:r>
      <w:proofErr w:type="spellStart"/>
      <w:r w:rsidRPr="004C6457">
        <w:rPr>
          <w:rFonts w:cs="Times New Roman"/>
          <w:iCs/>
          <w:lang w:val="fr-CA"/>
        </w:rPr>
        <w:t>law</w:t>
      </w:r>
      <w:proofErr w:type="spellEnd"/>
      <w:r w:rsidRPr="004C6457">
        <w:rPr>
          <w:rFonts w:cs="Times New Roman"/>
          <w:lang w:val="fr-CA"/>
        </w:rPr>
        <w:t xml:space="preserve"> (Anderson, p.</w:t>
      </w:r>
      <w:r>
        <w:rPr>
          <w:rFonts w:cs="Times New Roman"/>
          <w:lang w:val="fr-CA"/>
        </w:rPr>
        <w:t xml:space="preserve"> </w:t>
      </w:r>
      <w:r w:rsidRPr="004C6457">
        <w:rPr>
          <w:rFonts w:cs="Times New Roman"/>
          <w:lang w:val="fr-CA"/>
        </w:rPr>
        <w:t xml:space="preserve">227). À mon avis, c’est le cas des </w:t>
      </w:r>
      <w:r w:rsidRPr="004C6457">
        <w:rPr>
          <w:rFonts w:cs="Times New Roman"/>
          <w:i/>
          <w:lang w:val="fr-CA"/>
        </w:rPr>
        <w:t>Règles</w:t>
      </w:r>
      <w:r w:rsidRPr="004C6457">
        <w:rPr>
          <w:rFonts w:cs="Times New Roman"/>
          <w:lang w:val="fr-CA"/>
        </w:rPr>
        <w:t xml:space="preserve"> de la Nouvelle</w:t>
      </w:r>
      <w:r>
        <w:rPr>
          <w:rFonts w:cs="Times New Roman"/>
          <w:lang w:val="fr-CA"/>
        </w:rPr>
        <w:t>-</w:t>
      </w:r>
      <w:r w:rsidRPr="004C6457">
        <w:rPr>
          <w:rFonts w:cs="Times New Roman"/>
          <w:lang w:val="fr-CA"/>
        </w:rPr>
        <w:t xml:space="preserve">Écosse en la matière. Bien </w:t>
      </w:r>
      <w:r w:rsidRPr="004C6457">
        <w:rPr>
          <w:rFonts w:cs="Times New Roman"/>
          <w:lang w:val="fr-CA"/>
        </w:rPr>
        <w:lastRenderedPageBreak/>
        <w:t xml:space="preserve">sûr, il est loisible à chaque province ou territoire d’établir des règles d’admissibilité différentes, mais à défaut d’indication claire en ce sens, ce sont les règles de la </w:t>
      </w:r>
      <w:proofErr w:type="spellStart"/>
      <w:r w:rsidRPr="004C6457">
        <w:rPr>
          <w:rFonts w:cs="Times New Roman"/>
          <w:iCs/>
          <w:lang w:val="fr-CA"/>
        </w:rPr>
        <w:t>common</w:t>
      </w:r>
      <w:proofErr w:type="spellEnd"/>
      <w:r w:rsidRPr="004C6457">
        <w:rPr>
          <w:rFonts w:cs="Times New Roman"/>
          <w:iCs/>
          <w:lang w:val="fr-CA"/>
        </w:rPr>
        <w:t xml:space="preserve"> </w:t>
      </w:r>
      <w:proofErr w:type="spellStart"/>
      <w:r w:rsidRPr="004C6457">
        <w:rPr>
          <w:rFonts w:cs="Times New Roman"/>
          <w:iCs/>
          <w:lang w:val="fr-CA"/>
        </w:rPr>
        <w:t>law</w:t>
      </w:r>
      <w:proofErr w:type="spellEnd"/>
      <w:r w:rsidRPr="004C6457">
        <w:rPr>
          <w:rFonts w:cs="Times New Roman"/>
          <w:lang w:val="fr-CA"/>
        </w:rPr>
        <w:t xml:space="preserve"> qui s’appliquent dans les affaires de </w:t>
      </w:r>
      <w:proofErr w:type="spellStart"/>
      <w:r w:rsidRPr="004C6457">
        <w:rPr>
          <w:rFonts w:cs="Times New Roman"/>
          <w:iCs/>
          <w:lang w:val="fr-CA"/>
        </w:rPr>
        <w:t>common</w:t>
      </w:r>
      <w:proofErr w:type="spellEnd"/>
      <w:r w:rsidRPr="004C6457">
        <w:rPr>
          <w:rFonts w:cs="Times New Roman"/>
          <w:iCs/>
          <w:lang w:val="fr-CA"/>
        </w:rPr>
        <w:t xml:space="preserve"> </w:t>
      </w:r>
      <w:proofErr w:type="spellStart"/>
      <w:r w:rsidRPr="004C6457">
        <w:rPr>
          <w:rFonts w:cs="Times New Roman"/>
          <w:iCs/>
          <w:lang w:val="fr-CA"/>
        </w:rPr>
        <w:t>law</w:t>
      </w:r>
      <w:proofErr w:type="spellEnd"/>
      <w:r w:rsidRPr="004C6457">
        <w:rPr>
          <w:rFonts w:cs="Times New Roman"/>
          <w:lang w:val="fr-CA"/>
        </w:rPr>
        <w:t>. Je souligne qu’en Nouvelle</w:t>
      </w:r>
      <w:r>
        <w:rPr>
          <w:rFonts w:cs="Times New Roman"/>
          <w:lang w:val="fr-CA"/>
        </w:rPr>
        <w:t>-</w:t>
      </w:r>
      <w:r w:rsidRPr="004C6457">
        <w:rPr>
          <w:rFonts w:cs="Times New Roman"/>
          <w:lang w:val="fr-CA"/>
        </w:rPr>
        <w:t xml:space="preserve">Écosse, les </w:t>
      </w:r>
      <w:r w:rsidRPr="004C6457">
        <w:rPr>
          <w:rFonts w:cs="Times New Roman"/>
          <w:i/>
          <w:lang w:val="fr-CA"/>
        </w:rPr>
        <w:t>Règles de procédure civile</w:t>
      </w:r>
      <w:r w:rsidRPr="004C6457">
        <w:rPr>
          <w:rFonts w:cs="Times New Roman"/>
          <w:lang w:val="fr-CA"/>
        </w:rPr>
        <w:t xml:space="preserve"> disposent expressément qu’elles n’ont aucune incidence sur les règles de preuve servant à déterminer si l’opinion d’expert est admissible (par.</w:t>
      </w:r>
      <w:r>
        <w:rPr>
          <w:rFonts w:cs="Times New Roman"/>
          <w:lang w:val="fr-CA"/>
        </w:rPr>
        <w:t xml:space="preserve"> </w:t>
      </w:r>
      <w:r w:rsidRPr="004C6457">
        <w:rPr>
          <w:rFonts w:cs="Times New Roman"/>
          <w:lang w:val="fr-CA"/>
        </w:rPr>
        <w:t>55.01(2)).</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Trois concepts apparentés sont à la base des diverses définitions de l’obligation de l’expert, à savoir l’impartialité, l’indépendance et l’absence de parti pris. L’opinion de l’expert doit être impartiale, en ce sens qu’elle découle d’un examen objectif des questions à trancher. Elle doit être indépendante, c’est</w:t>
      </w:r>
      <w:r>
        <w:rPr>
          <w:rFonts w:cs="Times New Roman"/>
          <w:lang w:val="fr-CA"/>
        </w:rPr>
        <w:t>-</w:t>
      </w:r>
      <w:r w:rsidRPr="004C6457">
        <w:rPr>
          <w:rFonts w:cs="Times New Roman"/>
          <w:lang w:val="fr-CA"/>
        </w:rPr>
        <w:t>à</w:t>
      </w:r>
      <w:r>
        <w:rPr>
          <w:rFonts w:cs="Times New Roman"/>
          <w:lang w:val="fr-CA"/>
        </w:rPr>
        <w:t>-</w:t>
      </w:r>
      <w:r w:rsidRPr="004C6457">
        <w:rPr>
          <w:rFonts w:cs="Times New Roman"/>
          <w:lang w:val="fr-CA"/>
        </w:rPr>
        <w:t>dire qu’elle doit être le fruit du jugement indépendant de l’expert, non influencée par la partie pour qui il témoigne ou l’issue du litige. Elle doit être exempte de parti pris, en ce sens qu’elle ne doit pas favoriser injustement la position d’une partie au détriment de celle de l’autre. Le critère décisif est que l’opinion de l’expert ne changerait pas, peu importe la partie qui aurait retenu ses services (P.</w:t>
      </w:r>
      <w:r>
        <w:rPr>
          <w:rFonts w:cs="Times New Roman"/>
          <w:lang w:val="fr-CA"/>
        </w:rPr>
        <w:t xml:space="preserve"> </w:t>
      </w:r>
      <w:proofErr w:type="spellStart"/>
      <w:r w:rsidRPr="004C6457">
        <w:rPr>
          <w:rFonts w:cs="Times New Roman"/>
          <w:lang w:val="fr-CA"/>
        </w:rPr>
        <w:t>Michell</w:t>
      </w:r>
      <w:proofErr w:type="spellEnd"/>
      <w:r w:rsidRPr="004C6457">
        <w:rPr>
          <w:rFonts w:cs="Times New Roman"/>
          <w:lang w:val="fr-CA"/>
        </w:rPr>
        <w:t xml:space="preserve"> et R.</w:t>
      </w:r>
      <w:r>
        <w:rPr>
          <w:rFonts w:cs="Times New Roman"/>
          <w:lang w:val="fr-CA"/>
        </w:rPr>
        <w:t xml:space="preserve"> </w:t>
      </w:r>
      <w:proofErr w:type="spellStart"/>
      <w:r w:rsidRPr="004C6457">
        <w:rPr>
          <w:rFonts w:cs="Times New Roman"/>
          <w:lang w:val="fr-CA"/>
        </w:rPr>
        <w:t>Mandhane</w:t>
      </w:r>
      <w:proofErr w:type="spellEnd"/>
      <w:r w:rsidRPr="004C6457">
        <w:rPr>
          <w:rFonts w:cs="Times New Roman"/>
          <w:lang w:val="fr-CA"/>
        </w:rPr>
        <w:t xml:space="preserve">, </w:t>
      </w:r>
      <w:r>
        <w:rPr>
          <w:rFonts w:cs="Times New Roman"/>
          <w:lang w:val="fr-CA"/>
        </w:rPr>
        <w:t>« </w:t>
      </w:r>
      <w:r w:rsidRPr="004C6457">
        <w:rPr>
          <w:rFonts w:cs="Times New Roman"/>
          <w:lang w:val="fr-CA"/>
        </w:rPr>
        <w:t xml:space="preserve">The </w:t>
      </w:r>
      <w:proofErr w:type="spellStart"/>
      <w:r w:rsidRPr="004C6457">
        <w:rPr>
          <w:rFonts w:cs="Times New Roman"/>
          <w:lang w:val="fr-CA"/>
        </w:rPr>
        <w:t>Uncertain</w:t>
      </w:r>
      <w:proofErr w:type="spellEnd"/>
      <w:r w:rsidRPr="004C6457">
        <w:rPr>
          <w:rFonts w:cs="Times New Roman"/>
          <w:lang w:val="fr-CA"/>
        </w:rPr>
        <w:t xml:space="preserve"> </w:t>
      </w:r>
      <w:proofErr w:type="spellStart"/>
      <w:r w:rsidRPr="004C6457">
        <w:rPr>
          <w:rFonts w:cs="Times New Roman"/>
          <w:lang w:val="fr-CA"/>
        </w:rPr>
        <w:t>Duty</w:t>
      </w:r>
      <w:proofErr w:type="spellEnd"/>
      <w:r w:rsidRPr="004C6457">
        <w:rPr>
          <w:rFonts w:cs="Times New Roman"/>
          <w:lang w:val="fr-CA"/>
        </w:rPr>
        <w:t xml:space="preserve"> of the Expert </w:t>
      </w:r>
      <w:proofErr w:type="spellStart"/>
      <w:r w:rsidRPr="004C6457">
        <w:rPr>
          <w:rFonts w:cs="Times New Roman"/>
          <w:lang w:val="fr-CA"/>
        </w:rPr>
        <w:t>Witness</w:t>
      </w:r>
      <w:proofErr w:type="spellEnd"/>
      <w:r>
        <w:rPr>
          <w:rFonts w:cs="Times New Roman"/>
          <w:lang w:val="fr-CA"/>
        </w:rPr>
        <w:t> »</w:t>
      </w:r>
      <w:r w:rsidRPr="004C6457">
        <w:rPr>
          <w:rFonts w:cs="Times New Roman"/>
          <w:lang w:val="fr-CA"/>
        </w:rPr>
        <w:t xml:space="preserve"> (2005)</w:t>
      </w:r>
      <w:r w:rsidR="008D325D">
        <w:rPr>
          <w:rFonts w:cs="Times New Roman"/>
          <w:lang w:val="fr-CA"/>
        </w:rPr>
        <w:t>,</w:t>
      </w:r>
      <w:r w:rsidRPr="004C6457">
        <w:rPr>
          <w:rFonts w:cs="Times New Roman"/>
          <w:lang w:val="fr-CA"/>
        </w:rPr>
        <w:t xml:space="preserve"> 42 </w:t>
      </w:r>
      <w:r w:rsidRPr="004C6457">
        <w:rPr>
          <w:rFonts w:cs="Times New Roman"/>
          <w:i/>
          <w:lang w:val="fr-CA"/>
        </w:rPr>
        <w:t xml:space="preserve">Alta. L. </w:t>
      </w:r>
      <w:proofErr w:type="spellStart"/>
      <w:r w:rsidRPr="004C6457">
        <w:rPr>
          <w:rFonts w:cs="Times New Roman"/>
          <w:i/>
          <w:lang w:val="fr-CA"/>
        </w:rPr>
        <w:t>Rev</w:t>
      </w:r>
      <w:proofErr w:type="spellEnd"/>
      <w:r w:rsidRPr="004C6457">
        <w:rPr>
          <w:rFonts w:cs="Times New Roman"/>
          <w:lang w:val="fr-CA"/>
        </w:rPr>
        <w:t>. 635, p.</w:t>
      </w:r>
      <w:r>
        <w:rPr>
          <w:rFonts w:cs="Times New Roman"/>
          <w:lang w:val="fr-CA"/>
        </w:rPr>
        <w:t xml:space="preserve"> </w:t>
      </w:r>
      <w:r w:rsidRPr="004C6457">
        <w:rPr>
          <w:rFonts w:cs="Times New Roman"/>
          <w:lang w:val="fr-CA"/>
        </w:rPr>
        <w:t>638</w:t>
      </w:r>
      <w:r>
        <w:rPr>
          <w:rFonts w:cs="Times New Roman"/>
          <w:lang w:val="fr-CA"/>
        </w:rPr>
        <w:t>-</w:t>
      </w:r>
      <w:r w:rsidRPr="004C6457">
        <w:rPr>
          <w:rFonts w:cs="Times New Roman"/>
          <w:lang w:val="fr-CA"/>
        </w:rPr>
        <w:t>639). Ces concepts, il va sans dire, doivent être appliqués aux réalités du débat contradictoire. Les experts sont généralement engagés, mandatés et payés par l’un des adversaires. Ces faits, à eux seuls, ne compromettent pas l’indépendance, l’impartialité ni l’absence de parti pris de l’expert.</w:t>
      </w:r>
    </w:p>
    <w:p w:rsidR="001F4CC4" w:rsidRPr="004C6457" w:rsidRDefault="001F4CC4" w:rsidP="001F4CC4">
      <w:pPr>
        <w:pStyle w:val="Title2LevelTitre2Niveau"/>
        <w:widowControl w:val="0"/>
        <w:numPr>
          <w:ilvl w:val="1"/>
          <w:numId w:val="23"/>
        </w:numPr>
        <w:ind w:left="578" w:hanging="578"/>
        <w:rPr>
          <w:rFonts w:cs="Times New Roman"/>
          <w:lang w:val="fr-CA"/>
        </w:rPr>
      </w:pPr>
      <w:r w:rsidRPr="004C6457">
        <w:rPr>
          <w:rFonts w:cs="Times New Roman"/>
          <w:lang w:val="fr-CA"/>
        </w:rPr>
        <w:t>Les obligations de l’expert et l’admissibilité de son témoignage</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lastRenderedPageBreak/>
        <w:t>Comme nous l’avons vu, il existe un large consensus quant à la nature de l’obligation de l’expert envers le tribunal. Il n’en va toutefois pas de même du rapport entre cette obligation et l’admissibilité du témoignage de l’expert. Deux questions importantes se posent</w:t>
      </w:r>
      <w:r>
        <w:rPr>
          <w:rFonts w:cs="Times New Roman"/>
          <w:lang w:val="fr-CA"/>
        </w:rPr>
        <w:t> :</w:t>
      </w:r>
      <w:r w:rsidRPr="004C6457">
        <w:rPr>
          <w:rFonts w:cs="Times New Roman"/>
          <w:lang w:val="fr-CA"/>
        </w:rPr>
        <w:t xml:space="preserve"> les éléments de l’obligation de l’expert jouent</w:t>
      </w:r>
      <w:r>
        <w:rPr>
          <w:rFonts w:cs="Times New Roman"/>
          <w:lang w:val="fr-CA"/>
        </w:rPr>
        <w:t>-</w:t>
      </w:r>
      <w:r w:rsidRPr="004C6457">
        <w:rPr>
          <w:rFonts w:cs="Times New Roman"/>
          <w:lang w:val="fr-CA"/>
        </w:rPr>
        <w:t>ils au regard de l’admissibilité du témoignage plutôt que simplement de la valeur probante de celui</w:t>
      </w:r>
      <w:r>
        <w:rPr>
          <w:rFonts w:cs="Times New Roman"/>
          <w:lang w:val="fr-CA"/>
        </w:rPr>
        <w:t>-</w:t>
      </w:r>
      <w:r w:rsidRPr="004C6457">
        <w:rPr>
          <w:rFonts w:cs="Times New Roman"/>
          <w:lang w:val="fr-CA"/>
        </w:rPr>
        <w:t>ci et, dans l’affirmative, l’indépendance et l’impartialité constituent</w:t>
      </w:r>
      <w:r>
        <w:rPr>
          <w:rFonts w:cs="Times New Roman"/>
          <w:lang w:val="fr-CA"/>
        </w:rPr>
        <w:t>-</w:t>
      </w:r>
      <w:r w:rsidRPr="004C6457">
        <w:rPr>
          <w:rFonts w:cs="Times New Roman"/>
          <w:lang w:val="fr-CA"/>
        </w:rPr>
        <w:t>elles un critère d’admissibilité?</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Dans la présente section, j’explique pourquoi je réponds par l’affirmative à ces deux questions</w:t>
      </w:r>
      <w:r>
        <w:rPr>
          <w:rFonts w:cs="Times New Roman"/>
          <w:lang w:val="fr-CA"/>
        </w:rPr>
        <w:t> :</w:t>
      </w:r>
      <w:r w:rsidRPr="004C6457">
        <w:rPr>
          <w:rFonts w:cs="Times New Roman"/>
          <w:lang w:val="fr-CA"/>
        </w:rPr>
        <w:t xml:space="preserve"> l’indépendance et l’impartialité de l’expert proposé jouent au regard de l’admissibilité de son témoignage plutôt que simplement de la valeur probante de celui</w:t>
      </w:r>
      <w:r>
        <w:rPr>
          <w:rFonts w:cs="Times New Roman"/>
          <w:lang w:val="fr-CA"/>
        </w:rPr>
        <w:t>-</w:t>
      </w:r>
      <w:r w:rsidRPr="004C6457">
        <w:rPr>
          <w:rFonts w:cs="Times New Roman"/>
          <w:lang w:val="fr-CA"/>
        </w:rPr>
        <w:t>ci, et l’obligation de l’expert constitue un critère d’admissibilité. Une fois qu’il est satisfait à ce critère, toute réserve qui demeure quant à savoir si l’expert s’est conformé à son obligation devrait être examinée dans le cadre de l’analyse coût</w:t>
      </w:r>
      <w:r>
        <w:rPr>
          <w:rFonts w:cs="Times New Roman"/>
          <w:lang w:val="fr-CA"/>
        </w:rPr>
        <w:t>-</w:t>
      </w:r>
      <w:r w:rsidRPr="004C6457">
        <w:rPr>
          <w:rFonts w:cs="Times New Roman"/>
          <w:lang w:val="fr-CA"/>
        </w:rPr>
        <w:t>bénéfices qu’effectue le juge dans l’exercice de son rôle de gardien.</w:t>
      </w:r>
    </w:p>
    <w:p w:rsidR="001F4CC4" w:rsidRPr="004C6457" w:rsidRDefault="001F4CC4" w:rsidP="001F4CC4">
      <w:pPr>
        <w:pStyle w:val="Title3LevelTitre3Niveau"/>
        <w:widowControl w:val="0"/>
        <w:numPr>
          <w:ilvl w:val="2"/>
          <w:numId w:val="23"/>
        </w:numPr>
        <w:rPr>
          <w:rFonts w:cs="Times New Roman"/>
          <w:lang w:val="fr-CA"/>
        </w:rPr>
      </w:pPr>
      <w:r w:rsidRPr="004C6457">
        <w:rPr>
          <w:rFonts w:cs="Times New Roman"/>
          <w:lang w:val="fr-CA"/>
        </w:rPr>
        <w:t>Admissibilité ou valeur probante?</w:t>
      </w:r>
    </w:p>
    <w:p w:rsidR="001F4CC4" w:rsidRPr="004C6457" w:rsidRDefault="008D325D" w:rsidP="008D325D">
      <w:pPr>
        <w:pStyle w:val="Title4LevelTitre4Niveau"/>
        <w:widowControl w:val="0"/>
        <w:numPr>
          <w:ilvl w:val="0"/>
          <w:numId w:val="0"/>
        </w:numPr>
        <w:tabs>
          <w:tab w:val="left" w:pos="1170"/>
        </w:tabs>
        <w:ind w:left="630"/>
        <w:rPr>
          <w:rFonts w:cs="Times New Roman"/>
          <w:lang w:val="fr-CA"/>
        </w:rPr>
      </w:pPr>
      <w:r w:rsidRPr="008D325D">
        <w:rPr>
          <w:rFonts w:cs="Times New Roman"/>
          <w:i w:val="0"/>
          <w:lang w:val="fr-CA"/>
        </w:rPr>
        <w:t>a)</w:t>
      </w:r>
      <w:r>
        <w:rPr>
          <w:rFonts w:cs="Times New Roman"/>
          <w:lang w:val="fr-CA"/>
        </w:rPr>
        <w:tab/>
      </w:r>
      <w:r w:rsidR="001F4CC4" w:rsidRPr="004C6457">
        <w:rPr>
          <w:rFonts w:cs="Times New Roman"/>
          <w:lang w:val="fr-CA"/>
        </w:rPr>
        <w:t xml:space="preserve">Le </w:t>
      </w:r>
      <w:r w:rsidR="001F4CC4" w:rsidRPr="004C6457">
        <w:rPr>
          <w:rFonts w:cs="Times New Roman"/>
        </w:rPr>
        <w:t>droit</w:t>
      </w:r>
      <w:r w:rsidR="001F4CC4" w:rsidRPr="004C6457">
        <w:rPr>
          <w:rFonts w:cs="Times New Roman"/>
          <w:lang w:val="fr-CA"/>
        </w:rPr>
        <w:t xml:space="preserve"> canadien</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La jurisprudence dominante appuie solidement la conclusion qu’il convient, à un certain point, de juger inadmissible le témoignage de l’expert qui fait preuve d’un manque d’indépendance ou d’impartialité.</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lastRenderedPageBreak/>
        <w:t>La Cour vient de confirmer cette position dans un arrêt dont ne disposaient pas les juridictions inférieures</w:t>
      </w:r>
      <w:r>
        <w:rPr>
          <w:rFonts w:cs="Times New Roman"/>
          <w:lang w:val="fr-CA"/>
        </w:rPr>
        <w:t> :</w:t>
      </w:r>
      <w:r w:rsidRPr="004C6457">
        <w:rPr>
          <w:rFonts w:cs="Times New Roman"/>
          <w:lang w:val="fr-CA"/>
        </w:rPr>
        <w:t xml:space="preserve"> </w:t>
      </w:r>
    </w:p>
    <w:p w:rsidR="001F4CC4" w:rsidRPr="004C6457" w:rsidRDefault="001F4CC4" w:rsidP="008D325D">
      <w:pPr>
        <w:pStyle w:val="Citation-AltC"/>
        <w:widowControl w:val="0"/>
        <w:spacing w:after="480"/>
        <w:ind w:hanging="1166"/>
        <w:contextualSpacing w:val="0"/>
        <w:rPr>
          <w:lang w:val="fr-FR"/>
        </w:rPr>
      </w:pPr>
      <w:r w:rsidRPr="004C6457">
        <w:rPr>
          <w:lang w:val="fr-FR"/>
        </w:rPr>
        <w:tab/>
        <w:t>Il est acquis que l’expert doit fournir une opinion indépendante, impartiale et objective, en vue d’aider le décideur (J.</w:t>
      </w:r>
      <w:r>
        <w:rPr>
          <w:lang w:val="fr-FR"/>
        </w:rPr>
        <w:t>-</w:t>
      </w:r>
      <w:r w:rsidRPr="004C6457">
        <w:rPr>
          <w:lang w:val="fr-FR"/>
        </w:rPr>
        <w:t>C.</w:t>
      </w:r>
      <w:r>
        <w:rPr>
          <w:lang w:val="fr-FR"/>
        </w:rPr>
        <w:t xml:space="preserve"> </w:t>
      </w:r>
      <w:r w:rsidRPr="004C6457">
        <w:rPr>
          <w:lang w:val="fr-FR"/>
        </w:rPr>
        <w:t>Royer et S.</w:t>
      </w:r>
      <w:r>
        <w:rPr>
          <w:lang w:val="fr-FR"/>
        </w:rPr>
        <w:t xml:space="preserve"> </w:t>
      </w:r>
      <w:proofErr w:type="spellStart"/>
      <w:r w:rsidRPr="004C6457">
        <w:rPr>
          <w:lang w:val="fr-FR"/>
        </w:rPr>
        <w:t>Lavallée</w:t>
      </w:r>
      <w:proofErr w:type="spellEnd"/>
      <w:r w:rsidRPr="004C6457">
        <w:rPr>
          <w:lang w:val="fr-FR"/>
        </w:rPr>
        <w:t xml:space="preserve">, </w:t>
      </w:r>
      <w:r w:rsidRPr="004C6457">
        <w:rPr>
          <w:i/>
          <w:iCs/>
          <w:lang w:val="fr-FR"/>
        </w:rPr>
        <w:t>La preuve civile</w:t>
      </w:r>
      <w:r w:rsidRPr="004C6457">
        <w:rPr>
          <w:lang w:val="fr-FR"/>
        </w:rPr>
        <w:t xml:space="preserve"> (4</w:t>
      </w:r>
      <w:r w:rsidRPr="004C6457">
        <w:rPr>
          <w:vertAlign w:val="superscript"/>
          <w:lang w:val="fr-FR"/>
        </w:rPr>
        <w:t xml:space="preserve">e </w:t>
      </w:r>
      <w:r w:rsidRPr="004C6457">
        <w:rPr>
          <w:lang w:val="fr-FR"/>
        </w:rPr>
        <w:t>éd. 2008), n</w:t>
      </w:r>
      <w:r w:rsidRPr="004C6457">
        <w:rPr>
          <w:vertAlign w:val="superscript"/>
          <w:lang w:val="fr-FR"/>
        </w:rPr>
        <w:t>o</w:t>
      </w:r>
      <w:r w:rsidRPr="004C6457">
        <w:rPr>
          <w:lang w:val="fr-FR"/>
        </w:rPr>
        <w:t xml:space="preserve"> 468; D. </w:t>
      </w:r>
      <w:proofErr w:type="spellStart"/>
      <w:r w:rsidRPr="004C6457">
        <w:rPr>
          <w:lang w:val="fr-FR"/>
        </w:rPr>
        <w:t>Béchard</w:t>
      </w:r>
      <w:proofErr w:type="spellEnd"/>
      <w:r w:rsidRPr="004C6457">
        <w:rPr>
          <w:lang w:val="fr-FR"/>
        </w:rPr>
        <w:t>, avec la collaboration de J.</w:t>
      </w:r>
      <w:r>
        <w:rPr>
          <w:lang w:val="fr-FR"/>
        </w:rPr>
        <w:t xml:space="preserve"> </w:t>
      </w:r>
      <w:proofErr w:type="spellStart"/>
      <w:r w:rsidRPr="004C6457">
        <w:rPr>
          <w:lang w:val="fr-FR"/>
        </w:rPr>
        <w:t>Béchard</w:t>
      </w:r>
      <w:proofErr w:type="spellEnd"/>
      <w:r w:rsidRPr="004C6457">
        <w:rPr>
          <w:lang w:val="fr-FR"/>
        </w:rPr>
        <w:t xml:space="preserve">, </w:t>
      </w:r>
      <w:r w:rsidR="00CE2490">
        <w:rPr>
          <w:i/>
          <w:iCs/>
          <w:lang w:val="fr-FR"/>
        </w:rPr>
        <w:t>L’e</w:t>
      </w:r>
      <w:r w:rsidRPr="004C6457">
        <w:rPr>
          <w:i/>
          <w:iCs/>
          <w:lang w:val="fr-FR"/>
        </w:rPr>
        <w:t>xpert</w:t>
      </w:r>
      <w:r w:rsidRPr="004C6457">
        <w:rPr>
          <w:lang w:val="fr-FR"/>
        </w:rPr>
        <w:t xml:space="preserve"> (2011), chap.</w:t>
      </w:r>
      <w:r>
        <w:rPr>
          <w:lang w:val="fr-FR"/>
        </w:rPr>
        <w:t xml:space="preserve"> </w:t>
      </w:r>
      <w:r w:rsidRPr="004C6457">
        <w:rPr>
          <w:lang w:val="fr-FR"/>
        </w:rPr>
        <w:t>9;</w:t>
      </w:r>
      <w:r w:rsidRPr="004C6457">
        <w:rPr>
          <w:i/>
          <w:iCs/>
          <w:lang w:val="fr-FR"/>
        </w:rPr>
        <w:t xml:space="preserve"> Loi instituant le nouveau Code de procédure civile</w:t>
      </w:r>
      <w:r w:rsidRPr="004C6457">
        <w:rPr>
          <w:lang w:val="fr-FR"/>
        </w:rPr>
        <w:t>, L.Q. 2014, c.</w:t>
      </w:r>
      <w:r>
        <w:rPr>
          <w:lang w:val="fr-FR"/>
        </w:rPr>
        <w:t xml:space="preserve"> </w:t>
      </w:r>
      <w:r w:rsidRPr="004C6457">
        <w:rPr>
          <w:lang w:val="fr-FR"/>
        </w:rPr>
        <w:t>1, art.</w:t>
      </w:r>
      <w:r>
        <w:rPr>
          <w:lang w:val="fr-FR"/>
        </w:rPr>
        <w:t xml:space="preserve"> </w:t>
      </w:r>
      <w:r w:rsidRPr="004C6457">
        <w:rPr>
          <w:lang w:val="fr-FR"/>
        </w:rPr>
        <w:t>22 (non</w:t>
      </w:r>
      <w:r w:rsidR="00787047">
        <w:rPr>
          <w:lang w:val="fr-FR"/>
        </w:rPr>
        <w:t xml:space="preserve"> encore</w:t>
      </w:r>
      <w:r w:rsidRPr="004C6457">
        <w:rPr>
          <w:lang w:val="fr-FR"/>
        </w:rPr>
        <w:t xml:space="preserve"> en vigueur)). Par contre, ces facteurs influencent généralement la valeur probante de l’opinion de l’expert et ne sont pas toujours des obstacles incontournables à l’admissibilité de son témoignage. Ils ne rendent pas non plus le témoin expert nécessairement </w:t>
      </w:r>
      <w:r>
        <w:rPr>
          <w:lang w:val="fr-FR"/>
        </w:rPr>
        <w:t>« </w:t>
      </w:r>
      <w:r w:rsidRPr="004C6457">
        <w:rPr>
          <w:lang w:val="fr-FR"/>
        </w:rPr>
        <w:t>inhabile</w:t>
      </w:r>
      <w:r>
        <w:rPr>
          <w:lang w:val="fr-FR"/>
        </w:rPr>
        <w:t> »</w:t>
      </w:r>
      <w:r w:rsidRPr="004C6457">
        <w:rPr>
          <w:lang w:val="fr-FR"/>
        </w:rPr>
        <w:t xml:space="preserve"> (L.</w:t>
      </w:r>
      <w:r>
        <w:rPr>
          <w:lang w:val="fr-FR"/>
        </w:rPr>
        <w:t xml:space="preserve"> </w:t>
      </w:r>
      <w:r w:rsidRPr="004C6457">
        <w:rPr>
          <w:lang w:val="fr-FR"/>
        </w:rPr>
        <w:t>Ducharme et C.</w:t>
      </w:r>
      <w:r>
        <w:rPr>
          <w:lang w:val="fr-FR"/>
        </w:rPr>
        <w:t>-</w:t>
      </w:r>
      <w:r w:rsidRPr="004C6457">
        <w:rPr>
          <w:lang w:val="fr-FR"/>
        </w:rPr>
        <w:t>M.</w:t>
      </w:r>
      <w:r>
        <w:rPr>
          <w:lang w:val="fr-FR"/>
        </w:rPr>
        <w:t xml:space="preserve"> </w:t>
      </w:r>
      <w:proofErr w:type="spellStart"/>
      <w:r w:rsidRPr="004C6457">
        <w:rPr>
          <w:lang w:val="fr-FR"/>
        </w:rPr>
        <w:t>Panaccio</w:t>
      </w:r>
      <w:proofErr w:type="spellEnd"/>
      <w:r w:rsidRPr="004C6457">
        <w:rPr>
          <w:lang w:val="fr-FR"/>
        </w:rPr>
        <w:t xml:space="preserve">, </w:t>
      </w:r>
      <w:r w:rsidRPr="004C6457">
        <w:rPr>
          <w:i/>
          <w:iCs/>
          <w:lang w:val="fr-FR"/>
        </w:rPr>
        <w:t>L’administration de la preuve</w:t>
      </w:r>
      <w:r w:rsidRPr="004C6457">
        <w:rPr>
          <w:lang w:val="fr-FR"/>
        </w:rPr>
        <w:t xml:space="preserve"> (4</w:t>
      </w:r>
      <w:r w:rsidRPr="004C6457">
        <w:rPr>
          <w:vertAlign w:val="superscript"/>
          <w:lang w:val="fr-FR"/>
        </w:rPr>
        <w:t xml:space="preserve">e </w:t>
      </w:r>
      <w:r w:rsidRPr="004C6457">
        <w:rPr>
          <w:lang w:val="fr-FR"/>
        </w:rPr>
        <w:t>éd. 2010), n</w:t>
      </w:r>
      <w:r w:rsidRPr="004C6457">
        <w:rPr>
          <w:vertAlign w:val="superscript"/>
          <w:lang w:val="fr-FR"/>
        </w:rPr>
        <w:t>os</w:t>
      </w:r>
      <w:r>
        <w:rPr>
          <w:lang w:val="fr-FR"/>
        </w:rPr>
        <w:t xml:space="preserve"> </w:t>
      </w:r>
      <w:r w:rsidRPr="004C6457">
        <w:rPr>
          <w:lang w:val="fr-FR"/>
        </w:rPr>
        <w:t>590</w:t>
      </w:r>
      <w:r>
        <w:rPr>
          <w:lang w:val="fr-FR"/>
        </w:rPr>
        <w:t>-</w:t>
      </w:r>
      <w:r w:rsidRPr="004C6457">
        <w:rPr>
          <w:lang w:val="fr-FR"/>
        </w:rPr>
        <w:t>591 et 605). Pour qu’un témoignage d’expert soit inadmissible, il faut plus qu’une simple apparence de partialité. La question n’est pas de savoir si une personne raisonnable considérerait que l’expert n’est pas indépendant. Il faut plutôt déterminer si le manque d’indépendance de l’expert le rend de fait incapable de fournir une opinion impartiale dans les circonstances propres à l’instance (D.</w:t>
      </w:r>
      <w:r>
        <w:rPr>
          <w:lang w:val="fr-FR"/>
        </w:rPr>
        <w:t xml:space="preserve"> </w:t>
      </w:r>
      <w:r w:rsidRPr="004C6457">
        <w:rPr>
          <w:lang w:val="fr-FR"/>
        </w:rPr>
        <w:t>M.</w:t>
      </w:r>
      <w:r>
        <w:rPr>
          <w:lang w:val="fr-FR"/>
        </w:rPr>
        <w:t xml:space="preserve"> </w:t>
      </w:r>
      <w:proofErr w:type="spellStart"/>
      <w:r w:rsidRPr="004C6457">
        <w:rPr>
          <w:lang w:val="fr-FR"/>
        </w:rPr>
        <w:t>Paciocco</w:t>
      </w:r>
      <w:proofErr w:type="spellEnd"/>
      <w:r w:rsidRPr="004C6457">
        <w:rPr>
          <w:lang w:val="fr-FR"/>
        </w:rPr>
        <w:t xml:space="preserve">, </w:t>
      </w:r>
      <w:r>
        <w:rPr>
          <w:lang w:val="fr-FR"/>
        </w:rPr>
        <w:t>« </w:t>
      </w:r>
      <w:proofErr w:type="spellStart"/>
      <w:r w:rsidRPr="004C6457">
        <w:rPr>
          <w:lang w:val="fr-FR"/>
        </w:rPr>
        <w:t>Unplugging</w:t>
      </w:r>
      <w:proofErr w:type="spellEnd"/>
      <w:r w:rsidRPr="004C6457">
        <w:rPr>
          <w:lang w:val="fr-FR"/>
        </w:rPr>
        <w:t xml:space="preserve"> Jukebox </w:t>
      </w:r>
      <w:proofErr w:type="spellStart"/>
      <w:r w:rsidRPr="004C6457">
        <w:rPr>
          <w:lang w:val="fr-FR"/>
        </w:rPr>
        <w:t>Testimony</w:t>
      </w:r>
      <w:proofErr w:type="spellEnd"/>
      <w:r w:rsidRPr="004C6457">
        <w:rPr>
          <w:lang w:val="fr-FR"/>
        </w:rPr>
        <w:t xml:space="preserve"> in an </w:t>
      </w:r>
      <w:proofErr w:type="spellStart"/>
      <w:r w:rsidRPr="004C6457">
        <w:rPr>
          <w:lang w:val="fr-FR"/>
        </w:rPr>
        <w:t>Adversarial</w:t>
      </w:r>
      <w:proofErr w:type="spellEnd"/>
      <w:r w:rsidRPr="004C6457">
        <w:rPr>
          <w:lang w:val="fr-FR"/>
        </w:rPr>
        <w:t xml:space="preserve"> System</w:t>
      </w:r>
      <w:r>
        <w:rPr>
          <w:lang w:val="fr-FR"/>
        </w:rPr>
        <w:t> :</w:t>
      </w:r>
      <w:r w:rsidRPr="004C6457">
        <w:rPr>
          <w:lang w:val="fr-FR"/>
        </w:rPr>
        <w:t xml:space="preserve"> </w:t>
      </w:r>
      <w:proofErr w:type="spellStart"/>
      <w:r w:rsidRPr="004C6457">
        <w:rPr>
          <w:lang w:val="fr-FR"/>
        </w:rPr>
        <w:t>Strategies</w:t>
      </w:r>
      <w:proofErr w:type="spellEnd"/>
      <w:r w:rsidRPr="004C6457">
        <w:rPr>
          <w:lang w:val="fr-FR"/>
        </w:rPr>
        <w:t xml:space="preserve"> for </w:t>
      </w:r>
      <w:proofErr w:type="spellStart"/>
      <w:r w:rsidRPr="004C6457">
        <w:rPr>
          <w:lang w:val="fr-FR"/>
        </w:rPr>
        <w:t>Changing</w:t>
      </w:r>
      <w:proofErr w:type="spellEnd"/>
      <w:r w:rsidRPr="004C6457">
        <w:rPr>
          <w:lang w:val="fr-FR"/>
        </w:rPr>
        <w:t xml:space="preserve"> the Tune on Partial Experts</w:t>
      </w:r>
      <w:r>
        <w:rPr>
          <w:lang w:val="fr-FR"/>
        </w:rPr>
        <w:t> »</w:t>
      </w:r>
      <w:r w:rsidRPr="004C6457">
        <w:rPr>
          <w:lang w:val="fr-FR"/>
        </w:rPr>
        <w:t xml:space="preserve"> (2009), 34 </w:t>
      </w:r>
      <w:proofErr w:type="spellStart"/>
      <w:r w:rsidRPr="004C6457">
        <w:rPr>
          <w:i/>
          <w:iCs/>
          <w:lang w:val="fr-FR"/>
        </w:rPr>
        <w:t>Queen’s</w:t>
      </w:r>
      <w:proofErr w:type="spellEnd"/>
      <w:r w:rsidRPr="004C6457">
        <w:rPr>
          <w:i/>
          <w:iCs/>
          <w:lang w:val="fr-FR"/>
        </w:rPr>
        <w:t xml:space="preserve"> L.J.</w:t>
      </w:r>
      <w:r w:rsidRPr="004C6457">
        <w:rPr>
          <w:lang w:val="fr-FR"/>
        </w:rPr>
        <w:t xml:space="preserve"> 565, p.</w:t>
      </w:r>
      <w:r>
        <w:rPr>
          <w:lang w:val="fr-FR"/>
        </w:rPr>
        <w:t xml:space="preserve"> </w:t>
      </w:r>
      <w:r w:rsidRPr="004C6457">
        <w:rPr>
          <w:lang w:val="fr-FR"/>
        </w:rPr>
        <w:t>598</w:t>
      </w:r>
      <w:r>
        <w:rPr>
          <w:lang w:val="fr-FR"/>
        </w:rPr>
        <w:t>-</w:t>
      </w:r>
      <w:r w:rsidRPr="004C6457">
        <w:rPr>
          <w:lang w:val="fr-FR"/>
        </w:rPr>
        <w:t>599).</w:t>
      </w:r>
      <w:r>
        <w:rPr>
          <w:lang w:val="fr-FR"/>
        </w:rPr>
        <w:t xml:space="preserve"> </w:t>
      </w:r>
    </w:p>
    <w:p w:rsidR="001F4CC4" w:rsidRPr="004C6457" w:rsidRDefault="001F4CC4" w:rsidP="00787047">
      <w:pPr>
        <w:pStyle w:val="Citation-AltC"/>
        <w:widowControl w:val="0"/>
        <w:spacing w:after="480" w:line="480" w:lineRule="auto"/>
        <w:ind w:left="0"/>
        <w:contextualSpacing w:val="0"/>
        <w:rPr>
          <w:lang w:val="fr-CA"/>
        </w:rPr>
      </w:pPr>
      <w:r w:rsidRPr="004C6457">
        <w:rPr>
          <w:lang w:val="fr-FR"/>
        </w:rPr>
        <w:t>(</w:t>
      </w:r>
      <w:r w:rsidRPr="004C6457">
        <w:rPr>
          <w:i/>
          <w:lang w:val="fr-FR"/>
        </w:rPr>
        <w:t>Mouvement laïque québécois c. Saguenay (Ville)</w:t>
      </w:r>
      <w:r w:rsidRPr="004C6457">
        <w:rPr>
          <w:lang w:val="fr-FR"/>
        </w:rPr>
        <w:t xml:space="preserve">, 2015 CSC 16, </w:t>
      </w:r>
      <w:r w:rsidR="00787047">
        <w:rPr>
          <w:lang w:val="fr-FR"/>
        </w:rPr>
        <w:t xml:space="preserve">[2015] 2 R.C.S. 3, </w:t>
      </w:r>
      <w:r w:rsidRPr="004C6457">
        <w:rPr>
          <w:lang w:val="fr-FR"/>
        </w:rPr>
        <w:t>par.</w:t>
      </w:r>
      <w:r>
        <w:rPr>
          <w:lang w:val="fr-FR"/>
        </w:rPr>
        <w:t xml:space="preserve"> </w:t>
      </w:r>
      <w:r w:rsidRPr="004C6457">
        <w:rPr>
          <w:lang w:val="fr-FR"/>
        </w:rPr>
        <w:t>106)</w:t>
      </w:r>
      <w:r w:rsidRPr="004C6457">
        <w:rPr>
          <w:lang w:val="fr-CA"/>
        </w:rPr>
        <w:t xml:space="preserve"> </w:t>
      </w:r>
    </w:p>
    <w:p w:rsidR="001F4CC4" w:rsidRPr="004C6457" w:rsidRDefault="001F4CC4" w:rsidP="001F4CC4">
      <w:pPr>
        <w:pStyle w:val="ParaNoNdepar-AltN"/>
        <w:widowControl w:val="0"/>
        <w:tabs>
          <w:tab w:val="clear" w:pos="1166"/>
          <w:tab w:val="num" w:pos="1152"/>
        </w:tabs>
        <w:rPr>
          <w:rFonts w:cs="Times New Roman"/>
          <w:lang w:val="fr-CA"/>
        </w:rPr>
      </w:pPr>
      <w:r w:rsidRPr="004C6457">
        <w:rPr>
          <w:rFonts w:cs="Times New Roman"/>
          <w:lang w:val="fr-CA"/>
        </w:rPr>
        <w:t xml:space="preserve">Je renvoie à plusieurs autres affaires pour étayer mon opinion. Je procède ainsi pour illustrer mon propos, sans émettre d’avis sur l’issue des affaires en question. Dans certaines, l’intérêt de l’expert dans le procès ou ses liens avec l’une des parties </w:t>
      </w:r>
      <w:r w:rsidR="00787047">
        <w:rPr>
          <w:rFonts w:cs="Times New Roman"/>
          <w:lang w:val="fr-CA"/>
        </w:rPr>
        <w:t>ont</w:t>
      </w:r>
      <w:r w:rsidRPr="004C6457">
        <w:rPr>
          <w:rFonts w:cs="Times New Roman"/>
          <w:lang w:val="fr-CA"/>
        </w:rPr>
        <w:t xml:space="preserve"> mené à l’exclusion (voir, p.</w:t>
      </w:r>
      <w:r>
        <w:rPr>
          <w:rFonts w:cs="Times New Roman"/>
          <w:lang w:val="fr-CA"/>
        </w:rPr>
        <w:t xml:space="preserve"> </w:t>
      </w:r>
      <w:r w:rsidRPr="004C6457">
        <w:rPr>
          <w:rFonts w:cs="Times New Roman"/>
          <w:lang w:val="fr-CA"/>
        </w:rPr>
        <w:t xml:space="preserve">ex., </w:t>
      </w:r>
      <w:proofErr w:type="spellStart"/>
      <w:r w:rsidRPr="004C6457">
        <w:rPr>
          <w:rFonts w:cs="Times New Roman"/>
          <w:i/>
          <w:iCs/>
          <w:lang w:val="fr-CA"/>
        </w:rPr>
        <w:t>Fellowes</w:t>
      </w:r>
      <w:proofErr w:type="spellEnd"/>
      <w:r w:rsidRPr="004C6457">
        <w:rPr>
          <w:rFonts w:cs="Times New Roman"/>
          <w:i/>
          <w:iCs/>
          <w:lang w:val="fr-CA"/>
        </w:rPr>
        <w:t xml:space="preserve">, McNeil c. Kansa General International </w:t>
      </w:r>
      <w:proofErr w:type="spellStart"/>
      <w:r w:rsidRPr="004C6457">
        <w:rPr>
          <w:rFonts w:cs="Times New Roman"/>
          <w:i/>
          <w:iCs/>
          <w:lang w:val="fr-CA"/>
        </w:rPr>
        <w:t>Insurance</w:t>
      </w:r>
      <w:proofErr w:type="spellEnd"/>
      <w:r w:rsidRPr="004C6457">
        <w:rPr>
          <w:rFonts w:cs="Times New Roman"/>
          <w:i/>
          <w:iCs/>
          <w:lang w:val="fr-CA"/>
        </w:rPr>
        <w:t xml:space="preserve"> Co.</w:t>
      </w:r>
      <w:r w:rsidRPr="004C6457">
        <w:rPr>
          <w:rFonts w:cs="Times New Roman"/>
          <w:lang w:val="fr-CA"/>
        </w:rPr>
        <w:t xml:space="preserve"> (1998), 40 O.R. (3d) 456 (Div.</w:t>
      </w:r>
      <w:r>
        <w:rPr>
          <w:rFonts w:cs="Times New Roman"/>
          <w:lang w:val="fr-CA"/>
        </w:rPr>
        <w:t xml:space="preserve"> </w:t>
      </w:r>
      <w:proofErr w:type="spellStart"/>
      <w:r w:rsidRPr="004C6457">
        <w:rPr>
          <w:rFonts w:cs="Times New Roman"/>
          <w:lang w:val="fr-CA"/>
        </w:rPr>
        <w:t>gén</w:t>
      </w:r>
      <w:proofErr w:type="spellEnd"/>
      <w:r w:rsidRPr="004C6457">
        <w:rPr>
          <w:rFonts w:cs="Times New Roman"/>
          <w:lang w:val="fr-CA"/>
        </w:rPr>
        <w:t xml:space="preserve">.) (l’expert proposé était l’avocat de la défenderesse dans une affaire connexe et, dès le début de son mandat, il avait monté un dossier en vue d’une poursuite pour négligence contre la demanderesse); </w:t>
      </w:r>
      <w:r w:rsidRPr="004C6457">
        <w:rPr>
          <w:rFonts w:cs="Times New Roman"/>
          <w:i/>
          <w:iCs/>
          <w:lang w:val="fr-CA"/>
        </w:rPr>
        <w:t>Royal Trust Corp.</w:t>
      </w:r>
      <w:r>
        <w:rPr>
          <w:rFonts w:cs="Times New Roman"/>
          <w:i/>
          <w:iCs/>
          <w:lang w:val="fr-CA"/>
        </w:rPr>
        <w:t xml:space="preserve"> </w:t>
      </w:r>
      <w:r w:rsidRPr="004C6457">
        <w:rPr>
          <w:rFonts w:cs="Times New Roman"/>
          <w:i/>
          <w:iCs/>
          <w:lang w:val="fr-CA"/>
        </w:rPr>
        <w:t xml:space="preserve">of Canada c. </w:t>
      </w:r>
      <w:proofErr w:type="spellStart"/>
      <w:r w:rsidRPr="004C6457">
        <w:rPr>
          <w:rFonts w:cs="Times New Roman"/>
          <w:i/>
          <w:iCs/>
          <w:lang w:val="fr-CA"/>
        </w:rPr>
        <w:t>Fisherman</w:t>
      </w:r>
      <w:proofErr w:type="spellEnd"/>
      <w:r w:rsidRPr="004C6457">
        <w:rPr>
          <w:rFonts w:cs="Times New Roman"/>
          <w:lang w:val="fr-CA"/>
        </w:rPr>
        <w:t xml:space="preserve"> (2000), 49 O.R. (3d) 187 </w:t>
      </w:r>
      <w:r w:rsidRPr="004C6457">
        <w:rPr>
          <w:rFonts w:cs="Times New Roman"/>
          <w:lang w:val="fr-CA"/>
        </w:rPr>
        <w:lastRenderedPageBreak/>
        <w:t>(C.S.J.) (l’expert était l’avocat d’une des parties dans une instance connexe introduite aux États</w:t>
      </w:r>
      <w:r>
        <w:rPr>
          <w:rFonts w:cs="Times New Roman"/>
          <w:lang w:val="fr-CA"/>
        </w:rPr>
        <w:t>-</w:t>
      </w:r>
      <w:r w:rsidRPr="004C6457">
        <w:rPr>
          <w:rFonts w:cs="Times New Roman"/>
          <w:lang w:val="fr-CA"/>
        </w:rPr>
        <w:t xml:space="preserve">Unis); </w:t>
      </w:r>
      <w:r w:rsidRPr="004C6457">
        <w:rPr>
          <w:rFonts w:cs="Times New Roman"/>
          <w:i/>
          <w:iCs/>
          <w:lang w:val="fr-CA"/>
        </w:rPr>
        <w:t>R</w:t>
      </w:r>
      <w:r w:rsidR="008D325D">
        <w:rPr>
          <w:rFonts w:cs="Times New Roman"/>
          <w:i/>
          <w:iCs/>
          <w:lang w:val="fr-CA"/>
        </w:rPr>
        <w:t>.</w:t>
      </w:r>
      <w:r w:rsidRPr="004C6457">
        <w:rPr>
          <w:rFonts w:cs="Times New Roman"/>
          <w:i/>
          <w:iCs/>
          <w:lang w:val="fr-CA"/>
        </w:rPr>
        <w:t xml:space="preserve"> c. </w:t>
      </w:r>
      <w:proofErr w:type="spellStart"/>
      <w:r w:rsidRPr="004C6457">
        <w:rPr>
          <w:rFonts w:cs="Times New Roman"/>
          <w:i/>
          <w:iCs/>
          <w:lang w:val="fr-CA"/>
        </w:rPr>
        <w:t>Docherty</w:t>
      </w:r>
      <w:proofErr w:type="spellEnd"/>
      <w:r w:rsidRPr="004C6457">
        <w:rPr>
          <w:rFonts w:cs="Times New Roman"/>
          <w:lang w:val="fr-CA"/>
        </w:rPr>
        <w:t xml:space="preserve">, 2010 ONSC 3628 (l’expert était le père de l’avocat de la défense); </w:t>
      </w:r>
      <w:proofErr w:type="spellStart"/>
      <w:r w:rsidRPr="004C6457">
        <w:rPr>
          <w:rFonts w:cs="Times New Roman"/>
          <w:i/>
          <w:iCs/>
          <w:lang w:val="fr-CA"/>
        </w:rPr>
        <w:t>Ocean</w:t>
      </w:r>
      <w:proofErr w:type="spellEnd"/>
      <w:r w:rsidRPr="004C6457">
        <w:rPr>
          <w:rFonts w:cs="Times New Roman"/>
          <w:i/>
          <w:iCs/>
          <w:lang w:val="fr-CA"/>
        </w:rPr>
        <w:t xml:space="preserve"> c. </w:t>
      </w:r>
      <w:proofErr w:type="spellStart"/>
      <w:r w:rsidRPr="004C6457">
        <w:rPr>
          <w:rFonts w:cs="Times New Roman"/>
          <w:i/>
          <w:iCs/>
          <w:lang w:val="fr-CA"/>
        </w:rPr>
        <w:t>Economical</w:t>
      </w:r>
      <w:proofErr w:type="spellEnd"/>
      <w:r w:rsidRPr="004C6457">
        <w:rPr>
          <w:rFonts w:cs="Times New Roman"/>
          <w:i/>
          <w:iCs/>
          <w:lang w:val="fr-CA"/>
        </w:rPr>
        <w:t xml:space="preserve"> </w:t>
      </w:r>
      <w:proofErr w:type="spellStart"/>
      <w:r w:rsidRPr="004C6457">
        <w:rPr>
          <w:rFonts w:cs="Times New Roman"/>
          <w:i/>
          <w:iCs/>
          <w:lang w:val="fr-CA"/>
        </w:rPr>
        <w:t>Mutual</w:t>
      </w:r>
      <w:proofErr w:type="spellEnd"/>
      <w:r w:rsidRPr="004C6457">
        <w:rPr>
          <w:rFonts w:cs="Times New Roman"/>
          <w:i/>
          <w:iCs/>
          <w:lang w:val="fr-CA"/>
        </w:rPr>
        <w:t xml:space="preserve"> </w:t>
      </w:r>
      <w:proofErr w:type="spellStart"/>
      <w:r w:rsidRPr="004C6457">
        <w:rPr>
          <w:rFonts w:cs="Times New Roman"/>
          <w:i/>
          <w:iCs/>
          <w:lang w:val="fr-CA"/>
        </w:rPr>
        <w:t>Insurance</w:t>
      </w:r>
      <w:proofErr w:type="spellEnd"/>
      <w:r w:rsidRPr="004C6457">
        <w:rPr>
          <w:rFonts w:cs="Times New Roman"/>
          <w:i/>
          <w:iCs/>
          <w:lang w:val="fr-CA"/>
        </w:rPr>
        <w:t xml:space="preserve"> Co.</w:t>
      </w:r>
      <w:r w:rsidRPr="004C6457">
        <w:rPr>
          <w:rFonts w:cs="Times New Roman"/>
          <w:lang w:val="fr-CA"/>
        </w:rPr>
        <w:t>,</w:t>
      </w:r>
      <w:r w:rsidRPr="004C6457">
        <w:rPr>
          <w:rFonts w:cs="Times New Roman"/>
          <w:i/>
          <w:iCs/>
          <w:lang w:val="fr-CA"/>
        </w:rPr>
        <w:t xml:space="preserve"> </w:t>
      </w:r>
      <w:r w:rsidRPr="004C6457">
        <w:rPr>
          <w:rFonts w:cs="Times New Roman"/>
          <w:lang w:val="fr-CA"/>
        </w:rPr>
        <w:t>2010</w:t>
      </w:r>
      <w:r>
        <w:rPr>
          <w:rFonts w:cs="Times New Roman"/>
          <w:lang w:val="fr-CA"/>
        </w:rPr>
        <w:t xml:space="preserve"> </w:t>
      </w:r>
      <w:r w:rsidRPr="004C6457">
        <w:rPr>
          <w:rFonts w:cs="Times New Roman"/>
          <w:lang w:val="fr-CA"/>
        </w:rPr>
        <w:t xml:space="preserve">NSSC 315, 293 N.S.R. (2d) 394 (l’expert était également partie au litige); </w:t>
      </w:r>
      <w:proofErr w:type="spellStart"/>
      <w:r w:rsidRPr="004C6457">
        <w:rPr>
          <w:rFonts w:cs="Times New Roman"/>
          <w:i/>
          <w:iCs/>
          <w:lang w:val="fr-CA"/>
        </w:rPr>
        <w:t>Handley</w:t>
      </w:r>
      <w:proofErr w:type="spellEnd"/>
      <w:r w:rsidRPr="004C6457">
        <w:rPr>
          <w:rFonts w:cs="Times New Roman"/>
          <w:i/>
          <w:iCs/>
          <w:lang w:val="fr-CA"/>
        </w:rPr>
        <w:t xml:space="preserve"> c. </w:t>
      </w:r>
      <w:proofErr w:type="spellStart"/>
      <w:r w:rsidRPr="004C6457">
        <w:rPr>
          <w:rFonts w:cs="Times New Roman"/>
          <w:i/>
          <w:iCs/>
          <w:lang w:val="fr-CA"/>
        </w:rPr>
        <w:t>Punnett</w:t>
      </w:r>
      <w:proofErr w:type="spellEnd"/>
      <w:r w:rsidRPr="004C6457">
        <w:rPr>
          <w:rFonts w:cs="Times New Roman"/>
          <w:lang w:val="fr-CA"/>
        </w:rPr>
        <w:t xml:space="preserve">, 2003 BCSC 294 (l’expert était également partie au litige); </w:t>
      </w:r>
      <w:r w:rsidRPr="004C6457">
        <w:rPr>
          <w:rFonts w:cs="Times New Roman"/>
          <w:i/>
          <w:iCs/>
          <w:lang w:val="fr-CA"/>
        </w:rPr>
        <w:t xml:space="preserve">Bank of </w:t>
      </w:r>
      <w:proofErr w:type="spellStart"/>
      <w:r w:rsidRPr="004C6457">
        <w:rPr>
          <w:rFonts w:cs="Times New Roman"/>
          <w:i/>
          <w:iCs/>
          <w:lang w:val="fr-CA"/>
        </w:rPr>
        <w:t>Montreal</w:t>
      </w:r>
      <w:proofErr w:type="spellEnd"/>
      <w:r w:rsidRPr="004C6457">
        <w:rPr>
          <w:rFonts w:cs="Times New Roman"/>
          <w:i/>
          <w:iCs/>
          <w:lang w:val="fr-CA"/>
        </w:rPr>
        <w:t xml:space="preserve"> c. </w:t>
      </w:r>
      <w:proofErr w:type="spellStart"/>
      <w:r w:rsidRPr="004C6457">
        <w:rPr>
          <w:rFonts w:cs="Times New Roman"/>
          <w:i/>
          <w:iCs/>
          <w:lang w:val="fr-CA"/>
        </w:rPr>
        <w:t>Citak</w:t>
      </w:r>
      <w:proofErr w:type="spellEnd"/>
      <w:r w:rsidRPr="004C6457">
        <w:rPr>
          <w:rFonts w:cs="Times New Roman"/>
          <w:lang w:val="fr-CA"/>
        </w:rPr>
        <w:t xml:space="preserve">, [2001] O.J. </w:t>
      </w:r>
      <w:r w:rsidR="008D325D">
        <w:rPr>
          <w:rFonts w:cs="Times New Roman"/>
          <w:lang w:val="fr-CA"/>
        </w:rPr>
        <w:t xml:space="preserve">No. </w:t>
      </w:r>
      <w:r w:rsidRPr="004C6457">
        <w:rPr>
          <w:rFonts w:cs="Times New Roman"/>
          <w:lang w:val="fr-CA"/>
        </w:rPr>
        <w:t xml:space="preserve">1096 (QL) (C.S.J.) (l’expert était effectivement </w:t>
      </w:r>
      <w:r>
        <w:rPr>
          <w:rFonts w:cs="Times New Roman"/>
          <w:lang w:val="fr-CA"/>
        </w:rPr>
        <w:t>« </w:t>
      </w:r>
      <w:proofErr w:type="spellStart"/>
      <w:r w:rsidRPr="004C6457">
        <w:rPr>
          <w:rFonts w:cs="Times New Roman"/>
          <w:lang w:val="fr-CA"/>
        </w:rPr>
        <w:t>coentrepreneur</w:t>
      </w:r>
      <w:proofErr w:type="spellEnd"/>
      <w:r>
        <w:rPr>
          <w:rFonts w:cs="Times New Roman"/>
          <w:lang w:val="fr-CA"/>
        </w:rPr>
        <w:t> »</w:t>
      </w:r>
      <w:r w:rsidRPr="004C6457">
        <w:rPr>
          <w:rFonts w:cs="Times New Roman"/>
          <w:lang w:val="fr-CA"/>
        </w:rPr>
        <w:t xml:space="preserve"> dans cette affaire, notamment en raison du fait que 40</w:t>
      </w:r>
      <w:r>
        <w:rPr>
          <w:rFonts w:cs="Times New Roman"/>
          <w:lang w:val="fr-CA"/>
        </w:rPr>
        <w:t xml:space="preserve"> </w:t>
      </w:r>
      <w:r w:rsidRPr="004C6457">
        <w:rPr>
          <w:rFonts w:cs="Times New Roman"/>
          <w:lang w:val="fr-CA"/>
        </w:rPr>
        <w:t>p.</w:t>
      </w:r>
      <w:r>
        <w:rPr>
          <w:rFonts w:cs="Times New Roman"/>
          <w:lang w:val="fr-CA"/>
        </w:rPr>
        <w:t xml:space="preserve"> </w:t>
      </w:r>
      <w:r w:rsidRPr="004C6457">
        <w:rPr>
          <w:rFonts w:cs="Times New Roman"/>
          <w:lang w:val="fr-CA"/>
        </w:rPr>
        <w:t>100 de sa rémunération dépendait de l’issue favorable du procès (par.</w:t>
      </w:r>
      <w:r>
        <w:rPr>
          <w:rFonts w:cs="Times New Roman"/>
          <w:lang w:val="fr-CA"/>
        </w:rPr>
        <w:t xml:space="preserve"> </w:t>
      </w:r>
      <w:r w:rsidRPr="004C6457">
        <w:rPr>
          <w:rFonts w:cs="Times New Roman"/>
          <w:lang w:val="fr-CA"/>
        </w:rPr>
        <w:t xml:space="preserve">7)); </w:t>
      </w:r>
      <w:r w:rsidRPr="004C6457">
        <w:rPr>
          <w:rFonts w:cs="Times New Roman"/>
          <w:i/>
          <w:iCs/>
          <w:lang w:val="fr-CA"/>
        </w:rPr>
        <w:t>Dean Construction Co. c. M.J.</w:t>
      </w:r>
      <w:r>
        <w:rPr>
          <w:rFonts w:cs="Times New Roman"/>
          <w:i/>
          <w:iCs/>
          <w:lang w:val="fr-CA"/>
        </w:rPr>
        <w:t xml:space="preserve"> </w:t>
      </w:r>
      <w:r w:rsidRPr="004C6457">
        <w:rPr>
          <w:rFonts w:cs="Times New Roman"/>
          <w:i/>
          <w:iCs/>
          <w:lang w:val="fr-CA"/>
        </w:rPr>
        <w:t>Dixon Construction Ltd.</w:t>
      </w:r>
      <w:r w:rsidRPr="004C6457">
        <w:rPr>
          <w:rFonts w:cs="Times New Roman"/>
          <w:lang w:val="fr-CA"/>
        </w:rPr>
        <w:t>, 2011</w:t>
      </w:r>
      <w:r>
        <w:rPr>
          <w:rFonts w:cs="Times New Roman"/>
          <w:lang w:val="fr-CA"/>
        </w:rPr>
        <w:t xml:space="preserve"> </w:t>
      </w:r>
      <w:r w:rsidRPr="004C6457">
        <w:rPr>
          <w:rFonts w:cs="Times New Roman"/>
          <w:lang w:val="fr-CA"/>
        </w:rPr>
        <w:t xml:space="preserve">ONSC 4629, 5 C.L.R. (4th) 240 (les termes du mandat de l’expert étaient discutables); </w:t>
      </w:r>
      <w:proofErr w:type="spellStart"/>
      <w:r w:rsidRPr="004C6457">
        <w:rPr>
          <w:rFonts w:cs="Times New Roman"/>
          <w:i/>
          <w:iCs/>
          <w:lang w:val="fr-CA"/>
        </w:rPr>
        <w:t>Hutchingame</w:t>
      </w:r>
      <w:proofErr w:type="spellEnd"/>
      <w:r w:rsidRPr="004C6457">
        <w:rPr>
          <w:rFonts w:cs="Times New Roman"/>
          <w:i/>
          <w:iCs/>
          <w:lang w:val="fr-CA"/>
        </w:rPr>
        <w:t xml:space="preserve"> c. </w:t>
      </w:r>
      <w:proofErr w:type="spellStart"/>
      <w:r w:rsidRPr="004C6457">
        <w:rPr>
          <w:rFonts w:cs="Times New Roman"/>
          <w:i/>
          <w:iCs/>
          <w:lang w:val="fr-CA"/>
        </w:rPr>
        <w:t>Johnstone</w:t>
      </w:r>
      <w:proofErr w:type="spellEnd"/>
      <w:r w:rsidRPr="008D325D">
        <w:rPr>
          <w:rFonts w:cs="Times New Roman"/>
          <w:iCs/>
          <w:lang w:val="fr-CA"/>
        </w:rPr>
        <w:t>,</w:t>
      </w:r>
      <w:r w:rsidRPr="004C6457">
        <w:rPr>
          <w:rFonts w:cs="Times New Roman"/>
          <w:lang w:val="fr-CA"/>
        </w:rPr>
        <w:t xml:space="preserve"> 2006 BCSC 271 (la responsabilité de l’expert risquait d’être engagée, selon l’issue du procès</w:t>
      </w:r>
      <w:r w:rsidR="008D325D">
        <w:rPr>
          <w:rFonts w:cs="Times New Roman"/>
          <w:lang w:val="fr-CA"/>
        </w:rPr>
        <w:t>)</w:t>
      </w:r>
      <w:r w:rsidRPr="004C6457">
        <w:rPr>
          <w:rFonts w:cs="Times New Roman"/>
          <w:lang w:val="fr-CA"/>
        </w:rPr>
        <w:t>). Dans d’autres affaires, l’attitude ou le comportement de l’expert, qui s’était fait le défenseur d’une partie, a justifié l’exclusion (voir, p.</w:t>
      </w:r>
      <w:r>
        <w:rPr>
          <w:rFonts w:cs="Times New Roman"/>
          <w:lang w:val="fr-CA"/>
        </w:rPr>
        <w:t xml:space="preserve"> </w:t>
      </w:r>
      <w:r w:rsidRPr="004C6457">
        <w:rPr>
          <w:rFonts w:cs="Times New Roman"/>
          <w:lang w:val="fr-CA"/>
        </w:rPr>
        <w:t xml:space="preserve">ex., </w:t>
      </w:r>
      <w:proofErr w:type="spellStart"/>
      <w:r w:rsidRPr="004C6457">
        <w:rPr>
          <w:rFonts w:cs="Times New Roman"/>
          <w:i/>
          <w:iCs/>
          <w:lang w:val="fr-CA"/>
        </w:rPr>
        <w:t>Alfano</w:t>
      </w:r>
      <w:proofErr w:type="spellEnd"/>
      <w:r w:rsidRPr="004C6457">
        <w:rPr>
          <w:rFonts w:cs="Times New Roman"/>
          <w:i/>
          <w:iCs/>
          <w:lang w:val="fr-CA"/>
        </w:rPr>
        <w:t xml:space="preserve"> c. </w:t>
      </w:r>
      <w:proofErr w:type="spellStart"/>
      <w:r w:rsidRPr="004C6457">
        <w:rPr>
          <w:rFonts w:cs="Times New Roman"/>
          <w:i/>
          <w:iCs/>
          <w:lang w:val="fr-CA"/>
        </w:rPr>
        <w:t>Piersanti</w:t>
      </w:r>
      <w:proofErr w:type="spellEnd"/>
      <w:r w:rsidRPr="004C6457">
        <w:rPr>
          <w:rFonts w:cs="Times New Roman"/>
          <w:lang w:val="fr-CA"/>
        </w:rPr>
        <w:t xml:space="preserve">, 2012 ONCA 297, 291 O.A.C. 62; </w:t>
      </w:r>
      <w:r w:rsidRPr="004C6457">
        <w:rPr>
          <w:rFonts w:cs="Times New Roman"/>
          <w:i/>
          <w:iCs/>
          <w:lang w:val="fr-CA"/>
        </w:rPr>
        <w:t xml:space="preserve">Kirby </w:t>
      </w:r>
      <w:proofErr w:type="spellStart"/>
      <w:r w:rsidRPr="004C6457">
        <w:rPr>
          <w:rFonts w:cs="Times New Roman"/>
          <w:i/>
          <w:iCs/>
          <w:lang w:val="fr-CA"/>
        </w:rPr>
        <w:t>Lowbed</w:t>
      </w:r>
      <w:proofErr w:type="spellEnd"/>
      <w:r w:rsidRPr="004C6457">
        <w:rPr>
          <w:rFonts w:cs="Times New Roman"/>
          <w:i/>
          <w:iCs/>
          <w:lang w:val="fr-CA"/>
        </w:rPr>
        <w:t xml:space="preserve"> Services Ltd. c. Bank of Nova </w:t>
      </w:r>
      <w:proofErr w:type="spellStart"/>
      <w:r w:rsidRPr="004C6457">
        <w:rPr>
          <w:rFonts w:cs="Times New Roman"/>
          <w:i/>
          <w:iCs/>
          <w:lang w:val="fr-CA"/>
        </w:rPr>
        <w:t>Scotia</w:t>
      </w:r>
      <w:proofErr w:type="spellEnd"/>
      <w:r w:rsidRPr="004C6457">
        <w:rPr>
          <w:rFonts w:cs="Times New Roman"/>
          <w:lang w:val="fr-CA"/>
        </w:rPr>
        <w:t xml:space="preserve">, 2003 BCSC 617; </w:t>
      </w:r>
      <w:r w:rsidRPr="004C6457">
        <w:rPr>
          <w:rFonts w:cs="Times New Roman"/>
          <w:i/>
          <w:iCs/>
          <w:lang w:val="fr-CA"/>
        </w:rPr>
        <w:t>Gould c. Western Coal Corp.</w:t>
      </w:r>
      <w:r w:rsidRPr="004C6457">
        <w:rPr>
          <w:rFonts w:cs="Times New Roman"/>
          <w:lang w:val="fr-CA"/>
        </w:rPr>
        <w:t>, 2012 ONSC 5184, 7 B.L.R. (5th) 19).</w:t>
      </w:r>
    </w:p>
    <w:p w:rsidR="001F4CC4" w:rsidRPr="004C6457" w:rsidRDefault="001F4CC4" w:rsidP="001F4CC4">
      <w:pPr>
        <w:pStyle w:val="ParaNoNdepar-AltN"/>
        <w:widowControl w:val="0"/>
        <w:rPr>
          <w:rFonts w:cs="Times New Roman"/>
          <w:lang w:val="fr-CA"/>
        </w:rPr>
      </w:pPr>
      <w:r w:rsidRPr="004C6457">
        <w:rPr>
          <w:rFonts w:cs="Times New Roman"/>
          <w:lang w:val="fr-CA"/>
        </w:rPr>
        <w:t>Dans un grand nombre d’autres affaires, les tribunaux, tout en acceptant en principe qu’un manque d’indépendance ou d’impartialité pouvait mener à l’exclusion du témoignage de l’expert, ont néanmoins estimé qu’il n’y avait pas lieu d’écarter ce témoignage eu égard aux faits particuliers de l’espèce (voir, p.</w:t>
      </w:r>
      <w:r>
        <w:rPr>
          <w:rFonts w:cs="Times New Roman"/>
          <w:lang w:val="fr-CA"/>
        </w:rPr>
        <w:t xml:space="preserve"> </w:t>
      </w:r>
      <w:r w:rsidRPr="004C6457">
        <w:rPr>
          <w:rFonts w:cs="Times New Roman"/>
          <w:lang w:val="fr-CA"/>
        </w:rPr>
        <w:t xml:space="preserve">ex., </w:t>
      </w:r>
      <w:r w:rsidRPr="004C6457">
        <w:rPr>
          <w:rFonts w:cs="Times New Roman"/>
          <w:i/>
          <w:iCs/>
          <w:lang w:val="fr-CA"/>
        </w:rPr>
        <w:t xml:space="preserve">United City </w:t>
      </w:r>
      <w:proofErr w:type="spellStart"/>
      <w:r w:rsidRPr="004C6457">
        <w:rPr>
          <w:rFonts w:cs="Times New Roman"/>
          <w:i/>
          <w:iCs/>
          <w:lang w:val="fr-CA"/>
        </w:rPr>
        <w:t>Properties</w:t>
      </w:r>
      <w:proofErr w:type="spellEnd"/>
      <w:r w:rsidRPr="004C6457">
        <w:rPr>
          <w:rFonts w:cs="Times New Roman"/>
          <w:i/>
          <w:iCs/>
          <w:lang w:val="fr-CA"/>
        </w:rPr>
        <w:t xml:space="preserve"> Ltd. c. Tong</w:t>
      </w:r>
      <w:r w:rsidRPr="004C6457">
        <w:rPr>
          <w:rFonts w:cs="Times New Roman"/>
          <w:lang w:val="fr-CA"/>
        </w:rPr>
        <w:t xml:space="preserve">, 2010 BCSC 111; </w:t>
      </w:r>
      <w:r w:rsidRPr="004C6457">
        <w:rPr>
          <w:rFonts w:cs="Times New Roman"/>
          <w:i/>
          <w:iCs/>
          <w:lang w:val="fr-CA"/>
        </w:rPr>
        <w:t xml:space="preserve">R. c. INCO Ltd. </w:t>
      </w:r>
      <w:r w:rsidRPr="004C6457">
        <w:rPr>
          <w:rFonts w:cs="Times New Roman"/>
          <w:iCs/>
          <w:lang w:val="fr-CA"/>
        </w:rPr>
        <w:t>(2006)</w:t>
      </w:r>
      <w:r w:rsidRPr="004C6457">
        <w:rPr>
          <w:rFonts w:cs="Times New Roman"/>
          <w:lang w:val="fr-CA"/>
        </w:rPr>
        <w:t>, 80 O.R. (3d) 594 (C.S.J.)). C’est le point de vue qu’a adopté la Cour d’appel dans le cas qui nous occupe (par.</w:t>
      </w:r>
      <w:r>
        <w:rPr>
          <w:rFonts w:cs="Times New Roman"/>
          <w:lang w:val="fr-CA"/>
        </w:rPr>
        <w:t xml:space="preserve"> </w:t>
      </w:r>
      <w:r w:rsidRPr="004C6457">
        <w:rPr>
          <w:rFonts w:cs="Times New Roman"/>
          <w:lang w:val="fr-CA"/>
        </w:rPr>
        <w:t>109; voir également par.</w:t>
      </w:r>
      <w:r>
        <w:rPr>
          <w:rFonts w:cs="Times New Roman"/>
          <w:lang w:val="fr-CA"/>
        </w:rPr>
        <w:t xml:space="preserve"> </w:t>
      </w:r>
      <w:r w:rsidRPr="004C6457">
        <w:rPr>
          <w:rFonts w:cs="Times New Roman"/>
          <w:lang w:val="fr-CA"/>
        </w:rPr>
        <w:t>121).</w:t>
      </w:r>
    </w:p>
    <w:p w:rsidR="001F4CC4" w:rsidRPr="004C6457" w:rsidRDefault="001F4CC4" w:rsidP="001F4CC4">
      <w:pPr>
        <w:pStyle w:val="ParaNoNdepar-AltN"/>
        <w:widowControl w:val="0"/>
        <w:rPr>
          <w:rFonts w:cs="Times New Roman"/>
          <w:lang w:val="fr-CA"/>
        </w:rPr>
      </w:pPr>
      <w:r w:rsidRPr="004C6457">
        <w:rPr>
          <w:rFonts w:cs="Times New Roman"/>
          <w:lang w:val="fr-CA"/>
        </w:rPr>
        <w:lastRenderedPageBreak/>
        <w:t xml:space="preserve">Toutefois, certains tribunaux canadiens étaient d’avis que ces questions jouaient exclusivement au regard de la valeur de la preuve, et non au regard de son admissibilité. Les décisions les plus souvent citées à cet égard sont sans doute </w:t>
      </w:r>
      <w:r w:rsidRPr="004C6457">
        <w:rPr>
          <w:rFonts w:cs="Times New Roman"/>
          <w:i/>
          <w:iCs/>
          <w:lang w:val="fr-CA"/>
        </w:rPr>
        <w:t xml:space="preserve">R. c. </w:t>
      </w:r>
      <w:proofErr w:type="spellStart"/>
      <w:r w:rsidRPr="004C6457">
        <w:rPr>
          <w:rFonts w:cs="Times New Roman"/>
          <w:i/>
          <w:iCs/>
          <w:lang w:val="fr-CA"/>
        </w:rPr>
        <w:t>Klassen</w:t>
      </w:r>
      <w:proofErr w:type="spellEnd"/>
      <w:r w:rsidRPr="004C6457">
        <w:rPr>
          <w:rFonts w:cs="Times New Roman"/>
          <w:lang w:val="fr-CA"/>
        </w:rPr>
        <w:t>, 2003</w:t>
      </w:r>
      <w:r>
        <w:rPr>
          <w:rFonts w:cs="Times New Roman"/>
          <w:lang w:val="fr-CA"/>
        </w:rPr>
        <w:t xml:space="preserve"> </w:t>
      </w:r>
      <w:r w:rsidRPr="004C6457">
        <w:rPr>
          <w:rFonts w:cs="Times New Roman"/>
          <w:lang w:val="fr-CA"/>
        </w:rPr>
        <w:t>MBQB 253, 179 Man. R. (2d) 115</w:t>
      </w:r>
      <w:r w:rsidR="00BC6B8A">
        <w:rPr>
          <w:rFonts w:cs="Times New Roman"/>
          <w:lang w:val="fr-CA"/>
        </w:rPr>
        <w:t>,</w:t>
      </w:r>
      <w:r w:rsidRPr="004C6457">
        <w:rPr>
          <w:rFonts w:cs="Times New Roman"/>
          <w:lang w:val="fr-CA"/>
        </w:rPr>
        <w:t xml:space="preserve"> et </w:t>
      </w:r>
      <w:r w:rsidRPr="004C6457">
        <w:rPr>
          <w:rFonts w:cs="Times New Roman"/>
          <w:i/>
          <w:iCs/>
          <w:lang w:val="fr-CA"/>
        </w:rPr>
        <w:t xml:space="preserve">Gallant c. </w:t>
      </w:r>
      <w:proofErr w:type="spellStart"/>
      <w:r w:rsidRPr="004C6457">
        <w:rPr>
          <w:rFonts w:cs="Times New Roman"/>
          <w:i/>
          <w:iCs/>
          <w:lang w:val="fr-CA"/>
        </w:rPr>
        <w:t>Brake</w:t>
      </w:r>
      <w:proofErr w:type="spellEnd"/>
      <w:r>
        <w:rPr>
          <w:rFonts w:cs="Times New Roman"/>
          <w:i/>
          <w:iCs/>
          <w:lang w:val="fr-CA"/>
        </w:rPr>
        <w:t>-</w:t>
      </w:r>
      <w:r w:rsidRPr="004C6457">
        <w:rPr>
          <w:rFonts w:cs="Times New Roman"/>
          <w:i/>
          <w:iCs/>
          <w:lang w:val="fr-CA"/>
        </w:rPr>
        <w:t>Patten</w:t>
      </w:r>
      <w:r w:rsidRPr="004C6457">
        <w:rPr>
          <w:rFonts w:cs="Times New Roman"/>
          <w:lang w:val="fr-CA"/>
        </w:rPr>
        <w:t>, 2012</w:t>
      </w:r>
      <w:r>
        <w:rPr>
          <w:rFonts w:cs="Times New Roman"/>
          <w:lang w:val="fr-CA"/>
        </w:rPr>
        <w:t xml:space="preserve"> </w:t>
      </w:r>
      <w:r w:rsidRPr="004C6457">
        <w:rPr>
          <w:rFonts w:cs="Times New Roman"/>
          <w:lang w:val="fr-CA"/>
        </w:rPr>
        <w:t xml:space="preserve">NLCA 23, 321 Nfld. &amp; P.E.I.R. 77. Dans la première, le tribunal a déclaré admissible tout témoignage d’expert qui satisfaisait aux critères énoncés dans l’arrêt </w:t>
      </w:r>
      <w:r w:rsidRPr="004C6457">
        <w:rPr>
          <w:rFonts w:cs="Times New Roman"/>
          <w:i/>
          <w:iCs/>
          <w:lang w:val="fr-CA"/>
        </w:rPr>
        <w:t>Mohan</w:t>
      </w:r>
      <w:r w:rsidRPr="004C6457">
        <w:rPr>
          <w:rFonts w:cs="Times New Roman"/>
          <w:lang w:val="fr-CA"/>
        </w:rPr>
        <w:t xml:space="preserve"> et précisé que le parti pris n’entrait en jeu que lorsqu’il s’agissait de déterminer la valeur probante du témoignage de l’expert (voir également </w:t>
      </w:r>
      <w:r w:rsidRPr="004C6457">
        <w:rPr>
          <w:rFonts w:cs="Times New Roman"/>
          <w:i/>
          <w:iCs/>
          <w:lang w:val="fr-CA"/>
        </w:rPr>
        <w:t>R. c. Violette</w:t>
      </w:r>
      <w:r w:rsidRPr="004C6457">
        <w:rPr>
          <w:rFonts w:cs="Times New Roman"/>
          <w:lang w:val="fr-CA"/>
        </w:rPr>
        <w:t>, 2008 BCSC 920). De même, dans la deuxième, la cour a statué que la contestation du témoignage de l’expert fondée sur l’existence d’un rapport entre ce dernier et l’une des parties ou une question en litige ou sur une préconception de sa part ne pouvait être formulée à l’étape de l’admissibilité (par.</w:t>
      </w:r>
      <w:r>
        <w:rPr>
          <w:rFonts w:cs="Times New Roman"/>
          <w:lang w:val="fr-CA"/>
        </w:rPr>
        <w:t xml:space="preserve"> </w:t>
      </w:r>
      <w:r w:rsidRPr="004C6457">
        <w:rPr>
          <w:rFonts w:cs="Times New Roman"/>
          <w:lang w:val="fr-CA"/>
        </w:rPr>
        <w:t>89).</w:t>
      </w:r>
    </w:p>
    <w:p w:rsidR="001F4CC4" w:rsidRPr="004C6457" w:rsidRDefault="001F4CC4" w:rsidP="001F4CC4">
      <w:pPr>
        <w:pStyle w:val="ParaNoNdepar-AltN"/>
        <w:widowControl w:val="0"/>
        <w:rPr>
          <w:rFonts w:cs="Times New Roman"/>
          <w:lang w:val="fr-CA"/>
        </w:rPr>
      </w:pPr>
      <w:r w:rsidRPr="004C6457">
        <w:rPr>
          <w:rFonts w:cs="Times New Roman"/>
          <w:lang w:val="fr-CA"/>
        </w:rPr>
        <w:t xml:space="preserve">Je conclus que selon la conception prédominante en </w:t>
      </w:r>
      <w:proofErr w:type="spellStart"/>
      <w:r w:rsidRPr="004C6457">
        <w:rPr>
          <w:rFonts w:cs="Times New Roman"/>
          <w:iCs/>
          <w:lang w:val="fr-CA"/>
        </w:rPr>
        <w:t>common</w:t>
      </w:r>
      <w:proofErr w:type="spellEnd"/>
      <w:r w:rsidRPr="004C6457">
        <w:rPr>
          <w:rFonts w:cs="Times New Roman"/>
          <w:iCs/>
          <w:lang w:val="fr-CA"/>
        </w:rPr>
        <w:t xml:space="preserve"> </w:t>
      </w:r>
      <w:proofErr w:type="spellStart"/>
      <w:r w:rsidRPr="004C6457">
        <w:rPr>
          <w:rFonts w:cs="Times New Roman"/>
          <w:iCs/>
          <w:lang w:val="fr-CA"/>
        </w:rPr>
        <w:t>law</w:t>
      </w:r>
      <w:proofErr w:type="spellEnd"/>
      <w:r w:rsidRPr="004C6457">
        <w:rPr>
          <w:rFonts w:cs="Times New Roman"/>
          <w:lang w:val="fr-CA"/>
        </w:rPr>
        <w:t xml:space="preserve"> canadienne, l’indépendance et l’impartialité ont une incidence non seulement sur la valeur de la preuve, mais aussi sur son admissibilité. Je signale que, même s’ils soutiennent que les questions concernant l’indépendance de l’expert ne devraient jouer qu’au regard de la valeur probante, les actionnaires invoquent des affaires comme </w:t>
      </w:r>
      <w:r w:rsidRPr="004C6457">
        <w:rPr>
          <w:rFonts w:cs="Times New Roman"/>
          <w:i/>
          <w:iCs/>
          <w:lang w:val="fr-CA"/>
        </w:rPr>
        <w:t>INCO</w:t>
      </w:r>
      <w:r w:rsidRPr="004C6457">
        <w:rPr>
          <w:rFonts w:cs="Times New Roman"/>
          <w:lang w:val="fr-CA"/>
        </w:rPr>
        <w:t>, dans laquelle le tribunal reconnaît expressément qu’une conclusion quant au manque d’indépendance ou d’impartialité peut entraîner l’inadmissibilité dans certaines circonstances (</w:t>
      </w:r>
      <w:proofErr w:type="gramStart"/>
      <w:r w:rsidR="00BC6B8A">
        <w:rPr>
          <w:rFonts w:cs="Times New Roman"/>
          <w:lang w:val="fr-CA"/>
        </w:rPr>
        <w:t>m.i</w:t>
      </w:r>
      <w:r w:rsidRPr="004C6457">
        <w:rPr>
          <w:rFonts w:cs="Times New Roman"/>
          <w:lang w:val="fr-CA"/>
        </w:rPr>
        <w:t>.,</w:t>
      </w:r>
      <w:proofErr w:type="gramEnd"/>
      <w:r w:rsidRPr="004C6457">
        <w:rPr>
          <w:rFonts w:cs="Times New Roman"/>
          <w:lang w:val="fr-CA"/>
        </w:rPr>
        <w:t xml:space="preserve"> par.</w:t>
      </w:r>
      <w:r>
        <w:rPr>
          <w:rFonts w:cs="Times New Roman"/>
          <w:lang w:val="fr-CA"/>
        </w:rPr>
        <w:t xml:space="preserve"> </w:t>
      </w:r>
      <w:r w:rsidRPr="004C6457">
        <w:rPr>
          <w:rFonts w:cs="Times New Roman"/>
          <w:lang w:val="fr-CA"/>
        </w:rPr>
        <w:t>52</w:t>
      </w:r>
      <w:r w:rsidR="00BC6B8A">
        <w:rPr>
          <w:rFonts w:cs="Times New Roman"/>
          <w:lang w:val="fr-CA"/>
        </w:rPr>
        <w:t>-</w:t>
      </w:r>
      <w:r w:rsidRPr="004C6457">
        <w:rPr>
          <w:rFonts w:cs="Times New Roman"/>
          <w:lang w:val="fr-CA"/>
        </w:rPr>
        <w:t>53).</w:t>
      </w:r>
    </w:p>
    <w:p w:rsidR="001F4CC4" w:rsidRPr="004C6457" w:rsidRDefault="00F92EC8" w:rsidP="00F92EC8">
      <w:pPr>
        <w:pStyle w:val="Title4LevelTitre4Niveau"/>
        <w:widowControl w:val="0"/>
        <w:numPr>
          <w:ilvl w:val="0"/>
          <w:numId w:val="0"/>
        </w:numPr>
        <w:tabs>
          <w:tab w:val="left" w:pos="1170"/>
        </w:tabs>
        <w:ind w:left="630"/>
        <w:rPr>
          <w:rFonts w:cs="Times New Roman"/>
          <w:lang w:val="fr-CA"/>
        </w:rPr>
      </w:pPr>
      <w:r w:rsidRPr="00F92EC8">
        <w:rPr>
          <w:rFonts w:cs="Times New Roman"/>
          <w:i w:val="0"/>
          <w:lang w:val="fr-CA"/>
        </w:rPr>
        <w:t>b)</w:t>
      </w:r>
      <w:r>
        <w:rPr>
          <w:rFonts w:cs="Times New Roman"/>
          <w:lang w:val="fr-CA"/>
        </w:rPr>
        <w:tab/>
      </w:r>
      <w:r w:rsidR="001F4CC4" w:rsidRPr="004C6457">
        <w:rPr>
          <w:rFonts w:cs="Times New Roman"/>
          <w:lang w:val="fr-CA"/>
        </w:rPr>
        <w:t>Ailleurs dans le monde</w:t>
      </w:r>
    </w:p>
    <w:p w:rsidR="001F4CC4" w:rsidRPr="004C6457" w:rsidRDefault="001F4CC4" w:rsidP="001F4CC4">
      <w:pPr>
        <w:pStyle w:val="ParaNoNdepar-AltN"/>
        <w:widowControl w:val="0"/>
        <w:rPr>
          <w:rFonts w:cs="Times New Roman"/>
          <w:u w:val="single"/>
          <w:lang w:val="fr-CA"/>
        </w:rPr>
      </w:pPr>
      <w:r w:rsidRPr="004C6457">
        <w:rPr>
          <w:rFonts w:cs="Times New Roman"/>
          <w:lang w:val="fr-CA"/>
        </w:rPr>
        <w:lastRenderedPageBreak/>
        <w:t>À l’extérieur du Canada, les questions d’indépendance et d’impartialité ont été abordées de diverses façons, dont certaines s’apparentent à la démarche canadienne.</w:t>
      </w:r>
    </w:p>
    <w:p w:rsidR="001F4CC4" w:rsidRPr="004C6457" w:rsidRDefault="001F4CC4" w:rsidP="001F4CC4">
      <w:pPr>
        <w:pStyle w:val="ParaNoNdepar-AltN"/>
        <w:widowControl w:val="0"/>
        <w:rPr>
          <w:rFonts w:cs="Times New Roman"/>
          <w:u w:val="single"/>
          <w:lang w:val="fr-CA"/>
        </w:rPr>
      </w:pPr>
      <w:r w:rsidRPr="004C6457">
        <w:rPr>
          <w:rFonts w:cs="Times New Roman"/>
          <w:lang w:val="fr-CA"/>
        </w:rPr>
        <w:t xml:space="preserve">Par exemple, résumant les principes applicables en droit britannique, le juge Nelson, dans l’arrêt </w:t>
      </w:r>
      <w:proofErr w:type="spellStart"/>
      <w:r w:rsidRPr="004C6457">
        <w:rPr>
          <w:rFonts w:cs="Times New Roman"/>
          <w:i/>
          <w:iCs/>
          <w:lang w:val="fr-CA"/>
        </w:rPr>
        <w:t>Armchair</w:t>
      </w:r>
      <w:proofErr w:type="spellEnd"/>
      <w:r w:rsidRPr="004C6457">
        <w:rPr>
          <w:rFonts w:cs="Times New Roman"/>
          <w:i/>
          <w:iCs/>
          <w:lang w:val="fr-CA"/>
        </w:rPr>
        <w:t xml:space="preserve"> </w:t>
      </w:r>
      <w:proofErr w:type="spellStart"/>
      <w:r w:rsidRPr="004C6457">
        <w:rPr>
          <w:rFonts w:cs="Times New Roman"/>
          <w:i/>
          <w:iCs/>
          <w:lang w:val="fr-CA"/>
        </w:rPr>
        <w:t>Passenger</w:t>
      </w:r>
      <w:proofErr w:type="spellEnd"/>
      <w:r w:rsidRPr="004C6457">
        <w:rPr>
          <w:rFonts w:cs="Times New Roman"/>
          <w:i/>
          <w:iCs/>
          <w:lang w:val="fr-CA"/>
        </w:rPr>
        <w:t xml:space="preserve"> Transport Ltd. c. </w:t>
      </w:r>
      <w:proofErr w:type="spellStart"/>
      <w:r w:rsidRPr="004C6457">
        <w:rPr>
          <w:rFonts w:cs="Times New Roman"/>
          <w:i/>
          <w:iCs/>
          <w:lang w:val="fr-CA"/>
        </w:rPr>
        <w:t>Helical</w:t>
      </w:r>
      <w:proofErr w:type="spellEnd"/>
      <w:r w:rsidRPr="004C6457">
        <w:rPr>
          <w:rFonts w:cs="Times New Roman"/>
          <w:i/>
          <w:iCs/>
          <w:lang w:val="fr-CA"/>
        </w:rPr>
        <w:t xml:space="preserve"> Bar Plc</w:t>
      </w:r>
      <w:r w:rsidRPr="004C6457">
        <w:rPr>
          <w:rFonts w:cs="Times New Roman"/>
          <w:lang w:val="fr-CA"/>
        </w:rPr>
        <w:t>, [2003] EWHC 367 (Q.B.), a souligné que lorsque l’expert a un intérêt dans un litige ou un rapport avec celui</w:t>
      </w:r>
      <w:r>
        <w:rPr>
          <w:rFonts w:cs="Times New Roman"/>
          <w:lang w:val="fr-CA"/>
        </w:rPr>
        <w:t>-</w:t>
      </w:r>
      <w:r w:rsidRPr="004C6457">
        <w:rPr>
          <w:rFonts w:cs="Times New Roman"/>
          <w:lang w:val="fr-CA"/>
        </w:rPr>
        <w:t xml:space="preserve">ci ou avec une partie, l’exclusion est justifiée s’il est établi que l’expert ne peut ou ne veut pas s’acquitter de sa principale obligation envers la cour (voir également H. M. Malek et autres, </w:t>
      </w:r>
      <w:proofErr w:type="spellStart"/>
      <w:r w:rsidRPr="004C6457">
        <w:rPr>
          <w:rFonts w:cs="Times New Roman"/>
          <w:lang w:val="fr-CA"/>
        </w:rPr>
        <w:t>dir</w:t>
      </w:r>
      <w:proofErr w:type="spellEnd"/>
      <w:r w:rsidRPr="004C6457">
        <w:rPr>
          <w:rFonts w:cs="Times New Roman"/>
          <w:lang w:val="fr-CA"/>
        </w:rPr>
        <w:t xml:space="preserve">., </w:t>
      </w:r>
      <w:proofErr w:type="spellStart"/>
      <w:r w:rsidRPr="004C6457">
        <w:rPr>
          <w:rFonts w:cs="Times New Roman"/>
          <w:i/>
          <w:iCs/>
          <w:lang w:val="fr-CA"/>
        </w:rPr>
        <w:t>Phipson</w:t>
      </w:r>
      <w:proofErr w:type="spellEnd"/>
      <w:r w:rsidRPr="004C6457">
        <w:rPr>
          <w:rFonts w:cs="Times New Roman"/>
          <w:i/>
          <w:iCs/>
          <w:lang w:val="fr-CA"/>
        </w:rPr>
        <w:t xml:space="preserve"> on </w:t>
      </w:r>
      <w:proofErr w:type="spellStart"/>
      <w:r w:rsidRPr="004C6457">
        <w:rPr>
          <w:rFonts w:cs="Times New Roman"/>
          <w:i/>
          <w:iCs/>
          <w:lang w:val="fr-CA"/>
        </w:rPr>
        <w:t>Evidence</w:t>
      </w:r>
      <w:proofErr w:type="spellEnd"/>
      <w:r w:rsidRPr="004C6457">
        <w:rPr>
          <w:rFonts w:cs="Times New Roman"/>
          <w:lang w:val="fr-CA"/>
        </w:rPr>
        <w:t xml:space="preserve"> (18</w:t>
      </w:r>
      <w:r w:rsidRPr="004C6457">
        <w:rPr>
          <w:rFonts w:cs="Times New Roman"/>
          <w:vertAlign w:val="superscript"/>
          <w:lang w:val="fr-CA"/>
        </w:rPr>
        <w:t>e</w:t>
      </w:r>
      <w:r>
        <w:rPr>
          <w:rFonts w:cs="Times New Roman"/>
          <w:lang w:val="fr-CA"/>
        </w:rPr>
        <w:t xml:space="preserve"> </w:t>
      </w:r>
      <w:r w:rsidRPr="004C6457">
        <w:rPr>
          <w:rFonts w:cs="Times New Roman"/>
          <w:lang w:val="fr-CA"/>
        </w:rPr>
        <w:t>éd. 2013), p.</w:t>
      </w:r>
      <w:r>
        <w:rPr>
          <w:rFonts w:cs="Times New Roman"/>
          <w:lang w:val="fr-CA"/>
        </w:rPr>
        <w:t xml:space="preserve"> </w:t>
      </w:r>
      <w:r w:rsidRPr="004C6457">
        <w:rPr>
          <w:rFonts w:cs="Times New Roman"/>
          <w:lang w:val="fr-CA"/>
        </w:rPr>
        <w:t>1158</w:t>
      </w:r>
      <w:r>
        <w:rPr>
          <w:rFonts w:cs="Times New Roman"/>
          <w:lang w:val="fr-CA"/>
        </w:rPr>
        <w:t>-</w:t>
      </w:r>
      <w:r w:rsidRPr="004C6457">
        <w:rPr>
          <w:rFonts w:cs="Times New Roman"/>
          <w:lang w:val="fr-CA"/>
        </w:rPr>
        <w:t xml:space="preserve">1159). Le simple fait d’avoir un intérêt ou un rapport ne </w:t>
      </w:r>
      <w:r w:rsidRPr="004C6457">
        <w:rPr>
          <w:rFonts w:cs="Times New Roman"/>
          <w:lang w:val="fr-FR"/>
        </w:rPr>
        <w:t>rend pas quelqu’un inhabile à témoigner</w:t>
      </w:r>
      <w:r w:rsidRPr="004C6457">
        <w:rPr>
          <w:rFonts w:cs="Times New Roman"/>
          <w:lang w:val="fr-CA"/>
        </w:rPr>
        <w:t xml:space="preserve">, sauf dans certaines circonstances, selon la nature et l’importance de l’intérêt ou du rapport. Comme lord Phillips de Worth </w:t>
      </w:r>
      <w:proofErr w:type="spellStart"/>
      <w:r w:rsidRPr="004C6457">
        <w:rPr>
          <w:rFonts w:cs="Times New Roman"/>
          <w:lang w:val="fr-CA"/>
        </w:rPr>
        <w:t>Matravers</w:t>
      </w:r>
      <w:proofErr w:type="spellEnd"/>
      <w:r w:rsidRPr="004C6457">
        <w:rPr>
          <w:rFonts w:cs="Times New Roman"/>
          <w:lang w:val="fr-CA"/>
        </w:rPr>
        <w:t>, maître des rôles, l’explique dans un arrêt de principe</w:t>
      </w:r>
      <w:r>
        <w:rPr>
          <w:rFonts w:cs="Times New Roman"/>
          <w:lang w:val="fr-CA"/>
        </w:rPr>
        <w:t> :</w:t>
      </w:r>
      <w:r w:rsidRPr="004C6457">
        <w:rPr>
          <w:rFonts w:cs="Times New Roman"/>
          <w:lang w:val="fr-CA"/>
        </w:rPr>
        <w:t xml:space="preserve"> </w:t>
      </w:r>
      <w:r w:rsidRPr="004C6457">
        <w:rPr>
          <w:rFonts w:cs="Times New Roman"/>
          <w:smallCaps/>
          <w:lang w:val="fr-CA"/>
        </w:rPr>
        <w:t>[traduction]</w:t>
      </w:r>
      <w:r w:rsidRPr="004C6457">
        <w:rPr>
          <w:rFonts w:cs="Times New Roman"/>
          <w:lang w:val="fr-CA"/>
        </w:rPr>
        <w:t xml:space="preserve"> </w:t>
      </w:r>
      <w:r>
        <w:rPr>
          <w:rFonts w:cs="Times New Roman"/>
          <w:lang w:val="fr-CA"/>
        </w:rPr>
        <w:t>« </w:t>
      </w:r>
      <w:r w:rsidR="00F92EC8">
        <w:rPr>
          <w:rFonts w:cs="Times New Roman"/>
          <w:lang w:val="fr-CA"/>
        </w:rPr>
        <w:t>I</w:t>
      </w:r>
      <w:r w:rsidRPr="004C6457">
        <w:rPr>
          <w:rFonts w:cs="Times New Roman"/>
          <w:lang w:val="fr-CA"/>
        </w:rPr>
        <w:t>l est toujours souhaitable qu’un expert n’ait aucun intérêt réel ou apparent dans l’issue d’un procès dans lequel il témoigne, mais une telle neutralité n’est pas automatiquement essentielle à l’admissibilité de son témoignage</w:t>
      </w:r>
      <w:r>
        <w:rPr>
          <w:rFonts w:cs="Times New Roman"/>
          <w:lang w:val="fr-CA"/>
        </w:rPr>
        <w:t> »</w:t>
      </w:r>
      <w:r w:rsidRPr="004C6457">
        <w:rPr>
          <w:rFonts w:cs="Times New Roman"/>
          <w:lang w:val="fr-CA"/>
        </w:rPr>
        <w:t xml:space="preserve"> (</w:t>
      </w:r>
      <w:r w:rsidRPr="004C6457">
        <w:rPr>
          <w:rFonts w:cs="Times New Roman"/>
          <w:i/>
          <w:iCs/>
          <w:lang w:val="fr-CA"/>
        </w:rPr>
        <w:t>R.</w:t>
      </w:r>
      <w:r>
        <w:rPr>
          <w:rFonts w:cs="Times New Roman"/>
          <w:i/>
          <w:iCs/>
          <w:lang w:val="fr-CA"/>
        </w:rPr>
        <w:t xml:space="preserve"> </w:t>
      </w:r>
      <w:r w:rsidRPr="004C6457">
        <w:rPr>
          <w:rFonts w:cs="Times New Roman"/>
          <w:i/>
          <w:iCs/>
          <w:lang w:val="fr-CA"/>
        </w:rPr>
        <w:t>(</w:t>
      </w:r>
      <w:proofErr w:type="spellStart"/>
      <w:r w:rsidRPr="004C6457">
        <w:rPr>
          <w:rFonts w:cs="Times New Roman"/>
          <w:i/>
          <w:iCs/>
          <w:lang w:val="fr-CA"/>
        </w:rPr>
        <w:t>Factortame</w:t>
      </w:r>
      <w:proofErr w:type="spellEnd"/>
      <w:r w:rsidRPr="004C6457">
        <w:rPr>
          <w:rFonts w:cs="Times New Roman"/>
          <w:i/>
          <w:iCs/>
          <w:lang w:val="fr-CA"/>
        </w:rPr>
        <w:t xml:space="preserve"> Ltd.) c. </w:t>
      </w:r>
      <w:proofErr w:type="spellStart"/>
      <w:r w:rsidRPr="004C6457">
        <w:rPr>
          <w:rFonts w:cs="Times New Roman"/>
          <w:i/>
          <w:iCs/>
          <w:lang w:val="fr-CA"/>
        </w:rPr>
        <w:t>Secretary</w:t>
      </w:r>
      <w:proofErr w:type="spellEnd"/>
      <w:r w:rsidRPr="004C6457">
        <w:rPr>
          <w:rFonts w:cs="Times New Roman"/>
          <w:i/>
          <w:iCs/>
          <w:lang w:val="fr-CA"/>
        </w:rPr>
        <w:t xml:space="preserve"> of State for Transport</w:t>
      </w:r>
      <w:r w:rsidRPr="004C6457">
        <w:rPr>
          <w:rFonts w:cs="Times New Roman"/>
          <w:lang w:val="fr-CA"/>
        </w:rPr>
        <w:t xml:space="preserve">, [2002] EWCA </w:t>
      </w:r>
      <w:proofErr w:type="spellStart"/>
      <w:r w:rsidRPr="004C6457">
        <w:rPr>
          <w:rFonts w:cs="Times New Roman"/>
          <w:lang w:val="fr-CA"/>
        </w:rPr>
        <w:t>Civ</w:t>
      </w:r>
      <w:proofErr w:type="spellEnd"/>
      <w:r w:rsidRPr="004C6457">
        <w:rPr>
          <w:rFonts w:cs="Times New Roman"/>
          <w:lang w:val="fr-CA"/>
        </w:rPr>
        <w:t xml:space="preserve"> 932, [2003] Q.B. 381, par.</w:t>
      </w:r>
      <w:r>
        <w:rPr>
          <w:rFonts w:cs="Times New Roman"/>
          <w:lang w:val="fr-CA"/>
        </w:rPr>
        <w:t xml:space="preserve"> </w:t>
      </w:r>
      <w:r w:rsidRPr="004C6457">
        <w:rPr>
          <w:rFonts w:cs="Times New Roman"/>
          <w:lang w:val="fr-CA"/>
        </w:rPr>
        <w:t xml:space="preserve">70; voir également </w:t>
      </w:r>
      <w:proofErr w:type="spellStart"/>
      <w:r w:rsidRPr="004C6457">
        <w:rPr>
          <w:rFonts w:cs="Times New Roman"/>
          <w:i/>
          <w:iCs/>
          <w:lang w:val="fr-CA"/>
        </w:rPr>
        <w:t>Gallaher</w:t>
      </w:r>
      <w:proofErr w:type="spellEnd"/>
      <w:r w:rsidRPr="004C6457">
        <w:rPr>
          <w:rFonts w:cs="Times New Roman"/>
          <w:i/>
          <w:iCs/>
          <w:lang w:val="fr-CA"/>
        </w:rPr>
        <w:t xml:space="preserve"> International Ltd. c. </w:t>
      </w:r>
      <w:proofErr w:type="spellStart"/>
      <w:r w:rsidRPr="004C6457">
        <w:rPr>
          <w:rFonts w:cs="Times New Roman"/>
          <w:i/>
          <w:iCs/>
          <w:lang w:val="fr-CA"/>
        </w:rPr>
        <w:t>Tlais</w:t>
      </w:r>
      <w:proofErr w:type="spellEnd"/>
      <w:r w:rsidRPr="004C6457">
        <w:rPr>
          <w:rFonts w:cs="Times New Roman"/>
          <w:i/>
          <w:iCs/>
          <w:lang w:val="fr-CA"/>
        </w:rPr>
        <w:t xml:space="preserve"> </w:t>
      </w:r>
      <w:proofErr w:type="spellStart"/>
      <w:r w:rsidRPr="004C6457">
        <w:rPr>
          <w:rFonts w:cs="Times New Roman"/>
          <w:i/>
          <w:iCs/>
          <w:lang w:val="fr-CA"/>
        </w:rPr>
        <w:t>Enterprises</w:t>
      </w:r>
      <w:proofErr w:type="spellEnd"/>
      <w:r w:rsidRPr="004C6457">
        <w:rPr>
          <w:rFonts w:cs="Times New Roman"/>
          <w:i/>
          <w:iCs/>
          <w:lang w:val="fr-CA"/>
        </w:rPr>
        <w:t xml:space="preserve"> Ltd.</w:t>
      </w:r>
      <w:r w:rsidRPr="004C6457">
        <w:rPr>
          <w:rFonts w:cs="Times New Roman"/>
          <w:lang w:val="fr-CA"/>
        </w:rPr>
        <w:t>, [2007] EWHC 464 (</w:t>
      </w:r>
      <w:proofErr w:type="spellStart"/>
      <w:r w:rsidRPr="004C6457">
        <w:rPr>
          <w:rFonts w:cs="Times New Roman"/>
          <w:lang w:val="fr-CA"/>
        </w:rPr>
        <w:t>Comm</w:t>
      </w:r>
      <w:proofErr w:type="spellEnd"/>
      <w:r w:rsidRPr="004C6457">
        <w:rPr>
          <w:rFonts w:cs="Times New Roman"/>
          <w:lang w:val="fr-CA"/>
        </w:rPr>
        <w:t xml:space="preserve">.); </w:t>
      </w:r>
      <w:proofErr w:type="spellStart"/>
      <w:r w:rsidRPr="004C6457">
        <w:rPr>
          <w:rFonts w:cs="Times New Roman"/>
          <w:i/>
          <w:iCs/>
          <w:lang w:val="fr-CA"/>
        </w:rPr>
        <w:t>Meat</w:t>
      </w:r>
      <w:proofErr w:type="spellEnd"/>
      <w:r w:rsidRPr="004C6457">
        <w:rPr>
          <w:rFonts w:cs="Times New Roman"/>
          <w:i/>
          <w:iCs/>
          <w:lang w:val="fr-CA"/>
        </w:rPr>
        <w:t xml:space="preserve"> Corp. of </w:t>
      </w:r>
      <w:proofErr w:type="spellStart"/>
      <w:r w:rsidRPr="004C6457">
        <w:rPr>
          <w:rFonts w:cs="Times New Roman"/>
          <w:i/>
          <w:iCs/>
          <w:lang w:val="fr-CA"/>
        </w:rPr>
        <w:t>Namibia</w:t>
      </w:r>
      <w:proofErr w:type="spellEnd"/>
      <w:r w:rsidRPr="004C6457">
        <w:rPr>
          <w:rFonts w:cs="Times New Roman"/>
          <w:i/>
          <w:iCs/>
          <w:lang w:val="fr-CA"/>
        </w:rPr>
        <w:t xml:space="preserve"> Ltd. c. Dawn </w:t>
      </w:r>
      <w:proofErr w:type="spellStart"/>
      <w:r w:rsidRPr="004C6457">
        <w:rPr>
          <w:rFonts w:cs="Times New Roman"/>
          <w:i/>
          <w:iCs/>
          <w:lang w:val="fr-CA"/>
        </w:rPr>
        <w:t>Meats</w:t>
      </w:r>
      <w:proofErr w:type="spellEnd"/>
      <w:r w:rsidRPr="004C6457">
        <w:rPr>
          <w:rFonts w:cs="Times New Roman"/>
          <w:i/>
          <w:iCs/>
          <w:lang w:val="fr-CA"/>
        </w:rPr>
        <w:t xml:space="preserve"> (U.K.) Ltd.</w:t>
      </w:r>
      <w:r w:rsidRPr="004C6457">
        <w:rPr>
          <w:rFonts w:cs="Times New Roman"/>
          <w:lang w:val="fr-CA"/>
        </w:rPr>
        <w:t>, [2011] EWHC 474 (</w:t>
      </w:r>
      <w:r w:rsidR="0049022A">
        <w:rPr>
          <w:rFonts w:cs="Times New Roman"/>
          <w:lang w:val="fr-CA"/>
        </w:rPr>
        <w:t>Ch. D.</w:t>
      </w:r>
      <w:r w:rsidRPr="004C6457">
        <w:rPr>
          <w:rFonts w:cs="Times New Roman"/>
          <w:lang w:val="fr-CA"/>
        </w:rPr>
        <w:t xml:space="preserve">); </w:t>
      </w:r>
      <w:proofErr w:type="spellStart"/>
      <w:r w:rsidRPr="004C6457">
        <w:rPr>
          <w:rFonts w:cs="Times New Roman"/>
          <w:i/>
          <w:iCs/>
          <w:lang w:val="fr-CA"/>
        </w:rPr>
        <w:t>Matchbet</w:t>
      </w:r>
      <w:proofErr w:type="spellEnd"/>
      <w:r w:rsidRPr="004C6457">
        <w:rPr>
          <w:rFonts w:cs="Times New Roman"/>
          <w:i/>
          <w:iCs/>
          <w:lang w:val="fr-CA"/>
        </w:rPr>
        <w:t xml:space="preserve"> Ltd. c. </w:t>
      </w:r>
      <w:proofErr w:type="spellStart"/>
      <w:r w:rsidRPr="004C6457">
        <w:rPr>
          <w:rFonts w:cs="Times New Roman"/>
          <w:i/>
          <w:iCs/>
          <w:lang w:val="fr-CA"/>
        </w:rPr>
        <w:t>Openbet</w:t>
      </w:r>
      <w:proofErr w:type="spellEnd"/>
      <w:r w:rsidRPr="004C6457">
        <w:rPr>
          <w:rFonts w:cs="Times New Roman"/>
          <w:i/>
          <w:iCs/>
          <w:lang w:val="fr-CA"/>
        </w:rPr>
        <w:t xml:space="preserve"> </w:t>
      </w:r>
      <w:proofErr w:type="spellStart"/>
      <w:r w:rsidRPr="004C6457">
        <w:rPr>
          <w:rFonts w:cs="Times New Roman"/>
          <w:i/>
          <w:iCs/>
          <w:lang w:val="fr-CA"/>
        </w:rPr>
        <w:t>Retail</w:t>
      </w:r>
      <w:proofErr w:type="spellEnd"/>
      <w:r w:rsidRPr="004C6457">
        <w:rPr>
          <w:rFonts w:cs="Times New Roman"/>
          <w:i/>
          <w:iCs/>
          <w:lang w:val="fr-CA"/>
        </w:rPr>
        <w:t xml:space="preserve"> Ltd.</w:t>
      </w:r>
      <w:r w:rsidRPr="004C6457">
        <w:rPr>
          <w:rFonts w:cs="Times New Roman"/>
          <w:lang w:val="fr-CA"/>
        </w:rPr>
        <w:t>, [2013] EWHC 3067 (</w:t>
      </w:r>
      <w:r w:rsidR="0049022A">
        <w:rPr>
          <w:rFonts w:cs="Times New Roman"/>
          <w:lang w:val="fr-CA"/>
        </w:rPr>
        <w:t>Ch. D.</w:t>
      </w:r>
      <w:r w:rsidRPr="004C6457">
        <w:rPr>
          <w:rFonts w:cs="Times New Roman"/>
          <w:lang w:val="fr-CA"/>
        </w:rPr>
        <w:t>), par.</w:t>
      </w:r>
      <w:r>
        <w:rPr>
          <w:rFonts w:cs="Times New Roman"/>
          <w:lang w:val="fr-CA"/>
        </w:rPr>
        <w:t xml:space="preserve"> </w:t>
      </w:r>
      <w:r w:rsidRPr="004C6457">
        <w:rPr>
          <w:rFonts w:cs="Times New Roman"/>
          <w:lang w:val="fr-CA"/>
        </w:rPr>
        <w:t>312</w:t>
      </w:r>
      <w:r>
        <w:rPr>
          <w:rFonts w:cs="Times New Roman"/>
          <w:lang w:val="fr-CA"/>
        </w:rPr>
        <w:t>-</w:t>
      </w:r>
      <w:r w:rsidR="0049022A">
        <w:rPr>
          <w:rFonts w:cs="Times New Roman"/>
          <w:lang w:val="fr-CA"/>
        </w:rPr>
        <w:t>3</w:t>
      </w:r>
      <w:r w:rsidRPr="004C6457">
        <w:rPr>
          <w:rFonts w:cs="Times New Roman"/>
          <w:lang w:val="fr-CA"/>
        </w:rPr>
        <w:t>17</w:t>
      </w:r>
      <w:r w:rsidR="0049022A">
        <w:rPr>
          <w:rFonts w:cs="Times New Roman"/>
          <w:lang w:val="fr-CA"/>
        </w:rPr>
        <w:t>)</w:t>
      </w:r>
      <w:r w:rsidRPr="004C6457">
        <w:rPr>
          <w:rFonts w:cs="Times New Roman"/>
          <w:lang w:val="fr-CA"/>
        </w:rPr>
        <w:t xml:space="preserve">. </w:t>
      </w:r>
    </w:p>
    <w:p w:rsidR="001F4CC4" w:rsidRPr="004C6457" w:rsidRDefault="001F4CC4" w:rsidP="001F4CC4">
      <w:pPr>
        <w:pStyle w:val="ParaNoNdepar-AltN"/>
        <w:widowControl w:val="0"/>
        <w:rPr>
          <w:rFonts w:cs="Times New Roman"/>
          <w:lang w:val="fr-CA"/>
        </w:rPr>
      </w:pPr>
      <w:r w:rsidRPr="004C6457">
        <w:rPr>
          <w:rFonts w:cs="Times New Roman"/>
          <w:lang w:val="fr-CA"/>
        </w:rPr>
        <w:t>En Australie, l’objectivité et l’impartialité de l’expert jouent généralement au regard de la valeur de la preuve, et non de son admissibilité (I.</w:t>
      </w:r>
      <w:r>
        <w:rPr>
          <w:rFonts w:cs="Times New Roman"/>
          <w:lang w:val="fr-CA"/>
        </w:rPr>
        <w:t xml:space="preserve"> </w:t>
      </w:r>
      <w:proofErr w:type="spellStart"/>
      <w:r w:rsidRPr="004C6457">
        <w:rPr>
          <w:rFonts w:cs="Times New Roman"/>
          <w:lang w:val="fr-CA"/>
        </w:rPr>
        <w:lastRenderedPageBreak/>
        <w:t>Freckelton</w:t>
      </w:r>
      <w:proofErr w:type="spellEnd"/>
      <w:r w:rsidRPr="004C6457">
        <w:rPr>
          <w:rFonts w:cs="Times New Roman"/>
          <w:lang w:val="fr-CA"/>
        </w:rPr>
        <w:t xml:space="preserve"> et H.</w:t>
      </w:r>
      <w:r>
        <w:rPr>
          <w:rFonts w:cs="Times New Roman"/>
          <w:lang w:val="fr-CA"/>
        </w:rPr>
        <w:t xml:space="preserve"> </w:t>
      </w:r>
      <w:proofErr w:type="spellStart"/>
      <w:r w:rsidRPr="004C6457">
        <w:rPr>
          <w:rFonts w:cs="Times New Roman"/>
          <w:lang w:val="fr-CA"/>
        </w:rPr>
        <w:t>Selby</w:t>
      </w:r>
      <w:proofErr w:type="spellEnd"/>
      <w:r w:rsidRPr="004C6457">
        <w:rPr>
          <w:rFonts w:cs="Times New Roman"/>
          <w:lang w:val="fr-CA"/>
        </w:rPr>
        <w:t xml:space="preserve">, </w:t>
      </w:r>
      <w:r w:rsidRPr="004C6457">
        <w:rPr>
          <w:rFonts w:cs="Times New Roman"/>
          <w:i/>
          <w:iCs/>
          <w:lang w:val="fr-CA"/>
        </w:rPr>
        <w:t xml:space="preserve">Expert </w:t>
      </w:r>
      <w:proofErr w:type="spellStart"/>
      <w:r w:rsidRPr="004C6457">
        <w:rPr>
          <w:rFonts w:cs="Times New Roman"/>
          <w:i/>
          <w:iCs/>
          <w:lang w:val="fr-CA"/>
        </w:rPr>
        <w:t>Evidence</w:t>
      </w:r>
      <w:proofErr w:type="spellEnd"/>
      <w:r>
        <w:rPr>
          <w:rFonts w:cs="Times New Roman"/>
          <w:i/>
          <w:iCs/>
          <w:lang w:val="fr-CA"/>
        </w:rPr>
        <w:t> :</w:t>
      </w:r>
      <w:r w:rsidRPr="004C6457">
        <w:rPr>
          <w:rFonts w:cs="Times New Roman"/>
          <w:i/>
          <w:iCs/>
          <w:lang w:val="fr-CA"/>
        </w:rPr>
        <w:t xml:space="preserve"> Law, Practice, </w:t>
      </w:r>
      <w:proofErr w:type="spellStart"/>
      <w:r w:rsidRPr="004C6457">
        <w:rPr>
          <w:rFonts w:cs="Times New Roman"/>
          <w:i/>
          <w:iCs/>
          <w:lang w:val="fr-CA"/>
        </w:rPr>
        <w:t>Procedure</w:t>
      </w:r>
      <w:proofErr w:type="spellEnd"/>
      <w:r w:rsidRPr="004C6457">
        <w:rPr>
          <w:rFonts w:cs="Times New Roman"/>
          <w:i/>
          <w:iCs/>
          <w:lang w:val="fr-CA"/>
        </w:rPr>
        <w:t xml:space="preserve"> and </w:t>
      </w:r>
      <w:proofErr w:type="spellStart"/>
      <w:r w:rsidRPr="004C6457">
        <w:rPr>
          <w:rFonts w:cs="Times New Roman"/>
          <w:i/>
          <w:iCs/>
          <w:lang w:val="fr-CA"/>
        </w:rPr>
        <w:t>Advocacy</w:t>
      </w:r>
      <w:proofErr w:type="spellEnd"/>
      <w:r w:rsidRPr="004C6457">
        <w:rPr>
          <w:rFonts w:cs="Times New Roman"/>
          <w:lang w:val="fr-CA"/>
        </w:rPr>
        <w:t xml:space="preserve"> (5</w:t>
      </w:r>
      <w:r w:rsidRPr="004C6457">
        <w:rPr>
          <w:rFonts w:cs="Times New Roman"/>
          <w:vertAlign w:val="superscript"/>
          <w:lang w:val="fr-CA"/>
        </w:rPr>
        <w:t>e</w:t>
      </w:r>
      <w:r>
        <w:rPr>
          <w:rFonts w:cs="Times New Roman"/>
          <w:lang w:val="fr-CA"/>
        </w:rPr>
        <w:t xml:space="preserve"> </w:t>
      </w:r>
      <w:r w:rsidRPr="004C6457">
        <w:rPr>
          <w:rFonts w:cs="Times New Roman"/>
          <w:lang w:val="fr-CA"/>
        </w:rPr>
        <w:t>éd. 2013), p.</w:t>
      </w:r>
      <w:r>
        <w:rPr>
          <w:rFonts w:cs="Times New Roman"/>
          <w:lang w:val="fr-CA"/>
        </w:rPr>
        <w:t xml:space="preserve"> </w:t>
      </w:r>
      <w:r w:rsidRPr="004C6457">
        <w:rPr>
          <w:rFonts w:cs="Times New Roman"/>
          <w:lang w:val="fr-CA"/>
        </w:rPr>
        <w:t>35</w:t>
      </w:r>
      <w:r w:rsidR="008E6AF7">
        <w:rPr>
          <w:rFonts w:cs="Times New Roman"/>
          <w:lang w:val="fr-CA"/>
        </w:rPr>
        <w:t>)</w:t>
      </w:r>
      <w:r w:rsidRPr="004C6457">
        <w:rPr>
          <w:rFonts w:cs="Times New Roman"/>
          <w:lang w:val="fr-CA"/>
        </w:rPr>
        <w:t>. Pour reprendre les propos de la Cour d’appel de l’État de Victoria</w:t>
      </w:r>
      <w:r>
        <w:rPr>
          <w:rFonts w:cs="Times New Roman"/>
          <w:lang w:val="fr-CA"/>
        </w:rPr>
        <w:t> :</w:t>
      </w:r>
      <w:r w:rsidRPr="004C6457">
        <w:rPr>
          <w:rFonts w:cs="Times New Roman"/>
          <w:lang w:val="fr-CA"/>
        </w:rPr>
        <w:t xml:space="preserve"> </w:t>
      </w:r>
      <w:r w:rsidRPr="004C6457">
        <w:rPr>
          <w:rFonts w:cs="Times New Roman"/>
          <w:smallCaps/>
          <w:lang w:val="fr-CA"/>
        </w:rPr>
        <w:t>[traduction]</w:t>
      </w:r>
      <w:r w:rsidRPr="004C6457">
        <w:rPr>
          <w:rFonts w:cs="Times New Roman"/>
          <w:lang w:val="fr-CA"/>
        </w:rPr>
        <w:t xml:space="preserve"> </w:t>
      </w:r>
      <w:proofErr w:type="gramStart"/>
      <w:r>
        <w:rPr>
          <w:rFonts w:cs="Times New Roman"/>
          <w:lang w:val="fr-CA"/>
        </w:rPr>
        <w:t>« .</w:t>
      </w:r>
      <w:proofErr w:type="gramEnd"/>
      <w:r>
        <w:rPr>
          <w:rFonts w:cs="Times New Roman"/>
          <w:lang w:val="fr-CA"/>
        </w:rPr>
        <w:t> . .</w:t>
      </w:r>
      <w:r w:rsidRPr="004C6457">
        <w:rPr>
          <w:rFonts w:cs="Times New Roman"/>
          <w:lang w:val="fr-CA"/>
        </w:rPr>
        <w:t xml:space="preserve"> dans la mesure où il est souhaitable que les témoins experts aient l’obligation d’aider le tribunal, on ne devrait pas juger inhabile à témoigner un expert du seul fait qu’il est “intéressé”</w:t>
      </w:r>
      <w:r>
        <w:rPr>
          <w:rFonts w:cs="Times New Roman"/>
          <w:lang w:val="fr-CA"/>
        </w:rPr>
        <w:t> »</w:t>
      </w:r>
      <w:r w:rsidRPr="004C6457">
        <w:rPr>
          <w:rFonts w:cs="Times New Roman"/>
          <w:lang w:val="fr-CA"/>
        </w:rPr>
        <w:t xml:space="preserve"> (</w:t>
      </w:r>
      <w:r w:rsidRPr="004C6457">
        <w:rPr>
          <w:rFonts w:cs="Times New Roman"/>
          <w:i/>
          <w:iCs/>
          <w:lang w:val="fr-CA"/>
        </w:rPr>
        <w:t xml:space="preserve">FGT </w:t>
      </w:r>
      <w:proofErr w:type="spellStart"/>
      <w:r w:rsidRPr="004C6457">
        <w:rPr>
          <w:rFonts w:cs="Times New Roman"/>
          <w:i/>
          <w:iCs/>
          <w:lang w:val="fr-CA"/>
        </w:rPr>
        <w:t>Custodians</w:t>
      </w:r>
      <w:proofErr w:type="spellEnd"/>
      <w:r w:rsidRPr="004C6457">
        <w:rPr>
          <w:rFonts w:cs="Times New Roman"/>
          <w:i/>
          <w:iCs/>
          <w:lang w:val="fr-CA"/>
        </w:rPr>
        <w:t xml:space="preserve"> </w:t>
      </w:r>
      <w:proofErr w:type="spellStart"/>
      <w:r w:rsidRPr="004C6457">
        <w:rPr>
          <w:rFonts w:cs="Times New Roman"/>
          <w:i/>
          <w:iCs/>
          <w:lang w:val="fr-CA"/>
        </w:rPr>
        <w:t>Pty</w:t>
      </w:r>
      <w:proofErr w:type="spellEnd"/>
      <w:r w:rsidRPr="004C6457">
        <w:rPr>
          <w:rFonts w:cs="Times New Roman"/>
          <w:i/>
          <w:iCs/>
          <w:lang w:val="fr-CA"/>
        </w:rPr>
        <w:t xml:space="preserve">. Ltd. c. </w:t>
      </w:r>
      <w:proofErr w:type="spellStart"/>
      <w:r w:rsidRPr="004C6457">
        <w:rPr>
          <w:rFonts w:cs="Times New Roman"/>
          <w:i/>
          <w:iCs/>
          <w:lang w:val="fr-CA"/>
        </w:rPr>
        <w:t>Fagenblat</w:t>
      </w:r>
      <w:proofErr w:type="spellEnd"/>
      <w:r w:rsidRPr="004C6457">
        <w:rPr>
          <w:rFonts w:cs="Times New Roman"/>
          <w:lang w:val="fr-CA"/>
        </w:rPr>
        <w:t>, [2003] VSCA 33, par.</w:t>
      </w:r>
      <w:r>
        <w:rPr>
          <w:rFonts w:cs="Times New Roman"/>
          <w:lang w:val="fr-CA"/>
        </w:rPr>
        <w:t xml:space="preserve"> </w:t>
      </w:r>
      <w:r w:rsidRPr="004C6457">
        <w:rPr>
          <w:rFonts w:cs="Times New Roman"/>
          <w:lang w:val="fr-CA"/>
        </w:rPr>
        <w:t>26 (</w:t>
      </w:r>
      <w:proofErr w:type="spellStart"/>
      <w:r w:rsidRPr="004C6457">
        <w:rPr>
          <w:rFonts w:cs="Times New Roman"/>
          <w:lang w:val="fr-CA"/>
        </w:rPr>
        <w:t>AustLII</w:t>
      </w:r>
      <w:proofErr w:type="spellEnd"/>
      <w:r w:rsidRPr="004C6457">
        <w:rPr>
          <w:rFonts w:cs="Times New Roman"/>
          <w:lang w:val="fr-CA"/>
        </w:rPr>
        <w:t xml:space="preserve">); voir également </w:t>
      </w:r>
      <w:proofErr w:type="spellStart"/>
      <w:r w:rsidRPr="004C6457">
        <w:rPr>
          <w:rFonts w:cs="Times New Roman"/>
          <w:lang w:val="fr-CA"/>
        </w:rPr>
        <w:t>Freckelton</w:t>
      </w:r>
      <w:proofErr w:type="spellEnd"/>
      <w:r w:rsidRPr="004C6457">
        <w:rPr>
          <w:rFonts w:cs="Times New Roman"/>
          <w:lang w:val="fr-CA"/>
        </w:rPr>
        <w:t xml:space="preserve"> et </w:t>
      </w:r>
      <w:proofErr w:type="spellStart"/>
      <w:r w:rsidRPr="004C6457">
        <w:rPr>
          <w:rFonts w:cs="Times New Roman"/>
          <w:lang w:val="fr-CA"/>
        </w:rPr>
        <w:t>Selby</w:t>
      </w:r>
      <w:proofErr w:type="spellEnd"/>
      <w:r w:rsidRPr="004C6457">
        <w:rPr>
          <w:rFonts w:cs="Times New Roman"/>
          <w:lang w:val="fr-CA"/>
        </w:rPr>
        <w:t>, p.</w:t>
      </w:r>
      <w:r>
        <w:rPr>
          <w:rFonts w:cs="Times New Roman"/>
          <w:lang w:val="fr-CA"/>
        </w:rPr>
        <w:t xml:space="preserve"> </w:t>
      </w:r>
      <w:r w:rsidRPr="004C6457">
        <w:rPr>
          <w:rFonts w:cs="Times New Roman"/>
          <w:lang w:val="fr-CA"/>
        </w:rPr>
        <w:t>186</w:t>
      </w:r>
      <w:r w:rsidR="00346268">
        <w:rPr>
          <w:rFonts w:cs="Times New Roman"/>
          <w:lang w:val="fr-CA"/>
        </w:rPr>
        <w:t>-</w:t>
      </w:r>
      <w:r w:rsidRPr="004C6457">
        <w:rPr>
          <w:rFonts w:cs="Times New Roman"/>
          <w:lang w:val="fr-CA"/>
        </w:rPr>
        <w:t xml:space="preserve">188; </w:t>
      </w:r>
      <w:r w:rsidRPr="004C6457">
        <w:rPr>
          <w:rFonts w:cs="Times New Roman"/>
          <w:i/>
          <w:iCs/>
          <w:lang w:val="fr-CA"/>
        </w:rPr>
        <w:t>Collins Thomson c. Clayton</w:t>
      </w:r>
      <w:r w:rsidRPr="004C6457">
        <w:rPr>
          <w:rFonts w:cs="Times New Roman"/>
          <w:lang w:val="fr-CA"/>
        </w:rPr>
        <w:t xml:space="preserve">, [2002] NSWSC 366; </w:t>
      </w:r>
      <w:r w:rsidRPr="004C6457">
        <w:rPr>
          <w:rFonts w:cs="Times New Roman"/>
          <w:i/>
          <w:iCs/>
          <w:lang w:val="fr-CA"/>
        </w:rPr>
        <w:t xml:space="preserve">Kirch Communications </w:t>
      </w:r>
      <w:proofErr w:type="spellStart"/>
      <w:r w:rsidRPr="004C6457">
        <w:rPr>
          <w:rFonts w:cs="Times New Roman"/>
          <w:i/>
          <w:iCs/>
          <w:lang w:val="fr-CA"/>
        </w:rPr>
        <w:t>Pty</w:t>
      </w:r>
      <w:proofErr w:type="spellEnd"/>
      <w:r w:rsidRPr="004C6457">
        <w:rPr>
          <w:rFonts w:cs="Times New Roman"/>
          <w:i/>
          <w:iCs/>
          <w:lang w:val="fr-CA"/>
        </w:rPr>
        <w:t xml:space="preserve"> Ltd. c. Gene Engineering </w:t>
      </w:r>
      <w:proofErr w:type="spellStart"/>
      <w:r w:rsidRPr="004C6457">
        <w:rPr>
          <w:rFonts w:cs="Times New Roman"/>
          <w:i/>
          <w:iCs/>
          <w:lang w:val="fr-CA"/>
        </w:rPr>
        <w:t>Pty</w:t>
      </w:r>
      <w:proofErr w:type="spellEnd"/>
      <w:r w:rsidRPr="004C6457">
        <w:rPr>
          <w:rFonts w:cs="Times New Roman"/>
          <w:i/>
          <w:iCs/>
          <w:lang w:val="fr-CA"/>
        </w:rPr>
        <w:t xml:space="preserve"> Ltd.</w:t>
      </w:r>
      <w:r w:rsidRPr="004C6457">
        <w:rPr>
          <w:rFonts w:cs="Times New Roman"/>
          <w:lang w:val="fr-CA"/>
        </w:rPr>
        <w:t xml:space="preserve">, [2002] NSWSC 485; </w:t>
      </w:r>
      <w:proofErr w:type="spellStart"/>
      <w:r w:rsidRPr="004C6457">
        <w:rPr>
          <w:rFonts w:cs="Times New Roman"/>
          <w:i/>
          <w:iCs/>
          <w:lang w:val="fr-CA"/>
        </w:rPr>
        <w:t>SmithKline</w:t>
      </w:r>
      <w:proofErr w:type="spellEnd"/>
      <w:r w:rsidRPr="004C6457">
        <w:rPr>
          <w:rFonts w:cs="Times New Roman"/>
          <w:i/>
          <w:iCs/>
          <w:lang w:val="fr-CA"/>
        </w:rPr>
        <w:t xml:space="preserve"> Beecham (</w:t>
      </w:r>
      <w:proofErr w:type="spellStart"/>
      <w:r w:rsidRPr="004C6457">
        <w:rPr>
          <w:rFonts w:cs="Times New Roman"/>
          <w:i/>
          <w:iCs/>
          <w:lang w:val="fr-CA"/>
        </w:rPr>
        <w:t>Australia</w:t>
      </w:r>
      <w:proofErr w:type="spellEnd"/>
      <w:r w:rsidRPr="004C6457">
        <w:rPr>
          <w:rFonts w:cs="Times New Roman"/>
          <w:i/>
          <w:iCs/>
          <w:lang w:val="fr-CA"/>
        </w:rPr>
        <w:t xml:space="preserve">) </w:t>
      </w:r>
      <w:proofErr w:type="spellStart"/>
      <w:r w:rsidRPr="004C6457">
        <w:rPr>
          <w:rFonts w:cs="Times New Roman"/>
          <w:i/>
          <w:iCs/>
          <w:lang w:val="fr-CA"/>
        </w:rPr>
        <w:t>Pty</w:t>
      </w:r>
      <w:proofErr w:type="spellEnd"/>
      <w:r w:rsidRPr="004C6457">
        <w:rPr>
          <w:rFonts w:cs="Times New Roman"/>
          <w:i/>
          <w:iCs/>
          <w:lang w:val="fr-CA"/>
        </w:rPr>
        <w:t xml:space="preserve"> Ltd. c. </w:t>
      </w:r>
      <w:proofErr w:type="spellStart"/>
      <w:r w:rsidRPr="004C6457">
        <w:rPr>
          <w:rFonts w:cs="Times New Roman"/>
          <w:i/>
          <w:iCs/>
          <w:lang w:val="fr-CA"/>
        </w:rPr>
        <w:t>Chipman</w:t>
      </w:r>
      <w:proofErr w:type="spellEnd"/>
      <w:r w:rsidRPr="004C6457">
        <w:rPr>
          <w:rFonts w:cs="Times New Roman"/>
          <w:lang w:val="fr-CA"/>
        </w:rPr>
        <w:t>, [2003] FCA 796, 131 F.C.R. 500).</w:t>
      </w:r>
    </w:p>
    <w:p w:rsidR="001F4CC4" w:rsidRPr="004C6457" w:rsidRDefault="001F4CC4" w:rsidP="001F4CC4">
      <w:pPr>
        <w:pStyle w:val="ParaNoNdepar-AltN"/>
        <w:widowControl w:val="0"/>
        <w:rPr>
          <w:rFonts w:cs="Times New Roman"/>
          <w:lang w:val="fr-CA"/>
        </w:rPr>
      </w:pPr>
      <w:r w:rsidRPr="004C6457">
        <w:rPr>
          <w:rFonts w:cs="Times New Roman"/>
          <w:lang w:val="fr-CA"/>
        </w:rPr>
        <w:t>Aux États</w:t>
      </w:r>
      <w:r>
        <w:rPr>
          <w:rFonts w:cs="Times New Roman"/>
          <w:lang w:val="fr-CA"/>
        </w:rPr>
        <w:t>-</w:t>
      </w:r>
      <w:r w:rsidRPr="004C6457">
        <w:rPr>
          <w:rFonts w:cs="Times New Roman"/>
          <w:lang w:val="fr-CA"/>
        </w:rPr>
        <w:t>Unis, au niveau fédéral, l’indépendance de l’expert joue au regard de la valeur de la preuve, et une partie peut témoigner à son propre procès à titre d’expert (</w:t>
      </w:r>
      <w:r w:rsidRPr="004C6457">
        <w:rPr>
          <w:rFonts w:cs="Times New Roman"/>
          <w:i/>
          <w:iCs/>
          <w:lang w:val="fr-CA"/>
        </w:rPr>
        <w:t xml:space="preserve">Rodriguez c. </w:t>
      </w:r>
      <w:proofErr w:type="spellStart"/>
      <w:r w:rsidRPr="004C6457">
        <w:rPr>
          <w:rFonts w:cs="Times New Roman"/>
          <w:i/>
          <w:iCs/>
          <w:lang w:val="fr-CA"/>
        </w:rPr>
        <w:t>Pacificare</w:t>
      </w:r>
      <w:proofErr w:type="spellEnd"/>
      <w:r w:rsidRPr="004C6457">
        <w:rPr>
          <w:rFonts w:cs="Times New Roman"/>
          <w:i/>
          <w:iCs/>
          <w:lang w:val="fr-CA"/>
        </w:rPr>
        <w:t xml:space="preserve"> of Texas, Inc.</w:t>
      </w:r>
      <w:r w:rsidRPr="004C6457">
        <w:rPr>
          <w:rFonts w:cs="Times New Roman"/>
          <w:lang w:val="fr-CA"/>
        </w:rPr>
        <w:t xml:space="preserve">, 980 F.2d 1014 (5th </w:t>
      </w:r>
      <w:proofErr w:type="spellStart"/>
      <w:r w:rsidRPr="004C6457">
        <w:rPr>
          <w:rFonts w:cs="Times New Roman"/>
          <w:lang w:val="fr-CA"/>
        </w:rPr>
        <w:t>Cir</w:t>
      </w:r>
      <w:proofErr w:type="spellEnd"/>
      <w:r w:rsidRPr="004C6457">
        <w:rPr>
          <w:rFonts w:cs="Times New Roman"/>
          <w:lang w:val="fr-CA"/>
        </w:rPr>
        <w:t>. 1993), p.</w:t>
      </w:r>
      <w:r>
        <w:rPr>
          <w:rFonts w:cs="Times New Roman"/>
          <w:lang w:val="fr-CA"/>
        </w:rPr>
        <w:t xml:space="preserve"> </w:t>
      </w:r>
      <w:r w:rsidRPr="004C6457">
        <w:rPr>
          <w:rFonts w:cs="Times New Roman"/>
          <w:lang w:val="fr-CA"/>
        </w:rPr>
        <w:t xml:space="preserve">1019; </w:t>
      </w:r>
      <w:proofErr w:type="spellStart"/>
      <w:r w:rsidRPr="004C6457">
        <w:rPr>
          <w:rFonts w:cs="Times New Roman"/>
          <w:i/>
          <w:iCs/>
          <w:lang w:val="fr-CA"/>
        </w:rPr>
        <w:t>Tagatz</w:t>
      </w:r>
      <w:proofErr w:type="spellEnd"/>
      <w:r w:rsidRPr="004C6457">
        <w:rPr>
          <w:rFonts w:cs="Times New Roman"/>
          <w:i/>
          <w:iCs/>
          <w:lang w:val="fr-CA"/>
        </w:rPr>
        <w:t xml:space="preserve"> c. Marquette </w:t>
      </w:r>
      <w:proofErr w:type="spellStart"/>
      <w:r w:rsidRPr="004C6457">
        <w:rPr>
          <w:rFonts w:cs="Times New Roman"/>
          <w:i/>
          <w:iCs/>
          <w:lang w:val="fr-CA"/>
        </w:rPr>
        <w:t>University</w:t>
      </w:r>
      <w:proofErr w:type="spellEnd"/>
      <w:r w:rsidRPr="004C6457">
        <w:rPr>
          <w:rFonts w:cs="Times New Roman"/>
          <w:lang w:val="fr-CA"/>
        </w:rPr>
        <w:t xml:space="preserve">, 861 F.2d 1040 (7th </w:t>
      </w:r>
      <w:proofErr w:type="spellStart"/>
      <w:r w:rsidRPr="004C6457">
        <w:rPr>
          <w:rFonts w:cs="Times New Roman"/>
          <w:lang w:val="fr-CA"/>
        </w:rPr>
        <w:t>Cir</w:t>
      </w:r>
      <w:proofErr w:type="spellEnd"/>
      <w:r w:rsidRPr="004C6457">
        <w:rPr>
          <w:rFonts w:cs="Times New Roman"/>
          <w:lang w:val="fr-CA"/>
        </w:rPr>
        <w:t xml:space="preserve">. 1988); </w:t>
      </w:r>
      <w:r w:rsidRPr="004C6457">
        <w:rPr>
          <w:rFonts w:cs="Times New Roman"/>
          <w:i/>
          <w:iCs/>
          <w:lang w:val="fr-CA"/>
        </w:rPr>
        <w:t>Apple Inc. c. Motorola, Inc.</w:t>
      </w:r>
      <w:r w:rsidRPr="004C6457">
        <w:rPr>
          <w:rFonts w:cs="Times New Roman"/>
          <w:lang w:val="fr-CA"/>
        </w:rPr>
        <w:t xml:space="preserve">, 757 F.3d 1286 (Fed. </w:t>
      </w:r>
      <w:proofErr w:type="spellStart"/>
      <w:r w:rsidRPr="004C6457">
        <w:rPr>
          <w:rFonts w:cs="Times New Roman"/>
          <w:lang w:val="fr-CA"/>
        </w:rPr>
        <w:t>Cir</w:t>
      </w:r>
      <w:proofErr w:type="spellEnd"/>
      <w:r w:rsidRPr="004C6457">
        <w:rPr>
          <w:rFonts w:cs="Times New Roman"/>
          <w:lang w:val="fr-CA"/>
        </w:rPr>
        <w:t>. 2014), p.</w:t>
      </w:r>
      <w:r>
        <w:rPr>
          <w:rFonts w:cs="Times New Roman"/>
          <w:lang w:val="fr-CA"/>
        </w:rPr>
        <w:t xml:space="preserve"> </w:t>
      </w:r>
      <w:r w:rsidRPr="004C6457">
        <w:rPr>
          <w:rFonts w:cs="Times New Roman"/>
          <w:lang w:val="fr-CA"/>
        </w:rPr>
        <w:t>1321</w:t>
      </w:r>
      <w:r w:rsidR="0049022A">
        <w:rPr>
          <w:rFonts w:cs="Times New Roman"/>
          <w:lang w:val="fr-CA"/>
        </w:rPr>
        <w:t>)</w:t>
      </w:r>
      <w:r w:rsidRPr="004C6457">
        <w:rPr>
          <w:rFonts w:cs="Times New Roman"/>
          <w:lang w:val="fr-CA"/>
        </w:rPr>
        <w:t>. Il semble que la situation soit à peu près la même à l’échelle des États (</w:t>
      </w:r>
      <w:r w:rsidRPr="004C6457">
        <w:rPr>
          <w:rFonts w:cs="Times New Roman"/>
          <w:i/>
          <w:iCs/>
          <w:lang w:val="fr-CA"/>
        </w:rPr>
        <w:t xml:space="preserve">Corpus </w:t>
      </w:r>
      <w:proofErr w:type="spellStart"/>
      <w:r w:rsidRPr="004C6457">
        <w:rPr>
          <w:rFonts w:cs="Times New Roman"/>
          <w:i/>
          <w:iCs/>
          <w:lang w:val="fr-CA"/>
        </w:rPr>
        <w:t>Juris</w:t>
      </w:r>
      <w:proofErr w:type="spellEnd"/>
      <w:r w:rsidRPr="004C6457">
        <w:rPr>
          <w:rFonts w:cs="Times New Roman"/>
          <w:i/>
          <w:iCs/>
          <w:lang w:val="fr-CA"/>
        </w:rPr>
        <w:t xml:space="preserve"> </w:t>
      </w:r>
      <w:proofErr w:type="spellStart"/>
      <w:r w:rsidRPr="004C6457">
        <w:rPr>
          <w:rFonts w:cs="Times New Roman"/>
          <w:i/>
          <w:iCs/>
          <w:lang w:val="fr-CA"/>
        </w:rPr>
        <w:t>Secundum</w:t>
      </w:r>
      <w:proofErr w:type="spellEnd"/>
      <w:r w:rsidRPr="004C6457">
        <w:rPr>
          <w:rFonts w:cs="Times New Roman"/>
          <w:iCs/>
          <w:lang w:val="fr-CA"/>
        </w:rPr>
        <w:t>, vol.</w:t>
      </w:r>
      <w:r>
        <w:rPr>
          <w:rFonts w:cs="Times New Roman"/>
          <w:iCs/>
          <w:lang w:val="fr-CA"/>
        </w:rPr>
        <w:t xml:space="preserve"> </w:t>
      </w:r>
      <w:r w:rsidRPr="004C6457">
        <w:rPr>
          <w:rFonts w:cs="Times New Roman"/>
          <w:iCs/>
          <w:lang w:val="fr-CA"/>
        </w:rPr>
        <w:t>32</w:t>
      </w:r>
      <w:r w:rsidRPr="004C6457">
        <w:rPr>
          <w:rFonts w:cs="Times New Roman"/>
          <w:lang w:val="fr-CA"/>
        </w:rPr>
        <w:t xml:space="preserve"> (2008)</w:t>
      </w:r>
      <w:r w:rsidR="00731F53">
        <w:rPr>
          <w:rFonts w:cs="Times New Roman"/>
          <w:lang w:val="fr-CA"/>
        </w:rPr>
        <w:t>,</w:t>
      </w:r>
      <w:r w:rsidRPr="004C6457">
        <w:rPr>
          <w:rFonts w:cs="Times New Roman"/>
          <w:lang w:val="fr-CA"/>
        </w:rPr>
        <w:t xml:space="preserve"> p.</w:t>
      </w:r>
      <w:r>
        <w:rPr>
          <w:rFonts w:cs="Times New Roman"/>
          <w:lang w:val="fr-CA"/>
        </w:rPr>
        <w:t xml:space="preserve"> </w:t>
      </w:r>
      <w:r w:rsidRPr="004C6457">
        <w:rPr>
          <w:rFonts w:cs="Times New Roman"/>
          <w:lang w:val="fr-CA"/>
        </w:rPr>
        <w:t>325</w:t>
      </w:r>
      <w:r>
        <w:rPr>
          <w:rFonts w:cs="Times New Roman"/>
          <w:lang w:val="fr-CA"/>
        </w:rPr>
        <w:t> :</w:t>
      </w:r>
      <w:r w:rsidRPr="004C6457">
        <w:rPr>
          <w:rFonts w:cs="Times New Roman"/>
          <w:lang w:val="fr-CA"/>
        </w:rPr>
        <w:t xml:space="preserve">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Le parti pris ou l’intérêt du témoin n’influe pas sur son habilité à témoigner, mais seulement sur la valeur probante de son témoignage.</w:t>
      </w:r>
      <w:r>
        <w:rPr>
          <w:rFonts w:cs="Times New Roman"/>
          <w:lang w:val="fr-CA"/>
        </w:rPr>
        <w:t> »</w:t>
      </w:r>
      <w:r w:rsidRPr="004C6457">
        <w:rPr>
          <w:rFonts w:cs="Times New Roman"/>
          <w:lang w:val="fr-CA"/>
        </w:rPr>
        <w:t>).</w:t>
      </w:r>
    </w:p>
    <w:p w:rsidR="001F4CC4" w:rsidRPr="004C6457" w:rsidRDefault="00731F53" w:rsidP="00731F53">
      <w:pPr>
        <w:pStyle w:val="Title4LevelTitre4Niveau"/>
        <w:widowControl w:val="0"/>
        <w:numPr>
          <w:ilvl w:val="0"/>
          <w:numId w:val="0"/>
        </w:numPr>
        <w:tabs>
          <w:tab w:val="left" w:pos="1170"/>
        </w:tabs>
        <w:ind w:left="1152" w:hanging="576"/>
        <w:rPr>
          <w:rFonts w:cs="Times New Roman"/>
          <w:lang w:val="fr-CA"/>
        </w:rPr>
      </w:pPr>
      <w:r w:rsidRPr="00731F53">
        <w:rPr>
          <w:rFonts w:cs="Times New Roman"/>
          <w:i w:val="0"/>
          <w:lang w:val="fr-CA"/>
        </w:rPr>
        <w:t>c)</w:t>
      </w:r>
      <w:r>
        <w:rPr>
          <w:rFonts w:cs="Times New Roman"/>
          <w:lang w:val="fr-CA"/>
        </w:rPr>
        <w:tab/>
      </w:r>
      <w:r w:rsidR="001F4CC4" w:rsidRPr="004C6457">
        <w:rPr>
          <w:rFonts w:cs="Times New Roman"/>
          <w:lang w:val="fr-CA"/>
        </w:rPr>
        <w:t>Conclusion</w:t>
      </w:r>
    </w:p>
    <w:p w:rsidR="001F4CC4" w:rsidRPr="004C6457" w:rsidRDefault="001F4CC4" w:rsidP="001F4CC4">
      <w:pPr>
        <w:pStyle w:val="ParaNoNdepar-AltN"/>
        <w:widowControl w:val="0"/>
        <w:rPr>
          <w:rFonts w:cs="Times New Roman"/>
          <w:lang w:val="fr-CA"/>
        </w:rPr>
      </w:pPr>
      <w:r w:rsidRPr="004C6457">
        <w:rPr>
          <w:rFonts w:cs="Times New Roman"/>
          <w:lang w:val="fr-CA"/>
        </w:rPr>
        <w:t xml:space="preserve">Conformément à ce qui me semble le courant prédominant dans la jurisprudence canadienne, je suis d’avis que le manque d’indépendance et d’impartialité d’un expert joue au regard tant de l’admissibilité de son témoignage </w:t>
      </w:r>
      <w:r w:rsidRPr="004C6457">
        <w:rPr>
          <w:rFonts w:cs="Times New Roman"/>
          <w:lang w:val="fr-CA"/>
        </w:rPr>
        <w:lastRenderedPageBreak/>
        <w:t xml:space="preserve">que de la valeur du témoignage, s’il est admis. Cette façon de voir semble s’accorder davantage avec l’économie générale de notre droit en ce qui concerne les témoignages d’experts et l’importance que notre jurisprudence accorde au rôle de gardien exercé par les juges de première instance. Le juge Binnie cerne bien l’optique canadienne dans l’arrêt </w:t>
      </w:r>
      <w:r w:rsidRPr="004C6457">
        <w:rPr>
          <w:rFonts w:cs="Times New Roman"/>
          <w:i/>
          <w:iCs/>
          <w:lang w:val="fr-CA"/>
        </w:rPr>
        <w:t>J.</w:t>
      </w:r>
      <w:r>
        <w:rPr>
          <w:rFonts w:cs="Times New Roman"/>
          <w:i/>
          <w:iCs/>
          <w:lang w:val="fr-CA"/>
        </w:rPr>
        <w:t>-</w:t>
      </w:r>
      <w:r w:rsidRPr="004C6457">
        <w:rPr>
          <w:rFonts w:cs="Times New Roman"/>
          <w:i/>
          <w:iCs/>
          <w:lang w:val="fr-CA"/>
        </w:rPr>
        <w:t>L.J.</w:t>
      </w:r>
      <w:r>
        <w:rPr>
          <w:rFonts w:cs="Times New Roman"/>
          <w:i/>
          <w:iCs/>
          <w:lang w:val="fr-CA"/>
        </w:rPr>
        <w:t> </w:t>
      </w:r>
      <w:r w:rsidRPr="00731F53">
        <w:rPr>
          <w:rFonts w:cs="Times New Roman"/>
          <w:iCs/>
          <w:lang w:val="fr-CA"/>
        </w:rPr>
        <w:t>:</w:t>
      </w:r>
      <w:r w:rsidRPr="004C6457">
        <w:rPr>
          <w:rFonts w:cs="Times New Roman"/>
          <w:lang w:val="fr-CA"/>
        </w:rPr>
        <w:t xml:space="preserve"> </w:t>
      </w:r>
      <w:r>
        <w:rPr>
          <w:rFonts w:cs="Times New Roman"/>
          <w:lang w:val="fr-CA"/>
        </w:rPr>
        <w:t>« </w:t>
      </w:r>
      <w:r w:rsidRPr="004C6457">
        <w:rPr>
          <w:rFonts w:cs="Times New Roman"/>
          <w:lang w:val="fr-CA"/>
        </w:rPr>
        <w:t>La question de l’admissibilité d’une preuve d’expert devrait être examinée minutieusement au moment où elle est soulevée, et cette preuve ne devrait pas être admise trop facilement pour le motif que toutes ses faiblesses peuvent en fin de compte avoir une incidence sur son poids plutôt que sur son admissibilité</w:t>
      </w:r>
      <w:r>
        <w:rPr>
          <w:rFonts w:cs="Times New Roman"/>
          <w:lang w:val="fr-CA"/>
        </w:rPr>
        <w:t> »</w:t>
      </w:r>
      <w:r w:rsidRPr="004C6457">
        <w:rPr>
          <w:rFonts w:cs="Times New Roman"/>
          <w:lang w:val="fr-CA"/>
        </w:rPr>
        <w:t xml:space="preserve"> (par.</w:t>
      </w:r>
      <w:r>
        <w:rPr>
          <w:rFonts w:cs="Times New Roman"/>
          <w:lang w:val="fr-CA"/>
        </w:rPr>
        <w:t xml:space="preserve"> </w:t>
      </w:r>
      <w:r w:rsidRPr="004C6457">
        <w:rPr>
          <w:rFonts w:cs="Times New Roman"/>
          <w:lang w:val="fr-CA"/>
        </w:rPr>
        <w:t xml:space="preserve">28). </w:t>
      </w:r>
    </w:p>
    <w:p w:rsidR="001F4CC4" w:rsidRPr="004C6457" w:rsidRDefault="001F4CC4" w:rsidP="001F4CC4">
      <w:pPr>
        <w:pStyle w:val="Title3LevelTitre3Niveau"/>
        <w:widowControl w:val="0"/>
        <w:tabs>
          <w:tab w:val="num" w:pos="1080"/>
        </w:tabs>
        <w:ind w:left="1080" w:hanging="540"/>
        <w:rPr>
          <w:rFonts w:cs="Times New Roman"/>
          <w:lang w:val="fr-CA"/>
        </w:rPr>
      </w:pPr>
      <w:r w:rsidRPr="004C6457">
        <w:rPr>
          <w:rFonts w:cs="Times New Roman"/>
          <w:lang w:val="fr-CA"/>
        </w:rPr>
        <w:t>Teneur du critère</w:t>
      </w:r>
    </w:p>
    <w:p w:rsidR="001F4CC4" w:rsidRPr="004C6457" w:rsidRDefault="001F4CC4" w:rsidP="001F4CC4">
      <w:pPr>
        <w:pStyle w:val="ParaNoNdepar-AltN"/>
        <w:widowControl w:val="0"/>
        <w:rPr>
          <w:rFonts w:cs="Times New Roman"/>
          <w:lang w:val="fr-FR"/>
        </w:rPr>
      </w:pPr>
      <w:r w:rsidRPr="004C6457">
        <w:rPr>
          <w:rFonts w:cs="Times New Roman"/>
          <w:lang w:val="fr-CA"/>
        </w:rPr>
        <w:t>J’ai déjà exposé l’obligation du témoin expert envers le tribunal</w:t>
      </w:r>
      <w:r>
        <w:rPr>
          <w:rFonts w:cs="Times New Roman"/>
          <w:lang w:val="fr-CA"/>
        </w:rPr>
        <w:t> :</w:t>
      </w:r>
      <w:r w:rsidRPr="004C6457">
        <w:rPr>
          <w:rFonts w:cs="Times New Roman"/>
          <w:lang w:val="fr-CA"/>
        </w:rPr>
        <w:t xml:space="preserve"> il doit être juste, objectif et impartial.</w:t>
      </w:r>
      <w:r>
        <w:rPr>
          <w:rFonts w:cs="Times New Roman"/>
          <w:lang w:val="fr-CA"/>
        </w:rPr>
        <w:t xml:space="preserve"> </w:t>
      </w:r>
      <w:r w:rsidRPr="004C6457">
        <w:rPr>
          <w:rFonts w:cs="Times New Roman"/>
          <w:lang w:val="fr-CA"/>
        </w:rPr>
        <w:t xml:space="preserve">Selon moi, le critère d’admissibilité découle de cette obligation. Je suis d’accord avec le professeur </w:t>
      </w:r>
      <w:proofErr w:type="spellStart"/>
      <w:r w:rsidRPr="004C6457">
        <w:rPr>
          <w:rFonts w:cs="Times New Roman"/>
          <w:lang w:val="fr-CA"/>
        </w:rPr>
        <w:t>Paciocco</w:t>
      </w:r>
      <w:proofErr w:type="spellEnd"/>
      <w:r w:rsidRPr="004C6457">
        <w:rPr>
          <w:rFonts w:cs="Times New Roman"/>
          <w:lang w:val="fr-CA"/>
        </w:rPr>
        <w:t xml:space="preserve"> (maintenant juge de la Cour de justice de l’Ontario), selon qui </w:t>
      </w:r>
      <w:r w:rsidRPr="004C6457">
        <w:rPr>
          <w:rFonts w:cs="Times New Roman"/>
          <w:smallCaps/>
          <w:lang w:val="fr-CA"/>
        </w:rPr>
        <w:t>[traduction]</w:t>
      </w:r>
      <w:r w:rsidRPr="004C6457">
        <w:rPr>
          <w:rFonts w:cs="Times New Roman"/>
          <w:lang w:val="fr-CA"/>
        </w:rPr>
        <w:t xml:space="preserve"> </w:t>
      </w:r>
      <w:r>
        <w:rPr>
          <w:rFonts w:cs="Times New Roman"/>
          <w:lang w:val="fr-CA"/>
        </w:rPr>
        <w:t>« </w:t>
      </w:r>
      <w:r w:rsidRPr="004C6457">
        <w:rPr>
          <w:rFonts w:cs="Times New Roman"/>
          <w:lang w:val="fr-CA"/>
        </w:rPr>
        <w:t xml:space="preserve">la </w:t>
      </w:r>
      <w:proofErr w:type="spellStart"/>
      <w:r w:rsidRPr="004C6457">
        <w:rPr>
          <w:rFonts w:cs="Times New Roman"/>
          <w:iCs/>
          <w:lang w:val="fr-CA"/>
        </w:rPr>
        <w:t>common</w:t>
      </w:r>
      <w:proofErr w:type="spellEnd"/>
      <w:r w:rsidRPr="004C6457">
        <w:rPr>
          <w:rFonts w:cs="Times New Roman"/>
          <w:iCs/>
          <w:lang w:val="fr-CA"/>
        </w:rPr>
        <w:t xml:space="preserve"> </w:t>
      </w:r>
      <w:proofErr w:type="spellStart"/>
      <w:r w:rsidRPr="004C6457">
        <w:rPr>
          <w:rFonts w:cs="Times New Roman"/>
          <w:iCs/>
          <w:lang w:val="fr-CA"/>
        </w:rPr>
        <w:t>law</w:t>
      </w:r>
      <w:proofErr w:type="spellEnd"/>
      <w:r w:rsidRPr="004C6457">
        <w:rPr>
          <w:rFonts w:cs="Times New Roman"/>
          <w:lang w:val="fr-CA"/>
        </w:rPr>
        <w:t xml:space="preserve"> en est venue à concevoir [</w:t>
      </w:r>
      <w:r>
        <w:rPr>
          <w:rFonts w:cs="Times New Roman"/>
          <w:lang w:val="fr-CA"/>
        </w:rPr>
        <w:t>. . .</w:t>
      </w:r>
      <w:r w:rsidRPr="004C6457">
        <w:rPr>
          <w:rFonts w:cs="Times New Roman"/>
          <w:lang w:val="fr-CA"/>
        </w:rPr>
        <w:t>] que les témoins experts ont l’obligation d’aider le tribunal, qui l’emporte sur celle qu’ils doivent à la partie qui les cite. Le témoin qui ne peut ou ne veut s’acquitter de cette obligation n’est pas habile à exercer son rôle d’expert et devrait être exclu</w:t>
      </w:r>
      <w:r>
        <w:rPr>
          <w:rFonts w:cs="Times New Roman"/>
          <w:lang w:val="fr-CA"/>
        </w:rPr>
        <w:t> »</w:t>
      </w:r>
      <w:r w:rsidRPr="004C6457">
        <w:rPr>
          <w:rFonts w:cs="Times New Roman"/>
          <w:lang w:val="fr-CA"/>
        </w:rPr>
        <w:t xml:space="preserve"> (</w:t>
      </w:r>
      <w:r>
        <w:rPr>
          <w:rFonts w:cs="Times New Roman"/>
          <w:lang w:val="fr-CA"/>
        </w:rPr>
        <w:t>« </w:t>
      </w:r>
      <w:proofErr w:type="spellStart"/>
      <w:r w:rsidRPr="004C6457">
        <w:rPr>
          <w:rFonts w:cs="Times New Roman"/>
          <w:lang w:val="fr-FR"/>
        </w:rPr>
        <w:t>Taking</w:t>
      </w:r>
      <w:proofErr w:type="spellEnd"/>
      <w:r w:rsidRPr="004C6457">
        <w:rPr>
          <w:rFonts w:cs="Times New Roman"/>
          <w:lang w:val="fr-FR"/>
        </w:rPr>
        <w:t xml:space="preserve"> a “</w:t>
      </w:r>
      <w:proofErr w:type="spellStart"/>
      <w:r w:rsidRPr="004C6457">
        <w:rPr>
          <w:rFonts w:cs="Times New Roman"/>
          <w:lang w:val="fr-FR"/>
        </w:rPr>
        <w:t>Goudge</w:t>
      </w:r>
      <w:proofErr w:type="spellEnd"/>
      <w:r w:rsidRPr="004C6457">
        <w:rPr>
          <w:rFonts w:cs="Times New Roman"/>
          <w:lang w:val="fr-FR"/>
        </w:rPr>
        <w:t xml:space="preserve">” out of </w:t>
      </w:r>
      <w:proofErr w:type="spellStart"/>
      <w:r w:rsidRPr="004C6457">
        <w:rPr>
          <w:rFonts w:cs="Times New Roman"/>
          <w:lang w:val="fr-FR"/>
        </w:rPr>
        <w:t>Bluster</w:t>
      </w:r>
      <w:proofErr w:type="spellEnd"/>
      <w:r w:rsidRPr="004C6457">
        <w:rPr>
          <w:rFonts w:cs="Times New Roman"/>
          <w:lang w:val="fr-FR"/>
        </w:rPr>
        <w:t xml:space="preserve"> and </w:t>
      </w:r>
      <w:proofErr w:type="spellStart"/>
      <w:r w:rsidRPr="004C6457">
        <w:rPr>
          <w:rFonts w:cs="Times New Roman"/>
          <w:lang w:val="fr-FR"/>
        </w:rPr>
        <w:t>Blarney</w:t>
      </w:r>
      <w:proofErr w:type="spellEnd"/>
      <w:r w:rsidR="00731F53">
        <w:rPr>
          <w:rFonts w:cs="Times New Roman"/>
          <w:lang w:val="fr-FR"/>
        </w:rPr>
        <w:t xml:space="preserve"> </w:t>
      </w:r>
      <w:r w:rsidRPr="004C6457">
        <w:rPr>
          <w:rFonts w:cs="Times New Roman"/>
          <w:lang w:val="fr-FR"/>
        </w:rPr>
        <w:t>: an “Evidence</w:t>
      </w:r>
      <w:r>
        <w:rPr>
          <w:rFonts w:cs="Times New Roman"/>
          <w:lang w:val="fr-FR"/>
        </w:rPr>
        <w:t>-</w:t>
      </w:r>
      <w:proofErr w:type="spellStart"/>
      <w:r w:rsidRPr="004C6457">
        <w:rPr>
          <w:rFonts w:cs="Times New Roman"/>
          <w:lang w:val="fr-FR"/>
        </w:rPr>
        <w:t>Based</w:t>
      </w:r>
      <w:proofErr w:type="spellEnd"/>
      <w:r w:rsidRPr="004C6457">
        <w:rPr>
          <w:rFonts w:cs="Times New Roman"/>
          <w:lang w:val="fr-FR"/>
        </w:rPr>
        <w:t xml:space="preserve"> </w:t>
      </w:r>
      <w:proofErr w:type="spellStart"/>
      <w:r w:rsidRPr="004C6457">
        <w:rPr>
          <w:rFonts w:cs="Times New Roman"/>
          <w:lang w:val="fr-FR"/>
        </w:rPr>
        <w:t>Approach</w:t>
      </w:r>
      <w:proofErr w:type="spellEnd"/>
      <w:r w:rsidRPr="004C6457">
        <w:rPr>
          <w:rFonts w:cs="Times New Roman"/>
          <w:lang w:val="fr-FR"/>
        </w:rPr>
        <w:t xml:space="preserve">” to Expert </w:t>
      </w:r>
      <w:proofErr w:type="spellStart"/>
      <w:r w:rsidRPr="004C6457">
        <w:rPr>
          <w:rFonts w:cs="Times New Roman"/>
          <w:lang w:val="fr-FR"/>
        </w:rPr>
        <w:t>Testimony</w:t>
      </w:r>
      <w:proofErr w:type="spellEnd"/>
      <w:r>
        <w:rPr>
          <w:rFonts w:cs="Times New Roman"/>
          <w:lang w:val="fr-FR"/>
        </w:rPr>
        <w:t> »</w:t>
      </w:r>
      <w:r w:rsidRPr="004C6457">
        <w:rPr>
          <w:rFonts w:cs="Times New Roman"/>
          <w:lang w:val="fr-FR"/>
        </w:rPr>
        <w:t xml:space="preserve"> (2009), 13 </w:t>
      </w:r>
      <w:proofErr w:type="spellStart"/>
      <w:r w:rsidRPr="004C6457">
        <w:rPr>
          <w:rFonts w:cs="Times New Roman"/>
          <w:i/>
          <w:lang w:val="fr-CA"/>
        </w:rPr>
        <w:t>Rev</w:t>
      </w:r>
      <w:proofErr w:type="spellEnd"/>
      <w:r w:rsidRPr="004C6457">
        <w:rPr>
          <w:rFonts w:cs="Times New Roman"/>
          <w:i/>
          <w:lang w:val="fr-CA"/>
        </w:rPr>
        <w:t xml:space="preserve">. </w:t>
      </w:r>
      <w:proofErr w:type="spellStart"/>
      <w:r w:rsidRPr="004C6457">
        <w:rPr>
          <w:rFonts w:cs="Times New Roman"/>
          <w:i/>
          <w:lang w:val="fr-CA"/>
        </w:rPr>
        <w:t>can</w:t>
      </w:r>
      <w:proofErr w:type="spellEnd"/>
      <w:r w:rsidRPr="004C6457">
        <w:rPr>
          <w:rFonts w:cs="Times New Roman"/>
          <w:i/>
          <w:lang w:val="fr-CA"/>
        </w:rPr>
        <w:t>. D.P.</w:t>
      </w:r>
      <w:r>
        <w:rPr>
          <w:rFonts w:cs="Times New Roman"/>
          <w:i/>
          <w:lang w:val="fr-CA"/>
        </w:rPr>
        <w:t xml:space="preserve"> </w:t>
      </w:r>
      <w:r w:rsidRPr="004C6457">
        <w:rPr>
          <w:rFonts w:cs="Times New Roman"/>
          <w:lang w:val="fr-CA"/>
        </w:rPr>
        <w:t>135, p.</w:t>
      </w:r>
      <w:r>
        <w:rPr>
          <w:rFonts w:cs="Times New Roman"/>
          <w:lang w:val="fr-CA"/>
        </w:rPr>
        <w:t xml:space="preserve"> </w:t>
      </w:r>
      <w:r w:rsidRPr="004C6457">
        <w:rPr>
          <w:rFonts w:cs="Times New Roman"/>
          <w:lang w:val="fr-CA"/>
        </w:rPr>
        <w:t xml:space="preserve">152 (note de bas de page omise)). </w:t>
      </w:r>
      <w:r w:rsidRPr="004C6457">
        <w:rPr>
          <w:rFonts w:cs="Times New Roman"/>
          <w:lang w:val="fr-FR"/>
        </w:rPr>
        <w:t>Par conséquent, les témoins experts doivent être conscients de leur obligation principale envers le tribunal et pouvoir et vouloir s’en acquitter.</w:t>
      </w:r>
    </w:p>
    <w:p w:rsidR="001F4CC4" w:rsidRPr="004C6457" w:rsidRDefault="001F4CC4" w:rsidP="001F4CC4">
      <w:pPr>
        <w:pStyle w:val="ParaNoNdepar-AltN"/>
        <w:widowControl w:val="0"/>
        <w:rPr>
          <w:rFonts w:cs="Times New Roman"/>
          <w:lang w:val="fr-FR"/>
        </w:rPr>
      </w:pPr>
      <w:r w:rsidRPr="004C6457">
        <w:rPr>
          <w:rFonts w:cs="Times New Roman"/>
          <w:lang w:val="fr-FR"/>
        </w:rPr>
        <w:lastRenderedPageBreak/>
        <w:t xml:space="preserve">L’idée, en imposant ce critère supplémentaire, n’est pas de prolonger ni de complexifier les procès et il ne devrait pas en résulter un tel effet. Comme le souligne le professeur </w:t>
      </w:r>
      <w:proofErr w:type="spellStart"/>
      <w:r w:rsidRPr="004C6457">
        <w:rPr>
          <w:rFonts w:cs="Times New Roman"/>
          <w:lang w:val="fr-FR"/>
        </w:rPr>
        <w:t>Paciocco</w:t>
      </w:r>
      <w:proofErr w:type="spellEnd"/>
      <w:r w:rsidRPr="004C6457">
        <w:rPr>
          <w:rFonts w:cs="Times New Roman"/>
          <w:lang w:val="fr-FR"/>
        </w:rPr>
        <w:t>, à raison</w:t>
      </w:r>
      <w:r>
        <w:rPr>
          <w:rFonts w:cs="Times New Roman"/>
          <w:lang w:val="fr-FR"/>
        </w:rPr>
        <w:t> :</w:t>
      </w:r>
      <w:r w:rsidRPr="004C6457">
        <w:rPr>
          <w:rFonts w:cs="Times New Roman"/>
          <w:lang w:val="fr-FR"/>
        </w:rPr>
        <w:t xml:space="preserve"> </w:t>
      </w:r>
      <w:r w:rsidRPr="004C6457">
        <w:rPr>
          <w:rFonts w:cs="Times New Roman"/>
          <w:smallCaps/>
          <w:lang w:val="fr-FR"/>
        </w:rPr>
        <w:t>[traduction]</w:t>
      </w:r>
      <w:r w:rsidRPr="004C6457">
        <w:rPr>
          <w:rFonts w:cs="Times New Roman"/>
          <w:lang w:val="fr-FR"/>
        </w:rPr>
        <w:t xml:space="preserve"> </w:t>
      </w:r>
      <w:r>
        <w:rPr>
          <w:rFonts w:cs="Times New Roman"/>
          <w:lang w:val="fr-FR"/>
        </w:rPr>
        <w:t>« </w:t>
      </w:r>
      <w:r w:rsidR="0049022A">
        <w:rPr>
          <w:rFonts w:cs="Times New Roman"/>
          <w:lang w:val="fr-FR"/>
        </w:rPr>
        <w:t xml:space="preserve">. . . </w:t>
      </w:r>
      <w:r w:rsidRPr="004C6457">
        <w:rPr>
          <w:rFonts w:cs="Times New Roman"/>
          <w:lang w:val="fr-FR"/>
        </w:rPr>
        <w:t>si les débats sur la partialité deviennent chose courante pendant un voir</w:t>
      </w:r>
      <w:r>
        <w:rPr>
          <w:rFonts w:cs="Times New Roman"/>
          <w:lang w:val="fr-FR"/>
        </w:rPr>
        <w:t>-</w:t>
      </w:r>
      <w:r w:rsidRPr="004C6457">
        <w:rPr>
          <w:rFonts w:cs="Times New Roman"/>
          <w:lang w:val="fr-FR"/>
        </w:rPr>
        <w:t xml:space="preserve">dire de type </w:t>
      </w:r>
      <w:r w:rsidRPr="004C6457">
        <w:rPr>
          <w:rFonts w:cs="Times New Roman"/>
          <w:i/>
          <w:iCs/>
          <w:lang w:val="fr-FR"/>
        </w:rPr>
        <w:t>Mohan</w:t>
      </w:r>
      <w:r w:rsidRPr="004C6457">
        <w:rPr>
          <w:rFonts w:cs="Times New Roman"/>
          <w:lang w:val="fr-FR"/>
        </w:rPr>
        <w:t>, le témoignage qui sera donné au procès ne sera plus qu’une répétition inefficace de l’audience sur l’admissibilité</w:t>
      </w:r>
      <w:r>
        <w:rPr>
          <w:rFonts w:cs="Times New Roman"/>
          <w:lang w:val="fr-FR"/>
        </w:rPr>
        <w:t> »</w:t>
      </w:r>
      <w:r w:rsidRPr="004C6457">
        <w:rPr>
          <w:rFonts w:cs="Times New Roman"/>
          <w:lang w:val="fr-FR"/>
        </w:rPr>
        <w:t xml:space="preserve"> (</w:t>
      </w:r>
      <w:r>
        <w:rPr>
          <w:rFonts w:cs="Times New Roman"/>
          <w:lang w:val="fr-FR"/>
        </w:rPr>
        <w:t>« </w:t>
      </w:r>
      <w:proofErr w:type="spellStart"/>
      <w:r w:rsidRPr="004C6457">
        <w:rPr>
          <w:rFonts w:cs="Times New Roman"/>
          <w:iCs/>
          <w:lang w:val="fr-FR"/>
        </w:rPr>
        <w:t>Unplugging</w:t>
      </w:r>
      <w:proofErr w:type="spellEnd"/>
      <w:r w:rsidRPr="004C6457">
        <w:rPr>
          <w:rFonts w:cs="Times New Roman"/>
          <w:iCs/>
          <w:lang w:val="fr-FR"/>
        </w:rPr>
        <w:t xml:space="preserve"> Jukebox </w:t>
      </w:r>
      <w:proofErr w:type="spellStart"/>
      <w:r w:rsidRPr="004C6457">
        <w:rPr>
          <w:rFonts w:cs="Times New Roman"/>
          <w:iCs/>
          <w:lang w:val="fr-FR"/>
        </w:rPr>
        <w:t>Testimony</w:t>
      </w:r>
      <w:proofErr w:type="spellEnd"/>
      <w:r w:rsidRPr="004C6457">
        <w:rPr>
          <w:rFonts w:cs="Times New Roman"/>
          <w:iCs/>
          <w:lang w:val="fr-FR"/>
        </w:rPr>
        <w:t xml:space="preserve"> in an </w:t>
      </w:r>
      <w:proofErr w:type="spellStart"/>
      <w:r w:rsidRPr="004C6457">
        <w:rPr>
          <w:rFonts w:cs="Times New Roman"/>
          <w:iCs/>
          <w:lang w:val="fr-FR"/>
        </w:rPr>
        <w:t>Adversarial</w:t>
      </w:r>
      <w:proofErr w:type="spellEnd"/>
      <w:r w:rsidRPr="004C6457">
        <w:rPr>
          <w:rFonts w:cs="Times New Roman"/>
          <w:iCs/>
          <w:lang w:val="fr-FR"/>
        </w:rPr>
        <w:t xml:space="preserve"> System</w:t>
      </w:r>
      <w:r w:rsidR="00731F53">
        <w:rPr>
          <w:rFonts w:cs="Times New Roman"/>
          <w:iCs/>
          <w:lang w:val="fr-FR"/>
        </w:rPr>
        <w:t xml:space="preserve"> </w:t>
      </w:r>
      <w:r w:rsidRPr="004C6457">
        <w:rPr>
          <w:rFonts w:cs="Times New Roman"/>
          <w:iCs/>
          <w:lang w:val="fr-FR"/>
        </w:rPr>
        <w:t xml:space="preserve">: </w:t>
      </w:r>
      <w:proofErr w:type="spellStart"/>
      <w:r w:rsidRPr="004C6457">
        <w:rPr>
          <w:rFonts w:cs="Times New Roman"/>
          <w:iCs/>
          <w:lang w:val="fr-FR"/>
        </w:rPr>
        <w:t>Strategies</w:t>
      </w:r>
      <w:proofErr w:type="spellEnd"/>
      <w:r w:rsidRPr="004C6457">
        <w:rPr>
          <w:rFonts w:cs="Times New Roman"/>
          <w:iCs/>
          <w:lang w:val="fr-FR"/>
        </w:rPr>
        <w:t xml:space="preserve"> for </w:t>
      </w:r>
      <w:proofErr w:type="spellStart"/>
      <w:r w:rsidRPr="004C6457">
        <w:rPr>
          <w:rFonts w:cs="Times New Roman"/>
          <w:iCs/>
          <w:lang w:val="fr-FR"/>
        </w:rPr>
        <w:t>Changing</w:t>
      </w:r>
      <w:proofErr w:type="spellEnd"/>
      <w:r w:rsidRPr="004C6457">
        <w:rPr>
          <w:rFonts w:cs="Times New Roman"/>
          <w:iCs/>
          <w:lang w:val="fr-FR"/>
        </w:rPr>
        <w:t xml:space="preserve"> the Tune on Partial Experts</w:t>
      </w:r>
      <w:r w:rsidRPr="001F4CC4">
        <w:rPr>
          <w:rFonts w:cs="Times New Roman"/>
          <w:iCs/>
          <w:lang w:val="fr-FR"/>
        </w:rPr>
        <w:t> »</w:t>
      </w:r>
      <w:r w:rsidRPr="004C6457">
        <w:rPr>
          <w:rFonts w:cs="Times New Roman"/>
          <w:lang w:val="fr-FR"/>
        </w:rPr>
        <w:t xml:space="preserve"> (2009), 34 </w:t>
      </w:r>
      <w:proofErr w:type="spellStart"/>
      <w:r w:rsidRPr="004C6457">
        <w:rPr>
          <w:rFonts w:cs="Times New Roman"/>
          <w:i/>
          <w:lang w:val="fr-FR"/>
        </w:rPr>
        <w:t>Queen’s</w:t>
      </w:r>
      <w:proofErr w:type="spellEnd"/>
      <w:r w:rsidRPr="004C6457">
        <w:rPr>
          <w:rFonts w:cs="Times New Roman"/>
          <w:i/>
          <w:lang w:val="fr-FR"/>
        </w:rPr>
        <w:t xml:space="preserve"> L.J.</w:t>
      </w:r>
      <w:r w:rsidRPr="004C6457">
        <w:rPr>
          <w:rFonts w:cs="Times New Roman"/>
          <w:lang w:val="fr-FR"/>
        </w:rPr>
        <w:t xml:space="preserve"> 565 (</w:t>
      </w:r>
      <w:r>
        <w:rPr>
          <w:rFonts w:cs="Times New Roman"/>
          <w:lang w:val="fr-FR"/>
        </w:rPr>
        <w:t>« </w:t>
      </w:r>
      <w:r w:rsidRPr="004C6457">
        <w:rPr>
          <w:rFonts w:cs="Times New Roman"/>
          <w:lang w:val="fr-FR"/>
        </w:rPr>
        <w:t>Jukebox</w:t>
      </w:r>
      <w:r>
        <w:rPr>
          <w:rFonts w:cs="Times New Roman"/>
          <w:lang w:val="fr-FR"/>
        </w:rPr>
        <w:t> »</w:t>
      </w:r>
      <w:r w:rsidRPr="004C6457">
        <w:rPr>
          <w:rFonts w:cs="Times New Roman"/>
          <w:lang w:val="fr-FR"/>
        </w:rPr>
        <w:t>), p.</w:t>
      </w:r>
      <w:r>
        <w:rPr>
          <w:rFonts w:cs="Times New Roman"/>
          <w:lang w:val="fr-FR"/>
        </w:rPr>
        <w:t xml:space="preserve"> </w:t>
      </w:r>
      <w:r w:rsidRPr="004C6457">
        <w:rPr>
          <w:rFonts w:cs="Times New Roman"/>
          <w:lang w:val="fr-FR"/>
        </w:rPr>
        <w:t xml:space="preserve">597). Sans aller jusqu’à affirmer qu’il faut présumer l’indépendance et l’impartialité de l’expert si elles ne sont pas contestées, je pense qu’en l’absence d’une telle contestation, il est généralement satisfait au critère dès lors que l’expert, dans son attestation ou sa déposition, reconnaît son obligation et l’accepte. </w:t>
      </w:r>
    </w:p>
    <w:p w:rsidR="001F4CC4" w:rsidRPr="004C6457" w:rsidRDefault="001F4CC4" w:rsidP="001F4CC4">
      <w:pPr>
        <w:pStyle w:val="ParaNoNdepar-AltN"/>
        <w:widowControl w:val="0"/>
        <w:rPr>
          <w:rFonts w:cs="Times New Roman"/>
          <w:lang w:val="fr-FR"/>
        </w:rPr>
      </w:pPr>
      <w:r w:rsidRPr="004C6457">
        <w:rPr>
          <w:rFonts w:cs="Times New Roman"/>
          <w:lang w:val="fr-FR"/>
        </w:rPr>
        <w:t xml:space="preserve">Une fois que l’expert a produit cette attestation ou a déposé sous serment en ce sens, il incombe à la partie qui s’oppose à l’admission du témoignage de démontrer un motif réaliste de le juger inadmissible au motif que l’expert ne peut ou ne veut s’acquitter de son obligation. Si elle réussit, la charge de démontrer, selon </w:t>
      </w:r>
      <w:r w:rsidRPr="004C6457">
        <w:rPr>
          <w:rFonts w:cs="Times New Roman"/>
          <w:shd w:val="clear" w:color="auto" w:fill="FFFFFF"/>
          <w:lang w:val="fr-FR"/>
        </w:rPr>
        <w:t>la prépondérance des probabilités,</w:t>
      </w:r>
      <w:r w:rsidRPr="004C6457">
        <w:rPr>
          <w:rFonts w:cs="Times New Roman"/>
          <w:lang w:val="fr-FR"/>
        </w:rPr>
        <w:t xml:space="preserve"> qu’il a été satisfait à ce critère d’admissibilité incombe toujours à la partie qui entend présenter le témoignage</w:t>
      </w:r>
      <w:r w:rsidRPr="004C6457">
        <w:rPr>
          <w:rFonts w:cs="Times New Roman"/>
          <w:shd w:val="clear" w:color="auto" w:fill="FFFFFF"/>
          <w:lang w:val="fr-FR"/>
        </w:rPr>
        <w:t xml:space="preserve">. Si elle n’y parvient </w:t>
      </w:r>
      <w:r w:rsidRPr="004C6457">
        <w:rPr>
          <w:rFonts w:cs="Times New Roman"/>
          <w:lang w:val="fr-FR"/>
        </w:rPr>
        <w:t>pas, le témoignage, ou les parties de celui</w:t>
      </w:r>
      <w:r>
        <w:rPr>
          <w:rFonts w:cs="Times New Roman"/>
          <w:lang w:val="fr-FR"/>
        </w:rPr>
        <w:t>-</w:t>
      </w:r>
      <w:r w:rsidRPr="004C6457">
        <w:rPr>
          <w:rFonts w:cs="Times New Roman"/>
          <w:lang w:val="fr-FR"/>
        </w:rPr>
        <w:t xml:space="preserve">ci qui sont viciées par un manque d’indépendance ou d’impartialité, devrait être exclu. Cette démarche est conforme à la règle générale du cadre établi dans l’arrêt </w:t>
      </w:r>
      <w:r w:rsidRPr="004C6457">
        <w:rPr>
          <w:rFonts w:cs="Times New Roman"/>
          <w:i/>
          <w:lang w:val="fr-FR"/>
        </w:rPr>
        <w:t>Mohan</w:t>
      </w:r>
      <w:r w:rsidRPr="004C6457">
        <w:rPr>
          <w:rFonts w:cs="Times New Roman"/>
          <w:lang w:val="fr-FR"/>
        </w:rPr>
        <w:t>, et généralement en droit de la preuve, selon laquelle il revient à la partie qui produit la preuve d’en établir l’admissibilité.</w:t>
      </w:r>
    </w:p>
    <w:p w:rsidR="001F4CC4" w:rsidRPr="004C6457" w:rsidRDefault="001F4CC4" w:rsidP="001F4CC4">
      <w:pPr>
        <w:pStyle w:val="ParaNoNdepar-AltN"/>
        <w:widowControl w:val="0"/>
        <w:rPr>
          <w:rFonts w:cs="Times New Roman"/>
          <w:lang w:val="fr-FR"/>
        </w:rPr>
      </w:pPr>
      <w:r w:rsidRPr="004C6457">
        <w:rPr>
          <w:rFonts w:cs="Times New Roman"/>
          <w:lang w:val="fr-FR"/>
        </w:rPr>
        <w:lastRenderedPageBreak/>
        <w:t>Ce critère n’est pas particulièrement exigeant, et il sera probablement très rare que le témoignage de l’expert proposé soit jugé inadmissible au motif qu’il ne satisfait pas au critère. Le juge de première instance doit déterminer, compte tenu tant de la situation particulière de l’expert que de la teneur du témoignage proposé, si l’expert peut ou veut s’acquitter de sa principale obligation envers le tribunal.</w:t>
      </w:r>
      <w:r>
        <w:rPr>
          <w:rFonts w:cs="Times New Roman"/>
          <w:lang w:val="fr-FR"/>
        </w:rPr>
        <w:t xml:space="preserve"> </w:t>
      </w:r>
      <w:r w:rsidRPr="004C6457">
        <w:rPr>
          <w:rFonts w:cs="Times New Roman"/>
          <w:lang w:val="fr-FR"/>
        </w:rPr>
        <w:t>Par exemple, c’est la nature et le degré de l’intérêt ou des rapports qu’a l’expert avec l’instance ou une partie qui importent, et non leur simple existence</w:t>
      </w:r>
      <w:r>
        <w:rPr>
          <w:rFonts w:cs="Times New Roman"/>
          <w:lang w:val="fr-FR"/>
        </w:rPr>
        <w:t> :</w:t>
      </w:r>
      <w:r w:rsidRPr="004C6457">
        <w:rPr>
          <w:rFonts w:cs="Times New Roman"/>
          <w:lang w:val="fr-FR"/>
        </w:rPr>
        <w:t xml:space="preserve"> un intérêt ou un rapport quelconque ne rend pas d’emblée la preuve de l’expert proposé inadmissible. Dans la plupart des cas, l’existence d’une simple relation d’emploi entre l’expert et la partie qui le cite n’emporte pas l’inadmissibilité de la preuve. En revanche, un intérêt financier direct dans l’issue du litige suscite des préoccupations. Il en va ainsi des liens familiaux étroits avec une partie et des situations où l’expert proposé s’expose à une responsabilité professionnelle si le tribunal ne retient pas son opinion. De même, l’expert qui, dans sa déposition ou d’une autre manière, se fait le défenseur d’une partie ne peut ou ne veut manifestement pas s’acquitter de sa principale obligation envers le tribunal. Je tiens à souligner que la décision d’exclure le témoignage à la première étape de l’analyse pour non</w:t>
      </w:r>
      <w:r>
        <w:rPr>
          <w:rFonts w:cs="Times New Roman"/>
          <w:lang w:val="fr-FR"/>
        </w:rPr>
        <w:t>-</w:t>
      </w:r>
      <w:r w:rsidRPr="004C6457">
        <w:rPr>
          <w:rFonts w:cs="Times New Roman"/>
          <w:lang w:val="fr-FR"/>
        </w:rPr>
        <w:t xml:space="preserve">conformité aux critères d’admissibilité ne devrait être prise que dans les cas manifestes où l’expert proposé ne peut ou ne veut fournir une preuve juste, objective et impartiale. Dans les autres cas, le témoignage ne devrait pas être exclu d’office, et son admissibilité sera déterminée à l’issue d’une pondération globale du coût et des bénéfices de son admission. </w:t>
      </w:r>
    </w:p>
    <w:p w:rsidR="001F4CC4" w:rsidRPr="004C6457" w:rsidRDefault="001F4CC4" w:rsidP="001F4CC4">
      <w:pPr>
        <w:pStyle w:val="ParaNoNdepar-AltN"/>
        <w:widowControl w:val="0"/>
        <w:rPr>
          <w:rFonts w:cs="Times New Roman"/>
          <w:lang w:val="fr-FR"/>
        </w:rPr>
      </w:pPr>
      <w:r w:rsidRPr="004C6457">
        <w:rPr>
          <w:rFonts w:cs="Times New Roman"/>
          <w:lang w:val="fr-FR"/>
        </w:rPr>
        <w:t xml:space="preserve">Comme nous l’avons vu en examinant la jurisprudence anglaise, la décision de permettre ou non à un expert de témoigner malgré son intérêt dans un </w:t>
      </w:r>
      <w:r w:rsidRPr="004C6457">
        <w:rPr>
          <w:rFonts w:cs="Times New Roman"/>
          <w:lang w:val="fr-FR"/>
        </w:rPr>
        <w:lastRenderedPageBreak/>
        <w:t>litige ou son rapport avec celui</w:t>
      </w:r>
      <w:r>
        <w:rPr>
          <w:rFonts w:cs="Times New Roman"/>
          <w:lang w:val="fr-FR"/>
        </w:rPr>
        <w:t>-</w:t>
      </w:r>
      <w:r w:rsidRPr="004C6457">
        <w:rPr>
          <w:rFonts w:cs="Times New Roman"/>
          <w:lang w:val="fr-FR"/>
        </w:rPr>
        <w:t>ci dépend de leur importance et des faits. La notion d’apparence de parti pris n’est pas pertinente lorsqu’il s’agit de déterminer si le témoin expert pourra ou voudra s’acquitter de sa principale obligation envers le tribunal. Lorsque l’on se penche sur l’intérêt d’un expert ou sur ses rapports avec une partie, il ne s’agit pas de se demander si un observateur raisonnable penserait que l’expert est indépendant ou non; il s’agit plutôt de déterminer si la relation de l’expert avec une partie ou son intérêt fait en sorte qu’il ne peut ou ne veut s’acquitter de sa principale obligation envers le tribunal, en l’occurrence apporter au tribunal une aide juste, objective et impartiale.</w:t>
      </w:r>
    </w:p>
    <w:p w:rsidR="001F4CC4" w:rsidRPr="004C6457" w:rsidRDefault="001F4CC4" w:rsidP="001F4CC4">
      <w:pPr>
        <w:pStyle w:val="ParaNoNdepar-AltN"/>
        <w:widowControl w:val="0"/>
        <w:rPr>
          <w:rFonts w:cs="Times New Roman"/>
          <w:lang w:val="fr-FR"/>
        </w:rPr>
      </w:pPr>
      <w:r w:rsidRPr="004C6457">
        <w:rPr>
          <w:rFonts w:cs="Times New Roman"/>
          <w:lang w:val="fr-FR"/>
        </w:rPr>
        <w:t>Nous avons posé le cadre analytique, défini l’obligation de l’expert et établi que le respect de cette dernière joue au regard de l’admissibilité, et non simplement de la valeur probante. Voyons ensuite où cette obligation s’inscrit dans le cadre analytique régissant l’admissibilité du témoignage d’opinion d’un expert.</w:t>
      </w:r>
    </w:p>
    <w:p w:rsidR="001F4CC4" w:rsidRPr="004C6457" w:rsidRDefault="001F4CC4" w:rsidP="001F4CC4">
      <w:pPr>
        <w:pStyle w:val="Title2LevelTitre2Niveau"/>
        <w:widowControl w:val="0"/>
        <w:ind w:left="578" w:hanging="578"/>
        <w:rPr>
          <w:rFonts w:cs="Times New Roman"/>
          <w:lang w:val="fr-FR"/>
        </w:rPr>
      </w:pPr>
      <w:r w:rsidRPr="004C6457">
        <w:rPr>
          <w:rFonts w:cs="Times New Roman"/>
          <w:lang w:val="fr-FR"/>
        </w:rPr>
        <w:t>L’analyse au sein du cadre établi par l’arrêt Mohan</w:t>
      </w:r>
    </w:p>
    <w:p w:rsidR="001F4CC4" w:rsidRPr="004C6457" w:rsidRDefault="001F4CC4" w:rsidP="001F4CC4">
      <w:pPr>
        <w:pStyle w:val="Title3LevelTitre3Niveau"/>
        <w:widowControl w:val="0"/>
        <w:tabs>
          <w:tab w:val="num" w:pos="1080"/>
        </w:tabs>
        <w:ind w:left="1080" w:hanging="540"/>
        <w:rPr>
          <w:rFonts w:cs="Times New Roman"/>
          <w:lang w:val="fr-FR"/>
        </w:rPr>
      </w:pPr>
      <w:r w:rsidRPr="004C6457">
        <w:rPr>
          <w:rFonts w:cs="Times New Roman"/>
          <w:lang w:val="fr-FR"/>
        </w:rPr>
        <w:t>L’analyse fondée sur les critères d’admissibilité</w:t>
      </w:r>
    </w:p>
    <w:p w:rsidR="001F4CC4" w:rsidRPr="004C6457" w:rsidRDefault="001F4CC4" w:rsidP="001F4CC4">
      <w:pPr>
        <w:pStyle w:val="ParaNoNdepar-AltN"/>
        <w:widowControl w:val="0"/>
        <w:tabs>
          <w:tab w:val="clear" w:pos="1166"/>
          <w:tab w:val="num" w:pos="1152"/>
        </w:tabs>
        <w:rPr>
          <w:rFonts w:cs="Times New Roman"/>
          <w:lang w:val="fr-FR"/>
        </w:rPr>
      </w:pPr>
      <w:r w:rsidRPr="004C6457">
        <w:rPr>
          <w:rFonts w:cs="Times New Roman"/>
          <w:lang w:val="fr-FR"/>
        </w:rPr>
        <w:t xml:space="preserve">Les tribunaux ont abordé la question de l’indépendance et de l’impartialité à divers stades de l’examen des critères d’admissibilité. Presque tous les volets du cadre établi par l’arrêt </w:t>
      </w:r>
      <w:r w:rsidRPr="004C6457">
        <w:rPr>
          <w:rFonts w:cs="Times New Roman"/>
          <w:i/>
          <w:iCs/>
          <w:lang w:val="fr-FR"/>
        </w:rPr>
        <w:t>Mohan</w:t>
      </w:r>
      <w:r w:rsidRPr="004C6457">
        <w:rPr>
          <w:rFonts w:cs="Times New Roman"/>
          <w:lang w:val="fr-FR"/>
        </w:rPr>
        <w:t xml:space="preserve"> ont servi à l’examen des préoccupations relatives au parti pris</w:t>
      </w:r>
      <w:r>
        <w:rPr>
          <w:rFonts w:cs="Times New Roman"/>
          <w:lang w:val="fr-FR"/>
        </w:rPr>
        <w:t> :</w:t>
      </w:r>
      <w:r w:rsidRPr="004C6457">
        <w:rPr>
          <w:rFonts w:cs="Times New Roman"/>
          <w:lang w:val="fr-FR"/>
        </w:rPr>
        <w:t xml:space="preserve"> la qualification requise (voir, p.</w:t>
      </w:r>
      <w:r>
        <w:rPr>
          <w:rFonts w:cs="Times New Roman"/>
          <w:lang w:val="fr-FR"/>
        </w:rPr>
        <w:t xml:space="preserve"> </w:t>
      </w:r>
      <w:r w:rsidRPr="004C6457">
        <w:rPr>
          <w:rFonts w:cs="Times New Roman"/>
          <w:lang w:val="fr-FR"/>
        </w:rPr>
        <w:t xml:space="preserve">ex., </w:t>
      </w:r>
      <w:r w:rsidRPr="004C6457">
        <w:rPr>
          <w:rFonts w:cs="Times New Roman"/>
          <w:i/>
          <w:iCs/>
          <w:lang w:val="fr-CA"/>
        </w:rPr>
        <w:t xml:space="preserve">Bank of </w:t>
      </w:r>
      <w:proofErr w:type="spellStart"/>
      <w:r w:rsidRPr="004C6457">
        <w:rPr>
          <w:rFonts w:cs="Times New Roman"/>
          <w:i/>
          <w:iCs/>
          <w:lang w:val="fr-CA"/>
        </w:rPr>
        <w:t>Montreal</w:t>
      </w:r>
      <w:proofErr w:type="spellEnd"/>
      <w:r w:rsidRPr="004C6457">
        <w:rPr>
          <w:rFonts w:cs="Times New Roman"/>
          <w:iCs/>
          <w:lang w:val="fr-CA"/>
        </w:rPr>
        <w:t>;</w:t>
      </w:r>
      <w:r w:rsidRPr="004C6457">
        <w:rPr>
          <w:rFonts w:cs="Times New Roman"/>
          <w:lang w:val="fr-FR"/>
        </w:rPr>
        <w:t xml:space="preserve"> </w:t>
      </w:r>
      <w:r w:rsidRPr="004C6457">
        <w:rPr>
          <w:rFonts w:cs="Times New Roman"/>
          <w:i/>
          <w:iCs/>
          <w:lang w:val="fr-FR"/>
        </w:rPr>
        <w:t>Dean Construction</w:t>
      </w:r>
      <w:r w:rsidRPr="004C6457">
        <w:rPr>
          <w:rFonts w:cs="Times New Roman"/>
          <w:lang w:val="fr-FR"/>
        </w:rPr>
        <w:t xml:space="preserve">; </w:t>
      </w:r>
      <w:proofErr w:type="spellStart"/>
      <w:r w:rsidRPr="004C6457">
        <w:rPr>
          <w:rFonts w:cs="Times New Roman"/>
          <w:i/>
          <w:iCs/>
          <w:lang w:val="fr-FR"/>
        </w:rPr>
        <w:t>Agribrands</w:t>
      </w:r>
      <w:proofErr w:type="spellEnd"/>
      <w:r w:rsidRPr="004C6457">
        <w:rPr>
          <w:rFonts w:cs="Times New Roman"/>
          <w:i/>
          <w:iCs/>
          <w:lang w:val="fr-FR"/>
        </w:rPr>
        <w:t xml:space="preserve"> </w:t>
      </w:r>
      <w:proofErr w:type="spellStart"/>
      <w:r w:rsidRPr="004C6457">
        <w:rPr>
          <w:rFonts w:cs="Times New Roman"/>
          <w:i/>
          <w:iCs/>
          <w:lang w:val="fr-FR"/>
        </w:rPr>
        <w:t>Purina</w:t>
      </w:r>
      <w:proofErr w:type="spellEnd"/>
      <w:r w:rsidRPr="004C6457">
        <w:rPr>
          <w:rFonts w:cs="Times New Roman"/>
          <w:i/>
          <w:iCs/>
          <w:lang w:val="fr-FR"/>
        </w:rPr>
        <w:t xml:space="preserve"> Canada Inc. c. </w:t>
      </w:r>
      <w:proofErr w:type="spellStart"/>
      <w:r w:rsidRPr="004C6457">
        <w:rPr>
          <w:rFonts w:cs="Times New Roman"/>
          <w:i/>
          <w:iCs/>
          <w:lang w:val="fr-FR"/>
        </w:rPr>
        <w:t>Kasamekas</w:t>
      </w:r>
      <w:proofErr w:type="spellEnd"/>
      <w:r w:rsidRPr="004C6457">
        <w:rPr>
          <w:rFonts w:cs="Times New Roman"/>
          <w:lang w:val="fr-FR"/>
        </w:rPr>
        <w:t xml:space="preserve">, 2010 ONSC 166; </w:t>
      </w:r>
      <w:r w:rsidRPr="004C6457">
        <w:rPr>
          <w:rFonts w:cs="Times New Roman"/>
          <w:i/>
          <w:iCs/>
          <w:lang w:val="fr-FR"/>
        </w:rPr>
        <w:t xml:space="preserve">R. c. </w:t>
      </w:r>
      <w:proofErr w:type="spellStart"/>
      <w:r w:rsidRPr="004C6457">
        <w:rPr>
          <w:rFonts w:cs="Times New Roman"/>
          <w:i/>
          <w:iCs/>
          <w:lang w:val="fr-FR"/>
        </w:rPr>
        <w:lastRenderedPageBreak/>
        <w:t>Demetrius</w:t>
      </w:r>
      <w:proofErr w:type="spellEnd"/>
      <w:r w:rsidRPr="004C6457">
        <w:rPr>
          <w:rFonts w:cs="Times New Roman"/>
          <w:lang w:val="fr-FR"/>
        </w:rPr>
        <w:t xml:space="preserve">, 2009 </w:t>
      </w:r>
      <w:proofErr w:type="spellStart"/>
      <w:r w:rsidRPr="004C6457">
        <w:rPr>
          <w:rFonts w:cs="Times New Roman"/>
          <w:lang w:val="fr-FR"/>
        </w:rPr>
        <w:t>CanLII</w:t>
      </w:r>
      <w:proofErr w:type="spellEnd"/>
      <w:r w:rsidRPr="004C6457">
        <w:rPr>
          <w:rFonts w:cs="Times New Roman"/>
          <w:lang w:val="fr-FR"/>
        </w:rPr>
        <w:t xml:space="preserve"> 22797 (C.S.J. Ont.)</w:t>
      </w:r>
      <w:r w:rsidR="001923C5">
        <w:rPr>
          <w:rFonts w:cs="Times New Roman"/>
          <w:lang w:val="fr-FR"/>
        </w:rPr>
        <w:t>)</w:t>
      </w:r>
      <w:r w:rsidR="00731F53">
        <w:rPr>
          <w:rFonts w:cs="Times New Roman"/>
          <w:lang w:val="fr-FR"/>
        </w:rPr>
        <w:t>;</w:t>
      </w:r>
      <w:r w:rsidRPr="004C6457">
        <w:rPr>
          <w:rFonts w:cs="Times New Roman"/>
          <w:lang w:val="fr-FR"/>
        </w:rPr>
        <w:t xml:space="preserve"> la nécessité (voir, p.</w:t>
      </w:r>
      <w:r>
        <w:rPr>
          <w:rFonts w:cs="Times New Roman"/>
          <w:lang w:val="fr-FR"/>
        </w:rPr>
        <w:t xml:space="preserve"> </w:t>
      </w:r>
      <w:r w:rsidRPr="004C6457">
        <w:rPr>
          <w:rFonts w:cs="Times New Roman"/>
          <w:lang w:val="fr-FR"/>
        </w:rPr>
        <w:t xml:space="preserve">ex., </w:t>
      </w:r>
      <w:proofErr w:type="spellStart"/>
      <w:r w:rsidRPr="004C6457">
        <w:rPr>
          <w:rFonts w:cs="Times New Roman"/>
          <w:i/>
          <w:iCs/>
          <w:lang w:val="fr-FR"/>
        </w:rPr>
        <w:t>Docherty</w:t>
      </w:r>
      <w:proofErr w:type="spellEnd"/>
      <w:r w:rsidRPr="004C6457">
        <w:rPr>
          <w:rFonts w:cs="Times New Roman"/>
          <w:lang w:val="fr-FR"/>
        </w:rPr>
        <w:t xml:space="preserve">; </w:t>
      </w:r>
      <w:proofErr w:type="spellStart"/>
      <w:r w:rsidRPr="004C6457">
        <w:rPr>
          <w:rFonts w:cs="Times New Roman"/>
          <w:i/>
          <w:iCs/>
          <w:lang w:val="fr-FR"/>
        </w:rPr>
        <w:t>Alfano</w:t>
      </w:r>
      <w:proofErr w:type="spellEnd"/>
      <w:r w:rsidRPr="004C6457">
        <w:rPr>
          <w:rFonts w:cs="Times New Roman"/>
          <w:lang w:val="fr-FR"/>
        </w:rPr>
        <w:t>)</w:t>
      </w:r>
      <w:r w:rsidR="001923C5">
        <w:rPr>
          <w:rFonts w:cs="Times New Roman"/>
          <w:lang w:val="fr-FR"/>
        </w:rPr>
        <w:t>;</w:t>
      </w:r>
      <w:r w:rsidRPr="004C6457">
        <w:rPr>
          <w:rFonts w:cs="Times New Roman"/>
          <w:lang w:val="fr-FR"/>
        </w:rPr>
        <w:t xml:space="preserve"> et l’analyse coût</w:t>
      </w:r>
      <w:r>
        <w:rPr>
          <w:rFonts w:cs="Times New Roman"/>
          <w:lang w:val="fr-FR"/>
        </w:rPr>
        <w:t>-</w:t>
      </w:r>
      <w:r w:rsidRPr="004C6457">
        <w:rPr>
          <w:rFonts w:cs="Times New Roman"/>
          <w:lang w:val="fr-FR"/>
        </w:rPr>
        <w:t>bénéfices, qui appelle l’exercice d’un pouvoir discrétionnaire (voir, p.</w:t>
      </w:r>
      <w:r>
        <w:rPr>
          <w:rFonts w:cs="Times New Roman"/>
          <w:lang w:val="fr-FR"/>
        </w:rPr>
        <w:t xml:space="preserve"> </w:t>
      </w:r>
      <w:r w:rsidRPr="004C6457">
        <w:rPr>
          <w:rFonts w:cs="Times New Roman"/>
          <w:lang w:val="fr-FR"/>
        </w:rPr>
        <w:t xml:space="preserve">ex., </w:t>
      </w:r>
      <w:r w:rsidRPr="004C6457">
        <w:rPr>
          <w:rFonts w:cs="Times New Roman"/>
          <w:i/>
          <w:iCs/>
          <w:lang w:val="fr-FR"/>
        </w:rPr>
        <w:t xml:space="preserve">United City </w:t>
      </w:r>
      <w:proofErr w:type="spellStart"/>
      <w:r w:rsidRPr="004C6457">
        <w:rPr>
          <w:rFonts w:cs="Times New Roman"/>
          <w:i/>
          <w:iCs/>
          <w:lang w:val="fr-FR"/>
        </w:rPr>
        <w:t>Properties</w:t>
      </w:r>
      <w:proofErr w:type="spellEnd"/>
      <w:r w:rsidRPr="004C6457">
        <w:rPr>
          <w:rFonts w:cs="Times New Roman"/>
          <w:lang w:val="fr-FR"/>
        </w:rPr>
        <w:t xml:space="preserve">; </w:t>
      </w:r>
      <w:r w:rsidRPr="004C6457">
        <w:rPr>
          <w:rFonts w:cs="Times New Roman"/>
          <w:i/>
          <w:lang w:val="fr-FR"/>
        </w:rPr>
        <w:t xml:space="preserve">Abbey </w:t>
      </w:r>
      <w:r w:rsidRPr="004C6457">
        <w:rPr>
          <w:rFonts w:cs="Times New Roman"/>
          <w:lang w:val="fr-FR"/>
        </w:rPr>
        <w:t>(ONCA)). À d’autres occasions, les tribunaux en ont fait un critère distinct (voir, p.</w:t>
      </w:r>
      <w:r>
        <w:rPr>
          <w:rFonts w:cs="Times New Roman"/>
          <w:lang w:val="fr-FR"/>
        </w:rPr>
        <w:t xml:space="preserve"> </w:t>
      </w:r>
      <w:r w:rsidRPr="004C6457">
        <w:rPr>
          <w:rFonts w:cs="Times New Roman"/>
          <w:lang w:val="fr-FR"/>
        </w:rPr>
        <w:t xml:space="preserve">ex., </w:t>
      </w:r>
      <w:proofErr w:type="spellStart"/>
      <w:r w:rsidRPr="004C6457">
        <w:rPr>
          <w:rFonts w:cs="Times New Roman"/>
          <w:i/>
          <w:lang w:val="fr-FR"/>
        </w:rPr>
        <w:t>D</w:t>
      </w:r>
      <w:r w:rsidRPr="004C6457">
        <w:rPr>
          <w:rFonts w:cs="Times New Roman"/>
          <w:i/>
          <w:iCs/>
          <w:lang w:val="fr-FR"/>
        </w:rPr>
        <w:t>ocherty</w:t>
      </w:r>
      <w:proofErr w:type="spellEnd"/>
      <w:r w:rsidRPr="004C6457">
        <w:rPr>
          <w:rFonts w:cs="Times New Roman"/>
          <w:lang w:val="fr-FR"/>
        </w:rPr>
        <w:t xml:space="preserve">; </w:t>
      </w:r>
      <w:r w:rsidRPr="004C6457">
        <w:rPr>
          <w:rFonts w:cs="Times New Roman"/>
          <w:i/>
          <w:iCs/>
          <w:lang w:val="fr-FR"/>
        </w:rPr>
        <w:t>International Hi</w:t>
      </w:r>
      <w:r>
        <w:rPr>
          <w:rFonts w:cs="Times New Roman"/>
          <w:i/>
          <w:iCs/>
          <w:lang w:val="fr-FR"/>
        </w:rPr>
        <w:t>-</w:t>
      </w:r>
      <w:r w:rsidRPr="004C6457">
        <w:rPr>
          <w:rFonts w:cs="Times New Roman"/>
          <w:i/>
          <w:iCs/>
          <w:lang w:val="fr-FR"/>
        </w:rPr>
        <w:t xml:space="preserve">Tech Industries Inc. c. FANUC </w:t>
      </w:r>
      <w:proofErr w:type="spellStart"/>
      <w:r w:rsidRPr="004C6457">
        <w:rPr>
          <w:rFonts w:cs="Times New Roman"/>
          <w:i/>
          <w:iCs/>
          <w:lang w:val="fr-FR"/>
        </w:rPr>
        <w:t>Robotics</w:t>
      </w:r>
      <w:proofErr w:type="spellEnd"/>
      <w:r w:rsidRPr="004C6457">
        <w:rPr>
          <w:rFonts w:cs="Times New Roman"/>
          <w:i/>
          <w:iCs/>
          <w:lang w:val="fr-FR"/>
        </w:rPr>
        <w:t xml:space="preserve"> Canada Ltd.</w:t>
      </w:r>
      <w:r w:rsidRPr="004C6457">
        <w:rPr>
          <w:rFonts w:cs="Times New Roman"/>
          <w:lang w:val="fr-FR"/>
        </w:rPr>
        <w:t xml:space="preserve">, 2006 BCSC 2011; </w:t>
      </w:r>
      <w:proofErr w:type="spellStart"/>
      <w:r w:rsidRPr="004C6457">
        <w:rPr>
          <w:rFonts w:cs="Times New Roman"/>
          <w:i/>
          <w:iCs/>
          <w:lang w:val="fr-FR"/>
        </w:rPr>
        <w:t>Casurina</w:t>
      </w:r>
      <w:proofErr w:type="spellEnd"/>
      <w:r w:rsidRPr="004C6457">
        <w:rPr>
          <w:rFonts w:cs="Times New Roman"/>
          <w:i/>
          <w:iCs/>
          <w:lang w:val="fr-FR"/>
        </w:rPr>
        <w:t xml:space="preserve"> Ltd. </w:t>
      </w:r>
      <w:r w:rsidRPr="004C6457">
        <w:rPr>
          <w:rFonts w:cs="Times New Roman"/>
          <w:i/>
          <w:iCs/>
          <w:lang w:val="en-US"/>
        </w:rPr>
        <w:t xml:space="preserve">Partnership c. Rio </w:t>
      </w:r>
      <w:proofErr w:type="spellStart"/>
      <w:r w:rsidRPr="004C6457">
        <w:rPr>
          <w:rFonts w:cs="Times New Roman"/>
          <w:i/>
          <w:iCs/>
          <w:lang w:val="en-US"/>
        </w:rPr>
        <w:t>Algom</w:t>
      </w:r>
      <w:proofErr w:type="spellEnd"/>
      <w:r w:rsidRPr="004C6457">
        <w:rPr>
          <w:rFonts w:cs="Times New Roman"/>
          <w:i/>
          <w:iCs/>
          <w:lang w:val="en-US"/>
        </w:rPr>
        <w:t xml:space="preserve"> Ltd. </w:t>
      </w:r>
      <w:r w:rsidRPr="004C6457">
        <w:rPr>
          <w:rFonts w:cs="Times New Roman"/>
          <w:iCs/>
          <w:lang w:val="en-US"/>
        </w:rPr>
        <w:t xml:space="preserve">(2002), 28 B.L.R. (3d) 44 (C.S.J. Ont.); </w:t>
      </w:r>
      <w:r w:rsidRPr="004C6457">
        <w:rPr>
          <w:rFonts w:cs="Times New Roman"/>
          <w:i/>
          <w:iCs/>
          <w:lang w:val="en-US"/>
        </w:rPr>
        <w:t>Prairie Well Servicing Ltd.</w:t>
      </w:r>
      <w:r w:rsidRPr="004C6457">
        <w:rPr>
          <w:rFonts w:cs="Times New Roman"/>
          <w:iCs/>
          <w:lang w:val="en-US"/>
        </w:rPr>
        <w:t xml:space="preserve"> </w:t>
      </w:r>
      <w:r w:rsidRPr="004C6457">
        <w:rPr>
          <w:rFonts w:cs="Times New Roman"/>
          <w:i/>
          <w:iCs/>
          <w:lang w:val="en-US"/>
        </w:rPr>
        <w:t>c. Tundra Oil and Gas Ltd.</w:t>
      </w:r>
      <w:r w:rsidRPr="004C6457">
        <w:rPr>
          <w:rFonts w:cs="Times New Roman"/>
          <w:lang w:val="en-US"/>
        </w:rPr>
        <w:t xml:space="preserve">, 2000 MBQB 52, 146 Man. R. (2d) 284). </w:t>
      </w:r>
      <w:r w:rsidRPr="004C6457">
        <w:rPr>
          <w:rFonts w:cs="Times New Roman"/>
          <w:lang w:val="fr-FR"/>
        </w:rPr>
        <w:t>Des précisions s’imposent donc.</w:t>
      </w:r>
    </w:p>
    <w:p w:rsidR="001F4CC4" w:rsidRPr="004C6457" w:rsidRDefault="001F4CC4" w:rsidP="001F4CC4">
      <w:pPr>
        <w:pStyle w:val="ParaNoNdepar-AltN"/>
        <w:widowControl w:val="0"/>
        <w:rPr>
          <w:rFonts w:cs="Times New Roman"/>
          <w:lang w:val="fr-FR"/>
        </w:rPr>
      </w:pPr>
      <w:r w:rsidRPr="004C6457">
        <w:rPr>
          <w:rFonts w:cs="Times New Roman"/>
          <w:lang w:val="fr-FR"/>
        </w:rPr>
        <w:t xml:space="preserve">À mon avis, c’est sous le volet </w:t>
      </w:r>
      <w:r>
        <w:rPr>
          <w:rFonts w:cs="Times New Roman"/>
          <w:lang w:val="fr-FR"/>
        </w:rPr>
        <w:t>« </w:t>
      </w:r>
      <w:r w:rsidRPr="004C6457">
        <w:rPr>
          <w:rFonts w:cs="Times New Roman"/>
          <w:lang w:val="fr-FR"/>
        </w:rPr>
        <w:t>qualification suffisante de l’expert</w:t>
      </w:r>
      <w:r>
        <w:rPr>
          <w:rFonts w:cs="Times New Roman"/>
          <w:lang w:val="fr-FR"/>
        </w:rPr>
        <w:t> »</w:t>
      </w:r>
      <w:r w:rsidRPr="004C6457">
        <w:rPr>
          <w:rFonts w:cs="Times New Roman"/>
          <w:lang w:val="fr-FR"/>
        </w:rPr>
        <w:t xml:space="preserve"> du cadre établi par l’arrêt </w:t>
      </w:r>
      <w:r w:rsidRPr="004C6457">
        <w:rPr>
          <w:rFonts w:cs="Times New Roman"/>
          <w:i/>
          <w:iCs/>
          <w:lang w:val="fr-FR"/>
        </w:rPr>
        <w:t xml:space="preserve">Mohan </w:t>
      </w:r>
      <w:r w:rsidRPr="004C6457">
        <w:rPr>
          <w:rFonts w:cs="Times New Roman"/>
          <w:iCs/>
          <w:lang w:val="fr-FR"/>
        </w:rPr>
        <w:t xml:space="preserve">qu’il convient d’abord d’examiner </w:t>
      </w:r>
      <w:r w:rsidRPr="004C6457">
        <w:rPr>
          <w:rFonts w:cs="Times New Roman"/>
          <w:lang w:val="fr-FR"/>
        </w:rPr>
        <w:t>les préoccupations concernant l’obligation de l’expert envers le tribunal et s’il peut ou veut s’en acquitter (</w:t>
      </w:r>
      <w:r w:rsidRPr="004C6457">
        <w:rPr>
          <w:rFonts w:cs="Times New Roman"/>
          <w:lang w:val="fr-CA"/>
        </w:rPr>
        <w:t>S.</w:t>
      </w:r>
      <w:r>
        <w:rPr>
          <w:rFonts w:cs="Times New Roman"/>
          <w:lang w:val="fr-CA"/>
        </w:rPr>
        <w:t xml:space="preserve"> </w:t>
      </w:r>
      <w:r w:rsidRPr="004C6457">
        <w:rPr>
          <w:rFonts w:cs="Times New Roman"/>
          <w:lang w:val="fr-CA"/>
        </w:rPr>
        <w:t>C.</w:t>
      </w:r>
      <w:r>
        <w:rPr>
          <w:rFonts w:cs="Times New Roman"/>
          <w:lang w:val="fr-CA"/>
        </w:rPr>
        <w:t xml:space="preserve"> </w:t>
      </w:r>
      <w:r w:rsidRPr="004C6457">
        <w:rPr>
          <w:rFonts w:cs="Times New Roman"/>
          <w:lang w:val="fr-CA"/>
        </w:rPr>
        <w:t>Hill, D.</w:t>
      </w:r>
      <w:r>
        <w:rPr>
          <w:rFonts w:cs="Times New Roman"/>
          <w:lang w:val="fr-CA"/>
        </w:rPr>
        <w:t xml:space="preserve"> </w:t>
      </w:r>
      <w:r w:rsidRPr="004C6457">
        <w:rPr>
          <w:rFonts w:cs="Times New Roman"/>
          <w:lang w:val="fr-CA"/>
        </w:rPr>
        <w:t>M.</w:t>
      </w:r>
      <w:r>
        <w:rPr>
          <w:rFonts w:cs="Times New Roman"/>
          <w:lang w:val="fr-CA"/>
        </w:rPr>
        <w:t xml:space="preserve"> </w:t>
      </w:r>
      <w:proofErr w:type="spellStart"/>
      <w:r w:rsidRPr="004C6457">
        <w:rPr>
          <w:rFonts w:cs="Times New Roman"/>
          <w:lang w:val="fr-CA"/>
        </w:rPr>
        <w:t>Tanovich</w:t>
      </w:r>
      <w:proofErr w:type="spellEnd"/>
      <w:r w:rsidRPr="004C6457">
        <w:rPr>
          <w:rFonts w:cs="Times New Roman"/>
          <w:lang w:val="fr-CA"/>
        </w:rPr>
        <w:t xml:space="preserve"> et L.</w:t>
      </w:r>
      <w:r>
        <w:rPr>
          <w:rFonts w:cs="Times New Roman"/>
          <w:lang w:val="fr-CA"/>
        </w:rPr>
        <w:t xml:space="preserve"> </w:t>
      </w:r>
      <w:r w:rsidRPr="004C6457">
        <w:rPr>
          <w:rFonts w:cs="Times New Roman"/>
          <w:lang w:val="fr-CA"/>
        </w:rPr>
        <w:t>P.</w:t>
      </w:r>
      <w:r>
        <w:rPr>
          <w:rFonts w:cs="Times New Roman"/>
          <w:lang w:val="fr-CA"/>
        </w:rPr>
        <w:t xml:space="preserve"> </w:t>
      </w:r>
      <w:proofErr w:type="spellStart"/>
      <w:r w:rsidRPr="004C6457">
        <w:rPr>
          <w:rFonts w:cs="Times New Roman"/>
          <w:lang w:val="fr-CA"/>
        </w:rPr>
        <w:t>Strezos</w:t>
      </w:r>
      <w:proofErr w:type="spellEnd"/>
      <w:r w:rsidRPr="004C6457">
        <w:rPr>
          <w:rFonts w:cs="Times New Roman"/>
          <w:lang w:val="fr-CA"/>
        </w:rPr>
        <w:t xml:space="preserve">, </w:t>
      </w:r>
      <w:proofErr w:type="spellStart"/>
      <w:r w:rsidRPr="004C6457">
        <w:rPr>
          <w:rFonts w:cs="Times New Roman"/>
          <w:i/>
          <w:iCs/>
          <w:lang w:val="fr-CA"/>
        </w:rPr>
        <w:t>McWilliams</w:t>
      </w:r>
      <w:proofErr w:type="spellEnd"/>
      <w:r w:rsidRPr="004C6457">
        <w:rPr>
          <w:rFonts w:cs="Times New Roman"/>
          <w:i/>
          <w:iCs/>
          <w:lang w:val="fr-CA"/>
        </w:rPr>
        <w:t xml:space="preserve">’ Canadian </w:t>
      </w:r>
      <w:proofErr w:type="spellStart"/>
      <w:r w:rsidRPr="004C6457">
        <w:rPr>
          <w:rFonts w:cs="Times New Roman"/>
          <w:i/>
          <w:iCs/>
          <w:lang w:val="fr-CA"/>
        </w:rPr>
        <w:t>Criminal</w:t>
      </w:r>
      <w:proofErr w:type="spellEnd"/>
      <w:r w:rsidRPr="004C6457">
        <w:rPr>
          <w:rFonts w:cs="Times New Roman"/>
          <w:i/>
          <w:iCs/>
          <w:lang w:val="fr-CA"/>
        </w:rPr>
        <w:t xml:space="preserve"> </w:t>
      </w:r>
      <w:proofErr w:type="spellStart"/>
      <w:r w:rsidRPr="004C6457">
        <w:rPr>
          <w:rFonts w:cs="Times New Roman"/>
          <w:i/>
          <w:iCs/>
          <w:lang w:val="fr-CA"/>
        </w:rPr>
        <w:t>Evidence</w:t>
      </w:r>
      <w:proofErr w:type="spellEnd"/>
      <w:r w:rsidRPr="004C6457">
        <w:rPr>
          <w:rFonts w:cs="Times New Roman"/>
          <w:lang w:val="fr-CA"/>
        </w:rPr>
        <w:t xml:space="preserve"> (5</w:t>
      </w:r>
      <w:r w:rsidRPr="004C6457">
        <w:rPr>
          <w:rFonts w:cs="Times New Roman"/>
          <w:vertAlign w:val="superscript"/>
          <w:lang w:val="fr-CA"/>
        </w:rPr>
        <w:t>e</w:t>
      </w:r>
      <w:r>
        <w:rPr>
          <w:rFonts w:cs="Times New Roman"/>
          <w:lang w:val="fr-CA"/>
        </w:rPr>
        <w:t xml:space="preserve"> </w:t>
      </w:r>
      <w:r w:rsidRPr="004C6457">
        <w:rPr>
          <w:rFonts w:cs="Times New Roman"/>
          <w:lang w:val="fr-CA"/>
        </w:rPr>
        <w:t xml:space="preserve">éd. </w:t>
      </w:r>
      <w:r w:rsidRPr="004C6457">
        <w:rPr>
          <w:rFonts w:cs="Times New Roman"/>
          <w:lang w:val="en-US"/>
        </w:rPr>
        <w:t>(</w:t>
      </w:r>
      <w:proofErr w:type="spellStart"/>
      <w:r w:rsidRPr="004C6457">
        <w:rPr>
          <w:rFonts w:cs="Times New Roman"/>
          <w:lang w:val="en-US"/>
        </w:rPr>
        <w:t>feuilles</w:t>
      </w:r>
      <w:proofErr w:type="spellEnd"/>
      <w:r w:rsidRPr="004C6457">
        <w:rPr>
          <w:rFonts w:cs="Times New Roman"/>
          <w:lang w:val="en-US"/>
        </w:rPr>
        <w:t xml:space="preserve"> mobiles)), 12:30.20.50; </w:t>
      </w:r>
      <w:proofErr w:type="spellStart"/>
      <w:r w:rsidRPr="004C6457">
        <w:rPr>
          <w:rFonts w:cs="Times New Roman"/>
          <w:lang w:val="en-US"/>
        </w:rPr>
        <w:t>voir</w:t>
      </w:r>
      <w:proofErr w:type="spellEnd"/>
      <w:r w:rsidRPr="004C6457">
        <w:rPr>
          <w:rFonts w:cs="Times New Roman"/>
          <w:lang w:val="en-US"/>
        </w:rPr>
        <w:t xml:space="preserve"> </w:t>
      </w:r>
      <w:proofErr w:type="spellStart"/>
      <w:r w:rsidRPr="004C6457">
        <w:rPr>
          <w:rFonts w:cs="Times New Roman"/>
          <w:lang w:val="en-US"/>
        </w:rPr>
        <w:t>également</w:t>
      </w:r>
      <w:proofErr w:type="spellEnd"/>
      <w:r w:rsidRPr="004C6457">
        <w:rPr>
          <w:rFonts w:cs="Times New Roman"/>
          <w:lang w:val="en-US"/>
        </w:rPr>
        <w:t xml:space="preserve"> </w:t>
      </w:r>
      <w:proofErr w:type="spellStart"/>
      <w:r w:rsidRPr="004C6457">
        <w:rPr>
          <w:rFonts w:cs="Times New Roman"/>
          <w:i/>
          <w:iCs/>
          <w:lang w:val="en-US"/>
        </w:rPr>
        <w:t>Deemar</w:t>
      </w:r>
      <w:proofErr w:type="spellEnd"/>
      <w:r>
        <w:rPr>
          <w:rFonts w:cs="Times New Roman"/>
          <w:i/>
          <w:iCs/>
          <w:lang w:val="en-US"/>
        </w:rPr>
        <w:t xml:space="preserve"> </w:t>
      </w:r>
      <w:r w:rsidRPr="004C6457">
        <w:rPr>
          <w:rFonts w:cs="Times New Roman"/>
          <w:i/>
          <w:iCs/>
          <w:lang w:val="en-US"/>
        </w:rPr>
        <w:t>c.</w:t>
      </w:r>
      <w:r>
        <w:rPr>
          <w:rFonts w:cs="Times New Roman"/>
          <w:i/>
          <w:iCs/>
          <w:lang w:val="en-US"/>
        </w:rPr>
        <w:t xml:space="preserve"> </w:t>
      </w:r>
      <w:r w:rsidRPr="004C6457">
        <w:rPr>
          <w:rFonts w:cs="Times New Roman"/>
          <w:i/>
          <w:iCs/>
          <w:lang w:val="en-US"/>
        </w:rPr>
        <w:t>College of Veterinarians of Ontario</w:t>
      </w:r>
      <w:r w:rsidRPr="004C6457">
        <w:rPr>
          <w:rFonts w:cs="Times New Roman"/>
          <w:lang w:val="en-US"/>
        </w:rPr>
        <w:t>, 2008</w:t>
      </w:r>
      <w:r>
        <w:rPr>
          <w:rFonts w:cs="Times New Roman"/>
          <w:lang w:val="en-US"/>
        </w:rPr>
        <w:t xml:space="preserve"> </w:t>
      </w:r>
      <w:r w:rsidRPr="004C6457">
        <w:rPr>
          <w:rFonts w:cs="Times New Roman"/>
          <w:lang w:val="en-US"/>
        </w:rPr>
        <w:t>ONCA 600, 92 O.R. (3d) 97, par.</w:t>
      </w:r>
      <w:r>
        <w:rPr>
          <w:rFonts w:cs="Times New Roman"/>
          <w:lang w:val="en-US"/>
        </w:rPr>
        <w:t xml:space="preserve"> </w:t>
      </w:r>
      <w:r w:rsidRPr="004C6457">
        <w:rPr>
          <w:rFonts w:cs="Times New Roman"/>
          <w:lang w:val="en-US"/>
        </w:rPr>
        <w:t xml:space="preserve">21; Lederman, Bryant et </w:t>
      </w:r>
      <w:proofErr w:type="spellStart"/>
      <w:r w:rsidRPr="004C6457">
        <w:rPr>
          <w:rFonts w:cs="Times New Roman"/>
          <w:lang w:val="en-US"/>
        </w:rPr>
        <w:t>Fuerst</w:t>
      </w:r>
      <w:proofErr w:type="spellEnd"/>
      <w:r w:rsidRPr="004C6457">
        <w:rPr>
          <w:rFonts w:cs="Times New Roman"/>
          <w:lang w:val="en-US"/>
        </w:rPr>
        <w:t>, p.</w:t>
      </w:r>
      <w:r>
        <w:rPr>
          <w:rFonts w:cs="Times New Roman"/>
          <w:lang w:val="en-US"/>
        </w:rPr>
        <w:t xml:space="preserve"> </w:t>
      </w:r>
      <w:r w:rsidRPr="004C6457">
        <w:rPr>
          <w:rFonts w:cs="Times New Roman"/>
          <w:lang w:val="en-US"/>
        </w:rPr>
        <w:t>826</w:t>
      </w:r>
      <w:r>
        <w:rPr>
          <w:rFonts w:cs="Times New Roman"/>
          <w:lang w:val="en-US"/>
        </w:rPr>
        <w:t>-</w:t>
      </w:r>
      <w:r w:rsidRPr="004C6457">
        <w:rPr>
          <w:rFonts w:cs="Times New Roman"/>
          <w:lang w:val="en-US"/>
        </w:rPr>
        <w:t xml:space="preserve">827; </w:t>
      </w:r>
      <w:r w:rsidRPr="004C6457">
        <w:rPr>
          <w:rFonts w:cs="Times New Roman"/>
          <w:i/>
          <w:lang w:val="en-US"/>
        </w:rPr>
        <w:t>Halsbury’s Laws of Canada</w:t>
      </w:r>
      <w:r w:rsidR="00CE2490">
        <w:rPr>
          <w:rFonts w:cs="Times New Roman"/>
          <w:i/>
          <w:lang w:val="en-US"/>
        </w:rPr>
        <w:t xml:space="preserve"> </w:t>
      </w:r>
      <w:r w:rsidRPr="004C6457">
        <w:rPr>
          <w:rFonts w:cs="Times New Roman"/>
          <w:i/>
          <w:lang w:val="en-US"/>
        </w:rPr>
        <w:t>: Evidence</w:t>
      </w:r>
      <w:r w:rsidRPr="004C6457">
        <w:rPr>
          <w:rFonts w:cs="Times New Roman"/>
          <w:lang w:val="en-US"/>
        </w:rPr>
        <w:t>, par.</w:t>
      </w:r>
      <w:r>
        <w:rPr>
          <w:rFonts w:cs="Times New Roman"/>
          <w:lang w:val="en-US"/>
        </w:rPr>
        <w:t xml:space="preserve"> </w:t>
      </w:r>
      <w:r w:rsidRPr="004C6457">
        <w:rPr>
          <w:rFonts w:cs="Times New Roman"/>
          <w:lang w:val="fr-CA"/>
        </w:rPr>
        <w:t>HEV</w:t>
      </w:r>
      <w:r>
        <w:rPr>
          <w:rFonts w:cs="Times New Roman"/>
          <w:lang w:val="fr-CA"/>
        </w:rPr>
        <w:t>-</w:t>
      </w:r>
      <w:r w:rsidRPr="004C6457">
        <w:rPr>
          <w:rFonts w:cs="Times New Roman"/>
          <w:lang w:val="fr-CA"/>
        </w:rPr>
        <w:t xml:space="preserve">152 </w:t>
      </w:r>
      <w:r>
        <w:rPr>
          <w:rFonts w:cs="Times New Roman"/>
          <w:lang w:val="fr-CA"/>
        </w:rPr>
        <w:t>« </w:t>
      </w:r>
      <w:proofErr w:type="spellStart"/>
      <w:r w:rsidRPr="004C6457">
        <w:rPr>
          <w:rFonts w:cs="Times New Roman"/>
          <w:lang w:val="fr-CA"/>
        </w:rPr>
        <w:t>Partiality</w:t>
      </w:r>
      <w:proofErr w:type="spellEnd"/>
      <w:r>
        <w:rPr>
          <w:rFonts w:cs="Times New Roman"/>
          <w:lang w:val="fr-CA"/>
        </w:rPr>
        <w:t> »</w:t>
      </w:r>
      <w:r w:rsidR="002C44BE">
        <w:rPr>
          <w:rFonts w:cs="Times New Roman"/>
          <w:lang w:val="fr-CA"/>
        </w:rPr>
        <w:t>;</w:t>
      </w:r>
      <w:r w:rsidRPr="004C6457">
        <w:rPr>
          <w:rFonts w:cs="Times New Roman"/>
          <w:lang w:val="fr-CA"/>
        </w:rPr>
        <w:t xml:space="preserve"> </w:t>
      </w:r>
      <w:r w:rsidRPr="004C6457">
        <w:rPr>
          <w:rFonts w:cs="Times New Roman"/>
          <w:i/>
          <w:lang w:val="fr-CA"/>
        </w:rPr>
        <w:t xml:space="preserve">The Canadian </w:t>
      </w:r>
      <w:proofErr w:type="spellStart"/>
      <w:r w:rsidRPr="004C6457">
        <w:rPr>
          <w:rFonts w:cs="Times New Roman"/>
          <w:i/>
          <w:lang w:val="fr-CA"/>
        </w:rPr>
        <w:t>Encyclopedic</w:t>
      </w:r>
      <w:proofErr w:type="spellEnd"/>
      <w:r w:rsidRPr="004C6457">
        <w:rPr>
          <w:rFonts w:cs="Times New Roman"/>
          <w:i/>
          <w:lang w:val="fr-CA"/>
        </w:rPr>
        <w:t xml:space="preserve"> Digest</w:t>
      </w:r>
      <w:r w:rsidRPr="004C6457">
        <w:rPr>
          <w:rFonts w:cs="Times New Roman"/>
          <w:lang w:val="fr-CA"/>
        </w:rPr>
        <w:t xml:space="preserve"> (Ont. 4</w:t>
      </w:r>
      <w:r w:rsidRPr="004C6457">
        <w:rPr>
          <w:rFonts w:cs="Times New Roman"/>
          <w:vertAlign w:val="superscript"/>
          <w:lang w:val="fr-CA"/>
        </w:rPr>
        <w:t xml:space="preserve">e </w:t>
      </w:r>
      <w:r w:rsidRPr="004C6457">
        <w:rPr>
          <w:rFonts w:cs="Times New Roman"/>
          <w:lang w:val="fr-CA"/>
        </w:rPr>
        <w:t>éd. (feuilles mobiles)), vol.</w:t>
      </w:r>
      <w:r>
        <w:rPr>
          <w:rFonts w:cs="Times New Roman"/>
          <w:lang w:val="fr-CA"/>
        </w:rPr>
        <w:t xml:space="preserve"> </w:t>
      </w:r>
      <w:r w:rsidRPr="004C6457">
        <w:rPr>
          <w:rFonts w:cs="Times New Roman"/>
          <w:lang w:val="fr-CA"/>
        </w:rPr>
        <w:t>24, titre 62</w:t>
      </w:r>
      <w:r w:rsidR="002C44BE">
        <w:rPr>
          <w:rFonts w:cs="Times New Roman"/>
          <w:lang w:val="fr-CA"/>
        </w:rPr>
        <w:t xml:space="preserve"> —</w:t>
      </w:r>
      <w:r w:rsidRPr="004C6457">
        <w:rPr>
          <w:rFonts w:cs="Times New Roman"/>
          <w:lang w:val="fr-CA"/>
        </w:rPr>
        <w:t xml:space="preserve"> </w:t>
      </w:r>
      <w:proofErr w:type="spellStart"/>
      <w:r w:rsidRPr="004C6457">
        <w:rPr>
          <w:rFonts w:cs="Times New Roman"/>
          <w:lang w:val="fr-CA"/>
        </w:rPr>
        <w:t>Evidence</w:t>
      </w:r>
      <w:proofErr w:type="spellEnd"/>
      <w:r w:rsidRPr="004C6457">
        <w:rPr>
          <w:rFonts w:cs="Times New Roman"/>
          <w:lang w:val="fr-CA"/>
        </w:rPr>
        <w:t xml:space="preserve">, §469). Le témoin expert proposé qui ne peut ou ne veut </w:t>
      </w:r>
      <w:r w:rsidRPr="004C6457">
        <w:rPr>
          <w:rFonts w:cs="Times New Roman"/>
          <w:lang w:val="fr-FR"/>
        </w:rPr>
        <w:t xml:space="preserve">s’acquitter de cette obligation envers le tribunal </w:t>
      </w:r>
      <w:r w:rsidRPr="004C6457">
        <w:rPr>
          <w:rFonts w:cs="Times New Roman"/>
          <w:shd w:val="clear" w:color="auto" w:fill="FFFFFF"/>
          <w:lang w:val="fr-FR"/>
        </w:rPr>
        <w:t>ne possède pas la qualification suffisante</w:t>
      </w:r>
      <w:r w:rsidRPr="004C6457">
        <w:rPr>
          <w:rFonts w:cs="Times New Roman"/>
          <w:lang w:val="fr-FR"/>
        </w:rPr>
        <w:t xml:space="preserve"> pour exercer ce rôle. En abordant cette préoccupation sous le volet de la </w:t>
      </w:r>
      <w:r>
        <w:rPr>
          <w:rFonts w:cs="Times New Roman"/>
          <w:lang w:val="fr-FR"/>
        </w:rPr>
        <w:t>« </w:t>
      </w:r>
      <w:r w:rsidRPr="004C6457">
        <w:rPr>
          <w:rFonts w:cs="Times New Roman"/>
          <w:lang w:val="fr-FR"/>
        </w:rPr>
        <w:t>qualification suffisante de l’expert</w:t>
      </w:r>
      <w:r>
        <w:rPr>
          <w:rFonts w:cs="Times New Roman"/>
          <w:lang w:val="fr-FR"/>
        </w:rPr>
        <w:t> »</w:t>
      </w:r>
      <w:r w:rsidRPr="004C6457">
        <w:rPr>
          <w:rFonts w:cs="Times New Roman"/>
          <w:lang w:val="fr-FR"/>
        </w:rPr>
        <w:t>, les tribunaux pourront s’attacher à évaluer les risques importants que présentent les experts qui ont un parti pr</w:t>
      </w:r>
      <w:r w:rsidR="001923C5">
        <w:rPr>
          <w:rFonts w:cs="Times New Roman"/>
          <w:lang w:val="fr-FR"/>
        </w:rPr>
        <w:t xml:space="preserve">is (Hill, </w:t>
      </w:r>
      <w:proofErr w:type="spellStart"/>
      <w:r w:rsidR="001923C5">
        <w:rPr>
          <w:rFonts w:cs="Times New Roman"/>
          <w:lang w:val="fr-FR"/>
        </w:rPr>
        <w:t>Tanovich</w:t>
      </w:r>
      <w:proofErr w:type="spellEnd"/>
      <w:r w:rsidR="001923C5">
        <w:rPr>
          <w:rFonts w:cs="Times New Roman"/>
          <w:lang w:val="fr-FR"/>
        </w:rPr>
        <w:t xml:space="preserve"> et </w:t>
      </w:r>
      <w:proofErr w:type="spellStart"/>
      <w:r w:rsidR="001923C5">
        <w:rPr>
          <w:rFonts w:cs="Times New Roman"/>
          <w:lang w:val="fr-FR"/>
        </w:rPr>
        <w:t>Strezos</w:t>
      </w:r>
      <w:proofErr w:type="spellEnd"/>
      <w:r w:rsidR="001923C5">
        <w:rPr>
          <w:rFonts w:cs="Times New Roman"/>
          <w:lang w:val="fr-FR"/>
        </w:rPr>
        <w:t>,</w:t>
      </w:r>
      <w:r w:rsidR="002C44BE">
        <w:rPr>
          <w:rFonts w:cs="Times New Roman"/>
          <w:lang w:val="fr-FR"/>
        </w:rPr>
        <w:t xml:space="preserve"> </w:t>
      </w:r>
      <w:r w:rsidRPr="004C6457">
        <w:rPr>
          <w:rFonts w:cs="Times New Roman"/>
          <w:lang w:val="fr-FR"/>
        </w:rPr>
        <w:t xml:space="preserve">12:30.20.50; </w:t>
      </w:r>
      <w:proofErr w:type="spellStart"/>
      <w:r w:rsidRPr="004C6457">
        <w:rPr>
          <w:rFonts w:cs="Times New Roman"/>
          <w:lang w:val="fr-FR"/>
        </w:rPr>
        <w:t>Paciocco</w:t>
      </w:r>
      <w:proofErr w:type="spellEnd"/>
      <w:r w:rsidRPr="004C6457">
        <w:rPr>
          <w:rFonts w:cs="Times New Roman"/>
          <w:lang w:val="fr-FR"/>
        </w:rPr>
        <w:t xml:space="preserve">, </w:t>
      </w:r>
      <w:r>
        <w:rPr>
          <w:rFonts w:cs="Times New Roman"/>
          <w:lang w:val="fr-FR"/>
        </w:rPr>
        <w:t>« </w:t>
      </w:r>
      <w:r w:rsidRPr="004C6457">
        <w:rPr>
          <w:rFonts w:cs="Times New Roman"/>
          <w:lang w:val="fr-FR"/>
        </w:rPr>
        <w:t>Jukebox</w:t>
      </w:r>
      <w:r>
        <w:rPr>
          <w:rFonts w:cs="Times New Roman"/>
          <w:lang w:val="fr-FR"/>
        </w:rPr>
        <w:t> »</w:t>
      </w:r>
      <w:r w:rsidRPr="004C6457">
        <w:rPr>
          <w:rFonts w:cs="Times New Roman"/>
          <w:lang w:val="fr-FR"/>
        </w:rPr>
        <w:t>, p.</w:t>
      </w:r>
      <w:r>
        <w:rPr>
          <w:rFonts w:cs="Times New Roman"/>
          <w:lang w:val="fr-FR"/>
        </w:rPr>
        <w:t xml:space="preserve"> </w:t>
      </w:r>
      <w:r w:rsidRPr="004C6457">
        <w:rPr>
          <w:rFonts w:cs="Times New Roman"/>
          <w:lang w:val="fr-FR"/>
        </w:rPr>
        <w:t>595).</w:t>
      </w:r>
    </w:p>
    <w:p w:rsidR="001F4CC4" w:rsidRPr="004C6457" w:rsidRDefault="001F4CC4" w:rsidP="001F4CC4">
      <w:pPr>
        <w:pStyle w:val="Title3LevelTitre3Niveau"/>
        <w:widowControl w:val="0"/>
        <w:tabs>
          <w:tab w:val="num" w:pos="1080"/>
        </w:tabs>
        <w:ind w:left="1094" w:hanging="547"/>
        <w:rPr>
          <w:rFonts w:cs="Times New Roman"/>
          <w:lang w:val="fr-CA"/>
        </w:rPr>
      </w:pPr>
      <w:r w:rsidRPr="004C6457">
        <w:rPr>
          <w:rFonts w:cs="Times New Roman"/>
          <w:lang w:val="fr-CA"/>
        </w:rPr>
        <w:lastRenderedPageBreak/>
        <w:t xml:space="preserve">Le pouvoir discrétionnaire du juge en tant que </w:t>
      </w:r>
      <w:r>
        <w:rPr>
          <w:rFonts w:cs="Times New Roman"/>
          <w:lang w:val="fr-CA"/>
        </w:rPr>
        <w:t>« </w:t>
      </w:r>
      <w:r w:rsidRPr="004C6457">
        <w:rPr>
          <w:rFonts w:cs="Times New Roman"/>
          <w:lang w:val="fr-CA"/>
        </w:rPr>
        <w:t>gardien</w:t>
      </w:r>
      <w:r>
        <w:rPr>
          <w:rFonts w:cs="Times New Roman"/>
          <w:lang w:val="fr-CA"/>
        </w:rPr>
        <w:t> »</w:t>
      </w:r>
    </w:p>
    <w:p w:rsidR="001F4CC4" w:rsidRPr="004C6457" w:rsidRDefault="001F4CC4" w:rsidP="001F4CC4">
      <w:pPr>
        <w:pStyle w:val="ParaNoNdepar-AltN"/>
        <w:widowControl w:val="0"/>
        <w:rPr>
          <w:rFonts w:cs="Times New Roman"/>
          <w:lang w:val="fr-CA"/>
        </w:rPr>
      </w:pPr>
      <w:r w:rsidRPr="004C6457">
        <w:rPr>
          <w:rFonts w:cs="Times New Roman"/>
          <w:lang w:val="fr-CA"/>
        </w:rPr>
        <w:t xml:space="preserve">La constatation que le témoignage de l’expert satisfait aux critères ne met pas fin à l’analyse. Conformément au cadre établi dans la foulée de l’arrêt </w:t>
      </w:r>
      <w:r w:rsidRPr="004C6457">
        <w:rPr>
          <w:rFonts w:cs="Times New Roman"/>
          <w:i/>
          <w:iCs/>
          <w:lang w:val="fr-CA"/>
        </w:rPr>
        <w:t>Mohan</w:t>
      </w:r>
      <w:r w:rsidRPr="004C6457">
        <w:rPr>
          <w:rFonts w:cs="Times New Roman"/>
          <w:lang w:val="fr-CA"/>
        </w:rPr>
        <w:t xml:space="preserve"> dont nous avons discuté précédemment, le juge doit encore tenir compte des réserves émises quant à l’indépendance et à l’impartialité de l’expert lorsqu’il évalue la preuve à l’étape où il exerce son rôle de gardien. Il peut être utile de concevoir la pertinence, la nécessité, la fiabilité et l’absence de parti pris comme autant d’éléments d’un examen en deux temps, qui entrent en ligne de compte à la première étape, celle qui sert à déterminer s’il est satisfait aux critères d’admissibilité, et jouent également un rôle à la deuxième, dans la pondération des considérations concurrentes globales relatives à l’admissibilité. Au bout du compte, le juge doit être convaincu que les risques liés au témoignage de l’expert ne l’emportent pas sur l’utilité possible de celui</w:t>
      </w:r>
      <w:r>
        <w:rPr>
          <w:rFonts w:cs="Times New Roman"/>
          <w:lang w:val="fr-CA"/>
        </w:rPr>
        <w:t>-</w:t>
      </w:r>
      <w:r w:rsidRPr="004C6457">
        <w:rPr>
          <w:rFonts w:cs="Times New Roman"/>
          <w:lang w:val="fr-CA"/>
        </w:rPr>
        <w:t>ci.</w:t>
      </w:r>
    </w:p>
    <w:p w:rsidR="001F4CC4" w:rsidRPr="004C6457" w:rsidRDefault="001F4CC4" w:rsidP="001F4CC4">
      <w:pPr>
        <w:pStyle w:val="Title2LevelTitre2Niveau"/>
        <w:widowControl w:val="0"/>
        <w:ind w:left="578" w:hanging="578"/>
        <w:rPr>
          <w:rFonts w:cs="Times New Roman"/>
          <w:lang w:val="fr-CA"/>
        </w:rPr>
      </w:pPr>
      <w:r w:rsidRPr="004C6457">
        <w:rPr>
          <w:rFonts w:cs="Times New Roman"/>
          <w:lang w:val="fr-CA"/>
        </w:rPr>
        <w:t>Témoignage d’expert et jugement sommaire</w:t>
      </w:r>
    </w:p>
    <w:p w:rsidR="001F4CC4" w:rsidRPr="004C6457" w:rsidRDefault="001F4CC4" w:rsidP="001F4CC4">
      <w:pPr>
        <w:pStyle w:val="ParaNoNdepar-AltN"/>
        <w:widowControl w:val="0"/>
        <w:rPr>
          <w:rFonts w:cs="Times New Roman"/>
          <w:lang w:val="fr-FR"/>
        </w:rPr>
      </w:pPr>
      <w:r w:rsidRPr="004C6457">
        <w:rPr>
          <w:rFonts w:cs="Times New Roman"/>
          <w:lang w:val="fr-CA"/>
        </w:rPr>
        <w:t>Je me dois de glisser quelques mots sur le contexte procédural dans lequel s’inscrit le présent pourvoi, en l’occurrence celui d’une requête en jugement sommaire. (Mes commentaires concernent le régime des jugements sommaires établi par les règles de la Nouvelle</w:t>
      </w:r>
      <w:r>
        <w:rPr>
          <w:rFonts w:cs="Times New Roman"/>
          <w:lang w:val="fr-CA"/>
        </w:rPr>
        <w:t>-</w:t>
      </w:r>
      <w:r w:rsidRPr="004C6457">
        <w:rPr>
          <w:rFonts w:cs="Times New Roman"/>
          <w:lang w:val="fr-CA"/>
        </w:rPr>
        <w:t>Écosse. Je reconnais que d’autres considérations sont susceptibles de jouer dans un autre régime.) Il est bien reconnu que le tribunal saisi de la requête ne peut examiner que la preuve admissible. Cependant, suivant la jurisprudence néo</w:t>
      </w:r>
      <w:r>
        <w:rPr>
          <w:rFonts w:cs="Times New Roman"/>
          <w:lang w:val="fr-CA"/>
        </w:rPr>
        <w:t>-</w:t>
      </w:r>
      <w:r w:rsidRPr="004C6457">
        <w:rPr>
          <w:rFonts w:cs="Times New Roman"/>
          <w:lang w:val="fr-CA"/>
        </w:rPr>
        <w:t xml:space="preserve">écossaise, qui n’est pas remise en question dans le présent pourvoi, </w:t>
      </w:r>
      <w:r w:rsidRPr="004C6457">
        <w:rPr>
          <w:rFonts w:cs="Times New Roman"/>
          <w:lang w:val="fr-CA"/>
        </w:rPr>
        <w:lastRenderedPageBreak/>
        <w:t>il n’appartient pas au juge saisi d’une requête en jugement sommaire, en Nouvelle</w:t>
      </w:r>
      <w:r>
        <w:rPr>
          <w:rFonts w:cs="Times New Roman"/>
          <w:lang w:val="fr-CA"/>
        </w:rPr>
        <w:t>-</w:t>
      </w:r>
      <w:r w:rsidRPr="004C6457">
        <w:rPr>
          <w:rFonts w:cs="Times New Roman"/>
          <w:lang w:val="fr-CA"/>
        </w:rPr>
        <w:t>Écosse, de soupeser la preuve, de tirer des inférences raisonnables de celle</w:t>
      </w:r>
      <w:r>
        <w:rPr>
          <w:rFonts w:cs="Times New Roman"/>
          <w:lang w:val="fr-CA"/>
        </w:rPr>
        <w:t>-</w:t>
      </w:r>
      <w:r w:rsidRPr="004C6457">
        <w:rPr>
          <w:rFonts w:cs="Times New Roman"/>
          <w:lang w:val="fr-CA"/>
        </w:rPr>
        <w:t>ci ou de trancher des questions de crédibilité (</w:t>
      </w:r>
      <w:proofErr w:type="spellStart"/>
      <w:r w:rsidRPr="004C6457">
        <w:rPr>
          <w:rFonts w:cs="Times New Roman"/>
          <w:i/>
          <w:lang w:val="fr-CA"/>
        </w:rPr>
        <w:t>Coady</w:t>
      </w:r>
      <w:proofErr w:type="spellEnd"/>
      <w:r w:rsidRPr="004C6457">
        <w:rPr>
          <w:rFonts w:cs="Times New Roman"/>
          <w:i/>
          <w:lang w:val="fr-CA"/>
        </w:rPr>
        <w:t xml:space="preserve"> c.</w:t>
      </w:r>
      <w:r w:rsidRPr="004C6457">
        <w:rPr>
          <w:rFonts w:cs="Times New Roman"/>
          <w:lang w:val="fr-CA"/>
        </w:rPr>
        <w:t xml:space="preserve"> </w:t>
      </w:r>
      <w:r w:rsidRPr="004C6457">
        <w:rPr>
          <w:rFonts w:cs="Times New Roman"/>
          <w:i/>
          <w:iCs/>
          <w:lang w:val="fr-CA"/>
        </w:rPr>
        <w:t>Burton Canada Co.</w:t>
      </w:r>
      <w:r w:rsidRPr="004C6457">
        <w:rPr>
          <w:rFonts w:cs="Times New Roman"/>
          <w:lang w:val="fr-CA"/>
        </w:rPr>
        <w:t>, 2013 NSCA 95, 333 N.S.R. (2d) 348, par.</w:t>
      </w:r>
      <w:r>
        <w:rPr>
          <w:rFonts w:cs="Times New Roman"/>
          <w:lang w:val="fr-CA"/>
        </w:rPr>
        <w:t xml:space="preserve"> </w:t>
      </w:r>
      <w:r w:rsidRPr="004C6457">
        <w:rPr>
          <w:rFonts w:cs="Times New Roman"/>
          <w:lang w:val="fr-FR"/>
        </w:rPr>
        <w:t>42</w:t>
      </w:r>
      <w:r>
        <w:rPr>
          <w:rFonts w:cs="Times New Roman"/>
          <w:lang w:val="fr-FR"/>
        </w:rPr>
        <w:t>-</w:t>
      </w:r>
      <w:r w:rsidRPr="004C6457">
        <w:rPr>
          <w:rFonts w:cs="Times New Roman"/>
          <w:lang w:val="fr-FR"/>
        </w:rPr>
        <w:t xml:space="preserve">44, 87 et 98; </w:t>
      </w:r>
      <w:proofErr w:type="spellStart"/>
      <w:r w:rsidRPr="004C6457">
        <w:rPr>
          <w:rFonts w:cs="Times New Roman"/>
          <w:i/>
          <w:iCs/>
          <w:lang w:val="fr-FR"/>
        </w:rPr>
        <w:t>Fougere</w:t>
      </w:r>
      <w:proofErr w:type="spellEnd"/>
      <w:r w:rsidRPr="004C6457">
        <w:rPr>
          <w:rFonts w:cs="Times New Roman"/>
          <w:i/>
          <w:iCs/>
          <w:lang w:val="fr-FR"/>
        </w:rPr>
        <w:t xml:space="preserve"> c. </w:t>
      </w:r>
      <w:proofErr w:type="spellStart"/>
      <w:r w:rsidRPr="004C6457">
        <w:rPr>
          <w:rFonts w:cs="Times New Roman"/>
          <w:i/>
          <w:iCs/>
          <w:lang w:val="fr-FR"/>
        </w:rPr>
        <w:t>Blunden</w:t>
      </w:r>
      <w:proofErr w:type="spellEnd"/>
      <w:r w:rsidRPr="004C6457">
        <w:rPr>
          <w:rFonts w:cs="Times New Roman"/>
          <w:i/>
          <w:iCs/>
          <w:lang w:val="fr-FR"/>
        </w:rPr>
        <w:t xml:space="preserve"> Construction Ltd.</w:t>
      </w:r>
      <w:r w:rsidRPr="004C6457">
        <w:rPr>
          <w:rFonts w:cs="Times New Roman"/>
          <w:lang w:val="fr-FR"/>
        </w:rPr>
        <w:t>, 2014 NSCA 52, 345 N.S.R. (2d) 385, par.</w:t>
      </w:r>
      <w:r>
        <w:rPr>
          <w:rFonts w:cs="Times New Roman"/>
          <w:lang w:val="fr-FR"/>
        </w:rPr>
        <w:t xml:space="preserve"> </w:t>
      </w:r>
      <w:r w:rsidRPr="004C6457">
        <w:rPr>
          <w:rFonts w:cs="Times New Roman"/>
          <w:lang w:val="fr-FR"/>
        </w:rPr>
        <w:t>6 et 12). Si l’on considère ces deux principes ensemble, le résultat est à mon avis le suivant. Le juge saisi d’une requête en jugement sommaire en vertu des règles de procédure de la Nouvelle</w:t>
      </w:r>
      <w:r>
        <w:rPr>
          <w:rFonts w:cs="Times New Roman"/>
          <w:lang w:val="fr-FR"/>
        </w:rPr>
        <w:t>-</w:t>
      </w:r>
      <w:r w:rsidRPr="004C6457">
        <w:rPr>
          <w:rFonts w:cs="Times New Roman"/>
          <w:lang w:val="fr-FR"/>
        </w:rPr>
        <w:t>Écosse doit être convaincu que le témoignage de l’expert proposé satisfait aux critères d’admissibilité à la première étape de l’analyse; en règle générale, il doit toutefois se garder de passer à la seconde étape, celle de l’analyse coût</w:t>
      </w:r>
      <w:r>
        <w:rPr>
          <w:rFonts w:cs="Times New Roman"/>
          <w:lang w:val="fr-FR"/>
        </w:rPr>
        <w:t>-</w:t>
      </w:r>
      <w:r w:rsidRPr="004C6457">
        <w:rPr>
          <w:rFonts w:cs="Times New Roman"/>
          <w:lang w:val="fr-FR"/>
        </w:rPr>
        <w:t xml:space="preserve">bénéfices. Cette analyse, sauf dans les cas d’inadmissibilité les plus manifestes, appelle inévitablement l’attribution d’une valeur — ou, à tout le moins, d’une valeur possible — à la preuve. </w:t>
      </w:r>
    </w:p>
    <w:p w:rsidR="001F4CC4" w:rsidRPr="004C6457" w:rsidRDefault="001F4CC4" w:rsidP="001F4CC4">
      <w:pPr>
        <w:pStyle w:val="Title2LevelTitre2Niveau"/>
        <w:widowControl w:val="0"/>
        <w:ind w:left="578" w:hanging="578"/>
        <w:rPr>
          <w:rFonts w:cs="Times New Roman"/>
          <w:lang w:val="fr-FR"/>
        </w:rPr>
      </w:pPr>
      <w:r w:rsidRPr="004C6457">
        <w:rPr>
          <w:rFonts w:cs="Times New Roman"/>
          <w:lang w:val="fr-FR"/>
        </w:rPr>
        <w:t xml:space="preserve">Application </w:t>
      </w:r>
    </w:p>
    <w:p w:rsidR="001F4CC4" w:rsidRPr="004C6457" w:rsidRDefault="001F4CC4" w:rsidP="001F4CC4">
      <w:pPr>
        <w:pStyle w:val="ParaNoNdepar-AltN"/>
        <w:widowControl w:val="0"/>
        <w:rPr>
          <w:rFonts w:cs="Times New Roman"/>
          <w:lang w:val="fr-FR"/>
        </w:rPr>
      </w:pPr>
      <w:r w:rsidRPr="004C6457">
        <w:rPr>
          <w:rFonts w:cs="Times New Roman"/>
          <w:lang w:val="fr-FR"/>
        </w:rPr>
        <w:t>J’aborde maintenant l’application de ces principes aux faits de l’espèce. À mon humble avis, le dossier appuie largement la conclusion à laquelle est parvenue la majorité de la Cour d’appel que le témoignage de M</w:t>
      </w:r>
      <w:r w:rsidRPr="004C6457">
        <w:rPr>
          <w:rFonts w:cs="Times New Roman"/>
          <w:vertAlign w:val="superscript"/>
          <w:lang w:val="fr-FR"/>
        </w:rPr>
        <w:t>me</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était admissible pour l’instruction de la requête en jugement sommaire. Bien sûr, ni le juge des requêtes ni la Cour d’appel ne disposaient du cadre que j’établis dans les présents motifs.</w:t>
      </w:r>
    </w:p>
    <w:p w:rsidR="001F4CC4" w:rsidRPr="004C6457" w:rsidRDefault="001F4CC4" w:rsidP="001F4CC4">
      <w:pPr>
        <w:pStyle w:val="ParaNoNdepar-AltN"/>
        <w:widowControl w:val="0"/>
        <w:rPr>
          <w:rFonts w:cs="Times New Roman"/>
          <w:lang w:val="fr-FR"/>
        </w:rPr>
      </w:pPr>
      <w:r w:rsidRPr="004C6457">
        <w:rPr>
          <w:rFonts w:cs="Times New Roman"/>
          <w:lang w:val="fr-FR"/>
        </w:rPr>
        <w:t>Le juge des requêtes n’a pas conclu que M</w:t>
      </w:r>
      <w:r w:rsidRPr="004C6457">
        <w:rPr>
          <w:rFonts w:cs="Times New Roman"/>
          <w:vertAlign w:val="superscript"/>
          <w:lang w:val="fr-FR"/>
        </w:rPr>
        <w:t>me</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avait un parti pris, qu’elle n’était pas impartiale ou qu’elle se faisait le défenseur des actionnaires </w:t>
      </w:r>
      <w:r w:rsidRPr="004C6457">
        <w:rPr>
          <w:rFonts w:cs="Times New Roman"/>
          <w:lang w:val="fr-FR"/>
        </w:rPr>
        <w:lastRenderedPageBreak/>
        <w:t>(</w:t>
      </w:r>
      <w:r w:rsidRPr="004C6457">
        <w:rPr>
          <w:rFonts w:cs="Times New Roman"/>
          <w:shd w:val="clear" w:color="auto" w:fill="FFFFFF"/>
          <w:lang w:val="fr-FR"/>
        </w:rPr>
        <w:t>motifs de la C.A., p</w:t>
      </w:r>
      <w:r w:rsidRPr="004C6457">
        <w:rPr>
          <w:rFonts w:cs="Times New Roman"/>
          <w:lang w:val="fr-FR"/>
        </w:rPr>
        <w:t>ar.</w:t>
      </w:r>
      <w:r>
        <w:rPr>
          <w:rFonts w:cs="Times New Roman"/>
          <w:lang w:val="fr-FR"/>
        </w:rPr>
        <w:t xml:space="preserve"> </w:t>
      </w:r>
      <w:r w:rsidRPr="004C6457">
        <w:rPr>
          <w:rFonts w:cs="Times New Roman"/>
          <w:lang w:val="fr-FR"/>
        </w:rPr>
        <w:t>122). Au contraire, M</w:t>
      </w:r>
      <w:r w:rsidRPr="004C6457">
        <w:rPr>
          <w:rFonts w:cs="Times New Roman"/>
          <w:vertAlign w:val="superscript"/>
          <w:lang w:val="fr-FR"/>
        </w:rPr>
        <w:t>me</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a reconnu expressément connaître les normes et exigences voulant que l’expert soit indépendant. Elle était également au fait des directives précises dans le milieu de la comptabilité applicables aux comptables cités comme témoins experts. Elle était consciente à titre de témoin expert de sa principale obligation envers le tribunal (</w:t>
      </w:r>
      <w:proofErr w:type="gramStart"/>
      <w:r w:rsidRPr="004C6457">
        <w:rPr>
          <w:rFonts w:cs="Times New Roman"/>
          <w:lang w:val="fr-FR"/>
        </w:rPr>
        <w:t>d.a.,</w:t>
      </w:r>
      <w:proofErr w:type="gramEnd"/>
      <w:r w:rsidRPr="004C6457">
        <w:rPr>
          <w:rFonts w:cs="Times New Roman"/>
          <w:lang w:val="fr-FR"/>
        </w:rPr>
        <w:t xml:space="preserve"> vol.</w:t>
      </w:r>
      <w:r>
        <w:rPr>
          <w:rFonts w:cs="Times New Roman"/>
          <w:lang w:val="fr-FR"/>
        </w:rPr>
        <w:t xml:space="preserve"> </w:t>
      </w:r>
      <w:r w:rsidRPr="004C6457">
        <w:rPr>
          <w:rFonts w:cs="Times New Roman"/>
          <w:lang w:val="fr-FR"/>
        </w:rPr>
        <w:t>III, p.</w:t>
      </w:r>
      <w:r>
        <w:rPr>
          <w:rFonts w:cs="Times New Roman"/>
          <w:lang w:val="fr-FR"/>
        </w:rPr>
        <w:t xml:space="preserve"> </w:t>
      </w:r>
      <w:r w:rsidRPr="004C6457">
        <w:rPr>
          <w:rFonts w:cs="Times New Roman"/>
          <w:lang w:val="fr-FR"/>
        </w:rPr>
        <w:t>75</w:t>
      </w:r>
      <w:r>
        <w:rPr>
          <w:rFonts w:cs="Times New Roman"/>
          <w:lang w:val="fr-FR"/>
        </w:rPr>
        <w:t>-</w:t>
      </w:r>
      <w:r w:rsidRPr="004C6457">
        <w:rPr>
          <w:rFonts w:cs="Times New Roman"/>
          <w:lang w:val="fr-FR"/>
        </w:rPr>
        <w:t xml:space="preserve">76; </w:t>
      </w:r>
      <w:r w:rsidRPr="004C6457">
        <w:rPr>
          <w:rFonts w:cs="Times New Roman"/>
          <w:shd w:val="clear" w:color="auto" w:fill="FFFFFF"/>
          <w:lang w:val="fr-FR"/>
        </w:rPr>
        <w:t>motifs de la C.A., par.</w:t>
      </w:r>
      <w:r>
        <w:rPr>
          <w:rFonts w:cs="Times New Roman"/>
          <w:shd w:val="clear" w:color="auto" w:fill="FFFFFF"/>
          <w:lang w:val="fr-FR"/>
        </w:rPr>
        <w:t xml:space="preserve"> </w:t>
      </w:r>
      <w:r w:rsidRPr="004C6457">
        <w:rPr>
          <w:rFonts w:cs="Times New Roman"/>
          <w:lang w:val="fr-FR"/>
        </w:rPr>
        <w:t xml:space="preserve">134). Même si, selon le juge des requêtes, il faut une </w:t>
      </w:r>
      <w:r>
        <w:rPr>
          <w:rFonts w:cs="Times New Roman"/>
          <w:lang w:val="fr-FR"/>
        </w:rPr>
        <w:t>« </w:t>
      </w:r>
      <w:r w:rsidRPr="004C6457">
        <w:rPr>
          <w:rFonts w:cs="Times New Roman"/>
          <w:lang w:val="fr-FR"/>
        </w:rPr>
        <w:t>apparence</w:t>
      </w:r>
      <w:r>
        <w:rPr>
          <w:rFonts w:cs="Times New Roman"/>
          <w:lang w:val="fr-FR"/>
        </w:rPr>
        <w:t> »</w:t>
      </w:r>
      <w:r w:rsidRPr="004C6457">
        <w:rPr>
          <w:rFonts w:cs="Times New Roman"/>
          <w:lang w:val="fr-FR"/>
        </w:rPr>
        <w:t xml:space="preserve"> d’impartialité, ce facteur ne constitue pas un critère d’admissibilité, comme je l’explique précédemment.</w:t>
      </w:r>
    </w:p>
    <w:p w:rsidR="001F4CC4" w:rsidRPr="004C6457" w:rsidRDefault="001F4CC4" w:rsidP="001F4CC4">
      <w:pPr>
        <w:pStyle w:val="ParaNoNdepar-AltN"/>
        <w:widowControl w:val="0"/>
        <w:rPr>
          <w:rFonts w:cs="Times New Roman"/>
          <w:lang w:val="fr-FR"/>
        </w:rPr>
      </w:pPr>
      <w:r w:rsidRPr="004C6457">
        <w:rPr>
          <w:rFonts w:cs="Times New Roman"/>
          <w:lang w:val="fr-FR"/>
        </w:rPr>
        <w:t>La prétention des vérificateurs selon laquelle M</w:t>
      </w:r>
      <w:r w:rsidRPr="004C6457">
        <w:rPr>
          <w:rFonts w:cs="Times New Roman"/>
          <w:vertAlign w:val="superscript"/>
          <w:lang w:val="fr-FR"/>
        </w:rPr>
        <w:t>me</w:t>
      </w:r>
      <w:r>
        <w:rPr>
          <w:rFonts w:cs="Times New Roman"/>
          <w:lang w:val="fr-FR"/>
        </w:rPr>
        <w:t xml:space="preserve"> </w:t>
      </w:r>
      <w:proofErr w:type="spellStart"/>
      <w:r w:rsidRPr="004C6457">
        <w:rPr>
          <w:rFonts w:cs="Times New Roman"/>
          <w:lang w:val="fr-FR"/>
        </w:rPr>
        <w:t>MacMillan</w:t>
      </w:r>
      <w:proofErr w:type="spellEnd"/>
      <w:r w:rsidRPr="004C6457">
        <w:rPr>
          <w:rFonts w:cs="Times New Roman"/>
          <w:lang w:val="fr-FR"/>
        </w:rPr>
        <w:t xml:space="preserve"> manquerait d’objectivité repose sur deux principaux points que j’aborde successivement.</w:t>
      </w:r>
    </w:p>
    <w:p w:rsidR="001F4CC4" w:rsidRPr="004C6457" w:rsidRDefault="001F4CC4" w:rsidP="001F4CC4">
      <w:pPr>
        <w:pStyle w:val="ParaNoNdepar-AltN"/>
        <w:widowControl w:val="0"/>
        <w:rPr>
          <w:rFonts w:cs="Times New Roman"/>
          <w:lang w:val="fr-FR"/>
        </w:rPr>
      </w:pPr>
      <w:r w:rsidRPr="004C6457">
        <w:rPr>
          <w:rFonts w:cs="Times New Roman"/>
          <w:lang w:val="fr-FR"/>
        </w:rPr>
        <w:t xml:space="preserve">D’abord, les vérificateurs soutiennent que le travail fait antérieurement à l’intention des actionnaires par le bureau de Grant Thornton à Kentville </w:t>
      </w:r>
      <w:r w:rsidRPr="004C6457">
        <w:rPr>
          <w:rFonts w:cs="Times New Roman"/>
          <w:smallCaps/>
          <w:lang w:val="fr-FR"/>
        </w:rPr>
        <w:t xml:space="preserve">[traduction] </w:t>
      </w:r>
      <w:r>
        <w:rPr>
          <w:rFonts w:cs="Times New Roman"/>
          <w:lang w:val="fr-FR"/>
        </w:rPr>
        <w:t>« </w:t>
      </w:r>
      <w:r w:rsidRPr="004C6457">
        <w:rPr>
          <w:rFonts w:cs="Times New Roman"/>
          <w:lang w:val="fr-FR"/>
        </w:rPr>
        <w:t>a servi de catalyseur et de fondement à l’action pour négligence</w:t>
      </w:r>
      <w:r>
        <w:rPr>
          <w:rFonts w:cs="Times New Roman"/>
          <w:lang w:val="fr-FR"/>
        </w:rPr>
        <w:t> »</w:t>
      </w:r>
      <w:r w:rsidRPr="004C6457">
        <w:rPr>
          <w:rFonts w:cs="Times New Roman"/>
          <w:lang w:val="fr-FR"/>
        </w:rPr>
        <w:t xml:space="preserve"> intentée contre les vérificateurs et que cela </w:t>
      </w:r>
      <w:r>
        <w:rPr>
          <w:rFonts w:cs="Times New Roman"/>
          <w:smallCaps/>
          <w:lang w:val="fr-FR"/>
        </w:rPr>
        <w:t>« </w:t>
      </w:r>
      <w:r w:rsidRPr="004C6457">
        <w:rPr>
          <w:rFonts w:cs="Times New Roman"/>
          <w:lang w:val="fr-FR"/>
        </w:rPr>
        <w:t>empêche [Grant Thornton] d’agir comme expert “indépendant” en l’espèce</w:t>
      </w:r>
      <w:r>
        <w:rPr>
          <w:rFonts w:cs="Times New Roman"/>
          <w:lang w:val="fr-FR"/>
        </w:rPr>
        <w:t> »</w:t>
      </w:r>
      <w:r w:rsidRPr="004C6457">
        <w:rPr>
          <w:rFonts w:cs="Times New Roman"/>
          <w:lang w:val="fr-FR"/>
        </w:rPr>
        <w:t xml:space="preserve"> (</w:t>
      </w:r>
      <w:r w:rsidRPr="004C6457">
        <w:rPr>
          <w:rFonts w:cs="Times New Roman"/>
          <w:shd w:val="clear" w:color="auto" w:fill="FFFFFF"/>
          <w:lang w:val="fr-FR"/>
        </w:rPr>
        <w:t>m.a., par.</w:t>
      </w:r>
      <w:r>
        <w:rPr>
          <w:rFonts w:cs="Times New Roman"/>
          <w:shd w:val="clear" w:color="auto" w:fill="FFFFFF"/>
          <w:lang w:val="fr-FR"/>
        </w:rPr>
        <w:t xml:space="preserve"> </w:t>
      </w:r>
      <w:r w:rsidRPr="004C6457">
        <w:rPr>
          <w:rFonts w:cs="Times New Roman"/>
          <w:lang w:val="fr-FR"/>
        </w:rPr>
        <w:t>17 et 19). Selon les vérificateurs, M</w:t>
      </w:r>
      <w:r w:rsidRPr="004C6457">
        <w:rPr>
          <w:rFonts w:cs="Times New Roman"/>
          <w:vertAlign w:val="superscript"/>
          <w:lang w:val="fr-FR"/>
        </w:rPr>
        <w:t>me</w:t>
      </w:r>
      <w:r>
        <w:rPr>
          <w:rFonts w:cs="Times New Roman"/>
          <w:vertAlign w:val="superscript"/>
          <w:lang w:val="fr-FR"/>
        </w:rPr>
        <w:t xml:space="preserve"> </w:t>
      </w:r>
      <w:proofErr w:type="spellStart"/>
      <w:r w:rsidR="001923C5">
        <w:rPr>
          <w:rFonts w:cs="Times New Roman"/>
          <w:lang w:val="fr-FR"/>
        </w:rPr>
        <w:t>MacMil</w:t>
      </w:r>
      <w:r w:rsidRPr="004C6457">
        <w:rPr>
          <w:rFonts w:cs="Times New Roman"/>
          <w:lang w:val="fr-FR"/>
        </w:rPr>
        <w:t>lan</w:t>
      </w:r>
      <w:proofErr w:type="spellEnd"/>
      <w:r w:rsidRPr="004C6457">
        <w:rPr>
          <w:rFonts w:cs="Times New Roman"/>
          <w:lang w:val="fr-FR"/>
        </w:rPr>
        <w:t xml:space="preserve"> se trouvait dans </w:t>
      </w:r>
      <w:r>
        <w:rPr>
          <w:rFonts w:cs="Times New Roman"/>
          <w:smallCaps/>
          <w:lang w:val="fr-FR"/>
        </w:rPr>
        <w:t>« </w:t>
      </w:r>
      <w:r w:rsidRPr="004C6457">
        <w:rPr>
          <w:rFonts w:cs="Times New Roman"/>
          <w:lang w:val="fr-FR"/>
        </w:rPr>
        <w:t>une situation de conflit d’intérêts irréductible qui la forçait inévitablement à commenter et approuver les mesures prises et la norme de diligence observée soit par ses propres partenaires chez Grant Thornton</w:t>
      </w:r>
      <w:r>
        <w:rPr>
          <w:rFonts w:cs="Times New Roman"/>
          <w:lang w:val="fr-FR"/>
        </w:rPr>
        <w:t> »</w:t>
      </w:r>
      <w:r w:rsidRPr="004C6457">
        <w:rPr>
          <w:rFonts w:cs="Times New Roman"/>
          <w:lang w:val="fr-FR"/>
        </w:rPr>
        <w:t xml:space="preserve"> soit par les vérificateurs (</w:t>
      </w:r>
      <w:proofErr w:type="gramStart"/>
      <w:r w:rsidRPr="004C6457">
        <w:rPr>
          <w:rFonts w:cs="Times New Roman"/>
          <w:shd w:val="clear" w:color="auto" w:fill="FFFFFF"/>
          <w:lang w:val="fr-FR"/>
        </w:rPr>
        <w:t>m.a.,</w:t>
      </w:r>
      <w:proofErr w:type="gramEnd"/>
      <w:r w:rsidRPr="004C6457">
        <w:rPr>
          <w:rFonts w:cs="Times New Roman"/>
          <w:shd w:val="clear" w:color="auto" w:fill="FFFFFF"/>
          <w:lang w:val="fr-FR"/>
        </w:rPr>
        <w:t xml:space="preserve"> par.</w:t>
      </w:r>
      <w:r>
        <w:rPr>
          <w:rFonts w:cs="Times New Roman"/>
          <w:shd w:val="clear" w:color="auto" w:fill="FFFFFF"/>
          <w:lang w:val="fr-FR"/>
        </w:rPr>
        <w:t xml:space="preserve"> </w:t>
      </w:r>
      <w:r w:rsidRPr="004C6457">
        <w:rPr>
          <w:rFonts w:cs="Times New Roman"/>
          <w:lang w:val="fr-FR"/>
        </w:rPr>
        <w:t>21). Ce premier argument doit cependant être rejeté.</w:t>
      </w:r>
    </w:p>
    <w:p w:rsidR="001F4CC4" w:rsidRPr="004C6457" w:rsidRDefault="001F4CC4" w:rsidP="001F4CC4">
      <w:pPr>
        <w:pStyle w:val="ParaNoNdepar-AltN"/>
        <w:widowControl w:val="0"/>
        <w:rPr>
          <w:rFonts w:cs="Times New Roman"/>
          <w:lang w:val="fr-FR"/>
        </w:rPr>
      </w:pPr>
      <w:r w:rsidRPr="004C6457">
        <w:rPr>
          <w:rFonts w:cs="Times New Roman"/>
          <w:lang w:val="fr-FR"/>
        </w:rPr>
        <w:t xml:space="preserve">Le cabinet professionnel qui découvre ce qu’il estime être une négligence </w:t>
      </w:r>
      <w:r w:rsidRPr="004C6457">
        <w:rPr>
          <w:rFonts w:cs="Times New Roman"/>
          <w:lang w:val="fr-FR"/>
        </w:rPr>
        <w:lastRenderedPageBreak/>
        <w:t>professionnelle ou ce qui pourrait l’être n’est pas d’emblée interdit de donner son opinion en tant que témoin expert. Dès lors que le travail initial est fait de façon indépendante et impartiale et que l’expert proposé comprend son obligation d’apporter au tribunal une aide juste, objective et impartiale et qu’il peut s’acquitter de cette obligation, il est satisfait au critère relatif à la qualification sur ce plan. Or, rien ne permet de penser ici que le cabinet Grant Thornton a été engagé pour exprimer un point de vue dicté par les actionnaires, ni qu’il y ait eu plus qu’une hypothétique possibilité que le cabinet soit tenu responsable envers ces derniers si, en fin de compte, le tribunal n’avait pas retenu son opinion. Le juge n’a pas conclu que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avait un parti pris, qu’elle a manqué d’impartialité ou qu’elle s’était fait</w:t>
      </w:r>
      <w:r w:rsidR="008E6AF7">
        <w:rPr>
          <w:rFonts w:cs="Times New Roman"/>
          <w:lang w:val="fr-FR"/>
        </w:rPr>
        <w:t>e</w:t>
      </w:r>
      <w:r w:rsidRPr="004C6457">
        <w:rPr>
          <w:rFonts w:cs="Times New Roman"/>
          <w:lang w:val="fr-FR"/>
        </w:rPr>
        <w:t xml:space="preserve"> le défenseur des actionnaires. De plus, l’argument des vérificateurs selon lequel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a en quelque sorte </w:t>
      </w:r>
      <w:r>
        <w:rPr>
          <w:rFonts w:cs="Times New Roman"/>
          <w:lang w:val="fr-FR"/>
        </w:rPr>
        <w:t>« </w:t>
      </w:r>
      <w:r w:rsidRPr="004C6457">
        <w:rPr>
          <w:rFonts w:cs="Times New Roman"/>
          <w:lang w:val="fr-FR"/>
        </w:rPr>
        <w:t>admis</w:t>
      </w:r>
      <w:r>
        <w:rPr>
          <w:rFonts w:cs="Times New Roman"/>
          <w:lang w:val="fr-FR"/>
        </w:rPr>
        <w:t> »</w:t>
      </w:r>
      <w:r w:rsidRPr="004C6457">
        <w:rPr>
          <w:rFonts w:cs="Times New Roman"/>
          <w:lang w:val="fr-FR"/>
        </w:rPr>
        <w:t xml:space="preserve"> en contre</w:t>
      </w:r>
      <w:r>
        <w:rPr>
          <w:rFonts w:cs="Times New Roman"/>
          <w:lang w:val="fr-FR"/>
        </w:rPr>
        <w:t>-</w:t>
      </w:r>
      <w:r w:rsidRPr="004C6457">
        <w:rPr>
          <w:rFonts w:cs="Times New Roman"/>
          <w:lang w:val="fr-FR"/>
        </w:rPr>
        <w:t xml:space="preserve">interrogatoire se trouver dans une situation de </w:t>
      </w:r>
      <w:r>
        <w:rPr>
          <w:rFonts w:cs="Times New Roman"/>
          <w:lang w:val="fr-FR"/>
        </w:rPr>
        <w:t>« </w:t>
      </w:r>
      <w:r w:rsidRPr="004C6457">
        <w:rPr>
          <w:rFonts w:cs="Times New Roman"/>
          <w:lang w:val="fr-FR"/>
        </w:rPr>
        <w:t>conflit d’intérêts irréductible</w:t>
      </w:r>
      <w:r>
        <w:rPr>
          <w:rFonts w:cs="Times New Roman"/>
          <w:lang w:val="fr-FR"/>
        </w:rPr>
        <w:t> »</w:t>
      </w:r>
      <w:r w:rsidRPr="004C6457">
        <w:rPr>
          <w:rFonts w:cs="Times New Roman"/>
          <w:lang w:val="fr-FR"/>
        </w:rPr>
        <w:t xml:space="preserve"> n’est pas corroboré par une interprétation raisonnable de son témoignage dans son contexte (</w:t>
      </w:r>
      <w:proofErr w:type="gramStart"/>
      <w:r w:rsidRPr="004C6457">
        <w:rPr>
          <w:rFonts w:cs="Times New Roman"/>
          <w:lang w:val="fr-FR"/>
        </w:rPr>
        <w:t>d.a.,</w:t>
      </w:r>
      <w:proofErr w:type="gramEnd"/>
      <w:r w:rsidRPr="004C6457">
        <w:rPr>
          <w:rFonts w:cs="Times New Roman"/>
          <w:lang w:val="fr-FR"/>
        </w:rPr>
        <w:t xml:space="preserve"> vol.</w:t>
      </w:r>
      <w:r>
        <w:rPr>
          <w:rFonts w:cs="Times New Roman"/>
          <w:lang w:val="fr-FR"/>
        </w:rPr>
        <w:t xml:space="preserve"> </w:t>
      </w:r>
      <w:r w:rsidRPr="004C6457">
        <w:rPr>
          <w:rFonts w:cs="Times New Roman"/>
          <w:lang w:val="fr-FR"/>
        </w:rPr>
        <w:t>III, p.</w:t>
      </w:r>
      <w:r>
        <w:rPr>
          <w:rFonts w:cs="Times New Roman"/>
          <w:lang w:val="fr-FR"/>
        </w:rPr>
        <w:t xml:space="preserve"> </w:t>
      </w:r>
      <w:r w:rsidRPr="004C6457">
        <w:rPr>
          <w:rFonts w:cs="Times New Roman"/>
          <w:lang w:val="fr-FR"/>
        </w:rPr>
        <w:t>139</w:t>
      </w:r>
      <w:r>
        <w:rPr>
          <w:rFonts w:cs="Times New Roman"/>
          <w:lang w:val="fr-FR"/>
        </w:rPr>
        <w:t>-</w:t>
      </w:r>
      <w:r w:rsidRPr="004C6457">
        <w:rPr>
          <w:rFonts w:cs="Times New Roman"/>
          <w:lang w:val="fr-FR"/>
        </w:rPr>
        <w:t>145). Au contraire, il ressort clairement de son témoignage qu’elle comprenait son rôle d’expert et son obligation envers le tribunal (</w:t>
      </w:r>
      <w:r w:rsidRPr="004C6457">
        <w:rPr>
          <w:rFonts w:cs="Times New Roman"/>
          <w:i/>
          <w:lang w:val="fr-FR"/>
        </w:rPr>
        <w:t>ibid</w:t>
      </w:r>
      <w:r w:rsidRPr="00CE2490">
        <w:rPr>
          <w:rFonts w:cs="Times New Roman"/>
          <w:i/>
          <w:lang w:val="fr-FR"/>
        </w:rPr>
        <w:t>.</w:t>
      </w:r>
      <w:r w:rsidRPr="004C6457">
        <w:rPr>
          <w:rFonts w:cs="Times New Roman"/>
          <w:lang w:val="fr-FR"/>
        </w:rPr>
        <w:t>, p.</w:t>
      </w:r>
      <w:r>
        <w:rPr>
          <w:rFonts w:cs="Times New Roman"/>
          <w:lang w:val="fr-FR"/>
        </w:rPr>
        <w:t xml:space="preserve"> </w:t>
      </w:r>
      <w:r w:rsidR="00CE2490">
        <w:rPr>
          <w:rFonts w:cs="Times New Roman"/>
          <w:lang w:val="fr-FR"/>
        </w:rPr>
        <w:t>75-</w:t>
      </w:r>
      <w:r w:rsidRPr="004C6457">
        <w:rPr>
          <w:rFonts w:cs="Times New Roman"/>
          <w:lang w:val="fr-FR"/>
        </w:rPr>
        <w:t xml:space="preserve">76). </w:t>
      </w:r>
    </w:p>
    <w:p w:rsidR="001F4CC4" w:rsidRPr="004C6457" w:rsidRDefault="001F4CC4" w:rsidP="001F4CC4">
      <w:pPr>
        <w:pStyle w:val="ParaNoNdepar-AltN"/>
        <w:widowControl w:val="0"/>
        <w:rPr>
          <w:rFonts w:cs="Times New Roman"/>
          <w:lang w:val="fr-FR"/>
        </w:rPr>
      </w:pPr>
      <w:r w:rsidRPr="004C6457">
        <w:rPr>
          <w:rFonts w:cs="Times New Roman"/>
          <w:lang w:val="fr-FR"/>
        </w:rPr>
        <w:t>Deuxièmement,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ne serait pas indépendante, puisqu’elle avait </w:t>
      </w:r>
      <w:r>
        <w:rPr>
          <w:rFonts w:cs="Times New Roman"/>
          <w:lang w:val="fr-FR"/>
        </w:rPr>
        <w:t>« </w:t>
      </w:r>
      <w:r w:rsidRPr="004C6457">
        <w:rPr>
          <w:rFonts w:cs="Times New Roman"/>
          <w:lang w:val="fr-FR"/>
        </w:rPr>
        <w:t>incorporé</w:t>
      </w:r>
      <w:r>
        <w:rPr>
          <w:rFonts w:cs="Times New Roman"/>
          <w:lang w:val="fr-FR"/>
        </w:rPr>
        <w:t> »</w:t>
      </w:r>
      <w:r w:rsidRPr="004C6457">
        <w:rPr>
          <w:rFonts w:cs="Times New Roman"/>
          <w:lang w:val="fr-FR"/>
        </w:rPr>
        <w:t xml:space="preserve"> une partie du travail fait par son cabinet au bureau de Kentville. Cette prétention est également non fondée. D’abord, je n’accepte pas qu’un expert ne satisfasse pas au critère de la qualification suffisante, dans la mesure où il est question de son obligation de rendre un témoignage juste, objectif et impartial, simplement parce qu’il se fonde sur le travail d’autres professionnels pour se faire une opinion. De plus, comme le juge Beveridge l’a conclu, ce qui a été </w:t>
      </w:r>
      <w:r>
        <w:rPr>
          <w:rFonts w:cs="Times New Roman"/>
          <w:lang w:val="fr-FR"/>
        </w:rPr>
        <w:t>« </w:t>
      </w:r>
      <w:r w:rsidRPr="004C6457">
        <w:rPr>
          <w:rFonts w:cs="Times New Roman"/>
          <w:lang w:val="fr-FR"/>
        </w:rPr>
        <w:t>incorporé</w:t>
      </w:r>
      <w:r>
        <w:rPr>
          <w:rFonts w:cs="Times New Roman"/>
          <w:lang w:val="fr-FR"/>
        </w:rPr>
        <w:t> »</w:t>
      </w:r>
      <w:r w:rsidRPr="004C6457">
        <w:rPr>
          <w:rFonts w:cs="Times New Roman"/>
          <w:lang w:val="fr-FR"/>
        </w:rPr>
        <w:t xml:space="preserve"> consistait </w:t>
      </w:r>
      <w:r w:rsidRPr="004C6457">
        <w:rPr>
          <w:rFonts w:cs="Times New Roman"/>
          <w:lang w:val="fr-FR"/>
        </w:rPr>
        <w:lastRenderedPageBreak/>
        <w:t>essentiellement en un exercice arithmétique qui n’avait rien à voir avec quelque opinion comptable qu’aurait exprimée le bureau de Kentville (</w:t>
      </w:r>
      <w:r w:rsidRPr="004C6457">
        <w:rPr>
          <w:rFonts w:cs="Times New Roman"/>
          <w:shd w:val="clear" w:color="auto" w:fill="FFFFFF"/>
          <w:lang w:val="fr-FR"/>
        </w:rPr>
        <w:t>motifs de la C.A., par.</w:t>
      </w:r>
      <w:r>
        <w:rPr>
          <w:rFonts w:cs="Times New Roman"/>
          <w:shd w:val="clear" w:color="auto" w:fill="FFFFFF"/>
          <w:lang w:val="fr-FR"/>
        </w:rPr>
        <w:t xml:space="preserve"> </w:t>
      </w:r>
      <w:r w:rsidRPr="004C6457">
        <w:rPr>
          <w:rFonts w:cs="Times New Roman"/>
          <w:lang w:val="fr-FR"/>
        </w:rPr>
        <w:t>146</w:t>
      </w:r>
      <w:r>
        <w:rPr>
          <w:rFonts w:cs="Times New Roman"/>
          <w:lang w:val="fr-FR"/>
        </w:rPr>
        <w:t>-</w:t>
      </w:r>
      <w:r w:rsidRPr="004C6457">
        <w:rPr>
          <w:rFonts w:cs="Times New Roman"/>
          <w:lang w:val="fr-FR"/>
        </w:rPr>
        <w:t>149).</w:t>
      </w:r>
    </w:p>
    <w:p w:rsidR="001F4CC4" w:rsidRPr="004C6457" w:rsidRDefault="001F4CC4" w:rsidP="001F4CC4">
      <w:pPr>
        <w:pStyle w:val="ParaNoNdepar-AltN"/>
        <w:widowControl w:val="0"/>
        <w:rPr>
          <w:rFonts w:cs="Times New Roman"/>
          <w:lang w:val="fr-CA"/>
        </w:rPr>
      </w:pPr>
      <w:r w:rsidRPr="004C6457">
        <w:rPr>
          <w:rFonts w:cs="Times New Roman"/>
          <w:lang w:val="fr-FR"/>
        </w:rPr>
        <w:t>Le présent dossier ne révèle aucun élément qui permette de conclure que le témoignage de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devrait être exclu parce que celle</w:t>
      </w:r>
      <w:r>
        <w:rPr>
          <w:rFonts w:cs="Times New Roman"/>
          <w:lang w:val="fr-FR"/>
        </w:rPr>
        <w:t>-</w:t>
      </w:r>
      <w:r w:rsidRPr="004C6457">
        <w:rPr>
          <w:rFonts w:cs="Times New Roman"/>
          <w:lang w:val="fr-FR"/>
        </w:rPr>
        <w:t>ci ne pouvait ou ne voulait rendre devant le tribunal un témoignage juste, objectif et impartial. Je conviens avec la majorité de la Cour d’appel que le juge des requêtes a commis une erreur manifeste et dominante en estimant que M</w:t>
      </w:r>
      <w:r w:rsidRPr="004C6457">
        <w:rPr>
          <w:rFonts w:cs="Times New Roman"/>
          <w:vertAlign w:val="superscript"/>
          <w:lang w:val="fr-FR"/>
        </w:rPr>
        <w:t>me</w:t>
      </w:r>
      <w:r>
        <w:rPr>
          <w:rFonts w:cs="Times New Roman"/>
          <w:vertAlign w:val="superscript"/>
          <w:lang w:val="fr-FR"/>
        </w:rPr>
        <w:t xml:space="preserve"> </w:t>
      </w:r>
      <w:proofErr w:type="spellStart"/>
      <w:r w:rsidRPr="004C6457">
        <w:rPr>
          <w:rFonts w:cs="Times New Roman"/>
          <w:lang w:val="fr-FR"/>
        </w:rPr>
        <w:t>MacMillan</w:t>
      </w:r>
      <w:proofErr w:type="spellEnd"/>
      <w:r w:rsidRPr="004C6457">
        <w:rPr>
          <w:rFonts w:cs="Times New Roman"/>
          <w:lang w:val="fr-FR"/>
        </w:rPr>
        <w:t xml:space="preserve"> était dans une situation de conflit d’intérêts qui l’empêchait de rendre un témoignage objectif et impartial (par.</w:t>
      </w:r>
      <w:r>
        <w:rPr>
          <w:rFonts w:cs="Times New Roman"/>
          <w:lang w:val="fr-FR"/>
        </w:rPr>
        <w:t xml:space="preserve"> </w:t>
      </w:r>
      <w:r w:rsidRPr="004C6457">
        <w:rPr>
          <w:rFonts w:cs="Times New Roman"/>
          <w:lang w:val="fr-FR"/>
        </w:rPr>
        <w:t>136</w:t>
      </w:r>
      <w:r>
        <w:rPr>
          <w:rFonts w:cs="Times New Roman"/>
          <w:lang w:val="fr-FR"/>
        </w:rPr>
        <w:t>-</w:t>
      </w:r>
      <w:r w:rsidRPr="004C6457">
        <w:rPr>
          <w:rFonts w:cs="Times New Roman"/>
          <w:lang w:val="fr-FR"/>
        </w:rPr>
        <w:t>150).</w:t>
      </w:r>
    </w:p>
    <w:p w:rsidR="001F4CC4" w:rsidRPr="004C6457" w:rsidRDefault="001F4CC4" w:rsidP="001F4CC4">
      <w:pPr>
        <w:pStyle w:val="Title1LevelTitre1Niveau-AltL"/>
        <w:widowControl w:val="0"/>
        <w:rPr>
          <w:rFonts w:cs="Times New Roman"/>
          <w:lang w:val="fr-CA"/>
        </w:rPr>
      </w:pPr>
      <w:r w:rsidRPr="004C6457">
        <w:rPr>
          <w:rFonts w:cs="Times New Roman"/>
          <w:lang w:val="fr-CA"/>
        </w:rPr>
        <w:t>Dispositif</w:t>
      </w:r>
    </w:p>
    <w:p w:rsidR="001F4CC4" w:rsidRPr="004C6457" w:rsidRDefault="001F4CC4" w:rsidP="001F4CC4">
      <w:pPr>
        <w:pStyle w:val="ParaNoNdepar-AltN"/>
        <w:widowControl w:val="0"/>
        <w:rPr>
          <w:rFonts w:cs="Times New Roman"/>
          <w:lang w:val="fr-CA"/>
        </w:rPr>
      </w:pPr>
      <w:r w:rsidRPr="004C6457">
        <w:rPr>
          <w:rFonts w:cs="Times New Roman"/>
          <w:lang w:val="fr-CA"/>
        </w:rPr>
        <w:t>Je suis d’avis de rejeter le pourvoi avec dépens.</w:t>
      </w:r>
    </w:p>
    <w:p w:rsidR="004D7D95" w:rsidRPr="00C60592" w:rsidRDefault="009E3071" w:rsidP="001F4CC4">
      <w:pPr>
        <w:pStyle w:val="SCCNormalDoubleSpacing"/>
        <w:widowControl w:val="0"/>
        <w:spacing w:after="480"/>
        <w:rPr>
          <w:lang w:val="fr-CA"/>
        </w:rPr>
      </w:pPr>
      <w:r w:rsidRPr="00C60592">
        <w:rPr>
          <w:lang w:val="fr-CA"/>
        </w:rPr>
        <w:tab/>
      </w:r>
      <w:r w:rsidRPr="00C60592">
        <w:rPr>
          <w:i/>
          <w:lang w:val="fr-CA"/>
        </w:rPr>
        <w:t xml:space="preserve">Pourvoi </w:t>
      </w:r>
      <w:r w:rsidR="00985C9C" w:rsidRPr="00C60592">
        <w:rPr>
          <w:i/>
          <w:lang w:val="fr-CA"/>
        </w:rPr>
        <w:t>rejeté avec dépens</w:t>
      </w:r>
      <w:r w:rsidRPr="00C60592">
        <w:rPr>
          <w:i/>
          <w:lang w:val="fr-CA"/>
        </w:rPr>
        <w:t>.</w:t>
      </w:r>
    </w:p>
    <w:p w:rsidR="00985C9C" w:rsidRPr="00C60592" w:rsidRDefault="00985C9C" w:rsidP="001F4CC4">
      <w:pPr>
        <w:pStyle w:val="SCCLawFirm"/>
        <w:widowControl w:val="0"/>
        <w:spacing w:after="480"/>
        <w:rPr>
          <w:lang w:val="fr-CA"/>
        </w:rPr>
      </w:pPr>
      <w:r w:rsidRPr="00C60592">
        <w:rPr>
          <w:lang w:val="fr-CA"/>
        </w:rPr>
        <w:tab/>
        <w:t>Procureurs des appelants</w:t>
      </w:r>
      <w:r w:rsidR="001F4CC4">
        <w:rPr>
          <w:lang w:val="fr-CA"/>
        </w:rPr>
        <w:t xml:space="preserve"> : </w:t>
      </w:r>
      <w:proofErr w:type="spellStart"/>
      <w:r w:rsidRPr="00C60592">
        <w:rPr>
          <w:lang w:val="fr-CA"/>
        </w:rPr>
        <w:t>Stikeman</w:t>
      </w:r>
      <w:proofErr w:type="spellEnd"/>
      <w:r w:rsidRPr="00C60592">
        <w:rPr>
          <w:lang w:val="fr-CA"/>
        </w:rPr>
        <w:t xml:space="preserve"> Elliott, Toronto.</w:t>
      </w:r>
    </w:p>
    <w:p w:rsidR="00985C9C" w:rsidRPr="00C60592" w:rsidRDefault="00985C9C" w:rsidP="001F4CC4">
      <w:pPr>
        <w:pStyle w:val="SCCLawFirm"/>
        <w:widowControl w:val="0"/>
        <w:spacing w:after="480"/>
        <w:rPr>
          <w:lang w:val="fr-CA"/>
        </w:rPr>
      </w:pPr>
      <w:r w:rsidRPr="00C60592">
        <w:rPr>
          <w:lang w:val="fr-CA"/>
        </w:rPr>
        <w:tab/>
        <w:t>Procureurs des intimées</w:t>
      </w:r>
      <w:r w:rsidR="001F4CC4">
        <w:rPr>
          <w:lang w:val="fr-CA"/>
        </w:rPr>
        <w:t xml:space="preserve"> : </w:t>
      </w:r>
      <w:proofErr w:type="spellStart"/>
      <w:r w:rsidRPr="00C60592">
        <w:rPr>
          <w:lang w:val="fr-CA"/>
        </w:rPr>
        <w:t>Lenczner</w:t>
      </w:r>
      <w:proofErr w:type="spellEnd"/>
      <w:r w:rsidRPr="00C60592">
        <w:rPr>
          <w:lang w:val="fr-CA"/>
        </w:rPr>
        <w:t xml:space="preserve"> </w:t>
      </w:r>
      <w:proofErr w:type="spellStart"/>
      <w:r w:rsidRPr="00C60592">
        <w:rPr>
          <w:lang w:val="fr-CA"/>
        </w:rPr>
        <w:t>Slaght</w:t>
      </w:r>
      <w:proofErr w:type="spellEnd"/>
      <w:r w:rsidRPr="00C60592">
        <w:rPr>
          <w:lang w:val="fr-CA"/>
        </w:rPr>
        <w:t xml:space="preserve"> Royce Smith Griffin, Toronto; Groupe Murphy Group, Moncton.</w:t>
      </w:r>
    </w:p>
    <w:p w:rsidR="00985C9C" w:rsidRPr="00C60592" w:rsidRDefault="00985C9C" w:rsidP="001F4CC4">
      <w:pPr>
        <w:pStyle w:val="SCCLawFirm"/>
        <w:widowControl w:val="0"/>
        <w:spacing w:after="480"/>
        <w:rPr>
          <w:lang w:val="fr-CA"/>
        </w:rPr>
      </w:pPr>
      <w:r w:rsidRPr="00C60592">
        <w:rPr>
          <w:lang w:val="fr-CA"/>
        </w:rPr>
        <w:tab/>
        <w:t>Procureur de l’intervenant le procureur général du Canada</w:t>
      </w:r>
      <w:r w:rsidR="001F4CC4">
        <w:rPr>
          <w:lang w:val="fr-CA"/>
        </w:rPr>
        <w:t xml:space="preserve"> : </w:t>
      </w:r>
      <w:r w:rsidRPr="00C60592">
        <w:rPr>
          <w:lang w:val="fr-CA"/>
        </w:rPr>
        <w:t>Procureur général du Canada, Toronto.</w:t>
      </w:r>
    </w:p>
    <w:p w:rsidR="00141420" w:rsidRDefault="00985C9C" w:rsidP="001F4CC4">
      <w:pPr>
        <w:pStyle w:val="SCCLawFirm"/>
        <w:widowControl w:val="0"/>
        <w:rPr>
          <w:b/>
          <w:i w:val="0"/>
          <w:lang w:val="fr-CA"/>
        </w:rPr>
      </w:pPr>
      <w:r w:rsidRPr="00C60592">
        <w:rPr>
          <w:lang w:val="fr-CA"/>
        </w:rPr>
        <w:lastRenderedPageBreak/>
        <w:tab/>
        <w:t xml:space="preserve">Procureurs de l’intervenante </w:t>
      </w:r>
      <w:proofErr w:type="spellStart"/>
      <w:r w:rsidRPr="00C60592">
        <w:rPr>
          <w:lang w:val="fr-CA"/>
        </w:rPr>
        <w:t>Criminal</w:t>
      </w:r>
      <w:proofErr w:type="spellEnd"/>
      <w:r w:rsidRPr="00C60592">
        <w:rPr>
          <w:lang w:val="fr-CA"/>
        </w:rPr>
        <w:t xml:space="preserve"> </w:t>
      </w:r>
      <w:proofErr w:type="spellStart"/>
      <w:r w:rsidRPr="00C60592">
        <w:rPr>
          <w:lang w:val="fr-CA"/>
        </w:rPr>
        <w:t>Lawyers</w:t>
      </w:r>
      <w:proofErr w:type="spellEnd"/>
      <w:r w:rsidRPr="00C60592">
        <w:rPr>
          <w:lang w:val="fr-CA"/>
        </w:rPr>
        <w:t>’ Association (Ontario)</w:t>
      </w:r>
      <w:r w:rsidR="001F4CC4">
        <w:rPr>
          <w:lang w:val="fr-CA"/>
        </w:rPr>
        <w:t xml:space="preserve"> : </w:t>
      </w:r>
      <w:proofErr w:type="spellStart"/>
      <w:r w:rsidRPr="00C60592">
        <w:rPr>
          <w:lang w:val="fr-CA"/>
        </w:rPr>
        <w:t>Henein</w:t>
      </w:r>
      <w:proofErr w:type="spellEnd"/>
      <w:r w:rsidRPr="00C60592">
        <w:rPr>
          <w:lang w:val="fr-CA"/>
        </w:rPr>
        <w:t xml:space="preserve"> Hutchison, Toronto.</w:t>
      </w:r>
    </w:p>
    <w:p w:rsidR="001F4CC4" w:rsidRPr="001F4CC4" w:rsidRDefault="001F4CC4" w:rsidP="001F4CC4">
      <w:pPr>
        <w:pStyle w:val="SCCNormalDoubleSpacing"/>
        <w:widowControl w:val="0"/>
        <w:rPr>
          <w:lang w:val="fr-CA"/>
        </w:rPr>
      </w:pPr>
    </w:p>
    <w:sectPr w:rsidR="001F4CC4" w:rsidRPr="001F4CC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8A" w:rsidRDefault="00BC6B8A">
      <w:r>
        <w:separator/>
      </w:r>
    </w:p>
  </w:endnote>
  <w:endnote w:type="continuationSeparator" w:id="0">
    <w:p w:rsidR="00BC6B8A" w:rsidRDefault="00BC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8A" w:rsidRDefault="00BC6B8A">
      <w:r>
        <w:separator/>
      </w:r>
    </w:p>
  </w:footnote>
  <w:footnote w:type="continuationSeparator" w:id="0">
    <w:p w:rsidR="00BC6B8A" w:rsidRDefault="00BC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8A" w:rsidRPr="00450352" w:rsidRDefault="00BC6B8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4"/>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A27E9F"/>
    <w:multiLevelType w:val="hybridMultilevel"/>
    <w:tmpl w:val="C84C9A9A"/>
    <w:lvl w:ilvl="0" w:tplc="1EC48EDC">
      <w:start w:val="1"/>
      <w:numFmt w:val="decimal"/>
      <w:lvlText w:val="%1."/>
      <w:lvlJc w:val="left"/>
      <w:pPr>
        <w:ind w:left="720" w:hanging="360"/>
      </w:pPr>
      <w:rPr>
        <w:rFonts w:hint="default"/>
        <w:spacing w:val="-20"/>
        <w:kern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2760D244"/>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CC6C03"/>
    <w:multiLevelType w:val="hybridMultilevel"/>
    <w:tmpl w:val="74C2C64C"/>
    <w:lvl w:ilvl="0" w:tplc="1009000F">
      <w:start w:val="1"/>
      <w:numFmt w:val="decimal"/>
      <w:lvlText w:val="%1."/>
      <w:lvlJc w:val="left"/>
      <w:pPr>
        <w:ind w:left="1886" w:hanging="360"/>
      </w:pPr>
      <w:rPr>
        <w:rFonts w:ascii="Times New Roman" w:hAnsi="Times New Roman" w:cs="Times New Roman"/>
      </w:rPr>
    </w:lvl>
    <w:lvl w:ilvl="1" w:tplc="10090019">
      <w:start w:val="1"/>
      <w:numFmt w:val="lowerLetter"/>
      <w:lvlText w:val="%2."/>
      <w:lvlJc w:val="left"/>
      <w:pPr>
        <w:ind w:left="2606" w:hanging="360"/>
      </w:pPr>
      <w:rPr>
        <w:rFonts w:ascii="Times New Roman" w:hAnsi="Times New Roman" w:cs="Times New Roman"/>
      </w:rPr>
    </w:lvl>
    <w:lvl w:ilvl="2" w:tplc="1009001B">
      <w:start w:val="1"/>
      <w:numFmt w:val="lowerRoman"/>
      <w:lvlText w:val="%3."/>
      <w:lvlJc w:val="right"/>
      <w:pPr>
        <w:ind w:left="3326" w:hanging="180"/>
      </w:pPr>
      <w:rPr>
        <w:rFonts w:ascii="Times New Roman" w:hAnsi="Times New Roman" w:cs="Times New Roman"/>
      </w:rPr>
    </w:lvl>
    <w:lvl w:ilvl="3" w:tplc="1009000F">
      <w:start w:val="1"/>
      <w:numFmt w:val="decimal"/>
      <w:lvlText w:val="%4."/>
      <w:lvlJc w:val="left"/>
      <w:pPr>
        <w:ind w:left="4046" w:hanging="360"/>
      </w:pPr>
      <w:rPr>
        <w:rFonts w:ascii="Times New Roman" w:hAnsi="Times New Roman" w:cs="Times New Roman"/>
      </w:rPr>
    </w:lvl>
    <w:lvl w:ilvl="4" w:tplc="10090019">
      <w:start w:val="1"/>
      <w:numFmt w:val="lowerLetter"/>
      <w:lvlText w:val="%5."/>
      <w:lvlJc w:val="left"/>
      <w:pPr>
        <w:ind w:left="4766" w:hanging="360"/>
      </w:pPr>
      <w:rPr>
        <w:rFonts w:ascii="Times New Roman" w:hAnsi="Times New Roman" w:cs="Times New Roman"/>
      </w:rPr>
    </w:lvl>
    <w:lvl w:ilvl="5" w:tplc="1009001B">
      <w:start w:val="1"/>
      <w:numFmt w:val="lowerRoman"/>
      <w:lvlText w:val="%6."/>
      <w:lvlJc w:val="right"/>
      <w:pPr>
        <w:ind w:left="5486" w:hanging="180"/>
      </w:pPr>
      <w:rPr>
        <w:rFonts w:ascii="Times New Roman" w:hAnsi="Times New Roman" w:cs="Times New Roman"/>
      </w:rPr>
    </w:lvl>
    <w:lvl w:ilvl="6" w:tplc="1009000F">
      <w:start w:val="1"/>
      <w:numFmt w:val="decimal"/>
      <w:lvlText w:val="%7."/>
      <w:lvlJc w:val="left"/>
      <w:pPr>
        <w:ind w:left="6206" w:hanging="360"/>
      </w:pPr>
      <w:rPr>
        <w:rFonts w:ascii="Times New Roman" w:hAnsi="Times New Roman" w:cs="Times New Roman"/>
      </w:rPr>
    </w:lvl>
    <w:lvl w:ilvl="7" w:tplc="10090019">
      <w:start w:val="1"/>
      <w:numFmt w:val="lowerLetter"/>
      <w:lvlText w:val="%8."/>
      <w:lvlJc w:val="left"/>
      <w:pPr>
        <w:ind w:left="6926" w:hanging="360"/>
      </w:pPr>
      <w:rPr>
        <w:rFonts w:ascii="Times New Roman" w:hAnsi="Times New Roman" w:cs="Times New Roman"/>
      </w:rPr>
    </w:lvl>
    <w:lvl w:ilvl="8" w:tplc="1009001B">
      <w:start w:val="1"/>
      <w:numFmt w:val="lowerRoman"/>
      <w:lvlText w:val="%9."/>
      <w:lvlJc w:val="right"/>
      <w:pPr>
        <w:ind w:left="7646" w:hanging="180"/>
      </w:pPr>
      <w:rPr>
        <w:rFonts w:ascii="Times New Roman" w:hAnsi="Times New Roman" w:cs="Times New Roman"/>
      </w:rPr>
    </w:lvl>
  </w:abstractNum>
  <w:num w:numId="1">
    <w:abstractNumId w:val="19"/>
  </w:num>
  <w:num w:numId="2">
    <w:abstractNumId w:val="20"/>
  </w:num>
  <w:num w:numId="3">
    <w:abstractNumId w:val="13"/>
  </w:num>
  <w:num w:numId="4">
    <w:abstractNumId w:val="11"/>
  </w:num>
  <w:num w:numId="5">
    <w:abstractNumId w:val="17"/>
  </w:num>
  <w:num w:numId="6">
    <w:abstractNumId w:val="18"/>
  </w:num>
  <w:num w:numId="7">
    <w:abstractNumId w:val="15"/>
  </w:num>
  <w:num w:numId="8">
    <w:abstractNumId w:val="21"/>
  </w:num>
  <w:num w:numId="9">
    <w:abstractNumId w:val="0"/>
  </w:num>
  <w:num w:numId="10">
    <w:abstractNumId w:val="12"/>
  </w:num>
  <w:num w:numId="11">
    <w:abstractNumId w:val="1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4"/>
  </w:num>
  <w:num w:numId="23">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5"/>
  </w:num>
  <w:num w:numId="27">
    <w:abstractNumId w:val="15"/>
  </w:num>
  <w:num w:numId="28">
    <w:abstractNumId w:val="15"/>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2571"/>
    <w:rsid w:val="00023FC7"/>
    <w:rsid w:val="00025198"/>
    <w:rsid w:val="00042138"/>
    <w:rsid w:val="000578A3"/>
    <w:rsid w:val="00063AD8"/>
    <w:rsid w:val="000648CC"/>
    <w:rsid w:val="000C21A5"/>
    <w:rsid w:val="000C50AA"/>
    <w:rsid w:val="000C59B8"/>
    <w:rsid w:val="000C6AF0"/>
    <w:rsid w:val="000D0A77"/>
    <w:rsid w:val="000D3798"/>
    <w:rsid w:val="000D4861"/>
    <w:rsid w:val="000F6DE0"/>
    <w:rsid w:val="000F7993"/>
    <w:rsid w:val="00104F33"/>
    <w:rsid w:val="0010608B"/>
    <w:rsid w:val="001075BA"/>
    <w:rsid w:val="00111DE2"/>
    <w:rsid w:val="00115723"/>
    <w:rsid w:val="00116B38"/>
    <w:rsid w:val="00135406"/>
    <w:rsid w:val="00135972"/>
    <w:rsid w:val="00141420"/>
    <w:rsid w:val="001426A9"/>
    <w:rsid w:val="00147FBF"/>
    <w:rsid w:val="00154D7C"/>
    <w:rsid w:val="001570B0"/>
    <w:rsid w:val="0015752C"/>
    <w:rsid w:val="00157737"/>
    <w:rsid w:val="00165277"/>
    <w:rsid w:val="00170592"/>
    <w:rsid w:val="001720F7"/>
    <w:rsid w:val="00185024"/>
    <w:rsid w:val="0019068E"/>
    <w:rsid w:val="001923C5"/>
    <w:rsid w:val="00195D83"/>
    <w:rsid w:val="001A00C1"/>
    <w:rsid w:val="001B33E0"/>
    <w:rsid w:val="001B4573"/>
    <w:rsid w:val="001C779F"/>
    <w:rsid w:val="001D0F24"/>
    <w:rsid w:val="001D2AC1"/>
    <w:rsid w:val="001D4E88"/>
    <w:rsid w:val="001D53CC"/>
    <w:rsid w:val="001F4CC4"/>
    <w:rsid w:val="00220FC2"/>
    <w:rsid w:val="002222F4"/>
    <w:rsid w:val="00224FC0"/>
    <w:rsid w:val="00225EA4"/>
    <w:rsid w:val="00226EAF"/>
    <w:rsid w:val="00231F3A"/>
    <w:rsid w:val="002406EE"/>
    <w:rsid w:val="00243EC8"/>
    <w:rsid w:val="0026723E"/>
    <w:rsid w:val="00270D93"/>
    <w:rsid w:val="002745CC"/>
    <w:rsid w:val="0028773F"/>
    <w:rsid w:val="002B61E1"/>
    <w:rsid w:val="002B6FBE"/>
    <w:rsid w:val="002B7924"/>
    <w:rsid w:val="002C10A6"/>
    <w:rsid w:val="002C44BE"/>
    <w:rsid w:val="002D1734"/>
    <w:rsid w:val="002D28C3"/>
    <w:rsid w:val="002D39A4"/>
    <w:rsid w:val="002E6705"/>
    <w:rsid w:val="0030329A"/>
    <w:rsid w:val="0031086F"/>
    <w:rsid w:val="0031414C"/>
    <w:rsid w:val="00314E01"/>
    <w:rsid w:val="0032089D"/>
    <w:rsid w:val="00320DB2"/>
    <w:rsid w:val="003310DE"/>
    <w:rsid w:val="003323B0"/>
    <w:rsid w:val="00340A49"/>
    <w:rsid w:val="00346268"/>
    <w:rsid w:val="0035169A"/>
    <w:rsid w:val="0035259D"/>
    <w:rsid w:val="003578A4"/>
    <w:rsid w:val="00364B18"/>
    <w:rsid w:val="0038662E"/>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34A2F"/>
    <w:rsid w:val="00435800"/>
    <w:rsid w:val="00436523"/>
    <w:rsid w:val="00450352"/>
    <w:rsid w:val="00454BDB"/>
    <w:rsid w:val="00457184"/>
    <w:rsid w:val="004622D4"/>
    <w:rsid w:val="00462483"/>
    <w:rsid w:val="00465132"/>
    <w:rsid w:val="00480C90"/>
    <w:rsid w:val="0048396F"/>
    <w:rsid w:val="0049022A"/>
    <w:rsid w:val="00493C18"/>
    <w:rsid w:val="004A0BFE"/>
    <w:rsid w:val="004A600C"/>
    <w:rsid w:val="004A6118"/>
    <w:rsid w:val="004C478D"/>
    <w:rsid w:val="004D7D95"/>
    <w:rsid w:val="004E2C26"/>
    <w:rsid w:val="004F6F80"/>
    <w:rsid w:val="005125A8"/>
    <w:rsid w:val="00517549"/>
    <w:rsid w:val="00520ABC"/>
    <w:rsid w:val="00521AE8"/>
    <w:rsid w:val="00527180"/>
    <w:rsid w:val="00533DB7"/>
    <w:rsid w:val="0054230F"/>
    <w:rsid w:val="0054396C"/>
    <w:rsid w:val="00555291"/>
    <w:rsid w:val="00566AD1"/>
    <w:rsid w:val="00570124"/>
    <w:rsid w:val="0057284B"/>
    <w:rsid w:val="00583EDE"/>
    <w:rsid w:val="00584545"/>
    <w:rsid w:val="005954AE"/>
    <w:rsid w:val="005A6079"/>
    <w:rsid w:val="005B60DF"/>
    <w:rsid w:val="005E4698"/>
    <w:rsid w:val="005F02B4"/>
    <w:rsid w:val="00603924"/>
    <w:rsid w:val="00610539"/>
    <w:rsid w:val="00613969"/>
    <w:rsid w:val="00625C35"/>
    <w:rsid w:val="00645071"/>
    <w:rsid w:val="00647E49"/>
    <w:rsid w:val="00656313"/>
    <w:rsid w:val="006565F4"/>
    <w:rsid w:val="00665F6C"/>
    <w:rsid w:val="00684EEA"/>
    <w:rsid w:val="00693A1E"/>
    <w:rsid w:val="0069689B"/>
    <w:rsid w:val="006A32A0"/>
    <w:rsid w:val="006B5771"/>
    <w:rsid w:val="006B5FF5"/>
    <w:rsid w:val="006C0333"/>
    <w:rsid w:val="006C4C2F"/>
    <w:rsid w:val="006C5134"/>
    <w:rsid w:val="006E2380"/>
    <w:rsid w:val="006E464B"/>
    <w:rsid w:val="006F30AF"/>
    <w:rsid w:val="006F46B5"/>
    <w:rsid w:val="00701759"/>
    <w:rsid w:val="00705C15"/>
    <w:rsid w:val="007110F6"/>
    <w:rsid w:val="0071410E"/>
    <w:rsid w:val="007208D1"/>
    <w:rsid w:val="00731F53"/>
    <w:rsid w:val="00744518"/>
    <w:rsid w:val="00746626"/>
    <w:rsid w:val="00747288"/>
    <w:rsid w:val="00747DD3"/>
    <w:rsid w:val="007549C8"/>
    <w:rsid w:val="0075611B"/>
    <w:rsid w:val="00766D14"/>
    <w:rsid w:val="00767A0F"/>
    <w:rsid w:val="007849E2"/>
    <w:rsid w:val="00785C71"/>
    <w:rsid w:val="00787047"/>
    <w:rsid w:val="00791272"/>
    <w:rsid w:val="007A05F6"/>
    <w:rsid w:val="007B0A94"/>
    <w:rsid w:val="007B5E0F"/>
    <w:rsid w:val="007B6F4A"/>
    <w:rsid w:val="007B7C8C"/>
    <w:rsid w:val="007E1C47"/>
    <w:rsid w:val="007E337A"/>
    <w:rsid w:val="007E5C70"/>
    <w:rsid w:val="007F2FF5"/>
    <w:rsid w:val="007F3F08"/>
    <w:rsid w:val="00800C31"/>
    <w:rsid w:val="00804CC6"/>
    <w:rsid w:val="0081045F"/>
    <w:rsid w:val="0081542C"/>
    <w:rsid w:val="00817190"/>
    <w:rsid w:val="008260E2"/>
    <w:rsid w:val="008322BD"/>
    <w:rsid w:val="00834F73"/>
    <w:rsid w:val="00864C8A"/>
    <w:rsid w:val="00864CF8"/>
    <w:rsid w:val="00874914"/>
    <w:rsid w:val="0089106B"/>
    <w:rsid w:val="00891422"/>
    <w:rsid w:val="00892E1A"/>
    <w:rsid w:val="008A4318"/>
    <w:rsid w:val="008A718C"/>
    <w:rsid w:val="008B660A"/>
    <w:rsid w:val="008C01DA"/>
    <w:rsid w:val="008C2901"/>
    <w:rsid w:val="008D325D"/>
    <w:rsid w:val="008E6AF7"/>
    <w:rsid w:val="008F2674"/>
    <w:rsid w:val="008F78E9"/>
    <w:rsid w:val="009179F9"/>
    <w:rsid w:val="00917C7A"/>
    <w:rsid w:val="00926658"/>
    <w:rsid w:val="00933E5E"/>
    <w:rsid w:val="00935218"/>
    <w:rsid w:val="00937C52"/>
    <w:rsid w:val="009403F3"/>
    <w:rsid w:val="00944373"/>
    <w:rsid w:val="009555B7"/>
    <w:rsid w:val="009567AA"/>
    <w:rsid w:val="009602C9"/>
    <w:rsid w:val="00967374"/>
    <w:rsid w:val="0097437F"/>
    <w:rsid w:val="00982237"/>
    <w:rsid w:val="009838BF"/>
    <w:rsid w:val="0098394A"/>
    <w:rsid w:val="00984A03"/>
    <w:rsid w:val="00985C9C"/>
    <w:rsid w:val="00995435"/>
    <w:rsid w:val="009A343A"/>
    <w:rsid w:val="009B2F23"/>
    <w:rsid w:val="009B57B3"/>
    <w:rsid w:val="009B73A0"/>
    <w:rsid w:val="009C4122"/>
    <w:rsid w:val="009D2920"/>
    <w:rsid w:val="009D5AEB"/>
    <w:rsid w:val="009E3071"/>
    <w:rsid w:val="009F0E33"/>
    <w:rsid w:val="009F7B61"/>
    <w:rsid w:val="00A149DF"/>
    <w:rsid w:val="00A1755C"/>
    <w:rsid w:val="00A21B90"/>
    <w:rsid w:val="00A22AAC"/>
    <w:rsid w:val="00A25141"/>
    <w:rsid w:val="00A41805"/>
    <w:rsid w:val="00A51882"/>
    <w:rsid w:val="00A52AFB"/>
    <w:rsid w:val="00A548CB"/>
    <w:rsid w:val="00A5521C"/>
    <w:rsid w:val="00A579CB"/>
    <w:rsid w:val="00A643E7"/>
    <w:rsid w:val="00A66C3C"/>
    <w:rsid w:val="00A711D2"/>
    <w:rsid w:val="00A73C38"/>
    <w:rsid w:val="00AB670D"/>
    <w:rsid w:val="00AC2569"/>
    <w:rsid w:val="00AF03C5"/>
    <w:rsid w:val="00B000D8"/>
    <w:rsid w:val="00B00F75"/>
    <w:rsid w:val="00B12B25"/>
    <w:rsid w:val="00B145B6"/>
    <w:rsid w:val="00B22DAE"/>
    <w:rsid w:val="00B279EB"/>
    <w:rsid w:val="00B27AE9"/>
    <w:rsid w:val="00B33F80"/>
    <w:rsid w:val="00B50C81"/>
    <w:rsid w:val="00B557F8"/>
    <w:rsid w:val="00B815FC"/>
    <w:rsid w:val="00B93FBC"/>
    <w:rsid w:val="00BA5B52"/>
    <w:rsid w:val="00BA7DA0"/>
    <w:rsid w:val="00BB2EE4"/>
    <w:rsid w:val="00BB4C92"/>
    <w:rsid w:val="00BC2108"/>
    <w:rsid w:val="00BC6B8A"/>
    <w:rsid w:val="00BD0E9E"/>
    <w:rsid w:val="00BD1BEC"/>
    <w:rsid w:val="00BD29A7"/>
    <w:rsid w:val="00BD32FF"/>
    <w:rsid w:val="00BF4FB1"/>
    <w:rsid w:val="00BF6FE9"/>
    <w:rsid w:val="00C02092"/>
    <w:rsid w:val="00C24D91"/>
    <w:rsid w:val="00C26DB2"/>
    <w:rsid w:val="00C3588F"/>
    <w:rsid w:val="00C53F14"/>
    <w:rsid w:val="00C5424E"/>
    <w:rsid w:val="00C600CF"/>
    <w:rsid w:val="00C60592"/>
    <w:rsid w:val="00C6084F"/>
    <w:rsid w:val="00C62A66"/>
    <w:rsid w:val="00C66359"/>
    <w:rsid w:val="00C71458"/>
    <w:rsid w:val="00C77613"/>
    <w:rsid w:val="00C828E7"/>
    <w:rsid w:val="00C86719"/>
    <w:rsid w:val="00C921DD"/>
    <w:rsid w:val="00CA6391"/>
    <w:rsid w:val="00CB41B3"/>
    <w:rsid w:val="00CE036E"/>
    <w:rsid w:val="00CE2490"/>
    <w:rsid w:val="00CE3171"/>
    <w:rsid w:val="00CF1601"/>
    <w:rsid w:val="00D0172F"/>
    <w:rsid w:val="00D01E33"/>
    <w:rsid w:val="00D068A7"/>
    <w:rsid w:val="00D17476"/>
    <w:rsid w:val="00D236A8"/>
    <w:rsid w:val="00D26DA5"/>
    <w:rsid w:val="00D32086"/>
    <w:rsid w:val="00D321A4"/>
    <w:rsid w:val="00D37A3F"/>
    <w:rsid w:val="00D4431D"/>
    <w:rsid w:val="00D4667A"/>
    <w:rsid w:val="00D55A4B"/>
    <w:rsid w:val="00D56293"/>
    <w:rsid w:val="00D63A1C"/>
    <w:rsid w:val="00D647EB"/>
    <w:rsid w:val="00D72942"/>
    <w:rsid w:val="00D7516F"/>
    <w:rsid w:val="00D8001D"/>
    <w:rsid w:val="00D814B7"/>
    <w:rsid w:val="00D867C0"/>
    <w:rsid w:val="00D95F8E"/>
    <w:rsid w:val="00DA0590"/>
    <w:rsid w:val="00DA3487"/>
    <w:rsid w:val="00DC1739"/>
    <w:rsid w:val="00DC1788"/>
    <w:rsid w:val="00DE319C"/>
    <w:rsid w:val="00DF0CA8"/>
    <w:rsid w:val="00DF2B48"/>
    <w:rsid w:val="00DF3BA7"/>
    <w:rsid w:val="00DF49A7"/>
    <w:rsid w:val="00DF5C5E"/>
    <w:rsid w:val="00E07EE2"/>
    <w:rsid w:val="00E07FD1"/>
    <w:rsid w:val="00E1357A"/>
    <w:rsid w:val="00E24573"/>
    <w:rsid w:val="00E256D7"/>
    <w:rsid w:val="00E25E1E"/>
    <w:rsid w:val="00E27EE7"/>
    <w:rsid w:val="00E30F6B"/>
    <w:rsid w:val="00E35404"/>
    <w:rsid w:val="00E45109"/>
    <w:rsid w:val="00E479E4"/>
    <w:rsid w:val="00E47B7A"/>
    <w:rsid w:val="00E505C5"/>
    <w:rsid w:val="00E56A44"/>
    <w:rsid w:val="00E60269"/>
    <w:rsid w:val="00E766DF"/>
    <w:rsid w:val="00E97830"/>
    <w:rsid w:val="00EE0830"/>
    <w:rsid w:val="00EE6CB8"/>
    <w:rsid w:val="00EF0683"/>
    <w:rsid w:val="00F0070C"/>
    <w:rsid w:val="00F00EB7"/>
    <w:rsid w:val="00F24C02"/>
    <w:rsid w:val="00F3351E"/>
    <w:rsid w:val="00F36AB6"/>
    <w:rsid w:val="00F37A09"/>
    <w:rsid w:val="00F409CE"/>
    <w:rsid w:val="00F4379D"/>
    <w:rsid w:val="00F50D2D"/>
    <w:rsid w:val="00F54F62"/>
    <w:rsid w:val="00F56C8B"/>
    <w:rsid w:val="00F62639"/>
    <w:rsid w:val="00F66810"/>
    <w:rsid w:val="00F73A60"/>
    <w:rsid w:val="00F84DF4"/>
    <w:rsid w:val="00F85C97"/>
    <w:rsid w:val="00F92EC8"/>
    <w:rsid w:val="00F93BA8"/>
    <w:rsid w:val="00FB37D2"/>
    <w:rsid w:val="00FC4EFB"/>
    <w:rsid w:val="00FD068D"/>
    <w:rsid w:val="00FD4F28"/>
    <w:rsid w:val="00FD53E7"/>
    <w:rsid w:val="00FE6784"/>
    <w:rsid w:val="00FE7A8B"/>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CC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1F4CC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1F4CC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1F4CC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F4CC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F4CC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F4CC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97437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1F4CC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1F4CC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1F4CC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1F4CC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F4CC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F4CC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F4CC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F4CC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1F4CC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F4CC4"/>
    <w:rPr>
      <w:b/>
      <w:sz w:val="24"/>
    </w:rPr>
  </w:style>
  <w:style w:type="paragraph" w:customStyle="1" w:styleId="Citation-AltC">
    <w:name w:val="Citation - Alt C"/>
    <w:uiPriority w:val="2"/>
    <w:qFormat/>
    <w:rsid w:val="001F4CC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F4CC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F4CC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F4CC4"/>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F4CC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F4CC4"/>
    <w:pPr>
      <w:numPr>
        <w:ilvl w:val="2"/>
      </w:numPr>
    </w:pPr>
  </w:style>
  <w:style w:type="paragraph" w:customStyle="1" w:styleId="Title4LevelTitre4Niveau">
    <w:name w:val="Title 4 Level / Titre 4 Niveau"/>
    <w:basedOn w:val="Title3LevelTitre3Niveau"/>
    <w:next w:val="ParaNoNdepar-AltN"/>
    <w:uiPriority w:val="4"/>
    <w:qFormat/>
    <w:rsid w:val="001F4CC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F4CC4"/>
    <w:pPr>
      <w:numPr>
        <w:ilvl w:val="4"/>
      </w:numPr>
    </w:pPr>
  </w:style>
  <w:style w:type="paragraph" w:styleId="TOC1">
    <w:name w:val="toc 1"/>
    <w:basedOn w:val="Normal"/>
    <w:next w:val="Normal"/>
    <w:autoRedefine/>
    <w:uiPriority w:val="99"/>
    <w:rsid w:val="001F4CC4"/>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99"/>
    <w:rsid w:val="001F4CC4"/>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99"/>
    <w:rsid w:val="001F4CC4"/>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99"/>
    <w:rsid w:val="001F4CC4"/>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99"/>
    <w:rsid w:val="001F4CC4"/>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99"/>
    <w:rsid w:val="001F4CC4"/>
    <w:pPr>
      <w:tabs>
        <w:tab w:val="left" w:pos="2160"/>
        <w:tab w:val="right" w:leader="dot" w:pos="8270"/>
      </w:tabs>
      <w:spacing w:after="100"/>
      <w:ind w:left="1800"/>
    </w:pPr>
    <w:rPr>
      <w:rFonts w:eastAsiaTheme="minorHAnsi" w:cstheme="minorBidi"/>
      <w:noProof/>
      <w:szCs w:val="22"/>
      <w:lang w:val="en-US" w:eastAsia="en-US" w:bidi="en-US"/>
    </w:rPr>
  </w:style>
  <w:style w:type="paragraph" w:customStyle="1" w:styleId="TitleTitre-AltT">
    <w:name w:val="Title / Titre - Alt T"/>
    <w:next w:val="ParaNoNdepar-AltN"/>
    <w:uiPriority w:val="3"/>
    <w:qFormat/>
    <w:rsid w:val="001F4CC4"/>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iPriority w:val="99"/>
    <w:rsid w:val="001F4CC4"/>
    <w:rPr>
      <w:rFonts w:ascii="Calibri" w:eastAsiaTheme="minorHAnsi" w:hAnsi="Calibri" w:cs="Calibr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1F4CC4"/>
    <w:rPr>
      <w:rFonts w:ascii="Calibri" w:eastAsiaTheme="minorHAnsi" w:hAnsi="Calibri" w:cs="Calibri"/>
      <w:lang w:val="en-US" w:eastAsia="en-US" w:bidi="en-US"/>
    </w:rPr>
  </w:style>
  <w:style w:type="character" w:customStyle="1" w:styleId="FootnoteTextChar19">
    <w:name w:val="Footnote Text Char19"/>
    <w:aliases w:val="Footnote Text Char2 Char18,Footnote Text Char1 Char Char18,Footnote Text Char Char Char Char18,Footnote Text Char Char1 Char18,Footnote Text Char1 Char1 Char Char18,Footnote Text Char Char Char1 Char Char18"/>
    <w:basedOn w:val="DefaultParagraphFont"/>
    <w:uiPriority w:val="99"/>
    <w:rsid w:val="001F4CC4"/>
    <w:rPr>
      <w:rFonts w:ascii="Times New Roman" w:hAnsi="Times New Roman" w:cs="Times New Roman"/>
      <w:sz w:val="20"/>
      <w:szCs w:val="20"/>
      <w:lang w:val="en-CA" w:eastAsia="en-CA"/>
    </w:rPr>
  </w:style>
  <w:style w:type="character" w:customStyle="1" w:styleId="FootnoteTextChar18">
    <w:name w:val="Footnote Text Char18"/>
    <w:aliases w:val="Footnote Text Char2 Char17,Footnote Text Char1 Char Char17,Footnote Text Char Char Char Char17,Footnote Text Char Char1 Char17,Footnote Text Char1 Char1 Char Char17,Footnote Text Char Char Char1 Char Char17"/>
    <w:basedOn w:val="DefaultParagraphFont"/>
    <w:uiPriority w:val="99"/>
    <w:rsid w:val="001F4CC4"/>
    <w:rPr>
      <w:rFonts w:ascii="Times New Roman" w:hAnsi="Times New Roman" w:cs="Times New Roman"/>
      <w:sz w:val="20"/>
      <w:szCs w:val="20"/>
      <w:lang w:val="en-CA" w:eastAsia="en-CA"/>
    </w:rPr>
  </w:style>
  <w:style w:type="character" w:customStyle="1" w:styleId="FootnoteTextChar17">
    <w:name w:val="Footnote Text Char17"/>
    <w:aliases w:val="Footnote Text Char2 Char16,Footnote Text Char1 Char Char16,Footnote Text Char Char Char Char16,Footnote Text Char Char1 Char16,Footnote Text Char1 Char1 Char Char16,Footnote Text Char Char Char1 Char Char16"/>
    <w:basedOn w:val="DefaultParagraphFont"/>
    <w:uiPriority w:val="99"/>
    <w:rsid w:val="001F4CC4"/>
    <w:rPr>
      <w:rFonts w:ascii="Times New Roman" w:hAnsi="Times New Roman" w:cs="Times New Roman"/>
      <w:sz w:val="20"/>
      <w:szCs w:val="20"/>
      <w:lang w:val="en-CA" w:eastAsia="en-CA"/>
    </w:rPr>
  </w:style>
  <w:style w:type="character" w:customStyle="1" w:styleId="FootnoteTextChar16">
    <w:name w:val="Footnote Text Char16"/>
    <w:aliases w:val="Footnote Text Char2 Char15,Footnote Text Char1 Char Char15,Footnote Text Char Char Char Char15,Footnote Text Char Char1 Char15,Footnote Text Char1 Char1 Char Char15,Footnote Text Char Char Char1 Char Char15"/>
    <w:basedOn w:val="DefaultParagraphFont"/>
    <w:uiPriority w:val="99"/>
    <w:rsid w:val="001F4CC4"/>
    <w:rPr>
      <w:rFonts w:ascii="Times New Roman" w:hAnsi="Times New Roman" w:cs="Times New Roman"/>
      <w:sz w:val="20"/>
      <w:szCs w:val="20"/>
      <w:lang w:val="en-CA" w:eastAsia="en-CA"/>
    </w:rPr>
  </w:style>
  <w:style w:type="character" w:customStyle="1" w:styleId="FootnoteTextChar15">
    <w:name w:val="Footnote Text Char15"/>
    <w:aliases w:val="Footnote Text Char2 Char14,Footnote Text Char1 Char Char14,Footnote Text Char Char Char Char14,Footnote Text Char Char1 Char14,Footnote Text Char1 Char1 Char Char14,Footnote Text Char Char Char1 Char Char14"/>
    <w:basedOn w:val="DefaultParagraphFont"/>
    <w:uiPriority w:val="99"/>
    <w:rsid w:val="001F4CC4"/>
    <w:rPr>
      <w:rFonts w:ascii="Times New Roman" w:hAnsi="Times New Roman" w:cs="Times New Roman"/>
      <w:sz w:val="20"/>
      <w:szCs w:val="20"/>
      <w:lang w:val="en-CA" w:eastAsia="en-CA"/>
    </w:rPr>
  </w:style>
  <w:style w:type="character" w:customStyle="1" w:styleId="FootnoteTextChar14">
    <w:name w:val="Footnote Text Char14"/>
    <w:aliases w:val="Footnote Text Char2 Char13,Footnote Text Char1 Char Char13,Footnote Text Char Char Char Char13,Footnote Text Char Char1 Char13,Footnote Text Char1 Char1 Char Char13,Footnote Text Char Char Char1 Char Char13"/>
    <w:basedOn w:val="DefaultParagraphFont"/>
    <w:uiPriority w:val="99"/>
    <w:rsid w:val="001F4CC4"/>
    <w:rPr>
      <w:rFonts w:ascii="Times New Roman" w:hAnsi="Times New Roman" w:cs="Times New Roman"/>
      <w:sz w:val="20"/>
      <w:szCs w:val="20"/>
      <w:lang w:val="en-CA" w:eastAsia="en-CA"/>
    </w:rPr>
  </w:style>
  <w:style w:type="character" w:customStyle="1" w:styleId="FootnoteTextChar13">
    <w:name w:val="Footnote Text Char13"/>
    <w:aliases w:val="Footnote Text Char2 Char12,Footnote Text Char1 Char Char12,Footnote Text Char Char Char Char12,Footnote Text Char Char1 Char12,Footnote Text Char1 Char1 Char Char12,Footnote Text Char Char Char1 Char Char12"/>
    <w:basedOn w:val="DefaultParagraphFont"/>
    <w:uiPriority w:val="99"/>
    <w:rsid w:val="001F4CC4"/>
    <w:rPr>
      <w:rFonts w:ascii="Times New Roman" w:hAnsi="Times New Roman" w:cs="Times New Roman"/>
      <w:sz w:val="20"/>
      <w:szCs w:val="20"/>
      <w:lang w:val="en-CA" w:eastAsia="en-CA"/>
    </w:rPr>
  </w:style>
  <w:style w:type="character" w:customStyle="1" w:styleId="FootnoteTextChar12">
    <w:name w:val="Footnote Text Char12"/>
    <w:aliases w:val="Footnote Text Char2 Char11,Footnote Text Char1 Char Char11,Footnote Text Char Char Char Char11,Footnote Text Char Char1 Char11,Footnote Text Char1 Char1 Char Char11,Footnote Text Char Char Char1 Char Char11"/>
    <w:basedOn w:val="DefaultParagraphFont"/>
    <w:uiPriority w:val="99"/>
    <w:rsid w:val="001F4CC4"/>
    <w:rPr>
      <w:rFonts w:ascii="Times New Roman" w:hAnsi="Times New Roman" w:cs="Times New Roman"/>
      <w:sz w:val="20"/>
      <w:szCs w:val="20"/>
      <w:lang w:val="en-CA" w:eastAsia="en-CA"/>
    </w:rPr>
  </w:style>
  <w:style w:type="character" w:customStyle="1" w:styleId="FootnoteTextChar11">
    <w:name w:val="Footnote Text Char11"/>
    <w:aliases w:val="Footnote Text Char2 Char10,Footnote Text Char1 Char Char10,Footnote Text Char Char Char Char10,Footnote Text Char Char1 Char10,Footnote Text Char1 Char1 Char Char10,Footnote Text Char Char Char1 Char Char10"/>
    <w:basedOn w:val="DefaultParagraphFont"/>
    <w:uiPriority w:val="99"/>
    <w:rsid w:val="001F4CC4"/>
    <w:rPr>
      <w:rFonts w:ascii="Times New Roman" w:hAnsi="Times New Roman" w:cs="Times New Roman"/>
      <w:sz w:val="20"/>
      <w:szCs w:val="20"/>
      <w:lang w:val="en-CA" w:eastAsia="en-CA"/>
    </w:rPr>
  </w:style>
  <w:style w:type="character" w:customStyle="1" w:styleId="FootnoteTextChar10">
    <w:name w:val="Footnote Text Char10"/>
    <w:aliases w:val="Footnote Text Char2 Char9,Footnote Text Char1 Char Char9,Footnote Text Char Char Char Char9,Footnote Text Char Char1 Char9,Footnote Text Char1 Char1 Char Char9,Footnote Text Char Char Char1 Char Char9"/>
    <w:basedOn w:val="DefaultParagraphFont"/>
    <w:uiPriority w:val="99"/>
    <w:rsid w:val="001F4CC4"/>
    <w:rPr>
      <w:rFonts w:ascii="Times New Roman" w:hAnsi="Times New Roman" w:cs="Times New Roman"/>
      <w:sz w:val="20"/>
      <w:szCs w:val="20"/>
      <w:lang w:val="en-CA" w:eastAsia="en-CA"/>
    </w:rPr>
  </w:style>
  <w:style w:type="character" w:customStyle="1" w:styleId="FootnoteTextChar9">
    <w:name w:val="Footnote Text Char9"/>
    <w:aliases w:val="Footnote Text Char2 Char8,Footnote Text Char1 Char Char8,Footnote Text Char Char Char Char8,Footnote Text Char Char1 Char8,Footnote Text Char1 Char1 Char Char8,Footnote Text Char Char Char1 Char Char8"/>
    <w:basedOn w:val="DefaultParagraphFont"/>
    <w:uiPriority w:val="99"/>
    <w:rsid w:val="001F4CC4"/>
    <w:rPr>
      <w:rFonts w:ascii="Times New Roman" w:hAnsi="Times New Roman" w:cs="Times New Roman"/>
      <w:sz w:val="20"/>
      <w:szCs w:val="20"/>
      <w:lang w:val="en-CA" w:eastAsia="en-CA"/>
    </w:rPr>
  </w:style>
  <w:style w:type="character" w:customStyle="1" w:styleId="FootnoteTextChar8">
    <w:name w:val="Footnote Text Char8"/>
    <w:aliases w:val="Footnote Text Char2 Char7,Footnote Text Char1 Char Char7,Footnote Text Char Char Char Char7,Footnote Text Char Char1 Char7,Footnote Text Char1 Char1 Char Char7,Footnote Text Char Char Char1 Char Char7"/>
    <w:basedOn w:val="DefaultParagraphFont"/>
    <w:uiPriority w:val="99"/>
    <w:rsid w:val="001F4CC4"/>
    <w:rPr>
      <w:rFonts w:ascii="Times New Roman" w:hAnsi="Times New Roman" w:cs="Times New Roman"/>
      <w:sz w:val="20"/>
      <w:szCs w:val="20"/>
      <w:lang w:val="en-CA" w:eastAsia="en-CA"/>
    </w:rPr>
  </w:style>
  <w:style w:type="character" w:customStyle="1" w:styleId="FootnoteTextChar7">
    <w:name w:val="Footnote Text Char7"/>
    <w:aliases w:val="Footnote Text Char2 Char6,Footnote Text Char1 Char Char6,Footnote Text Char Char Char Char6,Footnote Text Char Char1 Char6,Footnote Text Char1 Char1 Char Char6,Footnote Text Char Char Char1 Char Char6"/>
    <w:basedOn w:val="DefaultParagraphFont"/>
    <w:uiPriority w:val="99"/>
    <w:rsid w:val="001F4CC4"/>
    <w:rPr>
      <w:rFonts w:ascii="Times New Roman" w:hAnsi="Times New Roman" w:cs="Times New Roman"/>
      <w:sz w:val="20"/>
      <w:szCs w:val="20"/>
      <w:lang w:val="en-CA" w:eastAsia="en-CA"/>
    </w:rPr>
  </w:style>
  <w:style w:type="character" w:customStyle="1" w:styleId="FootnoteTextChar6">
    <w:name w:val="Footnote Text Char6"/>
    <w:aliases w:val="Footnote Text Char2 Char5,Footnote Text Char1 Char Char5,Footnote Text Char Char Char Char5,Footnote Text Char Char1 Char5,Footnote Text Char1 Char1 Char Char5,Footnote Text Char Char Char1 Char Char5"/>
    <w:basedOn w:val="DefaultParagraphFont"/>
    <w:uiPriority w:val="99"/>
    <w:rsid w:val="001F4CC4"/>
    <w:rPr>
      <w:rFonts w:ascii="Times New Roman" w:hAnsi="Times New Roman" w:cs="Times New Roman"/>
      <w:sz w:val="20"/>
      <w:szCs w:val="20"/>
      <w:lang w:val="en-CA" w:eastAsia="en-CA"/>
    </w:rPr>
  </w:style>
  <w:style w:type="character" w:customStyle="1" w:styleId="FootnoteTextChar5">
    <w:name w:val="Footnote Text Char5"/>
    <w:aliases w:val="Footnote Text Char2 Char4,Footnote Text Char1 Char Char4,Footnote Text Char Char Char Char4,Footnote Text Char Char1 Char4,Footnote Text Char1 Char1 Char Char4,Footnote Text Char Char Char1 Char Char4"/>
    <w:basedOn w:val="DefaultParagraphFont"/>
    <w:uiPriority w:val="99"/>
    <w:rsid w:val="001F4CC4"/>
    <w:rPr>
      <w:rFonts w:ascii="Times New Roman" w:hAnsi="Times New Roman" w:cs="Times New Roman"/>
      <w:sz w:val="20"/>
      <w:szCs w:val="20"/>
      <w:lang w:val="en-CA" w:eastAsia="en-CA"/>
    </w:rPr>
  </w:style>
  <w:style w:type="character" w:customStyle="1" w:styleId="FootnoteTextChar4">
    <w:name w:val="Footnote Text Char4"/>
    <w:aliases w:val="Footnote Text Char2 Char3,Footnote Text Char1 Char Char3,Footnote Text Char Char Char Char3,Footnote Text Char Char1 Char3,Footnote Text Char1 Char1 Char Char3,Footnote Text Char Char Char1 Char Char3"/>
    <w:basedOn w:val="DefaultParagraphFont"/>
    <w:uiPriority w:val="99"/>
    <w:rsid w:val="001F4CC4"/>
    <w:rPr>
      <w:rFonts w:ascii="Times New Roman" w:hAnsi="Times New Roman" w:cs="Times New Roman"/>
      <w:sz w:val="20"/>
      <w:szCs w:val="20"/>
      <w:lang w:val="en-CA" w:eastAsia="en-CA"/>
    </w:rPr>
  </w:style>
  <w:style w:type="character" w:customStyle="1" w:styleId="FootnoteTextChar3">
    <w:name w:val="Footnote Text Char3"/>
    <w:aliases w:val="Footnote Text Char2 Char2,Footnote Text Char1 Char Char2,Footnote Text Char Char Char Char2,Footnote Text Char Char1 Char2,Footnote Text Char1 Char1 Char Char2,Footnote Text Char Char Char1 Char Char2"/>
    <w:basedOn w:val="DefaultParagraphFont"/>
    <w:uiPriority w:val="99"/>
    <w:rsid w:val="001F4CC4"/>
    <w:rPr>
      <w:rFonts w:ascii="Times New Roman" w:hAnsi="Times New Roman" w:cs="Times New Roman"/>
      <w:sz w:val="20"/>
      <w:szCs w:val="20"/>
      <w:lang w:val="en-CA" w:eastAsia="en-CA"/>
    </w:rPr>
  </w:style>
  <w:style w:type="character" w:customStyle="1" w:styleId="FootnoteTextChar1">
    <w:name w:val="Footnote Text Char1"/>
    <w:aliases w:val="Footnote Text Char2 Char1,Footnote Text Char1 Char Char1,Footnote Text Char Char Char Char1,Footnote Text Char Char1 Char1,Footnote Text Char1 Char1 Char Char1,Footnote Text Char Char Char1 Char Char1"/>
    <w:basedOn w:val="DefaultParagraphFont"/>
    <w:uiPriority w:val="99"/>
    <w:rsid w:val="001F4CC4"/>
    <w:rPr>
      <w:rFonts w:ascii="Calibri" w:hAnsi="Calibri" w:cs="Calibri"/>
      <w:sz w:val="20"/>
      <w:szCs w:val="20"/>
      <w:lang w:eastAsia="en-US"/>
    </w:rPr>
  </w:style>
  <w:style w:type="character" w:styleId="FootnoteReference">
    <w:name w:val="footnote reference"/>
    <w:basedOn w:val="DefaultParagraphFont"/>
    <w:uiPriority w:val="99"/>
    <w:rsid w:val="001F4CC4"/>
    <w:rPr>
      <w:rFonts w:ascii="Times New Roman" w:hAnsi="Times New Roman" w:cs="Times New Roman"/>
      <w:vertAlign w:val="superscript"/>
    </w:rPr>
  </w:style>
  <w:style w:type="paragraph" w:styleId="DocumentMap">
    <w:name w:val="Document Map"/>
    <w:basedOn w:val="Normal"/>
    <w:link w:val="DocumentMapChar"/>
    <w:uiPriority w:val="99"/>
    <w:rsid w:val="001F4CC4"/>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rsid w:val="001F4CC4"/>
    <w:rPr>
      <w:rFonts w:ascii="Tahoma" w:eastAsiaTheme="minorHAnsi" w:hAnsi="Tahoma" w:cs="Tahoma"/>
      <w:sz w:val="16"/>
      <w:szCs w:val="16"/>
      <w:lang w:val="en-US" w:eastAsia="en-US" w:bidi="en-US"/>
    </w:rPr>
  </w:style>
  <w:style w:type="paragraph" w:customStyle="1" w:styleId="Lnum1">
    <w:name w:val="Lnum1"/>
    <w:basedOn w:val="Normal"/>
    <w:uiPriority w:val="99"/>
    <w:rsid w:val="001F4CC4"/>
    <w:pPr>
      <w:tabs>
        <w:tab w:val="num" w:pos="0"/>
      </w:tabs>
      <w:spacing w:after="240"/>
      <w:ind w:left="5040" w:hanging="720"/>
    </w:pPr>
    <w:rPr>
      <w:rFonts w:ascii="Book Antiqua" w:eastAsiaTheme="minorHAnsi" w:hAnsi="Book Antiqua" w:cs="Book Antiqua"/>
      <w:szCs w:val="22"/>
      <w:lang w:val="en-US" w:eastAsia="en-US" w:bidi="en-US"/>
    </w:rPr>
  </w:style>
  <w:style w:type="paragraph" w:customStyle="1" w:styleId="Lnum2">
    <w:name w:val="Lnum2"/>
    <w:basedOn w:val="Normal"/>
    <w:uiPriority w:val="99"/>
    <w:rsid w:val="001F4CC4"/>
    <w:pPr>
      <w:tabs>
        <w:tab w:val="num" w:pos="0"/>
      </w:tabs>
      <w:spacing w:after="240"/>
      <w:ind w:left="5760" w:hanging="720"/>
    </w:pPr>
    <w:rPr>
      <w:rFonts w:ascii="Book Antiqua" w:eastAsiaTheme="minorHAnsi" w:hAnsi="Book Antiqua" w:cs="Book Antiqua"/>
      <w:szCs w:val="22"/>
      <w:lang w:val="en-US" w:eastAsia="en-US" w:bidi="en-US"/>
    </w:rPr>
  </w:style>
  <w:style w:type="paragraph" w:customStyle="1" w:styleId="Lnum3">
    <w:name w:val="Lnum3"/>
    <w:basedOn w:val="Normal"/>
    <w:uiPriority w:val="99"/>
    <w:rsid w:val="001F4CC4"/>
    <w:pPr>
      <w:tabs>
        <w:tab w:val="num" w:pos="0"/>
      </w:tabs>
      <w:spacing w:after="240"/>
      <w:ind w:left="6480" w:hanging="720"/>
    </w:pPr>
    <w:rPr>
      <w:rFonts w:ascii="Book Antiqua" w:eastAsiaTheme="minorHAnsi" w:hAnsi="Book Antiqua" w:cs="Book Antiqua"/>
      <w:szCs w:val="22"/>
      <w:lang w:val="en-US" w:eastAsia="en-US" w:bidi="en-US"/>
    </w:rPr>
  </w:style>
  <w:style w:type="paragraph" w:customStyle="1" w:styleId="Style1">
    <w:name w:val="Style1"/>
    <w:basedOn w:val="Heading3"/>
    <w:uiPriority w:val="99"/>
    <w:rsid w:val="001F4CC4"/>
    <w:pPr>
      <w:numPr>
        <w:ilvl w:val="2"/>
      </w:numPr>
      <w:tabs>
        <w:tab w:val="num" w:pos="540"/>
      </w:tabs>
      <w:ind w:left="180"/>
    </w:pPr>
  </w:style>
  <w:style w:type="paragraph" w:styleId="TOCHeading">
    <w:name w:val="TOC Heading"/>
    <w:basedOn w:val="Heading1"/>
    <w:next w:val="Normal"/>
    <w:uiPriority w:val="39"/>
    <w:unhideWhenUsed/>
    <w:qFormat/>
    <w:rsid w:val="001F4CC4"/>
    <w:pPr>
      <w:spacing w:before="480" w:after="0"/>
      <w:ind w:left="0" w:firstLine="0"/>
      <w:outlineLvl w:val="9"/>
    </w:pPr>
    <w:rPr>
      <w:lang w:val="en-US" w:eastAsia="en-US" w:bidi="en-US"/>
    </w:rPr>
  </w:style>
  <w:style w:type="character" w:styleId="Hyperlink">
    <w:name w:val="Hyperlink"/>
    <w:basedOn w:val="DefaultParagraphFont"/>
    <w:uiPriority w:val="99"/>
    <w:unhideWhenUsed/>
    <w:rsid w:val="001F4CC4"/>
    <w:rPr>
      <w:color w:val="0000FF" w:themeColor="hyperlink"/>
      <w:u w:val="single"/>
    </w:rPr>
  </w:style>
  <w:style w:type="paragraph" w:customStyle="1" w:styleId="reasonsnumbering-altn1">
    <w:name w:val="reasonsnumbering-altn1"/>
    <w:basedOn w:val="Normal"/>
    <w:uiPriority w:val="99"/>
    <w:rsid w:val="001F4CC4"/>
    <w:pPr>
      <w:spacing w:after="480"/>
      <w:jc w:val="both"/>
    </w:pPr>
    <w:rPr>
      <w:rFonts w:eastAsiaTheme="minorHAnsi" w:cstheme="minorBidi"/>
      <w:szCs w:val="22"/>
      <w:lang w:val="en-US" w:eastAsia="en-US" w:bidi="en-US"/>
    </w:rPr>
  </w:style>
  <w:style w:type="paragraph" w:styleId="NormalWeb">
    <w:name w:val="Normal (Web)"/>
    <w:basedOn w:val="Normal"/>
    <w:uiPriority w:val="99"/>
    <w:rsid w:val="001F4CC4"/>
    <w:pPr>
      <w:spacing w:before="100" w:beforeAutospacing="1" w:after="100" w:afterAutospacing="1"/>
    </w:pPr>
    <w:rPr>
      <w:rFonts w:eastAsiaTheme="minorHAnsi" w:cstheme="minorBidi"/>
      <w:szCs w:val="22"/>
      <w:lang w:val="en-US" w:eastAsia="en-US" w:bidi="en-US"/>
    </w:rPr>
  </w:style>
  <w:style w:type="character" w:customStyle="1" w:styleId="reflex3-block">
    <w:name w:val="reflex3-block"/>
    <w:basedOn w:val="DefaultParagraphFont"/>
    <w:uiPriority w:val="99"/>
    <w:rsid w:val="001F4CC4"/>
    <w:rPr>
      <w:rFonts w:ascii="Times New Roman" w:hAnsi="Times New Roman" w:cs="Times New Roman"/>
    </w:rPr>
  </w:style>
  <w:style w:type="paragraph" w:customStyle="1" w:styleId="paranondepar-altn1">
    <w:name w:val="paranondepar-altn1"/>
    <w:basedOn w:val="Normal"/>
    <w:uiPriority w:val="99"/>
    <w:rsid w:val="001F4CC4"/>
    <w:pPr>
      <w:spacing w:before="480" w:after="480"/>
      <w:jc w:val="both"/>
    </w:pPr>
    <w:rPr>
      <w:rFonts w:eastAsiaTheme="minorHAnsi" w:cstheme="minorBidi"/>
      <w:szCs w:val="22"/>
      <w:lang w:val="en-US" w:eastAsia="en-US" w:bidi="en-US"/>
    </w:rPr>
  </w:style>
  <w:style w:type="paragraph" w:customStyle="1" w:styleId="headingnumber01">
    <w:name w:val="headingnumber01"/>
    <w:basedOn w:val="Normal"/>
    <w:uiPriority w:val="99"/>
    <w:rsid w:val="001F4CC4"/>
    <w:pPr>
      <w:spacing w:before="120" w:after="120"/>
      <w:ind w:left="360" w:hanging="360"/>
      <w:jc w:val="both"/>
    </w:pPr>
    <w:rPr>
      <w:rFonts w:eastAsiaTheme="minorHAnsi" w:cstheme="minorBidi"/>
      <w:sz w:val="26"/>
      <w:szCs w:val="26"/>
      <w:lang w:val="en-US" w:eastAsia="en-US" w:bidi="en-US"/>
    </w:rPr>
  </w:style>
  <w:style w:type="paragraph" w:styleId="ListParagraph">
    <w:name w:val="List Paragraph"/>
    <w:basedOn w:val="Normal"/>
    <w:uiPriority w:val="34"/>
    <w:rsid w:val="001F4CC4"/>
    <w:pPr>
      <w:ind w:left="720"/>
      <w:contextualSpacing/>
    </w:pPr>
    <w:rPr>
      <w:rFonts w:eastAsiaTheme="minorHAnsi" w:cstheme="minorBidi"/>
      <w:szCs w:val="22"/>
      <w:lang w:val="en-US" w:eastAsia="en-US" w:bidi="en-US"/>
    </w:rPr>
  </w:style>
  <w:style w:type="character" w:styleId="Emphasis">
    <w:name w:val="Emphasis"/>
    <w:basedOn w:val="DefaultParagraphFont"/>
    <w:uiPriority w:val="20"/>
    <w:rsid w:val="001F4CC4"/>
    <w:rPr>
      <w:i/>
      <w:iCs/>
    </w:rPr>
  </w:style>
  <w:style w:type="paragraph" w:customStyle="1" w:styleId="cquote1">
    <w:name w:val="cquote1"/>
    <w:basedOn w:val="Normal"/>
    <w:uiPriority w:val="99"/>
    <w:rsid w:val="001F4CC4"/>
    <w:pPr>
      <w:spacing w:before="120" w:after="240"/>
      <w:ind w:left="1440" w:right="1440"/>
      <w:jc w:val="both"/>
    </w:pPr>
    <w:rPr>
      <w:rFonts w:ascii="Arial" w:eastAsiaTheme="minorHAnsi" w:hAnsi="Arial" w:cs="Arial"/>
      <w:sz w:val="26"/>
      <w:szCs w:val="26"/>
      <w:lang w:val="en-US" w:eastAsia="en-US" w:bidi="en-US"/>
    </w:rPr>
  </w:style>
  <w:style w:type="character" w:styleId="SubtleEmphasis">
    <w:name w:val="Subtle Emphasis"/>
    <w:basedOn w:val="DefaultParagraphFont"/>
    <w:uiPriority w:val="19"/>
    <w:rsid w:val="001F4CC4"/>
    <w:rPr>
      <w:i/>
      <w:iCs/>
      <w:color w:val="808080" w:themeColor="text1" w:themeTint="7F"/>
    </w:rPr>
  </w:style>
  <w:style w:type="paragraph" w:customStyle="1" w:styleId="11">
    <w:name w:val="11"/>
    <w:basedOn w:val="Normal"/>
    <w:uiPriority w:val="99"/>
    <w:rsid w:val="001F4CC4"/>
    <w:pPr>
      <w:autoSpaceDE w:val="0"/>
      <w:autoSpaceDN w:val="0"/>
      <w:ind w:hanging="720"/>
    </w:pPr>
    <w:rPr>
      <w:rFonts w:eastAsiaTheme="minorHAnsi" w:cstheme="minorBidi"/>
      <w:szCs w:val="22"/>
      <w:lang w:val="en-US" w:eastAsia="en-US" w:bidi="en-US"/>
    </w:rPr>
  </w:style>
  <w:style w:type="character" w:styleId="CommentReference">
    <w:name w:val="annotation reference"/>
    <w:basedOn w:val="DefaultParagraphFont"/>
    <w:uiPriority w:val="99"/>
    <w:unhideWhenUsed/>
    <w:rsid w:val="001F4CC4"/>
    <w:rPr>
      <w:sz w:val="16"/>
      <w:szCs w:val="16"/>
    </w:rPr>
  </w:style>
  <w:style w:type="paragraph" w:styleId="CommentText">
    <w:name w:val="annotation text"/>
    <w:basedOn w:val="Normal"/>
    <w:link w:val="CommentTextChar"/>
    <w:uiPriority w:val="99"/>
    <w:unhideWhenUsed/>
    <w:rsid w:val="001F4CC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1F4CC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unhideWhenUsed/>
    <w:rsid w:val="001F4CC4"/>
    <w:rPr>
      <w:b/>
      <w:bCs/>
    </w:rPr>
  </w:style>
  <w:style w:type="character" w:customStyle="1" w:styleId="CommentSubjectChar">
    <w:name w:val="Comment Subject Char"/>
    <w:basedOn w:val="CommentTextChar"/>
    <w:link w:val="CommentSubject"/>
    <w:uiPriority w:val="99"/>
    <w:rsid w:val="001F4CC4"/>
    <w:rPr>
      <w:rFonts w:eastAsiaTheme="minorHAnsi" w:cstheme="minorBidi"/>
      <w:b/>
      <w:bCs/>
      <w:szCs w:val="22"/>
      <w:lang w:val="en-US" w:eastAsia="en-US" w:bidi="en-US"/>
    </w:rPr>
  </w:style>
  <w:style w:type="paragraph" w:styleId="Revision">
    <w:name w:val="Revision"/>
    <w:hidden/>
    <w:uiPriority w:val="99"/>
    <w:rsid w:val="001F4CC4"/>
    <w:rPr>
      <w:rFonts w:eastAsiaTheme="minorHAnsi" w:cstheme="minorBidi"/>
      <w:sz w:val="24"/>
      <w:szCs w:val="22"/>
      <w:lang w:val="en-US" w:eastAsia="en-US" w:bidi="en-US"/>
    </w:rPr>
  </w:style>
  <w:style w:type="character" w:customStyle="1" w:styleId="highlight">
    <w:name w:val="highlight"/>
    <w:basedOn w:val="DefaultParagraphFont"/>
    <w:uiPriority w:val="99"/>
    <w:rsid w:val="001F4CC4"/>
    <w:rPr>
      <w:rFonts w:ascii="Times New Roman" w:hAnsi="Times New Roman" w:cs="Times New Roman"/>
    </w:rPr>
  </w:style>
  <w:style w:type="table" w:styleId="TableGrid">
    <w:name w:val="Table Grid"/>
    <w:basedOn w:val="TableNormal"/>
    <w:uiPriority w:val="59"/>
    <w:rsid w:val="001F4C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geJugeChar">
    <w:name w:val="Judge / Juge Char"/>
    <w:basedOn w:val="DefaultParagraphFont"/>
    <w:link w:val="JudgeJuge"/>
    <w:uiPriority w:val="3"/>
    <w:rsid w:val="001F4CC4"/>
    <w:rPr>
      <w:smallCaps/>
      <w:sz w:val="24"/>
    </w:rPr>
  </w:style>
  <w:style w:type="paragraph" w:styleId="NoSpacing">
    <w:name w:val="No Spacing"/>
    <w:uiPriority w:val="1"/>
    <w:rsid w:val="001F4CC4"/>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1F4CC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F4C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F4CC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F4CC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F4CC4"/>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1F4CC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F4CC4"/>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F4CC4"/>
    <w:rPr>
      <w:b/>
      <w:bCs/>
      <w:i/>
      <w:iCs/>
      <w:color w:val="4F81BD" w:themeColor="accent1"/>
    </w:rPr>
  </w:style>
  <w:style w:type="character" w:styleId="SubtleReference">
    <w:name w:val="Subtle Reference"/>
    <w:basedOn w:val="DefaultParagraphFont"/>
    <w:uiPriority w:val="31"/>
    <w:rsid w:val="001F4CC4"/>
    <w:rPr>
      <w:smallCaps/>
      <w:color w:val="C0504D" w:themeColor="accent2"/>
      <w:u w:val="single"/>
    </w:rPr>
  </w:style>
  <w:style w:type="character" w:styleId="IntenseReference">
    <w:name w:val="Intense Reference"/>
    <w:basedOn w:val="DefaultParagraphFont"/>
    <w:uiPriority w:val="32"/>
    <w:rsid w:val="001F4CC4"/>
    <w:rPr>
      <w:b/>
      <w:bCs/>
      <w:smallCaps/>
      <w:color w:val="C0504D" w:themeColor="accent2"/>
      <w:spacing w:val="5"/>
      <w:u w:val="single"/>
    </w:rPr>
  </w:style>
  <w:style w:type="character" w:styleId="BookTitle">
    <w:name w:val="Book Title"/>
    <w:basedOn w:val="DefaultParagraphFont"/>
    <w:uiPriority w:val="33"/>
    <w:rsid w:val="001F4CC4"/>
    <w:rPr>
      <w:b/>
      <w:bCs/>
      <w:smallCaps/>
      <w:spacing w:val="5"/>
    </w:rPr>
  </w:style>
  <w:style w:type="paragraph" w:customStyle="1" w:styleId="Title6LevelTitre6Niveau">
    <w:name w:val="Title 6 Level / Titre 6 Niveau"/>
    <w:basedOn w:val="Title5LevelTitre5Niveau"/>
    <w:next w:val="ParaNoNdepar-AltN"/>
    <w:uiPriority w:val="4"/>
    <w:qFormat/>
    <w:rsid w:val="001F4CC4"/>
    <w:pPr>
      <w:numPr>
        <w:ilvl w:val="5"/>
      </w:numPr>
    </w:pPr>
    <w:rPr>
      <w:i/>
      <w:u w:val="none"/>
    </w:rPr>
  </w:style>
  <w:style w:type="character" w:customStyle="1" w:styleId="SCCLsocPartyRoleChar">
    <w:name w:val="SCC.Lsoc.PartyRole Char"/>
    <w:basedOn w:val="DefaultParagraphFont"/>
    <w:rsid w:val="002B61E1"/>
    <w:rPr>
      <w:lang w:val="fr-CA"/>
    </w:rPr>
  </w:style>
  <w:style w:type="paragraph" w:customStyle="1" w:styleId="SCCLsocPrefix">
    <w:name w:val="SCC.Lsoc.Prefix"/>
    <w:basedOn w:val="Normal"/>
    <w:next w:val="Normal"/>
    <w:link w:val="SCCLsocPrefixChar"/>
    <w:rsid w:val="002B61E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B61E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A173-3A4D-424C-A1B0-8597C6A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10567</Words>
  <Characters>60237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2015-05-07T14:58:00Z</dcterms:created>
  <dcterms:modified xsi:type="dcterms:W3CDTF">2015-10-06T17:20:00Z</dcterms:modified>
</cp:coreProperties>
</file>