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45" w:rsidRDefault="00E94045" w:rsidP="00E9404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85824" r:id="rId8"/>
        </w:object>
      </w:r>
      <w:r>
        <w:t xml:space="preserve"> </w:t>
      </w:r>
      <w:r>
        <w:ptab w:relativeTo="margin" w:alignment="right" w:leader="none"/>
      </w:r>
    </w:p>
    <w:p w:rsidR="00E94045" w:rsidRDefault="00E94045" w:rsidP="00E94045">
      <w:pPr>
        <w:pStyle w:val="Header"/>
      </w:pPr>
    </w:p>
    <w:p w:rsidR="00E94045" w:rsidRPr="001E12E2" w:rsidRDefault="00E94045" w:rsidP="00E94045">
      <w:pPr>
        <w:jc w:val="center"/>
        <w:rPr>
          <w:b/>
        </w:rPr>
      </w:pPr>
      <w:r w:rsidRPr="001E12E2">
        <w:rPr>
          <w:b/>
        </w:rPr>
        <w:t>COUR SUPRÊME DU CANADA</w:t>
      </w:r>
    </w:p>
    <w:p w:rsidR="00E94045" w:rsidRDefault="00E94045" w:rsidP="00E9404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94045" w:rsidRPr="001E12E2" w:rsidTr="00F045EF">
        <w:trPr>
          <w:cantSplit/>
        </w:trPr>
        <w:tc>
          <w:tcPr>
            <w:tcW w:w="6768" w:type="dxa"/>
          </w:tcPr>
          <w:p w:rsidR="00E94045" w:rsidRPr="00E94045" w:rsidRDefault="00E94045" w:rsidP="000916F4">
            <w:pPr>
              <w:rPr>
                <w:lang w:val="fr-CA"/>
              </w:rPr>
            </w:pPr>
            <w:r w:rsidRPr="00E94045">
              <w:rPr>
                <w:b/>
                <w:smallCaps/>
                <w:lang w:val="fr-CA"/>
              </w:rPr>
              <w:t>Référence :</w:t>
            </w:r>
            <w:r w:rsidRPr="00E94045">
              <w:rPr>
                <w:lang w:val="fr-CA"/>
              </w:rPr>
              <w:t xml:space="preserve"> 407 ETR Concession Co. </w:t>
            </w:r>
            <w:r w:rsidRPr="00E94045">
              <w:rPr>
                <w:i/>
                <w:lang w:val="fr-CA"/>
              </w:rPr>
              <w:t>c.</w:t>
            </w:r>
            <w:r w:rsidRPr="00E94045">
              <w:rPr>
                <w:lang w:val="fr-CA"/>
              </w:rPr>
              <w:t xml:space="preserve"> Canada (Surintendant des faillites), 2015 CSC 52</w:t>
            </w:r>
            <w:r w:rsidR="000916F4">
              <w:rPr>
                <w:lang w:val="fr-CA"/>
              </w:rPr>
              <w:t xml:space="preserve">, </w:t>
            </w:r>
            <w:r w:rsidR="000916F4">
              <w:rPr>
                <w:lang w:val="fr-CA"/>
              </w:rPr>
              <w:t>[2015] 3 R.C.S. 397</w:t>
            </w:r>
          </w:p>
        </w:tc>
        <w:tc>
          <w:tcPr>
            <w:tcW w:w="2808" w:type="dxa"/>
          </w:tcPr>
          <w:p w:rsidR="00E94045" w:rsidRPr="001E12E2" w:rsidRDefault="00E94045" w:rsidP="00F045EF">
            <w:r w:rsidRPr="001E12E2">
              <w:rPr>
                <w:b/>
                <w:smallCaps/>
              </w:rPr>
              <w:t>Date</w:t>
            </w:r>
            <w:r>
              <w:rPr>
                <w:b/>
                <w:smallCaps/>
              </w:rPr>
              <w:t> :</w:t>
            </w:r>
            <w:r w:rsidRPr="001E12E2">
              <w:t xml:space="preserve"> </w:t>
            </w:r>
            <w:r>
              <w:t>20151113</w:t>
            </w:r>
          </w:p>
          <w:p w:rsidR="00E94045" w:rsidRPr="001E12E2" w:rsidRDefault="00E94045" w:rsidP="00F045EF">
            <w:r w:rsidRPr="001E12E2">
              <w:rPr>
                <w:b/>
                <w:smallCaps/>
              </w:rPr>
              <w:t>Do</w:t>
            </w:r>
            <w:r>
              <w:rPr>
                <w:b/>
                <w:smallCaps/>
              </w:rPr>
              <w:t>ssier :</w:t>
            </w:r>
            <w:r w:rsidRPr="001E12E2">
              <w:t xml:space="preserve"> </w:t>
            </w:r>
            <w:r>
              <w:t>35696</w:t>
            </w:r>
          </w:p>
        </w:tc>
      </w:tr>
    </w:tbl>
    <w:p w:rsidR="00E94045" w:rsidRPr="001E12E2" w:rsidRDefault="00E94045" w:rsidP="00E94045"/>
    <w:p w:rsidR="00E94045" w:rsidRDefault="00E94045" w:rsidP="00E94045">
      <w:pPr>
        <w:pStyle w:val="SCCLsocPrefix"/>
      </w:pPr>
      <w:r>
        <w:t>Entre :</w:t>
      </w:r>
    </w:p>
    <w:p w:rsidR="00E94045" w:rsidRDefault="00E94045" w:rsidP="00DB021F">
      <w:pPr>
        <w:pStyle w:val="SCCLsocParty"/>
        <w:jc w:val="center"/>
      </w:pPr>
      <w:r>
        <w:t>407 ETR Concession Company Limited</w:t>
      </w:r>
    </w:p>
    <w:p w:rsidR="00E94045" w:rsidRDefault="00E94045" w:rsidP="00DB021F">
      <w:pPr>
        <w:jc w:val="center"/>
      </w:pPr>
      <w:proofErr w:type="spellStart"/>
      <w:r>
        <w:t>Appelante</w:t>
      </w:r>
      <w:proofErr w:type="spellEnd"/>
    </w:p>
    <w:p w:rsidR="00E94045" w:rsidRPr="00DB021F" w:rsidRDefault="00E94045" w:rsidP="00DB021F">
      <w:pPr>
        <w:pStyle w:val="SCCLsocVersus"/>
        <w:spacing w:after="0"/>
        <w:jc w:val="center"/>
        <w:rPr>
          <w:i w:val="0"/>
        </w:rPr>
      </w:pPr>
      <w:proofErr w:type="gramStart"/>
      <w:r w:rsidRPr="00DB021F">
        <w:rPr>
          <w:i w:val="0"/>
        </w:rPr>
        <w:t>et</w:t>
      </w:r>
      <w:proofErr w:type="gramEnd"/>
    </w:p>
    <w:p w:rsidR="00E94045" w:rsidRDefault="00E94045" w:rsidP="00DB021F">
      <w:pPr>
        <w:pStyle w:val="SCCLsocParty"/>
        <w:jc w:val="center"/>
      </w:pPr>
      <w:proofErr w:type="spellStart"/>
      <w:r>
        <w:t>Surintendant</w:t>
      </w:r>
      <w:proofErr w:type="spellEnd"/>
      <w:r>
        <w:t xml:space="preserve"> des </w:t>
      </w:r>
      <w:proofErr w:type="spellStart"/>
      <w:r>
        <w:t>faillites</w:t>
      </w:r>
      <w:proofErr w:type="spellEnd"/>
    </w:p>
    <w:p w:rsidR="00E94045" w:rsidRDefault="00E94045" w:rsidP="00DB021F">
      <w:pPr>
        <w:jc w:val="center"/>
      </w:pPr>
      <w:proofErr w:type="spellStart"/>
      <w:r>
        <w:t>Intimé</w:t>
      </w:r>
      <w:proofErr w:type="spellEnd"/>
    </w:p>
    <w:p w:rsidR="00E94045" w:rsidRDefault="00E94045" w:rsidP="00DB021F">
      <w:pPr>
        <w:pStyle w:val="SCCLsocOtherPartySeparator"/>
        <w:spacing w:after="0"/>
        <w:jc w:val="center"/>
      </w:pPr>
      <w:r>
        <w:t xml:space="preserve">- </w:t>
      </w:r>
      <w:proofErr w:type="gramStart"/>
      <w:r>
        <w:t>et</w:t>
      </w:r>
      <w:proofErr w:type="gramEnd"/>
      <w:r>
        <w:t xml:space="preserve"> -</w:t>
      </w:r>
    </w:p>
    <w:p w:rsidR="00E94045" w:rsidRPr="00E94045" w:rsidRDefault="00E94045" w:rsidP="00DB021F">
      <w:pPr>
        <w:pStyle w:val="SCCLsocParty"/>
        <w:jc w:val="center"/>
        <w:rPr>
          <w:lang w:val="fr-CA"/>
        </w:rPr>
      </w:pPr>
      <w:r w:rsidRPr="00E94045">
        <w:rPr>
          <w:lang w:val="fr-CA"/>
        </w:rPr>
        <w:t>Procureur général de l’Ontario, procureure générale du Québec, procureur général de la Colombi</w:t>
      </w:r>
      <w:bookmarkStart w:id="0" w:name="_GoBack"/>
      <w:bookmarkEnd w:id="0"/>
      <w:r w:rsidRPr="00E94045">
        <w:rPr>
          <w:lang w:val="fr-CA"/>
        </w:rPr>
        <w:t xml:space="preserve">e-Britannique, procureur général de la Saskatchewan, procureur général de l’Alberta, Michael Dow, Gwendolyn Miron et Peter </w:t>
      </w:r>
      <w:proofErr w:type="spellStart"/>
      <w:r w:rsidRPr="00E94045">
        <w:rPr>
          <w:lang w:val="fr-CA"/>
        </w:rPr>
        <w:t>Teolis</w:t>
      </w:r>
      <w:proofErr w:type="spellEnd"/>
    </w:p>
    <w:p w:rsidR="00E94045" w:rsidRPr="00E94045" w:rsidRDefault="00E94045" w:rsidP="00DB021F">
      <w:pPr>
        <w:jc w:val="center"/>
        <w:rPr>
          <w:lang w:val="fr-CA"/>
        </w:rPr>
      </w:pPr>
      <w:r w:rsidRPr="00E94045">
        <w:rPr>
          <w:lang w:val="fr-CA"/>
        </w:rPr>
        <w:t>Intervenants</w:t>
      </w:r>
      <w:r w:rsidRPr="00E94045">
        <w:rPr>
          <w:lang w:val="fr-CA"/>
        </w:rPr>
        <w:br/>
      </w:r>
    </w:p>
    <w:p w:rsidR="00E94045" w:rsidRPr="00E94045" w:rsidRDefault="00E94045" w:rsidP="00E94045">
      <w:pPr>
        <w:rPr>
          <w:lang w:val="fr-CA"/>
        </w:rPr>
      </w:pPr>
    </w:p>
    <w:p w:rsidR="00E94045" w:rsidRPr="00E94045" w:rsidRDefault="00E94045" w:rsidP="00E94045">
      <w:pPr>
        <w:jc w:val="center"/>
        <w:rPr>
          <w:b/>
          <w:smallCaps/>
          <w:lang w:val="fr-CA"/>
        </w:rPr>
      </w:pPr>
      <w:r w:rsidRPr="00E94045">
        <w:rPr>
          <w:b/>
          <w:smallCaps/>
          <w:lang w:val="fr-CA"/>
        </w:rPr>
        <w:t>Traduction française officielle</w:t>
      </w:r>
    </w:p>
    <w:p w:rsidR="00E94045" w:rsidRPr="00E94045" w:rsidRDefault="00E94045" w:rsidP="00E94045">
      <w:pPr>
        <w:rPr>
          <w:lang w:val="fr-CA"/>
        </w:rPr>
      </w:pPr>
    </w:p>
    <w:p w:rsidR="00E94045" w:rsidRPr="00E94045" w:rsidRDefault="00E94045" w:rsidP="00E94045">
      <w:pPr>
        <w:rPr>
          <w:lang w:val="fr-CA"/>
        </w:rPr>
      </w:pPr>
      <w:r w:rsidRPr="00E94045">
        <w:rPr>
          <w:b/>
          <w:smallCaps/>
          <w:lang w:val="fr-CA"/>
        </w:rPr>
        <w:t>Coram :</w:t>
      </w:r>
      <w:r w:rsidRPr="00E94045">
        <w:rPr>
          <w:lang w:val="fr-CA"/>
        </w:rPr>
        <w:t xml:space="preserve"> La juge en chef </w:t>
      </w:r>
      <w:proofErr w:type="spellStart"/>
      <w:r w:rsidRPr="00E94045">
        <w:rPr>
          <w:lang w:val="fr-CA"/>
        </w:rPr>
        <w:t>McLachlin</w:t>
      </w:r>
      <w:proofErr w:type="spellEnd"/>
      <w:r w:rsidRPr="00E94045">
        <w:rPr>
          <w:lang w:val="fr-CA"/>
        </w:rPr>
        <w:t xml:space="preserve"> et les juges Abella, </w:t>
      </w:r>
      <w:proofErr w:type="spellStart"/>
      <w:r w:rsidRPr="00E94045">
        <w:rPr>
          <w:lang w:val="fr-CA"/>
        </w:rPr>
        <w:t>Rothstein</w:t>
      </w:r>
      <w:proofErr w:type="spellEnd"/>
      <w:r w:rsidRPr="00E94045">
        <w:rPr>
          <w:lang w:val="fr-CA"/>
        </w:rPr>
        <w:t xml:space="preserve">, Cromwell, </w:t>
      </w:r>
      <w:proofErr w:type="spellStart"/>
      <w:r w:rsidRPr="00E94045">
        <w:rPr>
          <w:lang w:val="fr-CA"/>
        </w:rPr>
        <w:t>Moldaver</w:t>
      </w:r>
      <w:proofErr w:type="spellEnd"/>
      <w:r w:rsidRPr="00E94045">
        <w:rPr>
          <w:lang w:val="fr-CA"/>
        </w:rPr>
        <w:t xml:space="preserve">, </w:t>
      </w:r>
      <w:proofErr w:type="spellStart"/>
      <w:r w:rsidRPr="00E94045">
        <w:rPr>
          <w:lang w:val="fr-CA"/>
        </w:rPr>
        <w:t>Karakatsanis</w:t>
      </w:r>
      <w:proofErr w:type="spellEnd"/>
      <w:r w:rsidRPr="00E94045">
        <w:rPr>
          <w:lang w:val="fr-CA"/>
        </w:rPr>
        <w:t>, Wagner, Gascon et Côté</w:t>
      </w:r>
    </w:p>
    <w:p w:rsidR="00E94045" w:rsidRPr="00E94045" w:rsidRDefault="00E94045" w:rsidP="00E9404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4045" w:rsidRPr="00E94045" w:rsidTr="00F045EF">
        <w:trPr>
          <w:cantSplit/>
        </w:trPr>
        <w:tc>
          <w:tcPr>
            <w:tcW w:w="3618" w:type="dxa"/>
          </w:tcPr>
          <w:p w:rsidR="00E94045" w:rsidRPr="00E94045" w:rsidRDefault="00E94045" w:rsidP="00F045EF">
            <w:pPr>
              <w:rPr>
                <w:b/>
                <w:smallCaps/>
                <w:lang w:val="fr-CA"/>
              </w:rPr>
            </w:pPr>
            <w:r w:rsidRPr="00E94045">
              <w:rPr>
                <w:b/>
                <w:smallCaps/>
                <w:lang w:val="fr-CA"/>
              </w:rPr>
              <w:t>Motifs de jugement :</w:t>
            </w:r>
          </w:p>
          <w:p w:rsidR="00E94045" w:rsidRPr="00E94045" w:rsidRDefault="00E94045" w:rsidP="00F045EF">
            <w:pPr>
              <w:rPr>
                <w:lang w:val="fr-CA"/>
              </w:rPr>
            </w:pPr>
            <w:r w:rsidRPr="00E94045">
              <w:rPr>
                <w:lang w:val="fr-CA"/>
              </w:rPr>
              <w:t>(par. 1 à 33)</w:t>
            </w:r>
          </w:p>
        </w:tc>
        <w:tc>
          <w:tcPr>
            <w:tcW w:w="5958" w:type="dxa"/>
          </w:tcPr>
          <w:p w:rsidR="00E94045" w:rsidRPr="00E94045" w:rsidRDefault="00E94045" w:rsidP="00F045EF">
            <w:pPr>
              <w:rPr>
                <w:lang w:val="fr-CA"/>
              </w:rPr>
            </w:pPr>
            <w:r w:rsidRPr="00E94045">
              <w:rPr>
                <w:lang w:val="fr-CA"/>
              </w:rPr>
              <w:t xml:space="preserve">Le juge Gascon (avec l’accord des juges Abella, </w:t>
            </w:r>
            <w:proofErr w:type="spellStart"/>
            <w:r w:rsidRPr="00E94045">
              <w:rPr>
                <w:lang w:val="fr-CA"/>
              </w:rPr>
              <w:t>Rothstein</w:t>
            </w:r>
            <w:proofErr w:type="spellEnd"/>
            <w:r w:rsidRPr="00E94045">
              <w:rPr>
                <w:lang w:val="fr-CA"/>
              </w:rPr>
              <w:t xml:space="preserve">, Cromwell, </w:t>
            </w:r>
            <w:proofErr w:type="spellStart"/>
            <w:r w:rsidRPr="00E94045">
              <w:rPr>
                <w:lang w:val="fr-CA"/>
              </w:rPr>
              <w:t>Moldaver</w:t>
            </w:r>
            <w:proofErr w:type="spellEnd"/>
            <w:r w:rsidRPr="00E94045">
              <w:rPr>
                <w:lang w:val="fr-CA"/>
              </w:rPr>
              <w:t xml:space="preserve">, </w:t>
            </w:r>
            <w:proofErr w:type="spellStart"/>
            <w:r w:rsidRPr="00E94045">
              <w:rPr>
                <w:lang w:val="fr-CA"/>
              </w:rPr>
              <w:t>Karakatsanis</w:t>
            </w:r>
            <w:proofErr w:type="spellEnd"/>
            <w:r w:rsidRPr="00E94045">
              <w:rPr>
                <w:lang w:val="fr-CA"/>
              </w:rPr>
              <w:t xml:space="preserve"> et Wagner)</w:t>
            </w:r>
          </w:p>
        </w:tc>
      </w:tr>
    </w:tbl>
    <w:p w:rsidR="00E94045" w:rsidRPr="00E94045" w:rsidRDefault="00E94045" w:rsidP="00E9404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94045" w:rsidRPr="00E94045" w:rsidTr="00F045EF">
        <w:trPr>
          <w:cantSplit/>
        </w:trPr>
        <w:tc>
          <w:tcPr>
            <w:tcW w:w="3618" w:type="dxa"/>
          </w:tcPr>
          <w:p w:rsidR="00E94045" w:rsidRPr="00E94045" w:rsidRDefault="00E94045" w:rsidP="00F045EF">
            <w:pPr>
              <w:rPr>
                <w:b/>
                <w:smallCaps/>
                <w:lang w:val="fr-CA"/>
              </w:rPr>
            </w:pPr>
            <w:r w:rsidRPr="00E94045">
              <w:rPr>
                <w:b/>
                <w:smallCaps/>
                <w:lang w:val="fr-CA"/>
              </w:rPr>
              <w:t>Motifs concordants quant au résultat :</w:t>
            </w:r>
          </w:p>
          <w:p w:rsidR="00E94045" w:rsidRPr="001E12E2" w:rsidRDefault="00E94045" w:rsidP="00F045EF">
            <w:r>
              <w:t>(par. 34 à 41)</w:t>
            </w:r>
          </w:p>
        </w:tc>
        <w:tc>
          <w:tcPr>
            <w:tcW w:w="5958" w:type="dxa"/>
          </w:tcPr>
          <w:p w:rsidR="00E94045" w:rsidRPr="00E94045" w:rsidRDefault="00E94045" w:rsidP="00F045EF">
            <w:pPr>
              <w:rPr>
                <w:lang w:val="fr-CA"/>
              </w:rPr>
            </w:pPr>
            <w:r w:rsidRPr="00E94045">
              <w:rPr>
                <w:lang w:val="fr-CA"/>
              </w:rPr>
              <w:t xml:space="preserve">La juge Côté (avec l’accord de la juge en chef </w:t>
            </w:r>
            <w:proofErr w:type="spellStart"/>
            <w:r w:rsidRPr="00E94045">
              <w:rPr>
                <w:lang w:val="fr-CA"/>
              </w:rPr>
              <w:t>McLachlin</w:t>
            </w:r>
            <w:proofErr w:type="spellEnd"/>
            <w:r w:rsidRPr="00E94045">
              <w:rPr>
                <w:lang w:val="fr-CA"/>
              </w:rPr>
              <w:t>)</w:t>
            </w:r>
          </w:p>
        </w:tc>
      </w:tr>
    </w:tbl>
    <w:p w:rsidR="00E94045" w:rsidRPr="00E94045" w:rsidRDefault="00E94045" w:rsidP="00E94045">
      <w:pPr>
        <w:rPr>
          <w:lang w:val="fr-CA"/>
        </w:rPr>
      </w:pPr>
    </w:p>
    <w:p w:rsidR="00E94045" w:rsidRPr="00E94045" w:rsidRDefault="00E94045" w:rsidP="00E94045">
      <w:pPr>
        <w:rPr>
          <w:lang w:val="fr-CA"/>
        </w:rPr>
      </w:pPr>
    </w:p>
    <w:p w:rsidR="00E94045" w:rsidRPr="00E94045" w:rsidRDefault="00E94045" w:rsidP="00E94045">
      <w:pPr>
        <w:rPr>
          <w:lang w:val="fr-CA"/>
        </w:rPr>
      </w:pPr>
      <w:r>
        <w:rPr>
          <w:noProof/>
          <w:lang w:val="en-US"/>
        </w:rPr>
        <mc:AlternateContent>
          <mc:Choice Requires="wps">
            <w:drawing>
              <wp:anchor distT="0" distB="0" distL="114300" distR="114300" simplePos="0" relativeHeight="251659264" behindDoc="0" locked="0" layoutInCell="1" allowOverlap="1" wp14:anchorId="3BF58FAE" wp14:editId="5695CD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0A6D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94045" w:rsidRDefault="00E94045" w:rsidP="00203BA3">
      <w:pPr>
        <w:widowControl w:val="0"/>
        <w:spacing w:after="720"/>
        <w:jc w:val="both"/>
        <w:rPr>
          <w:rStyle w:val="SCCAppellantForRunningHeadChar"/>
          <w:smallCaps w:val="0"/>
          <w:lang w:val="fr-CA"/>
        </w:rPr>
      </w:pPr>
    </w:p>
    <w:p w:rsidR="000C1460" w:rsidRPr="00D558D3" w:rsidRDefault="000C1460" w:rsidP="00203BA3">
      <w:pPr>
        <w:widowControl w:val="0"/>
        <w:spacing w:after="720"/>
        <w:jc w:val="both"/>
        <w:rPr>
          <w:lang w:val="fr-CA"/>
        </w:rPr>
      </w:pPr>
      <w:r w:rsidRPr="004F4C20">
        <w:rPr>
          <w:rStyle w:val="SCCAppellantForRunningHeadChar"/>
          <w:smallCaps w:val="0"/>
          <w:lang w:val="fr-CA"/>
        </w:rPr>
        <w:t xml:space="preserve">407 </w:t>
      </w:r>
      <w:r w:rsidR="004F4C20">
        <w:rPr>
          <w:rStyle w:val="SCCAppellantForRunningHeadChar"/>
          <w:smallCaps w:val="0"/>
          <w:lang w:val="fr-CA"/>
        </w:rPr>
        <w:t>ETR C</w:t>
      </w:r>
      <w:r w:rsidRPr="004F4C20">
        <w:rPr>
          <w:rStyle w:val="SCCAppellantForRunningHeadChar"/>
          <w:smallCaps w:val="0"/>
          <w:lang w:val="fr-CA"/>
        </w:rPr>
        <w:t xml:space="preserve">oncession </w:t>
      </w:r>
      <w:r w:rsidR="004F4C20">
        <w:rPr>
          <w:rStyle w:val="SCCAppellantForRunningHeadChar"/>
          <w:smallCaps w:val="0"/>
          <w:lang w:val="fr-CA"/>
        </w:rPr>
        <w:t xml:space="preserve">Co. </w:t>
      </w:r>
      <w:r w:rsidRPr="00D558D3">
        <w:rPr>
          <w:i/>
          <w:lang w:val="fr-CA"/>
        </w:rPr>
        <w:t xml:space="preserve">c. </w:t>
      </w:r>
      <w:r w:rsidR="004F4C20">
        <w:rPr>
          <w:lang w:val="fr-CA"/>
        </w:rPr>
        <w:t>Canada (</w:t>
      </w:r>
      <w:r w:rsidR="004F4C20">
        <w:rPr>
          <w:rStyle w:val="SCCRespondentForRunningHeadChar"/>
          <w:smallCaps w:val="0"/>
          <w:lang w:val="fr-CA"/>
        </w:rPr>
        <w:t>S</w:t>
      </w:r>
      <w:r w:rsidRPr="004F4C20">
        <w:rPr>
          <w:rStyle w:val="SCCRespondentForRunningHeadChar"/>
          <w:smallCaps w:val="0"/>
          <w:lang w:val="fr-CA"/>
        </w:rPr>
        <w:t>urintendant des faillites</w:t>
      </w:r>
      <w:r w:rsidR="004F4C20">
        <w:rPr>
          <w:rStyle w:val="SCCRespondentForRunningHeadChar"/>
          <w:smallCaps w:val="0"/>
          <w:lang w:val="fr-CA"/>
        </w:rPr>
        <w:t xml:space="preserve">), </w:t>
      </w:r>
      <w:r w:rsidR="004F4C20" w:rsidRPr="00D558D3">
        <w:rPr>
          <w:lang w:val="fr-CA"/>
        </w:rPr>
        <w:t>2015 CSC 52</w:t>
      </w:r>
      <w:r w:rsidR="004F4C20">
        <w:rPr>
          <w:lang w:val="fr-CA"/>
        </w:rPr>
        <w:t>, [2015] 3 R.C.S. 397</w:t>
      </w:r>
    </w:p>
    <w:p w:rsidR="000C1460" w:rsidRPr="00D558D3" w:rsidRDefault="000C1460" w:rsidP="00203BA3">
      <w:pPr>
        <w:pStyle w:val="SCCLsocLastPartyInRole"/>
        <w:widowControl w:val="0"/>
        <w:rPr>
          <w:lang w:val="fr-CA"/>
        </w:rPr>
      </w:pPr>
      <w:r w:rsidRPr="00D558D3">
        <w:rPr>
          <w:lang w:val="fr-CA"/>
        </w:rPr>
        <w:lastRenderedPageBreak/>
        <w:t xml:space="preserve">407 ETR Concession </w:t>
      </w:r>
      <w:proofErr w:type="spellStart"/>
      <w:r w:rsidRPr="00D558D3">
        <w:rPr>
          <w:lang w:val="fr-CA"/>
        </w:rPr>
        <w:t>Company</w:t>
      </w:r>
      <w:proofErr w:type="spellEnd"/>
      <w:r w:rsidRPr="00D558D3">
        <w:rPr>
          <w:lang w:val="fr-CA"/>
        </w:rPr>
        <w:t xml:space="preserve"> Limited</w:t>
      </w:r>
      <w:r w:rsidRPr="00D558D3">
        <w:rPr>
          <w:rStyle w:val="SCCLsocPartyRole"/>
          <w:lang w:val="fr-CA"/>
        </w:rPr>
        <w:tab/>
        <w:t>Appelante</w:t>
      </w:r>
    </w:p>
    <w:p w:rsidR="000C1460" w:rsidRPr="00D558D3" w:rsidRDefault="000C1460" w:rsidP="00203BA3">
      <w:pPr>
        <w:pStyle w:val="SCCLsocVersus"/>
        <w:widowControl w:val="0"/>
        <w:rPr>
          <w:lang w:val="fr-CA"/>
        </w:rPr>
      </w:pPr>
      <w:proofErr w:type="gramStart"/>
      <w:r w:rsidRPr="00D558D3">
        <w:rPr>
          <w:lang w:val="fr-CA"/>
        </w:rPr>
        <w:t>c</w:t>
      </w:r>
      <w:proofErr w:type="gramEnd"/>
      <w:r w:rsidRPr="00D558D3">
        <w:rPr>
          <w:lang w:val="fr-CA"/>
        </w:rPr>
        <w:t>.</w:t>
      </w:r>
    </w:p>
    <w:p w:rsidR="000C1460" w:rsidRPr="00D558D3" w:rsidRDefault="000C1460" w:rsidP="00203BA3">
      <w:pPr>
        <w:pStyle w:val="SCCLsocLastPartyInRole"/>
        <w:widowControl w:val="0"/>
        <w:rPr>
          <w:lang w:val="fr-CA"/>
        </w:rPr>
      </w:pPr>
      <w:r w:rsidRPr="00D558D3">
        <w:rPr>
          <w:lang w:val="fr-CA"/>
        </w:rPr>
        <w:t>Surintendant des faillites</w:t>
      </w:r>
      <w:r w:rsidRPr="00D558D3">
        <w:rPr>
          <w:rStyle w:val="SCCLsocPartyRole"/>
          <w:lang w:val="fr-CA"/>
        </w:rPr>
        <w:tab/>
        <w:t>Intimé</w:t>
      </w:r>
    </w:p>
    <w:p w:rsidR="000C1460" w:rsidRPr="00D558D3" w:rsidRDefault="000C1460" w:rsidP="00203BA3">
      <w:pPr>
        <w:pStyle w:val="SCCLsocOtherPartySeparator"/>
        <w:widowControl w:val="0"/>
        <w:rPr>
          <w:lang w:val="fr-CA"/>
        </w:rPr>
      </w:pPr>
      <w:proofErr w:type="gramStart"/>
      <w:r w:rsidRPr="00D558D3">
        <w:rPr>
          <w:lang w:val="fr-CA"/>
        </w:rPr>
        <w:t>et</w:t>
      </w:r>
      <w:proofErr w:type="gramEnd"/>
    </w:p>
    <w:p w:rsidR="000C1460" w:rsidRPr="00D558D3" w:rsidRDefault="000C1460" w:rsidP="00203BA3">
      <w:pPr>
        <w:pStyle w:val="SCCLsocParty"/>
        <w:widowControl w:val="0"/>
        <w:rPr>
          <w:lang w:val="fr-CA"/>
        </w:rPr>
      </w:pPr>
      <w:r w:rsidRPr="00D558D3">
        <w:rPr>
          <w:lang w:val="fr-CA"/>
        </w:rPr>
        <w:t>Procureur général de l’Ontario,</w:t>
      </w:r>
    </w:p>
    <w:p w:rsidR="000C1460" w:rsidRPr="00D558D3" w:rsidRDefault="000C1460" w:rsidP="00203BA3">
      <w:pPr>
        <w:pStyle w:val="SCCLsocParty"/>
        <w:widowControl w:val="0"/>
        <w:rPr>
          <w:lang w:val="fr-CA"/>
        </w:rPr>
      </w:pPr>
      <w:proofErr w:type="gramStart"/>
      <w:r w:rsidRPr="00D558D3">
        <w:rPr>
          <w:lang w:val="fr-CA"/>
        </w:rPr>
        <w:t>procureure</w:t>
      </w:r>
      <w:proofErr w:type="gramEnd"/>
      <w:r w:rsidRPr="00D558D3">
        <w:rPr>
          <w:lang w:val="fr-CA"/>
        </w:rPr>
        <w:t xml:space="preserve"> générale du Québec,</w:t>
      </w:r>
    </w:p>
    <w:p w:rsidR="000C1460" w:rsidRPr="00D558D3" w:rsidRDefault="000C1460" w:rsidP="00203BA3">
      <w:pPr>
        <w:pStyle w:val="SCCLsocParty"/>
        <w:widowControl w:val="0"/>
        <w:rPr>
          <w:lang w:val="fr-CA"/>
        </w:rPr>
      </w:pPr>
      <w:proofErr w:type="gramStart"/>
      <w:r w:rsidRPr="00D558D3">
        <w:rPr>
          <w:lang w:val="fr-CA"/>
        </w:rPr>
        <w:t>procureur</w:t>
      </w:r>
      <w:proofErr w:type="gramEnd"/>
      <w:r w:rsidRPr="00D558D3">
        <w:rPr>
          <w:lang w:val="fr-CA"/>
        </w:rPr>
        <w:t xml:space="preserve"> général de la Colombie</w:t>
      </w:r>
      <w:r w:rsidRPr="00D558D3">
        <w:rPr>
          <w:lang w:val="fr-CA"/>
        </w:rPr>
        <w:noBreakHyphen/>
        <w:t>Britannique,</w:t>
      </w:r>
    </w:p>
    <w:p w:rsidR="000C1460" w:rsidRPr="00D558D3" w:rsidRDefault="000C1460" w:rsidP="00203BA3">
      <w:pPr>
        <w:pStyle w:val="SCCLsocParty"/>
        <w:widowControl w:val="0"/>
        <w:rPr>
          <w:lang w:val="fr-CA"/>
        </w:rPr>
      </w:pPr>
      <w:proofErr w:type="gramStart"/>
      <w:r w:rsidRPr="00D558D3">
        <w:rPr>
          <w:lang w:val="fr-CA"/>
        </w:rPr>
        <w:t>procureur</w:t>
      </w:r>
      <w:proofErr w:type="gramEnd"/>
      <w:r w:rsidRPr="00D558D3">
        <w:rPr>
          <w:lang w:val="fr-CA"/>
        </w:rPr>
        <w:t xml:space="preserve"> général de la Saskatchewan,</w:t>
      </w:r>
    </w:p>
    <w:p w:rsidR="000C1460" w:rsidRPr="00D558D3" w:rsidRDefault="000C1460" w:rsidP="00203BA3">
      <w:pPr>
        <w:pStyle w:val="SCCLsocParty"/>
        <w:widowControl w:val="0"/>
        <w:rPr>
          <w:lang w:val="fr-CA"/>
        </w:rPr>
      </w:pPr>
      <w:proofErr w:type="gramStart"/>
      <w:r w:rsidRPr="00D558D3">
        <w:rPr>
          <w:lang w:val="fr-CA"/>
        </w:rPr>
        <w:t>procureur</w:t>
      </w:r>
      <w:proofErr w:type="gramEnd"/>
      <w:r w:rsidRPr="00D558D3">
        <w:rPr>
          <w:lang w:val="fr-CA"/>
        </w:rPr>
        <w:t xml:space="preserve"> général de l’Alberta,</w:t>
      </w:r>
    </w:p>
    <w:p w:rsidR="000C1460" w:rsidRPr="00D558D3" w:rsidRDefault="000C1460" w:rsidP="00203BA3">
      <w:pPr>
        <w:pStyle w:val="SCCLsocLastPartyInRole"/>
        <w:widowControl w:val="0"/>
        <w:rPr>
          <w:lang w:val="fr-CA"/>
        </w:rPr>
      </w:pPr>
      <w:r w:rsidRPr="00D558D3">
        <w:rPr>
          <w:lang w:val="fr-CA"/>
        </w:rPr>
        <w:t xml:space="preserve">Michael Dow, Gwendolyn Miron et Peter </w:t>
      </w:r>
      <w:proofErr w:type="spellStart"/>
      <w:r w:rsidRPr="00D558D3">
        <w:rPr>
          <w:lang w:val="fr-CA"/>
        </w:rPr>
        <w:t>Teolis</w:t>
      </w:r>
      <w:proofErr w:type="spellEnd"/>
      <w:r w:rsidRPr="00D558D3">
        <w:rPr>
          <w:rStyle w:val="SCCLsocPartyRole"/>
          <w:lang w:val="fr-CA"/>
        </w:rPr>
        <w:tab/>
        <w:t>Intervenants</w:t>
      </w:r>
    </w:p>
    <w:p w:rsidR="000C1460" w:rsidRPr="00D558D3" w:rsidRDefault="000C1460" w:rsidP="00203BA3">
      <w:pPr>
        <w:widowControl w:val="0"/>
        <w:spacing w:after="720"/>
        <w:jc w:val="both"/>
        <w:rPr>
          <w:b/>
          <w:lang w:val="fr-CA"/>
        </w:rPr>
      </w:pPr>
      <w:r w:rsidRPr="00D558D3">
        <w:rPr>
          <w:b/>
          <w:lang w:val="fr-CA"/>
        </w:rPr>
        <w:t>Répertorié : </w:t>
      </w:r>
      <w:r w:rsidRPr="00D558D3">
        <w:rPr>
          <w:rStyle w:val="SCCAppellantForIndexChar"/>
          <w:lang w:val="fr-CA"/>
        </w:rPr>
        <w:t xml:space="preserve">407 ETR Concession Co. </w:t>
      </w:r>
      <w:r w:rsidRPr="00D558D3">
        <w:rPr>
          <w:b/>
          <w:i/>
          <w:lang w:val="fr-CA"/>
        </w:rPr>
        <w:t xml:space="preserve">c. </w:t>
      </w:r>
      <w:r w:rsidRPr="00D558D3">
        <w:rPr>
          <w:b/>
          <w:lang w:val="fr-CA"/>
        </w:rPr>
        <w:t>Canada (</w:t>
      </w:r>
      <w:r w:rsidRPr="00D558D3">
        <w:rPr>
          <w:rStyle w:val="SCCRespondentForIndexChar"/>
          <w:lang w:val="fr-CA"/>
        </w:rPr>
        <w:t>Surintendant des faillites)</w:t>
      </w:r>
    </w:p>
    <w:p w:rsidR="000C1460" w:rsidRPr="00D558D3" w:rsidRDefault="000C1460" w:rsidP="00203BA3">
      <w:pPr>
        <w:pStyle w:val="SCCSystemYear"/>
        <w:widowControl w:val="0"/>
        <w:spacing w:after="720"/>
        <w:jc w:val="both"/>
        <w:rPr>
          <w:lang w:val="fr-CA"/>
        </w:rPr>
      </w:pPr>
      <w:r w:rsidRPr="00D558D3">
        <w:rPr>
          <w:lang w:val="fr-CA"/>
        </w:rPr>
        <w:t>2015 CSC 52</w:t>
      </w:r>
    </w:p>
    <w:p w:rsidR="000C1460" w:rsidRPr="00D558D3" w:rsidRDefault="000C1460" w:rsidP="00203BA3">
      <w:pPr>
        <w:widowControl w:val="0"/>
        <w:spacing w:after="720"/>
        <w:jc w:val="both"/>
        <w:rPr>
          <w:lang w:val="fr-CA"/>
        </w:rPr>
      </w:pPr>
      <w:r w:rsidRPr="00D558D3">
        <w:rPr>
          <w:lang w:val="fr-CA"/>
        </w:rPr>
        <w:t>N</w:t>
      </w:r>
      <w:r w:rsidRPr="00D558D3">
        <w:rPr>
          <w:vertAlign w:val="superscript"/>
          <w:lang w:val="fr-CA"/>
        </w:rPr>
        <w:t>o</w:t>
      </w:r>
      <w:r w:rsidRPr="00D558D3">
        <w:rPr>
          <w:lang w:val="fr-CA"/>
        </w:rPr>
        <w:t xml:space="preserve"> du greffe : 35696.</w:t>
      </w:r>
    </w:p>
    <w:p w:rsidR="000C1460" w:rsidRPr="00D558D3" w:rsidRDefault="000C1460" w:rsidP="00203BA3">
      <w:pPr>
        <w:widowControl w:val="0"/>
        <w:spacing w:after="720"/>
        <w:jc w:val="both"/>
        <w:rPr>
          <w:lang w:val="fr-CA"/>
        </w:rPr>
      </w:pPr>
      <w:r w:rsidRPr="00D558D3">
        <w:rPr>
          <w:lang w:val="fr-CA"/>
        </w:rPr>
        <w:t>2015 : 15 janvier; 2015 : 13 novembre.</w:t>
      </w:r>
    </w:p>
    <w:p w:rsidR="000C1460" w:rsidRPr="00D558D3" w:rsidRDefault="000C1460" w:rsidP="00203BA3">
      <w:pPr>
        <w:widowControl w:val="0"/>
        <w:spacing w:after="720"/>
        <w:jc w:val="both"/>
        <w:rPr>
          <w:lang w:val="fr-CA"/>
        </w:rPr>
      </w:pPr>
      <w:r w:rsidRPr="00D558D3">
        <w:rPr>
          <w:lang w:val="fr-CA"/>
        </w:rPr>
        <w:t xml:space="preserve">Présents : La juge en chef McLachlin et les juges Abella, </w:t>
      </w:r>
      <w:proofErr w:type="spellStart"/>
      <w:r w:rsidRPr="00D558D3">
        <w:rPr>
          <w:lang w:val="fr-CA"/>
        </w:rPr>
        <w:t>Rothstein</w:t>
      </w:r>
      <w:proofErr w:type="spellEnd"/>
      <w:r w:rsidRPr="00D558D3">
        <w:rPr>
          <w:lang w:val="fr-CA"/>
        </w:rPr>
        <w:t xml:space="preserve">, Cromwell, </w:t>
      </w:r>
      <w:proofErr w:type="spellStart"/>
      <w:r w:rsidRPr="00D558D3">
        <w:rPr>
          <w:lang w:val="fr-CA"/>
        </w:rPr>
        <w:t>Moldaver</w:t>
      </w:r>
      <w:proofErr w:type="spellEnd"/>
      <w:r w:rsidRPr="00D558D3">
        <w:rPr>
          <w:lang w:val="fr-CA"/>
        </w:rPr>
        <w:t xml:space="preserve">, </w:t>
      </w:r>
      <w:proofErr w:type="spellStart"/>
      <w:r w:rsidRPr="00D558D3">
        <w:rPr>
          <w:lang w:val="fr-CA"/>
        </w:rPr>
        <w:t>Karakatsanis</w:t>
      </w:r>
      <w:proofErr w:type="spellEnd"/>
      <w:r w:rsidRPr="00D558D3">
        <w:rPr>
          <w:lang w:val="fr-CA"/>
        </w:rPr>
        <w:t>, Wagner, Gascon et Côté.</w:t>
      </w:r>
    </w:p>
    <w:p w:rsidR="000C1460" w:rsidRPr="00D558D3" w:rsidRDefault="000C1460" w:rsidP="00203BA3">
      <w:pPr>
        <w:widowControl w:val="0"/>
        <w:spacing w:after="720"/>
        <w:jc w:val="both"/>
        <w:rPr>
          <w:smallCaps/>
          <w:lang w:val="fr-CA"/>
        </w:rPr>
      </w:pPr>
      <w:r w:rsidRPr="00D558D3">
        <w:rPr>
          <w:smallCaps/>
          <w:lang w:val="fr-CA"/>
        </w:rPr>
        <w:t xml:space="preserve">en appel de la cour d’appel de </w:t>
      </w:r>
      <w:proofErr w:type="spellStart"/>
      <w:r w:rsidRPr="00D558D3">
        <w:rPr>
          <w:smallCaps/>
          <w:lang w:val="fr-CA"/>
        </w:rPr>
        <w:t>l’ontario</w:t>
      </w:r>
      <w:proofErr w:type="spellEnd"/>
    </w:p>
    <w:p w:rsidR="000C1460" w:rsidRPr="005B770B" w:rsidRDefault="000C1460" w:rsidP="00203BA3">
      <w:pPr>
        <w:pStyle w:val="SCCNormalDoubleSpacing"/>
        <w:widowControl w:val="0"/>
        <w:spacing w:after="480"/>
        <w:rPr>
          <w:i/>
          <w:lang w:val="fr-CA"/>
        </w:rPr>
      </w:pPr>
      <w:r w:rsidRPr="00D558D3">
        <w:rPr>
          <w:lang w:val="fr-CA"/>
        </w:rPr>
        <w:lastRenderedPageBreak/>
        <w:tab/>
      </w:r>
      <w:r w:rsidRPr="00D558D3">
        <w:rPr>
          <w:i/>
          <w:iCs/>
          <w:lang w:val="fr-CA"/>
        </w:rPr>
        <w:t>Droit constitutionnel — Partage des compétences — Prépondérance fédérale — Faillite et insolvabilité — Propriété et droits civils — Dette de péage routier envers un créancier constitu</w:t>
      </w:r>
      <w:r>
        <w:rPr>
          <w:i/>
          <w:iCs/>
          <w:lang w:val="fr-CA"/>
        </w:rPr>
        <w:t>ant</w:t>
      </w:r>
      <w:r w:rsidRPr="00D558D3">
        <w:rPr>
          <w:i/>
          <w:iCs/>
          <w:lang w:val="fr-CA"/>
        </w:rPr>
        <w:t xml:space="preserve"> une réclamation prouvable lors de la faillite du débiteur — Libération absolue de faillite accordée au débiteur — Loi fédérale sur la faillite prévoyant qu’à sa libération,</w:t>
      </w:r>
      <w:r w:rsidRPr="00D558D3">
        <w:rPr>
          <w:i/>
          <w:lang w:val="fr-CA"/>
        </w:rPr>
        <w:t xml:space="preserve"> </w:t>
      </w:r>
      <w:r w:rsidRPr="00D558D3">
        <w:rPr>
          <w:i/>
          <w:iCs/>
          <w:lang w:val="fr-CA"/>
        </w:rPr>
        <w:t>le débiteur est libéré de toute</w:t>
      </w:r>
      <w:r>
        <w:rPr>
          <w:i/>
          <w:iCs/>
          <w:lang w:val="fr-CA"/>
        </w:rPr>
        <w:t>s</w:t>
      </w:r>
      <w:r w:rsidRPr="00D558D3">
        <w:rPr>
          <w:i/>
          <w:iCs/>
          <w:lang w:val="fr-CA"/>
        </w:rPr>
        <w:t xml:space="preserve"> réclamation</w:t>
      </w:r>
      <w:r>
        <w:rPr>
          <w:i/>
          <w:iCs/>
          <w:lang w:val="fr-CA"/>
        </w:rPr>
        <w:t>s</w:t>
      </w:r>
      <w:r w:rsidRPr="00D558D3">
        <w:rPr>
          <w:i/>
          <w:iCs/>
          <w:lang w:val="fr-CA"/>
        </w:rPr>
        <w:t xml:space="preserve"> prouvable</w:t>
      </w:r>
      <w:r>
        <w:rPr>
          <w:i/>
          <w:iCs/>
          <w:lang w:val="fr-CA"/>
        </w:rPr>
        <w:t>s</w:t>
      </w:r>
      <w:r w:rsidRPr="00D558D3">
        <w:rPr>
          <w:i/>
          <w:iCs/>
          <w:lang w:val="fr-CA"/>
        </w:rPr>
        <w:t xml:space="preserve"> en matière de faillite — La loi provinciale prévoyant le maintien de la suspension du permis de conduire du débiteur jusqu’à ce qu’il acquitte la dette de péage est</w:t>
      </w:r>
      <w:r w:rsidRPr="00D558D3">
        <w:rPr>
          <w:i/>
          <w:iCs/>
          <w:lang w:val="fr-CA"/>
        </w:rPr>
        <w:noBreakHyphen/>
        <w:t>elle inopérante du point de vue constitutionnel en raison de la doctrine de la prépondérance fédérale? — Analyse permettant de déterminer s’il existe un conflit d’application — La loi fédérale et la loi provinciale peuvent</w:t>
      </w:r>
      <w:r w:rsidRPr="00D558D3">
        <w:rPr>
          <w:i/>
          <w:iCs/>
          <w:lang w:val="fr-CA"/>
        </w:rPr>
        <w:noBreakHyphen/>
        <w:t xml:space="preserve">elles </w:t>
      </w:r>
      <w:proofErr w:type="gramStart"/>
      <w:r w:rsidRPr="00D558D3">
        <w:rPr>
          <w:i/>
          <w:iCs/>
          <w:lang w:val="fr-CA"/>
        </w:rPr>
        <w:t>coexister</w:t>
      </w:r>
      <w:proofErr w:type="gramEnd"/>
      <w:r w:rsidRPr="00D558D3">
        <w:rPr>
          <w:i/>
          <w:iCs/>
          <w:lang w:val="fr-CA"/>
        </w:rPr>
        <w:t xml:space="preserve"> sans conflit? — L’application de la loi provinciale entrave</w:t>
      </w:r>
      <w:r w:rsidRPr="00D558D3">
        <w:rPr>
          <w:i/>
          <w:iCs/>
          <w:lang w:val="fr-CA"/>
        </w:rPr>
        <w:noBreakHyphen/>
        <w:t>t</w:t>
      </w:r>
      <w:r w:rsidRPr="00D558D3">
        <w:rPr>
          <w:i/>
          <w:iCs/>
          <w:lang w:val="fr-CA"/>
        </w:rPr>
        <w:noBreakHyphen/>
        <w:t xml:space="preserve">elle la réalisation de l’objet de la loi fédérale? </w:t>
      </w:r>
      <w:r w:rsidRPr="00D558D3">
        <w:rPr>
          <w:i/>
          <w:lang w:val="fr-CA"/>
        </w:rPr>
        <w:t>—</w:t>
      </w:r>
      <w:r w:rsidRPr="00D558D3">
        <w:rPr>
          <w:lang w:val="fr-CA"/>
        </w:rPr>
        <w:t xml:space="preserve"> </w:t>
      </w:r>
      <w:r w:rsidRPr="00D558D3">
        <w:rPr>
          <w:i/>
          <w:lang w:val="fr-CA"/>
        </w:rPr>
        <w:t xml:space="preserve">Loi sur la faillite et </w:t>
      </w:r>
      <w:r w:rsidRPr="005B770B">
        <w:rPr>
          <w:i/>
          <w:lang w:val="fr-CA"/>
        </w:rPr>
        <w:t>l’insolvabilité, L.R.C. 1985, c. B</w:t>
      </w:r>
      <w:r w:rsidRPr="005B770B">
        <w:rPr>
          <w:i/>
          <w:lang w:val="fr-CA"/>
        </w:rPr>
        <w:noBreakHyphen/>
        <w:t xml:space="preserve">3, art. 178(2) </w:t>
      </w:r>
      <w:r w:rsidRPr="005B770B">
        <w:rPr>
          <w:i/>
          <w:iCs/>
          <w:lang w:val="fr-CA"/>
        </w:rPr>
        <w:t xml:space="preserve">— Loi de </w:t>
      </w:r>
      <w:r w:rsidRPr="005B770B">
        <w:rPr>
          <w:i/>
          <w:lang w:val="fr-CA"/>
        </w:rPr>
        <w:t xml:space="preserve">1998 sur l’autoroute 407, L.O. 1998, c. 28, art. 22(1), (4). </w:t>
      </w:r>
    </w:p>
    <w:p w:rsidR="000C1460" w:rsidRPr="00D558D3" w:rsidRDefault="000C1460" w:rsidP="00203BA3">
      <w:pPr>
        <w:pStyle w:val="SCCNormalDoubleSpacing"/>
        <w:widowControl w:val="0"/>
        <w:spacing w:after="480"/>
        <w:rPr>
          <w:lang w:val="fr-CA"/>
        </w:rPr>
      </w:pPr>
      <w:r w:rsidRPr="00D558D3">
        <w:rPr>
          <w:lang w:val="fr-CA"/>
        </w:rPr>
        <w:tab/>
        <w:t xml:space="preserve">L’autoroute 407 de l’Ontario est une autoroute privée ouverte au public qui est exploitée par 407 ETR Concession </w:t>
      </w:r>
      <w:proofErr w:type="spellStart"/>
      <w:r w:rsidRPr="00D558D3">
        <w:rPr>
          <w:lang w:val="fr-CA"/>
        </w:rPr>
        <w:t>Company</w:t>
      </w:r>
      <w:proofErr w:type="spellEnd"/>
      <w:r w:rsidRPr="00D558D3">
        <w:rPr>
          <w:lang w:val="fr-CA"/>
        </w:rPr>
        <w:t xml:space="preserve"> Limited (« ETR »). La </w:t>
      </w:r>
      <w:r w:rsidRPr="00D558D3">
        <w:rPr>
          <w:i/>
          <w:lang w:val="fr-CA"/>
        </w:rPr>
        <w:t xml:space="preserve">Loi </w:t>
      </w:r>
      <w:r w:rsidR="00E85B62">
        <w:rPr>
          <w:i/>
          <w:lang w:val="fr-CA"/>
        </w:rPr>
        <w:t xml:space="preserve">de 1998 </w:t>
      </w:r>
      <w:r w:rsidRPr="00D558D3">
        <w:rPr>
          <w:i/>
          <w:lang w:val="fr-CA"/>
        </w:rPr>
        <w:t>sur l’autoroute</w:t>
      </w:r>
      <w:r w:rsidRPr="00D558D3">
        <w:rPr>
          <w:lang w:val="fr-CA"/>
        </w:rPr>
        <w:t xml:space="preserve"> </w:t>
      </w:r>
      <w:r w:rsidRPr="00D558D3">
        <w:rPr>
          <w:i/>
          <w:lang w:val="fr-CA"/>
        </w:rPr>
        <w:t xml:space="preserve">407 </w:t>
      </w:r>
      <w:r w:rsidRPr="00E85B62">
        <w:rPr>
          <w:lang w:val="fr-CA"/>
        </w:rPr>
        <w:t>(« </w:t>
      </w:r>
      <w:r w:rsidRPr="00D558D3">
        <w:rPr>
          <w:i/>
          <w:lang w:val="fr-CA"/>
        </w:rPr>
        <w:t>Loi</w:t>
      </w:r>
      <w:r>
        <w:rPr>
          <w:i/>
          <w:lang w:val="fr-CA"/>
        </w:rPr>
        <w:t> </w:t>
      </w:r>
      <w:r w:rsidRPr="00D558D3">
        <w:rPr>
          <w:i/>
          <w:lang w:val="fr-CA"/>
        </w:rPr>
        <w:t>407 </w:t>
      </w:r>
      <w:r w:rsidRPr="00E85B62">
        <w:rPr>
          <w:lang w:val="fr-CA"/>
        </w:rPr>
        <w:t>»</w:t>
      </w:r>
      <w:r w:rsidRPr="00D558D3">
        <w:rPr>
          <w:lang w:val="fr-CA"/>
        </w:rPr>
        <w:t xml:space="preserve">) en régit l’exploitation et habilite ETR à recouvrer le paiement des péages. Si une personne n’acquitte pas une dette de péage, le par. 22(1) de la </w:t>
      </w:r>
      <w:r w:rsidRPr="00D558D3">
        <w:rPr>
          <w:i/>
          <w:lang w:val="fr-CA"/>
        </w:rPr>
        <w:t xml:space="preserve">Loi 407 </w:t>
      </w:r>
      <w:r w:rsidRPr="00D558D3">
        <w:rPr>
          <w:lang w:val="fr-CA"/>
        </w:rPr>
        <w:t xml:space="preserve">permet à ETR d’en aviser le </w:t>
      </w:r>
      <w:proofErr w:type="spellStart"/>
      <w:r w:rsidRPr="00D558D3">
        <w:rPr>
          <w:lang w:val="fr-CA"/>
        </w:rPr>
        <w:t>registrateur</w:t>
      </w:r>
      <w:proofErr w:type="spellEnd"/>
      <w:r w:rsidRPr="00D558D3">
        <w:rPr>
          <w:lang w:val="fr-CA"/>
        </w:rPr>
        <w:t xml:space="preserve"> des véhicules automobiles. Dès qu’il reçoit cet avis, le </w:t>
      </w:r>
      <w:proofErr w:type="spellStart"/>
      <w:r w:rsidRPr="00D558D3">
        <w:rPr>
          <w:lang w:val="fr-CA"/>
        </w:rPr>
        <w:t>registrateur</w:t>
      </w:r>
      <w:proofErr w:type="spellEnd"/>
      <w:r w:rsidRPr="00D558D3">
        <w:rPr>
          <w:lang w:val="fr-CA"/>
        </w:rPr>
        <w:t xml:space="preserve"> doit, aux termes du par. 22(4), refuser de délivrer ou de renouveler le certificat d’immatriculation de véhicule du débiteur jusqu’à ce qu’il soit avisé par ETR du paiement de la dette et des frais, droits et intérêts y afférents. </w:t>
      </w:r>
    </w:p>
    <w:p w:rsidR="000C1460" w:rsidRPr="00D558D3" w:rsidRDefault="000C1460" w:rsidP="00203BA3">
      <w:pPr>
        <w:pStyle w:val="SCCNormalDoubleSpacing"/>
        <w:widowControl w:val="0"/>
        <w:spacing w:after="480"/>
        <w:rPr>
          <w:lang w:val="fr-CA"/>
        </w:rPr>
      </w:pPr>
      <w:r w:rsidRPr="00D558D3">
        <w:rPr>
          <w:lang w:val="fr-CA"/>
        </w:rPr>
        <w:lastRenderedPageBreak/>
        <w:tab/>
        <w:t xml:space="preserve">Comme M n’a pas payé sa dette de péage, ETR en a avisé le </w:t>
      </w:r>
      <w:proofErr w:type="spellStart"/>
      <w:r w:rsidRPr="00D558D3">
        <w:rPr>
          <w:lang w:val="fr-CA"/>
        </w:rPr>
        <w:t>registrateur</w:t>
      </w:r>
      <w:proofErr w:type="spellEnd"/>
      <w:r w:rsidRPr="00D558D3">
        <w:rPr>
          <w:lang w:val="fr-CA"/>
        </w:rPr>
        <w:t>, qui a refusé de renouveler les cert</w:t>
      </w:r>
      <w:r w:rsidR="00890283">
        <w:rPr>
          <w:lang w:val="fr-CA"/>
        </w:rPr>
        <w:t xml:space="preserve">ificats d’immatriculation de M. </w:t>
      </w:r>
      <w:r w:rsidRPr="00D558D3">
        <w:rPr>
          <w:lang w:val="fr-CA"/>
        </w:rPr>
        <w:t xml:space="preserve">M a obtenu une libération de faillite. Il a affirmé dans son bilan qu’ETR était une créancière non garantie. Selon le par. 178(2) de la </w:t>
      </w:r>
      <w:r w:rsidRPr="00D558D3">
        <w:rPr>
          <w:i/>
          <w:lang w:val="fr-CA"/>
        </w:rPr>
        <w:t>Loi sur la faillite et l’insolvabilité</w:t>
      </w:r>
      <w:r w:rsidRPr="00D558D3">
        <w:rPr>
          <w:lang w:val="fr-CA"/>
        </w:rPr>
        <w:t xml:space="preserve"> (« </w:t>
      </w:r>
      <w:r w:rsidRPr="00D558D3">
        <w:rPr>
          <w:i/>
          <w:lang w:val="fr-CA"/>
        </w:rPr>
        <w:t>LFI </w:t>
      </w:r>
      <w:r w:rsidRPr="00D558D3">
        <w:rPr>
          <w:lang w:val="fr-CA"/>
        </w:rPr>
        <w:t xml:space="preserve">»), la libération de faillite libère un débiteur des réclamations prouvables en matière de faillite. </w:t>
      </w:r>
      <w:proofErr w:type="spellStart"/>
      <w:r w:rsidRPr="00D558D3">
        <w:rPr>
          <w:lang w:val="fr-CA"/>
        </w:rPr>
        <w:t>M a</w:t>
      </w:r>
      <w:proofErr w:type="spellEnd"/>
      <w:r w:rsidRPr="00D558D3">
        <w:rPr>
          <w:lang w:val="fr-CA"/>
        </w:rPr>
        <w:t xml:space="preserve"> demandé une ordonnance déclarant que sa libération l’avait libéré de sa dette de péage</w:t>
      </w:r>
      <w:r>
        <w:rPr>
          <w:lang w:val="fr-CA"/>
        </w:rPr>
        <w:t>,</w:t>
      </w:r>
      <w:r w:rsidRPr="00D558D3">
        <w:rPr>
          <w:lang w:val="fr-CA"/>
        </w:rPr>
        <w:t xml:space="preserve"> ainsi qu’une ordonnance enjoignant au ministère des Transports de lui délivrer ses certificats d’immatriculation. Le juge de première instance a conclu que le par. 22(4) de la </w:t>
      </w:r>
      <w:r w:rsidRPr="00D558D3">
        <w:rPr>
          <w:i/>
          <w:lang w:val="fr-CA"/>
        </w:rPr>
        <w:t>Loi</w:t>
      </w:r>
      <w:r>
        <w:rPr>
          <w:i/>
          <w:lang w:val="fr-CA"/>
        </w:rPr>
        <w:t> </w:t>
      </w:r>
      <w:r w:rsidRPr="00D558D3">
        <w:rPr>
          <w:i/>
          <w:lang w:val="fr-CA"/>
        </w:rPr>
        <w:t>407</w:t>
      </w:r>
      <w:r w:rsidRPr="00D558D3">
        <w:rPr>
          <w:lang w:val="fr-CA"/>
        </w:rPr>
        <w:t xml:space="preserve"> n’entrait pas en conflit avec la </w:t>
      </w:r>
      <w:r w:rsidRPr="00D558D3">
        <w:rPr>
          <w:i/>
          <w:lang w:val="fr-CA"/>
        </w:rPr>
        <w:t>LFI</w:t>
      </w:r>
      <w:r w:rsidRPr="00D558D3">
        <w:rPr>
          <w:lang w:val="fr-CA"/>
        </w:rPr>
        <w:t xml:space="preserve"> et qu’en l’absence d’un conflit, il n’était pas compétent pour ordonner le rétablissement des certificats d’immatriculation de</w:t>
      </w:r>
      <w:r w:rsidR="009F199B">
        <w:rPr>
          <w:lang w:val="fr-CA"/>
        </w:rPr>
        <w:t xml:space="preserve"> véhicule de M. </w:t>
      </w:r>
      <w:r w:rsidRPr="00D558D3">
        <w:rPr>
          <w:lang w:val="fr-CA"/>
        </w:rPr>
        <w:t xml:space="preserve">M a réglé son différend avec ETR, mais le surintendant des faillites a formé un appel. Appliquant la doctrine de la prépondérance fédérale, la Cour d’appel a déclaré le par. 22(4) inopérant dans la mesure où il entrait en conflit avec l’objectif de la </w:t>
      </w:r>
      <w:r w:rsidRPr="00D558D3">
        <w:rPr>
          <w:i/>
          <w:lang w:val="fr-CA"/>
        </w:rPr>
        <w:t>LFI</w:t>
      </w:r>
      <w:r w:rsidRPr="00D558D3">
        <w:rPr>
          <w:lang w:val="fr-CA"/>
        </w:rPr>
        <w:t xml:space="preserve"> de permettre au failli </w:t>
      </w:r>
      <w:proofErr w:type="gramStart"/>
      <w:r w:rsidRPr="00D558D3">
        <w:rPr>
          <w:lang w:val="fr-CA"/>
        </w:rPr>
        <w:t>libéré</w:t>
      </w:r>
      <w:proofErr w:type="gramEnd"/>
      <w:r w:rsidRPr="00D558D3">
        <w:rPr>
          <w:lang w:val="fr-CA"/>
        </w:rPr>
        <w:t xml:space="preserve"> de prendre un nouveau départ.</w:t>
      </w:r>
    </w:p>
    <w:p w:rsidR="000C1460" w:rsidRPr="00D558D3" w:rsidRDefault="000C1460" w:rsidP="00203BA3">
      <w:pPr>
        <w:pStyle w:val="SCCNormalDoubleSpacing"/>
        <w:widowControl w:val="0"/>
        <w:spacing w:after="480"/>
        <w:rPr>
          <w:lang w:val="fr-CA"/>
        </w:rPr>
      </w:pPr>
      <w:r w:rsidRPr="00D558D3">
        <w:rPr>
          <w:lang w:val="fr-CA"/>
        </w:rPr>
        <w:tab/>
      </w:r>
      <w:r w:rsidRPr="00D558D3">
        <w:rPr>
          <w:i/>
          <w:lang w:val="fr-CA"/>
        </w:rPr>
        <w:t>Arrêt</w:t>
      </w:r>
      <w:r w:rsidRPr="00D558D3">
        <w:rPr>
          <w:lang w:val="fr-CA"/>
        </w:rPr>
        <w:t xml:space="preserve"> : Le pourvoi est rejeté. Le paragraphe 22(4) de la </w:t>
      </w:r>
      <w:r w:rsidRPr="00D558D3">
        <w:rPr>
          <w:i/>
          <w:lang w:val="fr-CA"/>
        </w:rPr>
        <w:t>Loi</w:t>
      </w:r>
      <w:r>
        <w:rPr>
          <w:i/>
          <w:lang w:val="fr-CA"/>
        </w:rPr>
        <w:t> </w:t>
      </w:r>
      <w:r w:rsidRPr="00D558D3">
        <w:rPr>
          <w:i/>
          <w:lang w:val="fr-CA"/>
        </w:rPr>
        <w:t>407</w:t>
      </w:r>
      <w:r w:rsidRPr="00D558D3">
        <w:rPr>
          <w:lang w:val="fr-CA"/>
        </w:rPr>
        <w:t xml:space="preserve"> est inopérant du point de vue constitutionnel dans la mesure où il est utilisé pour recouvrer une réclamation prouvable dont le débiteur a été libéré en application du par. 178(2) de la </w:t>
      </w:r>
      <w:r w:rsidRPr="00D558D3">
        <w:rPr>
          <w:i/>
          <w:lang w:val="fr-CA"/>
        </w:rPr>
        <w:t>LFI</w:t>
      </w:r>
      <w:r w:rsidRPr="00D558D3">
        <w:rPr>
          <w:lang w:val="fr-CA"/>
        </w:rPr>
        <w:t>.</w:t>
      </w:r>
    </w:p>
    <w:p w:rsidR="000C1460" w:rsidRPr="00D558D3" w:rsidRDefault="000C1460" w:rsidP="00203BA3">
      <w:pPr>
        <w:pStyle w:val="SCCNormalDoubleSpacing"/>
        <w:widowControl w:val="0"/>
        <w:spacing w:after="480"/>
        <w:rPr>
          <w:lang w:val="fr-CA"/>
        </w:rPr>
      </w:pPr>
      <w:r w:rsidRPr="00D558D3">
        <w:rPr>
          <w:lang w:val="fr-CA"/>
        </w:rPr>
        <w:tab/>
      </w:r>
      <w:r w:rsidRPr="00D558D3">
        <w:rPr>
          <w:i/>
          <w:lang w:val="fr-CA"/>
        </w:rPr>
        <w:t xml:space="preserve">Les </w:t>
      </w:r>
      <w:r w:rsidRPr="00D558D3">
        <w:rPr>
          <w:lang w:val="fr-CA"/>
        </w:rPr>
        <w:t xml:space="preserve">juges </w:t>
      </w:r>
      <w:r w:rsidRPr="00D558D3">
        <w:rPr>
          <w:rStyle w:val="SCCCoramChar"/>
          <w:lang w:val="fr-CA"/>
        </w:rPr>
        <w:t xml:space="preserve">Abella, </w:t>
      </w:r>
      <w:proofErr w:type="spellStart"/>
      <w:r>
        <w:rPr>
          <w:rStyle w:val="SCCCoramChar"/>
          <w:lang w:val="fr-CA"/>
        </w:rPr>
        <w:t>Rothstein</w:t>
      </w:r>
      <w:proofErr w:type="spellEnd"/>
      <w:r>
        <w:rPr>
          <w:rStyle w:val="SCCCoramChar"/>
          <w:lang w:val="fr-CA"/>
        </w:rPr>
        <w:t xml:space="preserve">, </w:t>
      </w:r>
      <w:r w:rsidRPr="00D558D3">
        <w:rPr>
          <w:rStyle w:val="SCCCoramChar"/>
          <w:lang w:val="fr-CA"/>
        </w:rPr>
        <w:t>C</w:t>
      </w:r>
      <w:r>
        <w:rPr>
          <w:rStyle w:val="SCCCoramChar"/>
          <w:lang w:val="fr-CA"/>
        </w:rPr>
        <w:t xml:space="preserve">romwell, </w:t>
      </w:r>
      <w:proofErr w:type="spellStart"/>
      <w:r>
        <w:rPr>
          <w:rStyle w:val="SCCCoramChar"/>
          <w:lang w:val="fr-CA"/>
        </w:rPr>
        <w:t>Moldaver</w:t>
      </w:r>
      <w:proofErr w:type="spellEnd"/>
      <w:r>
        <w:rPr>
          <w:rStyle w:val="SCCCoramChar"/>
          <w:lang w:val="fr-CA"/>
        </w:rPr>
        <w:t xml:space="preserve">, </w:t>
      </w:r>
      <w:proofErr w:type="spellStart"/>
      <w:r>
        <w:rPr>
          <w:rStyle w:val="SCCCoramChar"/>
          <w:lang w:val="fr-CA"/>
        </w:rPr>
        <w:t>Karakatsanis</w:t>
      </w:r>
      <w:proofErr w:type="spellEnd"/>
      <w:r>
        <w:rPr>
          <w:rStyle w:val="SCCCoramChar"/>
          <w:lang w:val="fr-CA"/>
        </w:rPr>
        <w:t xml:space="preserve">, Wagner </w:t>
      </w:r>
      <w:r w:rsidRPr="00D558D3">
        <w:rPr>
          <w:rStyle w:val="SCCCoramChar"/>
          <w:lang w:val="fr-CA"/>
        </w:rPr>
        <w:t xml:space="preserve">et </w:t>
      </w:r>
      <w:r w:rsidRPr="00A910CE">
        <w:rPr>
          <w:lang w:val="fr-CA"/>
        </w:rPr>
        <w:t>Gascon :</w:t>
      </w:r>
      <w:r w:rsidRPr="00D558D3">
        <w:rPr>
          <w:lang w:val="fr-CA"/>
        </w:rPr>
        <w:t xml:space="preserve"> L’arrêt connexe </w:t>
      </w:r>
      <w:r w:rsidRPr="00D558D3">
        <w:rPr>
          <w:i/>
          <w:lang w:val="fr-CA"/>
        </w:rPr>
        <w:t xml:space="preserve">Alberta (Procureur général) c. </w:t>
      </w:r>
      <w:proofErr w:type="spellStart"/>
      <w:r w:rsidRPr="00D558D3">
        <w:rPr>
          <w:i/>
          <w:lang w:val="fr-CA"/>
        </w:rPr>
        <w:t>Moloney</w:t>
      </w:r>
      <w:proofErr w:type="spellEnd"/>
      <w:r w:rsidRPr="00D558D3">
        <w:rPr>
          <w:lang w:val="fr-CA"/>
        </w:rPr>
        <w:t>, 2015 CSC 51,</w:t>
      </w:r>
      <w:r w:rsidR="00A910CE">
        <w:rPr>
          <w:lang w:val="fr-CA"/>
        </w:rPr>
        <w:t xml:space="preserve"> </w:t>
      </w:r>
      <w:r w:rsidR="00A910CE">
        <w:rPr>
          <w:lang w:val="fr-CA"/>
        </w:rPr>
        <w:lastRenderedPageBreak/>
        <w:t xml:space="preserve">[2015] 3 R.C.S. </w:t>
      </w:r>
      <w:r w:rsidR="00F27A93">
        <w:rPr>
          <w:lang w:val="fr-CA"/>
        </w:rPr>
        <w:t>327</w:t>
      </w:r>
      <w:r w:rsidR="00A910CE">
        <w:rPr>
          <w:lang w:val="fr-CA"/>
        </w:rPr>
        <w:t xml:space="preserve">, </w:t>
      </w:r>
      <w:r w:rsidRPr="00D558D3">
        <w:rPr>
          <w:lang w:val="fr-CA"/>
        </w:rPr>
        <w:t xml:space="preserve"> contient une analyse complète des principes de la doctrine de la prépondérance fédérale ainsi que des objectifs et des dispositions applicables de la </w:t>
      </w:r>
      <w:r w:rsidRPr="00D558D3">
        <w:rPr>
          <w:i/>
          <w:lang w:val="fr-CA"/>
        </w:rPr>
        <w:t>LFI</w:t>
      </w:r>
      <w:r w:rsidRPr="00D558D3">
        <w:rPr>
          <w:lang w:val="fr-CA"/>
        </w:rPr>
        <w:t xml:space="preserve">. Tout comme dans le pourvoi connexe, il n’y a aucun désaccord en l’espèce au sujet de la validité de la loi provinciale et de la loi fédérale indépendamment l’une de l’autre. L’article 22 de la </w:t>
      </w:r>
      <w:r w:rsidRPr="00D558D3">
        <w:rPr>
          <w:i/>
          <w:lang w:val="fr-CA"/>
        </w:rPr>
        <w:t>Loi</w:t>
      </w:r>
      <w:r>
        <w:rPr>
          <w:i/>
          <w:lang w:val="fr-CA"/>
        </w:rPr>
        <w:t> </w:t>
      </w:r>
      <w:r w:rsidRPr="00D558D3">
        <w:rPr>
          <w:i/>
          <w:lang w:val="fr-CA"/>
        </w:rPr>
        <w:t>407</w:t>
      </w:r>
      <w:r w:rsidRPr="00D558D3">
        <w:rPr>
          <w:lang w:val="fr-CA"/>
        </w:rPr>
        <w:t xml:space="preserve"> et l’art. 178 de la </w:t>
      </w:r>
      <w:r w:rsidRPr="00D558D3">
        <w:rPr>
          <w:i/>
          <w:lang w:val="fr-CA"/>
        </w:rPr>
        <w:t>LFI</w:t>
      </w:r>
      <w:r w:rsidRPr="00D558D3">
        <w:rPr>
          <w:lang w:val="fr-CA"/>
        </w:rPr>
        <w:t xml:space="preserve"> ont été validement adoptés par leurs ordres de gouvernement respectifs. La seule question soumise à la Cour est de savoir si leur application concurrente engendre un conflit. </w:t>
      </w:r>
      <w:bookmarkStart w:id="1" w:name="_Toc415577151"/>
    </w:p>
    <w:bookmarkEnd w:id="1"/>
    <w:p w:rsidR="000C1460" w:rsidRPr="00D558D3" w:rsidRDefault="000C1460" w:rsidP="00203BA3">
      <w:pPr>
        <w:pStyle w:val="SCCNormalDoubleSpacing"/>
        <w:widowControl w:val="0"/>
        <w:spacing w:after="480"/>
        <w:rPr>
          <w:szCs w:val="24"/>
          <w:lang w:val="fr-CA"/>
        </w:rPr>
      </w:pPr>
      <w:r w:rsidRPr="00D558D3">
        <w:rPr>
          <w:szCs w:val="24"/>
          <w:lang w:val="fr-CA"/>
        </w:rPr>
        <w:tab/>
        <w:t xml:space="preserve">Le volet </w:t>
      </w:r>
      <w:r>
        <w:rPr>
          <w:szCs w:val="24"/>
          <w:lang w:val="fr-CA"/>
        </w:rPr>
        <w:t xml:space="preserve">relatif au </w:t>
      </w:r>
      <w:r w:rsidRPr="00D558D3">
        <w:rPr>
          <w:szCs w:val="24"/>
          <w:lang w:val="fr-CA"/>
        </w:rPr>
        <w:t xml:space="preserve">conflit d’application de l’analyse fondée sur la doctrine de la prépondérance exige que l’on détermine s’il est possible d’appliquer la loi </w:t>
      </w:r>
      <w:r w:rsidRPr="00D558D3">
        <w:rPr>
          <w:lang w:val="fr-CA"/>
        </w:rPr>
        <w:t>provinciale</w:t>
      </w:r>
      <w:r w:rsidRPr="00D558D3">
        <w:rPr>
          <w:szCs w:val="24"/>
          <w:lang w:val="fr-CA"/>
        </w:rPr>
        <w:t xml:space="preserve"> tout en se conformant à la loi fédérale. </w:t>
      </w:r>
      <w:r w:rsidRPr="00D558D3">
        <w:rPr>
          <w:lang w:val="fr-CA"/>
        </w:rPr>
        <w:t xml:space="preserve">En l’espèce, le par. 22(4) de la </w:t>
      </w:r>
      <w:r w:rsidRPr="00D558D3">
        <w:rPr>
          <w:i/>
          <w:lang w:val="fr-CA"/>
        </w:rPr>
        <w:t>Loi</w:t>
      </w:r>
      <w:r>
        <w:rPr>
          <w:i/>
          <w:lang w:val="fr-CA"/>
        </w:rPr>
        <w:t> </w:t>
      </w:r>
      <w:r w:rsidRPr="00D558D3">
        <w:rPr>
          <w:i/>
          <w:lang w:val="fr-CA"/>
        </w:rPr>
        <w:t xml:space="preserve">407 </w:t>
      </w:r>
      <w:r w:rsidRPr="00D558D3">
        <w:rPr>
          <w:lang w:val="fr-CA"/>
        </w:rPr>
        <w:t xml:space="preserve">a pour objet et pour effet de permettre à un créancier, ETR, de contraindre le débiteur à payer une dette de péage qui, dans le contexte du présent pourvoi, constitue une réclamation prouvable en matière de faillite. </w:t>
      </w:r>
      <w:r w:rsidRPr="00D558D3">
        <w:rPr>
          <w:szCs w:val="24"/>
          <w:lang w:val="fr-CA"/>
        </w:rPr>
        <w:t xml:space="preserve">Selon le par. 178(2) de la </w:t>
      </w:r>
      <w:r w:rsidRPr="00D558D3">
        <w:rPr>
          <w:i/>
          <w:szCs w:val="24"/>
          <w:lang w:val="fr-CA"/>
        </w:rPr>
        <w:t>LFI</w:t>
      </w:r>
      <w:r w:rsidRPr="00D558D3">
        <w:rPr>
          <w:szCs w:val="24"/>
          <w:lang w:val="fr-CA"/>
        </w:rPr>
        <w:t xml:space="preserve">, les créanciers ne peuvent plus exiger le paiement de leurs réclamations prouvables quand le failli a été libéré. ETR est visée par une interdiction claire au par. 178(2). Puisque le par. 22(4) met à la disposition du créancier un mécanisme administratif de recouvrement, il est impossible pour ETR d’exercer ce recours tout en se conformant au par. 178(2). La créance de péage d’ETR ne fait pas partie des exceptions énumérées au par. 178(1), et la responsabilité financière du débiteur qui en découle ne peut survivre à la libération de ce dernier. Par conséquent, la </w:t>
      </w:r>
      <w:r w:rsidRPr="00D558D3">
        <w:rPr>
          <w:i/>
          <w:szCs w:val="24"/>
          <w:lang w:val="fr-CA"/>
        </w:rPr>
        <w:t>Loi</w:t>
      </w:r>
      <w:r>
        <w:rPr>
          <w:i/>
          <w:szCs w:val="24"/>
          <w:lang w:val="fr-CA"/>
        </w:rPr>
        <w:t> </w:t>
      </w:r>
      <w:r w:rsidRPr="00D558D3">
        <w:rPr>
          <w:i/>
          <w:szCs w:val="24"/>
          <w:lang w:val="fr-CA"/>
        </w:rPr>
        <w:t xml:space="preserve">407 </w:t>
      </w:r>
      <w:r w:rsidRPr="00D558D3">
        <w:rPr>
          <w:szCs w:val="24"/>
          <w:lang w:val="fr-CA"/>
        </w:rPr>
        <w:t>dit « oui » à l’exécution d’une réclamation prouvable</w:t>
      </w:r>
      <w:r>
        <w:rPr>
          <w:szCs w:val="24"/>
          <w:lang w:val="fr-CA"/>
        </w:rPr>
        <w:t>,</w:t>
      </w:r>
      <w:r w:rsidRPr="00D558D3">
        <w:rPr>
          <w:szCs w:val="24"/>
          <w:lang w:val="fr-CA"/>
        </w:rPr>
        <w:t xml:space="preserve"> alors que le par. 178(2) de la </w:t>
      </w:r>
      <w:r w:rsidRPr="00D558D3">
        <w:rPr>
          <w:i/>
          <w:szCs w:val="24"/>
          <w:lang w:val="fr-CA"/>
        </w:rPr>
        <w:t>LFI</w:t>
      </w:r>
      <w:r w:rsidRPr="00D558D3">
        <w:rPr>
          <w:szCs w:val="24"/>
          <w:lang w:val="fr-CA"/>
        </w:rPr>
        <w:t xml:space="preserve"> dit « non ». Les deux lois ne peuvent agir concurremment ou coexister sans conflit. L’incompatibilité est </w:t>
      </w:r>
      <w:r w:rsidRPr="00D558D3">
        <w:rPr>
          <w:szCs w:val="24"/>
          <w:lang w:val="fr-CA"/>
        </w:rPr>
        <w:lastRenderedPageBreak/>
        <w:t>claire et précise. Une loi permet ce que l’autre interdit expressément. Ce conflit d’application est contraire à la doctrine de la prépondérance fédérale.</w:t>
      </w:r>
    </w:p>
    <w:p w:rsidR="000C1460" w:rsidRPr="00D558D3" w:rsidRDefault="000C1460" w:rsidP="00203BA3">
      <w:pPr>
        <w:pStyle w:val="SCCNormalDoubleSpacing"/>
        <w:widowControl w:val="0"/>
        <w:spacing w:after="480"/>
        <w:rPr>
          <w:szCs w:val="24"/>
          <w:lang w:val="fr-CA"/>
        </w:rPr>
      </w:pPr>
      <w:r w:rsidRPr="00D558D3">
        <w:rPr>
          <w:szCs w:val="24"/>
          <w:lang w:val="fr-CA"/>
        </w:rPr>
        <w:tab/>
        <w:t xml:space="preserve">Le libellé du par. 22(1) de la </w:t>
      </w:r>
      <w:r>
        <w:rPr>
          <w:i/>
          <w:szCs w:val="24"/>
          <w:lang w:val="fr-CA"/>
        </w:rPr>
        <w:t>Loi </w:t>
      </w:r>
      <w:r w:rsidRPr="00D558D3">
        <w:rPr>
          <w:i/>
          <w:szCs w:val="24"/>
          <w:lang w:val="fr-CA"/>
        </w:rPr>
        <w:t xml:space="preserve">407 </w:t>
      </w:r>
      <w:r w:rsidRPr="00D558D3">
        <w:rPr>
          <w:szCs w:val="24"/>
          <w:lang w:val="fr-CA"/>
        </w:rPr>
        <w:t xml:space="preserve">ne laisse pas une possibilité qu’il n’y ait pas de conflit d’application. Dès qu’il est avisé, le </w:t>
      </w:r>
      <w:proofErr w:type="spellStart"/>
      <w:r w:rsidRPr="00D558D3">
        <w:rPr>
          <w:szCs w:val="24"/>
          <w:lang w:val="fr-CA"/>
        </w:rPr>
        <w:t>registrateur</w:t>
      </w:r>
      <w:proofErr w:type="spellEnd"/>
      <w:r w:rsidRPr="00D558D3">
        <w:rPr>
          <w:szCs w:val="24"/>
          <w:lang w:val="fr-CA"/>
        </w:rPr>
        <w:t xml:space="preserve"> n’a d’autre choix que de refuser de valider les certificats d’immatriculation de véhicule du débiteur et n’a plus le pouvoir discrétionnaire de mettre fin à la procédure de recouvrement. Il n’est pas valable de prétendre que, pour annuler l’existence d’un conflit d’application en l’espèce, le débiteur peut renoncer au droit que lui confère la </w:t>
      </w:r>
      <w:r w:rsidRPr="00D558D3">
        <w:rPr>
          <w:i/>
          <w:szCs w:val="24"/>
          <w:lang w:val="fr-CA"/>
        </w:rPr>
        <w:t>LFI</w:t>
      </w:r>
      <w:r w:rsidRPr="00D558D3">
        <w:rPr>
          <w:szCs w:val="24"/>
          <w:lang w:val="fr-CA"/>
        </w:rPr>
        <w:t xml:space="preserve"> en payant la dette dont il a été libéré ou en acceptant le mécanisme de recouvrement de créances et en renonçant à son droit à un certificat d’immatriculation. Il s’agirait d’un cas de respect simple d’une des lois, où un des acteurs en cause renonce à l’application de l’autre loi. </w:t>
      </w:r>
    </w:p>
    <w:p w:rsidR="000C1460" w:rsidRPr="00D558D3" w:rsidRDefault="000C1460" w:rsidP="00203BA3">
      <w:pPr>
        <w:pStyle w:val="SCCNormalDoubleSpacing"/>
        <w:widowControl w:val="0"/>
        <w:spacing w:after="480"/>
        <w:rPr>
          <w:szCs w:val="24"/>
          <w:lang w:val="fr-CA"/>
        </w:rPr>
      </w:pPr>
      <w:r w:rsidRPr="00D558D3">
        <w:rPr>
          <w:szCs w:val="24"/>
          <w:lang w:val="fr-CA"/>
        </w:rPr>
        <w:tab/>
        <w:t xml:space="preserve">L’application du par. 22(4) entrave </w:t>
      </w:r>
      <w:r>
        <w:rPr>
          <w:szCs w:val="24"/>
          <w:lang w:val="fr-CA"/>
        </w:rPr>
        <w:t xml:space="preserve">aussi </w:t>
      </w:r>
      <w:r w:rsidRPr="00D558D3">
        <w:rPr>
          <w:szCs w:val="24"/>
          <w:lang w:val="fr-CA"/>
        </w:rPr>
        <w:t xml:space="preserve">la réalisation de l’objectif du Parlement de donner aux faillis libérés la possibilité de se réhabiliter financièrement. Alors que le par. 178(2) vise à délester pour toujours le débiteur du fardeau de l’endettement antérieur à la faillite, le par. 22(4) permet à ETR de continuer d’accabler le failli </w:t>
      </w:r>
      <w:proofErr w:type="gramStart"/>
      <w:r w:rsidRPr="00D558D3">
        <w:rPr>
          <w:szCs w:val="24"/>
          <w:lang w:val="fr-CA"/>
        </w:rPr>
        <w:t>libéré</w:t>
      </w:r>
      <w:proofErr w:type="gramEnd"/>
      <w:r w:rsidRPr="00D558D3">
        <w:rPr>
          <w:szCs w:val="24"/>
          <w:lang w:val="fr-CA"/>
        </w:rPr>
        <w:t xml:space="preserve"> jusqu’à ce qu’il rembourse entièrement la dette. Si le Parlement avait voulu soustraire la créance de péage d’ETR au processus de faillite et aux effets d’une libération, il l’aurait fait expressément au par. 178(1). Il ne l’a pas fait. </w:t>
      </w:r>
    </w:p>
    <w:p w:rsidR="000C1460" w:rsidRPr="00D558D3" w:rsidRDefault="000C1460" w:rsidP="00203BA3">
      <w:pPr>
        <w:pStyle w:val="SCCNormalDoubleSpacing"/>
        <w:widowControl w:val="0"/>
        <w:spacing w:after="480"/>
        <w:rPr>
          <w:lang w:val="fr-CA"/>
        </w:rPr>
      </w:pPr>
      <w:r w:rsidRPr="00D558D3">
        <w:rPr>
          <w:i/>
          <w:szCs w:val="24"/>
          <w:lang w:val="fr-CA"/>
        </w:rPr>
        <w:tab/>
        <w:t xml:space="preserve">La </w:t>
      </w:r>
      <w:r w:rsidRPr="00D558D3">
        <w:rPr>
          <w:szCs w:val="24"/>
          <w:lang w:val="fr-CA"/>
        </w:rPr>
        <w:t xml:space="preserve">juge en chef McLachlin et la juge </w:t>
      </w:r>
      <w:r w:rsidRPr="004328AA">
        <w:rPr>
          <w:rStyle w:val="SCCCoramChar"/>
          <w:szCs w:val="24"/>
          <w:lang w:val="fr-CA"/>
        </w:rPr>
        <w:t>Côté :</w:t>
      </w:r>
      <w:r w:rsidRPr="00D558D3">
        <w:rPr>
          <w:rStyle w:val="SCCCoramChar"/>
          <w:szCs w:val="24"/>
          <w:lang w:val="fr-CA"/>
        </w:rPr>
        <w:t xml:space="preserve"> </w:t>
      </w:r>
      <w:r w:rsidRPr="00D558D3">
        <w:rPr>
          <w:lang w:val="fr-CA"/>
        </w:rPr>
        <w:t xml:space="preserve">Le paragraphe 22(1) de la </w:t>
      </w:r>
      <w:r w:rsidRPr="00D558D3">
        <w:rPr>
          <w:i/>
          <w:lang w:val="fr-CA"/>
        </w:rPr>
        <w:t xml:space="preserve">Loi 407 </w:t>
      </w:r>
      <w:r w:rsidRPr="00D558D3">
        <w:rPr>
          <w:lang w:val="fr-CA"/>
        </w:rPr>
        <w:t xml:space="preserve">autorise l’Ontario à faire indirectement ce que le par. 178(2) de la </w:t>
      </w:r>
      <w:r w:rsidRPr="00D558D3">
        <w:rPr>
          <w:i/>
          <w:lang w:val="fr-CA"/>
        </w:rPr>
        <w:t xml:space="preserve">LFI </w:t>
      </w:r>
      <w:r w:rsidRPr="00D558D3">
        <w:rPr>
          <w:lang w:val="fr-CA"/>
        </w:rPr>
        <w:t>lui interdit i</w:t>
      </w:r>
      <w:r w:rsidR="004328AA">
        <w:rPr>
          <w:lang w:val="fr-CA"/>
        </w:rPr>
        <w:t xml:space="preserve">mplicitement de faire. Cet article </w:t>
      </w:r>
      <w:r w:rsidRPr="00D558D3">
        <w:rPr>
          <w:lang w:val="fr-CA"/>
        </w:rPr>
        <w:t xml:space="preserve">22 entrave la réalisation de l’objet fédéral </w:t>
      </w:r>
      <w:r w:rsidRPr="00D558D3">
        <w:rPr>
          <w:lang w:val="fr-CA"/>
        </w:rPr>
        <w:lastRenderedPageBreak/>
        <w:t xml:space="preserve">relatif à la réhabilitation financière que vise le par. 178(2), et cela suffit pour que s’applique la doctrine de la prépondérance fédérale. Toutefois, il n’existe pas de conflit opérationnel. La norme applicable est celle de l’impossibilité de se conformer aux deux textes de loi en raison d’un conflit exprès. </w:t>
      </w:r>
      <w:r>
        <w:rPr>
          <w:lang w:val="fr-CA"/>
        </w:rPr>
        <w:t>En l’espèce</w:t>
      </w:r>
      <w:r w:rsidRPr="00D558D3">
        <w:rPr>
          <w:lang w:val="fr-CA"/>
        </w:rPr>
        <w:t xml:space="preserve">, il est possible de se conformer au par. 22(1) sans enfreindre l’exigence littérale du par. 178(2). Les deux lois diffèrent de par leur contenu et par les recours qu’elles offrent. Elles peuvent coexister sans conflit </w:t>
      </w:r>
      <w:r>
        <w:rPr>
          <w:lang w:val="fr-CA"/>
        </w:rPr>
        <w:t xml:space="preserve">opérationnel </w:t>
      </w:r>
      <w:r w:rsidRPr="00D558D3">
        <w:rPr>
          <w:lang w:val="fr-CA"/>
        </w:rPr>
        <w:t xml:space="preserve">même s’il y a entrave à un objectif fédéral. Si un débiteur choisit de ne pas conduire, la province ne peut recouvrer sa créance. Si 407 ETR choisit de ne pas aviser le </w:t>
      </w:r>
      <w:proofErr w:type="spellStart"/>
      <w:r w:rsidRPr="00D558D3">
        <w:rPr>
          <w:lang w:val="fr-CA"/>
        </w:rPr>
        <w:t>registrateur</w:t>
      </w:r>
      <w:proofErr w:type="spellEnd"/>
      <w:r w:rsidRPr="00D558D3">
        <w:rPr>
          <w:lang w:val="fr-CA"/>
        </w:rPr>
        <w:t>, le par. 22(4) ne s’applique pas. Le respect des deux textes de loi n’est pas impossible.</w:t>
      </w:r>
    </w:p>
    <w:p w:rsidR="000C1460" w:rsidRPr="00D558D3" w:rsidRDefault="000C1460" w:rsidP="00203BA3">
      <w:pPr>
        <w:pStyle w:val="SCCNormalDoubleSpacing"/>
        <w:widowControl w:val="0"/>
        <w:spacing w:after="720" w:line="240" w:lineRule="auto"/>
        <w:rPr>
          <w:b/>
          <w:lang w:val="fr-CA"/>
        </w:rPr>
      </w:pPr>
      <w:r w:rsidRPr="00D558D3">
        <w:rPr>
          <w:b/>
          <w:lang w:val="fr-CA"/>
        </w:rPr>
        <w:t>Jurisprudence</w:t>
      </w:r>
    </w:p>
    <w:p w:rsidR="000C1460" w:rsidRPr="00D558D3" w:rsidRDefault="000C1460" w:rsidP="00203BA3">
      <w:pPr>
        <w:pStyle w:val="SCCNormalDoubleSpacing"/>
        <w:widowControl w:val="0"/>
        <w:spacing w:after="720" w:line="240" w:lineRule="auto"/>
        <w:rPr>
          <w:lang w:val="fr-CA"/>
        </w:rPr>
      </w:pPr>
      <w:r w:rsidRPr="00D558D3">
        <w:rPr>
          <w:lang w:val="fr-CA"/>
        </w:rPr>
        <w:t>Citée par le juge Gascon</w:t>
      </w:r>
    </w:p>
    <w:p w:rsidR="000C1460" w:rsidRPr="00D558D3" w:rsidRDefault="000C1460" w:rsidP="00203BA3">
      <w:pPr>
        <w:pStyle w:val="SCCNormalDoubleSpacing"/>
        <w:widowControl w:val="0"/>
        <w:spacing w:after="480"/>
        <w:rPr>
          <w:lang w:val="fr-CA"/>
        </w:rPr>
      </w:pPr>
      <w:r w:rsidRPr="00D558D3">
        <w:rPr>
          <w:lang w:val="fr-CA"/>
        </w:rPr>
        <w:tab/>
      </w:r>
      <w:r w:rsidRPr="00D558D3">
        <w:rPr>
          <w:b/>
          <w:lang w:val="fr-CA"/>
        </w:rPr>
        <w:t>Arrêts mentionnés :</w:t>
      </w:r>
      <w:r w:rsidRPr="00D558D3">
        <w:rPr>
          <w:lang w:val="fr-CA"/>
        </w:rPr>
        <w:t xml:space="preserve"> </w:t>
      </w:r>
      <w:r w:rsidRPr="00D558D3">
        <w:rPr>
          <w:i/>
          <w:lang w:val="fr-CA"/>
        </w:rPr>
        <w:t xml:space="preserve">Alberta (Procureur général) c. </w:t>
      </w:r>
      <w:proofErr w:type="spellStart"/>
      <w:r w:rsidRPr="00D558D3">
        <w:rPr>
          <w:i/>
          <w:lang w:val="fr-CA"/>
        </w:rPr>
        <w:t>Moloney</w:t>
      </w:r>
      <w:proofErr w:type="spellEnd"/>
      <w:r w:rsidRPr="00D558D3">
        <w:rPr>
          <w:lang w:val="fr-CA"/>
        </w:rPr>
        <w:t>, 2015 CSC 51</w:t>
      </w:r>
      <w:r w:rsidR="004328AA">
        <w:rPr>
          <w:lang w:val="fr-CA"/>
        </w:rPr>
        <w:t xml:space="preserve">, [2015] 3 R.C.S. </w:t>
      </w:r>
      <w:r w:rsidR="00F27A93">
        <w:rPr>
          <w:lang w:val="fr-CA"/>
        </w:rPr>
        <w:t>327</w:t>
      </w:r>
      <w:r w:rsidRPr="00D558D3">
        <w:rPr>
          <w:lang w:val="fr-CA"/>
        </w:rPr>
        <w:t xml:space="preserve">; </w:t>
      </w:r>
      <w:r w:rsidRPr="00D558D3">
        <w:rPr>
          <w:i/>
          <w:lang w:val="fr-CA"/>
        </w:rPr>
        <w:t>407 ETR Concession Co. c. Ontario (</w:t>
      </w:r>
      <w:proofErr w:type="spellStart"/>
      <w:r w:rsidRPr="00D558D3">
        <w:rPr>
          <w:i/>
          <w:lang w:val="fr-CA"/>
        </w:rPr>
        <w:t>Registrar</w:t>
      </w:r>
      <w:proofErr w:type="spellEnd"/>
      <w:r w:rsidRPr="00D558D3">
        <w:rPr>
          <w:i/>
          <w:lang w:val="fr-CA"/>
        </w:rPr>
        <w:t xml:space="preserve"> of </w:t>
      </w:r>
      <w:proofErr w:type="spellStart"/>
      <w:r w:rsidRPr="00D558D3">
        <w:rPr>
          <w:i/>
          <w:lang w:val="fr-CA"/>
        </w:rPr>
        <w:t>Motor</w:t>
      </w:r>
      <w:proofErr w:type="spellEnd"/>
      <w:r w:rsidRPr="00D558D3">
        <w:rPr>
          <w:i/>
          <w:lang w:val="fr-CA"/>
        </w:rPr>
        <w:t xml:space="preserve"> </w:t>
      </w:r>
      <w:proofErr w:type="spellStart"/>
      <w:r w:rsidRPr="00D558D3">
        <w:rPr>
          <w:i/>
          <w:lang w:val="fr-CA"/>
        </w:rPr>
        <w:t>Vehicles</w:t>
      </w:r>
      <w:proofErr w:type="spellEnd"/>
      <w:r w:rsidRPr="00D558D3">
        <w:rPr>
          <w:i/>
          <w:lang w:val="fr-CA"/>
        </w:rPr>
        <w:t xml:space="preserve">) </w:t>
      </w:r>
      <w:r w:rsidRPr="00D558D3">
        <w:rPr>
          <w:lang w:val="fr-CA"/>
        </w:rPr>
        <w:t xml:space="preserve">(2005), 82 O.R. (3d) 703; </w:t>
      </w:r>
      <w:r w:rsidRPr="00D558D3">
        <w:rPr>
          <w:i/>
          <w:lang w:val="fr-CA"/>
        </w:rPr>
        <w:t>Schreyer c. Schreyer</w:t>
      </w:r>
      <w:r w:rsidRPr="00D558D3">
        <w:rPr>
          <w:lang w:val="fr-CA"/>
        </w:rPr>
        <w:t xml:space="preserve">, 2011 CSC 35, [2011] 2 R.C.S. 605; </w:t>
      </w:r>
      <w:r w:rsidRPr="00D558D3">
        <w:rPr>
          <w:i/>
          <w:lang w:val="fr-CA"/>
        </w:rPr>
        <w:t>Banque canadienne de l’Ouest c. Alberta</w:t>
      </w:r>
      <w:r w:rsidRPr="00D558D3">
        <w:rPr>
          <w:lang w:val="fr-CA"/>
        </w:rPr>
        <w:t xml:space="preserve">, 2007 CSC 22, [2007] 2 R.C.S. 3; </w:t>
      </w:r>
      <w:r w:rsidRPr="00D558D3">
        <w:rPr>
          <w:i/>
          <w:lang w:val="fr-CA"/>
        </w:rPr>
        <w:t xml:space="preserve">Husky </w:t>
      </w:r>
      <w:proofErr w:type="spellStart"/>
      <w:r w:rsidRPr="00D558D3">
        <w:rPr>
          <w:i/>
          <w:lang w:val="fr-CA"/>
        </w:rPr>
        <w:t>Oil</w:t>
      </w:r>
      <w:proofErr w:type="spellEnd"/>
      <w:r w:rsidRPr="00D558D3">
        <w:rPr>
          <w:i/>
          <w:lang w:val="fr-CA"/>
        </w:rPr>
        <w:t xml:space="preserve"> Operations Ltd. c. Ministre du Revenu national</w:t>
      </w:r>
      <w:r w:rsidRPr="00D558D3">
        <w:rPr>
          <w:lang w:val="fr-CA"/>
        </w:rPr>
        <w:t>,</w:t>
      </w:r>
      <w:r w:rsidRPr="00D558D3">
        <w:rPr>
          <w:i/>
          <w:lang w:val="fr-CA"/>
        </w:rPr>
        <w:t xml:space="preserve"> </w:t>
      </w:r>
      <w:r w:rsidRPr="00D558D3">
        <w:rPr>
          <w:lang w:val="fr-CA"/>
        </w:rPr>
        <w:t xml:space="preserve">[1995] 3 R.C.S. 453; </w:t>
      </w:r>
      <w:r w:rsidRPr="00D558D3">
        <w:rPr>
          <w:i/>
          <w:lang w:val="fr-CA"/>
        </w:rPr>
        <w:t>Marine Services International Ltd. c. Ryan (Succession)</w:t>
      </w:r>
      <w:r w:rsidRPr="00D558D3">
        <w:rPr>
          <w:lang w:val="fr-CA"/>
        </w:rPr>
        <w:t>, 2013 CSC 44, [2013] 3 R.C.S. 53;</w:t>
      </w:r>
      <w:r w:rsidRPr="00D558D3">
        <w:rPr>
          <w:i/>
          <w:lang w:val="fr-CA"/>
        </w:rPr>
        <w:t xml:space="preserve"> Colombie</w:t>
      </w:r>
      <w:r w:rsidRPr="00D558D3">
        <w:rPr>
          <w:i/>
          <w:lang w:val="fr-CA"/>
        </w:rPr>
        <w:noBreakHyphen/>
        <w:t>Britannique (Procureur général) c. Lafarge Canada Inc</w:t>
      </w:r>
      <w:r w:rsidRPr="00D558D3">
        <w:rPr>
          <w:lang w:val="fr-CA"/>
        </w:rPr>
        <w:t xml:space="preserve">., 2007 CSC 23, [2007] 2 R.C.S. 86; </w:t>
      </w:r>
      <w:r w:rsidRPr="00D558D3">
        <w:rPr>
          <w:i/>
          <w:lang w:val="fr-CA"/>
        </w:rPr>
        <w:t xml:space="preserve">M &amp; D </w:t>
      </w:r>
      <w:proofErr w:type="spellStart"/>
      <w:r w:rsidRPr="00D558D3">
        <w:rPr>
          <w:i/>
          <w:lang w:val="fr-CA"/>
        </w:rPr>
        <w:t>Farm</w:t>
      </w:r>
      <w:proofErr w:type="spellEnd"/>
      <w:r w:rsidRPr="00D558D3">
        <w:rPr>
          <w:lang w:val="fr-CA"/>
        </w:rPr>
        <w:t xml:space="preserve"> </w:t>
      </w:r>
      <w:r w:rsidRPr="00D558D3">
        <w:rPr>
          <w:i/>
          <w:lang w:val="fr-CA"/>
        </w:rPr>
        <w:t>Ltd. c. Société du crédit agricole du Manitoba</w:t>
      </w:r>
      <w:r w:rsidRPr="00D558D3">
        <w:rPr>
          <w:lang w:val="fr-CA"/>
        </w:rPr>
        <w:t xml:space="preserve">, [1999] 2 R.C.S. 961; </w:t>
      </w:r>
      <w:r w:rsidRPr="00D558D3">
        <w:rPr>
          <w:i/>
          <w:lang w:val="fr-CA"/>
        </w:rPr>
        <w:t xml:space="preserve">Multiple Access Ltd. c. </w:t>
      </w:r>
      <w:proofErr w:type="spellStart"/>
      <w:r w:rsidRPr="00D558D3">
        <w:rPr>
          <w:i/>
          <w:lang w:val="fr-CA"/>
        </w:rPr>
        <w:t>McCutcheon</w:t>
      </w:r>
      <w:proofErr w:type="spellEnd"/>
      <w:r w:rsidRPr="00D558D3">
        <w:rPr>
          <w:lang w:val="fr-CA"/>
        </w:rPr>
        <w:t>, [1982] 2 R.C.S. 161.</w:t>
      </w:r>
    </w:p>
    <w:p w:rsidR="000C1460" w:rsidRPr="00D558D3" w:rsidRDefault="000C1460" w:rsidP="00203BA3">
      <w:pPr>
        <w:pStyle w:val="SCCNormalDoubleSpacing"/>
        <w:widowControl w:val="0"/>
        <w:spacing w:after="720" w:line="240" w:lineRule="auto"/>
        <w:rPr>
          <w:lang w:val="fr-CA"/>
        </w:rPr>
      </w:pPr>
      <w:r w:rsidRPr="00D558D3">
        <w:rPr>
          <w:lang w:val="fr-CA"/>
        </w:rPr>
        <w:lastRenderedPageBreak/>
        <w:t>Citée par la juge Côté</w:t>
      </w:r>
    </w:p>
    <w:p w:rsidR="000C1460" w:rsidRPr="00D558D3" w:rsidRDefault="000C1460" w:rsidP="00203BA3">
      <w:pPr>
        <w:pStyle w:val="SCCNormalDoubleSpacing"/>
        <w:widowControl w:val="0"/>
        <w:spacing w:after="480"/>
        <w:rPr>
          <w:b/>
          <w:lang w:val="fr-CA"/>
        </w:rPr>
      </w:pPr>
      <w:r w:rsidRPr="00D558D3">
        <w:rPr>
          <w:lang w:val="fr-CA"/>
        </w:rPr>
        <w:tab/>
      </w:r>
      <w:r w:rsidRPr="00D558D3">
        <w:rPr>
          <w:b/>
          <w:lang w:val="fr-CA"/>
        </w:rPr>
        <w:t>Arrêt mentionné :</w:t>
      </w:r>
      <w:r w:rsidRPr="00D558D3">
        <w:rPr>
          <w:lang w:val="fr-CA"/>
        </w:rPr>
        <w:t xml:space="preserve"> </w:t>
      </w:r>
      <w:r w:rsidRPr="00D558D3">
        <w:rPr>
          <w:i/>
          <w:lang w:val="fr-CA"/>
        </w:rPr>
        <w:t xml:space="preserve">Alberta (Procureur général) c. </w:t>
      </w:r>
      <w:proofErr w:type="spellStart"/>
      <w:r w:rsidRPr="00D558D3">
        <w:rPr>
          <w:i/>
          <w:lang w:val="fr-CA"/>
        </w:rPr>
        <w:t>Moloney</w:t>
      </w:r>
      <w:proofErr w:type="spellEnd"/>
      <w:r w:rsidRPr="00D558D3">
        <w:rPr>
          <w:lang w:val="fr-CA"/>
        </w:rPr>
        <w:t>, 2015 CSC 51</w:t>
      </w:r>
      <w:r w:rsidR="00547CD2">
        <w:rPr>
          <w:lang w:val="fr-CA"/>
        </w:rPr>
        <w:t xml:space="preserve">, [2015] 3 R.C.S. </w:t>
      </w:r>
      <w:r w:rsidR="00F27A93">
        <w:rPr>
          <w:lang w:val="fr-CA"/>
        </w:rPr>
        <w:t>327</w:t>
      </w:r>
      <w:r w:rsidRPr="00D558D3">
        <w:rPr>
          <w:lang w:val="fr-CA"/>
        </w:rPr>
        <w:t>.</w:t>
      </w:r>
    </w:p>
    <w:p w:rsidR="000C1460" w:rsidRPr="00D558D3" w:rsidRDefault="000C1460" w:rsidP="00203BA3">
      <w:pPr>
        <w:pStyle w:val="SCCNormalDoubleSpacing"/>
        <w:widowControl w:val="0"/>
        <w:spacing w:after="720" w:line="240" w:lineRule="auto"/>
        <w:rPr>
          <w:b/>
          <w:lang w:val="fr-CA"/>
        </w:rPr>
      </w:pPr>
      <w:r w:rsidRPr="00D558D3">
        <w:rPr>
          <w:b/>
          <w:lang w:val="fr-CA"/>
        </w:rPr>
        <w:t>Lois et règlements cités</w:t>
      </w:r>
    </w:p>
    <w:p w:rsidR="000C1460" w:rsidRPr="00D558D3" w:rsidRDefault="000C1460" w:rsidP="00203BA3">
      <w:pPr>
        <w:pStyle w:val="SCCNormalDoubleSpacing"/>
        <w:widowControl w:val="0"/>
        <w:spacing w:after="240" w:line="240" w:lineRule="auto"/>
        <w:ind w:left="539" w:hanging="539"/>
        <w:rPr>
          <w:lang w:val="fr-CA"/>
        </w:rPr>
      </w:pPr>
      <w:r w:rsidRPr="00D558D3">
        <w:rPr>
          <w:i/>
          <w:lang w:val="fr-CA"/>
        </w:rPr>
        <w:t>Code de la route</w:t>
      </w:r>
      <w:r w:rsidRPr="00D558D3">
        <w:rPr>
          <w:lang w:val="fr-CA"/>
        </w:rPr>
        <w:t>, L.R.O. 1990, c. H.8, art. 51.</w:t>
      </w:r>
    </w:p>
    <w:p w:rsidR="000C1460" w:rsidRPr="00D558D3" w:rsidRDefault="000C1460" w:rsidP="00203BA3">
      <w:pPr>
        <w:pStyle w:val="SCCNormalDoubleSpacing"/>
        <w:widowControl w:val="0"/>
        <w:spacing w:after="240" w:line="240" w:lineRule="auto"/>
        <w:ind w:left="539" w:hanging="539"/>
        <w:rPr>
          <w:lang w:val="fr-CA"/>
        </w:rPr>
      </w:pPr>
      <w:r w:rsidRPr="00D558D3">
        <w:rPr>
          <w:i/>
          <w:lang w:val="fr-CA"/>
        </w:rPr>
        <w:t>Loi de 1998 sur l’autoroute 407</w:t>
      </w:r>
      <w:r w:rsidRPr="00D558D3">
        <w:rPr>
          <w:lang w:val="fr-CA"/>
        </w:rPr>
        <w:t>, L.O. 1998, c. 28, art. </w:t>
      </w:r>
      <w:r>
        <w:rPr>
          <w:lang w:val="fr-CA"/>
        </w:rPr>
        <w:t>1</w:t>
      </w:r>
      <w:r w:rsidR="00415414">
        <w:rPr>
          <w:lang w:val="fr-CA"/>
        </w:rPr>
        <w:t xml:space="preserve"> « propriétaire »</w:t>
      </w:r>
      <w:r>
        <w:rPr>
          <w:lang w:val="fr-CA"/>
        </w:rPr>
        <w:t xml:space="preserve">, </w:t>
      </w:r>
      <w:r w:rsidRPr="00D558D3">
        <w:rPr>
          <w:lang w:val="fr-CA"/>
        </w:rPr>
        <w:t>13(3), 15(1), 16(1), 22.</w:t>
      </w:r>
    </w:p>
    <w:p w:rsidR="000C1460" w:rsidRPr="00D558D3" w:rsidRDefault="000C1460" w:rsidP="00203BA3">
      <w:pPr>
        <w:pStyle w:val="SCCNormalDoubleSpacing"/>
        <w:widowControl w:val="0"/>
        <w:spacing w:after="720" w:line="240" w:lineRule="auto"/>
        <w:ind w:left="540" w:hanging="540"/>
        <w:rPr>
          <w:lang w:val="fr-CA"/>
        </w:rPr>
      </w:pPr>
      <w:r w:rsidRPr="00D558D3">
        <w:rPr>
          <w:i/>
          <w:lang w:val="fr-CA"/>
        </w:rPr>
        <w:t>Loi sur la faillite et l’insolvabilité</w:t>
      </w:r>
      <w:r w:rsidRPr="00D558D3">
        <w:rPr>
          <w:lang w:val="fr-CA"/>
        </w:rPr>
        <w:t>, L.R.C. 1985, c. B</w:t>
      </w:r>
      <w:r w:rsidRPr="00D558D3">
        <w:rPr>
          <w:lang w:val="fr-CA"/>
        </w:rPr>
        <w:noBreakHyphen/>
        <w:t>3, art. 178.</w:t>
      </w:r>
    </w:p>
    <w:p w:rsidR="000C1460" w:rsidRPr="00D558D3" w:rsidRDefault="000C1460" w:rsidP="00203BA3">
      <w:pPr>
        <w:pStyle w:val="SCCNormalDoubleSpacing"/>
        <w:widowControl w:val="0"/>
        <w:spacing w:after="480"/>
        <w:rPr>
          <w:lang w:val="fr-CA"/>
        </w:rPr>
      </w:pPr>
      <w:r w:rsidRPr="00D558D3">
        <w:rPr>
          <w:lang w:val="fr-CA"/>
        </w:rPr>
        <w:tab/>
        <w:t xml:space="preserve">POURVOI contre un arrêt de la Cour d’appel de l’Ontario (les juges Doherty, Simmons et </w:t>
      </w:r>
      <w:proofErr w:type="spellStart"/>
      <w:r w:rsidRPr="00D558D3">
        <w:rPr>
          <w:lang w:val="fr-CA"/>
        </w:rPr>
        <w:t>Pepall</w:t>
      </w:r>
      <w:proofErr w:type="spellEnd"/>
      <w:r w:rsidRPr="00D558D3">
        <w:rPr>
          <w:lang w:val="fr-CA"/>
        </w:rPr>
        <w:t xml:space="preserve">), 2013 ONCA 769, 314 O.A.C. 152, 118 O.R. (3d) 161, 369 D.L.R. (4th) 385, 7 C.B.R. (6th) 167, 53 M.V.R. (6th) 169, [2013] O.J. No. 5837 (QL), 2013 </w:t>
      </w:r>
      <w:proofErr w:type="spellStart"/>
      <w:r w:rsidRPr="00D558D3">
        <w:rPr>
          <w:lang w:val="fr-CA"/>
        </w:rPr>
        <w:t>CarswellOnt</w:t>
      </w:r>
      <w:proofErr w:type="spellEnd"/>
      <w:r w:rsidRPr="00D558D3">
        <w:rPr>
          <w:lang w:val="fr-CA"/>
        </w:rPr>
        <w:t xml:space="preserve"> 17670 (WL Can.), qui a annulé la décision du juge </w:t>
      </w:r>
      <w:proofErr w:type="spellStart"/>
      <w:r w:rsidRPr="00D558D3">
        <w:rPr>
          <w:lang w:val="fr-CA"/>
        </w:rPr>
        <w:t>Newbould</w:t>
      </w:r>
      <w:proofErr w:type="spellEnd"/>
      <w:r w:rsidRPr="00D558D3">
        <w:rPr>
          <w:lang w:val="fr-CA"/>
        </w:rPr>
        <w:t xml:space="preserve">, 2011 ONSC 6310, 30 M.V.R. (6th) 137, [2011] O.J. No. 6476 (QL), 2011 </w:t>
      </w:r>
      <w:proofErr w:type="spellStart"/>
      <w:r w:rsidRPr="00D558D3">
        <w:rPr>
          <w:lang w:val="fr-CA"/>
        </w:rPr>
        <w:t>CarswellOnt</w:t>
      </w:r>
      <w:proofErr w:type="spellEnd"/>
      <w:r w:rsidRPr="00D558D3">
        <w:rPr>
          <w:lang w:val="fr-CA"/>
        </w:rPr>
        <w:t xml:space="preserve"> 15701 (WL Can.), et rétabli l’ordonnance initiale du registraire des faillites. Pourvoi rejeté. </w:t>
      </w:r>
    </w:p>
    <w:p w:rsidR="000C1460" w:rsidRPr="00582573" w:rsidRDefault="000C1460" w:rsidP="00203BA3">
      <w:pPr>
        <w:pStyle w:val="SCCNormalDoubleSpacing"/>
        <w:widowControl w:val="0"/>
        <w:spacing w:after="480"/>
        <w:rPr>
          <w:lang w:val="en-US"/>
        </w:rPr>
      </w:pPr>
      <w:r w:rsidRPr="00D558D3">
        <w:rPr>
          <w:rStyle w:val="SCCCounselNameChar"/>
          <w:rFonts w:eastAsiaTheme="majorEastAsia"/>
          <w:lang w:val="fr-CA"/>
        </w:rPr>
        <w:tab/>
      </w:r>
      <w:r w:rsidRPr="00582573">
        <w:rPr>
          <w:rStyle w:val="SCCCounselNameChar"/>
          <w:rFonts w:eastAsiaTheme="majorEastAsia"/>
          <w:lang w:val="en-US"/>
        </w:rPr>
        <w:t>J. Thomas Curry</w:t>
      </w:r>
      <w:r w:rsidRPr="00582573">
        <w:rPr>
          <w:rStyle w:val="SCCCounselSeparatorChar"/>
          <w:rFonts w:eastAsiaTheme="minorEastAsia"/>
          <w:lang w:val="en-US"/>
        </w:rPr>
        <w:t xml:space="preserve">, </w:t>
      </w:r>
      <w:r w:rsidRPr="00582573">
        <w:rPr>
          <w:rStyle w:val="SCCCounselNameChar"/>
          <w:rFonts w:eastAsiaTheme="majorEastAsia"/>
          <w:lang w:val="en-US"/>
        </w:rPr>
        <w:t>Andrew Parley</w:t>
      </w:r>
      <w:r w:rsidRPr="00582573">
        <w:rPr>
          <w:rStyle w:val="SCCCounselNameChar"/>
          <w:rFonts w:eastAsiaTheme="majorEastAsia"/>
          <w:i w:val="0"/>
          <w:lang w:val="en-US"/>
        </w:rPr>
        <w:t>,</w:t>
      </w:r>
      <w:r w:rsidRPr="00582573">
        <w:rPr>
          <w:rStyle w:val="SCCCounselNameChar"/>
          <w:rFonts w:eastAsiaTheme="majorEastAsia"/>
          <w:lang w:val="en-US"/>
        </w:rPr>
        <w:t xml:space="preserve"> Jon Laxer</w:t>
      </w:r>
      <w:r w:rsidRPr="00582573">
        <w:rPr>
          <w:rStyle w:val="SCCCounselSeparatorChar"/>
          <w:rFonts w:eastAsiaTheme="minorEastAsia"/>
          <w:lang w:val="en-US"/>
        </w:rPr>
        <w:t xml:space="preserve"> </w:t>
      </w:r>
      <w:proofErr w:type="gramStart"/>
      <w:r w:rsidRPr="00582573">
        <w:rPr>
          <w:rStyle w:val="SCCCounselSeparatorChar"/>
          <w:rFonts w:eastAsiaTheme="minorEastAsia"/>
          <w:lang w:val="en-US"/>
        </w:rPr>
        <w:t>et</w:t>
      </w:r>
      <w:proofErr w:type="gramEnd"/>
      <w:r w:rsidRPr="00582573">
        <w:rPr>
          <w:rStyle w:val="SCCCounselSeparatorChar"/>
          <w:rFonts w:eastAsiaTheme="minorEastAsia"/>
          <w:lang w:val="en-US"/>
        </w:rPr>
        <w:t xml:space="preserve"> </w:t>
      </w:r>
      <w:r w:rsidRPr="00582573">
        <w:rPr>
          <w:rStyle w:val="SCCCounselNameChar"/>
          <w:rFonts w:eastAsiaTheme="majorEastAsia"/>
          <w:lang w:val="en-US"/>
        </w:rPr>
        <w:t>Gregory William MacKenzie</w:t>
      </w:r>
      <w:r w:rsidRPr="00582573">
        <w:rPr>
          <w:rStyle w:val="SCCCounselPartyRoleChar"/>
          <w:lang w:val="en-US"/>
        </w:rPr>
        <w:t>, pour l’appelante.</w:t>
      </w:r>
    </w:p>
    <w:p w:rsidR="000C1460" w:rsidRPr="00D558D3" w:rsidRDefault="000C1460" w:rsidP="00203BA3">
      <w:pPr>
        <w:pStyle w:val="SCCNormalDoubleSpacing"/>
        <w:widowControl w:val="0"/>
        <w:spacing w:after="480"/>
        <w:rPr>
          <w:lang w:val="fr-CA"/>
        </w:rPr>
      </w:pPr>
      <w:r w:rsidRPr="00582573">
        <w:rPr>
          <w:rStyle w:val="SCCCounselNameChar"/>
          <w:rFonts w:eastAsiaTheme="majorEastAsia"/>
          <w:lang w:val="en-US"/>
        </w:rPr>
        <w:tab/>
      </w:r>
      <w:r w:rsidRPr="00D558D3">
        <w:rPr>
          <w:rStyle w:val="SCCCounselNameChar"/>
          <w:rFonts w:eastAsiaTheme="majorEastAsia"/>
          <w:lang w:val="fr-CA"/>
        </w:rPr>
        <w:t>Peter Southey</w:t>
      </w:r>
      <w:r w:rsidRPr="00D558D3">
        <w:rPr>
          <w:rStyle w:val="SCCCounselSeparatorChar"/>
          <w:rFonts w:eastAsiaTheme="minorEastAsia"/>
          <w:lang w:val="fr-CA"/>
        </w:rPr>
        <w:t xml:space="preserve"> et </w:t>
      </w:r>
      <w:r w:rsidRPr="00D558D3">
        <w:rPr>
          <w:rStyle w:val="SCCCounselNameChar"/>
          <w:rFonts w:eastAsiaTheme="majorEastAsia"/>
          <w:lang w:val="fr-CA"/>
        </w:rPr>
        <w:t xml:space="preserve">Michael </w:t>
      </w:r>
      <w:proofErr w:type="spellStart"/>
      <w:r w:rsidRPr="00D558D3">
        <w:rPr>
          <w:rStyle w:val="SCCCounselNameChar"/>
          <w:rFonts w:eastAsiaTheme="majorEastAsia"/>
          <w:lang w:val="fr-CA"/>
        </w:rPr>
        <w:t>Lema</w:t>
      </w:r>
      <w:proofErr w:type="spellEnd"/>
      <w:r w:rsidRPr="00D558D3">
        <w:rPr>
          <w:rStyle w:val="SCCCounselPartyRoleChar"/>
          <w:lang w:val="fr-CA"/>
        </w:rPr>
        <w:t>, pour l’intimé.</w:t>
      </w:r>
    </w:p>
    <w:p w:rsidR="000C1460" w:rsidRPr="00D558D3" w:rsidRDefault="000C1460" w:rsidP="00203BA3">
      <w:pPr>
        <w:pStyle w:val="SCCNormalDoubleSpacing"/>
        <w:widowControl w:val="0"/>
        <w:spacing w:after="480"/>
        <w:rPr>
          <w:rStyle w:val="SCCCounselPartyRoleChar"/>
          <w:lang w:val="fr-CA"/>
        </w:rPr>
      </w:pPr>
      <w:r w:rsidRPr="00D558D3">
        <w:rPr>
          <w:rStyle w:val="SCCCounselNameChar"/>
          <w:rFonts w:eastAsiaTheme="majorEastAsia"/>
          <w:lang w:val="fr-CA"/>
        </w:rPr>
        <w:lastRenderedPageBreak/>
        <w:tab/>
        <w:t>Josh Hunter</w:t>
      </w:r>
      <w:r w:rsidRPr="00D558D3">
        <w:rPr>
          <w:rStyle w:val="SCCCounselSeparatorChar"/>
          <w:rFonts w:eastAsiaTheme="minorEastAsia"/>
          <w:lang w:val="fr-CA"/>
        </w:rPr>
        <w:t xml:space="preserve"> et </w:t>
      </w:r>
      <w:r w:rsidRPr="00D558D3">
        <w:rPr>
          <w:rStyle w:val="SCCCounselNameChar"/>
          <w:rFonts w:eastAsiaTheme="majorEastAsia"/>
          <w:lang w:val="fr-CA"/>
        </w:rPr>
        <w:t xml:space="preserve">Daniel </w:t>
      </w:r>
      <w:proofErr w:type="spellStart"/>
      <w:r w:rsidRPr="00D558D3">
        <w:rPr>
          <w:rStyle w:val="SCCCounselNameChar"/>
          <w:rFonts w:eastAsiaTheme="majorEastAsia"/>
          <w:lang w:val="fr-CA"/>
        </w:rPr>
        <w:t>Huffaker</w:t>
      </w:r>
      <w:proofErr w:type="spellEnd"/>
      <w:r w:rsidRPr="00D558D3">
        <w:rPr>
          <w:rStyle w:val="SCCCounselPartyRoleChar"/>
          <w:lang w:val="fr-CA"/>
        </w:rPr>
        <w:t>, pour l’intervenant le procureur général de l’Ontario.</w:t>
      </w:r>
    </w:p>
    <w:p w:rsidR="000C1460" w:rsidRPr="00D558D3" w:rsidRDefault="000C1460" w:rsidP="00203BA3">
      <w:pPr>
        <w:pStyle w:val="SCCNormalDoubleSpacing"/>
        <w:widowControl w:val="0"/>
        <w:spacing w:after="480"/>
        <w:rPr>
          <w:rStyle w:val="SCCCounselPartyRoleChar"/>
          <w:lang w:val="fr-CA"/>
        </w:rPr>
      </w:pPr>
      <w:r w:rsidRPr="00D558D3">
        <w:rPr>
          <w:rStyle w:val="SCCCounselPartyRoleChar"/>
          <w:lang w:val="fr-CA"/>
        </w:rPr>
        <w:tab/>
      </w:r>
      <w:r w:rsidRPr="00D558D3">
        <w:rPr>
          <w:rStyle w:val="SCCCounselNameChar"/>
          <w:rFonts w:eastAsiaTheme="majorEastAsia"/>
          <w:lang w:val="fr-CA"/>
        </w:rPr>
        <w:t>Alain Gingras</w:t>
      </w:r>
      <w:r w:rsidRPr="00D558D3">
        <w:rPr>
          <w:rStyle w:val="SCCCounselPartyRoleChar"/>
          <w:lang w:val="fr-CA"/>
        </w:rPr>
        <w:t>, pour l’intervenante la procureure générale du Québec.</w:t>
      </w:r>
    </w:p>
    <w:p w:rsidR="000C1460" w:rsidRPr="00D558D3" w:rsidRDefault="000C1460" w:rsidP="00203BA3">
      <w:pPr>
        <w:pStyle w:val="SCCNormalDoubleSpacing"/>
        <w:widowControl w:val="0"/>
        <w:spacing w:after="480"/>
        <w:rPr>
          <w:rStyle w:val="SCCCounselPartyRoleChar"/>
          <w:lang w:val="fr-CA"/>
        </w:rPr>
      </w:pPr>
      <w:r w:rsidRPr="00D558D3">
        <w:rPr>
          <w:rStyle w:val="SCCCounselPartyRoleChar"/>
          <w:lang w:val="fr-CA"/>
        </w:rPr>
        <w:tab/>
      </w:r>
      <w:r w:rsidRPr="00D558D3">
        <w:rPr>
          <w:rStyle w:val="SCCCounselNameChar"/>
          <w:rFonts w:eastAsiaTheme="majorEastAsia"/>
          <w:lang w:val="fr-CA"/>
        </w:rPr>
        <w:t>Richard M. Butler</w:t>
      </w:r>
      <w:r w:rsidRPr="00D558D3">
        <w:rPr>
          <w:rStyle w:val="SCCCounselPartyRoleChar"/>
          <w:lang w:val="fr-CA"/>
        </w:rPr>
        <w:t>, pour l’intervenant le procureur général de la Colombie</w:t>
      </w:r>
      <w:r w:rsidRPr="00D558D3">
        <w:rPr>
          <w:rStyle w:val="SCCCounselPartyRoleChar"/>
          <w:lang w:val="fr-CA"/>
        </w:rPr>
        <w:noBreakHyphen/>
        <w:t>Britannique.</w:t>
      </w:r>
    </w:p>
    <w:p w:rsidR="000C1460" w:rsidRPr="00D558D3" w:rsidRDefault="000C1460" w:rsidP="00203BA3">
      <w:pPr>
        <w:pStyle w:val="SCCNormalDoubleSpacing"/>
        <w:widowControl w:val="0"/>
        <w:spacing w:after="480"/>
        <w:rPr>
          <w:lang w:val="fr-CA"/>
        </w:rPr>
      </w:pPr>
      <w:r w:rsidRPr="00D558D3">
        <w:rPr>
          <w:rStyle w:val="SCCCounselPartyRoleChar"/>
          <w:lang w:val="fr-CA"/>
        </w:rPr>
        <w:tab/>
      </w:r>
      <w:r w:rsidRPr="00D558D3">
        <w:rPr>
          <w:rStyle w:val="SCCCounselNameChar"/>
          <w:rFonts w:eastAsiaTheme="majorEastAsia"/>
          <w:lang w:val="fr-CA"/>
        </w:rPr>
        <w:t>Thomson Irvine</w:t>
      </w:r>
      <w:r w:rsidRPr="00D558D3">
        <w:rPr>
          <w:rStyle w:val="SCCCounselPartyRoleChar"/>
          <w:lang w:val="fr-CA"/>
        </w:rPr>
        <w:t>, pour l’intervenant le procureur général de la Saskatchewan.</w:t>
      </w:r>
    </w:p>
    <w:p w:rsidR="000C1460" w:rsidRPr="00D558D3" w:rsidRDefault="000C1460" w:rsidP="00203BA3">
      <w:pPr>
        <w:pStyle w:val="SCCNormalDoubleSpacing"/>
        <w:widowControl w:val="0"/>
        <w:spacing w:after="480"/>
        <w:rPr>
          <w:lang w:val="fr-CA"/>
        </w:rPr>
      </w:pPr>
      <w:r w:rsidRPr="00D558D3">
        <w:rPr>
          <w:rStyle w:val="SCCCounselNameChar"/>
          <w:rFonts w:eastAsiaTheme="majorEastAsia"/>
          <w:lang w:val="fr-CA"/>
        </w:rPr>
        <w:tab/>
        <w:t xml:space="preserve">Lillian </w:t>
      </w:r>
      <w:proofErr w:type="spellStart"/>
      <w:r w:rsidRPr="00D558D3">
        <w:rPr>
          <w:rStyle w:val="SCCCounselNameChar"/>
          <w:rFonts w:eastAsiaTheme="majorEastAsia"/>
          <w:lang w:val="fr-CA"/>
        </w:rPr>
        <w:t>Riczu</w:t>
      </w:r>
      <w:proofErr w:type="spellEnd"/>
      <w:r w:rsidRPr="00D558D3">
        <w:rPr>
          <w:rStyle w:val="SCCCounselPartyRoleChar"/>
          <w:lang w:val="fr-CA"/>
        </w:rPr>
        <w:t>, pour l’intervenant le procureur général de l’Alberta.</w:t>
      </w:r>
    </w:p>
    <w:p w:rsidR="000C1460" w:rsidRDefault="000C1460" w:rsidP="00203BA3">
      <w:pPr>
        <w:pStyle w:val="SCCNormalDoubleSpacing"/>
        <w:widowControl w:val="0"/>
        <w:spacing w:after="480"/>
        <w:rPr>
          <w:rStyle w:val="SCCCounselPartyRoleChar"/>
          <w:lang w:val="fr-CA"/>
        </w:rPr>
      </w:pPr>
      <w:r w:rsidRPr="00D558D3">
        <w:rPr>
          <w:rStyle w:val="SCCCounselNameChar"/>
          <w:rFonts w:eastAsiaTheme="majorEastAsia"/>
          <w:lang w:val="fr-CA"/>
        </w:rPr>
        <w:tab/>
        <w:t>David Thompson</w:t>
      </w:r>
      <w:r w:rsidRPr="00D558D3">
        <w:rPr>
          <w:rStyle w:val="SCCCounselSeparatorChar"/>
          <w:rFonts w:eastAsiaTheme="minorEastAsia"/>
          <w:lang w:val="fr-CA"/>
        </w:rPr>
        <w:t xml:space="preserve"> et </w:t>
      </w:r>
      <w:r w:rsidRPr="00D558D3">
        <w:rPr>
          <w:rStyle w:val="SCCCounselNameChar"/>
          <w:rFonts w:eastAsiaTheme="majorEastAsia"/>
          <w:lang w:val="fr-CA"/>
        </w:rPr>
        <w:t xml:space="preserve">Matthew G. </w:t>
      </w:r>
      <w:proofErr w:type="spellStart"/>
      <w:r w:rsidRPr="00D558D3">
        <w:rPr>
          <w:rStyle w:val="SCCCounselNameChar"/>
          <w:rFonts w:eastAsiaTheme="majorEastAsia"/>
          <w:lang w:val="fr-CA"/>
        </w:rPr>
        <w:t>Moloci</w:t>
      </w:r>
      <w:proofErr w:type="spellEnd"/>
      <w:r w:rsidRPr="00D558D3">
        <w:rPr>
          <w:rStyle w:val="SCCCounselPartyRoleChar"/>
          <w:lang w:val="fr-CA"/>
        </w:rPr>
        <w:t xml:space="preserve">, pour les intervenants Michael Dow, Gwendolyn Miron et Peter </w:t>
      </w:r>
      <w:proofErr w:type="spellStart"/>
      <w:r w:rsidRPr="00D558D3">
        <w:rPr>
          <w:rStyle w:val="SCCCounselPartyRoleChar"/>
          <w:lang w:val="fr-CA"/>
        </w:rPr>
        <w:t>Teolis</w:t>
      </w:r>
      <w:proofErr w:type="spellEnd"/>
      <w:r w:rsidRPr="00D558D3">
        <w:rPr>
          <w:rStyle w:val="SCCCounselPartyRoleChar"/>
          <w:lang w:val="fr-CA"/>
        </w:rPr>
        <w:t>.</w:t>
      </w:r>
    </w:p>
    <w:p w:rsidR="00415414" w:rsidRPr="00D558D3" w:rsidRDefault="00415414" w:rsidP="00203BA3">
      <w:pPr>
        <w:pStyle w:val="SCCNormalDoubleSpacing"/>
        <w:widowControl w:val="0"/>
        <w:spacing w:after="480"/>
        <w:rPr>
          <w:lang w:val="fr-CA"/>
        </w:rPr>
      </w:pPr>
      <w:r>
        <w:rPr>
          <w:rStyle w:val="SCCCounselPartyRoleChar"/>
          <w:lang w:val="fr-CA"/>
        </w:rPr>
        <w:tab/>
        <w:t xml:space="preserve">Version française du jugement des juges Abella, </w:t>
      </w:r>
      <w:proofErr w:type="spellStart"/>
      <w:r>
        <w:rPr>
          <w:rStyle w:val="SCCCounselPartyRoleChar"/>
          <w:lang w:val="fr-CA"/>
        </w:rPr>
        <w:t>Rothstein</w:t>
      </w:r>
      <w:proofErr w:type="spellEnd"/>
      <w:r>
        <w:rPr>
          <w:rStyle w:val="SCCCounselPartyRoleChar"/>
          <w:lang w:val="fr-CA"/>
        </w:rPr>
        <w:t xml:space="preserve">, Cromwell, </w:t>
      </w:r>
      <w:proofErr w:type="spellStart"/>
      <w:r>
        <w:rPr>
          <w:rStyle w:val="SCCCounselPartyRoleChar"/>
          <w:lang w:val="fr-CA"/>
        </w:rPr>
        <w:t>Moldaver</w:t>
      </w:r>
      <w:proofErr w:type="spellEnd"/>
      <w:r>
        <w:rPr>
          <w:rStyle w:val="SCCCounselPartyRoleChar"/>
          <w:lang w:val="fr-CA"/>
        </w:rPr>
        <w:t xml:space="preserve">, </w:t>
      </w:r>
      <w:proofErr w:type="spellStart"/>
      <w:r>
        <w:rPr>
          <w:rStyle w:val="SCCCounselPartyRoleChar"/>
          <w:lang w:val="fr-CA"/>
        </w:rPr>
        <w:t>Karakatsanis</w:t>
      </w:r>
      <w:proofErr w:type="spellEnd"/>
      <w:r>
        <w:rPr>
          <w:rStyle w:val="SCCCounselPartyRoleChar"/>
          <w:lang w:val="fr-CA"/>
        </w:rPr>
        <w:t>, Wagner et Gascon rendu par</w:t>
      </w:r>
    </w:p>
    <w:p w:rsidR="007E1745" w:rsidRPr="000C5FF1" w:rsidRDefault="007E1745" w:rsidP="00203BA3">
      <w:pPr>
        <w:pStyle w:val="JudgeJuge"/>
        <w:widowControl w:val="0"/>
        <w:spacing w:before="480"/>
      </w:pPr>
      <w:r w:rsidRPr="000C5FF1">
        <w:rPr>
          <w:lang w:val="fr-CA"/>
        </w:rPr>
        <w:tab/>
        <w:t xml:space="preserve">Le juge </w:t>
      </w:r>
      <w:r w:rsidRPr="000C5FF1">
        <w:t xml:space="preserve">Gascon — </w:t>
      </w:r>
    </w:p>
    <w:p w:rsidR="007E1745" w:rsidRPr="000C5FF1" w:rsidRDefault="007E1745" w:rsidP="00203BA3">
      <w:pPr>
        <w:pStyle w:val="Title1LevelTitre1Niveau-AltL"/>
        <w:widowControl w:val="0"/>
        <w:numPr>
          <w:ilvl w:val="0"/>
          <w:numId w:val="8"/>
        </w:numPr>
        <w:spacing w:line="276" w:lineRule="auto"/>
        <w:rPr>
          <w:rFonts w:cs="Times New Roman"/>
          <w:szCs w:val="24"/>
        </w:rPr>
      </w:pPr>
      <w:bookmarkStart w:id="2" w:name="_Toc412106199"/>
      <w:bookmarkStart w:id="3" w:name="_Toc415577144"/>
      <w:r w:rsidRPr="000C5FF1">
        <w:rPr>
          <w:rFonts w:cs="Times New Roman"/>
          <w:szCs w:val="24"/>
        </w:rPr>
        <w:t>Introduction</w:t>
      </w:r>
      <w:bookmarkEnd w:id="2"/>
      <w:bookmarkEnd w:id="3"/>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À l’instar du dossier connexe </w:t>
      </w:r>
      <w:r w:rsidRPr="000C5FF1">
        <w:rPr>
          <w:rFonts w:cs="Times New Roman"/>
          <w:i/>
          <w:szCs w:val="24"/>
          <w:lang w:val="fr-CA"/>
        </w:rPr>
        <w:t xml:space="preserve">Alberta (Procureur général) c. </w:t>
      </w:r>
      <w:proofErr w:type="spellStart"/>
      <w:r w:rsidRPr="000C5FF1">
        <w:rPr>
          <w:rFonts w:cs="Times New Roman"/>
          <w:i/>
          <w:szCs w:val="24"/>
          <w:lang w:val="fr-CA"/>
        </w:rPr>
        <w:t>Moloney</w:t>
      </w:r>
      <w:proofErr w:type="spellEnd"/>
      <w:r w:rsidRPr="000C5FF1">
        <w:rPr>
          <w:rFonts w:cs="Times New Roman"/>
          <w:szCs w:val="24"/>
          <w:lang w:val="fr-CA"/>
        </w:rPr>
        <w:t>,</w:t>
      </w:r>
      <w:r w:rsidRPr="000C5FF1">
        <w:rPr>
          <w:rFonts w:cs="Times New Roman"/>
          <w:b/>
          <w:i/>
          <w:szCs w:val="24"/>
          <w:lang w:val="fr-CA"/>
        </w:rPr>
        <w:t xml:space="preserve"> </w:t>
      </w:r>
      <w:r w:rsidRPr="000C5FF1">
        <w:rPr>
          <w:rFonts w:cs="Times New Roman"/>
          <w:szCs w:val="24"/>
          <w:lang w:val="fr-CA"/>
        </w:rPr>
        <w:lastRenderedPageBreak/>
        <w:t xml:space="preserve">2015 CSC 51, </w:t>
      </w:r>
      <w:r w:rsidR="00F1687A">
        <w:rPr>
          <w:rFonts w:cs="Times New Roman"/>
          <w:szCs w:val="24"/>
          <w:lang w:val="fr-CA"/>
        </w:rPr>
        <w:t xml:space="preserve">[2015] 3 R.C.S. </w:t>
      </w:r>
      <w:r w:rsidR="00F27A93">
        <w:rPr>
          <w:rFonts w:cs="Times New Roman"/>
          <w:szCs w:val="24"/>
          <w:lang w:val="fr-CA"/>
        </w:rPr>
        <w:t>327</w:t>
      </w:r>
      <w:r w:rsidR="00F1687A">
        <w:rPr>
          <w:rFonts w:cs="Times New Roman"/>
          <w:szCs w:val="24"/>
          <w:lang w:val="fr-CA"/>
        </w:rPr>
        <w:t xml:space="preserve">, </w:t>
      </w:r>
      <w:r w:rsidRPr="000C5FF1">
        <w:rPr>
          <w:rFonts w:cs="Times New Roman"/>
          <w:szCs w:val="24"/>
          <w:lang w:val="fr-CA"/>
        </w:rPr>
        <w:t xml:space="preserve">le présent pourvoi concerne un conflit allégué entre deux lois fédérale et provinciale qui se chevauchent. La question en litige est de savoir si la </w:t>
      </w:r>
      <w:r w:rsidRPr="000C5FF1">
        <w:rPr>
          <w:rFonts w:cs="Times New Roman"/>
          <w:i/>
          <w:szCs w:val="24"/>
          <w:lang w:val="fr-CA"/>
        </w:rPr>
        <w:t>Loi de 1998 sur l’autoroute 407</w:t>
      </w:r>
      <w:r w:rsidRPr="000C5FF1">
        <w:rPr>
          <w:rFonts w:cs="Times New Roman"/>
          <w:szCs w:val="24"/>
          <w:lang w:val="fr-CA"/>
        </w:rPr>
        <w:t>, L.O. 1998, c. 28 (« </w:t>
      </w:r>
      <w:r w:rsidRPr="000C5FF1">
        <w:rPr>
          <w:rFonts w:cs="Times New Roman"/>
          <w:i/>
          <w:szCs w:val="24"/>
          <w:lang w:val="fr-CA"/>
        </w:rPr>
        <w:t>Loi 407</w:t>
      </w:r>
      <w:r w:rsidRPr="000C5FF1">
        <w:rPr>
          <w:rFonts w:cs="Times New Roman"/>
          <w:szCs w:val="24"/>
          <w:lang w:val="fr-CA"/>
        </w:rPr>
        <w:t xml:space="preserve"> »), de l’Ontario, qui instaure un mécanisme de recouvrement de créances en faveur du propriétaire et exploitant privé d’une autoroute à péage ouverte au public, entre en conflit avec la </w:t>
      </w:r>
      <w:r w:rsidRPr="000C5FF1">
        <w:rPr>
          <w:rFonts w:cs="Times New Roman"/>
          <w:i/>
          <w:szCs w:val="24"/>
          <w:lang w:val="fr-CA"/>
        </w:rPr>
        <w:t>Loi sur la faillite et l’insolvabilité</w:t>
      </w:r>
      <w:r w:rsidRPr="000C5FF1">
        <w:rPr>
          <w:rFonts w:cs="Times New Roman"/>
          <w:szCs w:val="24"/>
          <w:lang w:val="fr-CA"/>
        </w:rPr>
        <w:t>, L.R.C. 1985, c. B</w:t>
      </w:r>
      <w:r w:rsidRPr="000C5FF1">
        <w:rPr>
          <w:rFonts w:cs="Times New Roman"/>
          <w:szCs w:val="24"/>
          <w:lang w:val="fr-CA"/>
        </w:rPr>
        <w:noBreakHyphen/>
        <w:t>3 (« </w:t>
      </w:r>
      <w:r w:rsidRPr="000C5FF1">
        <w:rPr>
          <w:rFonts w:cs="Times New Roman"/>
          <w:i/>
          <w:szCs w:val="24"/>
          <w:lang w:val="fr-CA"/>
        </w:rPr>
        <w:t>LFI </w:t>
      </w:r>
      <w:r w:rsidRPr="000C5FF1">
        <w:rPr>
          <w:rFonts w:cs="Times New Roman"/>
          <w:szCs w:val="24"/>
          <w:lang w:val="fr-CA"/>
        </w:rPr>
        <w:t>»), laquelle précise qu’un failli libéré l’est à l’égard de toute réclamation prouvable.</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Pour les motifs qui suivent, j’estime que, tout comme dans l’affaire connexe, la loi provinciale entre en conflit avec la </w:t>
      </w:r>
      <w:r w:rsidRPr="000C5FF1">
        <w:rPr>
          <w:rFonts w:cs="Times New Roman"/>
          <w:i/>
          <w:szCs w:val="24"/>
          <w:lang w:val="fr-CA"/>
        </w:rPr>
        <w:t>LFI</w:t>
      </w:r>
      <w:r w:rsidRPr="000C5FF1">
        <w:rPr>
          <w:rFonts w:cs="Times New Roman"/>
          <w:szCs w:val="24"/>
          <w:lang w:val="fr-CA"/>
        </w:rPr>
        <w:t>. Elle contrevient donc à la doctrine de la prépondérance fédérale et est inopérante dans la mesure du conflit.</w:t>
      </w:r>
    </w:p>
    <w:p w:rsidR="007E1745" w:rsidRPr="000C5FF1" w:rsidRDefault="007E1745" w:rsidP="00203BA3">
      <w:pPr>
        <w:pStyle w:val="Title1LevelTitre1Niveau-AltL"/>
        <w:widowControl w:val="0"/>
        <w:numPr>
          <w:ilvl w:val="0"/>
          <w:numId w:val="8"/>
        </w:numPr>
        <w:spacing w:line="276" w:lineRule="auto"/>
        <w:rPr>
          <w:rFonts w:cs="Times New Roman"/>
          <w:szCs w:val="24"/>
        </w:rPr>
      </w:pPr>
      <w:bookmarkStart w:id="4" w:name="_Toc412106200"/>
      <w:bookmarkStart w:id="5" w:name="_Toc415577145"/>
      <w:proofErr w:type="spellStart"/>
      <w:r w:rsidRPr="000C5FF1">
        <w:rPr>
          <w:rFonts w:cs="Times New Roman"/>
          <w:szCs w:val="24"/>
        </w:rPr>
        <w:t>Faits</w:t>
      </w:r>
      <w:bookmarkEnd w:id="4"/>
      <w:bookmarkEnd w:id="5"/>
      <w:proofErr w:type="spellEnd"/>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L’autoroute 407 est une autoroute privée ouverte au public. Privatisée en 1999, elle est exploitée par 407 ETR Concession </w:t>
      </w:r>
      <w:proofErr w:type="spellStart"/>
      <w:r w:rsidRPr="000C5FF1">
        <w:rPr>
          <w:rFonts w:cs="Times New Roman"/>
          <w:szCs w:val="24"/>
          <w:lang w:val="fr-CA"/>
        </w:rPr>
        <w:t>Company</w:t>
      </w:r>
      <w:proofErr w:type="spellEnd"/>
      <w:r w:rsidRPr="000C5FF1">
        <w:rPr>
          <w:rFonts w:cs="Times New Roman"/>
          <w:szCs w:val="24"/>
          <w:lang w:val="fr-CA"/>
        </w:rPr>
        <w:t xml:space="preserve"> Limited (« ETR »). Son exploitation est régie par la </w:t>
      </w:r>
      <w:r w:rsidRPr="000C5FF1">
        <w:rPr>
          <w:rFonts w:cs="Times New Roman"/>
          <w:i/>
          <w:szCs w:val="24"/>
          <w:lang w:val="fr-CA"/>
        </w:rPr>
        <w:t>Loi 407</w:t>
      </w:r>
      <w:r w:rsidRPr="000C5FF1">
        <w:rPr>
          <w:rFonts w:cs="Times New Roman"/>
          <w:szCs w:val="24"/>
          <w:lang w:val="fr-CA"/>
        </w:rPr>
        <w:t xml:space="preserve">. Bien que l’autoroute 407 soit une voie à péage, son utilisation ne fait l’objet d’aucune restriction. ETR ne peut empêcher qui que ce soit d’y avoir accès. Un système électronique lit les plaques d’immatriculation aux entrées et aux sorties de l’autoroute. Les utilisateurs de l’autoroute peuvent également louer un appareil à péage, qui est fixé au véhicule et lu au lieu de la plaque d’immatriculation. Ce système électronique enregistre tous les déplacements faits sur l’autoroute. Le montant du péage est alors calculé. Une facture indiquant la somme à payer est envoyée à la personne au nom de qui sont délivrées les plaques </w:t>
      </w:r>
      <w:r w:rsidRPr="000C5FF1">
        <w:rPr>
          <w:rFonts w:cs="Times New Roman"/>
          <w:szCs w:val="24"/>
          <w:lang w:val="fr-CA"/>
        </w:rPr>
        <w:lastRenderedPageBreak/>
        <w:t xml:space="preserve">d’immatriculation du véhicule ou au locataire de l’appareil à péage si un tel appareil est fixé au véhicule.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La </w:t>
      </w:r>
      <w:r w:rsidRPr="000C5FF1">
        <w:rPr>
          <w:rFonts w:cs="Times New Roman"/>
          <w:i/>
          <w:szCs w:val="24"/>
          <w:lang w:val="fr-CA"/>
        </w:rPr>
        <w:t>Loi 407</w:t>
      </w:r>
      <w:r w:rsidRPr="000C5FF1">
        <w:rPr>
          <w:rFonts w:cs="Times New Roman"/>
          <w:szCs w:val="24"/>
          <w:lang w:val="fr-CA"/>
        </w:rPr>
        <w:t xml:space="preserve"> désigne ETR</w:t>
      </w:r>
      <w:r>
        <w:rPr>
          <w:rFonts w:cs="Times New Roman"/>
          <w:szCs w:val="24"/>
          <w:lang w:val="fr-CA"/>
        </w:rPr>
        <w:t xml:space="preserve"> </w:t>
      </w:r>
      <w:r w:rsidRPr="000C5FF1">
        <w:rPr>
          <w:rFonts w:cs="Times New Roman"/>
          <w:szCs w:val="24"/>
          <w:lang w:val="fr-CA"/>
        </w:rPr>
        <w:t xml:space="preserve">comme le « propriétaire » (art. 1) et habilite ETR à fixer, à percevoir et à recouvrer le paiement des péages, des frais d’administration et des intérêts. Ce processus s’amorce lorsqu’ETR envoie une facture indiquant la somme due. La somme devient payable le jour où la facture est envoyée par la poste, livrée à la personne ou envoyée par toute autre méthode prescrite : par. 15(1). Si une personne ne rembourse pas la dette de péage dans les 35 jours qui suivent, ETR peut lui envoyer un avis de défaut de paiement : par. 16(1). Si le débiteur n’acquitte pas la dette dans les 90 jours de la réception de cet avis, le par. 22(1) permet à ETR d’en aviser le </w:t>
      </w:r>
      <w:proofErr w:type="spellStart"/>
      <w:r w:rsidRPr="000C5FF1">
        <w:rPr>
          <w:rFonts w:cs="Times New Roman"/>
          <w:szCs w:val="24"/>
          <w:lang w:val="fr-CA"/>
        </w:rPr>
        <w:t>registrateur</w:t>
      </w:r>
      <w:proofErr w:type="spellEnd"/>
      <w:r w:rsidRPr="000C5FF1">
        <w:rPr>
          <w:rFonts w:cs="Times New Roman"/>
          <w:szCs w:val="24"/>
          <w:lang w:val="fr-CA"/>
        </w:rPr>
        <w:t xml:space="preserve"> des véhicules automobiles (« </w:t>
      </w:r>
      <w:proofErr w:type="spellStart"/>
      <w:r w:rsidRPr="000C5FF1">
        <w:rPr>
          <w:rFonts w:cs="Times New Roman"/>
          <w:szCs w:val="24"/>
          <w:lang w:val="fr-CA"/>
        </w:rPr>
        <w:t>registrateur</w:t>
      </w:r>
      <w:proofErr w:type="spellEnd"/>
      <w:r w:rsidRPr="000C5FF1">
        <w:rPr>
          <w:rFonts w:cs="Times New Roman"/>
          <w:szCs w:val="24"/>
          <w:lang w:val="fr-CA"/>
        </w:rPr>
        <w:t> ») :</w:t>
      </w:r>
    </w:p>
    <w:p w:rsidR="007E1745" w:rsidRPr="000C5FF1" w:rsidRDefault="007E1745" w:rsidP="00203BA3">
      <w:pPr>
        <w:pStyle w:val="Citation-AltC"/>
        <w:widowControl w:val="0"/>
        <w:ind w:hanging="1166"/>
        <w:rPr>
          <w:lang w:val="fr-CA"/>
        </w:rPr>
      </w:pPr>
      <w:r w:rsidRPr="000C5FF1">
        <w:rPr>
          <w:b/>
          <w:lang w:val="fr-CA"/>
        </w:rPr>
        <w:tab/>
      </w:r>
      <w:r w:rsidRPr="000C5FF1">
        <w:rPr>
          <w:b/>
          <w:lang w:val="fr-CA"/>
        </w:rPr>
        <w:tab/>
        <w:t>22.</w:t>
      </w:r>
      <w:r w:rsidRPr="000C5FF1">
        <w:rPr>
          <w:lang w:val="fr-CA"/>
        </w:rPr>
        <w:t xml:space="preserve"> (1) Si un péage et les frais, droits et intérêts y afférents ne sont pas payés dans les 90 jours de la réception d’un avis de défaut de paiement prévu à l’article 16 par une personne, </w:t>
      </w:r>
      <w:r w:rsidRPr="000C5FF1">
        <w:rPr>
          <w:u w:val="single"/>
          <w:lang w:val="fr-CA"/>
        </w:rPr>
        <w:t xml:space="preserve">le propriétaire peut aviser le </w:t>
      </w:r>
      <w:proofErr w:type="spellStart"/>
      <w:r w:rsidRPr="000C5FF1">
        <w:rPr>
          <w:u w:val="single"/>
          <w:lang w:val="fr-CA"/>
        </w:rPr>
        <w:t>registrateur</w:t>
      </w:r>
      <w:proofErr w:type="spellEnd"/>
      <w:r w:rsidRPr="000C5FF1">
        <w:rPr>
          <w:u w:val="single"/>
          <w:lang w:val="fr-CA"/>
        </w:rPr>
        <w:t xml:space="preserve"> des véhicules automobiles de ce défaut de paiement</w:t>
      </w:r>
      <w:r w:rsidRPr="000C5FF1">
        <w:rPr>
          <w:lang w:val="fr-CA"/>
        </w:rPr>
        <w:t>.</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Dès qu’il reçoit cet avis, le </w:t>
      </w:r>
      <w:proofErr w:type="spellStart"/>
      <w:r w:rsidRPr="000C5FF1">
        <w:rPr>
          <w:rFonts w:cs="Times New Roman"/>
          <w:szCs w:val="24"/>
          <w:lang w:val="fr-CA"/>
        </w:rPr>
        <w:t>registrateur</w:t>
      </w:r>
      <w:proofErr w:type="spellEnd"/>
      <w:r w:rsidRPr="000C5FF1">
        <w:rPr>
          <w:rFonts w:cs="Times New Roman"/>
          <w:szCs w:val="24"/>
          <w:lang w:val="fr-CA"/>
        </w:rPr>
        <w:t xml:space="preserve"> doit (obligation exprimée par l’auxiliaire « </w:t>
      </w:r>
      <w:proofErr w:type="spellStart"/>
      <w:r w:rsidRPr="000C5FF1">
        <w:rPr>
          <w:rFonts w:cs="Times New Roman"/>
          <w:i/>
          <w:szCs w:val="24"/>
          <w:lang w:val="fr-CA"/>
        </w:rPr>
        <w:t>shall</w:t>
      </w:r>
      <w:proofErr w:type="spellEnd"/>
      <w:r w:rsidRPr="000C5FF1">
        <w:rPr>
          <w:rFonts w:cs="Times New Roman"/>
          <w:i/>
          <w:szCs w:val="24"/>
          <w:lang w:val="fr-CA"/>
        </w:rPr>
        <w:t> </w:t>
      </w:r>
      <w:r w:rsidRPr="000C5FF1">
        <w:rPr>
          <w:rFonts w:cs="Times New Roman"/>
          <w:szCs w:val="24"/>
          <w:lang w:val="fr-CA"/>
        </w:rPr>
        <w:t xml:space="preserve">» dans la version anglaise et par l’indicatif présent dans la version française) </w:t>
      </w:r>
      <w:proofErr w:type="gramStart"/>
      <w:r w:rsidRPr="000C5FF1">
        <w:rPr>
          <w:rFonts w:cs="Times New Roman"/>
          <w:szCs w:val="24"/>
          <w:lang w:val="fr-CA"/>
        </w:rPr>
        <w:t>refuser</w:t>
      </w:r>
      <w:proofErr w:type="gramEnd"/>
      <w:r w:rsidRPr="000C5FF1">
        <w:rPr>
          <w:rFonts w:cs="Times New Roman"/>
          <w:szCs w:val="24"/>
          <w:lang w:val="fr-CA"/>
        </w:rPr>
        <w:t xml:space="preserve"> de délivrer ou de renouveler le certificat d’immatriculation de véhicule du débiteur. Le débiteur ne peut donc plus faire enregistrer un véhicule à son nom. Le </w:t>
      </w:r>
      <w:proofErr w:type="spellStart"/>
      <w:r w:rsidRPr="000C5FF1">
        <w:rPr>
          <w:rFonts w:cs="Times New Roman"/>
          <w:szCs w:val="24"/>
          <w:lang w:val="fr-CA"/>
        </w:rPr>
        <w:t>registrateur</w:t>
      </w:r>
      <w:proofErr w:type="spellEnd"/>
      <w:r w:rsidRPr="000C5FF1">
        <w:rPr>
          <w:rFonts w:cs="Times New Roman"/>
          <w:szCs w:val="24"/>
          <w:lang w:val="fr-CA"/>
        </w:rPr>
        <w:t xml:space="preserve"> n’a aucun pouvoir discrétionnaire à cet égard :</w:t>
      </w:r>
    </w:p>
    <w:p w:rsidR="007E1745" w:rsidRPr="000C5FF1" w:rsidRDefault="007E1745" w:rsidP="00203BA3">
      <w:pPr>
        <w:pStyle w:val="Citation-AltC"/>
        <w:widowControl w:val="0"/>
        <w:spacing w:after="240"/>
        <w:ind w:left="1168" w:hanging="1168"/>
        <w:contextualSpacing w:val="0"/>
        <w:rPr>
          <w:lang w:val="fr-CA"/>
        </w:rPr>
      </w:pPr>
      <w:r w:rsidRPr="000C5FF1">
        <w:rPr>
          <w:b/>
          <w:lang w:val="fr-CA"/>
        </w:rPr>
        <w:tab/>
      </w:r>
      <w:r w:rsidRPr="000C5FF1">
        <w:rPr>
          <w:b/>
          <w:lang w:val="fr-CA"/>
        </w:rPr>
        <w:tab/>
        <w:t xml:space="preserve">22. </w:t>
      </w:r>
      <w:r w:rsidRPr="000C5FF1">
        <w:rPr>
          <w:lang w:val="fr-CA"/>
        </w:rPr>
        <w:t xml:space="preserve">. . . </w:t>
      </w:r>
    </w:p>
    <w:p w:rsidR="007E1745" w:rsidRPr="000C5FF1" w:rsidRDefault="007E1745" w:rsidP="00203BA3">
      <w:pPr>
        <w:pStyle w:val="Citation-AltC"/>
        <w:widowControl w:val="0"/>
        <w:ind w:hanging="1166"/>
        <w:rPr>
          <w:lang w:val="fr-CA"/>
        </w:rPr>
      </w:pPr>
      <w:r w:rsidRPr="000C5FF1">
        <w:rPr>
          <w:lang w:val="fr-CA"/>
        </w:rPr>
        <w:lastRenderedPageBreak/>
        <w:tab/>
      </w:r>
      <w:r w:rsidRPr="000C5FF1">
        <w:rPr>
          <w:lang w:val="fr-CA"/>
        </w:rPr>
        <w:tab/>
        <w:t xml:space="preserve">(4) S’il reçoit l’avis prévu au paragraphe (1), </w:t>
      </w:r>
      <w:r w:rsidRPr="000C5FF1">
        <w:rPr>
          <w:u w:val="single"/>
          <w:lang w:val="fr-CA"/>
        </w:rPr>
        <w:t xml:space="preserve">le </w:t>
      </w:r>
      <w:proofErr w:type="spellStart"/>
      <w:r w:rsidRPr="000C5FF1">
        <w:rPr>
          <w:u w:val="single"/>
          <w:lang w:val="fr-CA"/>
        </w:rPr>
        <w:t>registrateur</w:t>
      </w:r>
      <w:proofErr w:type="spellEnd"/>
      <w:r w:rsidRPr="000C5FF1">
        <w:rPr>
          <w:u w:val="single"/>
          <w:lang w:val="fr-CA"/>
        </w:rPr>
        <w:t xml:space="preserve"> des véhicules automobiles, à la prochaine occasion, refuse de valider le certificat d’immatriculation de véhicule délivré</w:t>
      </w:r>
      <w:r w:rsidRPr="000C5FF1">
        <w:rPr>
          <w:lang w:val="fr-CA"/>
        </w:rPr>
        <w:t xml:space="preserve"> à la personne qui a reçu l’avis de défaut de paiement prévu à l’article 16 et refuse de lui délivrer un certificat d’immatriculation de véhicule.</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Cette disposition produit ses effets jusqu’à ce que le </w:t>
      </w:r>
      <w:proofErr w:type="spellStart"/>
      <w:r w:rsidRPr="000C5FF1">
        <w:rPr>
          <w:rFonts w:cs="Times New Roman"/>
          <w:szCs w:val="24"/>
          <w:lang w:val="fr-CA"/>
        </w:rPr>
        <w:t>registrateur</w:t>
      </w:r>
      <w:proofErr w:type="spellEnd"/>
      <w:r w:rsidRPr="000C5FF1">
        <w:rPr>
          <w:rFonts w:cs="Times New Roman"/>
          <w:szCs w:val="24"/>
          <w:lang w:val="fr-CA"/>
        </w:rPr>
        <w:t xml:space="preserve"> soit avisé du paiement de la dette et des frais, droits et intérêts y afférents. Dès le paiement, ETR doit en aviser le </w:t>
      </w:r>
      <w:proofErr w:type="spellStart"/>
      <w:r w:rsidRPr="000C5FF1">
        <w:rPr>
          <w:rFonts w:cs="Times New Roman"/>
          <w:szCs w:val="24"/>
          <w:lang w:val="fr-CA"/>
        </w:rPr>
        <w:t>registrateur</w:t>
      </w:r>
      <w:proofErr w:type="spellEnd"/>
      <w:r w:rsidRPr="000C5FF1">
        <w:rPr>
          <w:rFonts w:cs="Times New Roman"/>
          <w:szCs w:val="24"/>
          <w:lang w:val="fr-CA"/>
        </w:rPr>
        <w:t> :</w:t>
      </w:r>
    </w:p>
    <w:p w:rsidR="007E1745" w:rsidRPr="000C5FF1" w:rsidRDefault="007E1745" w:rsidP="00203BA3">
      <w:pPr>
        <w:pStyle w:val="Citation-AltC"/>
        <w:widowControl w:val="0"/>
        <w:spacing w:after="240"/>
        <w:ind w:hanging="1166"/>
        <w:contextualSpacing w:val="0"/>
        <w:rPr>
          <w:lang w:val="fr-CA"/>
        </w:rPr>
      </w:pPr>
      <w:r w:rsidRPr="000C5FF1">
        <w:rPr>
          <w:b/>
          <w:lang w:val="fr-CA"/>
        </w:rPr>
        <w:tab/>
      </w:r>
      <w:r w:rsidRPr="000C5FF1">
        <w:rPr>
          <w:b/>
          <w:lang w:val="fr-CA"/>
        </w:rPr>
        <w:tab/>
        <w:t>22.</w:t>
      </w:r>
      <w:r w:rsidRPr="000C5FF1">
        <w:rPr>
          <w:lang w:val="fr-CA"/>
        </w:rPr>
        <w:t xml:space="preserve"> . . . </w:t>
      </w:r>
    </w:p>
    <w:p w:rsidR="007E1745" w:rsidRPr="000C5FF1" w:rsidRDefault="007E1745" w:rsidP="00203BA3">
      <w:pPr>
        <w:pStyle w:val="Citation-AltC"/>
        <w:widowControl w:val="0"/>
        <w:spacing w:after="240"/>
        <w:ind w:hanging="1166"/>
        <w:contextualSpacing w:val="0"/>
        <w:rPr>
          <w:lang w:val="fr-CA"/>
        </w:rPr>
      </w:pPr>
      <w:r w:rsidRPr="000C5FF1">
        <w:rPr>
          <w:lang w:val="fr-CA"/>
        </w:rPr>
        <w:tab/>
      </w:r>
      <w:r w:rsidRPr="000C5FF1">
        <w:rPr>
          <w:lang w:val="fr-CA"/>
        </w:rPr>
        <w:tab/>
        <w:t xml:space="preserve">(6) Si un avis a été donné au </w:t>
      </w:r>
      <w:proofErr w:type="spellStart"/>
      <w:r w:rsidRPr="000C5FF1">
        <w:rPr>
          <w:lang w:val="fr-CA"/>
        </w:rPr>
        <w:t>registrateur</w:t>
      </w:r>
      <w:proofErr w:type="spellEnd"/>
      <w:r w:rsidRPr="000C5FF1">
        <w:rPr>
          <w:lang w:val="fr-CA"/>
        </w:rPr>
        <w:t xml:space="preserve"> des véhicules automobiles en vertu du paragraphe (1) et que le péage et les frais, droits et intérêts y afférents </w:t>
      </w:r>
      <w:r w:rsidRPr="000C5FF1">
        <w:rPr>
          <w:u w:val="single"/>
          <w:lang w:val="fr-CA"/>
        </w:rPr>
        <w:t xml:space="preserve">sont payés par la suite, le propriétaire avise immédiatement le </w:t>
      </w:r>
      <w:proofErr w:type="spellStart"/>
      <w:r w:rsidRPr="000C5FF1">
        <w:rPr>
          <w:u w:val="single"/>
          <w:lang w:val="fr-CA"/>
        </w:rPr>
        <w:t>registrateur</w:t>
      </w:r>
      <w:proofErr w:type="spellEnd"/>
      <w:r w:rsidRPr="000C5FF1">
        <w:rPr>
          <w:u w:val="single"/>
          <w:lang w:val="fr-CA"/>
        </w:rPr>
        <w:t xml:space="preserve"> de ce paiement</w:t>
      </w:r>
      <w:r w:rsidRPr="000C5FF1">
        <w:rPr>
          <w:lang w:val="fr-CA"/>
        </w:rPr>
        <w:t xml:space="preserve">. </w:t>
      </w:r>
    </w:p>
    <w:p w:rsidR="007E1745" w:rsidRPr="000C5FF1" w:rsidRDefault="007E1745" w:rsidP="00203BA3">
      <w:pPr>
        <w:pStyle w:val="Citation-AltC"/>
        <w:widowControl w:val="0"/>
        <w:spacing w:after="240"/>
        <w:ind w:hanging="1166"/>
        <w:contextualSpacing w:val="0"/>
        <w:rPr>
          <w:lang w:val="fr-CA"/>
        </w:rPr>
      </w:pPr>
      <w:r w:rsidRPr="000C5FF1">
        <w:rPr>
          <w:lang w:val="fr-CA"/>
        </w:rPr>
        <w:tab/>
      </w:r>
      <w:r w:rsidRPr="000C5FF1">
        <w:rPr>
          <w:lang w:val="fr-CA"/>
        </w:rPr>
        <w:tab/>
        <w:t>(7) S’il est avisé par le propriétaire que le péage et les frais, droits et intérêts ont été payés ou qu’il est avisé par l’arbitre des différends que la personne n’est pas redevable du paiement de ceux</w:t>
      </w:r>
      <w:r w:rsidRPr="000C5FF1">
        <w:rPr>
          <w:lang w:val="fr-CA"/>
        </w:rPr>
        <w:noBreakHyphen/>
        <w:t xml:space="preserve">ci, </w:t>
      </w:r>
      <w:r w:rsidRPr="000C5FF1">
        <w:rPr>
          <w:u w:val="single"/>
          <w:lang w:val="fr-CA"/>
        </w:rPr>
        <w:t xml:space="preserve">le </w:t>
      </w:r>
      <w:proofErr w:type="spellStart"/>
      <w:r w:rsidRPr="000C5FF1">
        <w:rPr>
          <w:u w:val="single"/>
          <w:lang w:val="fr-CA"/>
        </w:rPr>
        <w:t>registrateur</w:t>
      </w:r>
      <w:proofErr w:type="spellEnd"/>
      <w:r w:rsidRPr="000C5FF1">
        <w:rPr>
          <w:u w:val="single"/>
          <w:lang w:val="fr-CA"/>
        </w:rPr>
        <w:t xml:space="preserve"> des véhicules automobiles</w:t>
      </w:r>
      <w:r w:rsidRPr="000C5FF1">
        <w:rPr>
          <w:lang w:val="fr-CA"/>
        </w:rPr>
        <w:t xml:space="preserve"> : </w:t>
      </w:r>
    </w:p>
    <w:p w:rsidR="007E1745" w:rsidRPr="000C5FF1" w:rsidRDefault="007E1745" w:rsidP="00203BA3">
      <w:pPr>
        <w:pStyle w:val="Citation-AltC"/>
        <w:widowControl w:val="0"/>
        <w:numPr>
          <w:ilvl w:val="4"/>
          <w:numId w:val="6"/>
        </w:numPr>
        <w:spacing w:after="240"/>
        <w:contextualSpacing w:val="0"/>
        <w:rPr>
          <w:lang w:val="fr-CA"/>
        </w:rPr>
      </w:pPr>
      <w:r w:rsidRPr="000C5FF1">
        <w:rPr>
          <w:u w:val="single"/>
          <w:lang w:val="fr-CA"/>
        </w:rPr>
        <w:t>valide tout certificat d’immatriculation de véhicule</w:t>
      </w:r>
      <w:r w:rsidRPr="000C5FF1">
        <w:rPr>
          <w:lang w:val="fr-CA"/>
        </w:rPr>
        <w:t xml:space="preserve"> qu’il a refusé de valider aux termes du paragraphe (4);</w:t>
      </w:r>
    </w:p>
    <w:p w:rsidR="007E1745" w:rsidRPr="000C5FF1" w:rsidRDefault="007E1745" w:rsidP="00203BA3">
      <w:pPr>
        <w:pStyle w:val="Citation-AltC"/>
        <w:widowControl w:val="0"/>
        <w:numPr>
          <w:ilvl w:val="4"/>
          <w:numId w:val="6"/>
        </w:numPr>
        <w:rPr>
          <w:lang w:val="fr-CA"/>
        </w:rPr>
      </w:pPr>
      <w:r w:rsidRPr="000C5FF1">
        <w:rPr>
          <w:u w:val="single"/>
          <w:lang w:val="fr-CA"/>
        </w:rPr>
        <w:t>délivre un certificat d’immatriculation de véhicule</w:t>
      </w:r>
      <w:r w:rsidRPr="000C5FF1">
        <w:rPr>
          <w:lang w:val="fr-CA"/>
        </w:rPr>
        <w:t xml:space="preserve"> à une personne si celui</w:t>
      </w:r>
      <w:r w:rsidRPr="000C5FF1">
        <w:rPr>
          <w:lang w:val="fr-CA"/>
        </w:rPr>
        <w:noBreakHyphen/>
        <w:t>ci lui a été refusé aux termes du paragraphe (4).</w:t>
      </w:r>
    </w:p>
    <w:p w:rsidR="007E1745" w:rsidRPr="000C5FF1" w:rsidRDefault="007E1745" w:rsidP="00203BA3">
      <w:pPr>
        <w:pStyle w:val="ParaNoNdepar-AltN"/>
        <w:widowControl w:val="0"/>
        <w:tabs>
          <w:tab w:val="clear" w:pos="1166"/>
          <w:tab w:val="num" w:pos="1152"/>
        </w:tabs>
        <w:spacing w:after="0"/>
        <w:rPr>
          <w:rFonts w:cs="Times New Roman"/>
          <w:szCs w:val="24"/>
          <w:lang w:val="fr-CA"/>
        </w:rPr>
      </w:pPr>
      <w:r w:rsidRPr="000C5FF1">
        <w:rPr>
          <w:rFonts w:cs="Times New Roman"/>
          <w:szCs w:val="24"/>
          <w:lang w:val="fr-CA"/>
        </w:rPr>
        <w:t>Matthew David Moore conduisait deux voitures, une Pontiac 1993 et une Mercedes</w:t>
      </w:r>
      <w:r w:rsidRPr="000C5FF1">
        <w:rPr>
          <w:rFonts w:cs="Times New Roman"/>
          <w:szCs w:val="24"/>
          <w:lang w:val="fr-CA"/>
        </w:rPr>
        <w:noBreakHyphen/>
        <w:t xml:space="preserve">Benz 2002, toutes deux enregistrées à son nom. Il a conduit 1 973 fois sur l’autoroute 407 entre août 1998 et mars 2007. Il a accumulé ainsi une dette de péage de 34 977,06 $. En mars 2005 et plus tard, en décembre 2006, ETR a avisé le </w:t>
      </w:r>
      <w:proofErr w:type="spellStart"/>
      <w:r w:rsidRPr="000C5FF1">
        <w:rPr>
          <w:rFonts w:cs="Times New Roman"/>
          <w:szCs w:val="24"/>
          <w:lang w:val="fr-CA"/>
        </w:rPr>
        <w:t>registrateur</w:t>
      </w:r>
      <w:proofErr w:type="spellEnd"/>
      <w:r w:rsidRPr="000C5FF1">
        <w:rPr>
          <w:rFonts w:cs="Times New Roman"/>
          <w:szCs w:val="24"/>
          <w:lang w:val="fr-CA"/>
        </w:rPr>
        <w:t xml:space="preserve"> que M. Moore n’avait pas payé la dette de péage relative à ses nombreux déplacements sur l’autoroute 407 au volant de la Mercedes</w:t>
      </w:r>
      <w:r w:rsidRPr="000C5FF1">
        <w:rPr>
          <w:rFonts w:cs="Times New Roman"/>
          <w:szCs w:val="24"/>
          <w:lang w:val="fr-CA"/>
        </w:rPr>
        <w:noBreakHyphen/>
        <w:t xml:space="preserve">Benz et de la Pontiac. À l’expiration du </w:t>
      </w:r>
      <w:r w:rsidRPr="000C5FF1">
        <w:rPr>
          <w:rFonts w:cs="Times New Roman"/>
          <w:szCs w:val="24"/>
          <w:lang w:val="fr-CA"/>
        </w:rPr>
        <w:lastRenderedPageBreak/>
        <w:t>certificat d’enregistrement de la Mercedes</w:t>
      </w:r>
      <w:r w:rsidRPr="000C5FF1">
        <w:rPr>
          <w:rFonts w:cs="Times New Roman"/>
          <w:szCs w:val="24"/>
          <w:lang w:val="fr-CA"/>
        </w:rPr>
        <w:noBreakHyphen/>
        <w:t xml:space="preserve">Benz, le </w:t>
      </w:r>
      <w:proofErr w:type="spellStart"/>
      <w:r w:rsidRPr="000C5FF1">
        <w:rPr>
          <w:rFonts w:cs="Times New Roman"/>
          <w:szCs w:val="24"/>
          <w:lang w:val="fr-CA"/>
        </w:rPr>
        <w:t>registrateur</w:t>
      </w:r>
      <w:proofErr w:type="spellEnd"/>
      <w:r w:rsidRPr="000C5FF1">
        <w:rPr>
          <w:rFonts w:cs="Times New Roman"/>
          <w:szCs w:val="24"/>
          <w:lang w:val="fr-CA"/>
        </w:rPr>
        <w:t xml:space="preserve"> a refusé de renouveler les plaques d’immatriculation de M. Moore. Ce dernier a néanmoins continué de conduire cette voiture sur l’autoroute 407 pendant 18 mois sans posséder de plaques d’immatriculation valides, contrevenant ainsi à l’art. 51 du </w:t>
      </w:r>
      <w:r w:rsidRPr="000C5FF1">
        <w:rPr>
          <w:rFonts w:cs="Times New Roman"/>
          <w:i/>
          <w:szCs w:val="24"/>
          <w:lang w:val="fr-CA"/>
        </w:rPr>
        <w:t>Code de la route</w:t>
      </w:r>
      <w:r w:rsidRPr="000C5FF1">
        <w:rPr>
          <w:rFonts w:cs="Times New Roman"/>
          <w:szCs w:val="24"/>
          <w:lang w:val="fr-CA"/>
        </w:rPr>
        <w:t>, L.R.O. 1990, c. H.8.</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Le 10 novembre 2007, M. Moore a fait cession de ses biens. Il a affirmé dans son bilan qu’ETR était une créancière non garantie. Bien qu’ETR ait été avisée de la cession de biens de M. Moore, elle n’a pas produit de preuve de réclamation et a décidé de ne pas participer à la procédure de faillite. Le 1</w:t>
      </w:r>
      <w:r w:rsidRPr="000C5FF1">
        <w:rPr>
          <w:rFonts w:cs="Times New Roman"/>
          <w:szCs w:val="24"/>
          <w:vertAlign w:val="superscript"/>
          <w:lang w:val="fr-CA"/>
        </w:rPr>
        <w:t>er</w:t>
      </w:r>
      <w:r w:rsidRPr="000C5FF1">
        <w:rPr>
          <w:rFonts w:cs="Times New Roman"/>
          <w:szCs w:val="24"/>
          <w:lang w:val="fr-CA"/>
        </w:rPr>
        <w:t> février 2011, M. Moore a obtenu une libération de faillite conditionnelle au paiement d’une somme de 1 210 $. Par suite du paiement de cette somme, il a obtenu une libération absolue le 21 juin 2011.</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Plus tard, M. Moore a demandé par requête au registraire en matière de faillite de rendre une ordonnance déclarant qu’il avait été libéré, en tant que failli, de la réclamation d’ETR et enjoignant au ministère des Transports de lui délivrer un certificat d’immatriculation sur paiement des droits habituels. L’ordonnance a été accordée, mais elle a été ensuite annulée avant que la Cour supérieure de justice instruise l’affaire </w:t>
      </w:r>
      <w:r w:rsidRPr="000C5FF1">
        <w:rPr>
          <w:rFonts w:cs="Times New Roman"/>
          <w:i/>
          <w:szCs w:val="24"/>
          <w:lang w:val="fr-CA"/>
        </w:rPr>
        <w:t>de novo</w:t>
      </w:r>
      <w:r w:rsidRPr="000C5FF1">
        <w:rPr>
          <w:rFonts w:cs="Times New Roman"/>
          <w:szCs w:val="24"/>
          <w:lang w:val="fr-CA"/>
        </w:rPr>
        <w:t xml:space="preserve">. À l’audience devant la Cour supérieure de justice, M. Moore a prétendu qu’ETR ne pouvait s’appuyer sur le par. 22(4) de la </w:t>
      </w:r>
      <w:r w:rsidRPr="000C5FF1">
        <w:rPr>
          <w:rFonts w:cs="Times New Roman"/>
          <w:i/>
          <w:szCs w:val="24"/>
          <w:lang w:val="fr-CA"/>
        </w:rPr>
        <w:t>Loi 407</w:t>
      </w:r>
      <w:r w:rsidRPr="000C5FF1">
        <w:rPr>
          <w:rFonts w:cs="Times New Roman"/>
          <w:szCs w:val="24"/>
          <w:lang w:val="fr-CA"/>
        </w:rPr>
        <w:t xml:space="preserve"> pour percevoir la dette de péage et le contraindre à la payer, parce qu’il en avait été libéré en application de l’art. 178 de la </w:t>
      </w:r>
      <w:r w:rsidRPr="000C5FF1">
        <w:rPr>
          <w:rFonts w:cs="Times New Roman"/>
          <w:i/>
          <w:szCs w:val="24"/>
          <w:lang w:val="fr-CA"/>
        </w:rPr>
        <w:t>LFI</w:t>
      </w:r>
      <w:r w:rsidRPr="000C5FF1">
        <w:rPr>
          <w:rFonts w:cs="Times New Roman"/>
          <w:szCs w:val="24"/>
          <w:lang w:val="fr-CA"/>
        </w:rPr>
        <w:t xml:space="preserve">. Il a soutenu que le par. 22(4) entrait en conflit avec </w:t>
      </w:r>
      <w:r w:rsidRPr="000C5FF1">
        <w:rPr>
          <w:rFonts w:cs="Times New Roman"/>
          <w:szCs w:val="24"/>
          <w:lang w:val="fr-CA"/>
        </w:rPr>
        <w:lastRenderedPageBreak/>
        <w:t xml:space="preserve">l’art. 178 et contrevenait à la doctrine de la prépondérance fédérale, de sorte que la disposition fédérale en matière de faillite devrait primer sur la </w:t>
      </w:r>
      <w:r w:rsidRPr="000C5FF1">
        <w:rPr>
          <w:rFonts w:cs="Times New Roman"/>
          <w:i/>
          <w:szCs w:val="24"/>
          <w:lang w:val="fr-CA"/>
        </w:rPr>
        <w:t>Loi 407</w:t>
      </w:r>
      <w:r w:rsidRPr="000C5FF1">
        <w:rPr>
          <w:rFonts w:cs="Times New Roman"/>
          <w:szCs w:val="24"/>
          <w:lang w:val="fr-CA"/>
        </w:rPr>
        <w:t>. Il a demandé une ordonnance déclarant qu’il avait été libéré de sa dette par une ordonnance de libération de faillite et enjoignant au ministère des Transports de lui délivrer ses certificats d’immatriculation de véhicule.</w:t>
      </w:r>
    </w:p>
    <w:p w:rsidR="007E1745" w:rsidRPr="000C5FF1" w:rsidRDefault="007E1745" w:rsidP="00203BA3">
      <w:pPr>
        <w:pStyle w:val="Title1LevelTitre1Niveau-AltL"/>
        <w:widowControl w:val="0"/>
        <w:numPr>
          <w:ilvl w:val="0"/>
          <w:numId w:val="8"/>
        </w:numPr>
        <w:spacing w:line="276" w:lineRule="auto"/>
        <w:rPr>
          <w:rFonts w:cs="Times New Roman"/>
          <w:szCs w:val="24"/>
        </w:rPr>
      </w:pPr>
      <w:bookmarkStart w:id="6" w:name="_Toc412106201"/>
      <w:bookmarkStart w:id="7" w:name="_Toc415577146"/>
      <w:proofErr w:type="spellStart"/>
      <w:r w:rsidRPr="000C5FF1">
        <w:rPr>
          <w:rFonts w:cs="Times New Roman"/>
          <w:szCs w:val="24"/>
        </w:rPr>
        <w:t>Historique</w:t>
      </w:r>
      <w:proofErr w:type="spellEnd"/>
      <w:r w:rsidRPr="000C5FF1">
        <w:rPr>
          <w:rFonts w:cs="Times New Roman"/>
          <w:szCs w:val="24"/>
        </w:rPr>
        <w:t xml:space="preserve"> </w:t>
      </w:r>
      <w:proofErr w:type="spellStart"/>
      <w:r w:rsidRPr="000C5FF1">
        <w:rPr>
          <w:rFonts w:cs="Times New Roman"/>
          <w:szCs w:val="24"/>
        </w:rPr>
        <w:t>judiciaire</w:t>
      </w:r>
      <w:bookmarkEnd w:id="6"/>
      <w:bookmarkEnd w:id="7"/>
      <w:proofErr w:type="spellEnd"/>
    </w:p>
    <w:p w:rsidR="007E1745" w:rsidRPr="000C5FF1" w:rsidRDefault="007E1745" w:rsidP="00203BA3">
      <w:pPr>
        <w:pStyle w:val="Title2LevelTitre2Niveau"/>
        <w:widowControl w:val="0"/>
        <w:numPr>
          <w:ilvl w:val="1"/>
          <w:numId w:val="8"/>
        </w:numPr>
        <w:spacing w:line="276" w:lineRule="auto"/>
        <w:rPr>
          <w:rFonts w:cs="Times New Roman"/>
          <w:szCs w:val="24"/>
          <w:lang w:val="fr-CA"/>
        </w:rPr>
      </w:pPr>
      <w:bookmarkStart w:id="8" w:name="_Toc412106202"/>
      <w:bookmarkStart w:id="9" w:name="_Toc415577147"/>
      <w:r w:rsidRPr="000C5FF1">
        <w:rPr>
          <w:rFonts w:cs="Times New Roman"/>
          <w:szCs w:val="24"/>
          <w:lang w:val="fr-CA"/>
        </w:rPr>
        <w:t>Cour supérieure de justice de l’Ontario, 2011 ONSC 6310</w:t>
      </w:r>
      <w:bookmarkEnd w:id="8"/>
      <w:bookmarkEnd w:id="9"/>
      <w:r w:rsidRPr="000C5FF1">
        <w:rPr>
          <w:rFonts w:cs="Times New Roman"/>
          <w:szCs w:val="24"/>
          <w:lang w:val="fr-CA"/>
        </w:rPr>
        <w:t>, 30 M.V.R. (6th) 137</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Le juge </w:t>
      </w:r>
      <w:proofErr w:type="spellStart"/>
      <w:r w:rsidRPr="000C5FF1">
        <w:rPr>
          <w:rFonts w:cs="Times New Roman"/>
          <w:szCs w:val="24"/>
          <w:lang w:val="fr-CA"/>
        </w:rPr>
        <w:t>Newbould</w:t>
      </w:r>
      <w:proofErr w:type="spellEnd"/>
      <w:r w:rsidRPr="000C5FF1">
        <w:rPr>
          <w:rFonts w:cs="Times New Roman"/>
          <w:szCs w:val="24"/>
          <w:lang w:val="fr-CA"/>
        </w:rPr>
        <w:t xml:space="preserve"> a indiqué qu’un conflit d’application survient lorsque [</w:t>
      </w:r>
      <w:r w:rsidRPr="000C5FF1">
        <w:rPr>
          <w:rFonts w:cs="Times New Roman"/>
          <w:smallCaps/>
          <w:szCs w:val="24"/>
          <w:lang w:val="fr-CA"/>
        </w:rPr>
        <w:t>traduction]</w:t>
      </w:r>
      <w:r w:rsidRPr="000C5FF1">
        <w:rPr>
          <w:rFonts w:cs="Times New Roman"/>
          <w:szCs w:val="24"/>
          <w:lang w:val="fr-CA"/>
        </w:rPr>
        <w:t xml:space="preserve"> « le respect de la législation provinciale [est] impossible soit parce que cette dernière entre directement en conflit avec une disposition expresse de la </w:t>
      </w:r>
      <w:r w:rsidRPr="00116771">
        <w:rPr>
          <w:rFonts w:cs="Times New Roman"/>
          <w:szCs w:val="24"/>
          <w:lang w:val="fr-CA"/>
        </w:rPr>
        <w:t>LFI</w:t>
      </w:r>
      <w:r w:rsidRPr="000C5FF1">
        <w:rPr>
          <w:rFonts w:cs="Times New Roman"/>
          <w:szCs w:val="24"/>
          <w:lang w:val="fr-CA"/>
        </w:rPr>
        <w:t xml:space="preserve">, soit parce qu’elle </w:t>
      </w:r>
      <w:r w:rsidR="00F27A93">
        <w:rPr>
          <w:rFonts w:cs="Times New Roman"/>
          <w:szCs w:val="24"/>
          <w:lang w:val="fr-CA"/>
        </w:rPr>
        <w:t xml:space="preserve">a </w:t>
      </w:r>
      <w:r w:rsidRPr="000C5FF1">
        <w:rPr>
          <w:rFonts w:cs="Times New Roman"/>
          <w:szCs w:val="24"/>
          <w:lang w:val="fr-CA"/>
        </w:rPr>
        <w:t xml:space="preserve">pour objet ou pour effet de modifier l’ordre de priorités ou qu’elle modifie le régime de partage prévu par la </w:t>
      </w:r>
      <w:r w:rsidRPr="00116771">
        <w:rPr>
          <w:rFonts w:cs="Times New Roman"/>
          <w:szCs w:val="24"/>
          <w:lang w:val="fr-CA"/>
        </w:rPr>
        <w:t>LFI</w:t>
      </w:r>
      <w:r w:rsidRPr="000C5FF1">
        <w:rPr>
          <w:rFonts w:cs="Times New Roman"/>
          <w:szCs w:val="24"/>
          <w:lang w:val="fr-CA"/>
        </w:rPr>
        <w:t xml:space="preserve"> en cas de faillite » (par. 12). Selon le juge </w:t>
      </w:r>
      <w:proofErr w:type="spellStart"/>
      <w:r w:rsidRPr="000C5FF1">
        <w:rPr>
          <w:rFonts w:cs="Times New Roman"/>
          <w:szCs w:val="24"/>
          <w:lang w:val="fr-CA"/>
        </w:rPr>
        <w:t>Newbould</w:t>
      </w:r>
      <w:proofErr w:type="spellEnd"/>
      <w:r w:rsidRPr="000C5FF1">
        <w:rPr>
          <w:rFonts w:cs="Times New Roman"/>
          <w:szCs w:val="24"/>
          <w:lang w:val="fr-CA"/>
        </w:rPr>
        <w:t>, le par. 22(4) fait partie du « processus de perception et de recouvrement des péages et autres frais » (par. 14). Son objet, de l’avis du juge, « est la perception d’une créance » (</w:t>
      </w:r>
      <w:r w:rsidRPr="000C5FF1">
        <w:rPr>
          <w:rFonts w:cs="Times New Roman"/>
          <w:i/>
          <w:szCs w:val="24"/>
          <w:lang w:val="fr-CA"/>
        </w:rPr>
        <w:t>ibid.</w:t>
      </w:r>
      <w:r w:rsidRPr="000C5FF1">
        <w:rPr>
          <w:rFonts w:cs="Times New Roman"/>
          <w:szCs w:val="24"/>
          <w:lang w:val="fr-CA"/>
        </w:rPr>
        <w:t>).</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Le juge a affirmé que [</w:t>
      </w:r>
      <w:r w:rsidRPr="000C5FF1">
        <w:rPr>
          <w:rFonts w:cs="Times New Roman"/>
          <w:smallCaps/>
          <w:szCs w:val="24"/>
          <w:lang w:val="fr-CA"/>
        </w:rPr>
        <w:t>traduction</w:t>
      </w:r>
      <w:r w:rsidRPr="000C5FF1">
        <w:rPr>
          <w:rFonts w:cs="Times New Roman"/>
          <w:szCs w:val="24"/>
          <w:lang w:val="fr-CA"/>
        </w:rPr>
        <w:t xml:space="preserve">] « l’objectif premier » de la faillite est le « partage équitable des biens d’un débiteur failli entre les créanciers de l’actif » (par. 20). Il a ensuite signalé que le par. 178(2) de la </w:t>
      </w:r>
      <w:r w:rsidRPr="000C5FF1">
        <w:rPr>
          <w:rFonts w:cs="Times New Roman"/>
          <w:i/>
          <w:szCs w:val="24"/>
          <w:lang w:val="fr-CA"/>
        </w:rPr>
        <w:t>LFI</w:t>
      </w:r>
      <w:r w:rsidRPr="000C5FF1">
        <w:rPr>
          <w:rFonts w:cs="Times New Roman"/>
          <w:szCs w:val="24"/>
          <w:lang w:val="fr-CA"/>
        </w:rPr>
        <w:t xml:space="preserve"> n’éteint pas des dettes; il ne fait que libérer le failli de toute réclamation prouvable (par. 16 et 24). Toujours selon le juge, le certificat d’immatriculation d’un véhicule n’appartient pas au débiteur; c’est </w:t>
      </w:r>
      <w:r w:rsidRPr="000C5FF1">
        <w:rPr>
          <w:rFonts w:cs="Times New Roman"/>
          <w:szCs w:val="24"/>
          <w:lang w:val="fr-CA"/>
        </w:rPr>
        <w:lastRenderedPageBreak/>
        <w:t>plutôt un « privilège accordé par un organisme gouvernemental et il n’est pas touché par la faillite » (par. 21). Contrairement à la saisie</w:t>
      </w:r>
      <w:r w:rsidRPr="000C5FF1">
        <w:rPr>
          <w:rFonts w:cs="Times New Roman"/>
          <w:szCs w:val="24"/>
          <w:lang w:val="fr-CA"/>
        </w:rPr>
        <w:noBreakHyphen/>
        <w:t xml:space="preserve">arrêt ou à l’exécution, la suspension d’un certificat d’immatriculation du conducteur « ne peut en aucune façon être considérée comme une étape de la saisie des biens d’un failli » (par. 25). Le juge </w:t>
      </w:r>
      <w:proofErr w:type="spellStart"/>
      <w:r w:rsidRPr="000C5FF1">
        <w:rPr>
          <w:rFonts w:cs="Times New Roman"/>
          <w:szCs w:val="24"/>
          <w:lang w:val="fr-CA"/>
        </w:rPr>
        <w:t>Newbould</w:t>
      </w:r>
      <w:proofErr w:type="spellEnd"/>
      <w:r w:rsidRPr="000C5FF1">
        <w:rPr>
          <w:rFonts w:cs="Times New Roman"/>
          <w:szCs w:val="24"/>
          <w:lang w:val="fr-CA"/>
        </w:rPr>
        <w:t xml:space="preserve"> a conclu que le par. 22(4) n’entrait pas en conflit avec la </w:t>
      </w:r>
      <w:r w:rsidRPr="000C5FF1">
        <w:rPr>
          <w:rFonts w:cs="Times New Roman"/>
          <w:i/>
          <w:szCs w:val="24"/>
          <w:lang w:val="fr-CA"/>
        </w:rPr>
        <w:t>LFI</w:t>
      </w:r>
      <w:r w:rsidRPr="000C5FF1">
        <w:rPr>
          <w:rFonts w:cs="Times New Roman"/>
          <w:szCs w:val="24"/>
          <w:lang w:val="fr-CA"/>
        </w:rPr>
        <w:t xml:space="preserve">, car il n’influait pas sur le partage équitable des biens d’un failli (par. 22 et 24). Enfin, tout en reconnaissant brièvement que la </w:t>
      </w:r>
      <w:r w:rsidRPr="000C5FF1">
        <w:rPr>
          <w:rFonts w:cs="Times New Roman"/>
          <w:i/>
          <w:szCs w:val="24"/>
          <w:lang w:val="fr-CA"/>
        </w:rPr>
        <w:t>LFI</w:t>
      </w:r>
      <w:r w:rsidRPr="000C5FF1">
        <w:rPr>
          <w:rFonts w:cs="Times New Roman"/>
          <w:szCs w:val="24"/>
          <w:lang w:val="fr-CA"/>
        </w:rPr>
        <w:t xml:space="preserve"> vise aussi à permettre la réhabilitation financière des faillis, le juge a conclu qu’en l’absence d’un conflit, il n’était pas compétent pour ordonner le rétablissement des certificats d’immatriculation de véhicule de M. Moore (par. 34</w:t>
      </w:r>
      <w:r w:rsidRPr="000C5FF1">
        <w:rPr>
          <w:rFonts w:cs="Times New Roman"/>
          <w:szCs w:val="24"/>
          <w:lang w:val="fr-CA"/>
        </w:rPr>
        <w:noBreakHyphen/>
        <w:t>35).</w:t>
      </w:r>
      <w:bookmarkStart w:id="10" w:name="_Toc412106203"/>
      <w:bookmarkStart w:id="11" w:name="_Toc415577148"/>
    </w:p>
    <w:p w:rsidR="007E1745" w:rsidRPr="000C5FF1" w:rsidRDefault="007E1745" w:rsidP="00203BA3">
      <w:pPr>
        <w:pStyle w:val="Title2LevelTitre2Niveau"/>
        <w:widowControl w:val="0"/>
        <w:numPr>
          <w:ilvl w:val="1"/>
          <w:numId w:val="8"/>
        </w:numPr>
        <w:spacing w:line="276" w:lineRule="auto"/>
        <w:rPr>
          <w:rFonts w:cs="Times New Roman"/>
          <w:szCs w:val="24"/>
          <w:lang w:val="fr-CA"/>
        </w:rPr>
      </w:pPr>
      <w:r w:rsidRPr="000C5FF1">
        <w:rPr>
          <w:rFonts w:cs="Times New Roman"/>
          <w:szCs w:val="24"/>
          <w:lang w:val="fr-CA"/>
        </w:rPr>
        <w:t>Cour d’appel de l’Ontario, 2013 ONCA 769,</w:t>
      </w:r>
      <w:bookmarkEnd w:id="10"/>
      <w:bookmarkEnd w:id="11"/>
      <w:r w:rsidRPr="000C5FF1">
        <w:rPr>
          <w:rFonts w:cs="Times New Roman"/>
          <w:szCs w:val="24"/>
          <w:lang w:val="fr-CA"/>
        </w:rPr>
        <w:t xml:space="preserve"> 118 O.R. (3d) 161</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Ayant réglé son différend avec ETR, M. Moore n’a pas interjeté appel de l’ordonnance. C’est le surintendant des faillites qui a formé un appel, soucieux qu’il était de l’effet de l’ordonnance de la Cour supérieure de justice sur le régime de faillite. Il a plaidé que le par. 22(4) de la </w:t>
      </w:r>
      <w:r w:rsidRPr="000C5FF1">
        <w:rPr>
          <w:rFonts w:cs="Times New Roman"/>
          <w:i/>
          <w:szCs w:val="24"/>
          <w:lang w:val="fr-CA"/>
        </w:rPr>
        <w:t>Loi 407</w:t>
      </w:r>
      <w:r w:rsidRPr="000C5FF1">
        <w:rPr>
          <w:rFonts w:cs="Times New Roman"/>
          <w:szCs w:val="24"/>
          <w:lang w:val="fr-CA"/>
        </w:rPr>
        <w:t xml:space="preserve"> entrait en conflit avec l’application du par. 178(2) de la </w:t>
      </w:r>
      <w:r w:rsidRPr="000C5FF1">
        <w:rPr>
          <w:rFonts w:cs="Times New Roman"/>
          <w:i/>
          <w:szCs w:val="24"/>
          <w:lang w:val="fr-CA"/>
        </w:rPr>
        <w:t>LFI</w:t>
      </w:r>
      <w:r w:rsidRPr="000C5FF1">
        <w:rPr>
          <w:rFonts w:cs="Times New Roman"/>
          <w:szCs w:val="24"/>
          <w:lang w:val="fr-CA"/>
        </w:rPr>
        <w:t xml:space="preserve"> et qu’il entravait la réalisation des objectifs de la faillite.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Dans un arrêt unanime de la Cour d’appel, la juge </w:t>
      </w:r>
      <w:proofErr w:type="spellStart"/>
      <w:r w:rsidRPr="000C5FF1">
        <w:rPr>
          <w:rFonts w:cs="Times New Roman"/>
          <w:szCs w:val="24"/>
          <w:lang w:val="fr-CA"/>
        </w:rPr>
        <w:t>Pepall</w:t>
      </w:r>
      <w:proofErr w:type="spellEnd"/>
      <w:r w:rsidRPr="000C5FF1">
        <w:rPr>
          <w:rFonts w:cs="Times New Roman"/>
          <w:szCs w:val="24"/>
          <w:lang w:val="fr-CA"/>
        </w:rPr>
        <w:t xml:space="preserve"> a relevé que le juge des requêtes ne s’était pas demandé si le par. 22(4) </w:t>
      </w:r>
      <w:r w:rsidRPr="000C5FF1">
        <w:rPr>
          <w:rFonts w:cs="Times New Roman"/>
          <w:lang w:val="fr-CA"/>
        </w:rPr>
        <w:t xml:space="preserve">entravait la réalisation de </w:t>
      </w:r>
      <w:r w:rsidRPr="000C5FF1">
        <w:rPr>
          <w:rFonts w:cs="Times New Roman"/>
          <w:szCs w:val="24"/>
          <w:lang w:val="fr-CA"/>
        </w:rPr>
        <w:t xml:space="preserve">l’objectif de réhabilitation visé par la </w:t>
      </w:r>
      <w:r w:rsidRPr="000C5FF1">
        <w:rPr>
          <w:rFonts w:cs="Times New Roman"/>
          <w:i/>
          <w:szCs w:val="24"/>
          <w:lang w:val="fr-CA"/>
        </w:rPr>
        <w:t>LFI</w:t>
      </w:r>
      <w:r w:rsidRPr="000C5FF1">
        <w:rPr>
          <w:rFonts w:cs="Times New Roman"/>
          <w:szCs w:val="24"/>
          <w:lang w:val="fr-CA"/>
        </w:rPr>
        <w:t xml:space="preserve"> ou donnait lieu à un traitement inégal des créanciers (par. 13 et 45). Selon elle, la </w:t>
      </w:r>
      <w:r w:rsidRPr="000C5FF1">
        <w:rPr>
          <w:rFonts w:cs="Times New Roman"/>
          <w:i/>
          <w:szCs w:val="24"/>
          <w:lang w:val="fr-CA"/>
        </w:rPr>
        <w:t>LFI</w:t>
      </w:r>
      <w:r w:rsidRPr="000C5FF1">
        <w:rPr>
          <w:rFonts w:cs="Times New Roman"/>
          <w:szCs w:val="24"/>
          <w:lang w:val="fr-CA"/>
        </w:rPr>
        <w:t xml:space="preserve"> favorise l’atteinte de deux objectifs distincts : le partage équitable des biens et la réhabilitation financière du failli (par. 29). </w:t>
      </w:r>
      <w:r w:rsidRPr="000C5FF1">
        <w:rPr>
          <w:rFonts w:cs="Times New Roman"/>
          <w:szCs w:val="24"/>
          <w:lang w:val="fr-CA"/>
        </w:rPr>
        <w:lastRenderedPageBreak/>
        <w:t>Elle a également cerné deux types de conflit de lois : le conflit d’application et l’entrave à la réalisation de l’objectif (par. 60). Elle a indiqué que le par. 22(4) a pour objet et pour effet de contraindre le débiteur à payer une dette et que la réclamation d’ETR était prouvable en matière de faillite (par. 26 et 84).</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La juge </w:t>
      </w:r>
      <w:proofErr w:type="spellStart"/>
      <w:r w:rsidRPr="000C5FF1">
        <w:rPr>
          <w:rFonts w:cs="Times New Roman"/>
          <w:szCs w:val="24"/>
          <w:lang w:val="fr-CA"/>
        </w:rPr>
        <w:t>Pepall</w:t>
      </w:r>
      <w:proofErr w:type="spellEnd"/>
      <w:r w:rsidRPr="000C5FF1">
        <w:rPr>
          <w:rFonts w:cs="Times New Roman"/>
          <w:szCs w:val="24"/>
          <w:lang w:val="fr-CA"/>
        </w:rPr>
        <w:t xml:space="preserve"> a conclu à l’absence de conflit d’application. Suivant une [</w:t>
      </w:r>
      <w:r w:rsidRPr="000C5FF1">
        <w:rPr>
          <w:rFonts w:cs="Times New Roman"/>
          <w:smallCaps/>
          <w:szCs w:val="24"/>
          <w:lang w:val="fr-CA"/>
        </w:rPr>
        <w:t>traduction</w:t>
      </w:r>
      <w:r w:rsidRPr="000C5FF1">
        <w:rPr>
          <w:rFonts w:cs="Times New Roman"/>
          <w:szCs w:val="24"/>
          <w:lang w:val="fr-CA"/>
        </w:rPr>
        <w:t xml:space="preserve">] « interprétation stricte » du premier volet de l’analyse fondée sur la doctrine de la prépondérance, elle s’est dite d’avis que le débiteur peut choisir de ne pas demander un certificat d’immatriculation de véhicule tandis qu’ETR peut refuser d’exercer le recours prévu à l’art. 22 de la </w:t>
      </w:r>
      <w:r w:rsidRPr="000C5FF1">
        <w:rPr>
          <w:rFonts w:cs="Times New Roman"/>
          <w:i/>
          <w:szCs w:val="24"/>
          <w:lang w:val="fr-CA"/>
        </w:rPr>
        <w:t>Loi 407</w:t>
      </w:r>
      <w:r w:rsidRPr="000C5FF1">
        <w:rPr>
          <w:rFonts w:cs="Times New Roman"/>
          <w:szCs w:val="24"/>
          <w:lang w:val="fr-CA"/>
        </w:rPr>
        <w:t xml:space="preserve"> (par. 86, 90 et 92</w:t>
      </w:r>
      <w:r w:rsidRPr="000C5FF1">
        <w:rPr>
          <w:rFonts w:cs="Times New Roman"/>
          <w:szCs w:val="24"/>
          <w:lang w:val="fr-CA"/>
        </w:rPr>
        <w:noBreakHyphen/>
        <w:t xml:space="preserve">93). Elle a toutefois jugé que le par. 22(4) </w:t>
      </w:r>
      <w:r w:rsidRPr="000C5FF1">
        <w:rPr>
          <w:rFonts w:cs="Times New Roman"/>
          <w:lang w:val="fr-CA"/>
        </w:rPr>
        <w:t xml:space="preserve">entravait la réalisation de </w:t>
      </w:r>
      <w:r w:rsidRPr="000C5FF1">
        <w:rPr>
          <w:rFonts w:cs="Times New Roman"/>
          <w:szCs w:val="24"/>
          <w:lang w:val="fr-CA"/>
        </w:rPr>
        <w:t xml:space="preserve">l’objectif de réhabilitation visé par la </w:t>
      </w:r>
      <w:r w:rsidRPr="000C5FF1">
        <w:rPr>
          <w:rFonts w:cs="Times New Roman"/>
          <w:i/>
          <w:szCs w:val="24"/>
          <w:lang w:val="fr-CA"/>
        </w:rPr>
        <w:t>LFI</w:t>
      </w:r>
      <w:r w:rsidRPr="000C5FF1">
        <w:rPr>
          <w:rFonts w:cs="Times New Roman"/>
          <w:szCs w:val="24"/>
          <w:lang w:val="fr-CA"/>
        </w:rPr>
        <w:t xml:space="preserve">. L’objectif de la faillite est de donner au débiteur la « faculté de repartir à neuf sans être entravé par son endettement antérieur » (par. 99). Puisque la loi provinciale avait pour objet et pour effet le recouvrement des créances (par. 108), et que le refus de délivrer un certificat d’immatriculation de véhicule peut causer de grandes difficultés à un failli </w:t>
      </w:r>
      <w:proofErr w:type="gramStart"/>
      <w:r w:rsidRPr="000C5FF1">
        <w:rPr>
          <w:rFonts w:cs="Times New Roman"/>
          <w:szCs w:val="24"/>
          <w:lang w:val="fr-CA"/>
        </w:rPr>
        <w:t>libéré</w:t>
      </w:r>
      <w:proofErr w:type="gramEnd"/>
      <w:r w:rsidRPr="000C5FF1">
        <w:rPr>
          <w:rFonts w:cs="Times New Roman"/>
          <w:szCs w:val="24"/>
          <w:lang w:val="fr-CA"/>
        </w:rPr>
        <w:t xml:space="preserve">, la Cour d’appel a conclu que le par. 22(4) était incompatible avec l’objectif de réhabilitation financière visé par la </w:t>
      </w:r>
      <w:r w:rsidRPr="000C5FF1">
        <w:rPr>
          <w:rFonts w:cs="Times New Roman"/>
          <w:i/>
          <w:szCs w:val="24"/>
          <w:lang w:val="fr-CA"/>
        </w:rPr>
        <w:t>LFI</w:t>
      </w:r>
      <w:r w:rsidRPr="000C5FF1">
        <w:rPr>
          <w:rFonts w:cs="Times New Roman"/>
          <w:szCs w:val="24"/>
          <w:lang w:val="fr-CA"/>
        </w:rPr>
        <w:t xml:space="preserve"> (par. 113 et 115</w:t>
      </w:r>
      <w:r w:rsidRPr="000C5FF1">
        <w:rPr>
          <w:rFonts w:cs="Times New Roman"/>
          <w:szCs w:val="24"/>
          <w:lang w:val="fr-CA"/>
        </w:rPr>
        <w:noBreakHyphen/>
        <w:t>116). Compte tenu de cette conclusion, la Cour d’appel s’est abstenue d’aborder la question de savoir si la loi provinciale faisait également obstacle à l’intention du Parlement de traiter équitablement tous les créanciers non garantis (par. 117). Comme le débiteur était libéré de la créance d’ETR, la Cour d’appel a ordonné au ministre des Transports de délivrer des plaques d’immatriculation à M. Moore contre paiement des droits applicables. Elle a déclaré le par. 22(4) inopérant dans la mesure où il entr</w:t>
      </w:r>
      <w:r w:rsidRPr="000C5FF1">
        <w:rPr>
          <w:rFonts w:cs="Times New Roman"/>
          <w:lang w:val="fr-CA"/>
        </w:rPr>
        <w:t>ait</w:t>
      </w:r>
      <w:r w:rsidRPr="000C5FF1">
        <w:rPr>
          <w:rFonts w:cs="Times New Roman"/>
          <w:szCs w:val="24"/>
          <w:lang w:val="fr-CA"/>
        </w:rPr>
        <w:t xml:space="preserve"> en conflit </w:t>
      </w:r>
      <w:r w:rsidRPr="000C5FF1">
        <w:rPr>
          <w:rFonts w:cs="Times New Roman"/>
          <w:szCs w:val="24"/>
          <w:lang w:val="fr-CA"/>
        </w:rPr>
        <w:lastRenderedPageBreak/>
        <w:t xml:space="preserve">avec l’objectif visant à permettre au failli </w:t>
      </w:r>
      <w:proofErr w:type="gramStart"/>
      <w:r w:rsidRPr="000C5FF1">
        <w:rPr>
          <w:rFonts w:cs="Times New Roman"/>
          <w:szCs w:val="24"/>
          <w:lang w:val="fr-CA"/>
        </w:rPr>
        <w:t>libéré</w:t>
      </w:r>
      <w:proofErr w:type="gramEnd"/>
      <w:r w:rsidRPr="000C5FF1">
        <w:rPr>
          <w:rFonts w:cs="Times New Roman"/>
          <w:szCs w:val="24"/>
          <w:lang w:val="fr-CA"/>
        </w:rPr>
        <w:t xml:space="preserve"> de prendre un nouveau départ (par. 118).</w:t>
      </w:r>
    </w:p>
    <w:p w:rsidR="007E1745" w:rsidRPr="000C5FF1" w:rsidRDefault="007E1745" w:rsidP="00203BA3">
      <w:pPr>
        <w:pStyle w:val="Title1LevelTitre1Niveau-AltL"/>
        <w:widowControl w:val="0"/>
        <w:rPr>
          <w:rFonts w:cs="Times New Roman"/>
        </w:rPr>
      </w:pPr>
      <w:bookmarkStart w:id="12" w:name="_Toc412106204"/>
      <w:bookmarkStart w:id="13" w:name="_Toc415577149"/>
      <w:r w:rsidRPr="000C5FF1">
        <w:rPr>
          <w:rFonts w:cs="Times New Roman"/>
        </w:rPr>
        <w:t xml:space="preserve">Question </w:t>
      </w:r>
      <w:proofErr w:type="spellStart"/>
      <w:r w:rsidRPr="000C5FF1">
        <w:rPr>
          <w:rFonts w:cs="Times New Roman"/>
        </w:rPr>
        <w:t>en</w:t>
      </w:r>
      <w:proofErr w:type="spellEnd"/>
      <w:r w:rsidRPr="000C5FF1">
        <w:rPr>
          <w:rFonts w:cs="Times New Roman"/>
        </w:rPr>
        <w:t xml:space="preserve"> </w:t>
      </w:r>
      <w:proofErr w:type="spellStart"/>
      <w:r w:rsidRPr="000C5FF1">
        <w:rPr>
          <w:rFonts w:cs="Times New Roman"/>
        </w:rPr>
        <w:t>litige</w:t>
      </w:r>
      <w:bookmarkEnd w:id="12"/>
      <w:bookmarkEnd w:id="13"/>
      <w:proofErr w:type="spellEnd"/>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La Juge en chef a formulé la question constitutionnelle suivante :</w:t>
      </w:r>
    </w:p>
    <w:p w:rsidR="007E1745" w:rsidRPr="000C5FF1" w:rsidRDefault="007E1745" w:rsidP="00203BA3">
      <w:pPr>
        <w:pStyle w:val="Citation-AltC"/>
        <w:widowControl w:val="0"/>
        <w:ind w:hanging="1166"/>
        <w:rPr>
          <w:lang w:val="fr-CA"/>
        </w:rPr>
      </w:pPr>
      <w:r w:rsidRPr="000C5FF1">
        <w:rPr>
          <w:lang w:val="fr-CA"/>
        </w:rPr>
        <w:tab/>
        <w:t xml:space="preserve">Le paragraphe 22(4) de la </w:t>
      </w:r>
      <w:r w:rsidRPr="000C5FF1">
        <w:rPr>
          <w:i/>
          <w:lang w:val="fr-CA"/>
        </w:rPr>
        <w:t>Loi de 1998</w:t>
      </w:r>
      <w:r w:rsidRPr="000C5FF1">
        <w:rPr>
          <w:lang w:val="fr-CA"/>
        </w:rPr>
        <w:t xml:space="preserve"> </w:t>
      </w:r>
      <w:r w:rsidRPr="000C5FF1">
        <w:rPr>
          <w:i/>
          <w:lang w:val="fr-CA"/>
        </w:rPr>
        <w:t>sur l’autoroute 407</w:t>
      </w:r>
      <w:r w:rsidRPr="000C5FF1">
        <w:rPr>
          <w:lang w:val="fr-CA"/>
        </w:rPr>
        <w:t>, L.O. 1998, c. 28, est</w:t>
      </w:r>
      <w:r w:rsidRPr="000C5FF1">
        <w:rPr>
          <w:lang w:val="fr-CA"/>
        </w:rPr>
        <w:noBreakHyphen/>
        <w:t xml:space="preserve">il inopérant sur le plan constitutionnel en raison de la doctrine de la prépondérance des lois fédérales, eu égard à la </w:t>
      </w:r>
      <w:r w:rsidRPr="000C5FF1">
        <w:rPr>
          <w:i/>
          <w:lang w:val="fr-CA"/>
        </w:rPr>
        <w:t>Loi sur la faillite et l’insolvabilité</w:t>
      </w:r>
      <w:r w:rsidRPr="000C5FF1">
        <w:rPr>
          <w:lang w:val="fr-CA"/>
        </w:rPr>
        <w:t>, L.R.C. 1985, c. B</w:t>
      </w:r>
      <w:r w:rsidRPr="000C5FF1">
        <w:rPr>
          <w:lang w:val="fr-CA"/>
        </w:rPr>
        <w:noBreakHyphen/>
        <w:t>3?</w:t>
      </w:r>
    </w:p>
    <w:p w:rsidR="007E1745" w:rsidRPr="000C5FF1" w:rsidRDefault="007E1745" w:rsidP="00203BA3">
      <w:pPr>
        <w:pStyle w:val="Title1LevelTitre1Niveau-AltL"/>
        <w:widowControl w:val="0"/>
        <w:numPr>
          <w:ilvl w:val="0"/>
          <w:numId w:val="8"/>
        </w:numPr>
        <w:spacing w:line="276" w:lineRule="auto"/>
        <w:rPr>
          <w:rFonts w:cs="Times New Roman"/>
          <w:szCs w:val="24"/>
        </w:rPr>
      </w:pPr>
      <w:bookmarkStart w:id="14" w:name="_Toc412106205"/>
      <w:bookmarkStart w:id="15" w:name="_Toc415577150"/>
      <w:r w:rsidRPr="000C5FF1">
        <w:rPr>
          <w:rFonts w:cs="Times New Roman"/>
          <w:szCs w:val="24"/>
        </w:rPr>
        <w:t>Analyse</w:t>
      </w:r>
      <w:bookmarkEnd w:id="14"/>
      <w:bookmarkEnd w:id="15"/>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Dans l’arrêt connexe, je traite en détail des principes de la doctrine de la prépondérance fédérale ainsi que les objectifs et les dispositions applicables de la </w:t>
      </w:r>
      <w:r w:rsidRPr="000C5FF1">
        <w:rPr>
          <w:rFonts w:cs="Times New Roman"/>
          <w:i/>
          <w:szCs w:val="24"/>
          <w:lang w:val="fr-CA"/>
        </w:rPr>
        <w:t>LFI</w:t>
      </w:r>
      <w:r w:rsidRPr="000C5FF1">
        <w:rPr>
          <w:rFonts w:cs="Times New Roman"/>
          <w:szCs w:val="24"/>
          <w:lang w:val="fr-CA"/>
        </w:rPr>
        <w:t xml:space="preserve">. Tout comme dans le pourvoi connexe, il n’y a aucun désaccord en l’espèce au sujet de la validité de la loi provinciale et de la loi fédérale indépendamment l’une de l’autre. L’article 22 de la </w:t>
      </w:r>
      <w:r w:rsidRPr="000C5FF1">
        <w:rPr>
          <w:rFonts w:cs="Times New Roman"/>
          <w:i/>
          <w:szCs w:val="24"/>
          <w:lang w:val="fr-CA"/>
        </w:rPr>
        <w:t>Loi 407</w:t>
      </w:r>
      <w:r w:rsidRPr="000C5FF1">
        <w:rPr>
          <w:rFonts w:cs="Times New Roman"/>
          <w:szCs w:val="24"/>
          <w:lang w:val="fr-CA"/>
        </w:rPr>
        <w:t xml:space="preserve"> et l’art. 178 de la </w:t>
      </w:r>
      <w:r w:rsidRPr="000C5FF1">
        <w:rPr>
          <w:rFonts w:cs="Times New Roman"/>
          <w:i/>
          <w:szCs w:val="24"/>
          <w:lang w:val="fr-CA"/>
        </w:rPr>
        <w:t>LFI</w:t>
      </w:r>
      <w:r w:rsidRPr="000C5FF1">
        <w:rPr>
          <w:rFonts w:cs="Times New Roman"/>
          <w:szCs w:val="24"/>
          <w:lang w:val="fr-CA"/>
        </w:rPr>
        <w:t xml:space="preserve"> ont été validement adoptés par leurs ordres de gouvernement respectifs. La seule question soumise à la Cour est de savoir si leur application concurrente engendre un conflit. Partant de mes commentaires dans l’arrêt connexe, je n’ai qu’à examiner le par. 22(4) de la </w:t>
      </w:r>
      <w:r w:rsidRPr="000C5FF1">
        <w:rPr>
          <w:rFonts w:cs="Times New Roman"/>
          <w:i/>
          <w:szCs w:val="24"/>
          <w:lang w:val="fr-CA"/>
        </w:rPr>
        <w:t>Loi 407</w:t>
      </w:r>
      <w:r w:rsidRPr="000C5FF1">
        <w:rPr>
          <w:rFonts w:cs="Times New Roman"/>
          <w:szCs w:val="24"/>
          <w:lang w:val="fr-CA"/>
        </w:rPr>
        <w:t xml:space="preserve"> et à déterminer son sens véritable et son effet réel dans le contexte de la faillite avant d’appliquer la doctrine de la prépondérance.</w:t>
      </w:r>
    </w:p>
    <w:p w:rsidR="007E1745" w:rsidRPr="000C5FF1" w:rsidRDefault="007E1745" w:rsidP="00203BA3">
      <w:pPr>
        <w:pStyle w:val="Title2LevelTitre2Niveau"/>
        <w:widowControl w:val="0"/>
        <w:rPr>
          <w:rFonts w:cs="Times New Roman"/>
          <w:szCs w:val="24"/>
        </w:rPr>
      </w:pPr>
      <w:r w:rsidRPr="000C5FF1">
        <w:rPr>
          <w:rFonts w:cs="Times New Roman"/>
          <w:szCs w:val="24"/>
        </w:rPr>
        <w:t xml:space="preserve">La </w:t>
      </w:r>
      <w:proofErr w:type="spellStart"/>
      <w:r w:rsidRPr="000C5FF1">
        <w:rPr>
          <w:rFonts w:cs="Times New Roman"/>
          <w:szCs w:val="24"/>
        </w:rPr>
        <w:t>Loi</w:t>
      </w:r>
      <w:proofErr w:type="spellEnd"/>
      <w:r w:rsidRPr="000C5FF1">
        <w:rPr>
          <w:rFonts w:cs="Times New Roman"/>
          <w:szCs w:val="24"/>
        </w:rPr>
        <w:t xml:space="preserve"> 407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lastRenderedPageBreak/>
        <w:t xml:space="preserve">Il ne fait aucun doute que la </w:t>
      </w:r>
      <w:r w:rsidRPr="000C5FF1">
        <w:rPr>
          <w:rFonts w:cs="Times New Roman"/>
          <w:i/>
          <w:szCs w:val="24"/>
          <w:lang w:val="fr-CA"/>
        </w:rPr>
        <w:t>Loi 407</w:t>
      </w:r>
      <w:r w:rsidRPr="000C5FF1">
        <w:rPr>
          <w:rFonts w:cs="Times New Roman"/>
          <w:szCs w:val="24"/>
          <w:lang w:val="fr-CA"/>
        </w:rPr>
        <w:t xml:space="preserve"> crée essentiellement un mécanisme de recouvrement de créances. Tel était l’objectif législatif cerné par le juge des requêtes et la Cour d’appel. Le paragraphe 13(3) de cette loi est également sans équivoque :</w:t>
      </w:r>
    </w:p>
    <w:p w:rsidR="007E1745" w:rsidRPr="000C5FF1" w:rsidRDefault="007E1745" w:rsidP="00203BA3">
      <w:pPr>
        <w:pStyle w:val="Citation-AltC"/>
        <w:widowControl w:val="0"/>
        <w:spacing w:after="240"/>
        <w:ind w:hanging="1166"/>
        <w:contextualSpacing w:val="0"/>
        <w:rPr>
          <w:lang w:val="fr-CA"/>
        </w:rPr>
      </w:pPr>
      <w:r w:rsidRPr="000C5FF1">
        <w:rPr>
          <w:b/>
          <w:lang w:val="fr-CA"/>
        </w:rPr>
        <w:tab/>
      </w:r>
      <w:r w:rsidRPr="000C5FF1">
        <w:rPr>
          <w:b/>
          <w:lang w:val="fr-CA"/>
        </w:rPr>
        <w:tab/>
        <w:t xml:space="preserve">13. </w:t>
      </w:r>
      <w:r w:rsidRPr="000C5FF1">
        <w:rPr>
          <w:lang w:val="fr-CA"/>
        </w:rPr>
        <w:t>. . .</w:t>
      </w:r>
    </w:p>
    <w:p w:rsidR="007E1745" w:rsidRPr="000C5FF1" w:rsidRDefault="007E1745" w:rsidP="00203BA3">
      <w:pPr>
        <w:pStyle w:val="Citation-AltC"/>
        <w:widowControl w:val="0"/>
        <w:spacing w:after="240"/>
        <w:ind w:hanging="1166"/>
        <w:contextualSpacing w:val="0"/>
        <w:rPr>
          <w:lang w:val="fr-CA"/>
        </w:rPr>
      </w:pPr>
      <w:r w:rsidRPr="000C5FF1">
        <w:rPr>
          <w:lang w:val="fr-CA"/>
        </w:rPr>
        <w:tab/>
      </w:r>
      <w:r w:rsidRPr="000C5FF1">
        <w:rPr>
          <w:lang w:val="fr-CA"/>
        </w:rPr>
        <w:tab/>
        <w:t xml:space="preserve">(3) Les articles 16 à 25 </w:t>
      </w:r>
      <w:r w:rsidRPr="000C5FF1">
        <w:rPr>
          <w:u w:val="single"/>
          <w:lang w:val="fr-CA"/>
        </w:rPr>
        <w:t>s’appliquent au recouvrement et à la perception des péages et des frais, droits et intérêts y afférents qui sont exigibles, aux termes de la présente loi</w:t>
      </w:r>
      <w:r w:rsidRPr="000C5FF1">
        <w:rPr>
          <w:lang w:val="fr-CA"/>
        </w:rPr>
        <w:t xml:space="preserve">, d’une personne visée au paragraphe (1), sauf si : </w:t>
      </w:r>
    </w:p>
    <w:p w:rsidR="007E1745" w:rsidRPr="000C5FF1" w:rsidRDefault="007E1745" w:rsidP="00203BA3">
      <w:pPr>
        <w:pStyle w:val="Citation-AltC"/>
        <w:widowControl w:val="0"/>
        <w:numPr>
          <w:ilvl w:val="4"/>
          <w:numId w:val="6"/>
        </w:numPr>
        <w:spacing w:after="240"/>
        <w:contextualSpacing w:val="0"/>
        <w:rPr>
          <w:lang w:val="fr-CA"/>
        </w:rPr>
      </w:pPr>
      <w:r w:rsidRPr="000C5FF1">
        <w:rPr>
          <w:lang w:val="fr-CA"/>
        </w:rPr>
        <w:t xml:space="preserve">d’une part, la personne est redevable du paiement de tels péages, frais, droits et intérêts aux termes de l’alinéa (1) b); </w:t>
      </w:r>
    </w:p>
    <w:p w:rsidR="007E1745" w:rsidRPr="000C5FF1" w:rsidRDefault="007E1745" w:rsidP="00203BA3">
      <w:pPr>
        <w:pStyle w:val="Citation-AltC"/>
        <w:widowControl w:val="0"/>
        <w:numPr>
          <w:ilvl w:val="4"/>
          <w:numId w:val="6"/>
        </w:numPr>
        <w:rPr>
          <w:lang w:val="fr-CA"/>
        </w:rPr>
      </w:pPr>
      <w:r w:rsidRPr="000C5FF1">
        <w:rPr>
          <w:lang w:val="fr-CA"/>
        </w:rPr>
        <w:t>d’autre part, l’appareil à péage qui était fixé au véhicule en</w:t>
      </w:r>
      <w:r>
        <w:rPr>
          <w:lang w:val="fr-CA"/>
        </w:rPr>
        <w:t xml:space="preserve"> </w:t>
      </w:r>
      <w:r w:rsidRPr="000C5FF1">
        <w:rPr>
          <w:lang w:val="fr-CA"/>
        </w:rPr>
        <w:t>question a été obtenu sans fournir de renseignements identifiant la partie relative à la plaque d’un certificat d’immatriculation de véhicule.</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Dans </w:t>
      </w:r>
      <w:r w:rsidRPr="000C5FF1">
        <w:rPr>
          <w:rFonts w:cs="Times New Roman"/>
          <w:i/>
          <w:szCs w:val="24"/>
          <w:lang w:val="fr-CA"/>
        </w:rPr>
        <w:t>407 ETR Concession Co. c. Ontario (</w:t>
      </w:r>
      <w:proofErr w:type="spellStart"/>
      <w:r w:rsidRPr="000C5FF1">
        <w:rPr>
          <w:rFonts w:cs="Times New Roman"/>
          <w:i/>
          <w:szCs w:val="24"/>
          <w:lang w:val="fr-CA"/>
        </w:rPr>
        <w:t>Registrar</w:t>
      </w:r>
      <w:proofErr w:type="spellEnd"/>
      <w:r w:rsidRPr="000C5FF1">
        <w:rPr>
          <w:rFonts w:cs="Times New Roman"/>
          <w:i/>
          <w:szCs w:val="24"/>
          <w:lang w:val="fr-CA"/>
        </w:rPr>
        <w:t xml:space="preserve"> of </w:t>
      </w:r>
      <w:proofErr w:type="spellStart"/>
      <w:r w:rsidRPr="000C5FF1">
        <w:rPr>
          <w:rFonts w:cs="Times New Roman"/>
          <w:i/>
          <w:szCs w:val="24"/>
          <w:lang w:val="fr-CA"/>
        </w:rPr>
        <w:t>Motor</w:t>
      </w:r>
      <w:proofErr w:type="spellEnd"/>
      <w:r w:rsidRPr="000C5FF1">
        <w:rPr>
          <w:rFonts w:cs="Times New Roman"/>
          <w:i/>
          <w:szCs w:val="24"/>
          <w:lang w:val="fr-CA"/>
        </w:rPr>
        <w:t xml:space="preserve"> </w:t>
      </w:r>
      <w:proofErr w:type="spellStart"/>
      <w:r w:rsidRPr="000C5FF1">
        <w:rPr>
          <w:rFonts w:cs="Times New Roman"/>
          <w:i/>
          <w:szCs w:val="24"/>
          <w:lang w:val="fr-CA"/>
        </w:rPr>
        <w:t>Vehicles</w:t>
      </w:r>
      <w:proofErr w:type="spellEnd"/>
      <w:r w:rsidRPr="000C5FF1">
        <w:rPr>
          <w:rFonts w:cs="Times New Roman"/>
          <w:i/>
          <w:szCs w:val="24"/>
          <w:lang w:val="fr-CA"/>
        </w:rPr>
        <w:t>)</w:t>
      </w:r>
      <w:r w:rsidRPr="000C5FF1">
        <w:rPr>
          <w:rFonts w:cs="Times New Roman"/>
          <w:szCs w:val="24"/>
          <w:lang w:val="fr-CA"/>
        </w:rPr>
        <w:t xml:space="preserve"> (2005), 82 O.R. (3d) 703 (C.S.J.), la Cour divisionnaire de l’Ontario a analysé en détail la </w:t>
      </w:r>
      <w:r w:rsidRPr="000C5FF1">
        <w:rPr>
          <w:rFonts w:cs="Times New Roman"/>
          <w:i/>
          <w:szCs w:val="24"/>
          <w:lang w:val="fr-CA"/>
        </w:rPr>
        <w:t>Loi 407</w:t>
      </w:r>
      <w:r w:rsidRPr="000C5FF1">
        <w:rPr>
          <w:rFonts w:cs="Times New Roman"/>
          <w:szCs w:val="24"/>
          <w:lang w:val="fr-CA"/>
        </w:rPr>
        <w:t xml:space="preserve"> et exposé son objet ainsi que la nature du processus qu’elle établit :</w:t>
      </w:r>
    </w:p>
    <w:p w:rsidR="007E1745" w:rsidRPr="000C5FF1" w:rsidRDefault="007E1745" w:rsidP="00203BA3">
      <w:pPr>
        <w:pStyle w:val="Citation-AltC"/>
        <w:widowControl w:val="0"/>
        <w:spacing w:after="240"/>
        <w:ind w:left="1168" w:hanging="1168"/>
        <w:contextualSpacing w:val="0"/>
        <w:rPr>
          <w:lang w:val="fr-CA"/>
        </w:rPr>
      </w:pPr>
      <w:r w:rsidRPr="000C5FF1">
        <w:rPr>
          <w:lang w:val="fr-CA"/>
        </w:rPr>
        <w:tab/>
      </w:r>
      <w:r w:rsidRPr="000C5FF1">
        <w:rPr>
          <w:lang w:val="fr-CA"/>
        </w:rPr>
        <w:tab/>
        <w:t>[</w:t>
      </w:r>
      <w:r w:rsidRPr="000C5FF1">
        <w:rPr>
          <w:smallCaps/>
          <w:lang w:val="fr-CA"/>
        </w:rPr>
        <w:t>traduction</w:t>
      </w:r>
      <w:r w:rsidRPr="000C5FF1">
        <w:rPr>
          <w:lang w:val="fr-CA"/>
        </w:rPr>
        <w:t xml:space="preserve">] Comme je l’ai dit précédemment, la Loi avait pour objectifs de privatiser l’exploitation de l’autoroute 407 et, comme cette voie est accessible à tous, de </w:t>
      </w:r>
      <w:r w:rsidRPr="000C5FF1">
        <w:rPr>
          <w:u w:val="single"/>
          <w:lang w:val="fr-CA"/>
        </w:rPr>
        <w:t>fournir au propriétaire un moyen efficace de percevoir le péage</w:t>
      </w:r>
      <w:r w:rsidRPr="000C5FF1">
        <w:rPr>
          <w:lang w:val="fr-CA"/>
        </w:rPr>
        <w:t>. Le législateur a reconnu que le refus de délivrer des plaques d’immatriculation est une caractéristique nécessaire d’une autoroute à péage accessible à tous vu le nombre exceptionnellement élevé de transactions, les faibles soldes et le coût des autres modes de perception de créance. . .</w:t>
      </w:r>
    </w:p>
    <w:p w:rsidR="007E1745" w:rsidRPr="000C5FF1" w:rsidRDefault="007E1745" w:rsidP="00203BA3">
      <w:pPr>
        <w:pStyle w:val="Citation-AltC"/>
        <w:widowControl w:val="0"/>
        <w:spacing w:after="240"/>
        <w:ind w:left="1168" w:hanging="1168"/>
        <w:contextualSpacing w:val="0"/>
        <w:jc w:val="center"/>
        <w:rPr>
          <w:lang w:val="fr-CA"/>
        </w:rPr>
      </w:pPr>
      <w:r w:rsidRPr="000C5FF1">
        <w:rPr>
          <w:lang w:val="fr-CA"/>
        </w:rPr>
        <w:t>. . .</w:t>
      </w:r>
    </w:p>
    <w:p w:rsidR="007E1745" w:rsidRPr="000C5FF1" w:rsidRDefault="007E1745" w:rsidP="00203BA3">
      <w:pPr>
        <w:pStyle w:val="Citation-AltC"/>
        <w:widowControl w:val="0"/>
        <w:ind w:left="1168" w:hanging="1168"/>
        <w:contextualSpacing w:val="0"/>
        <w:rPr>
          <w:lang w:val="fr-CA"/>
        </w:rPr>
      </w:pPr>
      <w:r w:rsidRPr="000C5FF1">
        <w:rPr>
          <w:lang w:val="fr-CA"/>
        </w:rPr>
        <w:tab/>
      </w:r>
      <w:r w:rsidRPr="000C5FF1">
        <w:rPr>
          <w:lang w:val="fr-CA"/>
        </w:rPr>
        <w:tab/>
        <w:t xml:space="preserve">Les articles 16 à 25 de la Loi décrivent le </w:t>
      </w:r>
      <w:r w:rsidRPr="000C5FF1">
        <w:rPr>
          <w:u w:val="single"/>
          <w:lang w:val="fr-CA"/>
        </w:rPr>
        <w:t>processus par lequel les péages et les autres frais sont perçus et recouvrés</w:t>
      </w:r>
      <w:r w:rsidRPr="000C5FF1">
        <w:rPr>
          <w:lang w:val="fr-CA"/>
        </w:rPr>
        <w:t xml:space="preserve">. [Je souligne; par. 27 et 29.]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L’appelante concède que le par. 22(4) prévoit un mécanisme de perception </w:t>
      </w:r>
      <w:r w:rsidRPr="000C5FF1">
        <w:rPr>
          <w:rFonts w:cs="Times New Roman"/>
          <w:szCs w:val="24"/>
          <w:lang w:val="fr-CA"/>
        </w:rPr>
        <w:lastRenderedPageBreak/>
        <w:t>et de recouvrement de créances. L’appelante ne conteste pas non plus que, dans le contexte du présent pourvoi, la dette de péage en cours de recouvrement est une réclamation prouvable en matière de faillite. L’appelante plaide toutefois que la Cour d’appel a commis une erreur dans son analyse relative à l’objet de l’art. 22 et au bien</w:t>
      </w:r>
      <w:r w:rsidRPr="000C5FF1">
        <w:rPr>
          <w:rFonts w:cs="Times New Roman"/>
          <w:szCs w:val="24"/>
          <w:lang w:val="fr-CA"/>
        </w:rPr>
        <w:noBreakHyphen/>
        <w:t>fondé du partenariat public</w:t>
      </w:r>
      <w:r w:rsidRPr="000C5FF1">
        <w:rPr>
          <w:rFonts w:cs="Times New Roman"/>
          <w:szCs w:val="24"/>
          <w:lang w:val="fr-CA"/>
        </w:rPr>
        <w:noBreakHyphen/>
        <w:t>privé mis en œuvre par cette disposition. Elle affirme que l’objet de la loi provinciale et, partant, le bien</w:t>
      </w:r>
      <w:r w:rsidRPr="000C5FF1">
        <w:rPr>
          <w:rFonts w:cs="Times New Roman"/>
          <w:szCs w:val="24"/>
          <w:lang w:val="fr-CA"/>
        </w:rPr>
        <w:noBreakHyphen/>
        <w:t>fondé du partenariat public</w:t>
      </w:r>
      <w:r w:rsidRPr="000C5FF1">
        <w:rPr>
          <w:rFonts w:cs="Times New Roman"/>
          <w:szCs w:val="24"/>
          <w:lang w:val="fr-CA"/>
        </w:rPr>
        <w:noBreakHyphen/>
        <w:t xml:space="preserve">privé, ne sont pas pertinents pour l’analyse fondée sur la doctrine de la prépondérance, qui est axée sur l’application de la loi provinciale. À son avis, l’objectif provincial n’est pertinent qu’au stade de l’analyse relative au partage des compétences.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Je ne suis pas d’accord avec les affirmations de l’appelante. Dans l’arrêt connexe, j’explique que, même si la doctrine de la prépondérance s’attache à l’effet de la loi provinciale, on ne saurait négliger son objet. Il fait partie de l’exercice d’interprétation qui permet d’apprécier l’effet réel de la loi provinciale. Quoi qu’il en soit, je ne crois pas que la Cour d’appel ait estimé [</w:t>
      </w:r>
      <w:r w:rsidRPr="000C5FF1">
        <w:rPr>
          <w:rFonts w:cs="Times New Roman"/>
          <w:smallCaps/>
          <w:szCs w:val="24"/>
          <w:lang w:val="fr-CA"/>
        </w:rPr>
        <w:t>traduction</w:t>
      </w:r>
      <w:r w:rsidRPr="000C5FF1">
        <w:rPr>
          <w:rFonts w:cs="Times New Roman"/>
          <w:szCs w:val="24"/>
          <w:lang w:val="fr-CA"/>
        </w:rPr>
        <w:t>] « insuffisant » le « bien</w:t>
      </w:r>
      <w:r w:rsidRPr="000C5FF1">
        <w:rPr>
          <w:rFonts w:cs="Times New Roman"/>
          <w:szCs w:val="24"/>
          <w:lang w:val="fr-CA"/>
        </w:rPr>
        <w:noBreakHyphen/>
        <w:t>fondé » en soi du partenariat public</w:t>
      </w:r>
      <w:r w:rsidRPr="000C5FF1">
        <w:rPr>
          <w:rFonts w:cs="Times New Roman"/>
          <w:szCs w:val="24"/>
          <w:lang w:val="fr-CA"/>
        </w:rPr>
        <w:noBreakHyphen/>
        <w:t>privé. La Cour d’appel a simplement dit que l’« intervention d’un acteur commercial privé dans une entreprise publique</w:t>
      </w:r>
      <w:r w:rsidRPr="000C5FF1">
        <w:rPr>
          <w:rFonts w:cs="Times New Roman"/>
          <w:szCs w:val="24"/>
          <w:lang w:val="fr-CA"/>
        </w:rPr>
        <w:noBreakHyphen/>
        <w:t xml:space="preserve">privée est </w:t>
      </w:r>
      <w:r w:rsidRPr="000C5FF1">
        <w:rPr>
          <w:rFonts w:cs="Times New Roman"/>
          <w:szCs w:val="24"/>
          <w:u w:val="single"/>
          <w:lang w:val="fr-CA"/>
        </w:rPr>
        <w:t>insuffisante</w:t>
      </w:r>
      <w:r w:rsidRPr="000C5FF1">
        <w:rPr>
          <w:rFonts w:cs="Times New Roman"/>
          <w:szCs w:val="24"/>
          <w:lang w:val="fr-CA"/>
        </w:rPr>
        <w:t xml:space="preserve"> [. . .] pour écarter l’incompatibilité évidente avec [. . .] la </w:t>
      </w:r>
      <w:r w:rsidRPr="000C5FF1">
        <w:rPr>
          <w:rFonts w:cs="Times New Roman"/>
          <w:i/>
          <w:szCs w:val="24"/>
          <w:lang w:val="fr-CA"/>
        </w:rPr>
        <w:t>LFI </w:t>
      </w:r>
      <w:r w:rsidRPr="000C5FF1">
        <w:rPr>
          <w:rFonts w:cs="Times New Roman"/>
          <w:szCs w:val="24"/>
          <w:lang w:val="fr-CA"/>
        </w:rPr>
        <w:t>» (par. 111 (je souligne)). ETR a soutenu devant la Cour d’appel que le mécanisme de recouvrement servait l’intérêt public en ce sens qu’il assurait le succès de l’exploitation de l’autoroute dans un partenariat public</w:t>
      </w:r>
      <w:r w:rsidRPr="000C5FF1">
        <w:rPr>
          <w:rFonts w:cs="Times New Roman"/>
          <w:szCs w:val="24"/>
          <w:lang w:val="fr-CA"/>
        </w:rPr>
        <w:noBreakHyphen/>
        <w:t xml:space="preserve">privé. La Cour d’appel a répondu à cet argument en statuant que le par. 22(4) avait pour objet et pour effet de contraindre le débiteur à payer ses dettes de péage (par. 108). Elle a rejeté l’argument de l’appelante </w:t>
      </w:r>
      <w:r w:rsidRPr="000C5FF1">
        <w:rPr>
          <w:rFonts w:cs="Times New Roman"/>
          <w:szCs w:val="24"/>
          <w:lang w:val="fr-CA"/>
        </w:rPr>
        <w:lastRenderedPageBreak/>
        <w:t>selon lequel l’existence du partenariat public</w:t>
      </w:r>
      <w:r w:rsidRPr="000C5FF1">
        <w:rPr>
          <w:rFonts w:cs="Times New Roman"/>
          <w:szCs w:val="24"/>
          <w:lang w:val="fr-CA"/>
        </w:rPr>
        <w:noBreakHyphen/>
        <w:t>privé et la possibilité qu’il favorise l’intérêt public puissent en quelque sorte effacer le conflit engendré par l’effet réel du mécanisme. C’est dans ce sens que le partenariat public</w:t>
      </w:r>
      <w:r w:rsidRPr="000C5FF1">
        <w:rPr>
          <w:rFonts w:cs="Times New Roman"/>
          <w:szCs w:val="24"/>
          <w:lang w:val="fr-CA"/>
        </w:rPr>
        <w:noBreakHyphen/>
        <w:t>privé était « </w:t>
      </w:r>
      <w:proofErr w:type="spellStart"/>
      <w:r w:rsidRPr="000C5FF1">
        <w:rPr>
          <w:rFonts w:cs="Times New Roman"/>
          <w:szCs w:val="24"/>
          <w:lang w:val="fr-CA"/>
        </w:rPr>
        <w:t>insuffisan</w:t>
      </w:r>
      <w:proofErr w:type="spellEnd"/>
      <w:r w:rsidR="00116771">
        <w:rPr>
          <w:rFonts w:cs="Times New Roman"/>
          <w:szCs w:val="24"/>
          <w:lang w:val="fr-CA"/>
        </w:rPr>
        <w:t>[</w:t>
      </w:r>
      <w:r w:rsidRPr="000C5FF1">
        <w:rPr>
          <w:rFonts w:cs="Times New Roman"/>
          <w:szCs w:val="24"/>
          <w:lang w:val="fr-CA"/>
        </w:rPr>
        <w:t>t</w:t>
      </w:r>
      <w:r w:rsidR="00116771">
        <w:rPr>
          <w:rFonts w:cs="Times New Roman"/>
          <w:szCs w:val="24"/>
          <w:lang w:val="fr-CA"/>
        </w:rPr>
        <w:t>]</w:t>
      </w:r>
      <w:r w:rsidRPr="000C5FF1">
        <w:rPr>
          <w:rFonts w:cs="Times New Roman"/>
          <w:szCs w:val="24"/>
          <w:lang w:val="fr-CA"/>
        </w:rPr>
        <w:t xml:space="preserve"> [. .</w:t>
      </w:r>
      <w:r w:rsidR="007354A2">
        <w:rPr>
          <w:rFonts w:cs="Times New Roman"/>
          <w:szCs w:val="24"/>
          <w:lang w:val="fr-CA"/>
        </w:rPr>
        <w:t xml:space="preserve"> </w:t>
      </w:r>
      <w:r w:rsidRPr="000C5FF1">
        <w:rPr>
          <w:rFonts w:cs="Times New Roman"/>
          <w:szCs w:val="24"/>
          <w:lang w:val="fr-CA"/>
        </w:rPr>
        <w:t xml:space="preserve">.] pour écarter l’incompatibilité évidente » entre le régime provincial et la </w:t>
      </w:r>
      <w:r w:rsidRPr="000C5FF1">
        <w:rPr>
          <w:rFonts w:cs="Times New Roman"/>
          <w:i/>
          <w:szCs w:val="24"/>
          <w:lang w:val="fr-CA"/>
        </w:rPr>
        <w:t>LFI</w:t>
      </w:r>
      <w:r w:rsidRPr="000C5FF1">
        <w:rPr>
          <w:rFonts w:cs="Times New Roman"/>
          <w:szCs w:val="24"/>
          <w:lang w:val="fr-CA"/>
        </w:rPr>
        <w:t xml:space="preserv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En conséquence, je suis d’accord avec la Cour d’appel pour dire que le par. 22(4) de la </w:t>
      </w:r>
      <w:r w:rsidRPr="000C5FF1">
        <w:rPr>
          <w:rFonts w:cs="Times New Roman"/>
          <w:i/>
          <w:szCs w:val="24"/>
          <w:lang w:val="fr-CA"/>
        </w:rPr>
        <w:t>Loi 407</w:t>
      </w:r>
      <w:r w:rsidRPr="000C5FF1">
        <w:rPr>
          <w:rFonts w:cs="Times New Roman"/>
          <w:szCs w:val="24"/>
          <w:lang w:val="fr-CA"/>
        </w:rPr>
        <w:t xml:space="preserve"> a pour objet et pour effet de permettre à un créancier, ETR, de contraindre le débiteur à payer une dette de péage qui, dans le contexte du présent pourvoi, constitue une réclamation prouvable en matière de faillite. Il reste à décider si ce mécanisme de recouvrement est contraire au par. 178(2) de la </w:t>
      </w:r>
      <w:r w:rsidRPr="000C5FF1">
        <w:rPr>
          <w:rFonts w:cs="Times New Roman"/>
          <w:i/>
          <w:szCs w:val="24"/>
          <w:lang w:val="fr-CA"/>
        </w:rPr>
        <w:t>LFI</w:t>
      </w:r>
      <w:r w:rsidRPr="000C5FF1">
        <w:rPr>
          <w:rFonts w:cs="Times New Roman"/>
          <w:szCs w:val="24"/>
          <w:lang w:val="fr-CA"/>
        </w:rPr>
        <w:t>.</w:t>
      </w:r>
    </w:p>
    <w:p w:rsidR="007E1745" w:rsidRPr="000C5FF1" w:rsidRDefault="007E1745" w:rsidP="00203BA3">
      <w:pPr>
        <w:pStyle w:val="Title2LevelTitre2Niveau"/>
        <w:widowControl w:val="0"/>
        <w:rPr>
          <w:rFonts w:cs="Times New Roman"/>
          <w:szCs w:val="24"/>
        </w:rPr>
      </w:pPr>
      <w:proofErr w:type="spellStart"/>
      <w:r w:rsidRPr="000C5FF1">
        <w:rPr>
          <w:rFonts w:cs="Times New Roman"/>
          <w:szCs w:val="24"/>
        </w:rPr>
        <w:t>Conflit</w:t>
      </w:r>
      <w:proofErr w:type="spellEnd"/>
      <w:r w:rsidRPr="000C5FF1">
        <w:rPr>
          <w:rFonts w:cs="Times New Roman"/>
          <w:szCs w:val="24"/>
        </w:rPr>
        <w:t xml:space="preserve"> </w:t>
      </w:r>
      <w:proofErr w:type="spellStart"/>
      <w:r w:rsidRPr="000C5FF1">
        <w:rPr>
          <w:rFonts w:cs="Times New Roman"/>
          <w:szCs w:val="24"/>
        </w:rPr>
        <w:t>d’application</w:t>
      </w:r>
      <w:proofErr w:type="spellEnd"/>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Dans l’arrêt connexe, j’indique ce que je considère être un énoncé correct du volet « conflit d’application » de l’analyse fondée sur la doctrine de la prépondérance : est</w:t>
      </w:r>
      <w:r w:rsidRPr="000C5FF1">
        <w:rPr>
          <w:rFonts w:cs="Times New Roman"/>
          <w:szCs w:val="24"/>
          <w:lang w:val="fr-CA"/>
        </w:rPr>
        <w:noBreakHyphen/>
        <w:t xml:space="preserve">il possible pour une personne de se conformer à la loi provinciale sans déroger à la loi fédérale? En l’espèce, la Cour d’appel a jugé qu’il n’y avait aucun conflit d’application. Selon elle, le débiteur n’était pas tenu de payer sa dette de péage et pouvait renoncer à son certificat d’immatriculation de véhicule (par. 86), tandis qu’ETR pouvait se conformer aux deux lois en refusant d’exercer le recours que lui accordait l’art. 22 de la </w:t>
      </w:r>
      <w:r w:rsidRPr="000C5FF1">
        <w:rPr>
          <w:rFonts w:cs="Times New Roman"/>
          <w:i/>
          <w:szCs w:val="24"/>
          <w:lang w:val="fr-CA"/>
        </w:rPr>
        <w:t>Loi 407</w:t>
      </w:r>
      <w:r w:rsidRPr="000C5FF1">
        <w:rPr>
          <w:rFonts w:cs="Times New Roman"/>
          <w:szCs w:val="24"/>
          <w:lang w:val="fr-CA"/>
        </w:rPr>
        <w:t xml:space="preserve"> (par. 90). Même si la Cour d’appel a reconnu qu’en ce qui a trait au recouvrement d’une créance auprès d’un failli </w:t>
      </w:r>
      <w:proofErr w:type="gramStart"/>
      <w:r w:rsidRPr="000C5FF1">
        <w:rPr>
          <w:rFonts w:cs="Times New Roman"/>
          <w:szCs w:val="24"/>
          <w:lang w:val="fr-CA"/>
        </w:rPr>
        <w:t>libéré</w:t>
      </w:r>
      <w:proofErr w:type="gramEnd"/>
      <w:r w:rsidRPr="000C5FF1">
        <w:rPr>
          <w:rFonts w:cs="Times New Roman"/>
          <w:szCs w:val="24"/>
          <w:lang w:val="fr-CA"/>
        </w:rPr>
        <w:t xml:space="preserve">, la </w:t>
      </w:r>
      <w:r w:rsidRPr="000C5FF1">
        <w:rPr>
          <w:rFonts w:cs="Times New Roman"/>
          <w:i/>
          <w:szCs w:val="24"/>
          <w:lang w:val="fr-CA"/>
        </w:rPr>
        <w:t>LFI</w:t>
      </w:r>
      <w:r w:rsidRPr="000C5FF1">
        <w:rPr>
          <w:rFonts w:cs="Times New Roman"/>
          <w:szCs w:val="24"/>
          <w:lang w:val="fr-CA"/>
        </w:rPr>
        <w:t xml:space="preserve"> disait « non » alors que la </w:t>
      </w:r>
      <w:r w:rsidRPr="000C5FF1">
        <w:rPr>
          <w:rFonts w:cs="Times New Roman"/>
          <w:i/>
          <w:szCs w:val="24"/>
          <w:lang w:val="fr-CA"/>
        </w:rPr>
        <w:t>Loi 407</w:t>
      </w:r>
      <w:r w:rsidRPr="000C5FF1">
        <w:rPr>
          <w:rFonts w:cs="Times New Roman"/>
          <w:szCs w:val="24"/>
          <w:lang w:val="fr-CA"/>
        </w:rPr>
        <w:t xml:space="preserve"> disait « oui » (par. 91), elle a néanmoins conclu, suivant une interprétation stricte de ce volet de l’analyse, à l’absence de conflit d’application.</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lastRenderedPageBreak/>
        <w:t xml:space="preserve">L’appelante ne conteste pas ce point devant nous, étant d’accord avec la Cour d’appel sur l’absence de conflit d’application. L’intimé se dit d’avis qu’il existe un tel conflit, puisque le par. 178(2) de la </w:t>
      </w:r>
      <w:r w:rsidRPr="000C5FF1">
        <w:rPr>
          <w:rFonts w:cs="Times New Roman"/>
          <w:i/>
          <w:szCs w:val="24"/>
          <w:lang w:val="fr-CA"/>
        </w:rPr>
        <w:t>LFI</w:t>
      </w:r>
      <w:r w:rsidRPr="000C5FF1">
        <w:rPr>
          <w:rFonts w:cs="Times New Roman"/>
          <w:szCs w:val="24"/>
          <w:lang w:val="fr-CA"/>
        </w:rPr>
        <w:t xml:space="preserve"> interdit au créancier d’exiger le paiement des réclamations prouvables après la libération du failli, tandis que le par. 22(4) de la </w:t>
      </w:r>
      <w:r w:rsidRPr="000C5FF1">
        <w:rPr>
          <w:rFonts w:cs="Times New Roman"/>
          <w:i/>
          <w:szCs w:val="24"/>
          <w:lang w:val="fr-CA"/>
        </w:rPr>
        <w:t>Loi 407</w:t>
      </w:r>
      <w:r w:rsidRPr="000C5FF1">
        <w:rPr>
          <w:rFonts w:cs="Times New Roman"/>
          <w:szCs w:val="24"/>
          <w:lang w:val="fr-CA"/>
        </w:rPr>
        <w:t xml:space="preserve"> permet à ETR d’exiger le paiement de sa réclamation prouvable malgré la libération. Dans ses motifs concordants, ma collègue la juge Côté se dit d’accord avec la Cour d’appel et l’appelante. Dans le pourvoi connexe, j’explique pourquoi je suis en désaccord avec sa compréhension du premier volet de l’analyse fondée sur la doctrine de la prépondérance dans une situation comme celle en l’espèce.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À mon avis, l’intimé a raison sur la question du conflit d’application. Selon le par. 178(2) de la </w:t>
      </w:r>
      <w:r w:rsidRPr="000C5FF1">
        <w:rPr>
          <w:rFonts w:cs="Times New Roman"/>
          <w:i/>
          <w:szCs w:val="24"/>
          <w:lang w:val="fr-CA"/>
        </w:rPr>
        <w:t>LFI</w:t>
      </w:r>
      <w:r w:rsidRPr="000C5FF1">
        <w:rPr>
          <w:rFonts w:cs="Times New Roman"/>
          <w:szCs w:val="24"/>
          <w:lang w:val="fr-CA"/>
        </w:rPr>
        <w:t xml:space="preserve">, les créanciers ne peuvent plus exiger le paiement de leurs réclamations prouvables quand le failli a été libéré : </w:t>
      </w:r>
      <w:r w:rsidRPr="000C5FF1">
        <w:rPr>
          <w:rFonts w:cs="Times New Roman"/>
          <w:i/>
          <w:szCs w:val="24"/>
          <w:lang w:val="fr-CA"/>
        </w:rPr>
        <w:t>Schreyer c. Schreyer</w:t>
      </w:r>
      <w:r w:rsidRPr="000C5FF1">
        <w:rPr>
          <w:rFonts w:cs="Times New Roman"/>
          <w:szCs w:val="24"/>
          <w:lang w:val="fr-CA"/>
        </w:rPr>
        <w:t xml:space="preserve">, 2011 CSC 35, [2011] 2 R.C.S. 605, par. 21. Comme je l’indique dans le pourvoi connexe, </w:t>
      </w:r>
      <w:r w:rsidRPr="000C5FF1">
        <w:rPr>
          <w:rFonts w:cs="Times New Roman"/>
          <w:lang w:val="fr-CA"/>
        </w:rPr>
        <w:t xml:space="preserve">nul ne conteste qu’une ordonnance de libération rendue aux termes de l’art. 178 de la </w:t>
      </w:r>
      <w:r w:rsidRPr="000C5FF1">
        <w:rPr>
          <w:rFonts w:cs="Times New Roman"/>
          <w:i/>
          <w:lang w:val="fr-CA"/>
        </w:rPr>
        <w:t>LFI</w:t>
      </w:r>
      <w:r w:rsidRPr="000C5FF1">
        <w:rPr>
          <w:rFonts w:cs="Times New Roman"/>
          <w:lang w:val="fr-CA"/>
        </w:rPr>
        <w:t xml:space="preserve"> libère un débiteur et empêche les créanciers d’exécuter leurs réclamations prouvables en matière de faillite. </w:t>
      </w:r>
      <w:r w:rsidRPr="000C5FF1">
        <w:rPr>
          <w:rFonts w:cs="Times New Roman"/>
          <w:szCs w:val="24"/>
          <w:lang w:val="fr-CA"/>
        </w:rPr>
        <w:t xml:space="preserve">Ils sont réputés renoncer à leur droit d’exiger le paiement de ces réclamations, tant en matière civile qu’en matière administrative. En l’espèce, ETR, le créancier, est visée par une interdiction claire au par. 178(2) de la </w:t>
      </w:r>
      <w:r w:rsidRPr="000C5FF1">
        <w:rPr>
          <w:rFonts w:cs="Times New Roman"/>
          <w:i/>
          <w:szCs w:val="24"/>
          <w:lang w:val="fr-CA"/>
        </w:rPr>
        <w:t>LFI</w:t>
      </w:r>
      <w:r w:rsidRPr="000C5FF1">
        <w:rPr>
          <w:rFonts w:cs="Times New Roman"/>
          <w:szCs w:val="24"/>
          <w:lang w:val="fr-CA"/>
        </w:rPr>
        <w:t xml:space="preserve">. Elle ne peut exiger le paiement de sa réclamation prouvable dont le failli a été libéré par une ordonnance de libération. Puisque le mécanisme de perception qu’établit le par. 22(4) met à la disposition du créancier un mécanisme administratif de recouvrement, il est impossible pour ETR d’exercer ce recours tout en se conformant au par. 178(2) : </w:t>
      </w:r>
      <w:r w:rsidRPr="000C5FF1">
        <w:rPr>
          <w:rFonts w:cs="Times New Roman"/>
          <w:i/>
          <w:szCs w:val="24"/>
          <w:lang w:val="fr-CA"/>
        </w:rPr>
        <w:lastRenderedPageBreak/>
        <w:t>Banque canadienne de l’Ouest c. Alberta</w:t>
      </w:r>
      <w:r w:rsidRPr="000C5FF1">
        <w:rPr>
          <w:rFonts w:cs="Times New Roman"/>
          <w:szCs w:val="24"/>
          <w:lang w:val="fr-CA"/>
        </w:rPr>
        <w:t xml:space="preserve">, 2007 CSC 22, [2007] 2 R.C.S. 3, par. 72; </w:t>
      </w:r>
      <w:r w:rsidRPr="000C5FF1">
        <w:rPr>
          <w:rFonts w:cs="Times New Roman"/>
          <w:i/>
          <w:szCs w:val="24"/>
          <w:lang w:val="fr-CA"/>
        </w:rPr>
        <w:t xml:space="preserve">Husky </w:t>
      </w:r>
      <w:proofErr w:type="spellStart"/>
      <w:r w:rsidRPr="000C5FF1">
        <w:rPr>
          <w:rFonts w:cs="Times New Roman"/>
          <w:i/>
          <w:szCs w:val="24"/>
          <w:lang w:val="fr-CA"/>
        </w:rPr>
        <w:t>Oil</w:t>
      </w:r>
      <w:proofErr w:type="spellEnd"/>
      <w:r w:rsidRPr="000C5FF1">
        <w:rPr>
          <w:rFonts w:cs="Times New Roman"/>
          <w:i/>
          <w:szCs w:val="24"/>
          <w:lang w:val="fr-CA"/>
        </w:rPr>
        <w:t xml:space="preserve"> Operations Ltd. c. Ministre du Revenu national</w:t>
      </w:r>
      <w:r w:rsidRPr="000C5FF1">
        <w:rPr>
          <w:rFonts w:cs="Times New Roman"/>
          <w:szCs w:val="24"/>
          <w:lang w:val="fr-CA"/>
        </w:rPr>
        <w:t>,</w:t>
      </w:r>
      <w:r w:rsidRPr="000C5FF1">
        <w:rPr>
          <w:rFonts w:cs="Times New Roman"/>
          <w:i/>
          <w:szCs w:val="24"/>
          <w:lang w:val="fr-CA"/>
        </w:rPr>
        <w:t xml:space="preserve"> </w:t>
      </w:r>
      <w:r w:rsidRPr="000C5FF1">
        <w:rPr>
          <w:rFonts w:cs="Times New Roman"/>
          <w:szCs w:val="24"/>
          <w:lang w:val="fr-CA"/>
        </w:rPr>
        <w:t xml:space="preserve">[1995] 3 R.C.S. 453, par. 46. En effet, la créance de péage d’ETR ne fait pas partie des exceptions énumérées au par. 178(1), et la responsabilité financière du débiteur qui en découle ne peut survivre à la libération de ce dernier. Par conséquent, la </w:t>
      </w:r>
      <w:r w:rsidRPr="000C5FF1">
        <w:rPr>
          <w:rFonts w:cs="Times New Roman"/>
          <w:i/>
          <w:szCs w:val="24"/>
          <w:lang w:val="fr-CA"/>
        </w:rPr>
        <w:t>Loi 407</w:t>
      </w:r>
      <w:r w:rsidRPr="000C5FF1">
        <w:rPr>
          <w:rFonts w:cs="Times New Roman"/>
          <w:szCs w:val="24"/>
          <w:lang w:val="fr-CA"/>
        </w:rPr>
        <w:t xml:space="preserve"> dit « oui » à l’exécution d’une réclamation prouvable alors que le par. 178(2) de la </w:t>
      </w:r>
      <w:r w:rsidRPr="000C5FF1">
        <w:rPr>
          <w:rFonts w:cs="Times New Roman"/>
          <w:i/>
          <w:szCs w:val="24"/>
          <w:lang w:val="fr-CA"/>
        </w:rPr>
        <w:t>LFI</w:t>
      </w:r>
      <w:r w:rsidRPr="000C5FF1">
        <w:rPr>
          <w:rFonts w:cs="Times New Roman"/>
          <w:szCs w:val="24"/>
          <w:lang w:val="fr-CA"/>
        </w:rPr>
        <w:t xml:space="preserve"> dit « non », si bien que l’application de la loi provinciale exclut toute possibilité de respecter la loi fédérale.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Autrement dit, alors que le régime provincial fait en sorte que l’obligation du débiteur survit à sa libération, la loi fédérale le libère expressément de cette même obligation. Les deux lois ne peuvent « agir concurremment » (</w:t>
      </w:r>
      <w:r w:rsidRPr="000C5FF1">
        <w:rPr>
          <w:rFonts w:cs="Times New Roman"/>
          <w:i/>
          <w:szCs w:val="24"/>
          <w:lang w:val="fr-CA"/>
        </w:rPr>
        <w:t>Banque canadienne de l’Ouest</w:t>
      </w:r>
      <w:r w:rsidRPr="000C5FF1">
        <w:rPr>
          <w:rFonts w:cs="Times New Roman"/>
          <w:szCs w:val="24"/>
          <w:lang w:val="fr-CA"/>
        </w:rPr>
        <w:t>, par. 72) ou « coexister sans conflit » (</w:t>
      </w:r>
      <w:r w:rsidRPr="000C5FF1">
        <w:rPr>
          <w:rFonts w:cs="Times New Roman"/>
          <w:i/>
          <w:szCs w:val="24"/>
          <w:lang w:val="fr-CA"/>
        </w:rPr>
        <w:t>Marine Services International Ltd. c. Ryan (Succession)</w:t>
      </w:r>
      <w:r w:rsidRPr="000C5FF1">
        <w:rPr>
          <w:rFonts w:cs="Times New Roman"/>
          <w:szCs w:val="24"/>
          <w:lang w:val="fr-CA"/>
        </w:rPr>
        <w:t xml:space="preserve">, 2013 CSC 44, [2013] 3 R.C.S. 53, par. 76); </w:t>
      </w:r>
      <w:r w:rsidRPr="000C5FF1">
        <w:rPr>
          <w:rFonts w:cs="Times New Roman"/>
          <w:lang w:val="fr-CA"/>
        </w:rPr>
        <w:t>un débiteur ne peut être tenu responsable d’une dette</w:t>
      </w:r>
      <w:r w:rsidRPr="000C5FF1">
        <w:rPr>
          <w:rFonts w:cs="Times New Roman"/>
          <w:szCs w:val="24"/>
          <w:lang w:val="fr-CA"/>
        </w:rPr>
        <w:t xml:space="preserve"> selon la loi provinciale alors qu’il a été </w:t>
      </w:r>
      <w:r w:rsidRPr="000C5FF1">
        <w:rPr>
          <w:rFonts w:cs="Times New Roman"/>
          <w:lang w:val="fr-CA"/>
        </w:rPr>
        <w:t>libéré de cette même</w:t>
      </w:r>
      <w:r w:rsidRPr="000C5FF1">
        <w:rPr>
          <w:rFonts w:cs="Times New Roman"/>
          <w:szCs w:val="24"/>
          <w:lang w:val="fr-CA"/>
        </w:rPr>
        <w:t xml:space="preserve"> responsabilité suivant la loi fédérale : </w:t>
      </w:r>
      <w:r w:rsidRPr="000C5FF1">
        <w:rPr>
          <w:rFonts w:cs="Times New Roman"/>
          <w:i/>
          <w:szCs w:val="24"/>
          <w:lang w:val="fr-CA"/>
        </w:rPr>
        <w:t>Colombie</w:t>
      </w:r>
      <w:r w:rsidRPr="000C5FF1">
        <w:rPr>
          <w:rFonts w:cs="Times New Roman"/>
          <w:i/>
          <w:szCs w:val="24"/>
          <w:lang w:val="fr-CA"/>
        </w:rPr>
        <w:noBreakHyphen/>
        <w:t>Britannique (Procureur général) c. Lafarge Canada Inc</w:t>
      </w:r>
      <w:r w:rsidRPr="000C5FF1">
        <w:rPr>
          <w:rFonts w:cs="Times New Roman"/>
          <w:szCs w:val="24"/>
          <w:lang w:val="fr-CA"/>
        </w:rPr>
        <w:t xml:space="preserve">., 2007 CSC 23, [2007] 2 R.C.S. 86, par. 82; </w:t>
      </w:r>
      <w:r w:rsidRPr="000C5FF1">
        <w:rPr>
          <w:rFonts w:cs="Times New Roman"/>
          <w:i/>
          <w:szCs w:val="24"/>
          <w:lang w:val="fr-CA"/>
        </w:rPr>
        <w:t xml:space="preserve">M &amp; D </w:t>
      </w:r>
      <w:proofErr w:type="spellStart"/>
      <w:r w:rsidRPr="000C5FF1">
        <w:rPr>
          <w:rFonts w:cs="Times New Roman"/>
          <w:i/>
          <w:szCs w:val="24"/>
          <w:lang w:val="fr-CA"/>
        </w:rPr>
        <w:t>Farm</w:t>
      </w:r>
      <w:proofErr w:type="spellEnd"/>
      <w:r w:rsidRPr="000C5FF1">
        <w:rPr>
          <w:rFonts w:cs="Times New Roman"/>
          <w:szCs w:val="24"/>
          <w:lang w:val="fr-CA"/>
        </w:rPr>
        <w:t xml:space="preserve"> </w:t>
      </w:r>
      <w:r w:rsidRPr="000C5FF1">
        <w:rPr>
          <w:rFonts w:cs="Times New Roman"/>
          <w:i/>
          <w:szCs w:val="24"/>
          <w:lang w:val="fr-CA"/>
        </w:rPr>
        <w:t>Ltd. c. Société du crédit agricole du Manitoba</w:t>
      </w:r>
      <w:r w:rsidRPr="000C5FF1">
        <w:rPr>
          <w:rFonts w:cs="Times New Roman"/>
          <w:szCs w:val="24"/>
          <w:lang w:val="fr-CA"/>
        </w:rPr>
        <w:t xml:space="preserve">, [1999] 2 R.C.S. 961, par. 41; </w:t>
      </w:r>
      <w:r w:rsidRPr="000C5FF1">
        <w:rPr>
          <w:rFonts w:cs="Times New Roman"/>
          <w:i/>
          <w:szCs w:val="24"/>
          <w:lang w:val="fr-CA"/>
        </w:rPr>
        <w:t xml:space="preserve">Multiple Access Ltd. c. </w:t>
      </w:r>
      <w:proofErr w:type="spellStart"/>
      <w:r w:rsidRPr="000C5FF1">
        <w:rPr>
          <w:rFonts w:cs="Times New Roman"/>
          <w:i/>
          <w:szCs w:val="24"/>
          <w:lang w:val="fr-CA"/>
        </w:rPr>
        <w:t>McCutcheon</w:t>
      </w:r>
      <w:proofErr w:type="spellEnd"/>
      <w:r w:rsidRPr="000C5FF1">
        <w:rPr>
          <w:rFonts w:cs="Times New Roman"/>
          <w:szCs w:val="24"/>
          <w:lang w:val="fr-CA"/>
        </w:rPr>
        <w:t xml:space="preserve">, [1982] 2 R.C.S. 161, p. 191. Avec égards, je ne suis pas d’accord avec ma collègue pour dire que ce conflit est « indirect » ou qu’il concerne une mesure simplement interdite « implicitement » par le par. 178(2) de la </w:t>
      </w:r>
      <w:r w:rsidRPr="000C5FF1">
        <w:rPr>
          <w:rFonts w:cs="Times New Roman"/>
          <w:i/>
          <w:szCs w:val="24"/>
          <w:lang w:val="fr-CA"/>
        </w:rPr>
        <w:t>LFI</w:t>
      </w:r>
      <w:r w:rsidRPr="000C5FF1">
        <w:rPr>
          <w:rFonts w:cs="Times New Roman"/>
          <w:szCs w:val="24"/>
          <w:lang w:val="fr-CA"/>
        </w:rPr>
        <w:t xml:space="preserve"> (</w:t>
      </w:r>
      <w:proofErr w:type="spellStart"/>
      <w:r w:rsidRPr="000C5FF1">
        <w:rPr>
          <w:rFonts w:cs="Times New Roman"/>
          <w:i/>
          <w:szCs w:val="24"/>
          <w:lang w:val="fr-CA"/>
        </w:rPr>
        <w:t>Moloney</w:t>
      </w:r>
      <w:proofErr w:type="spellEnd"/>
      <w:r w:rsidRPr="000C5FF1">
        <w:rPr>
          <w:rFonts w:cs="Times New Roman"/>
          <w:szCs w:val="24"/>
          <w:lang w:val="fr-CA"/>
        </w:rPr>
        <w:t xml:space="preserve">, par. 92), ou que j’ai recours à une interprétation large de ce paragraphe pour conclure à l’existence d’un conflit d’application (par. 36). La loi fédérale interdit le recouvrement de la créance; la loi provinciale le permet. L’incompatibilité est claire </w:t>
      </w:r>
      <w:r w:rsidRPr="000C5FF1">
        <w:rPr>
          <w:rFonts w:cs="Times New Roman"/>
          <w:szCs w:val="24"/>
          <w:lang w:val="fr-CA"/>
        </w:rPr>
        <w:lastRenderedPageBreak/>
        <w:t>et précise. Une loi permet ce que l’autre interdit précisément.</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À cet égard, je ne crois pas, contrairement à ma collègue, que le libellé du par. 22(1) laisse une possibilité qu’il n’y ait pas de conflit d’application (par. 39). Dès que le </w:t>
      </w:r>
      <w:proofErr w:type="spellStart"/>
      <w:r w:rsidRPr="000C5FF1">
        <w:rPr>
          <w:rFonts w:cs="Times New Roman"/>
          <w:szCs w:val="24"/>
          <w:lang w:val="fr-CA"/>
        </w:rPr>
        <w:t>registrateur</w:t>
      </w:r>
      <w:proofErr w:type="spellEnd"/>
      <w:r w:rsidRPr="000C5FF1">
        <w:rPr>
          <w:rFonts w:cs="Times New Roman"/>
          <w:szCs w:val="24"/>
          <w:lang w:val="fr-CA"/>
        </w:rPr>
        <w:t xml:space="preserve"> est avisé par ETR, comme il l’a été d’après les faits de l’espèce, l’obligation exprimée au par. 22(4) (par l’auxiliaire « </w:t>
      </w:r>
      <w:proofErr w:type="spellStart"/>
      <w:r w:rsidRPr="000C5FF1">
        <w:rPr>
          <w:rFonts w:cs="Times New Roman"/>
          <w:i/>
          <w:szCs w:val="24"/>
          <w:lang w:val="fr-CA"/>
        </w:rPr>
        <w:t>shall</w:t>
      </w:r>
      <w:proofErr w:type="spellEnd"/>
      <w:r w:rsidRPr="000C5FF1">
        <w:rPr>
          <w:rFonts w:cs="Times New Roman"/>
          <w:i/>
          <w:szCs w:val="24"/>
          <w:lang w:val="fr-CA"/>
        </w:rPr>
        <w:t> </w:t>
      </w:r>
      <w:r w:rsidRPr="000C5FF1">
        <w:rPr>
          <w:rFonts w:cs="Times New Roman"/>
          <w:szCs w:val="24"/>
          <w:lang w:val="fr-CA"/>
        </w:rPr>
        <w:t xml:space="preserve">» dans la version anglaise et par l’indicatif présent dans la version française) fait en sorte que le </w:t>
      </w:r>
      <w:proofErr w:type="spellStart"/>
      <w:r w:rsidRPr="000C5FF1">
        <w:rPr>
          <w:rFonts w:cs="Times New Roman"/>
          <w:szCs w:val="24"/>
          <w:lang w:val="fr-CA"/>
        </w:rPr>
        <w:t>registrateur</w:t>
      </w:r>
      <w:proofErr w:type="spellEnd"/>
      <w:r w:rsidRPr="000C5FF1">
        <w:rPr>
          <w:rFonts w:cs="Times New Roman"/>
          <w:szCs w:val="24"/>
          <w:lang w:val="fr-CA"/>
        </w:rPr>
        <w:t xml:space="preserve"> n’a d’autre choix que de refuser de valider les certificats d’immatriculation de véhicule du débiteur. À compter de ce moment, le </w:t>
      </w:r>
      <w:proofErr w:type="spellStart"/>
      <w:r w:rsidRPr="000C5FF1">
        <w:rPr>
          <w:rFonts w:cs="Times New Roman"/>
          <w:szCs w:val="24"/>
          <w:lang w:val="fr-CA"/>
        </w:rPr>
        <w:t>registrateur</w:t>
      </w:r>
      <w:proofErr w:type="spellEnd"/>
      <w:r w:rsidRPr="000C5FF1">
        <w:rPr>
          <w:rFonts w:cs="Times New Roman"/>
          <w:szCs w:val="24"/>
          <w:lang w:val="fr-CA"/>
        </w:rPr>
        <w:t xml:space="preserve"> n’a plus le pouvoir discrétionnaire de mettre fin à la procédure de recouvrement, par exemple après la libération de faillite du débiteur. Il n’est tenu de rétablir les certificats d’immatriculation du débiteur que s’il est avisé que la dette est payée : par. 22(6) et 22(7). Prétendre qu’il demeure possible pour une personne de se conformer aux deux lois si ETR s’abstient d’exercer le recours que lui offre l’art. 22 de la </w:t>
      </w:r>
      <w:r w:rsidRPr="000C5FF1">
        <w:rPr>
          <w:rFonts w:cs="Times New Roman"/>
          <w:i/>
          <w:szCs w:val="24"/>
          <w:lang w:val="fr-CA"/>
        </w:rPr>
        <w:t>Loi 407</w:t>
      </w:r>
      <w:r w:rsidRPr="000C5FF1">
        <w:rPr>
          <w:rFonts w:cs="Times New Roman"/>
          <w:szCs w:val="24"/>
          <w:lang w:val="fr-CA"/>
        </w:rPr>
        <w:t xml:space="preserve"> reviendrait à fermer les yeux sur la réalité factuelle de la présente affaire, réalité sur laquelle s’appuyaient les arguments des parties. En outre, comme je l’explique dans le pourvoi connexe, prétendre qu’un conflit d’application peut être évité dans les cas où la loi provinciale n’est pas appliquée crée un raisonnement circulaire qui écarte un élément clé de l’examen de l’un ou l’autre des deux volets de l’analyse fondée sur la doctrine de la prépondérance, soit l’existence de deux lois valides qui coexistent. De même, comme dans le pourvoi connexe, il n’est pas valable selon moi de prétendre que, pour nier l’existence d’un conflit d’application en l’espèce, le débiteur peut renoncer au droit que lui confère la </w:t>
      </w:r>
      <w:r w:rsidRPr="000C5FF1">
        <w:rPr>
          <w:rFonts w:cs="Times New Roman"/>
          <w:i/>
          <w:szCs w:val="24"/>
          <w:lang w:val="fr-CA"/>
        </w:rPr>
        <w:t>LFI</w:t>
      </w:r>
      <w:r w:rsidRPr="000C5FF1">
        <w:rPr>
          <w:rFonts w:cs="Times New Roman"/>
          <w:szCs w:val="24"/>
          <w:lang w:val="fr-CA"/>
        </w:rPr>
        <w:t xml:space="preserve"> en payant la dette dont il a été libéré ou en acceptant le mécanisme de recouvrement de créances de la </w:t>
      </w:r>
      <w:r w:rsidRPr="000C5FF1">
        <w:rPr>
          <w:rFonts w:cs="Times New Roman"/>
          <w:i/>
          <w:szCs w:val="24"/>
          <w:lang w:val="fr-CA"/>
        </w:rPr>
        <w:t xml:space="preserve">Loi </w:t>
      </w:r>
      <w:r w:rsidRPr="000C5FF1">
        <w:rPr>
          <w:rFonts w:cs="Times New Roman"/>
          <w:i/>
          <w:szCs w:val="24"/>
          <w:lang w:val="fr-CA"/>
        </w:rPr>
        <w:lastRenderedPageBreak/>
        <w:t>407</w:t>
      </w:r>
      <w:r w:rsidRPr="000C5FF1">
        <w:rPr>
          <w:rFonts w:cs="Times New Roman"/>
          <w:szCs w:val="24"/>
          <w:lang w:val="fr-CA"/>
        </w:rPr>
        <w:t xml:space="preserve"> et en renonçant à son droit à un certificat d’immatriculation. Si tel était le cas, il ne s’agirait plus d’une situation où il est possible de se conformer aux deux lois. Il s’agirait plutôt d’un cas de « simple » respect d’une des lois, où un des acteurs en cause renonce à l’application de l’autre loi. Lorsque les deux lois coexistent, ETR ne peut respecter les deux lois en même temps, et la loi provinciale prive le débiteur de l’avantage que procure la loi fédérale.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Je conclus en conséquence que l’application du par. 22(4) qui permet le recouvrement d’une dette dont le failli a été libéré entre en conflit avec le par. 178(2) de la </w:t>
      </w:r>
      <w:r w:rsidRPr="000C5FF1">
        <w:rPr>
          <w:rFonts w:cs="Times New Roman"/>
          <w:i/>
          <w:szCs w:val="24"/>
          <w:lang w:val="fr-CA"/>
        </w:rPr>
        <w:t>LFI</w:t>
      </w:r>
      <w:r w:rsidRPr="000C5FF1">
        <w:rPr>
          <w:rFonts w:cs="Times New Roman"/>
          <w:szCs w:val="24"/>
          <w:lang w:val="fr-CA"/>
        </w:rPr>
        <w:t xml:space="preserve">. L’article 178 constitue un code complet en ce qu’il précise les dettes dont le failli est libéré et celles qui subsistent après la libération de faillite. Au paragraphe 22(4), la province crée une nouvelle catégorie de dettes exemptées qui ne sont pas énumérées au par. 178(1). Ce conflit d’application est contraire à la doctrine de la prépondérance fédérale. </w:t>
      </w:r>
    </w:p>
    <w:p w:rsidR="007E1745" w:rsidRPr="000C5FF1" w:rsidRDefault="007E1745" w:rsidP="00203BA3">
      <w:pPr>
        <w:pStyle w:val="Title2LevelTitre2Niveau"/>
        <w:widowControl w:val="0"/>
        <w:rPr>
          <w:rFonts w:cs="Times New Roman"/>
          <w:szCs w:val="24"/>
          <w:lang w:val="fr-CA"/>
        </w:rPr>
      </w:pPr>
      <w:bookmarkStart w:id="16" w:name="_Toc412106213"/>
      <w:bookmarkStart w:id="17" w:name="_Toc415577152"/>
      <w:r w:rsidRPr="000C5FF1">
        <w:rPr>
          <w:rFonts w:cs="Times New Roman"/>
          <w:szCs w:val="24"/>
          <w:lang w:val="fr-CA"/>
        </w:rPr>
        <w:t>Entrave à la réalisation d’un objectif fédéral</w:t>
      </w:r>
      <w:bookmarkEnd w:id="16"/>
      <w:bookmarkEnd w:id="17"/>
    </w:p>
    <w:p w:rsidR="007E1745" w:rsidRPr="000C5FF1" w:rsidRDefault="007E1745" w:rsidP="00203BA3">
      <w:pPr>
        <w:pStyle w:val="Title4LevelTitre4Niveau"/>
        <w:widowControl w:val="0"/>
        <w:numPr>
          <w:ilvl w:val="1"/>
          <w:numId w:val="6"/>
        </w:numPr>
        <w:tabs>
          <w:tab w:val="left" w:pos="1170"/>
        </w:tabs>
        <w:ind w:left="540" w:firstLine="0"/>
        <w:rPr>
          <w:rFonts w:cs="Times New Roman"/>
          <w:szCs w:val="24"/>
        </w:rPr>
      </w:pPr>
      <w:bookmarkStart w:id="18" w:name="_Toc412106215"/>
      <w:bookmarkStart w:id="19" w:name="_Toc415577154"/>
      <w:proofErr w:type="spellStart"/>
      <w:r w:rsidRPr="000C5FF1">
        <w:rPr>
          <w:rFonts w:cs="Times New Roman"/>
          <w:szCs w:val="24"/>
        </w:rPr>
        <w:t>Réhabilitation</w:t>
      </w:r>
      <w:proofErr w:type="spellEnd"/>
      <w:r w:rsidRPr="000C5FF1">
        <w:rPr>
          <w:rFonts w:cs="Times New Roman"/>
          <w:szCs w:val="24"/>
        </w:rPr>
        <w:t xml:space="preserve"> </w:t>
      </w:r>
      <w:proofErr w:type="spellStart"/>
      <w:r w:rsidRPr="000C5FF1">
        <w:rPr>
          <w:rFonts w:cs="Times New Roman"/>
          <w:szCs w:val="24"/>
        </w:rPr>
        <w:t>financière</w:t>
      </w:r>
      <w:bookmarkEnd w:id="18"/>
      <w:bookmarkEnd w:id="19"/>
      <w:proofErr w:type="spellEnd"/>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Cela dit, j’estime que l’application du par. 22(4) entrave également la réalisation de l’objectif du Parlement de donner aux faillis libérés la possibilité de se réhabiliter financièrement. Dans le pourvoi connexe, j’explique cet objectif de la </w:t>
      </w:r>
      <w:r w:rsidRPr="000C5FF1">
        <w:rPr>
          <w:rFonts w:cs="Times New Roman"/>
          <w:i/>
          <w:szCs w:val="24"/>
          <w:lang w:val="fr-CA"/>
        </w:rPr>
        <w:t>LFI</w:t>
      </w:r>
      <w:r w:rsidRPr="000C5FF1">
        <w:rPr>
          <w:rFonts w:cs="Times New Roman"/>
          <w:szCs w:val="24"/>
          <w:lang w:val="fr-CA"/>
        </w:rPr>
        <w:t xml:space="preserve"> et son étroite connexité au libellé du par. 178(2), lequel vise précisément à permettre au failli de prendre un nouveau départ. Alors que le par. 178(2) vise à délester pour </w:t>
      </w:r>
      <w:r w:rsidRPr="000C5FF1">
        <w:rPr>
          <w:rFonts w:cs="Times New Roman"/>
          <w:szCs w:val="24"/>
          <w:lang w:val="fr-CA"/>
        </w:rPr>
        <w:lastRenderedPageBreak/>
        <w:t xml:space="preserve">toujours le débiteur du fardeau de l’endettement antérieur à la faillite, le par. 22(4) permet à ETR de continuer d’accabler le failli </w:t>
      </w:r>
      <w:proofErr w:type="gramStart"/>
      <w:r w:rsidRPr="000C5FF1">
        <w:rPr>
          <w:rFonts w:cs="Times New Roman"/>
          <w:szCs w:val="24"/>
          <w:lang w:val="fr-CA"/>
        </w:rPr>
        <w:t>libéré</w:t>
      </w:r>
      <w:proofErr w:type="gramEnd"/>
      <w:r w:rsidRPr="000C5FF1">
        <w:rPr>
          <w:rFonts w:cs="Times New Roman"/>
          <w:szCs w:val="24"/>
          <w:lang w:val="fr-CA"/>
        </w:rPr>
        <w:t xml:space="preserve"> jusqu’à ce qu’il rembourse entièrement la dette, comme s’il n’avait jamais été libéré de la faillite.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Quand il a fait cession de ses biens, M. Moore devait 34 977,06 $ à ETR. C’était en novembre 2007. Au moment de l’audience devant la Cour supérieure de justice, soit en octobre 2011, la dette avait plus que doublé, atteignant 88 767,83 $. Plus le temps passe, plus le fardeau de la créance d’ETR s’alourdit avec l’accumulation des intérêts. Au début de 2011, les intérêts à eux seuls s’élevaient à presque 1 400 $ par mois. Il s’agit là d’une responsabilité financière écrasante. Pourtant, plus M. Moore tarde à rembourser la dette de péage, plus il risque de ne jamais être en mesure de l’acquitter et de récupérer les certificats d’immatriculation de ses véhicules.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Permettre l’application du par. 22(4) malgré la faillite du débiteur et sa libération absolue subséquente impose en fait à ce dernier un fardeau financier sans cesse croissant. Ce fardeau pèse sur le débiteur en dépit de sa libération en tant que failli, même s’il ne pourra vraisemblablement jamais rembourser intégralement sa dette envers ETR. Le débiteur demeurera toujours accablé par une responsabilité financière antérieure à la faillite. Ce résultat va à l’encontre de l’intention du Parlement de donner aux faillis libérés une véritable possibilité de se réhabiliter financièrement et de se libérer ainsi de l’endettement passé. </w:t>
      </w:r>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t xml:space="preserve">ETR a été avisée de la faillite de M. Moore. Elle a décidé de ne pas participer à la procédure. Elle n’a pas produit de preuve de réclamation et ne s’est pas </w:t>
      </w:r>
      <w:r w:rsidRPr="000C5FF1">
        <w:rPr>
          <w:rFonts w:cs="Times New Roman"/>
          <w:szCs w:val="24"/>
          <w:lang w:val="fr-CA"/>
        </w:rPr>
        <w:lastRenderedPageBreak/>
        <w:t xml:space="preserve">non plus opposée à la libération de M. Moore. Pour faire valoir sa réclamation prouvable, ETR devait prendre part, comme tout créancier, au processus de faillite. Si le Parlement avait voulu soustraire la créance de péage d’ETR à ce processus et aux effets d’une libération, il l’aurait fait expressément au par. 178(1) de la </w:t>
      </w:r>
      <w:r w:rsidRPr="000C5FF1">
        <w:rPr>
          <w:rFonts w:cs="Times New Roman"/>
          <w:i/>
          <w:szCs w:val="24"/>
          <w:lang w:val="fr-CA"/>
        </w:rPr>
        <w:t>LFI</w:t>
      </w:r>
      <w:r w:rsidRPr="000C5FF1">
        <w:rPr>
          <w:rFonts w:cs="Times New Roman"/>
          <w:szCs w:val="24"/>
          <w:lang w:val="fr-CA"/>
        </w:rPr>
        <w:t xml:space="preserve">. Il ne l’a pas fait. En conséquence, je conclus que, si l’on permet l’application du par. 22(4) aux dettes de péage dont le failli a été libéré, ce paragraphe </w:t>
      </w:r>
      <w:r w:rsidRPr="000C5FF1">
        <w:rPr>
          <w:rFonts w:cs="Times New Roman"/>
          <w:lang w:val="fr-CA"/>
        </w:rPr>
        <w:t xml:space="preserve">entrave la réalisation de </w:t>
      </w:r>
      <w:r w:rsidRPr="000C5FF1">
        <w:rPr>
          <w:rFonts w:cs="Times New Roman"/>
          <w:szCs w:val="24"/>
          <w:lang w:val="fr-CA"/>
        </w:rPr>
        <w:t>l’objectif de réhabilitation financière en matière de faillite visé au par. 178(2).</w:t>
      </w:r>
    </w:p>
    <w:p w:rsidR="007E1745" w:rsidRPr="000C5FF1" w:rsidRDefault="007E1745" w:rsidP="00203BA3">
      <w:pPr>
        <w:pStyle w:val="Title4LevelTitre4Niveau"/>
        <w:widowControl w:val="0"/>
        <w:numPr>
          <w:ilvl w:val="1"/>
          <w:numId w:val="16"/>
        </w:numPr>
        <w:tabs>
          <w:tab w:val="left" w:pos="1170"/>
        </w:tabs>
        <w:ind w:firstLine="0"/>
        <w:rPr>
          <w:rFonts w:cs="Times New Roman"/>
          <w:szCs w:val="24"/>
        </w:rPr>
      </w:pPr>
      <w:proofErr w:type="spellStart"/>
      <w:r w:rsidRPr="000C5FF1">
        <w:rPr>
          <w:rFonts w:cs="Times New Roman"/>
          <w:szCs w:val="24"/>
        </w:rPr>
        <w:t>Partage</w:t>
      </w:r>
      <w:proofErr w:type="spellEnd"/>
      <w:r w:rsidRPr="000C5FF1">
        <w:rPr>
          <w:rFonts w:cs="Times New Roman"/>
          <w:szCs w:val="24"/>
        </w:rPr>
        <w:t xml:space="preserve"> </w:t>
      </w:r>
      <w:proofErr w:type="spellStart"/>
      <w:r w:rsidRPr="000C5FF1">
        <w:rPr>
          <w:rFonts w:cs="Times New Roman"/>
          <w:szCs w:val="24"/>
        </w:rPr>
        <w:t>équitable</w:t>
      </w:r>
      <w:proofErr w:type="spellEnd"/>
    </w:p>
    <w:p w:rsidR="007E1745" w:rsidRPr="000C5FF1" w:rsidRDefault="007E1745" w:rsidP="00203BA3">
      <w:pPr>
        <w:pStyle w:val="ParaNoNdepar-AltN"/>
        <w:widowControl w:val="0"/>
        <w:rPr>
          <w:rFonts w:cs="Times New Roman"/>
          <w:lang w:val="fr-CA"/>
        </w:rPr>
      </w:pPr>
      <w:r w:rsidRPr="000C5FF1">
        <w:rPr>
          <w:rFonts w:cs="Times New Roman"/>
          <w:lang w:val="fr-CA"/>
        </w:rPr>
        <w:t xml:space="preserve">La Cour d’appel n’a pas abordé l’objectif de partage équitable visé par la </w:t>
      </w:r>
      <w:r w:rsidRPr="000C5FF1">
        <w:rPr>
          <w:rFonts w:cs="Times New Roman"/>
          <w:i/>
          <w:lang w:val="fr-CA"/>
        </w:rPr>
        <w:t>LFI</w:t>
      </w:r>
      <w:r w:rsidRPr="000C5FF1">
        <w:rPr>
          <w:rFonts w:cs="Times New Roman"/>
          <w:lang w:val="fr-CA"/>
        </w:rPr>
        <w:t xml:space="preserve"> (par. 117). L’appelante plaide que la réalisation de cet objectif n’est pas entravé</w:t>
      </w:r>
      <w:r w:rsidR="00116771">
        <w:rPr>
          <w:rFonts w:cs="Times New Roman"/>
          <w:lang w:val="fr-CA"/>
        </w:rPr>
        <w:t>e</w:t>
      </w:r>
      <w:r w:rsidRPr="000C5FF1">
        <w:rPr>
          <w:rFonts w:cs="Times New Roman"/>
          <w:lang w:val="fr-CA"/>
        </w:rPr>
        <w:t xml:space="preserve">, parce que la loi provinciale n’a aucune incidence sur l’ordre de priorité. Elle ajoute qu’un certificat d’immatriculation de véhicule n’est pas un bien appartenant au failli et qu’il n’est de ce fait pas touché par la faillite. Selon l’intimé toutefois, le par. 22(4) entrave la réalisation de cet objectif de la </w:t>
      </w:r>
      <w:r w:rsidRPr="000C5FF1">
        <w:rPr>
          <w:rFonts w:cs="Times New Roman"/>
          <w:i/>
          <w:lang w:val="fr-CA"/>
        </w:rPr>
        <w:t>LFI</w:t>
      </w:r>
      <w:r w:rsidRPr="000C5FF1">
        <w:rPr>
          <w:rFonts w:cs="Times New Roman"/>
          <w:lang w:val="fr-CA"/>
        </w:rPr>
        <w:t xml:space="preserve"> car ETR est autorisée à percevoir des biens ou un revenu que ne peuvent obtenir les autres créanciers et à passer outre à la procédure collective unique. </w:t>
      </w:r>
      <w:r w:rsidRPr="000C5FF1">
        <w:rPr>
          <w:rFonts w:cs="Times New Roman"/>
          <w:szCs w:val="24"/>
          <w:lang w:val="fr-CA"/>
        </w:rPr>
        <w:t>Pour les motifs exprimés dans l’arrêt connexe, je ne suis pas convaincu que le par. </w:t>
      </w:r>
      <w:r w:rsidRPr="000C5FF1">
        <w:rPr>
          <w:rFonts w:cs="Times New Roman"/>
          <w:lang w:val="fr-CA"/>
        </w:rPr>
        <w:t xml:space="preserve">178(2) favorise l’atteinte de l’objectif consistant à partager équitablement les biens entre les créanciers, ou que </w:t>
      </w:r>
      <w:r w:rsidRPr="000C5FF1">
        <w:rPr>
          <w:rFonts w:cs="Times New Roman"/>
          <w:szCs w:val="24"/>
          <w:lang w:val="fr-CA"/>
        </w:rPr>
        <w:t>l’application du par. 22(4) entrave la réalisation de cet objectif de la faillite</w:t>
      </w:r>
      <w:r w:rsidRPr="000C5FF1">
        <w:rPr>
          <w:rFonts w:cs="Times New Roman"/>
          <w:lang w:val="fr-CA"/>
        </w:rPr>
        <w:t xml:space="preserve">. </w:t>
      </w:r>
    </w:p>
    <w:p w:rsidR="007E1745" w:rsidRPr="000C5FF1" w:rsidRDefault="007E1745" w:rsidP="00203BA3">
      <w:pPr>
        <w:pStyle w:val="Title1LevelTitre1Niveau-AltL"/>
        <w:widowControl w:val="0"/>
        <w:numPr>
          <w:ilvl w:val="0"/>
          <w:numId w:val="8"/>
        </w:numPr>
        <w:spacing w:line="276" w:lineRule="auto"/>
        <w:rPr>
          <w:rFonts w:cs="Times New Roman"/>
          <w:szCs w:val="24"/>
        </w:rPr>
      </w:pPr>
      <w:bookmarkStart w:id="20" w:name="_Toc412106216"/>
      <w:bookmarkStart w:id="21" w:name="_Toc415577155"/>
      <w:proofErr w:type="spellStart"/>
      <w:r w:rsidRPr="000C5FF1">
        <w:rPr>
          <w:rFonts w:cs="Times New Roman"/>
          <w:szCs w:val="24"/>
        </w:rPr>
        <w:t>Dispositif</w:t>
      </w:r>
      <w:bookmarkEnd w:id="20"/>
      <w:bookmarkEnd w:id="21"/>
      <w:proofErr w:type="spellEnd"/>
    </w:p>
    <w:p w:rsidR="007E1745" w:rsidRPr="000C5FF1" w:rsidRDefault="007E1745" w:rsidP="00203BA3">
      <w:pPr>
        <w:pStyle w:val="ParaNoNdepar-AltN"/>
        <w:widowControl w:val="0"/>
        <w:tabs>
          <w:tab w:val="clear" w:pos="1166"/>
          <w:tab w:val="num" w:pos="1152"/>
        </w:tabs>
        <w:rPr>
          <w:rFonts w:cs="Times New Roman"/>
          <w:szCs w:val="24"/>
          <w:lang w:val="fr-CA"/>
        </w:rPr>
      </w:pPr>
      <w:r w:rsidRPr="000C5FF1">
        <w:rPr>
          <w:rFonts w:cs="Times New Roman"/>
          <w:szCs w:val="24"/>
          <w:lang w:val="fr-CA"/>
        </w:rPr>
        <w:lastRenderedPageBreak/>
        <w:t xml:space="preserve">J’estime que le par. 22(4) de la </w:t>
      </w:r>
      <w:r w:rsidRPr="000C5FF1">
        <w:rPr>
          <w:rFonts w:cs="Times New Roman"/>
          <w:i/>
          <w:szCs w:val="24"/>
          <w:lang w:val="fr-CA"/>
        </w:rPr>
        <w:t>Loi 407</w:t>
      </w:r>
      <w:r w:rsidRPr="000C5FF1">
        <w:rPr>
          <w:rFonts w:cs="Times New Roman"/>
          <w:szCs w:val="24"/>
          <w:lang w:val="fr-CA"/>
        </w:rPr>
        <w:t xml:space="preserve"> est inopérant dans la mesure où il</w:t>
      </w:r>
      <w:r>
        <w:rPr>
          <w:rFonts w:cs="Times New Roman"/>
          <w:szCs w:val="24"/>
          <w:lang w:val="fr-CA"/>
        </w:rPr>
        <w:t xml:space="preserve"> </w:t>
      </w:r>
      <w:r w:rsidRPr="000C5FF1">
        <w:rPr>
          <w:rFonts w:cs="Times New Roman"/>
          <w:szCs w:val="24"/>
          <w:lang w:val="fr-CA"/>
        </w:rPr>
        <w:t xml:space="preserve">entre en conflit avec le par. 178(2) de la </w:t>
      </w:r>
      <w:r w:rsidRPr="000C5FF1">
        <w:rPr>
          <w:rFonts w:cs="Times New Roman"/>
          <w:i/>
          <w:szCs w:val="24"/>
          <w:lang w:val="fr-CA"/>
        </w:rPr>
        <w:t>LFI</w:t>
      </w:r>
      <w:r w:rsidRPr="000C5FF1">
        <w:rPr>
          <w:rFonts w:cs="Times New Roman"/>
          <w:szCs w:val="24"/>
          <w:lang w:val="fr-CA"/>
        </w:rPr>
        <w:t xml:space="preserve">. ETR ne peut s’appuyer sur le par. 22(4) pour contraindre le failli, en contravention du par. 178(2) de la </w:t>
      </w:r>
      <w:r w:rsidRPr="000C5FF1">
        <w:rPr>
          <w:rFonts w:cs="Times New Roman"/>
          <w:i/>
          <w:szCs w:val="24"/>
          <w:lang w:val="fr-CA"/>
        </w:rPr>
        <w:t>LFI</w:t>
      </w:r>
      <w:r w:rsidRPr="000C5FF1">
        <w:rPr>
          <w:rFonts w:cs="Times New Roman"/>
          <w:szCs w:val="24"/>
          <w:lang w:val="fr-CA"/>
        </w:rPr>
        <w:t xml:space="preserve">, à payer une réclamation prouvable dont il a par ailleurs été libéré. Quoi qu’il en soit, l’application du par. 22(4) </w:t>
      </w:r>
      <w:r w:rsidRPr="000C5FF1">
        <w:rPr>
          <w:rFonts w:cs="Times New Roman"/>
          <w:lang w:val="fr-CA"/>
        </w:rPr>
        <w:t>entrave la réalisation de</w:t>
      </w:r>
      <w:r w:rsidRPr="000C5FF1">
        <w:rPr>
          <w:rFonts w:cs="Times New Roman"/>
          <w:szCs w:val="24"/>
          <w:lang w:val="fr-CA"/>
        </w:rPr>
        <w:t xml:space="preserve"> l’objectif de réhabilitation financière que vise le par. 178(2). Je suis d’avis de rejeter le pourvoi avec dépens et de répondre comme suit à la question constitutionnelle</w:t>
      </w:r>
      <w:r w:rsidRPr="000C5FF1">
        <w:rPr>
          <w:rFonts w:cs="Times New Roman"/>
          <w:lang w:val="fr-CA"/>
        </w:rPr>
        <w:t> :</w:t>
      </w:r>
    </w:p>
    <w:p w:rsidR="007E1745" w:rsidRDefault="007E1745" w:rsidP="00203BA3">
      <w:pPr>
        <w:pStyle w:val="Citation-AltC"/>
        <w:widowControl w:val="0"/>
        <w:ind w:hanging="1166"/>
        <w:contextualSpacing w:val="0"/>
        <w:rPr>
          <w:lang w:val="fr-CA"/>
        </w:rPr>
      </w:pPr>
      <w:r w:rsidRPr="000C5FF1">
        <w:rPr>
          <w:lang w:val="fr-CA"/>
        </w:rPr>
        <w:tab/>
        <w:t xml:space="preserve">Le paragraphe 22(4) de la </w:t>
      </w:r>
      <w:r w:rsidRPr="000C5FF1">
        <w:rPr>
          <w:i/>
          <w:lang w:val="fr-CA"/>
        </w:rPr>
        <w:t>Loi de 1998</w:t>
      </w:r>
      <w:r w:rsidRPr="000C5FF1">
        <w:rPr>
          <w:lang w:val="fr-CA"/>
        </w:rPr>
        <w:t xml:space="preserve"> </w:t>
      </w:r>
      <w:r w:rsidRPr="000C5FF1">
        <w:rPr>
          <w:i/>
          <w:lang w:val="fr-CA"/>
        </w:rPr>
        <w:t>sur l’autoroute 407</w:t>
      </w:r>
      <w:r w:rsidRPr="000C5FF1">
        <w:rPr>
          <w:lang w:val="fr-CA"/>
        </w:rPr>
        <w:t>, L.O. 1998, c. 28, est</w:t>
      </w:r>
      <w:r w:rsidRPr="000C5FF1">
        <w:rPr>
          <w:lang w:val="fr-CA"/>
        </w:rPr>
        <w:noBreakHyphen/>
        <w:t xml:space="preserve">il inopérant sur le plan constitutionnel en raison de la doctrine de la prépondérance des lois fédérales, eu égard à la </w:t>
      </w:r>
      <w:r w:rsidRPr="000C5FF1">
        <w:rPr>
          <w:i/>
          <w:lang w:val="fr-CA"/>
        </w:rPr>
        <w:t>Loi sur la faillite et l’insolvabilité</w:t>
      </w:r>
      <w:r w:rsidRPr="000C5FF1">
        <w:rPr>
          <w:lang w:val="fr-CA"/>
        </w:rPr>
        <w:t>, L.R.C. 1985, c. B</w:t>
      </w:r>
      <w:r w:rsidRPr="000C5FF1">
        <w:rPr>
          <w:lang w:val="fr-CA"/>
        </w:rPr>
        <w:noBreakHyphen/>
        <w:t>3?</w:t>
      </w:r>
    </w:p>
    <w:p w:rsidR="007E1745" w:rsidRPr="000C5FF1" w:rsidRDefault="007E1745" w:rsidP="00203BA3">
      <w:pPr>
        <w:pStyle w:val="Citation-AltC"/>
        <w:widowControl w:val="0"/>
        <w:spacing w:line="480" w:lineRule="auto"/>
        <w:ind w:left="0"/>
        <w:rPr>
          <w:lang w:val="fr-CA"/>
        </w:rPr>
      </w:pPr>
      <w:r w:rsidRPr="000C5FF1">
        <w:rPr>
          <w:lang w:val="fr-CA"/>
        </w:rPr>
        <w:t xml:space="preserve">Réponse : Oui, dans la mesure où il permet à un créancier de recouvrer une réclamation prouvable dont le débiteur a été libéré en application du par. 178(2) de la </w:t>
      </w:r>
      <w:r w:rsidR="00116771" w:rsidRPr="00116771">
        <w:rPr>
          <w:i/>
          <w:lang w:val="fr-CA"/>
        </w:rPr>
        <w:t>L</w:t>
      </w:r>
      <w:r w:rsidR="00116771">
        <w:rPr>
          <w:i/>
          <w:lang w:val="fr-CA"/>
        </w:rPr>
        <w:t>FI</w:t>
      </w:r>
      <w:r w:rsidRPr="000C5FF1">
        <w:rPr>
          <w:lang w:val="fr-CA"/>
        </w:rPr>
        <w:t>.</w:t>
      </w:r>
    </w:p>
    <w:p w:rsidR="007E1745" w:rsidRPr="00A979AB" w:rsidRDefault="007E1745" w:rsidP="00203BA3">
      <w:pPr>
        <w:pStyle w:val="JudgeJuge"/>
        <w:widowControl w:val="0"/>
        <w:spacing w:before="480"/>
        <w:jc w:val="both"/>
        <w:rPr>
          <w:smallCaps w:val="0"/>
          <w:lang w:val="fr-CA"/>
        </w:rPr>
      </w:pPr>
      <w:r w:rsidRPr="00CE49E6">
        <w:rPr>
          <w:lang w:val="fr-CA"/>
        </w:rPr>
        <w:tab/>
      </w:r>
      <w:r w:rsidR="00A979AB" w:rsidRPr="00A979AB">
        <w:rPr>
          <w:smallCaps w:val="0"/>
          <w:lang w:val="fr-CA"/>
        </w:rPr>
        <w:t>Versio</w:t>
      </w:r>
      <w:r w:rsidR="00A979AB">
        <w:rPr>
          <w:smallCaps w:val="0"/>
          <w:lang w:val="fr-CA"/>
        </w:rPr>
        <w:t>n française des motifs de la juge en chef McLachlin et de la juge Côté rendus par</w:t>
      </w:r>
    </w:p>
    <w:p w:rsidR="007E1745" w:rsidRPr="00CE49E6" w:rsidRDefault="00A979AB" w:rsidP="00203BA3">
      <w:pPr>
        <w:pStyle w:val="ParaNoNdepar-AltN"/>
        <w:widowControl w:val="0"/>
        <w:tabs>
          <w:tab w:val="clear" w:pos="1166"/>
          <w:tab w:val="num" w:pos="1152"/>
        </w:tabs>
        <w:rPr>
          <w:lang w:val="fr-CA"/>
        </w:rPr>
      </w:pPr>
      <w:r w:rsidRPr="00A979AB">
        <w:rPr>
          <w:smallCaps/>
          <w:lang w:val="fr-CA"/>
        </w:rPr>
        <w:t>La juge Côté</w:t>
      </w:r>
      <w:r w:rsidRPr="00A979AB">
        <w:rPr>
          <w:lang w:val="fr-CA"/>
        </w:rPr>
        <w:t xml:space="preserve"> — </w:t>
      </w:r>
      <w:r w:rsidR="007E1745" w:rsidRPr="00CE49E6">
        <w:rPr>
          <w:lang w:val="fr-CA"/>
        </w:rPr>
        <w:t xml:space="preserve">Tout comme dans mon opinion concordante dans l’affaire connexe </w:t>
      </w:r>
      <w:r w:rsidR="007E1745" w:rsidRPr="00CE49E6">
        <w:rPr>
          <w:i/>
          <w:lang w:val="fr-CA"/>
        </w:rPr>
        <w:t xml:space="preserve">Alberta (Procureur général) c. </w:t>
      </w:r>
      <w:proofErr w:type="spellStart"/>
      <w:r w:rsidR="007E1745" w:rsidRPr="00CE49E6">
        <w:rPr>
          <w:i/>
          <w:lang w:val="fr-CA"/>
        </w:rPr>
        <w:t>Moloney</w:t>
      </w:r>
      <w:proofErr w:type="spellEnd"/>
      <w:r w:rsidR="007E1745" w:rsidRPr="00CE49E6">
        <w:rPr>
          <w:lang w:val="fr-CA"/>
        </w:rPr>
        <w:t xml:space="preserve">, 2015 CSC </w:t>
      </w:r>
      <w:r w:rsidR="007E1745">
        <w:rPr>
          <w:lang w:val="fr-CA"/>
        </w:rPr>
        <w:t>51</w:t>
      </w:r>
      <w:r w:rsidR="007E1745" w:rsidRPr="00CE49E6">
        <w:rPr>
          <w:lang w:val="fr-CA"/>
        </w:rPr>
        <w:t xml:space="preserve">, </w:t>
      </w:r>
      <w:r w:rsidR="00F536CA">
        <w:rPr>
          <w:lang w:val="fr-CA"/>
        </w:rPr>
        <w:t xml:space="preserve">[2015] 3 R.C.S. </w:t>
      </w:r>
      <w:r w:rsidR="00F27A93">
        <w:rPr>
          <w:lang w:val="fr-CA"/>
        </w:rPr>
        <w:t>327</w:t>
      </w:r>
      <w:r w:rsidR="00F536CA">
        <w:rPr>
          <w:lang w:val="fr-CA"/>
        </w:rPr>
        <w:t xml:space="preserve">, </w:t>
      </w:r>
      <w:r w:rsidR="007E1745" w:rsidRPr="00CE49E6">
        <w:rPr>
          <w:lang w:val="fr-CA"/>
        </w:rPr>
        <w:t xml:space="preserve">j’estime qu’il n’existe pas de conflit opérationnel en l’espèce. </w:t>
      </w:r>
    </w:p>
    <w:p w:rsidR="007E1745" w:rsidRPr="00CE49E6" w:rsidRDefault="007E1745" w:rsidP="00203BA3">
      <w:pPr>
        <w:pStyle w:val="ParaNoNdepar-AltN"/>
        <w:widowControl w:val="0"/>
        <w:tabs>
          <w:tab w:val="clear" w:pos="1166"/>
          <w:tab w:val="num" w:pos="1152"/>
        </w:tabs>
        <w:rPr>
          <w:rFonts w:cs="Times New Roman"/>
          <w:lang w:val="fr-CA"/>
        </w:rPr>
      </w:pPr>
      <w:r w:rsidRPr="00CE49E6">
        <w:rPr>
          <w:rFonts w:cs="Times New Roman"/>
          <w:lang w:val="fr-CA"/>
        </w:rPr>
        <w:t xml:space="preserve">Mon opinion quant à l’approche à suivre pour le volet « conflit opérationnel » de l’analyse fondée sur la doctrine de la prépondérance fédérale est </w:t>
      </w:r>
      <w:r w:rsidRPr="00CE49E6">
        <w:rPr>
          <w:rFonts w:cs="Times New Roman"/>
          <w:lang w:val="fr-CA"/>
        </w:rPr>
        <w:lastRenderedPageBreak/>
        <w:t xml:space="preserve">exposée dans les motifs que j’ai rédigés dans </w:t>
      </w:r>
      <w:proofErr w:type="spellStart"/>
      <w:r w:rsidRPr="00CE49E6">
        <w:rPr>
          <w:rFonts w:cs="Times New Roman"/>
          <w:i/>
          <w:lang w:val="fr-CA"/>
        </w:rPr>
        <w:t>Moloney</w:t>
      </w:r>
      <w:proofErr w:type="spellEnd"/>
      <w:r w:rsidRPr="00CE49E6">
        <w:rPr>
          <w:rFonts w:cs="Times New Roman"/>
          <w:lang w:val="fr-CA"/>
        </w:rPr>
        <w:t xml:space="preserve">, et en l’espèce, cette opinion est étayée par l’analyse qu’a faite la juge </w:t>
      </w:r>
      <w:proofErr w:type="spellStart"/>
      <w:r w:rsidRPr="00CE49E6">
        <w:rPr>
          <w:rFonts w:cs="Times New Roman"/>
          <w:lang w:val="fr-CA"/>
        </w:rPr>
        <w:t>Pepall</w:t>
      </w:r>
      <w:proofErr w:type="spellEnd"/>
      <w:r w:rsidRPr="00CE49E6">
        <w:rPr>
          <w:rFonts w:cs="Times New Roman"/>
          <w:lang w:val="fr-CA"/>
        </w:rPr>
        <w:t xml:space="preserve"> au nom de la Cour d’appel de l’Ontario : 2013 ONCA 769, </w:t>
      </w:r>
      <w:r w:rsidR="007354A2">
        <w:rPr>
          <w:rFonts w:cs="Times New Roman"/>
          <w:lang w:val="fr-CA"/>
        </w:rPr>
        <w:t xml:space="preserve">118 </w:t>
      </w:r>
      <w:r w:rsidRPr="00CE49E6">
        <w:rPr>
          <w:rFonts w:cs="Times New Roman"/>
          <w:lang w:val="fr-CA"/>
        </w:rPr>
        <w:t>O.R. (3d) 161, par. 67</w:t>
      </w:r>
      <w:r w:rsidRPr="00CE49E6">
        <w:rPr>
          <w:rFonts w:cs="Times New Roman"/>
          <w:lang w:val="fr-CA"/>
        </w:rPr>
        <w:noBreakHyphen/>
        <w:t xml:space="preserve">93. </w:t>
      </w:r>
    </w:p>
    <w:p w:rsidR="007E1745" w:rsidRPr="00CE49E6" w:rsidRDefault="007E1745" w:rsidP="00203BA3">
      <w:pPr>
        <w:pStyle w:val="ParaNoNdepar-AltN"/>
        <w:widowControl w:val="0"/>
        <w:rPr>
          <w:rFonts w:cs="Times New Roman"/>
          <w:lang w:val="fr-CA"/>
        </w:rPr>
      </w:pPr>
      <w:r w:rsidRPr="00CE49E6">
        <w:rPr>
          <w:rFonts w:cs="Times New Roman"/>
          <w:lang w:val="fr-CA"/>
        </w:rPr>
        <w:t xml:space="preserve">L’impossibilité de se conformer aux deux lois en raison d’un conflit exprès constitue la norme applicable. Dans l’affaire qui nous occupe, il est possible de se conformer au par. 22(1) de la </w:t>
      </w:r>
      <w:r w:rsidRPr="00CE49E6">
        <w:rPr>
          <w:rFonts w:cs="Times New Roman"/>
          <w:i/>
          <w:lang w:val="fr-CA"/>
        </w:rPr>
        <w:t>Loi de 1998 sur l’autoroute 407</w:t>
      </w:r>
      <w:r w:rsidRPr="00CE49E6">
        <w:rPr>
          <w:rFonts w:cs="Times New Roman"/>
          <w:lang w:val="fr-CA"/>
        </w:rPr>
        <w:t>, L.O. 1998, c. 28 (« </w:t>
      </w:r>
      <w:r w:rsidRPr="00CE49E6">
        <w:rPr>
          <w:rFonts w:cs="Times New Roman"/>
          <w:i/>
          <w:lang w:val="fr-CA"/>
        </w:rPr>
        <w:t>Loi 407 </w:t>
      </w:r>
      <w:r w:rsidRPr="00CE49E6">
        <w:rPr>
          <w:rFonts w:cs="Times New Roman"/>
          <w:lang w:val="fr-CA"/>
        </w:rPr>
        <w:t xml:space="preserve">»), sans enfreindre l’exigence littérale du par. 178(2) de la </w:t>
      </w:r>
      <w:r w:rsidRPr="00CE49E6">
        <w:rPr>
          <w:rFonts w:cs="Times New Roman"/>
          <w:i/>
          <w:lang w:val="fr-CA"/>
        </w:rPr>
        <w:t>Loi sur la faillite et l’insolvabilité</w:t>
      </w:r>
      <w:r w:rsidRPr="00CE49E6">
        <w:rPr>
          <w:rFonts w:cs="Times New Roman"/>
          <w:lang w:val="fr-CA"/>
        </w:rPr>
        <w:t>, L.R.C. 1985, c. B</w:t>
      </w:r>
      <w:r w:rsidRPr="00CE49E6">
        <w:rPr>
          <w:rFonts w:cs="Times New Roman"/>
          <w:lang w:val="fr-CA"/>
        </w:rPr>
        <w:noBreakHyphen/>
        <w:t>3 (« </w:t>
      </w:r>
      <w:r w:rsidRPr="00CE49E6">
        <w:rPr>
          <w:rFonts w:cs="Times New Roman"/>
          <w:i/>
          <w:lang w:val="fr-CA"/>
        </w:rPr>
        <w:t>LFI </w:t>
      </w:r>
      <w:r w:rsidRPr="00CE49E6">
        <w:rPr>
          <w:rFonts w:cs="Times New Roman"/>
          <w:lang w:val="fr-CA"/>
        </w:rPr>
        <w:t xml:space="preserve">»). Se fondant sur l’intention du Parlement de favoriser la réhabilitation financière du failli, mon collègue donne au par. 178(2) de la </w:t>
      </w:r>
      <w:r w:rsidRPr="00CE49E6">
        <w:rPr>
          <w:rFonts w:cs="Times New Roman"/>
          <w:i/>
          <w:lang w:val="fr-CA"/>
        </w:rPr>
        <w:t>LFI</w:t>
      </w:r>
      <w:r w:rsidRPr="00CE49E6">
        <w:rPr>
          <w:rFonts w:cs="Times New Roman"/>
          <w:lang w:val="fr-CA"/>
        </w:rPr>
        <w:t xml:space="preserve"> une interprétation large qui l’amène à conclure à l’existence d’un conflit opérationnel.</w:t>
      </w:r>
    </w:p>
    <w:p w:rsidR="007E1745" w:rsidRPr="00CE49E6" w:rsidRDefault="007E1745" w:rsidP="00203BA3">
      <w:pPr>
        <w:pStyle w:val="ParaNoNdepar-AltN"/>
        <w:widowControl w:val="0"/>
        <w:rPr>
          <w:rFonts w:cs="Times New Roman"/>
          <w:lang w:val="fr-CA"/>
        </w:rPr>
      </w:pPr>
      <w:r w:rsidRPr="00CE49E6">
        <w:rPr>
          <w:rFonts w:cs="Times New Roman"/>
          <w:lang w:val="fr-CA"/>
        </w:rPr>
        <w:t xml:space="preserve">Tout comme dans </w:t>
      </w:r>
      <w:proofErr w:type="spellStart"/>
      <w:r w:rsidRPr="00CE49E6">
        <w:rPr>
          <w:rFonts w:cs="Times New Roman"/>
          <w:i/>
          <w:lang w:val="fr-CA"/>
        </w:rPr>
        <w:t>Moloney</w:t>
      </w:r>
      <w:proofErr w:type="spellEnd"/>
      <w:r w:rsidRPr="00CE49E6">
        <w:rPr>
          <w:rFonts w:cs="Times New Roman"/>
          <w:lang w:val="fr-CA"/>
        </w:rPr>
        <w:t xml:space="preserve">, les deux lois diffèrent de par leur contenu et les recours qu’elles offrent. Ainsi, il ne s’agit pas d’un cas où une loi dit « oui » alors que l’autre dit « non ». Puisque l’une </w:t>
      </w:r>
      <w:r w:rsidR="00F27A93">
        <w:rPr>
          <w:rFonts w:cs="Times New Roman"/>
          <w:lang w:val="fr-CA"/>
        </w:rPr>
        <w:t xml:space="preserve">ne </w:t>
      </w:r>
      <w:r w:rsidRPr="00CE49E6">
        <w:rPr>
          <w:rFonts w:cs="Times New Roman"/>
          <w:lang w:val="fr-CA"/>
        </w:rPr>
        <w:t xml:space="preserve">permet </w:t>
      </w:r>
      <w:r w:rsidR="00F27A93">
        <w:rPr>
          <w:rFonts w:cs="Times New Roman"/>
          <w:lang w:val="fr-CA"/>
        </w:rPr>
        <w:t xml:space="preserve">pas </w:t>
      </w:r>
      <w:r w:rsidRPr="00CE49E6">
        <w:rPr>
          <w:rFonts w:cs="Times New Roman"/>
          <w:lang w:val="fr-CA"/>
        </w:rPr>
        <w:t xml:space="preserve">ce que l’autre interdit expressément, il n’existe pas de conflit exprès. Conclure autrement revient à ajouter au texte du par. 178(2) de la </w:t>
      </w:r>
      <w:r w:rsidRPr="00CE49E6">
        <w:rPr>
          <w:rFonts w:cs="Times New Roman"/>
          <w:i/>
          <w:lang w:val="fr-CA"/>
        </w:rPr>
        <w:t>LFI</w:t>
      </w:r>
      <w:r w:rsidRPr="00CE49E6">
        <w:rPr>
          <w:rFonts w:cs="Times New Roman"/>
          <w:lang w:val="fr-CA"/>
        </w:rPr>
        <w:t>, malgré la possibilité d’une interprétation harmonieuse des deux textes législatifs permettant de conclure qu’ils sont compatibles.</w:t>
      </w:r>
    </w:p>
    <w:p w:rsidR="007E1745" w:rsidRPr="00CE49E6" w:rsidRDefault="007E1745" w:rsidP="00203BA3">
      <w:pPr>
        <w:pStyle w:val="ParaNoNdepar-AltN"/>
        <w:widowControl w:val="0"/>
        <w:rPr>
          <w:rFonts w:cs="Times New Roman"/>
          <w:lang w:val="fr-CA"/>
        </w:rPr>
      </w:pPr>
      <w:r w:rsidRPr="00CE49E6">
        <w:rPr>
          <w:rFonts w:cs="Times New Roman"/>
          <w:lang w:val="fr-CA"/>
        </w:rPr>
        <w:t xml:space="preserve">Le paragraphe 22(1) de la </w:t>
      </w:r>
      <w:r w:rsidRPr="00CE49E6">
        <w:rPr>
          <w:rFonts w:cs="Times New Roman"/>
          <w:i/>
          <w:lang w:val="fr-CA"/>
        </w:rPr>
        <w:t>Loi 407</w:t>
      </w:r>
      <w:r w:rsidRPr="00CE49E6">
        <w:rPr>
          <w:rFonts w:cs="Times New Roman"/>
          <w:lang w:val="fr-CA"/>
        </w:rPr>
        <w:t xml:space="preserve"> permet à la province de l’Ontario de refuser la délivrance d’un certificat d’immatriculation parce qu’un failli n’a pas payé une dette dont il a été libéré. Puisque le par. 178(2) de la </w:t>
      </w:r>
      <w:r w:rsidRPr="00CE49E6">
        <w:rPr>
          <w:rFonts w:cs="Times New Roman"/>
          <w:i/>
          <w:lang w:val="fr-CA"/>
        </w:rPr>
        <w:t>LFI</w:t>
      </w:r>
      <w:r w:rsidRPr="00CE49E6">
        <w:rPr>
          <w:rFonts w:cs="Times New Roman"/>
          <w:lang w:val="fr-CA"/>
        </w:rPr>
        <w:t xml:space="preserve"> prévoit seulement qu’une ordonnance de libération libère le failli des réclamations </w:t>
      </w:r>
      <w:r w:rsidRPr="00CE49E6">
        <w:rPr>
          <w:rFonts w:cs="Times New Roman"/>
          <w:szCs w:val="24"/>
          <w:lang w:val="fr-CA"/>
        </w:rPr>
        <w:t xml:space="preserve">prouvables en matière de </w:t>
      </w:r>
      <w:r w:rsidRPr="00CE49E6">
        <w:rPr>
          <w:rFonts w:cs="Times New Roman"/>
          <w:szCs w:val="24"/>
          <w:lang w:val="fr-CA"/>
        </w:rPr>
        <w:lastRenderedPageBreak/>
        <w:t>faillite, les deux lois peuvent coexister simultanément sans conflit.</w:t>
      </w:r>
    </w:p>
    <w:p w:rsidR="007E1745" w:rsidRPr="00CE49E6" w:rsidRDefault="007E1745" w:rsidP="00203BA3">
      <w:pPr>
        <w:pStyle w:val="ParaNoNdepar-AltN"/>
        <w:widowControl w:val="0"/>
        <w:rPr>
          <w:rFonts w:cs="Times New Roman"/>
          <w:lang w:val="fr-CA"/>
        </w:rPr>
      </w:pPr>
      <w:r w:rsidRPr="00CE49E6">
        <w:rPr>
          <w:rFonts w:cs="Times New Roman"/>
          <w:lang w:val="fr-CA"/>
        </w:rPr>
        <w:t xml:space="preserve">Si un débiteur choisit de ne pas conduire, la province ne peut tout simplement pas recouvrer sa créance. Il en va de même si 407 ETR Concession </w:t>
      </w:r>
      <w:proofErr w:type="spellStart"/>
      <w:r w:rsidRPr="00CE49E6">
        <w:rPr>
          <w:rFonts w:cs="Times New Roman"/>
          <w:lang w:val="fr-CA"/>
        </w:rPr>
        <w:t>Company</w:t>
      </w:r>
      <w:proofErr w:type="spellEnd"/>
      <w:r w:rsidRPr="00CE49E6">
        <w:rPr>
          <w:rFonts w:cs="Times New Roman"/>
          <w:lang w:val="fr-CA"/>
        </w:rPr>
        <w:t xml:space="preserve"> Limited choisit de ne pas aviser le </w:t>
      </w:r>
      <w:proofErr w:type="spellStart"/>
      <w:r w:rsidRPr="00CE49E6">
        <w:rPr>
          <w:rFonts w:cs="Times New Roman"/>
          <w:lang w:val="fr-CA"/>
        </w:rPr>
        <w:t>registrateur</w:t>
      </w:r>
      <w:proofErr w:type="spellEnd"/>
      <w:r w:rsidRPr="00CE49E6">
        <w:rPr>
          <w:rFonts w:cs="Times New Roman"/>
          <w:lang w:val="fr-CA"/>
        </w:rPr>
        <w:t xml:space="preserve"> des véhicules automobiles du défaut de paiement du débiteur; dans ce cas, le par. 22(4) ne s’applique pas. En raison de la façon dont les deux législateurs ont décidé d’exercer leur compétence législative respective, il est évident que le respect des deux textes de loi n’est pas impossible en l’espèce. </w:t>
      </w:r>
    </w:p>
    <w:p w:rsidR="007E1745" w:rsidRPr="00CE49E6" w:rsidRDefault="007E1745" w:rsidP="00203BA3">
      <w:pPr>
        <w:pStyle w:val="ParaNoNdepar-AltN"/>
        <w:widowControl w:val="0"/>
        <w:tabs>
          <w:tab w:val="clear" w:pos="1166"/>
          <w:tab w:val="num" w:pos="1152"/>
        </w:tabs>
        <w:rPr>
          <w:rFonts w:cs="Times New Roman"/>
          <w:lang w:val="fr-CA"/>
        </w:rPr>
      </w:pPr>
      <w:r w:rsidRPr="00CE49E6">
        <w:rPr>
          <w:rFonts w:cs="Times New Roman"/>
          <w:lang w:val="fr-CA"/>
        </w:rPr>
        <w:t xml:space="preserve">Cependant, tout comme dans </w:t>
      </w:r>
      <w:proofErr w:type="spellStart"/>
      <w:r w:rsidRPr="00CE49E6">
        <w:rPr>
          <w:rFonts w:cs="Times New Roman"/>
          <w:i/>
          <w:lang w:val="fr-CA"/>
        </w:rPr>
        <w:t>Moloney</w:t>
      </w:r>
      <w:proofErr w:type="spellEnd"/>
      <w:r w:rsidRPr="00CE49E6">
        <w:rPr>
          <w:rFonts w:cs="Times New Roman"/>
          <w:lang w:val="fr-CA"/>
        </w:rPr>
        <w:t xml:space="preserve">, le par. 22(1) de la </w:t>
      </w:r>
      <w:r w:rsidRPr="00CE49E6">
        <w:rPr>
          <w:rFonts w:cs="Times New Roman"/>
          <w:i/>
          <w:lang w:val="fr-CA"/>
        </w:rPr>
        <w:t>Loi 407</w:t>
      </w:r>
      <w:r w:rsidRPr="00CE49E6">
        <w:rPr>
          <w:rFonts w:cs="Times New Roman"/>
          <w:lang w:val="fr-CA"/>
        </w:rPr>
        <w:t xml:space="preserve"> autorise la province à faire indirectement ce que le par. 178(2) de la </w:t>
      </w:r>
      <w:r w:rsidRPr="00CE49E6">
        <w:rPr>
          <w:rFonts w:cs="Times New Roman"/>
          <w:i/>
          <w:lang w:val="fr-CA"/>
        </w:rPr>
        <w:t>LFI</w:t>
      </w:r>
      <w:r w:rsidRPr="00CE49E6">
        <w:rPr>
          <w:rFonts w:cs="Times New Roman"/>
          <w:lang w:val="fr-CA"/>
        </w:rPr>
        <w:t xml:space="preserve"> lui interdit implicitement de faire. Le caractère indirect du conflit indique que la question doit être examinée sous le deuxième volet de l’analyse fondée sur la doctrine de la prépondérance fédérale. Il faut donc trancher le présent pourvoi sur la base d’une analyse de l’entrave à la réalisation de l’objectif fédéral.</w:t>
      </w:r>
    </w:p>
    <w:p w:rsidR="007E1745" w:rsidRPr="00CE49E6" w:rsidRDefault="007E1745" w:rsidP="00203BA3">
      <w:pPr>
        <w:pStyle w:val="ParaNoNdepar-AltN"/>
        <w:widowControl w:val="0"/>
        <w:tabs>
          <w:tab w:val="clear" w:pos="1166"/>
          <w:tab w:val="num" w:pos="1152"/>
        </w:tabs>
        <w:rPr>
          <w:rFonts w:cs="Times New Roman"/>
          <w:lang w:val="fr-CA"/>
        </w:rPr>
      </w:pPr>
      <w:r w:rsidRPr="00CE49E6">
        <w:rPr>
          <w:rFonts w:cs="Times New Roman"/>
          <w:lang w:val="fr-CA"/>
        </w:rPr>
        <w:t>Pour le reste, je partage l’avis du juge Gascon dans la mesure où il conclut que l’art. 22 de la</w:t>
      </w:r>
      <w:r w:rsidRPr="00CE49E6">
        <w:rPr>
          <w:rFonts w:cs="Times New Roman"/>
          <w:i/>
          <w:lang w:val="fr-CA"/>
        </w:rPr>
        <w:t xml:space="preserve"> Loi 407</w:t>
      </w:r>
      <w:r w:rsidRPr="00CE49E6">
        <w:rPr>
          <w:rFonts w:cs="Times New Roman"/>
          <w:lang w:val="fr-CA"/>
        </w:rPr>
        <w:t xml:space="preserve"> entrave la réalisation de l’objectif fédéral relatif à la réhabilitation financière que vise le par. 178(2) de la </w:t>
      </w:r>
      <w:r w:rsidRPr="00CE49E6">
        <w:rPr>
          <w:rFonts w:cs="Times New Roman"/>
          <w:i/>
          <w:lang w:val="fr-CA"/>
        </w:rPr>
        <w:t>LFI</w:t>
      </w:r>
      <w:r w:rsidRPr="00CE49E6">
        <w:rPr>
          <w:rFonts w:cs="Times New Roman"/>
          <w:lang w:val="fr-CA"/>
        </w:rPr>
        <w:t xml:space="preserve">. Puisque l’entrave à l’atteinte d’un objectif fédéral suffit pour que s’applique la doctrine de la prépondérance fédérale, je n’ai pas à examiner le deuxième motif proposé d’entrave à la réalisation de l’objectif, la distribution équitable des biens.  </w:t>
      </w:r>
    </w:p>
    <w:p w:rsidR="000C1460" w:rsidRPr="00D558D3" w:rsidRDefault="000C1460" w:rsidP="00203BA3">
      <w:pPr>
        <w:pStyle w:val="SCCNormalDoubleSpacing"/>
        <w:widowControl w:val="0"/>
        <w:spacing w:after="480"/>
        <w:rPr>
          <w:lang w:val="fr-CA"/>
        </w:rPr>
      </w:pPr>
      <w:r w:rsidRPr="00D558D3">
        <w:rPr>
          <w:lang w:val="fr-CA"/>
        </w:rPr>
        <w:lastRenderedPageBreak/>
        <w:tab/>
      </w:r>
      <w:r w:rsidRPr="00D558D3">
        <w:rPr>
          <w:i/>
          <w:lang w:val="fr-CA"/>
        </w:rPr>
        <w:t xml:space="preserve">Pourvoi rejeté avec dépens. </w:t>
      </w:r>
    </w:p>
    <w:p w:rsidR="000C1460" w:rsidRPr="00D558D3" w:rsidRDefault="000C1460" w:rsidP="00203BA3">
      <w:pPr>
        <w:pStyle w:val="SCCLawFirm"/>
        <w:widowControl w:val="0"/>
        <w:spacing w:after="480"/>
        <w:rPr>
          <w:lang w:val="fr-CA"/>
        </w:rPr>
      </w:pPr>
      <w:r w:rsidRPr="00D558D3">
        <w:rPr>
          <w:lang w:val="fr-CA"/>
        </w:rPr>
        <w:tab/>
        <w:t>Procureurs de l’appelante : </w:t>
      </w:r>
      <w:proofErr w:type="spellStart"/>
      <w:r w:rsidRPr="00D558D3">
        <w:rPr>
          <w:lang w:val="fr-CA"/>
        </w:rPr>
        <w:t>Lenczner</w:t>
      </w:r>
      <w:proofErr w:type="spellEnd"/>
      <w:r w:rsidRPr="00D558D3">
        <w:rPr>
          <w:lang w:val="fr-CA"/>
        </w:rPr>
        <w:t xml:space="preserve"> </w:t>
      </w:r>
      <w:proofErr w:type="spellStart"/>
      <w:r w:rsidRPr="00D558D3">
        <w:rPr>
          <w:lang w:val="fr-CA"/>
        </w:rPr>
        <w:t>Slaght</w:t>
      </w:r>
      <w:proofErr w:type="spellEnd"/>
      <w:r w:rsidRPr="00D558D3">
        <w:rPr>
          <w:lang w:val="fr-CA"/>
        </w:rPr>
        <w:t xml:space="preserve"> Royce Smith Griffin, Toronto; 407 ETR Concession </w:t>
      </w:r>
      <w:proofErr w:type="spellStart"/>
      <w:r w:rsidRPr="00D558D3">
        <w:rPr>
          <w:lang w:val="fr-CA"/>
        </w:rPr>
        <w:t>Company</w:t>
      </w:r>
      <w:proofErr w:type="spellEnd"/>
      <w:r w:rsidRPr="00D558D3">
        <w:rPr>
          <w:lang w:val="fr-CA"/>
        </w:rPr>
        <w:t xml:space="preserve"> Limited, Woodbridge.</w:t>
      </w:r>
    </w:p>
    <w:p w:rsidR="000C1460" w:rsidRPr="00D558D3" w:rsidRDefault="000C1460" w:rsidP="00203BA3">
      <w:pPr>
        <w:pStyle w:val="SCCLawFirm"/>
        <w:widowControl w:val="0"/>
        <w:spacing w:after="480"/>
        <w:rPr>
          <w:lang w:val="fr-CA"/>
        </w:rPr>
      </w:pPr>
      <w:r w:rsidRPr="00D558D3">
        <w:rPr>
          <w:lang w:val="fr-CA"/>
        </w:rPr>
        <w:tab/>
        <w:t>Procureur de l’intimé : Procureur général du Canada, Toronto.</w:t>
      </w:r>
    </w:p>
    <w:p w:rsidR="000C1460" w:rsidRPr="00D558D3" w:rsidRDefault="000C1460" w:rsidP="00203BA3">
      <w:pPr>
        <w:pStyle w:val="SCCLawFirm"/>
        <w:widowControl w:val="0"/>
        <w:spacing w:after="480"/>
        <w:rPr>
          <w:lang w:val="fr-CA"/>
        </w:rPr>
      </w:pPr>
      <w:r w:rsidRPr="00D558D3">
        <w:rPr>
          <w:lang w:val="fr-CA"/>
        </w:rPr>
        <w:tab/>
        <w:t>Procureur de l’intervenant le procureur général de l’Ontario : Procureur général de l’Ontario, Toronto.</w:t>
      </w:r>
    </w:p>
    <w:p w:rsidR="000C1460" w:rsidRPr="00D558D3" w:rsidRDefault="000C1460" w:rsidP="00203BA3">
      <w:pPr>
        <w:pStyle w:val="SCCLawFirm"/>
        <w:widowControl w:val="0"/>
        <w:spacing w:after="480"/>
        <w:rPr>
          <w:lang w:val="fr-CA"/>
        </w:rPr>
      </w:pPr>
      <w:r w:rsidRPr="00D558D3">
        <w:rPr>
          <w:lang w:val="fr-CA"/>
        </w:rPr>
        <w:tab/>
        <w:t>Procureure de l’intervenante la procureure générale du Québec : Procureure générale du Québec, Québec.</w:t>
      </w:r>
    </w:p>
    <w:p w:rsidR="000C1460" w:rsidRPr="00D558D3" w:rsidRDefault="000C1460" w:rsidP="00203BA3">
      <w:pPr>
        <w:pStyle w:val="SCCLawFirm"/>
        <w:widowControl w:val="0"/>
        <w:spacing w:after="480"/>
        <w:rPr>
          <w:lang w:val="fr-CA"/>
        </w:rPr>
      </w:pPr>
      <w:r w:rsidRPr="00D558D3">
        <w:rPr>
          <w:lang w:val="fr-CA"/>
        </w:rPr>
        <w:tab/>
        <w:t>Procureur de l’intervenant le procureur général de la Colombie</w:t>
      </w:r>
      <w:r w:rsidRPr="00D558D3">
        <w:rPr>
          <w:lang w:val="fr-CA"/>
        </w:rPr>
        <w:noBreakHyphen/>
        <w:t>Britannique : Procureur général de la Colombie</w:t>
      </w:r>
      <w:r w:rsidRPr="00D558D3">
        <w:rPr>
          <w:lang w:val="fr-CA"/>
        </w:rPr>
        <w:noBreakHyphen/>
        <w:t>Britannique, Victoria.</w:t>
      </w:r>
    </w:p>
    <w:p w:rsidR="000C1460" w:rsidRPr="00D558D3" w:rsidRDefault="000C1460" w:rsidP="00203BA3">
      <w:pPr>
        <w:pStyle w:val="SCCLawFirm"/>
        <w:widowControl w:val="0"/>
        <w:spacing w:after="480"/>
        <w:rPr>
          <w:lang w:val="fr-CA"/>
        </w:rPr>
      </w:pPr>
      <w:r w:rsidRPr="00D558D3">
        <w:rPr>
          <w:lang w:val="fr-CA"/>
        </w:rPr>
        <w:tab/>
        <w:t>Procureur de l’intervenant le procureur général de la Saskatchewan : Procureur général de la Saskatchewan, Regina.</w:t>
      </w:r>
    </w:p>
    <w:p w:rsidR="000C1460" w:rsidRPr="00D558D3" w:rsidRDefault="000C1460" w:rsidP="00203BA3">
      <w:pPr>
        <w:pStyle w:val="SCCLawFirm"/>
        <w:widowControl w:val="0"/>
        <w:spacing w:after="480"/>
        <w:rPr>
          <w:lang w:val="fr-CA"/>
        </w:rPr>
      </w:pPr>
      <w:r w:rsidRPr="00D558D3">
        <w:rPr>
          <w:lang w:val="fr-CA"/>
        </w:rPr>
        <w:tab/>
        <w:t>Procureur de l’intervenant le procureur général de l’Alberta : Procureur général de l’Alberta, Edmonton.</w:t>
      </w:r>
    </w:p>
    <w:p w:rsidR="000C1460" w:rsidRPr="00D558D3" w:rsidRDefault="000C1460" w:rsidP="00203BA3">
      <w:pPr>
        <w:pStyle w:val="SCCLawFirm"/>
        <w:widowControl w:val="0"/>
        <w:rPr>
          <w:lang w:val="fr-CA"/>
        </w:rPr>
      </w:pPr>
      <w:r w:rsidRPr="00D558D3">
        <w:rPr>
          <w:lang w:val="fr-CA"/>
        </w:rPr>
        <w:tab/>
        <w:t xml:space="preserve">Procureurs des intervenants Michael Dow, Gwendolyn Miron et Peter </w:t>
      </w:r>
      <w:proofErr w:type="spellStart"/>
      <w:r w:rsidRPr="00D558D3">
        <w:rPr>
          <w:lang w:val="fr-CA"/>
        </w:rPr>
        <w:t>Teolis</w:t>
      </w:r>
      <w:proofErr w:type="spellEnd"/>
      <w:r w:rsidRPr="00D558D3">
        <w:rPr>
          <w:lang w:val="fr-CA"/>
        </w:rPr>
        <w:t> : </w:t>
      </w:r>
      <w:proofErr w:type="spellStart"/>
      <w:r w:rsidRPr="00D558D3">
        <w:rPr>
          <w:lang w:val="fr-CA"/>
        </w:rPr>
        <w:t>Scarfone</w:t>
      </w:r>
      <w:proofErr w:type="spellEnd"/>
      <w:r w:rsidRPr="00D558D3">
        <w:rPr>
          <w:lang w:val="fr-CA"/>
        </w:rPr>
        <w:t xml:space="preserve"> Hawkins, Hamilton.</w:t>
      </w:r>
    </w:p>
    <w:sectPr w:rsidR="000C1460" w:rsidRPr="00D558D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6E" w:rsidRDefault="00582573">
      <w:r>
        <w:separator/>
      </w:r>
    </w:p>
  </w:endnote>
  <w:endnote w:type="continuationSeparator" w:id="0">
    <w:p w:rsidR="00B1356E" w:rsidRDefault="0058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A2" w:rsidRDefault="0073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A2" w:rsidRDefault="00735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A2" w:rsidRDefault="0073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6E" w:rsidRDefault="00582573">
      <w:r>
        <w:separator/>
      </w:r>
    </w:p>
  </w:footnote>
  <w:footnote w:type="continuationSeparator" w:id="0">
    <w:p w:rsidR="00B1356E" w:rsidRDefault="0058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A2" w:rsidRDefault="00735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8E0" w:rsidRPr="00450352" w:rsidRDefault="00DB021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A2" w:rsidRDefault="0073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E95E7F"/>
    <w:multiLevelType w:val="hybridMultilevel"/>
    <w:tmpl w:val="74D8E126"/>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87622FD"/>
    <w:multiLevelType w:val="hybridMultilevel"/>
    <w:tmpl w:val="74D8E126"/>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A66AA7C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7"/>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13">
    <w:abstractNumId w:val="4"/>
  </w:num>
  <w:num w:numId="14">
    <w:abstractNumId w:val="4"/>
  </w:num>
  <w:num w:numId="15">
    <w:abstractNumId w:val="4"/>
  </w:num>
  <w:num w:numId="16">
    <w:abstractNumId w:val="8"/>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60"/>
    <w:rsid w:val="00002440"/>
    <w:rsid w:val="00004E38"/>
    <w:rsid w:val="00007471"/>
    <w:rsid w:val="00007E35"/>
    <w:rsid w:val="0001036F"/>
    <w:rsid w:val="00014871"/>
    <w:rsid w:val="000201FE"/>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7A5"/>
    <w:rsid w:val="00082AC7"/>
    <w:rsid w:val="00085400"/>
    <w:rsid w:val="0008649A"/>
    <w:rsid w:val="000878EE"/>
    <w:rsid w:val="00087E1B"/>
    <w:rsid w:val="000916F4"/>
    <w:rsid w:val="00093BAD"/>
    <w:rsid w:val="00093D6D"/>
    <w:rsid w:val="000968E3"/>
    <w:rsid w:val="00097D3C"/>
    <w:rsid w:val="000A19B7"/>
    <w:rsid w:val="000A56A6"/>
    <w:rsid w:val="000A5794"/>
    <w:rsid w:val="000B3027"/>
    <w:rsid w:val="000B6CFC"/>
    <w:rsid w:val="000C03C0"/>
    <w:rsid w:val="000C1460"/>
    <w:rsid w:val="000C2412"/>
    <w:rsid w:val="000C3C63"/>
    <w:rsid w:val="000D7242"/>
    <w:rsid w:val="000E3971"/>
    <w:rsid w:val="000E4C6A"/>
    <w:rsid w:val="000E5C6B"/>
    <w:rsid w:val="000E79DC"/>
    <w:rsid w:val="000F25E2"/>
    <w:rsid w:val="000F3E85"/>
    <w:rsid w:val="00105031"/>
    <w:rsid w:val="001114B6"/>
    <w:rsid w:val="00111C49"/>
    <w:rsid w:val="00113E45"/>
    <w:rsid w:val="00114EDD"/>
    <w:rsid w:val="0011623B"/>
    <w:rsid w:val="00116771"/>
    <w:rsid w:val="00117559"/>
    <w:rsid w:val="0012062C"/>
    <w:rsid w:val="00120705"/>
    <w:rsid w:val="00121A12"/>
    <w:rsid w:val="001221BA"/>
    <w:rsid w:val="0012734D"/>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F0056"/>
    <w:rsid w:val="001F2D95"/>
    <w:rsid w:val="001F380C"/>
    <w:rsid w:val="001F3A5B"/>
    <w:rsid w:val="00202096"/>
    <w:rsid w:val="00202B52"/>
    <w:rsid w:val="00203BA3"/>
    <w:rsid w:val="002044E5"/>
    <w:rsid w:val="002066D7"/>
    <w:rsid w:val="002143E6"/>
    <w:rsid w:val="00234B6A"/>
    <w:rsid w:val="00234CF4"/>
    <w:rsid w:val="00237B2D"/>
    <w:rsid w:val="00237C20"/>
    <w:rsid w:val="00240E34"/>
    <w:rsid w:val="00246238"/>
    <w:rsid w:val="002478E3"/>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5085"/>
    <w:rsid w:val="002B7236"/>
    <w:rsid w:val="002C5B04"/>
    <w:rsid w:val="002D000F"/>
    <w:rsid w:val="002D2060"/>
    <w:rsid w:val="002D2139"/>
    <w:rsid w:val="002E2265"/>
    <w:rsid w:val="002E2E13"/>
    <w:rsid w:val="002E5732"/>
    <w:rsid w:val="002F054A"/>
    <w:rsid w:val="002F2A1B"/>
    <w:rsid w:val="002F3C48"/>
    <w:rsid w:val="002F4BA0"/>
    <w:rsid w:val="00304AB0"/>
    <w:rsid w:val="003050E8"/>
    <w:rsid w:val="00305F85"/>
    <w:rsid w:val="00306FB1"/>
    <w:rsid w:val="00314536"/>
    <w:rsid w:val="00316363"/>
    <w:rsid w:val="00316B32"/>
    <w:rsid w:val="00322858"/>
    <w:rsid w:val="00322BC0"/>
    <w:rsid w:val="00324B41"/>
    <w:rsid w:val="00324C31"/>
    <w:rsid w:val="00326375"/>
    <w:rsid w:val="00327141"/>
    <w:rsid w:val="0033102D"/>
    <w:rsid w:val="0033740D"/>
    <w:rsid w:val="00341DA0"/>
    <w:rsid w:val="00354CF4"/>
    <w:rsid w:val="00360800"/>
    <w:rsid w:val="00363062"/>
    <w:rsid w:val="003646ED"/>
    <w:rsid w:val="003732F0"/>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F6C50"/>
    <w:rsid w:val="00400572"/>
    <w:rsid w:val="0040096F"/>
    <w:rsid w:val="004024C0"/>
    <w:rsid w:val="00402AE5"/>
    <w:rsid w:val="00406E0A"/>
    <w:rsid w:val="00407F74"/>
    <w:rsid w:val="00412C03"/>
    <w:rsid w:val="00415414"/>
    <w:rsid w:val="004231EF"/>
    <w:rsid w:val="00423CD3"/>
    <w:rsid w:val="004256B8"/>
    <w:rsid w:val="00430A78"/>
    <w:rsid w:val="00431595"/>
    <w:rsid w:val="004328AA"/>
    <w:rsid w:val="00441FD5"/>
    <w:rsid w:val="004447E6"/>
    <w:rsid w:val="00446968"/>
    <w:rsid w:val="00447432"/>
    <w:rsid w:val="00452276"/>
    <w:rsid w:val="00452C15"/>
    <w:rsid w:val="00452CF3"/>
    <w:rsid w:val="0045449A"/>
    <w:rsid w:val="00460488"/>
    <w:rsid w:val="00461880"/>
    <w:rsid w:val="004639C0"/>
    <w:rsid w:val="00466D9A"/>
    <w:rsid w:val="00474AFE"/>
    <w:rsid w:val="00480EC9"/>
    <w:rsid w:val="004922EE"/>
    <w:rsid w:val="00493B77"/>
    <w:rsid w:val="004B0CFC"/>
    <w:rsid w:val="004C13DC"/>
    <w:rsid w:val="004C2A0C"/>
    <w:rsid w:val="004C3F5D"/>
    <w:rsid w:val="004C438C"/>
    <w:rsid w:val="004C61C8"/>
    <w:rsid w:val="004E01BD"/>
    <w:rsid w:val="004E3ABD"/>
    <w:rsid w:val="004E7190"/>
    <w:rsid w:val="004F0A4A"/>
    <w:rsid w:val="004F4C20"/>
    <w:rsid w:val="004F70E7"/>
    <w:rsid w:val="00505390"/>
    <w:rsid w:val="00527D79"/>
    <w:rsid w:val="00531426"/>
    <w:rsid w:val="0053611F"/>
    <w:rsid w:val="00544D8D"/>
    <w:rsid w:val="00545A2F"/>
    <w:rsid w:val="00546580"/>
    <w:rsid w:val="00547CD2"/>
    <w:rsid w:val="00552679"/>
    <w:rsid w:val="005575A4"/>
    <w:rsid w:val="00557FAC"/>
    <w:rsid w:val="00560594"/>
    <w:rsid w:val="0057067D"/>
    <w:rsid w:val="00572F19"/>
    <w:rsid w:val="005760EC"/>
    <w:rsid w:val="005776E9"/>
    <w:rsid w:val="00580EA6"/>
    <w:rsid w:val="00581364"/>
    <w:rsid w:val="005813EE"/>
    <w:rsid w:val="00582573"/>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B01"/>
    <w:rsid w:val="005D147E"/>
    <w:rsid w:val="005D37A6"/>
    <w:rsid w:val="005D59EA"/>
    <w:rsid w:val="005E19EA"/>
    <w:rsid w:val="005E5969"/>
    <w:rsid w:val="005F0E68"/>
    <w:rsid w:val="005F31A0"/>
    <w:rsid w:val="005F39A9"/>
    <w:rsid w:val="005F721C"/>
    <w:rsid w:val="005F7415"/>
    <w:rsid w:val="006005C2"/>
    <w:rsid w:val="0061039D"/>
    <w:rsid w:val="006144A2"/>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6903"/>
    <w:rsid w:val="006902D6"/>
    <w:rsid w:val="00691AEB"/>
    <w:rsid w:val="00692E4D"/>
    <w:rsid w:val="00696186"/>
    <w:rsid w:val="006A096B"/>
    <w:rsid w:val="006A177D"/>
    <w:rsid w:val="006A2F69"/>
    <w:rsid w:val="006A3EB0"/>
    <w:rsid w:val="006A6EDF"/>
    <w:rsid w:val="006B053A"/>
    <w:rsid w:val="006B74D0"/>
    <w:rsid w:val="006B7942"/>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21AA7"/>
    <w:rsid w:val="007244CF"/>
    <w:rsid w:val="007279B0"/>
    <w:rsid w:val="00732040"/>
    <w:rsid w:val="007354A2"/>
    <w:rsid w:val="00735714"/>
    <w:rsid w:val="00735919"/>
    <w:rsid w:val="007441A6"/>
    <w:rsid w:val="0074448F"/>
    <w:rsid w:val="0074561C"/>
    <w:rsid w:val="00751B14"/>
    <w:rsid w:val="00753176"/>
    <w:rsid w:val="0075475D"/>
    <w:rsid w:val="00755CB2"/>
    <w:rsid w:val="00772085"/>
    <w:rsid w:val="00780066"/>
    <w:rsid w:val="00780702"/>
    <w:rsid w:val="00781391"/>
    <w:rsid w:val="00787A0C"/>
    <w:rsid w:val="00791E0C"/>
    <w:rsid w:val="0079540D"/>
    <w:rsid w:val="00795BAC"/>
    <w:rsid w:val="007B246B"/>
    <w:rsid w:val="007B404B"/>
    <w:rsid w:val="007C3983"/>
    <w:rsid w:val="007C72EE"/>
    <w:rsid w:val="007C78A7"/>
    <w:rsid w:val="007D24C7"/>
    <w:rsid w:val="007D3B2C"/>
    <w:rsid w:val="007D5F32"/>
    <w:rsid w:val="007E1745"/>
    <w:rsid w:val="007E3125"/>
    <w:rsid w:val="007F3C15"/>
    <w:rsid w:val="007F529D"/>
    <w:rsid w:val="007F6011"/>
    <w:rsid w:val="00800B3A"/>
    <w:rsid w:val="008016CB"/>
    <w:rsid w:val="00805D77"/>
    <w:rsid w:val="00806043"/>
    <w:rsid w:val="008100B6"/>
    <w:rsid w:val="008115F2"/>
    <w:rsid w:val="0081433B"/>
    <w:rsid w:val="00817092"/>
    <w:rsid w:val="00820FEF"/>
    <w:rsid w:val="0082107B"/>
    <w:rsid w:val="0082499B"/>
    <w:rsid w:val="00827B58"/>
    <w:rsid w:val="008301D4"/>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81AAC"/>
    <w:rsid w:val="00887A71"/>
    <w:rsid w:val="00890283"/>
    <w:rsid w:val="00890B41"/>
    <w:rsid w:val="0089670C"/>
    <w:rsid w:val="008A3125"/>
    <w:rsid w:val="008A42C6"/>
    <w:rsid w:val="008A45E6"/>
    <w:rsid w:val="008B0320"/>
    <w:rsid w:val="008B241A"/>
    <w:rsid w:val="008C1DCB"/>
    <w:rsid w:val="008C70D3"/>
    <w:rsid w:val="008D1065"/>
    <w:rsid w:val="008D1098"/>
    <w:rsid w:val="008D1622"/>
    <w:rsid w:val="008D240F"/>
    <w:rsid w:val="008D2E68"/>
    <w:rsid w:val="008E321E"/>
    <w:rsid w:val="008E3358"/>
    <w:rsid w:val="008E519B"/>
    <w:rsid w:val="008E569E"/>
    <w:rsid w:val="008E7594"/>
    <w:rsid w:val="008F5BA9"/>
    <w:rsid w:val="008F5FF7"/>
    <w:rsid w:val="00906F1A"/>
    <w:rsid w:val="009113AF"/>
    <w:rsid w:val="00922433"/>
    <w:rsid w:val="0092609A"/>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4062"/>
    <w:rsid w:val="0097652F"/>
    <w:rsid w:val="00985AB5"/>
    <w:rsid w:val="009902E4"/>
    <w:rsid w:val="00992654"/>
    <w:rsid w:val="00997683"/>
    <w:rsid w:val="00997D63"/>
    <w:rsid w:val="009A622D"/>
    <w:rsid w:val="009A7382"/>
    <w:rsid w:val="009B0A08"/>
    <w:rsid w:val="009B2ACB"/>
    <w:rsid w:val="009B39AD"/>
    <w:rsid w:val="009B6697"/>
    <w:rsid w:val="009C3D9E"/>
    <w:rsid w:val="009E249A"/>
    <w:rsid w:val="009E34F2"/>
    <w:rsid w:val="009E5D38"/>
    <w:rsid w:val="009E620B"/>
    <w:rsid w:val="009E65F2"/>
    <w:rsid w:val="009E662A"/>
    <w:rsid w:val="009F199B"/>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485B"/>
    <w:rsid w:val="00A6282B"/>
    <w:rsid w:val="00A63EF2"/>
    <w:rsid w:val="00A71A4E"/>
    <w:rsid w:val="00A806A0"/>
    <w:rsid w:val="00A83A97"/>
    <w:rsid w:val="00A85DA5"/>
    <w:rsid w:val="00A85E01"/>
    <w:rsid w:val="00A86C8C"/>
    <w:rsid w:val="00A90047"/>
    <w:rsid w:val="00A910CE"/>
    <w:rsid w:val="00A979AB"/>
    <w:rsid w:val="00AB3DF5"/>
    <w:rsid w:val="00AB6108"/>
    <w:rsid w:val="00AC285B"/>
    <w:rsid w:val="00AC2864"/>
    <w:rsid w:val="00AC2F52"/>
    <w:rsid w:val="00AC586C"/>
    <w:rsid w:val="00AD556F"/>
    <w:rsid w:val="00AD6084"/>
    <w:rsid w:val="00AE042B"/>
    <w:rsid w:val="00AF2E55"/>
    <w:rsid w:val="00AF4FB6"/>
    <w:rsid w:val="00AF7687"/>
    <w:rsid w:val="00B1356E"/>
    <w:rsid w:val="00B15181"/>
    <w:rsid w:val="00B15E24"/>
    <w:rsid w:val="00B15E9B"/>
    <w:rsid w:val="00B16B69"/>
    <w:rsid w:val="00B23990"/>
    <w:rsid w:val="00B26F58"/>
    <w:rsid w:val="00B276D2"/>
    <w:rsid w:val="00B30E61"/>
    <w:rsid w:val="00B31AF0"/>
    <w:rsid w:val="00B3391C"/>
    <w:rsid w:val="00B343B0"/>
    <w:rsid w:val="00B374DD"/>
    <w:rsid w:val="00B422C7"/>
    <w:rsid w:val="00B448E6"/>
    <w:rsid w:val="00B448F5"/>
    <w:rsid w:val="00B46C0D"/>
    <w:rsid w:val="00B50A5A"/>
    <w:rsid w:val="00B5198A"/>
    <w:rsid w:val="00B527E4"/>
    <w:rsid w:val="00B5397D"/>
    <w:rsid w:val="00B541C6"/>
    <w:rsid w:val="00B55B9B"/>
    <w:rsid w:val="00B55EC3"/>
    <w:rsid w:val="00B66CDF"/>
    <w:rsid w:val="00B8015B"/>
    <w:rsid w:val="00B93213"/>
    <w:rsid w:val="00B94462"/>
    <w:rsid w:val="00B952A2"/>
    <w:rsid w:val="00B9594B"/>
    <w:rsid w:val="00B96185"/>
    <w:rsid w:val="00BB1C1B"/>
    <w:rsid w:val="00BB3217"/>
    <w:rsid w:val="00BB3909"/>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3854"/>
    <w:rsid w:val="00C1527E"/>
    <w:rsid w:val="00C23DA8"/>
    <w:rsid w:val="00C3013A"/>
    <w:rsid w:val="00C303A8"/>
    <w:rsid w:val="00C31E32"/>
    <w:rsid w:val="00C40E04"/>
    <w:rsid w:val="00C415DB"/>
    <w:rsid w:val="00C41F83"/>
    <w:rsid w:val="00C42E20"/>
    <w:rsid w:val="00C4605C"/>
    <w:rsid w:val="00C466E2"/>
    <w:rsid w:val="00C53331"/>
    <w:rsid w:val="00C5442B"/>
    <w:rsid w:val="00C63E1C"/>
    <w:rsid w:val="00C67341"/>
    <w:rsid w:val="00C7091D"/>
    <w:rsid w:val="00C7319A"/>
    <w:rsid w:val="00C75A9E"/>
    <w:rsid w:val="00C8384C"/>
    <w:rsid w:val="00C94539"/>
    <w:rsid w:val="00C97365"/>
    <w:rsid w:val="00C97C85"/>
    <w:rsid w:val="00CA6280"/>
    <w:rsid w:val="00CB04D1"/>
    <w:rsid w:val="00CB4966"/>
    <w:rsid w:val="00CB6A63"/>
    <w:rsid w:val="00CB75CB"/>
    <w:rsid w:val="00CC1A7F"/>
    <w:rsid w:val="00CC3942"/>
    <w:rsid w:val="00CC5353"/>
    <w:rsid w:val="00CD0366"/>
    <w:rsid w:val="00CD5A65"/>
    <w:rsid w:val="00CD6302"/>
    <w:rsid w:val="00CE1496"/>
    <w:rsid w:val="00CE3E1F"/>
    <w:rsid w:val="00CE5E99"/>
    <w:rsid w:val="00CF49C8"/>
    <w:rsid w:val="00CF4AB7"/>
    <w:rsid w:val="00D00A36"/>
    <w:rsid w:val="00D0342C"/>
    <w:rsid w:val="00D034B5"/>
    <w:rsid w:val="00D054C1"/>
    <w:rsid w:val="00D07D1C"/>
    <w:rsid w:val="00D117B1"/>
    <w:rsid w:val="00D14345"/>
    <w:rsid w:val="00D1499A"/>
    <w:rsid w:val="00D16252"/>
    <w:rsid w:val="00D26EA3"/>
    <w:rsid w:val="00D27740"/>
    <w:rsid w:val="00D32A8C"/>
    <w:rsid w:val="00D32F4B"/>
    <w:rsid w:val="00D34208"/>
    <w:rsid w:val="00D43575"/>
    <w:rsid w:val="00D45562"/>
    <w:rsid w:val="00D46852"/>
    <w:rsid w:val="00D50013"/>
    <w:rsid w:val="00D5161C"/>
    <w:rsid w:val="00D51F15"/>
    <w:rsid w:val="00D52940"/>
    <w:rsid w:val="00D5770A"/>
    <w:rsid w:val="00D57C17"/>
    <w:rsid w:val="00D60DFD"/>
    <w:rsid w:val="00D72689"/>
    <w:rsid w:val="00D753FD"/>
    <w:rsid w:val="00D815FD"/>
    <w:rsid w:val="00D82799"/>
    <w:rsid w:val="00D9039D"/>
    <w:rsid w:val="00D92D23"/>
    <w:rsid w:val="00D95189"/>
    <w:rsid w:val="00DA0E89"/>
    <w:rsid w:val="00DA1516"/>
    <w:rsid w:val="00DA1AC4"/>
    <w:rsid w:val="00DB021F"/>
    <w:rsid w:val="00DB179D"/>
    <w:rsid w:val="00DB6180"/>
    <w:rsid w:val="00DB6D69"/>
    <w:rsid w:val="00DC2B1D"/>
    <w:rsid w:val="00DE3349"/>
    <w:rsid w:val="00DF2964"/>
    <w:rsid w:val="00E01C73"/>
    <w:rsid w:val="00E01D59"/>
    <w:rsid w:val="00E03C24"/>
    <w:rsid w:val="00E06B33"/>
    <w:rsid w:val="00E070DB"/>
    <w:rsid w:val="00E10DC7"/>
    <w:rsid w:val="00E13C3D"/>
    <w:rsid w:val="00E13EC2"/>
    <w:rsid w:val="00E14CD8"/>
    <w:rsid w:val="00E1754E"/>
    <w:rsid w:val="00E2088D"/>
    <w:rsid w:val="00E277F7"/>
    <w:rsid w:val="00E3070A"/>
    <w:rsid w:val="00E318DF"/>
    <w:rsid w:val="00E35700"/>
    <w:rsid w:val="00E37BC3"/>
    <w:rsid w:val="00E37D58"/>
    <w:rsid w:val="00E41C0D"/>
    <w:rsid w:val="00E43F98"/>
    <w:rsid w:val="00E450AB"/>
    <w:rsid w:val="00E45C03"/>
    <w:rsid w:val="00E4687A"/>
    <w:rsid w:val="00E505E7"/>
    <w:rsid w:val="00E53A94"/>
    <w:rsid w:val="00E54299"/>
    <w:rsid w:val="00E565C3"/>
    <w:rsid w:val="00E57E66"/>
    <w:rsid w:val="00E61C85"/>
    <w:rsid w:val="00E666FC"/>
    <w:rsid w:val="00E70540"/>
    <w:rsid w:val="00E71E29"/>
    <w:rsid w:val="00E7415D"/>
    <w:rsid w:val="00E74781"/>
    <w:rsid w:val="00E8361D"/>
    <w:rsid w:val="00E84783"/>
    <w:rsid w:val="00E85B62"/>
    <w:rsid w:val="00E85C72"/>
    <w:rsid w:val="00E8668D"/>
    <w:rsid w:val="00E86C26"/>
    <w:rsid w:val="00E86EE7"/>
    <w:rsid w:val="00E92CE0"/>
    <w:rsid w:val="00E94045"/>
    <w:rsid w:val="00E953B7"/>
    <w:rsid w:val="00E968A9"/>
    <w:rsid w:val="00EA37AB"/>
    <w:rsid w:val="00EA3DEC"/>
    <w:rsid w:val="00EA775F"/>
    <w:rsid w:val="00EB1143"/>
    <w:rsid w:val="00EB1E2E"/>
    <w:rsid w:val="00EB2C8D"/>
    <w:rsid w:val="00EC1D2D"/>
    <w:rsid w:val="00EC1DF3"/>
    <w:rsid w:val="00EC2FF1"/>
    <w:rsid w:val="00EC5205"/>
    <w:rsid w:val="00EC5A0B"/>
    <w:rsid w:val="00ED06FC"/>
    <w:rsid w:val="00ED5CF2"/>
    <w:rsid w:val="00ED7C56"/>
    <w:rsid w:val="00EE3032"/>
    <w:rsid w:val="00EE5A04"/>
    <w:rsid w:val="00EE69CB"/>
    <w:rsid w:val="00EE6DB7"/>
    <w:rsid w:val="00EE7169"/>
    <w:rsid w:val="00EF53E3"/>
    <w:rsid w:val="00EF63D1"/>
    <w:rsid w:val="00EF7C8C"/>
    <w:rsid w:val="00F03095"/>
    <w:rsid w:val="00F07307"/>
    <w:rsid w:val="00F07A0D"/>
    <w:rsid w:val="00F07B9A"/>
    <w:rsid w:val="00F1096D"/>
    <w:rsid w:val="00F1687A"/>
    <w:rsid w:val="00F2465B"/>
    <w:rsid w:val="00F27A93"/>
    <w:rsid w:val="00F33618"/>
    <w:rsid w:val="00F34960"/>
    <w:rsid w:val="00F363E7"/>
    <w:rsid w:val="00F41FF2"/>
    <w:rsid w:val="00F4393D"/>
    <w:rsid w:val="00F52F08"/>
    <w:rsid w:val="00F536CA"/>
    <w:rsid w:val="00F545DB"/>
    <w:rsid w:val="00F71D33"/>
    <w:rsid w:val="00F72183"/>
    <w:rsid w:val="00F73628"/>
    <w:rsid w:val="00F822ED"/>
    <w:rsid w:val="00F823D0"/>
    <w:rsid w:val="00F83795"/>
    <w:rsid w:val="00F85311"/>
    <w:rsid w:val="00F86B61"/>
    <w:rsid w:val="00F918D9"/>
    <w:rsid w:val="00F91CD4"/>
    <w:rsid w:val="00FA0E89"/>
    <w:rsid w:val="00FA4DCE"/>
    <w:rsid w:val="00FA6359"/>
    <w:rsid w:val="00FB4BDB"/>
    <w:rsid w:val="00FC502D"/>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5375-2787-4F17-A204-F1023732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60"/>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E17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7E174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0C146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C1460"/>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0C1460"/>
    <w:rPr>
      <w:i/>
      <w:iCs/>
      <w:color w:val="000000" w:themeColor="text1"/>
    </w:rPr>
  </w:style>
  <w:style w:type="character" w:customStyle="1" w:styleId="QuoteChar">
    <w:name w:val="Quote Char"/>
    <w:basedOn w:val="DefaultParagraphFont"/>
    <w:link w:val="Quote"/>
    <w:uiPriority w:val="29"/>
    <w:rsid w:val="000C1460"/>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0C1460"/>
    <w:pPr>
      <w:tabs>
        <w:tab w:val="center" w:pos="4680"/>
        <w:tab w:val="right" w:pos="9360"/>
      </w:tabs>
    </w:pPr>
  </w:style>
  <w:style w:type="character" w:customStyle="1" w:styleId="HeaderChar">
    <w:name w:val="Header Char"/>
    <w:basedOn w:val="DefaultParagraphFont"/>
    <w:link w:val="Header"/>
    <w:uiPriority w:val="99"/>
    <w:rsid w:val="000C1460"/>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0C1460"/>
    <w:pPr>
      <w:tabs>
        <w:tab w:val="center" w:pos="4680"/>
        <w:tab w:val="right" w:pos="9360"/>
      </w:tabs>
    </w:pPr>
  </w:style>
  <w:style w:type="character" w:customStyle="1" w:styleId="FooterChar">
    <w:name w:val="Footer Char"/>
    <w:basedOn w:val="DefaultParagraphFont"/>
    <w:link w:val="Footer"/>
    <w:uiPriority w:val="99"/>
    <w:rsid w:val="000C146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0C1460"/>
    <w:pPr>
      <w:tabs>
        <w:tab w:val="right" w:pos="8222"/>
      </w:tabs>
      <w:jc w:val="both"/>
    </w:pPr>
    <w:rPr>
      <w:b/>
    </w:rPr>
  </w:style>
  <w:style w:type="character" w:customStyle="1" w:styleId="SCCLsocPartyChar">
    <w:name w:val="SCC.Lsoc.Party Char"/>
    <w:basedOn w:val="DefaultParagraphFont"/>
    <w:link w:val="SCCLsocParty"/>
    <w:rsid w:val="000C146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0C1460"/>
    <w:pPr>
      <w:spacing w:after="720"/>
    </w:pPr>
    <w:rPr>
      <w:i/>
    </w:rPr>
  </w:style>
  <w:style w:type="character" w:customStyle="1" w:styleId="SCCLsocVersusChar">
    <w:name w:val="SCC.Lsoc.Versus Char"/>
    <w:basedOn w:val="DefaultParagraphFont"/>
    <w:link w:val="SCCLsocVersus"/>
    <w:rsid w:val="000C146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0C1460"/>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0C1460"/>
    <w:pPr>
      <w:spacing w:after="720"/>
    </w:pPr>
  </w:style>
  <w:style w:type="character" w:customStyle="1" w:styleId="SCCLsocOtherPartySeparatorChar">
    <w:name w:val="SCC.Lsoc.OtherPartySeparator Char"/>
    <w:basedOn w:val="DefaultParagraphFont"/>
    <w:link w:val="SCCLsocOtherPartySeparator"/>
    <w:rsid w:val="000C1460"/>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0C1460"/>
    <w:rPr>
      <w:smallCaps/>
    </w:rPr>
  </w:style>
  <w:style w:type="character" w:customStyle="1" w:styleId="SCCAppellantForRunningHeadChar">
    <w:name w:val="SCC.AppellantForRunningHead Char"/>
    <w:basedOn w:val="DefaultParagraphFont"/>
    <w:link w:val="SCCAppellantForRunningHead"/>
    <w:rsid w:val="000C1460"/>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0C1460"/>
    <w:rPr>
      <w:smallCaps/>
    </w:rPr>
  </w:style>
  <w:style w:type="character" w:customStyle="1" w:styleId="SCCRespondentForRunningHeadChar">
    <w:name w:val="SCC.RespondentForRunningHead Char"/>
    <w:basedOn w:val="DefaultParagraphFont"/>
    <w:link w:val="SCCRespondentForRunningHead"/>
    <w:rsid w:val="000C146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0C1460"/>
    <w:rPr>
      <w:b/>
    </w:rPr>
  </w:style>
  <w:style w:type="character" w:customStyle="1" w:styleId="SCCAppellantForIndexChar">
    <w:name w:val="SCC.AppellantForIndex Char"/>
    <w:basedOn w:val="DefaultParagraphFont"/>
    <w:link w:val="SCCAppellantForIndex"/>
    <w:rsid w:val="000C1460"/>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0C1460"/>
    <w:rPr>
      <w:b/>
    </w:rPr>
  </w:style>
  <w:style w:type="character" w:customStyle="1" w:styleId="SCCRespondentForIndexChar">
    <w:name w:val="SCC.RespondentForIndex Char"/>
    <w:basedOn w:val="DefaultParagraphFont"/>
    <w:link w:val="SCCRespondentForIndex"/>
    <w:rsid w:val="000C146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0C1460"/>
    <w:rPr>
      <w:b/>
    </w:rPr>
  </w:style>
  <w:style w:type="character" w:customStyle="1" w:styleId="SCCSystemYearChar">
    <w:name w:val="SCC.SystemYear Char"/>
    <w:basedOn w:val="DefaultParagraphFont"/>
    <w:link w:val="SCCSystemYear"/>
    <w:rsid w:val="000C1460"/>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0C1460"/>
    <w:rPr>
      <w:i/>
    </w:rPr>
  </w:style>
  <w:style w:type="character" w:customStyle="1" w:styleId="SCCCounselNameChar">
    <w:name w:val="SCC.CounselName Char"/>
    <w:basedOn w:val="SCCNormalDoubleSpacingChar"/>
    <w:link w:val="SCCCounselName"/>
    <w:rsid w:val="000C146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0C1460"/>
  </w:style>
  <w:style w:type="character" w:customStyle="1" w:styleId="SCCCounselSeparatorChar">
    <w:name w:val="SCC.CounselSeparator Char"/>
    <w:basedOn w:val="SCCNormalDoubleSpacingChar"/>
    <w:link w:val="SCCCounselSeparator"/>
    <w:rsid w:val="000C1460"/>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0C1460"/>
    <w:rPr>
      <w:i/>
    </w:rPr>
  </w:style>
  <w:style w:type="character" w:customStyle="1" w:styleId="SCCLawFirmChar">
    <w:name w:val="SCC.LawFirm Char"/>
    <w:basedOn w:val="SCCNormalDoubleSpacingChar"/>
    <w:link w:val="SCCLawFirm"/>
    <w:rsid w:val="000C1460"/>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0C1460"/>
  </w:style>
  <w:style w:type="character" w:customStyle="1" w:styleId="SCCCounselPartyRoleChar">
    <w:name w:val="SCC.CounselPartyRole Char"/>
    <w:basedOn w:val="SCCNormalDoubleSpacingChar"/>
    <w:link w:val="SCCCounselPartyRole"/>
    <w:rsid w:val="000C1460"/>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0C1460"/>
    <w:pPr>
      <w:tabs>
        <w:tab w:val="right" w:pos="8222"/>
      </w:tabs>
      <w:spacing w:after="720"/>
    </w:pPr>
    <w:rPr>
      <w:b/>
    </w:rPr>
  </w:style>
  <w:style w:type="character" w:customStyle="1" w:styleId="SCCLsocLastPartyInRoleChar">
    <w:name w:val="SCC.Lsoc.LastPartyInRole Char"/>
    <w:basedOn w:val="SCCLsocPartyChar"/>
    <w:link w:val="SCCLsocLastPartyInRole"/>
    <w:rsid w:val="000C1460"/>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0C146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C1460"/>
    <w:rPr>
      <w:rFonts w:ascii="Times New Roman" w:hAnsi="Times New Roman"/>
      <w:sz w:val="24"/>
      <w:lang w:val="en-CA"/>
    </w:rPr>
  </w:style>
  <w:style w:type="character" w:customStyle="1" w:styleId="Heading1Char">
    <w:name w:val="Heading 1 Char"/>
    <w:basedOn w:val="DefaultParagraphFont"/>
    <w:link w:val="Heading1"/>
    <w:uiPriority w:val="9"/>
    <w:rsid w:val="007E1745"/>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E1745"/>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7E1745"/>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7E174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E1745"/>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7E1745"/>
    <w:rPr>
      <w:rFonts w:ascii="Times New Roman" w:hAnsi="Times New Roman"/>
      <w:sz w:val="24"/>
      <w:lang w:val="en-CA"/>
    </w:rPr>
  </w:style>
  <w:style w:type="paragraph" w:customStyle="1" w:styleId="SCCBanSummary">
    <w:name w:val="SCC.BanSummary"/>
    <w:basedOn w:val="Normal"/>
    <w:next w:val="Normal"/>
    <w:link w:val="SCCBanSummaryChar"/>
    <w:rsid w:val="007E1745"/>
    <w:pPr>
      <w:jc w:val="right"/>
    </w:pPr>
    <w:rPr>
      <w:rFonts w:eastAsiaTheme="minorEastAsia"/>
      <w:b/>
      <w:szCs w:val="24"/>
    </w:rPr>
  </w:style>
  <w:style w:type="character" w:customStyle="1" w:styleId="SCCBanSummaryChar">
    <w:name w:val="SCC.BanSummary Char"/>
    <w:basedOn w:val="DefaultParagraphFont"/>
    <w:link w:val="SCCBanSummary"/>
    <w:rsid w:val="007E1745"/>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7E1745"/>
    <w:rPr>
      <w:color w:val="808080"/>
    </w:rPr>
  </w:style>
  <w:style w:type="paragraph" w:styleId="BalloonText">
    <w:name w:val="Balloon Text"/>
    <w:basedOn w:val="Normal"/>
    <w:link w:val="BalloonTextChar"/>
    <w:uiPriority w:val="99"/>
    <w:semiHidden/>
    <w:unhideWhenUsed/>
    <w:rsid w:val="007E1745"/>
    <w:rPr>
      <w:rFonts w:ascii="Tahoma" w:hAnsi="Tahoma" w:cs="Tahoma"/>
      <w:sz w:val="16"/>
      <w:szCs w:val="16"/>
    </w:rPr>
  </w:style>
  <w:style w:type="character" w:customStyle="1" w:styleId="BalloonTextChar">
    <w:name w:val="Balloon Text Char"/>
    <w:basedOn w:val="DefaultParagraphFont"/>
    <w:link w:val="BalloonText"/>
    <w:uiPriority w:val="99"/>
    <w:semiHidden/>
    <w:rsid w:val="007E1745"/>
    <w:rPr>
      <w:rFonts w:ascii="Tahoma" w:eastAsia="Times New Roman" w:hAnsi="Tahoma" w:cs="Tahoma"/>
      <w:sz w:val="16"/>
      <w:szCs w:val="16"/>
      <w:lang w:val="en-CA" w:eastAsia="en-CA"/>
    </w:rPr>
  </w:style>
  <w:style w:type="table" w:styleId="TableGrid">
    <w:name w:val="Table Grid"/>
    <w:basedOn w:val="TableNormal"/>
    <w:uiPriority w:val="59"/>
    <w:rsid w:val="007E1745"/>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E1745"/>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7E1745"/>
    <w:pPr>
      <w:spacing w:before="480" w:after="480" w:line="480" w:lineRule="auto"/>
      <w:jc w:val="both"/>
    </w:pPr>
    <w:rPr>
      <w:rFonts w:ascii="Times New Roman" w:hAnsi="Times New Roman"/>
      <w:sz w:val="24"/>
      <w:lang w:val="en-CA"/>
    </w:rPr>
  </w:style>
  <w:style w:type="paragraph" w:customStyle="1" w:styleId="JudgeJuge">
    <w:name w:val="Judge / Juge"/>
    <w:uiPriority w:val="3"/>
    <w:rsid w:val="007E1745"/>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E1745"/>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E1745"/>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E174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E1745"/>
    <w:pPr>
      <w:numPr>
        <w:ilvl w:val="2"/>
      </w:numPr>
    </w:pPr>
  </w:style>
  <w:style w:type="paragraph" w:customStyle="1" w:styleId="Title4LevelTitre4Niveau">
    <w:name w:val="Title 4 Level / Titre 4 Niveau"/>
    <w:basedOn w:val="Title3LevelTitre3Niveau"/>
    <w:next w:val="ParaNoNdepar-AltN"/>
    <w:uiPriority w:val="4"/>
    <w:qFormat/>
    <w:rsid w:val="007E174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E1745"/>
    <w:pPr>
      <w:numPr>
        <w:ilvl w:val="4"/>
      </w:numPr>
    </w:pPr>
  </w:style>
  <w:style w:type="paragraph" w:styleId="TOC1">
    <w:name w:val="toc 1"/>
    <w:basedOn w:val="Normal"/>
    <w:next w:val="Normal"/>
    <w:autoRedefine/>
    <w:uiPriority w:val="39"/>
    <w:unhideWhenUsed/>
    <w:rsid w:val="007E174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E174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E174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E174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E174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E1745"/>
    <w:pPr>
      <w:tabs>
        <w:tab w:val="left" w:pos="2160"/>
        <w:tab w:val="right" w:leader="dot" w:pos="8270"/>
      </w:tabs>
      <w:spacing w:after="100"/>
      <w:ind w:left="1800"/>
    </w:pPr>
    <w:rPr>
      <w:noProof/>
    </w:rPr>
  </w:style>
  <w:style w:type="table" w:customStyle="1" w:styleId="TableGrid1">
    <w:name w:val="Table Grid1"/>
    <w:basedOn w:val="TableNormal"/>
    <w:uiPriority w:val="59"/>
    <w:rsid w:val="007E1745"/>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E1745"/>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E1745"/>
    <w:pPr>
      <w:numPr>
        <w:ilvl w:val="5"/>
      </w:numPr>
    </w:pPr>
    <w:rPr>
      <w:i/>
      <w:u w:val="none"/>
    </w:rPr>
  </w:style>
  <w:style w:type="character" w:styleId="Hyperlink">
    <w:name w:val="Hyperlink"/>
    <w:basedOn w:val="DefaultParagraphFont"/>
    <w:uiPriority w:val="99"/>
    <w:unhideWhenUsed/>
    <w:rsid w:val="007E1745"/>
    <w:rPr>
      <w:color w:val="0563C1" w:themeColor="hyperlink"/>
      <w:u w:val="single"/>
    </w:rPr>
  </w:style>
  <w:style w:type="character" w:customStyle="1" w:styleId="SCCLsocPartyRoleChar">
    <w:name w:val="SCC.Lsoc.PartyRole Char"/>
    <w:basedOn w:val="DefaultParagraphFont"/>
    <w:rsid w:val="00E94045"/>
    <w:rPr>
      <w:lang w:val="fr-CA"/>
    </w:rPr>
  </w:style>
  <w:style w:type="paragraph" w:customStyle="1" w:styleId="SCCLsocPrefix">
    <w:name w:val="SCC.Lsoc.Prefix"/>
    <w:basedOn w:val="Normal"/>
    <w:next w:val="Normal"/>
    <w:link w:val="SCCLsocPrefixChar"/>
    <w:rsid w:val="00E9404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94045"/>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30</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29</cp:revision>
  <cp:lastPrinted>2016-02-26T14:56:00Z</cp:lastPrinted>
  <dcterms:created xsi:type="dcterms:W3CDTF">2015-11-13T14:06:00Z</dcterms:created>
  <dcterms:modified xsi:type="dcterms:W3CDTF">2016-02-26T14:56:00Z</dcterms:modified>
</cp:coreProperties>
</file>