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6D" w:rsidRDefault="0001516D" w:rsidP="0001516D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6" o:title=""/>
          </v:shape>
          <o:OLEObject Type="Embed" ProgID="Presentations.Drawing.13" ShapeID="_x0000_i1025" DrawAspect="Content" ObjectID="_1549362725" r:id="rId7"/>
        </w:object>
      </w:r>
      <w:r>
        <w:t xml:space="preserve"> </w:t>
      </w:r>
      <w:r>
        <w:ptab w:relativeTo="margin" w:alignment="right" w:leader="none"/>
      </w:r>
    </w:p>
    <w:p w:rsidR="0001516D" w:rsidRDefault="0001516D" w:rsidP="0001516D">
      <w:pPr>
        <w:pStyle w:val="Header"/>
      </w:pPr>
    </w:p>
    <w:p w:rsidR="0001516D" w:rsidRPr="001E12E2" w:rsidRDefault="0001516D" w:rsidP="0001516D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01516D" w:rsidRDefault="0001516D" w:rsidP="0001516D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01516D" w:rsidRPr="001E12E2" w:rsidTr="00803C2E">
        <w:trPr>
          <w:cantSplit/>
        </w:trPr>
        <w:tc>
          <w:tcPr>
            <w:tcW w:w="5130" w:type="dxa"/>
          </w:tcPr>
          <w:p w:rsidR="0001516D" w:rsidRPr="0001516D" w:rsidRDefault="0001516D" w:rsidP="00803C2E">
            <w:pPr>
              <w:rPr>
                <w:lang w:val="fr-CA"/>
              </w:rPr>
            </w:pPr>
            <w:r w:rsidRPr="0001516D">
              <w:rPr>
                <w:b/>
                <w:smallCaps/>
                <w:lang w:val="fr-CA"/>
              </w:rPr>
              <w:t>Référence :</w:t>
            </w:r>
            <w:r w:rsidRPr="0001516D">
              <w:rPr>
                <w:lang w:val="fr-CA"/>
              </w:rPr>
              <w:t xml:space="preserve"> R. </w:t>
            </w:r>
            <w:r w:rsidRPr="0001516D">
              <w:rPr>
                <w:i/>
                <w:lang w:val="fr-CA"/>
              </w:rPr>
              <w:t>c.</w:t>
            </w:r>
            <w:r w:rsidRPr="0001516D">
              <w:rPr>
                <w:lang w:val="fr-CA"/>
              </w:rPr>
              <w:t xml:space="preserve"> </w:t>
            </w:r>
            <w:proofErr w:type="spellStart"/>
            <w:r w:rsidRPr="0001516D">
              <w:rPr>
                <w:lang w:val="fr-CA"/>
              </w:rPr>
              <w:t>Diamond</w:t>
            </w:r>
            <w:proofErr w:type="spellEnd"/>
            <w:r w:rsidRPr="0001516D">
              <w:rPr>
                <w:lang w:val="fr-CA"/>
              </w:rPr>
              <w:t>, 2016 CSC 46, [2016] 2 R.C.S. 291</w:t>
            </w:r>
          </w:p>
        </w:tc>
        <w:tc>
          <w:tcPr>
            <w:tcW w:w="4446" w:type="dxa"/>
          </w:tcPr>
          <w:p w:rsidR="0001516D" w:rsidRPr="0001516D" w:rsidRDefault="0001516D" w:rsidP="00803C2E">
            <w:pPr>
              <w:rPr>
                <w:lang w:val="fr-CA"/>
              </w:rPr>
            </w:pPr>
            <w:r w:rsidRPr="0001516D">
              <w:rPr>
                <w:b/>
                <w:smallCaps/>
                <w:lang w:val="fr-CA"/>
              </w:rPr>
              <w:t>Appel entendu :</w:t>
            </w:r>
            <w:r w:rsidRPr="0001516D">
              <w:rPr>
                <w:lang w:val="fr-CA"/>
              </w:rPr>
              <w:t xml:space="preserve"> 12 octobre 2016</w:t>
            </w:r>
          </w:p>
          <w:p w:rsidR="0001516D" w:rsidRPr="0001516D" w:rsidRDefault="0001516D" w:rsidP="00803C2E">
            <w:pPr>
              <w:rPr>
                <w:lang w:val="fr-CA"/>
              </w:rPr>
            </w:pPr>
            <w:r w:rsidRPr="0001516D">
              <w:rPr>
                <w:b/>
                <w:smallCaps/>
                <w:lang w:val="fr-CA"/>
              </w:rPr>
              <w:t>Jugement rendu :</w:t>
            </w:r>
            <w:r w:rsidRPr="0001516D">
              <w:rPr>
                <w:lang w:val="fr-CA"/>
              </w:rPr>
              <w:t xml:space="preserve"> 3 novembre 2016</w:t>
            </w:r>
          </w:p>
          <w:p w:rsidR="0001516D" w:rsidRPr="001E12E2" w:rsidRDefault="0001516D" w:rsidP="00803C2E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36816</w:t>
            </w:r>
          </w:p>
        </w:tc>
      </w:tr>
    </w:tbl>
    <w:p w:rsidR="0001516D" w:rsidRPr="001E12E2" w:rsidRDefault="0001516D" w:rsidP="0001516D"/>
    <w:p w:rsidR="0001516D" w:rsidRDefault="0001516D" w:rsidP="0001516D">
      <w:pPr>
        <w:pStyle w:val="SCCLsocPrefix"/>
      </w:pPr>
      <w:r>
        <w:t>Entre :</w:t>
      </w:r>
    </w:p>
    <w:p w:rsidR="0001516D" w:rsidRPr="0001516D" w:rsidRDefault="0001516D" w:rsidP="0001516D">
      <w:pPr>
        <w:pStyle w:val="SCCLsocParty"/>
        <w:jc w:val="center"/>
        <w:rPr>
          <w:lang w:val="fr-CA"/>
        </w:rPr>
      </w:pPr>
      <w:r w:rsidRPr="0001516D">
        <w:rPr>
          <w:lang w:val="fr-CA"/>
        </w:rPr>
        <w:t xml:space="preserve">Scott </w:t>
      </w:r>
      <w:proofErr w:type="spellStart"/>
      <w:r w:rsidRPr="0001516D">
        <w:rPr>
          <w:lang w:val="fr-CA"/>
        </w:rPr>
        <w:t>Diamond</w:t>
      </w:r>
      <w:proofErr w:type="spellEnd"/>
    </w:p>
    <w:p w:rsidR="0001516D" w:rsidRPr="0001516D" w:rsidRDefault="0001516D" w:rsidP="0001516D">
      <w:pPr>
        <w:jc w:val="center"/>
        <w:rPr>
          <w:lang w:val="fr-CA"/>
        </w:rPr>
      </w:pPr>
      <w:r w:rsidRPr="0001516D">
        <w:rPr>
          <w:lang w:val="fr-CA"/>
        </w:rPr>
        <w:t>Appelant</w:t>
      </w:r>
    </w:p>
    <w:p w:rsidR="0001516D" w:rsidRPr="0001516D" w:rsidRDefault="0001516D" w:rsidP="0001516D">
      <w:pPr>
        <w:jc w:val="center"/>
        <w:rPr>
          <w:lang w:val="fr-CA"/>
        </w:rPr>
      </w:pPr>
    </w:p>
    <w:p w:rsidR="0001516D" w:rsidRPr="0001516D" w:rsidRDefault="0001516D" w:rsidP="0001516D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01516D">
        <w:rPr>
          <w:i w:val="0"/>
          <w:lang w:val="fr-CA"/>
        </w:rPr>
        <w:t>et</w:t>
      </w:r>
      <w:proofErr w:type="gramEnd"/>
    </w:p>
    <w:p w:rsidR="0001516D" w:rsidRPr="0001516D" w:rsidRDefault="0001516D" w:rsidP="0001516D">
      <w:pPr>
        <w:jc w:val="center"/>
        <w:rPr>
          <w:lang w:val="fr-CA"/>
        </w:rPr>
      </w:pPr>
    </w:p>
    <w:p w:rsidR="0001516D" w:rsidRPr="0001516D" w:rsidRDefault="0001516D" w:rsidP="0001516D">
      <w:pPr>
        <w:pStyle w:val="SCCLsocParty"/>
        <w:jc w:val="center"/>
        <w:rPr>
          <w:lang w:val="fr-CA"/>
        </w:rPr>
      </w:pPr>
      <w:r w:rsidRPr="0001516D">
        <w:rPr>
          <w:lang w:val="fr-CA"/>
        </w:rPr>
        <w:t>Sa Majesté la Reine du chef de Terre-Neuve-et-Labrador</w:t>
      </w:r>
    </w:p>
    <w:p w:rsidR="0001516D" w:rsidRPr="0001516D" w:rsidRDefault="0001516D" w:rsidP="0001516D">
      <w:pPr>
        <w:pStyle w:val="SCCLsocParty"/>
        <w:jc w:val="center"/>
        <w:rPr>
          <w:lang w:val="fr-CA"/>
        </w:rPr>
      </w:pPr>
      <w:proofErr w:type="gramStart"/>
      <w:r w:rsidRPr="0001516D">
        <w:rPr>
          <w:lang w:val="fr-CA"/>
        </w:rPr>
        <w:t>et</w:t>
      </w:r>
      <w:proofErr w:type="gramEnd"/>
      <w:r w:rsidRPr="0001516D">
        <w:rPr>
          <w:lang w:val="fr-CA"/>
        </w:rPr>
        <w:t xml:space="preserve"> Sa Majesté la Reine du chef du Canada</w:t>
      </w:r>
    </w:p>
    <w:p w:rsidR="0001516D" w:rsidRPr="0001516D" w:rsidRDefault="0001516D" w:rsidP="0001516D">
      <w:pPr>
        <w:jc w:val="center"/>
        <w:rPr>
          <w:lang w:val="fr-CA"/>
        </w:rPr>
      </w:pPr>
      <w:r w:rsidRPr="0001516D">
        <w:rPr>
          <w:lang w:val="fr-CA"/>
        </w:rPr>
        <w:t>Intimées</w:t>
      </w:r>
    </w:p>
    <w:p w:rsidR="0001516D" w:rsidRPr="0001516D" w:rsidRDefault="0001516D" w:rsidP="0001516D">
      <w:pPr>
        <w:rPr>
          <w:lang w:val="fr-CA"/>
        </w:rPr>
      </w:pPr>
    </w:p>
    <w:p w:rsidR="0001516D" w:rsidRPr="0001516D" w:rsidRDefault="0001516D" w:rsidP="0001516D">
      <w:pPr>
        <w:jc w:val="center"/>
        <w:rPr>
          <w:b/>
          <w:smallCaps/>
          <w:lang w:val="fr-CA"/>
        </w:rPr>
      </w:pPr>
      <w:r w:rsidRPr="0001516D">
        <w:rPr>
          <w:b/>
          <w:smallCaps/>
          <w:lang w:val="fr-CA"/>
        </w:rPr>
        <w:t>Traduction française officielle</w:t>
      </w:r>
    </w:p>
    <w:p w:rsidR="0001516D" w:rsidRPr="0001516D" w:rsidRDefault="0001516D" w:rsidP="0001516D">
      <w:pPr>
        <w:rPr>
          <w:lang w:val="fr-CA"/>
        </w:rPr>
      </w:pPr>
    </w:p>
    <w:p w:rsidR="0001516D" w:rsidRPr="0001516D" w:rsidRDefault="0001516D" w:rsidP="0001516D">
      <w:pPr>
        <w:rPr>
          <w:lang w:val="fr-CA"/>
        </w:rPr>
      </w:pPr>
      <w:r w:rsidRPr="0001516D">
        <w:rPr>
          <w:b/>
          <w:smallCaps/>
          <w:lang w:val="fr-CA"/>
        </w:rPr>
        <w:t>Coram :</w:t>
      </w:r>
      <w:r w:rsidRPr="0001516D">
        <w:rPr>
          <w:lang w:val="fr-CA"/>
        </w:rPr>
        <w:t xml:space="preserve"> Les juges </w:t>
      </w:r>
      <w:proofErr w:type="spellStart"/>
      <w:r w:rsidRPr="0001516D">
        <w:rPr>
          <w:lang w:val="fr-CA"/>
        </w:rPr>
        <w:t>Karakatsanis</w:t>
      </w:r>
      <w:proofErr w:type="spellEnd"/>
      <w:r w:rsidRPr="0001516D">
        <w:rPr>
          <w:lang w:val="fr-CA"/>
        </w:rPr>
        <w:t>, Wagner, Gascon, Côté et Brown</w:t>
      </w:r>
    </w:p>
    <w:p w:rsidR="0001516D" w:rsidRPr="0001516D" w:rsidRDefault="0001516D" w:rsidP="0001516D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1516D" w:rsidRPr="0001516D" w:rsidTr="00803C2E">
        <w:trPr>
          <w:cantSplit/>
        </w:trPr>
        <w:tc>
          <w:tcPr>
            <w:tcW w:w="3618" w:type="dxa"/>
          </w:tcPr>
          <w:p w:rsidR="0001516D" w:rsidRPr="0001516D" w:rsidRDefault="0001516D" w:rsidP="00803C2E">
            <w:pPr>
              <w:ind w:left="-58"/>
              <w:rPr>
                <w:b/>
                <w:smallCaps/>
                <w:lang w:val="fr-CA"/>
              </w:rPr>
            </w:pPr>
            <w:r w:rsidRPr="0001516D">
              <w:rPr>
                <w:b/>
                <w:smallCaps/>
                <w:lang w:val="fr-CA"/>
              </w:rPr>
              <w:t>Motifs de jugement :</w:t>
            </w:r>
          </w:p>
          <w:p w:rsidR="0001516D" w:rsidRPr="0001516D" w:rsidRDefault="0001516D" w:rsidP="00803C2E">
            <w:pPr>
              <w:ind w:left="-58"/>
              <w:rPr>
                <w:lang w:val="fr-CA"/>
              </w:rPr>
            </w:pPr>
            <w:r w:rsidRPr="0001516D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01516D" w:rsidRPr="0001516D" w:rsidRDefault="0001516D" w:rsidP="00803C2E">
            <w:pPr>
              <w:rPr>
                <w:lang w:val="fr-CA"/>
              </w:rPr>
            </w:pPr>
            <w:r w:rsidRPr="0001516D">
              <w:rPr>
                <w:lang w:val="fr-CA"/>
              </w:rPr>
              <w:t xml:space="preserve">La juge </w:t>
            </w:r>
            <w:proofErr w:type="spellStart"/>
            <w:r w:rsidRPr="0001516D">
              <w:rPr>
                <w:lang w:val="fr-CA"/>
              </w:rPr>
              <w:t>Karakatsanis</w:t>
            </w:r>
            <w:proofErr w:type="spellEnd"/>
            <w:r w:rsidRPr="0001516D">
              <w:rPr>
                <w:lang w:val="fr-CA"/>
              </w:rPr>
              <w:t xml:space="preserve"> (avec l’accord des juges Wagner et Brown; les juges Gascon et Côté sont dissidents)</w:t>
            </w:r>
          </w:p>
        </w:tc>
      </w:tr>
    </w:tbl>
    <w:p w:rsidR="0001516D" w:rsidRPr="0001516D" w:rsidRDefault="0001516D" w:rsidP="0001516D">
      <w:pPr>
        <w:rPr>
          <w:lang w:val="fr-CA"/>
        </w:rPr>
      </w:pPr>
    </w:p>
    <w:p w:rsidR="0001516D" w:rsidRPr="0001516D" w:rsidRDefault="0001516D" w:rsidP="0001516D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4356" wp14:editId="0EC009B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03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01516D" w:rsidRPr="0001516D" w:rsidRDefault="0001516D" w:rsidP="00C63FC8">
      <w:pPr>
        <w:widowControl w:val="0"/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025B4D" w:rsidRDefault="00025B4D" w:rsidP="00C63FC8">
      <w:pPr>
        <w:widowControl w:val="0"/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025B4D" w:rsidRDefault="002132EC" w:rsidP="00C63FC8">
      <w:pPr>
        <w:widowControl w:val="0"/>
        <w:spacing w:line="480" w:lineRule="auto"/>
        <w:jc w:val="both"/>
        <w:rPr>
          <w:smallCaps/>
          <w:lang w:val="en-US"/>
        </w:rPr>
      </w:pPr>
      <w:bookmarkStart w:id="0" w:name="_GoBack"/>
      <w:bookmarkEnd w:id="0"/>
      <w:r w:rsidRPr="00025B4D">
        <w:rPr>
          <w:rStyle w:val="SCCAppellantForRunningHeadChar"/>
          <w:smallCaps w:val="0"/>
          <w:lang w:val="en-US"/>
        </w:rPr>
        <w:t>R</w:t>
      </w:r>
      <w:r w:rsidR="00F51DCB" w:rsidRPr="00025B4D">
        <w:rPr>
          <w:rStyle w:val="SCCAppellantForRunningHeadChar"/>
          <w:smallCaps w:val="0"/>
          <w:lang w:val="en-US"/>
        </w:rPr>
        <w:t xml:space="preserve">. </w:t>
      </w:r>
      <w:r w:rsidR="00F51DCB" w:rsidRPr="00025B4D">
        <w:rPr>
          <w:i/>
          <w:lang w:val="en-US"/>
        </w:rPr>
        <w:t>c.</w:t>
      </w:r>
      <w:r w:rsidR="00F51DCB" w:rsidRPr="00025B4D">
        <w:rPr>
          <w:rStyle w:val="SCCAppellantForRunningHeadChar"/>
          <w:lang w:val="en-US"/>
        </w:rPr>
        <w:t xml:space="preserve"> </w:t>
      </w:r>
      <w:r w:rsidRPr="00025B4D">
        <w:rPr>
          <w:rStyle w:val="SCCAppellantForRunningHeadChar"/>
          <w:smallCaps w:val="0"/>
          <w:lang w:val="en-US"/>
        </w:rPr>
        <w:t>D</w:t>
      </w:r>
      <w:r w:rsidR="004D7D95" w:rsidRPr="00025B4D">
        <w:rPr>
          <w:rStyle w:val="SCCAppellantForRunningHeadChar"/>
          <w:smallCaps w:val="0"/>
          <w:lang w:val="en-US"/>
        </w:rPr>
        <w:t>iamond</w:t>
      </w:r>
      <w:r w:rsidRPr="00025B4D">
        <w:rPr>
          <w:rStyle w:val="SCCAppellantForRunningHeadChar"/>
          <w:smallCaps w:val="0"/>
          <w:lang w:val="en-US"/>
        </w:rPr>
        <w:t xml:space="preserve">, </w:t>
      </w:r>
      <w:r w:rsidRPr="00025B4D">
        <w:rPr>
          <w:lang w:val="en-US"/>
        </w:rPr>
        <w:t>2016 CSC 46, [2016] 2 R.C.S. 291</w:t>
      </w:r>
    </w:p>
    <w:p w:rsidR="004D7D95" w:rsidRPr="00025B4D" w:rsidRDefault="004D7D95" w:rsidP="00C63FC8">
      <w:pPr>
        <w:widowControl w:val="0"/>
        <w:jc w:val="both"/>
        <w:rPr>
          <w:lang w:val="en-US"/>
        </w:rPr>
      </w:pPr>
    </w:p>
    <w:p w:rsidR="004D7D95" w:rsidRPr="00025B4D" w:rsidRDefault="004D7D95" w:rsidP="00C63FC8">
      <w:pPr>
        <w:widowControl w:val="0"/>
        <w:jc w:val="both"/>
        <w:rPr>
          <w:lang w:val="en-US"/>
        </w:rPr>
      </w:pPr>
    </w:p>
    <w:p w:rsidR="004D7D95" w:rsidRPr="00025B4D" w:rsidRDefault="004D7D95" w:rsidP="00C63FC8">
      <w:pPr>
        <w:widowControl w:val="0"/>
        <w:jc w:val="both"/>
        <w:rPr>
          <w:lang w:val="en-US"/>
        </w:rPr>
      </w:pPr>
    </w:p>
    <w:p w:rsidR="006E77BA" w:rsidRPr="002132EC" w:rsidRDefault="00A04D57" w:rsidP="00C63FC8">
      <w:pPr>
        <w:pStyle w:val="SCCLsocLastPartyInRole"/>
        <w:widowControl w:val="0"/>
        <w:rPr>
          <w:lang w:val="fr-CA"/>
        </w:rPr>
      </w:pPr>
      <w:r w:rsidRPr="002132EC">
        <w:rPr>
          <w:lang w:val="fr-CA"/>
        </w:rPr>
        <w:t xml:space="preserve">Scott </w:t>
      </w:r>
      <w:proofErr w:type="spellStart"/>
      <w:r w:rsidRPr="002132EC">
        <w:rPr>
          <w:lang w:val="fr-CA"/>
        </w:rPr>
        <w:t>Diamond</w:t>
      </w:r>
      <w:proofErr w:type="spellEnd"/>
      <w:r w:rsidRPr="002132EC">
        <w:rPr>
          <w:rStyle w:val="SCCLsocPartyRole"/>
          <w:lang w:val="fr-CA"/>
        </w:rPr>
        <w:tab/>
        <w:t>Appelant</w:t>
      </w:r>
    </w:p>
    <w:p w:rsidR="006E77BA" w:rsidRPr="00E92E5E" w:rsidRDefault="00A04D57" w:rsidP="00C63FC8">
      <w:pPr>
        <w:pStyle w:val="SCCLsocVersus"/>
        <w:widowControl w:val="0"/>
        <w:rPr>
          <w:lang w:val="fr-CA"/>
        </w:rPr>
      </w:pPr>
      <w:proofErr w:type="gramStart"/>
      <w:r w:rsidRPr="00E92E5E">
        <w:rPr>
          <w:lang w:val="fr-CA"/>
        </w:rPr>
        <w:t>c</w:t>
      </w:r>
      <w:proofErr w:type="gramEnd"/>
      <w:r w:rsidRPr="00E92E5E">
        <w:rPr>
          <w:lang w:val="fr-CA"/>
        </w:rPr>
        <w:t>.</w:t>
      </w:r>
    </w:p>
    <w:p w:rsidR="00F51DCB" w:rsidRPr="00E92E5E" w:rsidRDefault="00A04D57" w:rsidP="00C63FC8">
      <w:pPr>
        <w:pStyle w:val="SCCLsocParty"/>
        <w:widowControl w:val="0"/>
        <w:rPr>
          <w:lang w:val="fr-CA"/>
        </w:rPr>
      </w:pPr>
      <w:r w:rsidRPr="00E92E5E">
        <w:rPr>
          <w:lang w:val="fr-CA"/>
        </w:rPr>
        <w:lastRenderedPageBreak/>
        <w:t xml:space="preserve">Sa Majesté la Reine du chef de </w:t>
      </w:r>
    </w:p>
    <w:p w:rsidR="006E77BA" w:rsidRPr="00E92E5E" w:rsidRDefault="00A04D57" w:rsidP="00C63FC8">
      <w:pPr>
        <w:pStyle w:val="SCCLsocParty"/>
        <w:widowControl w:val="0"/>
        <w:rPr>
          <w:lang w:val="fr-CA"/>
        </w:rPr>
      </w:pPr>
      <w:r w:rsidRPr="00E92E5E">
        <w:rPr>
          <w:lang w:val="fr-CA"/>
        </w:rPr>
        <w:t>Terre-Neuve-et-Labrador</w:t>
      </w:r>
      <w:r w:rsidR="00F51DCB" w:rsidRPr="00E92E5E">
        <w:rPr>
          <w:lang w:val="fr-CA"/>
        </w:rPr>
        <w:t xml:space="preserve"> et </w:t>
      </w:r>
    </w:p>
    <w:p w:rsidR="006E77BA" w:rsidRPr="00E92E5E" w:rsidRDefault="00A04D57" w:rsidP="00C63FC8">
      <w:pPr>
        <w:pStyle w:val="SCCLsocLastPartyInRole"/>
        <w:widowControl w:val="0"/>
        <w:rPr>
          <w:lang w:val="fr-CA"/>
        </w:rPr>
      </w:pPr>
      <w:r w:rsidRPr="00E92E5E">
        <w:rPr>
          <w:lang w:val="fr-CA"/>
        </w:rPr>
        <w:t>Sa Majesté la Reine du chef du Canada</w:t>
      </w:r>
      <w:r w:rsidRPr="00E92E5E">
        <w:rPr>
          <w:rStyle w:val="SCCLsocPartyRole"/>
          <w:lang w:val="fr-CA"/>
        </w:rPr>
        <w:tab/>
        <w:t>Intimées</w:t>
      </w: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F51DCB">
        <w:rPr>
          <w:b/>
          <w:lang w:val="fr-CA"/>
        </w:rPr>
        <w:t xml:space="preserve">R. </w:t>
      </w:r>
      <w:r w:rsidR="00F51DCB" w:rsidRPr="00F51DCB">
        <w:rPr>
          <w:b/>
          <w:i/>
          <w:lang w:val="fr-CA"/>
        </w:rPr>
        <w:t>c.</w:t>
      </w:r>
      <w:r w:rsidR="00F51DCB">
        <w:rPr>
          <w:b/>
          <w:lang w:val="fr-CA"/>
        </w:rPr>
        <w:t xml:space="preserve"> </w:t>
      </w:r>
      <w:proofErr w:type="spellStart"/>
      <w:r w:rsidRPr="00E92E5E">
        <w:rPr>
          <w:rStyle w:val="SCCAppellantForIndexChar"/>
          <w:lang w:val="fr-CA"/>
        </w:rPr>
        <w:t>Diamond</w:t>
      </w:r>
      <w:proofErr w:type="spellEnd"/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D17B0E" w:rsidP="00C63FC8">
      <w:pPr>
        <w:pStyle w:val="SCCSystemYear"/>
        <w:widowControl w:val="0"/>
        <w:jc w:val="both"/>
        <w:rPr>
          <w:lang w:val="fr-CA"/>
        </w:rPr>
      </w:pPr>
      <w:r w:rsidRPr="00E92E5E">
        <w:rPr>
          <w:lang w:val="fr-CA"/>
        </w:rPr>
        <w:t>2016</w:t>
      </w:r>
      <w:r w:rsidR="000D304E" w:rsidRPr="00E92E5E">
        <w:rPr>
          <w:lang w:val="fr-CA"/>
        </w:rPr>
        <w:t xml:space="preserve"> CSC 46</w:t>
      </w: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  <w:r w:rsidRPr="00E92E5E">
        <w:rPr>
          <w:lang w:val="fr-CA"/>
        </w:rPr>
        <w:t>N</w:t>
      </w:r>
      <w:r w:rsidRPr="00E92E5E">
        <w:rPr>
          <w:vertAlign w:val="superscript"/>
          <w:lang w:val="fr-CA"/>
        </w:rPr>
        <w:t>o</w:t>
      </w:r>
      <w:r w:rsidRPr="00E92E5E">
        <w:rPr>
          <w:lang w:val="fr-CA"/>
        </w:rPr>
        <w:t xml:space="preserve"> du greffe : 36816.</w:t>
      </w: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D17B0E" w:rsidP="00C63FC8">
      <w:pPr>
        <w:widowControl w:val="0"/>
        <w:jc w:val="both"/>
        <w:rPr>
          <w:lang w:val="fr-CA"/>
        </w:rPr>
      </w:pPr>
      <w:r w:rsidRPr="00E92E5E">
        <w:rPr>
          <w:lang w:val="fr-CA"/>
        </w:rPr>
        <w:t>2016</w:t>
      </w:r>
      <w:r w:rsidR="00F51DCB" w:rsidRPr="00E92E5E">
        <w:rPr>
          <w:lang w:val="fr-CA"/>
        </w:rPr>
        <w:t> </w:t>
      </w:r>
      <w:r w:rsidRPr="00E92E5E">
        <w:rPr>
          <w:lang w:val="fr-CA"/>
        </w:rPr>
        <w:t>:</w:t>
      </w:r>
      <w:r w:rsidR="00F51DCB" w:rsidRPr="00E92E5E">
        <w:rPr>
          <w:lang w:val="fr-CA"/>
        </w:rPr>
        <w:t> </w:t>
      </w:r>
      <w:r w:rsidR="002E6921" w:rsidRPr="00E92E5E">
        <w:rPr>
          <w:lang w:val="fr-CA"/>
        </w:rPr>
        <w:t>12 </w:t>
      </w:r>
      <w:r w:rsidRPr="00E92E5E">
        <w:rPr>
          <w:lang w:val="fr-CA"/>
        </w:rPr>
        <w:t>octobre</w:t>
      </w:r>
      <w:r w:rsidR="002E6921" w:rsidRPr="00E92E5E">
        <w:rPr>
          <w:lang w:val="fr-CA"/>
        </w:rPr>
        <w:t>; 2016 : 3 novembre</w:t>
      </w:r>
      <w:r w:rsidR="004D7D95" w:rsidRPr="00E92E5E">
        <w:rPr>
          <w:lang w:val="fr-CA"/>
        </w:rPr>
        <w:t>.</w:t>
      </w: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4D7D95" w:rsidRPr="00E92E5E" w:rsidRDefault="004D7D95" w:rsidP="00C63FC8">
      <w:pPr>
        <w:widowControl w:val="0"/>
        <w:jc w:val="both"/>
        <w:rPr>
          <w:lang w:val="fr-CA"/>
        </w:rPr>
      </w:pPr>
      <w:r w:rsidRPr="00E92E5E">
        <w:rPr>
          <w:lang w:val="fr-CA"/>
        </w:rPr>
        <w:t>Présents : Les juges Karakatsanis, Wagner, Gascon, Côté et Brown.</w:t>
      </w:r>
    </w:p>
    <w:p w:rsidR="004D7D95" w:rsidRPr="00E92E5E" w:rsidRDefault="004D7D95" w:rsidP="00C63FC8">
      <w:pPr>
        <w:widowControl w:val="0"/>
        <w:jc w:val="both"/>
        <w:rPr>
          <w:lang w:val="fr-CA"/>
        </w:rPr>
      </w:pPr>
    </w:p>
    <w:p w:rsidR="00EE0830" w:rsidRPr="00E92E5E" w:rsidRDefault="00EE0830" w:rsidP="00C63FC8">
      <w:pPr>
        <w:widowControl w:val="0"/>
        <w:jc w:val="both"/>
        <w:rPr>
          <w:lang w:val="fr-CA"/>
        </w:rPr>
      </w:pPr>
    </w:p>
    <w:p w:rsidR="00EE0830" w:rsidRPr="00E92E5E" w:rsidRDefault="00EE0830" w:rsidP="00C63FC8">
      <w:pPr>
        <w:widowControl w:val="0"/>
        <w:jc w:val="both"/>
        <w:rPr>
          <w:lang w:val="fr-CA"/>
        </w:rPr>
      </w:pPr>
    </w:p>
    <w:p w:rsidR="004D7D95" w:rsidRPr="00DD15E3" w:rsidRDefault="004D7D95" w:rsidP="00C63FC8">
      <w:pPr>
        <w:widowControl w:val="0"/>
        <w:jc w:val="both"/>
        <w:rPr>
          <w:smallCaps/>
          <w:lang w:val="fr-CA"/>
        </w:rPr>
      </w:pPr>
      <w:r w:rsidRPr="00DD15E3">
        <w:rPr>
          <w:smallCaps/>
          <w:lang w:val="fr-CA"/>
        </w:rPr>
        <w:t xml:space="preserve">en appel de la </w:t>
      </w:r>
      <w:r w:rsidRPr="00E92E5E">
        <w:rPr>
          <w:smallCaps/>
          <w:lang w:val="fr-CA"/>
        </w:rPr>
        <w:t xml:space="preserve">cour </w:t>
      </w:r>
      <w:r w:rsidR="00DD15E3" w:rsidRPr="00E92E5E">
        <w:rPr>
          <w:smallCaps/>
          <w:lang w:val="fr-CA"/>
        </w:rPr>
        <w:t>d’appel</w:t>
      </w:r>
      <w:r w:rsidRPr="00E92E5E">
        <w:rPr>
          <w:smallCaps/>
          <w:lang w:val="fr-CA"/>
        </w:rPr>
        <w:t xml:space="preserve"> de terre-neuve-et-labrador</w:t>
      </w:r>
    </w:p>
    <w:p w:rsidR="009A6B7C" w:rsidRPr="009A6B7C" w:rsidRDefault="009A6B7C" w:rsidP="00C63FC8">
      <w:pPr>
        <w:pStyle w:val="SCCNormalDoubleSpacing"/>
        <w:widowControl w:val="0"/>
        <w:rPr>
          <w:lang w:val="fr-CA"/>
        </w:rPr>
      </w:pPr>
    </w:p>
    <w:p w:rsidR="009A6B7C" w:rsidRPr="00E051D9" w:rsidRDefault="009A6B7C" w:rsidP="00C63FC8">
      <w:pPr>
        <w:pStyle w:val="SCCNormalDoubleSpacing"/>
        <w:widowControl w:val="0"/>
        <w:rPr>
          <w:i/>
          <w:lang w:val="fr-CA"/>
        </w:rPr>
      </w:pPr>
      <w:r w:rsidRPr="009A6B7C">
        <w:rPr>
          <w:lang w:val="fr-CA"/>
        </w:rPr>
        <w:tab/>
      </w:r>
      <w:r w:rsidR="00AB07E1">
        <w:rPr>
          <w:i/>
          <w:lang w:val="fr-CA"/>
        </w:rPr>
        <w:t>Droit constitutionnel — Charte des droits —</w:t>
      </w:r>
      <w:r w:rsidRPr="00E051D9">
        <w:rPr>
          <w:i/>
          <w:lang w:val="fr-CA"/>
        </w:rPr>
        <w:t xml:space="preserve"> Foui</w:t>
      </w:r>
      <w:r w:rsidR="00AB07E1">
        <w:rPr>
          <w:i/>
          <w:lang w:val="fr-CA"/>
        </w:rPr>
        <w:t>lles, perquisitions et saisies — Détention arbitraire —</w:t>
      </w:r>
      <w:r w:rsidRPr="00E051D9">
        <w:rPr>
          <w:i/>
          <w:lang w:val="fr-CA"/>
        </w:rPr>
        <w:t xml:space="preserve"> Réparation </w:t>
      </w:r>
      <w:r w:rsidR="00AB07E1">
        <w:rPr>
          <w:i/>
          <w:lang w:val="fr-CA"/>
        </w:rPr>
        <w:t>— Exclusion de la preuve —</w:t>
      </w:r>
      <w:r w:rsidRPr="00E051D9">
        <w:rPr>
          <w:i/>
          <w:lang w:val="fr-CA"/>
        </w:rPr>
        <w:t xml:space="preserve"> Constatation par un policier de la présence d’un couteau dans le camion de l’accusé </w:t>
      </w:r>
      <w:r w:rsidR="00126B5F" w:rsidRPr="00E051D9">
        <w:rPr>
          <w:i/>
          <w:lang w:val="fr-CA"/>
        </w:rPr>
        <w:t xml:space="preserve">lors </w:t>
      </w:r>
      <w:r w:rsidR="00851D8F" w:rsidRPr="00E051D9">
        <w:rPr>
          <w:i/>
          <w:lang w:val="fr-CA"/>
        </w:rPr>
        <w:t>d</w:t>
      </w:r>
      <w:r w:rsidR="00126B5F" w:rsidRPr="00E051D9">
        <w:rPr>
          <w:i/>
          <w:lang w:val="fr-CA"/>
        </w:rPr>
        <w:t>’</w:t>
      </w:r>
      <w:r w:rsidR="00851D8F" w:rsidRPr="00E051D9">
        <w:rPr>
          <w:i/>
          <w:lang w:val="fr-CA"/>
        </w:rPr>
        <w:t xml:space="preserve">une </w:t>
      </w:r>
      <w:r w:rsidRPr="00E051D9">
        <w:rPr>
          <w:i/>
          <w:lang w:val="fr-CA"/>
        </w:rPr>
        <w:t xml:space="preserve">inspection visuelle </w:t>
      </w:r>
      <w:r w:rsidR="00851D8F" w:rsidRPr="00E051D9">
        <w:rPr>
          <w:i/>
          <w:lang w:val="fr-CA"/>
        </w:rPr>
        <w:t>menée d</w:t>
      </w:r>
      <w:r w:rsidR="00126B5F" w:rsidRPr="00E051D9">
        <w:rPr>
          <w:i/>
          <w:lang w:val="fr-CA"/>
        </w:rPr>
        <w:t>urant u</w:t>
      </w:r>
      <w:r w:rsidR="00851D8F" w:rsidRPr="00E051D9">
        <w:rPr>
          <w:i/>
          <w:lang w:val="fr-CA"/>
        </w:rPr>
        <w:t>n contrôle routier</w:t>
      </w:r>
      <w:r w:rsidR="00AB07E1">
        <w:rPr>
          <w:i/>
          <w:lang w:val="fr-CA"/>
        </w:rPr>
        <w:t xml:space="preserve"> —</w:t>
      </w:r>
      <w:r w:rsidRPr="00E051D9">
        <w:rPr>
          <w:i/>
          <w:lang w:val="fr-CA"/>
        </w:rPr>
        <w:t xml:space="preserve"> A</w:t>
      </w:r>
      <w:r w:rsidR="00851D8F" w:rsidRPr="00E051D9">
        <w:rPr>
          <w:i/>
          <w:lang w:val="fr-CA"/>
        </w:rPr>
        <w:t xml:space="preserve">rrestation de l’accusé pour possession d’une arme dans un dessein dangereux pour la paix publique et </w:t>
      </w:r>
      <w:r w:rsidR="00061FA6" w:rsidRPr="00E051D9">
        <w:rPr>
          <w:i/>
          <w:lang w:val="fr-CA"/>
        </w:rPr>
        <w:t>présence de cocaïne décelée par suite d’une fouille accessoire à l’arrestation</w:t>
      </w:r>
      <w:r w:rsidR="00AB07E1">
        <w:rPr>
          <w:i/>
          <w:lang w:val="fr-CA"/>
        </w:rPr>
        <w:t xml:space="preserve"> —</w:t>
      </w:r>
      <w:r w:rsidRPr="00E051D9">
        <w:rPr>
          <w:i/>
          <w:lang w:val="fr-CA"/>
        </w:rPr>
        <w:t xml:space="preserve"> </w:t>
      </w:r>
      <w:r w:rsidR="00061FA6" w:rsidRPr="00E051D9">
        <w:rPr>
          <w:i/>
          <w:lang w:val="fr-CA"/>
        </w:rPr>
        <w:t>Conclusions des juges majoritaires de la Cour d’appel portant que l’inspection visuelle menée par le policier ne constituait pas une fouille</w:t>
      </w:r>
      <w:r w:rsidR="00A66853" w:rsidRPr="00E051D9">
        <w:rPr>
          <w:i/>
          <w:lang w:val="fr-CA"/>
        </w:rPr>
        <w:t xml:space="preserve">, que la saisie du couteau était justifiée parce </w:t>
      </w:r>
      <w:r w:rsidR="00A66853" w:rsidRPr="00E051D9">
        <w:rPr>
          <w:i/>
          <w:lang w:val="fr-CA"/>
        </w:rPr>
        <w:lastRenderedPageBreak/>
        <w:t xml:space="preserve">que l’objet était bien en vue et facilement récupérable par l’accusé, que le policier </w:t>
      </w:r>
      <w:r w:rsidR="00B50FAC" w:rsidRPr="00E051D9">
        <w:rPr>
          <w:i/>
          <w:lang w:val="fr-CA"/>
        </w:rPr>
        <w:t xml:space="preserve">possédait des motifs raisonnables pour arrêter </w:t>
      </w:r>
      <w:r w:rsidR="003D459A">
        <w:rPr>
          <w:i/>
          <w:lang w:val="fr-CA"/>
        </w:rPr>
        <w:t>ce dernier</w:t>
      </w:r>
      <w:r w:rsidR="00B50FAC" w:rsidRPr="00E051D9">
        <w:rPr>
          <w:i/>
          <w:lang w:val="fr-CA"/>
        </w:rPr>
        <w:t xml:space="preserve"> et que la saisie de la cocaïne </w:t>
      </w:r>
      <w:r w:rsidR="00126B5F" w:rsidRPr="00E051D9">
        <w:rPr>
          <w:i/>
          <w:lang w:val="fr-CA"/>
        </w:rPr>
        <w:t>était justifiable en tant que mesure accessoire à l’arrestation</w:t>
      </w:r>
      <w:r w:rsidR="00AB07E1">
        <w:rPr>
          <w:i/>
          <w:lang w:val="fr-CA"/>
        </w:rPr>
        <w:t xml:space="preserve"> —</w:t>
      </w:r>
      <w:r w:rsidRPr="00E051D9">
        <w:rPr>
          <w:i/>
          <w:lang w:val="fr-CA"/>
        </w:rPr>
        <w:t xml:space="preserve"> </w:t>
      </w:r>
      <w:r w:rsidR="00126B5F" w:rsidRPr="00E051D9">
        <w:rPr>
          <w:i/>
          <w:lang w:val="fr-CA"/>
        </w:rPr>
        <w:t>Confirmation des déclarations de culpabilité prononcées contre l’accusé</w:t>
      </w:r>
      <w:r w:rsidRPr="00E051D9">
        <w:rPr>
          <w:i/>
          <w:lang w:val="fr-CA"/>
        </w:rPr>
        <w:t>.</w:t>
      </w:r>
    </w:p>
    <w:p w:rsidR="004D7D95" w:rsidRPr="00851D8F" w:rsidRDefault="004D7D95" w:rsidP="00C63FC8">
      <w:pPr>
        <w:pStyle w:val="SCCNormalDoubleSpacing"/>
        <w:widowControl w:val="0"/>
        <w:rPr>
          <w:lang w:val="fr-CA"/>
        </w:rPr>
      </w:pPr>
    </w:p>
    <w:p w:rsidR="004D7D95" w:rsidRPr="004D7D95" w:rsidRDefault="004D7D95" w:rsidP="00C63FC8">
      <w:pPr>
        <w:pStyle w:val="SCCNormalDoubleSpacing"/>
        <w:widowControl w:val="0"/>
        <w:rPr>
          <w:lang w:val="fr-CA"/>
        </w:rPr>
      </w:pPr>
      <w:r w:rsidRPr="00851D8F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E92E5E">
        <w:rPr>
          <w:lang w:val="fr-CA"/>
        </w:rPr>
        <w:t xml:space="preserve">Cour </w:t>
      </w:r>
      <w:r w:rsidR="00DD15E3" w:rsidRPr="00E92E5E">
        <w:rPr>
          <w:lang w:val="fr-CA"/>
        </w:rPr>
        <w:t xml:space="preserve">d’appel </w:t>
      </w:r>
      <w:r w:rsidRPr="00E92E5E">
        <w:rPr>
          <w:lang w:val="fr-CA"/>
        </w:rPr>
        <w:t>de Terre-Neuve-et-Labrador</w:t>
      </w:r>
      <w:r w:rsidR="000369F9" w:rsidRPr="00E92E5E">
        <w:rPr>
          <w:lang w:val="fr-CA"/>
        </w:rPr>
        <w:t xml:space="preserve"> (les juges </w:t>
      </w:r>
      <w:proofErr w:type="spellStart"/>
      <w:r w:rsidR="000369F9" w:rsidRPr="00E92E5E">
        <w:rPr>
          <w:lang w:val="fr-CA"/>
        </w:rPr>
        <w:t>Welsh</w:t>
      </w:r>
      <w:proofErr w:type="spellEnd"/>
      <w:r w:rsidR="000369F9" w:rsidRPr="00E92E5E">
        <w:rPr>
          <w:lang w:val="fr-CA"/>
        </w:rPr>
        <w:t xml:space="preserve">, Harrington et White), 2015 NLCA 60, 371 </w:t>
      </w:r>
      <w:proofErr w:type="spellStart"/>
      <w:r w:rsidR="000369F9" w:rsidRPr="00E92E5E">
        <w:rPr>
          <w:lang w:val="fr-CA"/>
        </w:rPr>
        <w:t>Nfld</w:t>
      </w:r>
      <w:proofErr w:type="spellEnd"/>
      <w:r w:rsidR="000369F9" w:rsidRPr="00E92E5E">
        <w:rPr>
          <w:lang w:val="fr-CA"/>
        </w:rPr>
        <w:t xml:space="preserve">. &amp; P.E.I.R. 200, 1156 A.P.R. 200, 333 C.C.C. (3d) 61, 25 C.R. (7th) 292, 347 C.R.R. (2d) 43, [2015] N.J. No. 443 (QL), 2015 </w:t>
      </w:r>
      <w:proofErr w:type="spellStart"/>
      <w:r w:rsidR="000369F9" w:rsidRPr="00E92E5E">
        <w:rPr>
          <w:lang w:val="fr-CA"/>
        </w:rPr>
        <w:t>CarswellNfld</w:t>
      </w:r>
      <w:proofErr w:type="spellEnd"/>
      <w:r w:rsidR="000369F9" w:rsidRPr="00E92E5E">
        <w:rPr>
          <w:lang w:val="fr-CA"/>
        </w:rPr>
        <w:t xml:space="preserve"> 518 (WL Can.), qui a confirmé les déclarations de culpabilité </w:t>
      </w:r>
      <w:r w:rsidR="003D459A">
        <w:rPr>
          <w:lang w:val="fr-CA"/>
        </w:rPr>
        <w:t xml:space="preserve">pour </w:t>
      </w:r>
      <w:r w:rsidR="000369F9" w:rsidRPr="00E92E5E">
        <w:rPr>
          <w:lang w:val="fr-CA"/>
        </w:rPr>
        <w:t xml:space="preserve">possession d’une arme </w:t>
      </w:r>
      <w:r w:rsidR="00A04D57" w:rsidRPr="00E92E5E">
        <w:rPr>
          <w:lang w:val="fr-CA"/>
        </w:rPr>
        <w:t>dans un dessein dangereux pour la paix publique</w:t>
      </w:r>
      <w:r w:rsidR="000369F9" w:rsidRPr="00E92E5E">
        <w:rPr>
          <w:lang w:val="fr-CA"/>
        </w:rPr>
        <w:t xml:space="preserve"> et </w:t>
      </w:r>
      <w:r w:rsidR="003D459A">
        <w:rPr>
          <w:lang w:val="fr-CA"/>
        </w:rPr>
        <w:t xml:space="preserve">pour </w:t>
      </w:r>
      <w:r w:rsidR="000369F9" w:rsidRPr="00E92E5E">
        <w:rPr>
          <w:lang w:val="fr-CA"/>
        </w:rPr>
        <w:t>possession de cocaïne en vue d’en faire le trafic prononcées contre l’accusé</w:t>
      </w:r>
      <w:r w:rsidR="00E92E5E">
        <w:rPr>
          <w:lang w:val="fr-CA"/>
        </w:rPr>
        <w:t xml:space="preserve"> par le juge </w:t>
      </w:r>
      <w:proofErr w:type="spellStart"/>
      <w:r w:rsidR="00E92E5E">
        <w:rPr>
          <w:lang w:val="fr-CA"/>
        </w:rPr>
        <w:t>Hyslop</w:t>
      </w:r>
      <w:proofErr w:type="spellEnd"/>
      <w:r w:rsidR="00DD15E3" w:rsidRPr="00E92E5E">
        <w:rPr>
          <w:lang w:val="fr-CA"/>
        </w:rPr>
        <w:t xml:space="preserve">. Pourvoi </w:t>
      </w:r>
      <w:r w:rsidR="002E6921" w:rsidRPr="00E92E5E">
        <w:rPr>
          <w:lang w:val="fr-CA"/>
        </w:rPr>
        <w:t>rejeté, les juges Gascon et Côté sont dissidents</w:t>
      </w:r>
      <w:r w:rsidR="00DD15E3" w:rsidRPr="00E92E5E">
        <w:rPr>
          <w:lang w:val="fr-CA"/>
        </w:rPr>
        <w:t>.</w:t>
      </w:r>
    </w:p>
    <w:p w:rsidR="004D7D95" w:rsidRPr="004D7D95" w:rsidRDefault="004D7D95" w:rsidP="00C63FC8">
      <w:pPr>
        <w:pStyle w:val="SCCNormalDoubleSpacing"/>
        <w:widowControl w:val="0"/>
        <w:rPr>
          <w:lang w:val="fr-CA"/>
        </w:rPr>
      </w:pPr>
    </w:p>
    <w:p w:rsidR="006E77BA" w:rsidRPr="00E92E5E" w:rsidRDefault="00DD15E3" w:rsidP="00C63FC8">
      <w:pPr>
        <w:pStyle w:val="SCCNormalDoubleSpacing"/>
        <w:widowControl w:val="0"/>
        <w:rPr>
          <w:lang w:val="fr-CA"/>
        </w:rPr>
      </w:pPr>
      <w:r w:rsidRPr="00E92E5E">
        <w:rPr>
          <w:rStyle w:val="SCCCounselNameChar"/>
          <w:i w:val="0"/>
          <w:lang w:val="fr-CA"/>
        </w:rPr>
        <w:tab/>
      </w:r>
      <w:r w:rsidRPr="00E92E5E">
        <w:rPr>
          <w:rStyle w:val="SCCCounselNameChar"/>
          <w:lang w:val="fr-CA"/>
        </w:rPr>
        <w:t>Jason Edwards</w:t>
      </w:r>
      <w:r w:rsidR="00A04D57" w:rsidRPr="00E92E5E">
        <w:rPr>
          <w:rStyle w:val="SCCCounselPartyRoleChar"/>
          <w:lang w:val="fr-CA"/>
        </w:rPr>
        <w:t>, pour l</w:t>
      </w:r>
      <w:r w:rsidRPr="00E92E5E">
        <w:rPr>
          <w:rStyle w:val="SCCCounselPartyRoleChar"/>
          <w:lang w:val="fr-CA"/>
        </w:rPr>
        <w:t>’</w:t>
      </w:r>
      <w:r w:rsidR="00A04D57" w:rsidRPr="00E92E5E">
        <w:rPr>
          <w:rStyle w:val="SCCCounselPartyRoleChar"/>
          <w:lang w:val="fr-CA"/>
        </w:rPr>
        <w:t>appelant.</w:t>
      </w:r>
    </w:p>
    <w:p w:rsidR="006E77BA" w:rsidRPr="00E92E5E" w:rsidRDefault="006E77BA" w:rsidP="00C63FC8">
      <w:pPr>
        <w:pStyle w:val="SCCNormalDoubleSpacing"/>
        <w:widowControl w:val="0"/>
        <w:rPr>
          <w:lang w:val="fr-CA"/>
        </w:rPr>
      </w:pPr>
    </w:p>
    <w:p w:rsidR="006E77BA" w:rsidRPr="00E92E5E" w:rsidRDefault="00DD15E3" w:rsidP="00C63FC8">
      <w:pPr>
        <w:pStyle w:val="SCCNormalDoubleSpacing"/>
        <w:widowControl w:val="0"/>
        <w:rPr>
          <w:lang w:val="fr-CA"/>
        </w:rPr>
      </w:pPr>
      <w:r w:rsidRPr="00E92E5E">
        <w:rPr>
          <w:rStyle w:val="SCCCounselNameChar"/>
          <w:i w:val="0"/>
          <w:lang w:val="fr-CA"/>
        </w:rPr>
        <w:tab/>
      </w:r>
      <w:r w:rsidRPr="00E92E5E">
        <w:rPr>
          <w:rStyle w:val="SCCCounselNameChar"/>
          <w:lang w:val="fr-CA"/>
        </w:rPr>
        <w:t>Lloyd M. Strickland</w:t>
      </w:r>
      <w:r w:rsidR="00A04D57" w:rsidRPr="00E92E5E">
        <w:rPr>
          <w:rStyle w:val="SCCCounselPartyRoleChar"/>
          <w:lang w:val="fr-CA"/>
        </w:rPr>
        <w:t>, pour l</w:t>
      </w:r>
      <w:r w:rsidRPr="00E92E5E">
        <w:rPr>
          <w:rStyle w:val="SCCCounselPartyRoleChar"/>
          <w:lang w:val="fr-CA"/>
        </w:rPr>
        <w:t>’</w:t>
      </w:r>
      <w:r w:rsidR="00A04D57" w:rsidRPr="00E92E5E">
        <w:rPr>
          <w:rStyle w:val="SCCCounselPartyRoleChar"/>
          <w:lang w:val="fr-CA"/>
        </w:rPr>
        <w:t>intimée</w:t>
      </w:r>
      <w:r w:rsidRPr="00E92E5E">
        <w:rPr>
          <w:rStyle w:val="SCCCounselPartyRoleChar"/>
          <w:lang w:val="fr-CA"/>
        </w:rPr>
        <w:t xml:space="preserve"> Sa Majesté la Reine du chef de Terre-Neuve-et-Labrador</w:t>
      </w:r>
      <w:r w:rsidR="00A04D57" w:rsidRPr="00E92E5E">
        <w:rPr>
          <w:rStyle w:val="SCCCounselPartyRoleChar"/>
          <w:lang w:val="fr-CA"/>
        </w:rPr>
        <w:t>.</w:t>
      </w:r>
    </w:p>
    <w:p w:rsidR="006E77BA" w:rsidRPr="00E92E5E" w:rsidRDefault="006E77BA" w:rsidP="00C63FC8">
      <w:pPr>
        <w:pStyle w:val="SCCNormalDoubleSpacing"/>
        <w:widowControl w:val="0"/>
        <w:rPr>
          <w:lang w:val="fr-CA"/>
        </w:rPr>
      </w:pPr>
    </w:p>
    <w:p w:rsidR="006E77BA" w:rsidRPr="00E92E5E" w:rsidRDefault="00DD15E3" w:rsidP="00C63FC8">
      <w:pPr>
        <w:pStyle w:val="SCCNormalDoubleSpacing"/>
        <w:widowControl w:val="0"/>
        <w:rPr>
          <w:lang w:val="fr-CA"/>
        </w:rPr>
      </w:pPr>
      <w:r w:rsidRPr="00E92E5E">
        <w:rPr>
          <w:rStyle w:val="SCCCounselNameChar"/>
          <w:i w:val="0"/>
          <w:lang w:val="fr-CA"/>
        </w:rPr>
        <w:tab/>
      </w:r>
      <w:r w:rsidRPr="00E92E5E">
        <w:rPr>
          <w:rStyle w:val="SCCCounselNameChar"/>
          <w:lang w:val="fr-CA"/>
        </w:rPr>
        <w:t>Paul Adams</w:t>
      </w:r>
      <w:r w:rsidRPr="00E92E5E">
        <w:rPr>
          <w:rStyle w:val="SCCCounselSeparatorChar"/>
          <w:lang w:val="fr-CA"/>
        </w:rPr>
        <w:t xml:space="preserve"> et </w:t>
      </w:r>
      <w:r w:rsidRPr="00E92E5E">
        <w:rPr>
          <w:rStyle w:val="SCCCounselNameChar"/>
          <w:lang w:val="fr-CA"/>
        </w:rPr>
        <w:t>Robin Fowler</w:t>
      </w:r>
      <w:r w:rsidR="00A04D57" w:rsidRPr="00E92E5E">
        <w:rPr>
          <w:rStyle w:val="SCCCounselPartyRoleChar"/>
          <w:lang w:val="fr-CA"/>
        </w:rPr>
        <w:t>, pour l</w:t>
      </w:r>
      <w:r w:rsidRPr="00E92E5E">
        <w:rPr>
          <w:rStyle w:val="SCCCounselPartyRoleChar"/>
          <w:lang w:val="fr-CA"/>
        </w:rPr>
        <w:t>’</w:t>
      </w:r>
      <w:r w:rsidR="00A04D57" w:rsidRPr="00E92E5E">
        <w:rPr>
          <w:rStyle w:val="SCCCounselPartyRoleChar"/>
          <w:lang w:val="fr-CA"/>
        </w:rPr>
        <w:t>intimée</w:t>
      </w:r>
      <w:r w:rsidRPr="00E92E5E">
        <w:rPr>
          <w:rStyle w:val="SCCCounselPartyRoleChar"/>
          <w:lang w:val="fr-CA"/>
        </w:rPr>
        <w:t xml:space="preserve"> Sa Majesté la Reine du chef du Canada</w:t>
      </w:r>
      <w:r w:rsidR="00A04D57" w:rsidRPr="00E92E5E">
        <w:rPr>
          <w:rStyle w:val="SCCCounselPartyRoleChar"/>
          <w:lang w:val="fr-CA"/>
        </w:rPr>
        <w:t>.</w:t>
      </w:r>
    </w:p>
    <w:p w:rsidR="006E77BA" w:rsidRPr="00E92E5E" w:rsidRDefault="006E77BA" w:rsidP="00C63FC8">
      <w:pPr>
        <w:pStyle w:val="SCCNormalDoubleSpacing"/>
        <w:widowControl w:val="0"/>
        <w:rPr>
          <w:lang w:val="fr-CA"/>
        </w:rPr>
      </w:pPr>
    </w:p>
    <w:p w:rsidR="002E6921" w:rsidRPr="00E92E5E" w:rsidRDefault="00243119" w:rsidP="00C63FC8">
      <w:pPr>
        <w:pStyle w:val="SCCNormalDoubleSpacing"/>
        <w:widowControl w:val="0"/>
        <w:rPr>
          <w:lang w:val="fr-CA"/>
        </w:rPr>
      </w:pPr>
      <w:r w:rsidRPr="00E92E5E">
        <w:rPr>
          <w:lang w:val="fr-CA"/>
        </w:rPr>
        <w:tab/>
      </w:r>
      <w:r w:rsidRPr="0010589F">
        <w:rPr>
          <w:lang w:val="fr-CA"/>
        </w:rPr>
        <w:t>Version française du jugement de la Cour rendu par</w:t>
      </w:r>
    </w:p>
    <w:p w:rsidR="002E6921" w:rsidRPr="00E92E5E" w:rsidRDefault="002E6921" w:rsidP="00C63FC8">
      <w:pPr>
        <w:pStyle w:val="SCCNormalDoubleSpacing"/>
        <w:widowControl w:val="0"/>
        <w:rPr>
          <w:lang w:val="fr-CA"/>
        </w:rPr>
      </w:pPr>
    </w:p>
    <w:p w:rsidR="002E6921" w:rsidRDefault="00243119" w:rsidP="00C63FC8">
      <w:pPr>
        <w:pStyle w:val="SCCNormalDoubleSpacing"/>
        <w:widowControl w:val="0"/>
        <w:spacing w:after="480"/>
        <w:rPr>
          <w:lang w:val="fr-CA"/>
        </w:rPr>
      </w:pPr>
      <w:r w:rsidRPr="00E92E5E">
        <w:rPr>
          <w:lang w:val="fr-CA"/>
        </w:rPr>
        <w:lastRenderedPageBreak/>
        <w:t>[1]</w:t>
      </w:r>
      <w:r w:rsidRPr="00E92E5E">
        <w:rPr>
          <w:lang w:val="fr-CA"/>
        </w:rPr>
        <w:tab/>
      </w:r>
      <w:r w:rsidRPr="00D30515">
        <w:rPr>
          <w:smallCaps/>
          <w:lang w:val="fr-CA"/>
        </w:rPr>
        <w:t xml:space="preserve">La juge Karakatsanis — </w:t>
      </w:r>
      <w:r w:rsidRPr="00D30515">
        <w:rPr>
          <w:lang w:val="fr-CA"/>
        </w:rPr>
        <w:t>Les juges majoritaires de la Cour sont d’avis de rejeter l’appel</w:t>
      </w:r>
      <w:r>
        <w:rPr>
          <w:lang w:val="fr-CA"/>
        </w:rPr>
        <w:t xml:space="preserve"> essentiellement</w:t>
      </w:r>
      <w:r w:rsidRPr="00D30515">
        <w:rPr>
          <w:lang w:val="fr-CA"/>
        </w:rPr>
        <w:t xml:space="preserve"> pour les motifs énoncés par le juge Harrington de la Cour d’appel, 2015 NLCA 60, 371 </w:t>
      </w:r>
      <w:proofErr w:type="spellStart"/>
      <w:r w:rsidRPr="00D30515">
        <w:rPr>
          <w:lang w:val="fr-CA"/>
        </w:rPr>
        <w:t>Nfld</w:t>
      </w:r>
      <w:proofErr w:type="spellEnd"/>
      <w:r>
        <w:rPr>
          <w:lang w:val="fr-CA"/>
        </w:rPr>
        <w:t>.</w:t>
      </w:r>
      <w:r w:rsidRPr="00D30515">
        <w:rPr>
          <w:lang w:val="fr-CA"/>
        </w:rPr>
        <w:t xml:space="preserve"> &amp; P.E.I.R. 200, par. 22-26. </w:t>
      </w:r>
      <w:r>
        <w:rPr>
          <w:lang w:val="fr-CA"/>
        </w:rPr>
        <w:t>L</w:t>
      </w:r>
      <w:r w:rsidRPr="00D30515">
        <w:rPr>
          <w:lang w:val="fr-CA"/>
        </w:rPr>
        <w:t xml:space="preserve">es juges Gascon et Côté sont dissidents et sont d’avis d’accueillir l’appel </w:t>
      </w:r>
      <w:r>
        <w:rPr>
          <w:lang w:val="fr-CA"/>
        </w:rPr>
        <w:t>essentiellement</w:t>
      </w:r>
      <w:r w:rsidRPr="00D30515">
        <w:rPr>
          <w:lang w:val="fr-CA"/>
        </w:rPr>
        <w:t xml:space="preserve"> pour les motifs énoncés par le juge White, au</w:t>
      </w:r>
      <w:r>
        <w:rPr>
          <w:lang w:val="fr-CA"/>
        </w:rPr>
        <w:t>x</w:t>
      </w:r>
      <w:r w:rsidRPr="00D30515">
        <w:rPr>
          <w:lang w:val="fr-CA"/>
        </w:rPr>
        <w:t xml:space="preserve"> </w:t>
      </w:r>
      <w:proofErr w:type="spellStart"/>
      <w:r w:rsidRPr="00D30515">
        <w:rPr>
          <w:lang w:val="fr-CA"/>
        </w:rPr>
        <w:t>par</w:t>
      </w:r>
      <w:proofErr w:type="spellEnd"/>
      <w:r w:rsidRPr="00D30515">
        <w:rPr>
          <w:lang w:val="fr-CA"/>
        </w:rPr>
        <w:t>. 44-48.</w:t>
      </w:r>
    </w:p>
    <w:p w:rsidR="00243119" w:rsidRPr="00E92E5E" w:rsidRDefault="00243119" w:rsidP="00C63FC8">
      <w:pPr>
        <w:pStyle w:val="SCCNormalDoubleSpacing"/>
        <w:widowControl w:val="0"/>
        <w:spacing w:after="480"/>
        <w:rPr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</w:r>
      <w:r w:rsidRPr="00D30515">
        <w:rPr>
          <w:lang w:val="fr-CA"/>
        </w:rPr>
        <w:t>L’appel est donc rejeté.</w:t>
      </w:r>
    </w:p>
    <w:p w:rsidR="004D7D95" w:rsidRPr="00E92E5E" w:rsidRDefault="004D7D95" w:rsidP="00C63FC8">
      <w:pPr>
        <w:pStyle w:val="SCCNormalDoubleSpacing"/>
        <w:widowControl w:val="0"/>
        <w:rPr>
          <w:lang w:val="fr-CA"/>
        </w:rPr>
      </w:pPr>
      <w:r w:rsidRPr="00E92E5E">
        <w:rPr>
          <w:lang w:val="fr-CA"/>
        </w:rPr>
        <w:tab/>
      </w:r>
      <w:r w:rsidR="00DD15E3" w:rsidRPr="00E92E5E">
        <w:rPr>
          <w:i/>
          <w:lang w:val="fr-CA"/>
        </w:rPr>
        <w:t xml:space="preserve">Pourvoi </w:t>
      </w:r>
      <w:r w:rsidR="002E6921" w:rsidRPr="00E92E5E">
        <w:rPr>
          <w:i/>
          <w:lang w:val="fr-CA"/>
        </w:rPr>
        <w:t xml:space="preserve">rejeté, les juges </w:t>
      </w:r>
      <w:r w:rsidR="002E6921" w:rsidRPr="00E92E5E">
        <w:rPr>
          <w:smallCaps/>
          <w:lang w:val="fr-CA"/>
        </w:rPr>
        <w:t>Gascon</w:t>
      </w:r>
      <w:r w:rsidR="002E6921" w:rsidRPr="00E92E5E">
        <w:rPr>
          <w:i/>
          <w:lang w:val="fr-CA"/>
        </w:rPr>
        <w:t xml:space="preserve"> et </w:t>
      </w:r>
      <w:r w:rsidR="002E6921" w:rsidRPr="00E92E5E">
        <w:rPr>
          <w:smallCaps/>
          <w:lang w:val="fr-CA"/>
        </w:rPr>
        <w:t>Côté</w:t>
      </w:r>
      <w:r w:rsidR="002E6921" w:rsidRPr="00E92E5E">
        <w:rPr>
          <w:i/>
          <w:lang w:val="fr-CA"/>
        </w:rPr>
        <w:t xml:space="preserve"> sont dissidents</w:t>
      </w:r>
      <w:r w:rsidR="00DD15E3" w:rsidRPr="00E92E5E">
        <w:rPr>
          <w:i/>
          <w:lang w:val="fr-CA"/>
        </w:rPr>
        <w:t>.</w:t>
      </w:r>
    </w:p>
    <w:p w:rsidR="004D7D95" w:rsidRPr="00E92E5E" w:rsidRDefault="004D7D95" w:rsidP="00C63FC8">
      <w:pPr>
        <w:pStyle w:val="SCCNormalDoubleSpacing"/>
        <w:widowControl w:val="0"/>
        <w:rPr>
          <w:lang w:val="fr-CA"/>
        </w:rPr>
      </w:pPr>
    </w:p>
    <w:p w:rsidR="00DD15E3" w:rsidRDefault="00DD15E3" w:rsidP="00C63FC8">
      <w:pPr>
        <w:pStyle w:val="SCCLawFirm"/>
        <w:widowControl w:val="0"/>
      </w:pPr>
      <w:r w:rsidRPr="00E92E5E">
        <w:rPr>
          <w:lang w:val="fr-CA"/>
        </w:rPr>
        <w:tab/>
      </w:r>
      <w:proofErr w:type="spellStart"/>
      <w:r>
        <w:t>Procureur</w:t>
      </w:r>
      <w:proofErr w:type="spellEnd"/>
      <w:r>
        <w:t xml:space="preserve"> de </w:t>
      </w:r>
      <w:proofErr w:type="spellStart"/>
      <w:proofErr w:type="gramStart"/>
      <w:r>
        <w:t>l’appelant</w:t>
      </w:r>
      <w:proofErr w:type="spellEnd"/>
      <w:r>
        <w:t> :</w:t>
      </w:r>
      <w:proofErr w:type="gramEnd"/>
      <w:r>
        <w:t xml:space="preserve"> Newfoundland and Labrador Legal Aid Commission, St. John’s.</w:t>
      </w:r>
    </w:p>
    <w:p w:rsidR="00DD15E3" w:rsidRDefault="00DD15E3" w:rsidP="00C63FC8">
      <w:pPr>
        <w:pStyle w:val="SCCLawFirm"/>
        <w:widowControl w:val="0"/>
      </w:pPr>
    </w:p>
    <w:p w:rsidR="00DD15E3" w:rsidRPr="00E92E5E" w:rsidRDefault="00DD15E3" w:rsidP="00C63FC8">
      <w:pPr>
        <w:pStyle w:val="SCCLawFirm"/>
        <w:widowControl w:val="0"/>
        <w:rPr>
          <w:lang w:val="fr-CA"/>
        </w:rPr>
      </w:pPr>
      <w:r>
        <w:tab/>
      </w:r>
      <w:r w:rsidRPr="00E92E5E">
        <w:rPr>
          <w:lang w:val="fr-CA"/>
        </w:rPr>
        <w:t xml:space="preserve">Procureur de l’intimée </w:t>
      </w:r>
      <w:r w:rsidRPr="00E92E5E">
        <w:rPr>
          <w:rStyle w:val="SCCCounselPartyRoleChar"/>
          <w:lang w:val="fr-CA"/>
        </w:rPr>
        <w:t>Sa Majesté la Reine du chef de Terre-Neuve-et-Labrador</w:t>
      </w:r>
      <w:r w:rsidRPr="00E92E5E">
        <w:rPr>
          <w:lang w:val="fr-CA"/>
        </w:rPr>
        <w:t xml:space="preserve"> : Procureur général de </w:t>
      </w:r>
      <w:r w:rsidRPr="00E92E5E">
        <w:rPr>
          <w:rStyle w:val="SCCCounselPartyRoleChar"/>
          <w:lang w:val="fr-CA"/>
        </w:rPr>
        <w:t>Terre-Neuve-et-Labrador</w:t>
      </w:r>
      <w:r w:rsidRPr="00E92E5E">
        <w:rPr>
          <w:lang w:val="fr-CA"/>
        </w:rPr>
        <w:t>, St. John’s.</w:t>
      </w:r>
    </w:p>
    <w:p w:rsidR="00DD15E3" w:rsidRPr="00E92E5E" w:rsidRDefault="00DD15E3" w:rsidP="00C63FC8">
      <w:pPr>
        <w:pStyle w:val="SCCLawFirm"/>
        <w:widowControl w:val="0"/>
        <w:rPr>
          <w:lang w:val="fr-CA"/>
        </w:rPr>
      </w:pPr>
    </w:p>
    <w:p w:rsidR="009B57B3" w:rsidRPr="00E92E5E" w:rsidRDefault="00DD15E3" w:rsidP="00C63FC8">
      <w:pPr>
        <w:pStyle w:val="SCCLawFirm"/>
        <w:widowControl w:val="0"/>
        <w:rPr>
          <w:lang w:val="fr-CA"/>
        </w:rPr>
      </w:pPr>
      <w:r w:rsidRPr="00E92E5E">
        <w:rPr>
          <w:lang w:val="fr-CA"/>
        </w:rPr>
        <w:tab/>
        <w:t xml:space="preserve">Procureur de l’intimée </w:t>
      </w:r>
      <w:r w:rsidRPr="00E92E5E">
        <w:rPr>
          <w:rStyle w:val="SCCCounselPartyRoleChar"/>
          <w:lang w:val="fr-CA"/>
        </w:rPr>
        <w:t>Sa Majesté la Reine du chef du Canada</w:t>
      </w:r>
      <w:r w:rsidRPr="00E92E5E">
        <w:rPr>
          <w:lang w:val="fr-CA"/>
        </w:rPr>
        <w:t> : Service des poursuites pénales du Canada, Halifax.</w:t>
      </w:r>
    </w:p>
    <w:sectPr w:rsidR="009B57B3" w:rsidRPr="00E92E5E" w:rsidSect="0006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8E" w:rsidRDefault="00150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8E" w:rsidRDefault="00150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8E" w:rsidRDefault="0015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8E" w:rsidRDefault="0015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8E" w:rsidRDefault="00150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516D"/>
    <w:rsid w:val="00023FC7"/>
    <w:rsid w:val="00025198"/>
    <w:rsid w:val="00025B4D"/>
    <w:rsid w:val="000369F9"/>
    <w:rsid w:val="000578A3"/>
    <w:rsid w:val="00061FA6"/>
    <w:rsid w:val="000648CC"/>
    <w:rsid w:val="000C59B8"/>
    <w:rsid w:val="000C6AF0"/>
    <w:rsid w:val="000D0A77"/>
    <w:rsid w:val="000D304E"/>
    <w:rsid w:val="000F7993"/>
    <w:rsid w:val="00104F33"/>
    <w:rsid w:val="0010589F"/>
    <w:rsid w:val="00111DE2"/>
    <w:rsid w:val="00116B38"/>
    <w:rsid w:val="00126B5F"/>
    <w:rsid w:val="00135406"/>
    <w:rsid w:val="00135972"/>
    <w:rsid w:val="001426A9"/>
    <w:rsid w:val="0015088E"/>
    <w:rsid w:val="00154D7C"/>
    <w:rsid w:val="001570B0"/>
    <w:rsid w:val="0015752C"/>
    <w:rsid w:val="00157737"/>
    <w:rsid w:val="00165277"/>
    <w:rsid w:val="00170592"/>
    <w:rsid w:val="001720F7"/>
    <w:rsid w:val="00175C06"/>
    <w:rsid w:val="00195D83"/>
    <w:rsid w:val="001A00C1"/>
    <w:rsid w:val="001B33E0"/>
    <w:rsid w:val="001B4573"/>
    <w:rsid w:val="001C779F"/>
    <w:rsid w:val="001D2AC1"/>
    <w:rsid w:val="001D4E88"/>
    <w:rsid w:val="002132EC"/>
    <w:rsid w:val="00220FC2"/>
    <w:rsid w:val="002222F4"/>
    <w:rsid w:val="00224FC0"/>
    <w:rsid w:val="00225EA4"/>
    <w:rsid w:val="00226EAF"/>
    <w:rsid w:val="00231F3A"/>
    <w:rsid w:val="002406EE"/>
    <w:rsid w:val="00243119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2E6921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D459A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E77BA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51D8F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2BB9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A6B7C"/>
    <w:rsid w:val="009B2F23"/>
    <w:rsid w:val="009B57B3"/>
    <w:rsid w:val="009D2920"/>
    <w:rsid w:val="009D5AEB"/>
    <w:rsid w:val="009F0E33"/>
    <w:rsid w:val="00A04D57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66853"/>
    <w:rsid w:val="00A73C38"/>
    <w:rsid w:val="00A81801"/>
    <w:rsid w:val="00A921A7"/>
    <w:rsid w:val="00AB07E1"/>
    <w:rsid w:val="00AB670D"/>
    <w:rsid w:val="00AC4A4E"/>
    <w:rsid w:val="00AF03C5"/>
    <w:rsid w:val="00B000D8"/>
    <w:rsid w:val="00B00F75"/>
    <w:rsid w:val="00B145B6"/>
    <w:rsid w:val="00B279EB"/>
    <w:rsid w:val="00B50C81"/>
    <w:rsid w:val="00B50FAC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123D"/>
    <w:rsid w:val="00C53F14"/>
    <w:rsid w:val="00C600CF"/>
    <w:rsid w:val="00C6084F"/>
    <w:rsid w:val="00C62A66"/>
    <w:rsid w:val="00C63FC8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D15E3"/>
    <w:rsid w:val="00DE319C"/>
    <w:rsid w:val="00DF0CA8"/>
    <w:rsid w:val="00DF2B48"/>
    <w:rsid w:val="00DF49A7"/>
    <w:rsid w:val="00E051D9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2E5E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1DCB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01516D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01516D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01516D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01516D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2015-08-19T15:38:00Z</dcterms:created>
  <dcterms:modified xsi:type="dcterms:W3CDTF">2017-02-23T18:44:00Z</dcterms:modified>
</cp:coreProperties>
</file>