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58" w:rsidRDefault="00692358" w:rsidP="00692358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7" o:title=""/>
          </v:shape>
          <o:OLEObject Type="Embed" ProgID="Presentations.Drawing.13" ShapeID="_x0000_i1025" DrawAspect="Content" ObjectID="_1569845262" r:id="rId8"/>
        </w:object>
      </w:r>
      <w:r>
        <w:t xml:space="preserve"> </w:t>
      </w:r>
      <w:r>
        <w:ptab w:relativeTo="margin" w:alignment="right" w:leader="none"/>
      </w:r>
    </w:p>
    <w:p w:rsidR="00692358" w:rsidRDefault="00692358" w:rsidP="00692358">
      <w:pPr>
        <w:pStyle w:val="Header"/>
      </w:pPr>
    </w:p>
    <w:p w:rsidR="00692358" w:rsidRPr="001E12E2" w:rsidRDefault="00692358" w:rsidP="00692358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692358" w:rsidRDefault="00692358" w:rsidP="00692358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692358" w:rsidRPr="001E12E2" w:rsidTr="004E7E4A">
        <w:trPr>
          <w:cantSplit/>
        </w:trPr>
        <w:tc>
          <w:tcPr>
            <w:tcW w:w="5310" w:type="dxa"/>
          </w:tcPr>
          <w:p w:rsidR="00692358" w:rsidRPr="00692358" w:rsidRDefault="00692358" w:rsidP="004E7E4A">
            <w:pPr>
              <w:rPr>
                <w:lang w:val="fr-CA"/>
              </w:rPr>
            </w:pPr>
            <w:r w:rsidRPr="00692358">
              <w:rPr>
                <w:b/>
                <w:smallCaps/>
                <w:lang w:val="fr-CA"/>
              </w:rPr>
              <w:t>Référence :</w:t>
            </w:r>
            <w:r w:rsidRPr="00692358">
              <w:rPr>
                <w:lang w:val="fr-CA"/>
              </w:rPr>
              <w:t xml:space="preserve"> </w:t>
            </w:r>
            <w:r w:rsidRPr="006A4755">
              <w:rPr>
                <w:rStyle w:val="SCCAppellantForRunningHeadChar"/>
                <w:lang w:val="fr-CA"/>
              </w:rPr>
              <w:t xml:space="preserve">R. </w:t>
            </w:r>
            <w:r w:rsidRPr="003516B7">
              <w:rPr>
                <w:rStyle w:val="SCCAppellantForRunningHeadChar"/>
                <w:i/>
                <w:smallCaps w:val="0"/>
                <w:lang w:val="fr-CA"/>
              </w:rPr>
              <w:t>c</w:t>
            </w:r>
            <w:r w:rsidRPr="006A4755">
              <w:rPr>
                <w:rStyle w:val="SCCAppellantForRunningHeadChar"/>
                <w:i/>
                <w:lang w:val="fr-CA"/>
              </w:rPr>
              <w:t>.</w:t>
            </w:r>
            <w:r w:rsidRPr="006A4755">
              <w:rPr>
                <w:rStyle w:val="SCCAppellantForRunningHeadChar"/>
                <w:lang w:val="fr-CA"/>
              </w:rPr>
              <w:t xml:space="preserve"> </w:t>
            </w:r>
            <w:r>
              <w:rPr>
                <w:rStyle w:val="SCCAppellantForRunningHeadChar"/>
                <w:smallCaps w:val="0"/>
                <w:lang w:val="fr-CA"/>
              </w:rPr>
              <w:t>Bédard</w:t>
            </w:r>
            <w:r w:rsidRPr="006A4755">
              <w:rPr>
                <w:rStyle w:val="SCCAppellantForRunningHeadChar"/>
                <w:lang w:val="fr-CA"/>
              </w:rPr>
              <w:t xml:space="preserve">, </w:t>
            </w:r>
            <w:r w:rsidRPr="00692358">
              <w:rPr>
                <w:lang w:val="fr-CA"/>
              </w:rPr>
              <w:t>2017 CSC 4, [2017] 1 R.C.S. 89</w:t>
            </w:r>
          </w:p>
        </w:tc>
        <w:tc>
          <w:tcPr>
            <w:tcW w:w="4266" w:type="dxa"/>
          </w:tcPr>
          <w:p w:rsidR="00692358" w:rsidRPr="00692358" w:rsidRDefault="00692358" w:rsidP="004E7E4A">
            <w:pPr>
              <w:rPr>
                <w:lang w:val="fr-CA"/>
              </w:rPr>
            </w:pPr>
            <w:r w:rsidRPr="00692358">
              <w:rPr>
                <w:b/>
                <w:smallCaps/>
                <w:lang w:val="fr-CA"/>
              </w:rPr>
              <w:t>Appel entendu:</w:t>
            </w:r>
            <w:r w:rsidRPr="00692358">
              <w:rPr>
                <w:lang w:val="fr-CA"/>
              </w:rPr>
              <w:t xml:space="preserve"> 19 janvier 2017</w:t>
            </w:r>
          </w:p>
          <w:p w:rsidR="00692358" w:rsidRPr="00692358" w:rsidRDefault="00692358" w:rsidP="004E7E4A">
            <w:pPr>
              <w:rPr>
                <w:b/>
                <w:smallCaps/>
                <w:lang w:val="fr-CA"/>
              </w:rPr>
            </w:pPr>
            <w:r w:rsidRPr="00692358">
              <w:rPr>
                <w:b/>
                <w:smallCaps/>
                <w:lang w:val="fr-CA"/>
              </w:rPr>
              <w:t>Jugement rendu :</w:t>
            </w:r>
            <w:r w:rsidRPr="00692358">
              <w:rPr>
                <w:lang w:val="fr-CA"/>
              </w:rPr>
              <w:t xml:space="preserve"> 19 janvier 2017</w:t>
            </w:r>
          </w:p>
          <w:p w:rsidR="00692358" w:rsidRPr="001E12E2" w:rsidRDefault="00692358" w:rsidP="004E7E4A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37071</w:t>
            </w:r>
          </w:p>
        </w:tc>
      </w:tr>
    </w:tbl>
    <w:p w:rsidR="00692358" w:rsidRDefault="00692358" w:rsidP="00692358">
      <w:pPr>
        <w:pStyle w:val="SCCLsocPrefix"/>
      </w:pPr>
    </w:p>
    <w:p w:rsidR="00692358" w:rsidRDefault="00692358" w:rsidP="00692358">
      <w:pPr>
        <w:pStyle w:val="SCCLsocPrefix"/>
      </w:pPr>
    </w:p>
    <w:p w:rsidR="00692358" w:rsidRDefault="00692358" w:rsidP="00692358">
      <w:pPr>
        <w:pStyle w:val="SCCLsocPrefix"/>
      </w:pPr>
      <w:r>
        <w:t>Entre :</w:t>
      </w:r>
    </w:p>
    <w:p w:rsidR="00692358" w:rsidRPr="001632BE" w:rsidRDefault="00692358" w:rsidP="00692358">
      <w:pPr>
        <w:pStyle w:val="SCCLsocParty"/>
        <w:widowControl w:val="0"/>
        <w:jc w:val="center"/>
        <w:rPr>
          <w:lang w:val="fr-CA"/>
        </w:rPr>
      </w:pPr>
      <w:r w:rsidRPr="001632BE">
        <w:rPr>
          <w:lang w:val="fr-CA"/>
        </w:rPr>
        <w:t>Laurier Béd</w:t>
      </w:r>
      <w:r>
        <w:rPr>
          <w:lang w:val="fr-CA"/>
        </w:rPr>
        <w:t>ard et</w:t>
      </w:r>
    </w:p>
    <w:p w:rsidR="00692358" w:rsidRPr="0091423A" w:rsidRDefault="00692358" w:rsidP="00692358">
      <w:pPr>
        <w:pStyle w:val="SCCLsocParty"/>
        <w:jc w:val="center"/>
        <w:rPr>
          <w:lang w:val="fr-CA"/>
        </w:rPr>
      </w:pPr>
      <w:r w:rsidRPr="0091423A">
        <w:rPr>
          <w:lang w:val="fr-CA"/>
        </w:rPr>
        <w:t>Sylvain Rangers</w:t>
      </w:r>
    </w:p>
    <w:p w:rsidR="00692358" w:rsidRPr="0091423A" w:rsidRDefault="00692358" w:rsidP="00692358">
      <w:pPr>
        <w:jc w:val="center"/>
        <w:rPr>
          <w:lang w:val="fr-CA"/>
        </w:rPr>
      </w:pPr>
      <w:r w:rsidRPr="0091423A">
        <w:rPr>
          <w:lang w:val="fr-CA"/>
        </w:rPr>
        <w:t>Appelants</w:t>
      </w:r>
    </w:p>
    <w:p w:rsidR="00692358" w:rsidRPr="0091423A" w:rsidRDefault="00692358" w:rsidP="00692358">
      <w:pPr>
        <w:jc w:val="center"/>
        <w:rPr>
          <w:lang w:val="fr-CA"/>
        </w:rPr>
      </w:pPr>
    </w:p>
    <w:p w:rsidR="00692358" w:rsidRPr="00692358" w:rsidRDefault="00692358" w:rsidP="00692358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692358">
        <w:rPr>
          <w:i w:val="0"/>
          <w:lang w:val="fr-CA"/>
        </w:rPr>
        <w:t>et</w:t>
      </w:r>
      <w:proofErr w:type="gramEnd"/>
    </w:p>
    <w:p w:rsidR="00692358" w:rsidRPr="00692358" w:rsidRDefault="00692358" w:rsidP="00692358">
      <w:pPr>
        <w:jc w:val="center"/>
        <w:rPr>
          <w:lang w:val="fr-CA"/>
        </w:rPr>
      </w:pPr>
    </w:p>
    <w:p w:rsidR="00692358" w:rsidRPr="00692358" w:rsidRDefault="00692358" w:rsidP="00692358">
      <w:pPr>
        <w:pStyle w:val="SCCLsocParty"/>
        <w:jc w:val="center"/>
        <w:rPr>
          <w:lang w:val="fr-CA"/>
        </w:rPr>
      </w:pPr>
      <w:r w:rsidRPr="00692358">
        <w:rPr>
          <w:lang w:val="fr-CA"/>
        </w:rPr>
        <w:t>Sa Majesté la Reine</w:t>
      </w:r>
    </w:p>
    <w:p w:rsidR="00692358" w:rsidRPr="00692358" w:rsidRDefault="00692358" w:rsidP="00692358">
      <w:pPr>
        <w:jc w:val="center"/>
        <w:rPr>
          <w:lang w:val="fr-CA"/>
        </w:rPr>
      </w:pPr>
      <w:r w:rsidRPr="00692358">
        <w:rPr>
          <w:lang w:val="fr-CA"/>
        </w:rPr>
        <w:t>Intimée</w:t>
      </w:r>
    </w:p>
    <w:p w:rsidR="00692358" w:rsidRPr="00692358" w:rsidRDefault="00692358" w:rsidP="00692358">
      <w:pPr>
        <w:jc w:val="center"/>
        <w:rPr>
          <w:lang w:val="fr-CA"/>
        </w:rPr>
      </w:pPr>
    </w:p>
    <w:p w:rsidR="00692358" w:rsidRPr="00692358" w:rsidRDefault="00692358" w:rsidP="00692358">
      <w:pPr>
        <w:jc w:val="center"/>
        <w:rPr>
          <w:lang w:val="fr-CA"/>
        </w:rPr>
      </w:pPr>
    </w:p>
    <w:p w:rsidR="00692358" w:rsidRPr="00692358" w:rsidRDefault="00692358" w:rsidP="00692358">
      <w:pPr>
        <w:jc w:val="center"/>
        <w:rPr>
          <w:lang w:val="fr-CA"/>
        </w:rPr>
      </w:pPr>
    </w:p>
    <w:p w:rsidR="00692358" w:rsidRPr="00692358" w:rsidRDefault="00692358" w:rsidP="00692358">
      <w:pPr>
        <w:rPr>
          <w:lang w:val="fr-CA"/>
        </w:rPr>
      </w:pPr>
    </w:p>
    <w:p w:rsidR="00692358" w:rsidRPr="00692358" w:rsidRDefault="00692358" w:rsidP="00692358">
      <w:pPr>
        <w:rPr>
          <w:lang w:val="fr-CA"/>
        </w:rPr>
      </w:pPr>
      <w:r w:rsidRPr="00692358">
        <w:rPr>
          <w:b/>
          <w:smallCaps/>
          <w:lang w:val="fr-CA"/>
        </w:rPr>
        <w:t>Coram :</w:t>
      </w:r>
      <w:r w:rsidRPr="00692358">
        <w:rPr>
          <w:lang w:val="fr-CA"/>
        </w:rPr>
        <w:t xml:space="preserve"> </w:t>
      </w:r>
      <w:r w:rsidRPr="001632BE">
        <w:rPr>
          <w:lang w:val="fr-CA"/>
        </w:rPr>
        <w:t xml:space="preserve">La juge en chef </w:t>
      </w:r>
      <w:proofErr w:type="spellStart"/>
      <w:r w:rsidRPr="001632BE">
        <w:rPr>
          <w:lang w:val="fr-CA"/>
        </w:rPr>
        <w:t>McLachlin</w:t>
      </w:r>
      <w:proofErr w:type="spellEnd"/>
      <w:r w:rsidRPr="001632BE">
        <w:rPr>
          <w:lang w:val="fr-CA"/>
        </w:rPr>
        <w:t xml:space="preserve"> et les juges Abella, </w:t>
      </w:r>
      <w:proofErr w:type="spellStart"/>
      <w:r w:rsidRPr="001632BE">
        <w:rPr>
          <w:lang w:val="fr-CA"/>
        </w:rPr>
        <w:t>Moldaver</w:t>
      </w:r>
      <w:proofErr w:type="spellEnd"/>
      <w:r w:rsidRPr="001632BE">
        <w:rPr>
          <w:lang w:val="fr-CA"/>
        </w:rPr>
        <w:t xml:space="preserve">, </w:t>
      </w:r>
      <w:proofErr w:type="spellStart"/>
      <w:r w:rsidRPr="001632BE">
        <w:rPr>
          <w:lang w:val="fr-CA"/>
        </w:rPr>
        <w:t>Karakatsanis</w:t>
      </w:r>
      <w:proofErr w:type="spellEnd"/>
      <w:r w:rsidRPr="001632BE">
        <w:rPr>
          <w:lang w:val="fr-CA"/>
        </w:rPr>
        <w:t>, Wagner, Gascon et Côté</w:t>
      </w:r>
    </w:p>
    <w:p w:rsidR="00692358" w:rsidRPr="00692358" w:rsidRDefault="00692358" w:rsidP="00692358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692358" w:rsidRPr="0091423A" w:rsidTr="004E7E4A">
        <w:trPr>
          <w:cantSplit/>
        </w:trPr>
        <w:tc>
          <w:tcPr>
            <w:tcW w:w="3618" w:type="dxa"/>
          </w:tcPr>
          <w:p w:rsidR="00692358" w:rsidRPr="00692358" w:rsidRDefault="00692358" w:rsidP="004E7E4A">
            <w:pPr>
              <w:rPr>
                <w:b/>
                <w:smallCaps/>
                <w:lang w:val="fr-CA"/>
              </w:rPr>
            </w:pPr>
            <w:r w:rsidRPr="00692358">
              <w:rPr>
                <w:b/>
                <w:smallCaps/>
                <w:lang w:val="fr-CA"/>
              </w:rPr>
              <w:t>Motifs de jugement :</w:t>
            </w:r>
          </w:p>
          <w:p w:rsidR="00692358" w:rsidRPr="00692358" w:rsidRDefault="00692358" w:rsidP="004E7E4A">
            <w:pPr>
              <w:rPr>
                <w:lang w:val="fr-CA"/>
              </w:rPr>
            </w:pPr>
            <w:r w:rsidRPr="00692358">
              <w:rPr>
                <w:lang w:val="fr-CA"/>
              </w:rPr>
              <w:t>(par. 1 à 4)</w:t>
            </w:r>
          </w:p>
        </w:tc>
        <w:tc>
          <w:tcPr>
            <w:tcW w:w="5958" w:type="dxa"/>
          </w:tcPr>
          <w:p w:rsidR="00692358" w:rsidRPr="00692358" w:rsidRDefault="00692358" w:rsidP="0091423A">
            <w:pPr>
              <w:rPr>
                <w:lang w:val="fr-CA"/>
              </w:rPr>
            </w:pPr>
            <w:r w:rsidRPr="00692358">
              <w:rPr>
                <w:lang w:val="fr-CA"/>
              </w:rPr>
              <w:t xml:space="preserve">La juge en chef </w:t>
            </w:r>
            <w:proofErr w:type="spellStart"/>
            <w:r w:rsidRPr="00692358">
              <w:rPr>
                <w:lang w:val="fr-CA"/>
              </w:rPr>
              <w:t>McLachlin</w:t>
            </w:r>
            <w:proofErr w:type="spellEnd"/>
            <w:r w:rsidRPr="00692358">
              <w:rPr>
                <w:lang w:val="fr-CA"/>
              </w:rPr>
              <w:t xml:space="preserve"> (avec l’accord des juges</w:t>
            </w:r>
            <w:r w:rsidR="0091423A">
              <w:rPr>
                <w:lang w:val="fr-CA"/>
              </w:rPr>
              <w:t xml:space="preserve"> Abella, </w:t>
            </w:r>
            <w:proofErr w:type="spellStart"/>
            <w:r w:rsidR="0091423A">
              <w:rPr>
                <w:lang w:val="fr-CA"/>
              </w:rPr>
              <w:t>Moldaver</w:t>
            </w:r>
            <w:proofErr w:type="spellEnd"/>
            <w:r w:rsidR="0091423A">
              <w:rPr>
                <w:lang w:val="fr-CA"/>
              </w:rPr>
              <w:t xml:space="preserve">, </w:t>
            </w:r>
            <w:proofErr w:type="spellStart"/>
            <w:r w:rsidR="0091423A">
              <w:rPr>
                <w:lang w:val="fr-CA"/>
              </w:rPr>
              <w:t>Karakatsanis</w:t>
            </w:r>
            <w:proofErr w:type="spellEnd"/>
            <w:r w:rsidR="0091423A">
              <w:rPr>
                <w:lang w:val="fr-CA"/>
              </w:rPr>
              <w:t xml:space="preserve">, </w:t>
            </w:r>
            <w:bookmarkStart w:id="0" w:name="_GoBack"/>
            <w:bookmarkEnd w:id="0"/>
            <w:r w:rsidRPr="00692358">
              <w:rPr>
                <w:lang w:val="fr-CA"/>
              </w:rPr>
              <w:t>Wagner, Gascon</w:t>
            </w:r>
            <w:r w:rsidR="00AB4C03">
              <w:rPr>
                <w:lang w:val="fr-CA"/>
              </w:rPr>
              <w:t xml:space="preserve"> et</w:t>
            </w:r>
            <w:r w:rsidRPr="00692358">
              <w:rPr>
                <w:lang w:val="fr-CA"/>
              </w:rPr>
              <w:t xml:space="preserve"> Côté)</w:t>
            </w:r>
          </w:p>
        </w:tc>
      </w:tr>
    </w:tbl>
    <w:p w:rsidR="00692358" w:rsidRPr="00692358" w:rsidRDefault="00692358" w:rsidP="00692358">
      <w:pPr>
        <w:rPr>
          <w:lang w:val="fr-CA"/>
        </w:rPr>
      </w:pPr>
    </w:p>
    <w:p w:rsidR="00692358" w:rsidRPr="00692358" w:rsidRDefault="00692358" w:rsidP="00692358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E281D" wp14:editId="6335ACBC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07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692358" w:rsidRPr="00692358" w:rsidRDefault="00692358" w:rsidP="00692358">
      <w:pPr>
        <w:rPr>
          <w:lang w:val="fr-CA"/>
        </w:rPr>
      </w:pPr>
    </w:p>
    <w:p w:rsidR="00692358" w:rsidRPr="00692358" w:rsidRDefault="00692358" w:rsidP="00692358">
      <w:pPr>
        <w:rPr>
          <w:lang w:val="fr-CA"/>
        </w:rPr>
      </w:pPr>
    </w:p>
    <w:p w:rsidR="00692358" w:rsidRPr="00692358" w:rsidRDefault="00692358" w:rsidP="00692358">
      <w:pPr>
        <w:rPr>
          <w:lang w:val="fr-CA"/>
        </w:rPr>
      </w:pPr>
    </w:p>
    <w:p w:rsidR="00692358" w:rsidRPr="00692358" w:rsidRDefault="00692358" w:rsidP="00692358">
      <w:pPr>
        <w:rPr>
          <w:lang w:val="fr-CA"/>
        </w:rPr>
      </w:pPr>
    </w:p>
    <w:p w:rsidR="00692358" w:rsidRDefault="00692358" w:rsidP="00933399">
      <w:pPr>
        <w:widowControl w:val="0"/>
        <w:spacing w:line="480" w:lineRule="auto"/>
        <w:jc w:val="both"/>
        <w:rPr>
          <w:lang w:val="fr-CA"/>
        </w:rPr>
      </w:pPr>
    </w:p>
    <w:p w:rsidR="004D7D95" w:rsidRPr="00B34E38" w:rsidRDefault="00B34E38" w:rsidP="00933399">
      <w:pPr>
        <w:widowControl w:val="0"/>
        <w:spacing w:line="480" w:lineRule="auto"/>
        <w:jc w:val="both"/>
        <w:rPr>
          <w:lang w:val="fr-CA"/>
        </w:rPr>
      </w:pPr>
      <w:r>
        <w:rPr>
          <w:lang w:val="fr-CA"/>
        </w:rPr>
        <w:t>R</w:t>
      </w:r>
      <w:r w:rsidR="004610DA" w:rsidRPr="00B34E38">
        <w:rPr>
          <w:lang w:val="fr-CA"/>
        </w:rPr>
        <w:t xml:space="preserve">. </w:t>
      </w:r>
      <w:r w:rsidR="004610DA" w:rsidRPr="00B34E38">
        <w:rPr>
          <w:i/>
          <w:lang w:val="fr-CA"/>
        </w:rPr>
        <w:t>c.</w:t>
      </w:r>
      <w:r w:rsidR="004610DA" w:rsidRPr="00B34E38">
        <w:rPr>
          <w:lang w:val="fr-CA"/>
        </w:rPr>
        <w:t xml:space="preserve"> </w:t>
      </w:r>
      <w:r>
        <w:rPr>
          <w:lang w:val="fr-CA"/>
        </w:rPr>
        <w:t>B</w:t>
      </w:r>
      <w:r w:rsidR="004610DA" w:rsidRPr="00B34E38">
        <w:rPr>
          <w:lang w:val="fr-CA"/>
        </w:rPr>
        <w:t>édard</w:t>
      </w:r>
      <w:r>
        <w:rPr>
          <w:lang w:val="fr-CA"/>
        </w:rPr>
        <w:t xml:space="preserve">, </w:t>
      </w:r>
      <w:r w:rsidRPr="001632BE">
        <w:rPr>
          <w:lang w:val="fr-CA"/>
        </w:rPr>
        <w:t>2017 CSC </w:t>
      </w:r>
      <w:r>
        <w:rPr>
          <w:lang w:val="fr-CA"/>
        </w:rPr>
        <w:t>4, [2017] 1 R.C.S. 89</w:t>
      </w: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231A8F" w:rsidRPr="001632BE" w:rsidRDefault="001D3503" w:rsidP="00933399">
      <w:pPr>
        <w:pStyle w:val="SCCLsocParty"/>
        <w:widowControl w:val="0"/>
        <w:rPr>
          <w:lang w:val="fr-CA"/>
        </w:rPr>
      </w:pPr>
      <w:r w:rsidRPr="001632BE">
        <w:rPr>
          <w:lang w:val="fr-CA"/>
        </w:rPr>
        <w:t>Laurier Béd</w:t>
      </w:r>
      <w:r w:rsidR="000B6828">
        <w:rPr>
          <w:lang w:val="fr-CA"/>
        </w:rPr>
        <w:t>ard et</w:t>
      </w:r>
    </w:p>
    <w:p w:rsidR="00231A8F" w:rsidRPr="001632BE" w:rsidRDefault="001D3503" w:rsidP="00933399">
      <w:pPr>
        <w:pStyle w:val="SCCLsocLastPartyInRole"/>
        <w:widowControl w:val="0"/>
        <w:rPr>
          <w:lang w:val="fr-CA"/>
        </w:rPr>
      </w:pPr>
      <w:r w:rsidRPr="001632BE">
        <w:rPr>
          <w:lang w:val="fr-CA"/>
        </w:rPr>
        <w:lastRenderedPageBreak/>
        <w:t>Sylvain Rangers</w:t>
      </w:r>
      <w:r w:rsidRPr="001632BE">
        <w:rPr>
          <w:rStyle w:val="SCCLsocPartyRole"/>
          <w:lang w:val="fr-CA"/>
        </w:rPr>
        <w:tab/>
        <w:t>Appelants</w:t>
      </w:r>
    </w:p>
    <w:p w:rsidR="00231A8F" w:rsidRPr="001632BE" w:rsidRDefault="001D3503" w:rsidP="00933399">
      <w:pPr>
        <w:pStyle w:val="SCCLsocVersus"/>
        <w:widowControl w:val="0"/>
        <w:rPr>
          <w:lang w:val="fr-CA"/>
        </w:rPr>
      </w:pPr>
      <w:proofErr w:type="gramStart"/>
      <w:r w:rsidRPr="001632BE">
        <w:rPr>
          <w:lang w:val="fr-CA"/>
        </w:rPr>
        <w:t>c</w:t>
      </w:r>
      <w:proofErr w:type="gramEnd"/>
      <w:r w:rsidRPr="001632BE">
        <w:rPr>
          <w:lang w:val="fr-CA"/>
        </w:rPr>
        <w:t>.</w:t>
      </w:r>
    </w:p>
    <w:p w:rsidR="00231A8F" w:rsidRPr="001632BE" w:rsidRDefault="001D3503" w:rsidP="00933399">
      <w:pPr>
        <w:pStyle w:val="SCCLsocLastPartyInRole"/>
        <w:widowControl w:val="0"/>
        <w:rPr>
          <w:lang w:val="fr-CA"/>
        </w:rPr>
      </w:pPr>
      <w:r w:rsidRPr="001632BE">
        <w:rPr>
          <w:lang w:val="fr-CA"/>
        </w:rPr>
        <w:t>Sa M</w:t>
      </w:r>
      <w:r w:rsidR="002E32FC">
        <w:rPr>
          <w:lang w:val="fr-CA"/>
        </w:rPr>
        <w:t>a</w:t>
      </w:r>
      <w:r w:rsidRPr="001632BE">
        <w:rPr>
          <w:lang w:val="fr-CA"/>
        </w:rPr>
        <w:t>jesté la Reine</w:t>
      </w:r>
      <w:r w:rsidR="002E32FC">
        <w:rPr>
          <w:rStyle w:val="SCCLsocPartyRole"/>
          <w:lang w:val="fr-CA"/>
        </w:rPr>
        <w:tab/>
        <w:t>Intimée</w:t>
      </w: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2E32FC" w:rsidP="00933399">
      <w:pPr>
        <w:widowControl w:val="0"/>
        <w:jc w:val="both"/>
        <w:rPr>
          <w:lang w:val="fr-CA"/>
        </w:rPr>
      </w:pPr>
      <w:r>
        <w:rPr>
          <w:b/>
          <w:lang w:val="fr-CA"/>
        </w:rPr>
        <w:t>Répertorié :</w:t>
      </w:r>
      <w:proofErr w:type="gramStart"/>
      <w:r>
        <w:rPr>
          <w:b/>
          <w:lang w:val="fr-CA"/>
        </w:rPr>
        <w:t>  R</w:t>
      </w:r>
      <w:proofErr w:type="gramEnd"/>
      <w:r>
        <w:rPr>
          <w:b/>
          <w:lang w:val="fr-CA"/>
        </w:rPr>
        <w:t>.</w:t>
      </w:r>
      <w:r w:rsidR="004D7D95" w:rsidRPr="001632BE">
        <w:rPr>
          <w:rStyle w:val="SCCAppellantForIndexChar"/>
          <w:lang w:val="fr-CA"/>
        </w:rPr>
        <w:t xml:space="preserve"> </w:t>
      </w:r>
      <w:r w:rsidR="004D7D95" w:rsidRPr="00BB4C92">
        <w:rPr>
          <w:b/>
          <w:i/>
          <w:lang w:val="fr-CA"/>
        </w:rPr>
        <w:t>c.</w:t>
      </w:r>
      <w:r w:rsidR="004D7D95" w:rsidRPr="00BB4C92">
        <w:rPr>
          <w:b/>
          <w:lang w:val="fr-CA"/>
        </w:rPr>
        <w:t xml:space="preserve"> </w:t>
      </w:r>
      <w:r>
        <w:rPr>
          <w:b/>
          <w:lang w:val="fr-CA"/>
        </w:rPr>
        <w:t>Bédard</w:t>
      </w: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2E32FC" w:rsidRDefault="002E32FC" w:rsidP="00933399">
      <w:pPr>
        <w:pStyle w:val="SCCSystemYear"/>
        <w:widowControl w:val="0"/>
        <w:jc w:val="both"/>
        <w:rPr>
          <w:lang w:val="fr-CA"/>
        </w:rPr>
      </w:pPr>
    </w:p>
    <w:p w:rsidR="004D7D95" w:rsidRPr="001632BE" w:rsidRDefault="00D17B0E" w:rsidP="00933399">
      <w:pPr>
        <w:pStyle w:val="SCCSystemYear"/>
        <w:widowControl w:val="0"/>
        <w:jc w:val="both"/>
        <w:rPr>
          <w:lang w:val="fr-CA"/>
        </w:rPr>
      </w:pPr>
      <w:r w:rsidRPr="001632BE">
        <w:rPr>
          <w:lang w:val="fr-CA"/>
        </w:rPr>
        <w:t>2017</w:t>
      </w:r>
      <w:r w:rsidR="004D7D95" w:rsidRPr="001632BE">
        <w:rPr>
          <w:lang w:val="fr-CA"/>
        </w:rPr>
        <w:t xml:space="preserve"> CSC </w:t>
      </w:r>
      <w:r w:rsidR="002E32FC">
        <w:rPr>
          <w:lang w:val="fr-CA"/>
        </w:rPr>
        <w:t>4</w:t>
      </w: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  <w:r w:rsidRPr="001632BE">
        <w:rPr>
          <w:lang w:val="fr-CA"/>
        </w:rPr>
        <w:t>N</w:t>
      </w:r>
      <w:r w:rsidRPr="001632BE">
        <w:rPr>
          <w:vertAlign w:val="superscript"/>
          <w:lang w:val="fr-CA"/>
        </w:rPr>
        <w:t>o</w:t>
      </w:r>
      <w:r w:rsidRPr="001632BE">
        <w:rPr>
          <w:lang w:val="fr-CA"/>
        </w:rPr>
        <w:t xml:space="preserve"> du greffe : 37071.</w:t>
      </w: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D17B0E" w:rsidP="00933399">
      <w:pPr>
        <w:widowControl w:val="0"/>
        <w:jc w:val="both"/>
        <w:rPr>
          <w:lang w:val="fr-CA"/>
        </w:rPr>
      </w:pPr>
      <w:r w:rsidRPr="001632BE">
        <w:rPr>
          <w:lang w:val="fr-CA"/>
        </w:rPr>
        <w:t>2017 : 19 janvier</w:t>
      </w:r>
      <w:r w:rsidR="002E32FC">
        <w:rPr>
          <w:lang w:val="fr-CA"/>
        </w:rPr>
        <w:t>.</w:t>
      </w: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4D7D95" w:rsidRPr="001632BE" w:rsidRDefault="004D7D95" w:rsidP="00933399">
      <w:pPr>
        <w:widowControl w:val="0"/>
        <w:jc w:val="both"/>
        <w:rPr>
          <w:lang w:val="fr-CA"/>
        </w:rPr>
      </w:pPr>
      <w:r w:rsidRPr="001632BE">
        <w:rPr>
          <w:lang w:val="fr-CA"/>
        </w:rPr>
        <w:t xml:space="preserve">Présents : La juge en chef </w:t>
      </w:r>
      <w:proofErr w:type="spellStart"/>
      <w:r w:rsidRPr="001632BE">
        <w:rPr>
          <w:lang w:val="fr-CA"/>
        </w:rPr>
        <w:t>McLachlin</w:t>
      </w:r>
      <w:proofErr w:type="spellEnd"/>
      <w:r w:rsidRPr="001632BE">
        <w:rPr>
          <w:lang w:val="fr-CA"/>
        </w:rPr>
        <w:t xml:space="preserve"> et les juges Abella, </w:t>
      </w:r>
      <w:proofErr w:type="spellStart"/>
      <w:r w:rsidRPr="001632BE">
        <w:rPr>
          <w:lang w:val="fr-CA"/>
        </w:rPr>
        <w:t>Moldaver</w:t>
      </w:r>
      <w:proofErr w:type="spellEnd"/>
      <w:r w:rsidRPr="001632BE">
        <w:rPr>
          <w:lang w:val="fr-CA"/>
        </w:rPr>
        <w:t xml:space="preserve">, </w:t>
      </w:r>
      <w:proofErr w:type="spellStart"/>
      <w:r w:rsidRPr="001632BE">
        <w:rPr>
          <w:lang w:val="fr-CA"/>
        </w:rPr>
        <w:t>Karakatsanis</w:t>
      </w:r>
      <w:proofErr w:type="spellEnd"/>
      <w:r w:rsidRPr="001632BE">
        <w:rPr>
          <w:lang w:val="fr-CA"/>
        </w:rPr>
        <w:t>, Wagner, Gascon et Côté.</w:t>
      </w:r>
    </w:p>
    <w:p w:rsidR="004D7D95" w:rsidRPr="001632BE" w:rsidRDefault="004D7D95" w:rsidP="00933399">
      <w:pPr>
        <w:widowControl w:val="0"/>
        <w:jc w:val="both"/>
        <w:rPr>
          <w:lang w:val="fr-CA"/>
        </w:rPr>
      </w:pPr>
    </w:p>
    <w:p w:rsidR="00EE0830" w:rsidRPr="001632BE" w:rsidRDefault="00EE0830" w:rsidP="00933399">
      <w:pPr>
        <w:widowControl w:val="0"/>
        <w:jc w:val="both"/>
        <w:rPr>
          <w:lang w:val="fr-CA"/>
        </w:rPr>
      </w:pPr>
    </w:p>
    <w:p w:rsidR="00231A8F" w:rsidRPr="001632BE" w:rsidRDefault="00231A8F" w:rsidP="00933399">
      <w:pPr>
        <w:widowControl w:val="0"/>
        <w:rPr>
          <w:lang w:val="fr-CA"/>
        </w:rPr>
      </w:pPr>
    </w:p>
    <w:p w:rsidR="004D7D95" w:rsidRPr="00075377" w:rsidRDefault="004D7D95" w:rsidP="00933399">
      <w:pPr>
        <w:widowControl w:val="0"/>
        <w:spacing w:line="480" w:lineRule="auto"/>
        <w:jc w:val="both"/>
        <w:rPr>
          <w:smallCaps/>
          <w:lang w:val="fr-CA"/>
        </w:rPr>
      </w:pPr>
      <w:r w:rsidRPr="00075377">
        <w:rPr>
          <w:smallCaps/>
          <w:lang w:val="fr-CA"/>
        </w:rPr>
        <w:t xml:space="preserve">en appel de la cour d’appel du </w:t>
      </w:r>
      <w:proofErr w:type="spellStart"/>
      <w:r w:rsidRPr="00075377">
        <w:rPr>
          <w:smallCaps/>
          <w:lang w:val="fr-CA"/>
        </w:rPr>
        <w:t>québec</w:t>
      </w:r>
      <w:proofErr w:type="spellEnd"/>
      <w:r w:rsidRPr="00075377">
        <w:rPr>
          <w:smallCaps/>
          <w:lang w:val="fr-CA"/>
        </w:rPr>
        <w:t xml:space="preserve"> </w:t>
      </w:r>
    </w:p>
    <w:p w:rsidR="009D100D" w:rsidRPr="00BB4C92" w:rsidRDefault="009D100D" w:rsidP="00933399">
      <w:pPr>
        <w:pStyle w:val="SCCNormalDoubleSpacing"/>
        <w:widowControl w:val="0"/>
        <w:rPr>
          <w:lang w:val="fr-CA"/>
        </w:rPr>
      </w:pPr>
    </w:p>
    <w:p w:rsidR="004D7D95" w:rsidRPr="003B2470" w:rsidRDefault="004D7D95" w:rsidP="00933399">
      <w:pPr>
        <w:pStyle w:val="SCCNormalDoubleSpacing"/>
        <w:widowControl w:val="0"/>
        <w:rPr>
          <w:i/>
          <w:lang w:val="fr-CA"/>
        </w:rPr>
      </w:pPr>
      <w:r w:rsidRPr="00BB4C92">
        <w:rPr>
          <w:lang w:val="fr-CA"/>
        </w:rPr>
        <w:tab/>
      </w:r>
      <w:r w:rsidR="000312A1">
        <w:rPr>
          <w:i/>
          <w:lang w:val="fr-CA"/>
        </w:rPr>
        <w:t>Droit criminel — Moyens de défense —</w:t>
      </w:r>
      <w:r w:rsidR="003B2470">
        <w:rPr>
          <w:i/>
          <w:lang w:val="fr-CA"/>
        </w:rPr>
        <w:t xml:space="preserve"> Erreur provoqué</w:t>
      </w:r>
      <w:r w:rsidR="000312A1">
        <w:rPr>
          <w:i/>
          <w:lang w:val="fr-CA"/>
        </w:rPr>
        <w:t>e par une personne en autorité —</w:t>
      </w:r>
      <w:r w:rsidR="003B2470">
        <w:rPr>
          <w:i/>
          <w:lang w:val="fr-CA"/>
        </w:rPr>
        <w:t xml:space="preserve"> Agents de la faune et des pêches accusés de voies de fait infligeant des lésions corporelles suite à une tentative d’arrestation</w:t>
      </w:r>
      <w:r w:rsidR="001D0FB1">
        <w:rPr>
          <w:i/>
          <w:lang w:val="fr-CA"/>
        </w:rPr>
        <w:t xml:space="preserve"> sans mandat</w:t>
      </w:r>
      <w:r w:rsidR="000312A1">
        <w:rPr>
          <w:i/>
          <w:lang w:val="fr-CA"/>
        </w:rPr>
        <w:t xml:space="preserve"> —</w:t>
      </w:r>
      <w:r w:rsidR="003B2470">
        <w:rPr>
          <w:i/>
          <w:lang w:val="fr-CA"/>
        </w:rPr>
        <w:t xml:space="preserve"> Arrêt des procédures prononcé en première instance au motif que les agents ont agi </w:t>
      </w:r>
      <w:r w:rsidR="003B2470">
        <w:rPr>
          <w:i/>
          <w:lang w:val="fr-CA"/>
        </w:rPr>
        <w:lastRenderedPageBreak/>
        <w:t xml:space="preserve">sur la foi d’une erreur de droit provoquée par une </w:t>
      </w:r>
      <w:r w:rsidR="000312A1">
        <w:rPr>
          <w:i/>
          <w:lang w:val="fr-CA"/>
        </w:rPr>
        <w:t>personne en autorité —</w:t>
      </w:r>
      <w:r w:rsidR="003B2470">
        <w:rPr>
          <w:i/>
          <w:lang w:val="fr-CA"/>
        </w:rPr>
        <w:t xml:space="preserve"> Arrêt des procédures annulé par la Cour d’appe</w:t>
      </w:r>
      <w:r w:rsidR="000312A1">
        <w:rPr>
          <w:i/>
          <w:lang w:val="fr-CA"/>
        </w:rPr>
        <w:t>l et agents déclarés coupables —</w:t>
      </w:r>
      <w:r w:rsidR="003B2470">
        <w:rPr>
          <w:i/>
          <w:lang w:val="fr-CA"/>
        </w:rPr>
        <w:t xml:space="preserve"> Déclarations de culpabilité </w:t>
      </w:r>
      <w:r w:rsidR="001D0FB1">
        <w:rPr>
          <w:i/>
          <w:lang w:val="fr-CA"/>
        </w:rPr>
        <w:t>confirmées</w:t>
      </w:r>
      <w:r w:rsidR="003B2470">
        <w:rPr>
          <w:i/>
          <w:lang w:val="fr-CA"/>
        </w:rPr>
        <w:t>.</w:t>
      </w:r>
    </w:p>
    <w:p w:rsidR="004D7D95" w:rsidRPr="004D7D95" w:rsidRDefault="004D7D95" w:rsidP="00933399">
      <w:pPr>
        <w:pStyle w:val="SCCNormalDoubleSpacing"/>
        <w:widowControl w:val="0"/>
        <w:rPr>
          <w:lang w:val="fr-CA"/>
        </w:rPr>
      </w:pPr>
    </w:p>
    <w:p w:rsidR="004D7D95" w:rsidRPr="004D7D95" w:rsidRDefault="004D7D95" w:rsidP="00933399">
      <w:pPr>
        <w:pStyle w:val="SCCNormalDoubleSpacing"/>
        <w:widowControl w:val="0"/>
        <w:rPr>
          <w:b/>
          <w:lang w:val="fr-CA"/>
        </w:rPr>
      </w:pPr>
      <w:r w:rsidRPr="004D7D95">
        <w:rPr>
          <w:b/>
          <w:lang w:val="fr-CA"/>
        </w:rPr>
        <w:t>Jurisprudence</w:t>
      </w:r>
    </w:p>
    <w:p w:rsidR="004D7D95" w:rsidRPr="004D7D95" w:rsidRDefault="004D7D95" w:rsidP="00933399">
      <w:pPr>
        <w:pStyle w:val="SCCNormalDoubleSpacing"/>
        <w:widowControl w:val="0"/>
        <w:rPr>
          <w:lang w:val="fr-CA"/>
        </w:rPr>
      </w:pPr>
    </w:p>
    <w:p w:rsidR="004D7D95" w:rsidRPr="004D7D95" w:rsidRDefault="004D7D95" w:rsidP="00933399">
      <w:pPr>
        <w:pStyle w:val="SCCNormalDoubleSpacing"/>
        <w:widowControl w:val="0"/>
        <w:rPr>
          <w:b/>
          <w:lang w:val="fr-CA"/>
        </w:rPr>
      </w:pPr>
      <w:r w:rsidRPr="004D7D95">
        <w:rPr>
          <w:lang w:val="fr-CA"/>
        </w:rPr>
        <w:tab/>
      </w:r>
      <w:r w:rsidR="002000DD">
        <w:rPr>
          <w:b/>
          <w:lang w:val="fr-CA"/>
        </w:rPr>
        <w:t>Arrêt mentionné</w:t>
      </w:r>
      <w:r w:rsidRPr="004D7D95">
        <w:rPr>
          <w:b/>
          <w:lang w:val="fr-CA"/>
        </w:rPr>
        <w:t> :</w:t>
      </w:r>
      <w:r w:rsidRPr="004D7D95">
        <w:rPr>
          <w:lang w:val="fr-CA"/>
        </w:rPr>
        <w:t xml:space="preserve"> </w:t>
      </w:r>
      <w:r w:rsidR="002000DD" w:rsidRPr="00CA7A48">
        <w:rPr>
          <w:i/>
          <w:lang w:val="fr-CA"/>
        </w:rPr>
        <w:t xml:space="preserve">Lévis (Ville) c. </w:t>
      </w:r>
      <w:proofErr w:type="spellStart"/>
      <w:r w:rsidR="002000DD" w:rsidRPr="00CA7A48">
        <w:rPr>
          <w:i/>
          <w:lang w:val="fr-CA"/>
        </w:rPr>
        <w:t>Tétreault</w:t>
      </w:r>
      <w:proofErr w:type="spellEnd"/>
      <w:r w:rsidR="002000DD" w:rsidRPr="00CA7A48">
        <w:rPr>
          <w:lang w:val="fr-CA"/>
        </w:rPr>
        <w:t>, 2006 CSC 12, [2006] 1 R.C.S. 420</w:t>
      </w:r>
      <w:r w:rsidR="002000DD">
        <w:rPr>
          <w:lang w:val="fr-CA"/>
        </w:rPr>
        <w:t>.</w:t>
      </w:r>
    </w:p>
    <w:p w:rsidR="004D7D95" w:rsidRPr="004D7D95" w:rsidRDefault="004D7D95" w:rsidP="00933399">
      <w:pPr>
        <w:pStyle w:val="SCCNormalDoubleSpacing"/>
        <w:widowControl w:val="0"/>
        <w:rPr>
          <w:lang w:val="fr-CA"/>
        </w:rPr>
      </w:pPr>
    </w:p>
    <w:p w:rsidR="004D7D95" w:rsidRPr="004D7D95" w:rsidRDefault="004D7D95" w:rsidP="00933399">
      <w:pPr>
        <w:pStyle w:val="SCCNormalDoubleSpacing"/>
        <w:widowControl w:val="0"/>
        <w:spacing w:line="240" w:lineRule="auto"/>
        <w:ind w:left="540" w:hanging="540"/>
        <w:rPr>
          <w:lang w:val="fr-CA"/>
        </w:rPr>
      </w:pPr>
    </w:p>
    <w:p w:rsidR="004D7D95" w:rsidRDefault="004D7D95" w:rsidP="00933399">
      <w:pPr>
        <w:pStyle w:val="SCCNormalDoubleSpacing"/>
        <w:widowControl w:val="0"/>
        <w:rPr>
          <w:lang w:val="fr-CA"/>
        </w:rPr>
      </w:pPr>
      <w:r w:rsidRPr="004D7D95">
        <w:rPr>
          <w:lang w:val="fr-CA"/>
        </w:rPr>
        <w:tab/>
        <w:t xml:space="preserve">POURVOI contre un arrêt de la </w:t>
      </w:r>
      <w:r w:rsidRPr="001632BE">
        <w:rPr>
          <w:lang w:val="fr-CA"/>
        </w:rPr>
        <w:t xml:space="preserve">Cour d’appel du Québec </w:t>
      </w:r>
      <w:r w:rsidR="000802C1">
        <w:rPr>
          <w:lang w:val="fr-CA"/>
        </w:rPr>
        <w:t>(les juges Doyon,</w:t>
      </w:r>
      <w:r w:rsidR="001D3503">
        <w:rPr>
          <w:lang w:val="fr-CA"/>
        </w:rPr>
        <w:t xml:space="preserve"> </w:t>
      </w:r>
      <w:proofErr w:type="spellStart"/>
      <w:r w:rsidR="00C60D4E">
        <w:rPr>
          <w:lang w:val="fr-CA"/>
        </w:rPr>
        <w:t>Kasirer</w:t>
      </w:r>
      <w:proofErr w:type="spellEnd"/>
      <w:r w:rsidR="00C60D4E">
        <w:rPr>
          <w:lang w:val="fr-CA"/>
        </w:rPr>
        <w:t xml:space="preserve"> et Parent), </w:t>
      </w:r>
      <w:r w:rsidR="00564D99">
        <w:rPr>
          <w:lang w:val="fr-CA"/>
        </w:rPr>
        <w:t>2016 QCCA 807,</w:t>
      </w:r>
      <w:r w:rsidR="000802C1">
        <w:rPr>
          <w:lang w:val="fr-CA"/>
        </w:rPr>
        <w:t xml:space="preserve"> [2016] AZ-51286691, </w:t>
      </w:r>
      <w:r w:rsidR="00E7681B">
        <w:rPr>
          <w:lang w:val="fr-CA"/>
        </w:rPr>
        <w:t>[2016] J.Q. n</w:t>
      </w:r>
      <w:r w:rsidR="00E7681B" w:rsidRPr="00E7681B">
        <w:rPr>
          <w:vertAlign w:val="superscript"/>
          <w:lang w:val="fr-CA"/>
        </w:rPr>
        <w:t>o</w:t>
      </w:r>
      <w:r w:rsidR="00E7681B">
        <w:rPr>
          <w:lang w:val="fr-CA"/>
        </w:rPr>
        <w:t xml:space="preserve"> 4649 (QL), 2016 </w:t>
      </w:r>
      <w:proofErr w:type="spellStart"/>
      <w:r w:rsidR="00E7681B">
        <w:rPr>
          <w:lang w:val="fr-CA"/>
        </w:rPr>
        <w:t>CarswellQue</w:t>
      </w:r>
      <w:proofErr w:type="spellEnd"/>
      <w:r w:rsidR="00E7681B">
        <w:rPr>
          <w:lang w:val="fr-CA"/>
        </w:rPr>
        <w:t xml:space="preserve"> 4216</w:t>
      </w:r>
      <w:r w:rsidR="007369D4">
        <w:rPr>
          <w:lang w:val="fr-CA"/>
        </w:rPr>
        <w:t xml:space="preserve"> (WL Can</w:t>
      </w:r>
      <w:r w:rsidR="007369D4" w:rsidRPr="003A20DB">
        <w:rPr>
          <w:lang w:val="fr-CA"/>
        </w:rPr>
        <w:t>.)</w:t>
      </w:r>
      <w:r w:rsidR="00E7681B" w:rsidRPr="003A20DB">
        <w:rPr>
          <w:lang w:val="fr-CA"/>
        </w:rPr>
        <w:t xml:space="preserve">, </w:t>
      </w:r>
      <w:r w:rsidR="00C60D4E" w:rsidRPr="003A20DB">
        <w:rPr>
          <w:lang w:val="fr-CA"/>
        </w:rPr>
        <w:t xml:space="preserve">qui a </w:t>
      </w:r>
      <w:r w:rsidR="00CC0A26">
        <w:rPr>
          <w:lang w:val="fr-CA"/>
        </w:rPr>
        <w:t>annulé</w:t>
      </w:r>
      <w:r w:rsidR="00564D99" w:rsidRPr="003A20DB">
        <w:rPr>
          <w:lang w:val="fr-CA"/>
        </w:rPr>
        <w:t xml:space="preserve"> l’arrêt des procédures prononcé par le juge Hudon</w:t>
      </w:r>
      <w:r w:rsidR="00564D99">
        <w:rPr>
          <w:lang w:val="fr-CA"/>
        </w:rPr>
        <w:t>, 2014 QCCQ 12416,</w:t>
      </w:r>
      <w:r w:rsidR="000802C1">
        <w:rPr>
          <w:lang w:val="fr-CA"/>
        </w:rPr>
        <w:t xml:space="preserve"> </w:t>
      </w:r>
      <w:r w:rsidR="004A5936" w:rsidRPr="004A5936">
        <w:rPr>
          <w:lang w:val="fr-CA"/>
        </w:rPr>
        <w:t>[2014] AZ-51136704, [2014] J.Q. n</w:t>
      </w:r>
      <w:r w:rsidR="004A5936" w:rsidRPr="004A5936">
        <w:rPr>
          <w:vertAlign w:val="superscript"/>
          <w:lang w:val="fr-CA"/>
        </w:rPr>
        <w:t xml:space="preserve">o </w:t>
      </w:r>
      <w:r w:rsidR="004A5936" w:rsidRPr="004A5936">
        <w:rPr>
          <w:lang w:val="fr-CA"/>
        </w:rPr>
        <w:t xml:space="preserve">14596 (QL), 2014 </w:t>
      </w:r>
      <w:proofErr w:type="spellStart"/>
      <w:r w:rsidR="004A5936" w:rsidRPr="004A5936">
        <w:rPr>
          <w:lang w:val="fr-CA"/>
        </w:rPr>
        <w:t>CarswellQue</w:t>
      </w:r>
      <w:proofErr w:type="spellEnd"/>
      <w:r w:rsidR="004A5936" w:rsidRPr="004A5936">
        <w:rPr>
          <w:lang w:val="fr-CA"/>
        </w:rPr>
        <w:t xml:space="preserve"> 13566 (WL Can.)</w:t>
      </w:r>
      <w:r w:rsidR="000312A1">
        <w:rPr>
          <w:lang w:val="fr-CA"/>
        </w:rPr>
        <w:t>,</w:t>
      </w:r>
      <w:r w:rsidR="003A20DB">
        <w:rPr>
          <w:lang w:val="fr-CA"/>
        </w:rPr>
        <w:t xml:space="preserve"> et déclaré les </w:t>
      </w:r>
      <w:r w:rsidR="00EF44A3">
        <w:rPr>
          <w:lang w:val="fr-CA"/>
        </w:rPr>
        <w:t>accusés</w:t>
      </w:r>
      <w:r w:rsidR="003A20DB">
        <w:rPr>
          <w:lang w:val="fr-CA"/>
        </w:rPr>
        <w:t xml:space="preserve"> coupables de voies de fait infligeant des lésions corporelles</w:t>
      </w:r>
      <w:r w:rsidR="004A5936" w:rsidRPr="004A5936">
        <w:rPr>
          <w:lang w:val="fr-CA"/>
        </w:rPr>
        <w:t xml:space="preserve">. </w:t>
      </w:r>
      <w:r w:rsidR="004A5936">
        <w:rPr>
          <w:lang w:val="fr-CA"/>
        </w:rPr>
        <w:t xml:space="preserve"> Pourvoi</w:t>
      </w:r>
      <w:r w:rsidR="001D3503">
        <w:rPr>
          <w:lang w:val="fr-CA"/>
        </w:rPr>
        <w:t xml:space="preserve"> rejeté.</w:t>
      </w:r>
    </w:p>
    <w:p w:rsidR="004A5936" w:rsidRPr="004D7D95" w:rsidRDefault="004A5936" w:rsidP="00933399">
      <w:pPr>
        <w:pStyle w:val="SCCNormalDoubleSpacing"/>
        <w:widowControl w:val="0"/>
        <w:rPr>
          <w:lang w:val="fr-CA"/>
        </w:rPr>
      </w:pPr>
    </w:p>
    <w:p w:rsidR="00231A8F" w:rsidRPr="001632BE" w:rsidRDefault="001D3503" w:rsidP="00933399">
      <w:pPr>
        <w:pStyle w:val="SCCNormalDoubleSpacing"/>
        <w:widowControl w:val="0"/>
        <w:rPr>
          <w:lang w:val="fr-CA"/>
        </w:rPr>
      </w:pPr>
      <w:r w:rsidRPr="001632BE">
        <w:rPr>
          <w:rStyle w:val="SCCCounselNameChar"/>
          <w:lang w:val="fr-CA"/>
        </w:rPr>
        <w:tab/>
        <w:t xml:space="preserve">Jean-Marc </w:t>
      </w:r>
      <w:proofErr w:type="spellStart"/>
      <w:r w:rsidRPr="001632BE">
        <w:rPr>
          <w:rStyle w:val="SCCCounselNameChar"/>
          <w:lang w:val="fr-CA"/>
        </w:rPr>
        <w:t>Fradette</w:t>
      </w:r>
      <w:proofErr w:type="spellEnd"/>
      <w:r w:rsidRPr="001632BE">
        <w:rPr>
          <w:rStyle w:val="SCCCounselSeparatorChar"/>
          <w:lang w:val="fr-CA"/>
        </w:rPr>
        <w:t xml:space="preserve"> et </w:t>
      </w:r>
      <w:r w:rsidR="001A7503">
        <w:rPr>
          <w:rStyle w:val="SCCCounselNameChar"/>
          <w:lang w:val="fr-CA"/>
        </w:rPr>
        <w:t>Roseline Bouchard-</w:t>
      </w:r>
      <w:proofErr w:type="spellStart"/>
      <w:r w:rsidRPr="001632BE">
        <w:rPr>
          <w:rStyle w:val="SCCCounselNameChar"/>
          <w:lang w:val="fr-CA"/>
        </w:rPr>
        <w:t>Zee</w:t>
      </w:r>
      <w:proofErr w:type="spellEnd"/>
      <w:r w:rsidR="00AE3FA2">
        <w:rPr>
          <w:rStyle w:val="SCCCounselPartyRoleChar"/>
          <w:lang w:val="fr-CA"/>
        </w:rPr>
        <w:t>, pour les appelants</w:t>
      </w:r>
      <w:r w:rsidRPr="001632BE">
        <w:rPr>
          <w:rStyle w:val="SCCCounselPartyRoleChar"/>
          <w:lang w:val="fr-CA"/>
        </w:rPr>
        <w:t>.</w:t>
      </w:r>
    </w:p>
    <w:p w:rsidR="00231A8F" w:rsidRPr="001632BE" w:rsidRDefault="00231A8F" w:rsidP="00933399">
      <w:pPr>
        <w:pStyle w:val="SCCNormalDoubleSpacing"/>
        <w:widowControl w:val="0"/>
        <w:rPr>
          <w:lang w:val="fr-CA"/>
        </w:rPr>
      </w:pPr>
    </w:p>
    <w:p w:rsidR="00231A8F" w:rsidRPr="001632BE" w:rsidRDefault="001D3503" w:rsidP="00933399">
      <w:pPr>
        <w:pStyle w:val="SCCNormalDoubleSpacing"/>
        <w:widowControl w:val="0"/>
        <w:spacing w:after="480"/>
        <w:rPr>
          <w:lang w:val="fr-CA"/>
        </w:rPr>
      </w:pPr>
      <w:r w:rsidRPr="001632BE">
        <w:rPr>
          <w:rStyle w:val="SCCCounselNameChar"/>
          <w:lang w:val="fr-CA"/>
        </w:rPr>
        <w:tab/>
      </w:r>
      <w:r w:rsidR="00CA7A48" w:rsidRPr="001632BE">
        <w:rPr>
          <w:rStyle w:val="SCCCounselNameChar"/>
          <w:lang w:val="fr-CA"/>
        </w:rPr>
        <w:t>Régis Boisvert</w:t>
      </w:r>
      <w:r w:rsidR="00D45507">
        <w:rPr>
          <w:rStyle w:val="SCCCounselNameChar"/>
          <w:i w:val="0"/>
          <w:lang w:val="fr-CA"/>
        </w:rPr>
        <w:t xml:space="preserve">, </w:t>
      </w:r>
      <w:r w:rsidRPr="001632BE">
        <w:rPr>
          <w:rStyle w:val="SCCCounselNameChar"/>
          <w:lang w:val="fr-CA"/>
        </w:rPr>
        <w:t>Jean-Philippe Robitaille</w:t>
      </w:r>
      <w:r w:rsidR="00D45507">
        <w:rPr>
          <w:rStyle w:val="SCCCounselNameChar"/>
          <w:lang w:val="fr-CA"/>
        </w:rPr>
        <w:t xml:space="preserve"> </w:t>
      </w:r>
      <w:r w:rsidR="00D45507">
        <w:rPr>
          <w:rStyle w:val="SCCCounselNameChar"/>
          <w:i w:val="0"/>
          <w:lang w:val="fr-CA"/>
        </w:rPr>
        <w:t xml:space="preserve">et </w:t>
      </w:r>
      <w:r w:rsidR="00D45507">
        <w:rPr>
          <w:rStyle w:val="SCCCounselNameChar"/>
          <w:lang w:val="fr-CA"/>
        </w:rPr>
        <w:t>Sébastien Bergeron-</w:t>
      </w:r>
      <w:proofErr w:type="spellStart"/>
      <w:r w:rsidR="00D45507">
        <w:rPr>
          <w:rStyle w:val="SCCCounselNameChar"/>
          <w:lang w:val="fr-CA"/>
        </w:rPr>
        <w:t>Guyard</w:t>
      </w:r>
      <w:proofErr w:type="spellEnd"/>
      <w:r w:rsidR="00AE3FA2">
        <w:rPr>
          <w:rStyle w:val="SCCCounselPartyRoleChar"/>
          <w:lang w:val="fr-CA"/>
        </w:rPr>
        <w:t>, pour l’intimée</w:t>
      </w:r>
      <w:r w:rsidRPr="001632BE">
        <w:rPr>
          <w:rStyle w:val="SCCCounselPartyRoleChar"/>
          <w:lang w:val="fr-CA"/>
        </w:rPr>
        <w:t>.</w:t>
      </w:r>
    </w:p>
    <w:p w:rsidR="00CA7A48" w:rsidRDefault="00CA7A48" w:rsidP="00933399">
      <w:pPr>
        <w:pStyle w:val="SCCNormalDoubleSpacing"/>
        <w:widowControl w:val="0"/>
        <w:spacing w:after="480"/>
        <w:rPr>
          <w:lang w:val="fr-CA"/>
        </w:rPr>
      </w:pPr>
      <w:r>
        <w:rPr>
          <w:lang w:val="fr-CA"/>
        </w:rPr>
        <w:tab/>
      </w:r>
      <w:r w:rsidR="00A61494">
        <w:rPr>
          <w:lang w:val="fr-CA"/>
        </w:rPr>
        <w:t xml:space="preserve">Le </w:t>
      </w:r>
      <w:r w:rsidR="000727E5">
        <w:rPr>
          <w:lang w:val="fr-CA"/>
        </w:rPr>
        <w:t xml:space="preserve">jugement de la Cour </w:t>
      </w:r>
      <w:r w:rsidR="00A61494">
        <w:rPr>
          <w:lang w:val="fr-CA"/>
        </w:rPr>
        <w:t xml:space="preserve">a été </w:t>
      </w:r>
      <w:r w:rsidR="000727E5">
        <w:rPr>
          <w:lang w:val="fr-CA"/>
        </w:rPr>
        <w:t>rendu oralement par</w:t>
      </w:r>
      <w:r>
        <w:rPr>
          <w:lang w:val="fr-CA"/>
        </w:rPr>
        <w:t xml:space="preserve"> </w:t>
      </w:r>
    </w:p>
    <w:p w:rsidR="00CA7A48" w:rsidRPr="00E62205" w:rsidRDefault="00CA7A48" w:rsidP="00933399">
      <w:pPr>
        <w:pStyle w:val="ParaNoNdepar-AltN"/>
        <w:widowControl w:val="0"/>
        <w:tabs>
          <w:tab w:val="num" w:pos="1152"/>
        </w:tabs>
        <w:ind w:left="0" w:firstLine="0"/>
        <w:rPr>
          <w:lang w:val="fr-CA"/>
        </w:rPr>
      </w:pPr>
      <w:r w:rsidRPr="00E62205">
        <w:rPr>
          <w:smallCaps/>
          <w:lang w:val="fr-CA"/>
        </w:rPr>
        <w:lastRenderedPageBreak/>
        <w:t xml:space="preserve">La Juge en chef </w:t>
      </w:r>
      <w:r w:rsidRPr="00E62205">
        <w:rPr>
          <w:lang w:val="fr-FR"/>
        </w:rPr>
        <w:t>—</w:t>
      </w:r>
      <w:r w:rsidRPr="00E62205">
        <w:rPr>
          <w:smallCaps/>
          <w:lang w:val="fr-CA"/>
        </w:rPr>
        <w:t xml:space="preserve"> </w:t>
      </w:r>
      <w:r w:rsidRPr="00E62205">
        <w:rPr>
          <w:lang w:val="fr-CA"/>
        </w:rPr>
        <w:t xml:space="preserve"> La </w:t>
      </w:r>
      <w:r w:rsidRPr="000727E5">
        <w:rPr>
          <w:lang w:val="fr-CA"/>
        </w:rPr>
        <w:t xml:space="preserve">défense </w:t>
      </w:r>
      <w:r w:rsidRPr="00E62205">
        <w:rPr>
          <w:lang w:val="fr-CA"/>
        </w:rPr>
        <w:t>d’erreur de droit provoquée par une personne en autorité vise à protéger le citoyen diligent qui, d’un côté, s’enquiert auprès de l’État de l’interprétation à donner à une loi dans le but de ne pas l’enfreindre et, d’un autre côté, se retrouve poursuivi par le même État pour s’être conformé à l’interprétation que l’État lui a donnée.</w:t>
      </w:r>
    </w:p>
    <w:p w:rsidR="00CA7A48" w:rsidRPr="00CA7A48" w:rsidRDefault="00CA7A48" w:rsidP="00933399">
      <w:pPr>
        <w:pStyle w:val="ParaNoNdepar-AltN"/>
        <w:widowControl w:val="0"/>
        <w:tabs>
          <w:tab w:val="num" w:pos="1152"/>
        </w:tabs>
        <w:ind w:left="0" w:firstLine="0"/>
        <w:rPr>
          <w:lang w:val="fr-CA"/>
        </w:rPr>
      </w:pPr>
      <w:r w:rsidRPr="00CA7A48">
        <w:rPr>
          <w:lang w:val="fr-CA"/>
        </w:rPr>
        <w:t xml:space="preserve">Nous </w:t>
      </w:r>
      <w:r w:rsidRPr="002000DD">
        <w:rPr>
          <w:lang w:val="fr-CA"/>
        </w:rPr>
        <w:t>avons</w:t>
      </w:r>
      <w:r w:rsidRPr="00CA7A48">
        <w:rPr>
          <w:lang w:val="fr-CA"/>
        </w:rPr>
        <w:t xml:space="preserve"> de sérieuses réserves sur la possibilité elle-m</w:t>
      </w:r>
      <w:r w:rsidRPr="00CA7A48">
        <w:rPr>
          <w:rFonts w:cs="Times New Roman"/>
          <w:lang w:val="fr-CA"/>
        </w:rPr>
        <w:t>ê</w:t>
      </w:r>
      <w:r w:rsidRPr="00CA7A48">
        <w:rPr>
          <w:lang w:val="fr-CA"/>
        </w:rPr>
        <w:t>me qu’un agent de l’État dans l’ex</w:t>
      </w:r>
      <w:r w:rsidRPr="00CA7A48">
        <w:rPr>
          <w:rFonts w:cs="Times New Roman"/>
          <w:lang w:val="fr-CA"/>
        </w:rPr>
        <w:t>é</w:t>
      </w:r>
      <w:r w:rsidRPr="00CA7A48">
        <w:rPr>
          <w:lang w:val="fr-CA"/>
        </w:rPr>
        <w:t>cution de ses fonctions puisse invoquer la défense d’erreur de droit provoquée par une personne en autorité.</w:t>
      </w:r>
    </w:p>
    <w:p w:rsidR="00CA7A48" w:rsidRPr="00CA7A48" w:rsidRDefault="00CA7A48" w:rsidP="00933399">
      <w:pPr>
        <w:pStyle w:val="ParaNoNdepar-AltN"/>
        <w:widowControl w:val="0"/>
        <w:tabs>
          <w:tab w:val="num" w:pos="1152"/>
        </w:tabs>
        <w:ind w:left="0" w:firstLine="0"/>
        <w:rPr>
          <w:lang w:val="fr-CA"/>
        </w:rPr>
      </w:pPr>
      <w:r w:rsidRPr="00CA7A48">
        <w:rPr>
          <w:lang w:val="fr-CA"/>
        </w:rPr>
        <w:t xml:space="preserve">Cela dit, </w:t>
      </w:r>
      <w:r w:rsidRPr="002000DD">
        <w:rPr>
          <w:lang w:val="fr-CA"/>
        </w:rPr>
        <w:t xml:space="preserve">nous </w:t>
      </w:r>
      <w:r w:rsidRPr="00CA7A48">
        <w:rPr>
          <w:lang w:val="fr-CA"/>
        </w:rPr>
        <w:t xml:space="preserve">sommes tous d’avis que les conditions donnant ouverture à cette défense ne sont pas remplies ici : voir </w:t>
      </w:r>
      <w:r w:rsidRPr="00CA7A48">
        <w:rPr>
          <w:i/>
          <w:lang w:val="fr-CA"/>
        </w:rPr>
        <w:t xml:space="preserve">Lévis (Ville) c. </w:t>
      </w:r>
      <w:proofErr w:type="spellStart"/>
      <w:r w:rsidRPr="00CA7A48">
        <w:rPr>
          <w:i/>
          <w:lang w:val="fr-CA"/>
        </w:rPr>
        <w:t>Tétreault</w:t>
      </w:r>
      <w:proofErr w:type="spellEnd"/>
      <w:r w:rsidRPr="00CA7A48">
        <w:rPr>
          <w:lang w:val="fr-CA"/>
        </w:rPr>
        <w:t>, 2006 CSC 12, [2006] 1 R.C.S. 420. En particulier, vues de fa</w:t>
      </w:r>
      <w:r w:rsidRPr="00CA7A48">
        <w:rPr>
          <w:rFonts w:cs="Times New Roman"/>
          <w:lang w:val="fr-CA"/>
        </w:rPr>
        <w:t>ç</w:t>
      </w:r>
      <w:r w:rsidRPr="00CA7A48">
        <w:rPr>
          <w:lang w:val="fr-CA"/>
        </w:rPr>
        <w:t>on objective, les troisi</w:t>
      </w:r>
      <w:r w:rsidRPr="00CA7A48">
        <w:rPr>
          <w:rFonts w:cs="Times New Roman"/>
          <w:lang w:val="fr-CA"/>
        </w:rPr>
        <w:t>è</w:t>
      </w:r>
      <w:r w:rsidRPr="00CA7A48">
        <w:rPr>
          <w:lang w:val="fr-CA"/>
        </w:rPr>
        <w:t>me et quatri</w:t>
      </w:r>
      <w:r w:rsidRPr="00CA7A48">
        <w:rPr>
          <w:rFonts w:cs="Times New Roman"/>
          <w:lang w:val="fr-CA"/>
        </w:rPr>
        <w:t>è</w:t>
      </w:r>
      <w:r w:rsidRPr="00CA7A48">
        <w:rPr>
          <w:lang w:val="fr-CA"/>
        </w:rPr>
        <w:t>me conditions ne sont pas satisfaites, soit que l’avis obtenu provenait d’une personne compétente dans la matière et que l’avis avait un caractère raisonnable.</w:t>
      </w:r>
    </w:p>
    <w:p w:rsidR="00CA7A48" w:rsidRPr="00CA7A48" w:rsidRDefault="00CA7A48" w:rsidP="00933399">
      <w:pPr>
        <w:pStyle w:val="ParaNoNdepar-AltN"/>
        <w:widowControl w:val="0"/>
        <w:tabs>
          <w:tab w:val="num" w:pos="1152"/>
        </w:tabs>
        <w:ind w:left="0" w:firstLine="0"/>
        <w:rPr>
          <w:lang w:val="fr-CA"/>
        </w:rPr>
      </w:pPr>
      <w:r w:rsidRPr="00CA7A48">
        <w:rPr>
          <w:lang w:val="fr-CA"/>
        </w:rPr>
        <w:t xml:space="preserve">Pour ces </w:t>
      </w:r>
      <w:r w:rsidRPr="002000DD">
        <w:rPr>
          <w:lang w:val="fr-CA"/>
        </w:rPr>
        <w:t>raisons</w:t>
      </w:r>
      <w:r w:rsidRPr="00CA7A48">
        <w:rPr>
          <w:lang w:val="fr-CA"/>
        </w:rPr>
        <w:t>, l’appel est rejet</w:t>
      </w:r>
      <w:r w:rsidRPr="00CA7A48">
        <w:rPr>
          <w:rFonts w:cs="Times New Roman"/>
          <w:lang w:val="fr-CA"/>
        </w:rPr>
        <w:t>é</w:t>
      </w:r>
      <w:r w:rsidRPr="00CA7A48">
        <w:rPr>
          <w:lang w:val="fr-CA"/>
        </w:rPr>
        <w:t>.</w:t>
      </w:r>
    </w:p>
    <w:p w:rsidR="004D7D95" w:rsidRPr="001632BE" w:rsidRDefault="00CA7A48" w:rsidP="00933399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</w:r>
      <w:r>
        <w:rPr>
          <w:i/>
          <w:lang w:val="fr-CA"/>
        </w:rPr>
        <w:t>Jugement en conséquence.</w:t>
      </w:r>
    </w:p>
    <w:p w:rsidR="004D7D95" w:rsidRPr="001632BE" w:rsidRDefault="004D7D95" w:rsidP="00933399">
      <w:pPr>
        <w:pStyle w:val="SCCNormalDoubleSpacing"/>
        <w:widowControl w:val="0"/>
        <w:rPr>
          <w:lang w:val="fr-CA"/>
        </w:rPr>
      </w:pPr>
    </w:p>
    <w:p w:rsidR="00231A8F" w:rsidRPr="001632BE" w:rsidRDefault="001D3503" w:rsidP="00933399">
      <w:pPr>
        <w:pStyle w:val="SCCLawFirm"/>
        <w:widowControl w:val="0"/>
        <w:rPr>
          <w:lang w:val="fr-CA"/>
        </w:rPr>
      </w:pPr>
      <w:r w:rsidRPr="001632BE">
        <w:rPr>
          <w:lang w:val="fr-CA"/>
        </w:rPr>
        <w:tab/>
        <w:t>Procureur</w:t>
      </w:r>
      <w:r w:rsidR="00CC4526">
        <w:rPr>
          <w:lang w:val="fr-CA"/>
        </w:rPr>
        <w:t>s</w:t>
      </w:r>
      <w:r w:rsidRPr="001632BE">
        <w:rPr>
          <w:lang w:val="fr-CA"/>
        </w:rPr>
        <w:t xml:space="preserve"> de</w:t>
      </w:r>
      <w:r w:rsidR="00CC4526">
        <w:rPr>
          <w:lang w:val="fr-CA"/>
        </w:rPr>
        <w:t>s appelants</w:t>
      </w:r>
      <w:r w:rsidRPr="001632BE">
        <w:rPr>
          <w:lang w:val="fr-CA"/>
        </w:rPr>
        <w:t xml:space="preserve"> : </w:t>
      </w:r>
      <w:proofErr w:type="spellStart"/>
      <w:r w:rsidRPr="001632BE">
        <w:rPr>
          <w:lang w:val="fr-CA"/>
        </w:rPr>
        <w:t>Fradette</w:t>
      </w:r>
      <w:proofErr w:type="spellEnd"/>
      <w:r w:rsidRPr="001632BE">
        <w:rPr>
          <w:lang w:val="fr-CA"/>
        </w:rPr>
        <w:t xml:space="preserve"> &amp; Le Bel, Chicoutimi.</w:t>
      </w:r>
    </w:p>
    <w:p w:rsidR="00231A8F" w:rsidRPr="001632BE" w:rsidRDefault="00231A8F" w:rsidP="00933399">
      <w:pPr>
        <w:pStyle w:val="SCCLawFirm"/>
        <w:widowControl w:val="0"/>
        <w:rPr>
          <w:lang w:val="fr-CA"/>
        </w:rPr>
      </w:pPr>
    </w:p>
    <w:p w:rsidR="00231A8F" w:rsidRPr="001632BE" w:rsidRDefault="001D3503" w:rsidP="00933399">
      <w:pPr>
        <w:pStyle w:val="SCCLawFirm"/>
        <w:widowControl w:val="0"/>
        <w:rPr>
          <w:lang w:val="fr-CA"/>
        </w:rPr>
      </w:pPr>
      <w:r w:rsidRPr="001632BE">
        <w:rPr>
          <w:lang w:val="fr-CA"/>
        </w:rPr>
        <w:tab/>
        <w:t>Procureur</w:t>
      </w:r>
      <w:r w:rsidR="00CC4526">
        <w:rPr>
          <w:lang w:val="fr-CA"/>
        </w:rPr>
        <w:t xml:space="preserve"> de l’i</w:t>
      </w:r>
      <w:r w:rsidRPr="001632BE">
        <w:rPr>
          <w:lang w:val="fr-CA"/>
        </w:rPr>
        <w:t>ntimé</w:t>
      </w:r>
      <w:r w:rsidR="00CC4526">
        <w:rPr>
          <w:lang w:val="fr-CA"/>
        </w:rPr>
        <w:t>e</w:t>
      </w:r>
      <w:r w:rsidRPr="001632BE">
        <w:rPr>
          <w:lang w:val="fr-CA"/>
        </w:rPr>
        <w:t xml:space="preserve"> : </w:t>
      </w:r>
      <w:r w:rsidR="00D45507">
        <w:rPr>
          <w:lang w:val="fr-CA"/>
        </w:rPr>
        <w:t>Directeur des poursuites criminelles et pénales</w:t>
      </w:r>
      <w:r w:rsidRPr="001632BE">
        <w:rPr>
          <w:lang w:val="fr-CA"/>
        </w:rPr>
        <w:t>, Québec.</w:t>
      </w:r>
    </w:p>
    <w:sectPr w:rsidR="00231A8F" w:rsidRPr="001632BE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A2" w:rsidRDefault="00296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A2" w:rsidRDefault="00296C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A2" w:rsidRDefault="0029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A2" w:rsidRDefault="00296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A2" w:rsidRDefault="00296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B57AD"/>
    <w:multiLevelType w:val="hybridMultilevel"/>
    <w:tmpl w:val="B1A6A75A"/>
    <w:lvl w:ilvl="0" w:tplc="BD564518">
      <w:start w:val="1"/>
      <w:numFmt w:val="decimal"/>
      <w:pStyle w:val="ParaNoNdepar-AltN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312A1"/>
    <w:rsid w:val="000578A3"/>
    <w:rsid w:val="000648CC"/>
    <w:rsid w:val="000727E5"/>
    <w:rsid w:val="00075377"/>
    <w:rsid w:val="000802C1"/>
    <w:rsid w:val="000B6828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32BE"/>
    <w:rsid w:val="00165277"/>
    <w:rsid w:val="00170592"/>
    <w:rsid w:val="001720F7"/>
    <w:rsid w:val="00195D83"/>
    <w:rsid w:val="001A00C1"/>
    <w:rsid w:val="001A7503"/>
    <w:rsid w:val="001B33E0"/>
    <w:rsid w:val="001B4573"/>
    <w:rsid w:val="001C779F"/>
    <w:rsid w:val="001D0FB1"/>
    <w:rsid w:val="001D2AC1"/>
    <w:rsid w:val="001D3503"/>
    <w:rsid w:val="001D4E88"/>
    <w:rsid w:val="002000DD"/>
    <w:rsid w:val="00220FC2"/>
    <w:rsid w:val="002222F4"/>
    <w:rsid w:val="00224FC0"/>
    <w:rsid w:val="00225EA4"/>
    <w:rsid w:val="00226EAF"/>
    <w:rsid w:val="00231A8F"/>
    <w:rsid w:val="00231F3A"/>
    <w:rsid w:val="002406EE"/>
    <w:rsid w:val="00243EC8"/>
    <w:rsid w:val="00270D93"/>
    <w:rsid w:val="002745CC"/>
    <w:rsid w:val="00296CA2"/>
    <w:rsid w:val="002B6FBE"/>
    <w:rsid w:val="002B7924"/>
    <w:rsid w:val="002C10A6"/>
    <w:rsid w:val="002D28C3"/>
    <w:rsid w:val="002D39A4"/>
    <w:rsid w:val="002E32FC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16B7"/>
    <w:rsid w:val="0035259D"/>
    <w:rsid w:val="00360E35"/>
    <w:rsid w:val="00364B18"/>
    <w:rsid w:val="003A125D"/>
    <w:rsid w:val="003A20DB"/>
    <w:rsid w:val="003A4C70"/>
    <w:rsid w:val="003B215F"/>
    <w:rsid w:val="003B2470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4596"/>
    <w:rsid w:val="00415417"/>
    <w:rsid w:val="00426659"/>
    <w:rsid w:val="00450352"/>
    <w:rsid w:val="00454BDB"/>
    <w:rsid w:val="004610DA"/>
    <w:rsid w:val="00465132"/>
    <w:rsid w:val="00480C90"/>
    <w:rsid w:val="0048396F"/>
    <w:rsid w:val="00493C18"/>
    <w:rsid w:val="004A5936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4D99"/>
    <w:rsid w:val="00566AD1"/>
    <w:rsid w:val="00583EDE"/>
    <w:rsid w:val="005A6079"/>
    <w:rsid w:val="005E4698"/>
    <w:rsid w:val="00603924"/>
    <w:rsid w:val="00610539"/>
    <w:rsid w:val="006109AA"/>
    <w:rsid w:val="00613969"/>
    <w:rsid w:val="00625C35"/>
    <w:rsid w:val="00647E49"/>
    <w:rsid w:val="00656313"/>
    <w:rsid w:val="006565F4"/>
    <w:rsid w:val="00684EEA"/>
    <w:rsid w:val="00692358"/>
    <w:rsid w:val="0069689B"/>
    <w:rsid w:val="006B5FF5"/>
    <w:rsid w:val="006F30AF"/>
    <w:rsid w:val="00701759"/>
    <w:rsid w:val="00705C15"/>
    <w:rsid w:val="007110F6"/>
    <w:rsid w:val="007208D1"/>
    <w:rsid w:val="007369D4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1423A"/>
    <w:rsid w:val="009179F9"/>
    <w:rsid w:val="00917C7A"/>
    <w:rsid w:val="00933399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100D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1494"/>
    <w:rsid w:val="00A643E7"/>
    <w:rsid w:val="00A73C38"/>
    <w:rsid w:val="00A921A7"/>
    <w:rsid w:val="00AB4C03"/>
    <w:rsid w:val="00AB670D"/>
    <w:rsid w:val="00AE3FA2"/>
    <w:rsid w:val="00AF03C5"/>
    <w:rsid w:val="00B000D8"/>
    <w:rsid w:val="00B00F75"/>
    <w:rsid w:val="00B145B6"/>
    <w:rsid w:val="00B279EB"/>
    <w:rsid w:val="00B34E38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0D4E"/>
    <w:rsid w:val="00C62A66"/>
    <w:rsid w:val="00C66359"/>
    <w:rsid w:val="00C71458"/>
    <w:rsid w:val="00C77613"/>
    <w:rsid w:val="00C828E7"/>
    <w:rsid w:val="00C86719"/>
    <w:rsid w:val="00C921DD"/>
    <w:rsid w:val="00CA6391"/>
    <w:rsid w:val="00CA7A48"/>
    <w:rsid w:val="00CC0A26"/>
    <w:rsid w:val="00CC4526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5507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62205"/>
    <w:rsid w:val="00E7681B"/>
    <w:rsid w:val="00E97830"/>
    <w:rsid w:val="00EE0830"/>
    <w:rsid w:val="00EE6CB8"/>
    <w:rsid w:val="00EF0683"/>
    <w:rsid w:val="00EF44A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901BE"/>
    <w:rsid w:val="00FB37D2"/>
    <w:rsid w:val="00FC4EFB"/>
    <w:rsid w:val="00FD068D"/>
    <w:rsid w:val="00FD4F28"/>
    <w:rsid w:val="00FD6270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character" w:customStyle="1" w:styleId="solext01">
    <w:name w:val="solext01"/>
    <w:basedOn w:val="DefaultParagraphFont"/>
    <w:rsid w:val="00564D99"/>
    <w:rPr>
      <w:shd w:val="clear" w:color="auto" w:fill="BFE8FD"/>
    </w:rPr>
  </w:style>
  <w:style w:type="paragraph" w:styleId="ListParagraph">
    <w:name w:val="List Paragraph"/>
    <w:basedOn w:val="Normal"/>
    <w:uiPriority w:val="34"/>
    <w:qFormat/>
    <w:rsid w:val="00E62205"/>
    <w:pPr>
      <w:ind w:left="720"/>
      <w:contextualSpacing/>
    </w:pPr>
  </w:style>
  <w:style w:type="paragraph" w:customStyle="1" w:styleId="ParaNoNdepar-AltN">
    <w:name w:val="Para. No. / Nº de par. - Alt N"/>
    <w:link w:val="ParaNoNdepar-AltNChar"/>
    <w:qFormat/>
    <w:rsid w:val="00E62205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E62205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692358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692358"/>
    <w:rPr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692358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692358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2017-01-24T16:13:00Z</dcterms:created>
  <dcterms:modified xsi:type="dcterms:W3CDTF">2017-10-18T19:21:00Z</dcterms:modified>
</cp:coreProperties>
</file>