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C4B" w:rsidRDefault="00D53C4B" w:rsidP="00D53C4B">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25pt" o:ole="">
            <v:imagedata r:id="rId8" o:title=""/>
          </v:shape>
          <o:OLEObject Type="Embed" ProgID="Presentations.Drawing.13" ShapeID="_x0000_i1025" DrawAspect="Content" ObjectID="_1569825061" r:id="rId9"/>
        </w:object>
      </w:r>
      <w:r>
        <w:t xml:space="preserve"> </w:t>
      </w:r>
      <w:r>
        <w:ptab w:relativeTo="margin" w:alignment="right" w:leader="none"/>
      </w:r>
    </w:p>
    <w:p w:rsidR="00D53C4B" w:rsidRDefault="00D53C4B" w:rsidP="00D53C4B">
      <w:pPr>
        <w:pStyle w:val="Header"/>
      </w:pPr>
    </w:p>
    <w:p w:rsidR="00D53C4B" w:rsidRPr="001E12E2" w:rsidRDefault="00D53C4B" w:rsidP="00D53C4B">
      <w:pPr>
        <w:jc w:val="center"/>
        <w:rPr>
          <w:b/>
        </w:rPr>
      </w:pPr>
      <w:r w:rsidRPr="001E12E2">
        <w:rPr>
          <w:b/>
        </w:rPr>
        <w:t>COUR SUPRÊME DU CANADA</w:t>
      </w:r>
    </w:p>
    <w:p w:rsidR="00D53C4B" w:rsidRDefault="00D53C4B" w:rsidP="00D53C4B"/>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760"/>
        <w:gridCol w:w="3690"/>
      </w:tblGrid>
      <w:tr w:rsidR="00D53C4B" w:rsidRPr="001E12E2" w:rsidTr="000D406F">
        <w:trPr>
          <w:cantSplit/>
        </w:trPr>
        <w:tc>
          <w:tcPr>
            <w:tcW w:w="5760" w:type="dxa"/>
          </w:tcPr>
          <w:p w:rsidR="00D53C4B" w:rsidRPr="001E12E2" w:rsidRDefault="00D53C4B" w:rsidP="000D406F">
            <w:r>
              <w:rPr>
                <w:b/>
                <w:smallCaps/>
              </w:rPr>
              <w:t>Référence :</w:t>
            </w:r>
            <w:r w:rsidRPr="00B604AA">
              <w:rPr>
                <w:rStyle w:val="PlaceholderText"/>
                <w:lang w:val="en-US"/>
              </w:rPr>
              <w:t xml:space="preserve"> </w:t>
            </w:r>
            <w:r w:rsidRPr="00D53C4B">
              <w:rPr>
                <w:rStyle w:val="SCCAppellantForIndexChar"/>
                <w:rFonts w:eastAsiaTheme="minorHAnsi"/>
                <w:b w:val="0"/>
                <w:lang w:val="en-US"/>
              </w:rPr>
              <w:t>Nelson (City)</w:t>
            </w:r>
            <w:r w:rsidRPr="00D53C4B">
              <w:rPr>
                <w:lang w:val="en-US"/>
              </w:rPr>
              <w:t xml:space="preserve"> </w:t>
            </w:r>
            <w:r w:rsidRPr="00D53C4B">
              <w:rPr>
                <w:i/>
                <w:lang w:val="en-US"/>
              </w:rPr>
              <w:t>c.</w:t>
            </w:r>
            <w:r w:rsidRPr="00D53C4B">
              <w:rPr>
                <w:b/>
                <w:lang w:val="en-US"/>
              </w:rPr>
              <w:t xml:space="preserve"> </w:t>
            </w:r>
            <w:r w:rsidRPr="00D53C4B">
              <w:rPr>
                <w:rStyle w:val="SCCRespondentForIndexChar"/>
                <w:rFonts w:eastAsiaTheme="minorHAnsi"/>
                <w:b w:val="0"/>
                <w:lang w:val="en-US"/>
              </w:rPr>
              <w:t>Mowatt, 2017 CSC 8</w:t>
            </w:r>
            <w:r>
              <w:t>, [2017] 1 R.C.S. 138</w:t>
            </w:r>
          </w:p>
        </w:tc>
        <w:tc>
          <w:tcPr>
            <w:tcW w:w="3690" w:type="dxa"/>
          </w:tcPr>
          <w:p w:rsidR="00D53C4B" w:rsidRPr="00D53C4B" w:rsidRDefault="00D53C4B" w:rsidP="000D406F">
            <w:pPr>
              <w:ind w:left="392" w:hanging="392"/>
              <w:rPr>
                <w:lang w:val="fr-CA"/>
              </w:rPr>
            </w:pPr>
            <w:r w:rsidRPr="00D53C4B">
              <w:rPr>
                <w:b/>
                <w:smallCaps/>
                <w:lang w:val="fr-CA"/>
              </w:rPr>
              <w:t xml:space="preserve">Appel entendu : </w:t>
            </w:r>
            <w:r w:rsidRPr="00D53C4B">
              <w:rPr>
                <w:lang w:val="fr-CA"/>
              </w:rPr>
              <w:t>7 octobre 2016</w:t>
            </w:r>
          </w:p>
          <w:p w:rsidR="00D53C4B" w:rsidRPr="00D53C4B" w:rsidRDefault="00D53C4B" w:rsidP="000D406F">
            <w:pPr>
              <w:rPr>
                <w:b/>
                <w:smallCaps/>
                <w:lang w:val="fr-CA"/>
              </w:rPr>
            </w:pPr>
            <w:r w:rsidRPr="00D53C4B">
              <w:rPr>
                <w:b/>
                <w:smallCaps/>
                <w:lang w:val="fr-CA"/>
              </w:rPr>
              <w:t xml:space="preserve">Jugement rendu : </w:t>
            </w:r>
            <w:r w:rsidRPr="00D53C4B">
              <w:rPr>
                <w:lang w:val="fr-CA"/>
              </w:rPr>
              <w:t>17 février 2017</w:t>
            </w:r>
          </w:p>
          <w:p w:rsidR="00D53C4B" w:rsidRPr="001E12E2" w:rsidRDefault="00D53C4B" w:rsidP="000D406F">
            <w:r w:rsidRPr="001E12E2">
              <w:rPr>
                <w:b/>
                <w:smallCaps/>
              </w:rPr>
              <w:t>Do</w:t>
            </w:r>
            <w:r>
              <w:rPr>
                <w:b/>
                <w:smallCaps/>
              </w:rPr>
              <w:t>ssier :</w:t>
            </w:r>
            <w:r w:rsidRPr="001E12E2">
              <w:t xml:space="preserve"> </w:t>
            </w:r>
            <w:r>
              <w:t>36999</w:t>
            </w:r>
          </w:p>
        </w:tc>
      </w:tr>
    </w:tbl>
    <w:p w:rsidR="00D53C4B" w:rsidRPr="001E12E2" w:rsidRDefault="00D53C4B" w:rsidP="00D53C4B"/>
    <w:p w:rsidR="00D53C4B" w:rsidRDefault="00D53C4B" w:rsidP="00D53C4B">
      <w:pPr>
        <w:pStyle w:val="SCCLsocPrefix"/>
      </w:pPr>
      <w:r>
        <w:t>Entre :</w:t>
      </w:r>
    </w:p>
    <w:p w:rsidR="00D53C4B" w:rsidRPr="00D05823" w:rsidRDefault="00D53C4B" w:rsidP="00D53C4B">
      <w:pPr>
        <w:pStyle w:val="SCCLsocParty"/>
        <w:jc w:val="center"/>
        <w:rPr>
          <w:lang w:val="en-US"/>
        </w:rPr>
      </w:pPr>
      <w:r w:rsidRPr="00D05823">
        <w:rPr>
          <w:lang w:val="en-US"/>
        </w:rPr>
        <w:t>Corporation of the City of Nelson</w:t>
      </w:r>
    </w:p>
    <w:p w:rsidR="00D53C4B" w:rsidRPr="00D53C4B" w:rsidRDefault="00D53C4B" w:rsidP="00D53C4B">
      <w:pPr>
        <w:jc w:val="center"/>
        <w:rPr>
          <w:lang w:val="fr-CA"/>
        </w:rPr>
      </w:pPr>
      <w:r w:rsidRPr="00D53C4B">
        <w:rPr>
          <w:lang w:val="fr-CA"/>
        </w:rPr>
        <w:t>Appelante</w:t>
      </w:r>
      <w:bookmarkStart w:id="0" w:name="_GoBack"/>
      <w:bookmarkEnd w:id="0"/>
    </w:p>
    <w:p w:rsidR="00D53C4B" w:rsidRPr="00D53C4B" w:rsidRDefault="00D53C4B" w:rsidP="00D53C4B">
      <w:pPr>
        <w:pStyle w:val="SCCLsocVersus"/>
        <w:spacing w:after="0"/>
        <w:jc w:val="center"/>
        <w:rPr>
          <w:lang w:val="fr-CA"/>
        </w:rPr>
      </w:pPr>
    </w:p>
    <w:p w:rsidR="00D53C4B" w:rsidRPr="00D53C4B" w:rsidRDefault="00D53C4B" w:rsidP="00D53C4B">
      <w:pPr>
        <w:pStyle w:val="SCCLsocVersus"/>
        <w:spacing w:after="0"/>
        <w:jc w:val="center"/>
        <w:rPr>
          <w:i w:val="0"/>
          <w:lang w:val="fr-CA"/>
        </w:rPr>
      </w:pPr>
      <w:r w:rsidRPr="00D53C4B">
        <w:rPr>
          <w:i w:val="0"/>
          <w:lang w:val="fr-CA"/>
        </w:rPr>
        <w:t>et</w:t>
      </w:r>
    </w:p>
    <w:p w:rsidR="00D53C4B" w:rsidRPr="00D53C4B" w:rsidRDefault="00D53C4B" w:rsidP="00D53C4B">
      <w:pPr>
        <w:jc w:val="center"/>
        <w:rPr>
          <w:lang w:val="fr-CA"/>
        </w:rPr>
      </w:pPr>
    </w:p>
    <w:p w:rsidR="00D53C4B" w:rsidRPr="00D53C4B" w:rsidRDefault="00D53C4B" w:rsidP="00D53C4B">
      <w:pPr>
        <w:pStyle w:val="SCCLsocParty"/>
        <w:jc w:val="center"/>
        <w:rPr>
          <w:lang w:val="fr-CA"/>
        </w:rPr>
      </w:pPr>
      <w:r w:rsidRPr="00D53C4B">
        <w:rPr>
          <w:lang w:val="fr-CA"/>
        </w:rPr>
        <w:t>Mary Geraldine Mowatt et Earl Wayne Mowatt</w:t>
      </w:r>
    </w:p>
    <w:p w:rsidR="00D53C4B" w:rsidRPr="00D53C4B" w:rsidRDefault="00D53C4B" w:rsidP="00D53C4B">
      <w:pPr>
        <w:jc w:val="center"/>
        <w:rPr>
          <w:lang w:val="fr-CA"/>
        </w:rPr>
      </w:pPr>
      <w:r w:rsidRPr="00D53C4B">
        <w:rPr>
          <w:lang w:val="fr-CA"/>
        </w:rPr>
        <w:t>Intimés</w:t>
      </w:r>
    </w:p>
    <w:p w:rsidR="00D53C4B" w:rsidRPr="00D53C4B" w:rsidRDefault="00D53C4B" w:rsidP="00D53C4B">
      <w:pPr>
        <w:jc w:val="center"/>
        <w:rPr>
          <w:lang w:val="fr-CA"/>
        </w:rPr>
      </w:pPr>
    </w:p>
    <w:p w:rsidR="00D53C4B" w:rsidRPr="00D53C4B" w:rsidRDefault="00D53C4B" w:rsidP="00D53C4B">
      <w:pPr>
        <w:pStyle w:val="SCCLsocOtherPartySeparator"/>
        <w:spacing w:after="0"/>
        <w:jc w:val="center"/>
        <w:rPr>
          <w:lang w:val="fr-CA"/>
        </w:rPr>
      </w:pPr>
      <w:r w:rsidRPr="00D53C4B">
        <w:rPr>
          <w:lang w:val="fr-CA"/>
        </w:rPr>
        <w:t>- et -</w:t>
      </w:r>
    </w:p>
    <w:p w:rsidR="00D53C4B" w:rsidRPr="00D53C4B" w:rsidRDefault="00D53C4B" w:rsidP="00D53C4B">
      <w:pPr>
        <w:jc w:val="center"/>
        <w:rPr>
          <w:lang w:val="fr-CA"/>
        </w:rPr>
      </w:pPr>
    </w:p>
    <w:p w:rsidR="00D53C4B" w:rsidRPr="00D53C4B" w:rsidRDefault="00D53C4B" w:rsidP="00D53C4B">
      <w:pPr>
        <w:pStyle w:val="SCCLsocParty"/>
        <w:jc w:val="center"/>
        <w:rPr>
          <w:lang w:val="fr-CA"/>
        </w:rPr>
      </w:pPr>
      <w:r w:rsidRPr="00D53C4B">
        <w:rPr>
          <w:lang w:val="fr-CA"/>
        </w:rPr>
        <w:t>Procureur général de la Colombie-Britannique</w:t>
      </w:r>
    </w:p>
    <w:p w:rsidR="00D53C4B" w:rsidRPr="00D53C4B" w:rsidRDefault="00D53C4B" w:rsidP="00D53C4B">
      <w:pPr>
        <w:jc w:val="center"/>
        <w:rPr>
          <w:lang w:val="fr-CA"/>
        </w:rPr>
      </w:pPr>
      <w:r w:rsidRPr="00D53C4B">
        <w:rPr>
          <w:lang w:val="fr-CA"/>
        </w:rPr>
        <w:t>Intervenant</w:t>
      </w:r>
    </w:p>
    <w:p w:rsidR="00D53C4B" w:rsidRPr="00D53C4B" w:rsidRDefault="00D53C4B" w:rsidP="00D53C4B">
      <w:pPr>
        <w:rPr>
          <w:lang w:val="fr-CA"/>
        </w:rPr>
      </w:pPr>
    </w:p>
    <w:p w:rsidR="00D53C4B" w:rsidRPr="00D53C4B" w:rsidRDefault="00D53C4B" w:rsidP="00D53C4B">
      <w:pPr>
        <w:rPr>
          <w:lang w:val="fr-CA"/>
        </w:rPr>
      </w:pPr>
    </w:p>
    <w:p w:rsidR="00D53C4B" w:rsidRPr="00D53C4B" w:rsidRDefault="00D53C4B" w:rsidP="00D53C4B">
      <w:pPr>
        <w:jc w:val="center"/>
        <w:rPr>
          <w:b/>
          <w:smallCaps/>
          <w:lang w:val="fr-CA"/>
        </w:rPr>
      </w:pPr>
      <w:r w:rsidRPr="00D53C4B">
        <w:rPr>
          <w:b/>
          <w:smallCaps/>
          <w:lang w:val="fr-CA"/>
        </w:rPr>
        <w:t>Traduction française officielle</w:t>
      </w:r>
    </w:p>
    <w:p w:rsidR="00D53C4B" w:rsidRPr="00D53C4B" w:rsidRDefault="00D53C4B" w:rsidP="00D53C4B">
      <w:pPr>
        <w:rPr>
          <w:lang w:val="fr-CA"/>
        </w:rPr>
      </w:pPr>
    </w:p>
    <w:p w:rsidR="00D53C4B" w:rsidRPr="00D53C4B" w:rsidRDefault="00D53C4B" w:rsidP="00D53C4B">
      <w:pPr>
        <w:rPr>
          <w:lang w:val="fr-CA"/>
        </w:rPr>
      </w:pPr>
      <w:r w:rsidRPr="00D53C4B">
        <w:rPr>
          <w:b/>
          <w:smallCaps/>
          <w:lang w:val="fr-CA"/>
        </w:rPr>
        <w:t>Coram :</w:t>
      </w:r>
      <w:r w:rsidRPr="00D53C4B">
        <w:rPr>
          <w:lang w:val="fr-CA"/>
        </w:rPr>
        <w:t xml:space="preserve"> La juge en chef McLachlin et les juges Moldaver, Karakatsanis, Wagner, Gascon, Côté et Brown</w:t>
      </w:r>
    </w:p>
    <w:p w:rsidR="00D53C4B" w:rsidRPr="00D53C4B" w:rsidRDefault="00D53C4B" w:rsidP="00D53C4B">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53C4B" w:rsidRPr="00D53C4B" w:rsidTr="000D406F">
        <w:trPr>
          <w:cantSplit/>
        </w:trPr>
        <w:tc>
          <w:tcPr>
            <w:tcW w:w="3618" w:type="dxa"/>
          </w:tcPr>
          <w:p w:rsidR="00D53C4B" w:rsidRPr="00D53C4B" w:rsidRDefault="00D53C4B" w:rsidP="000D406F">
            <w:pPr>
              <w:rPr>
                <w:lang w:val="fr-CA"/>
              </w:rPr>
            </w:pPr>
            <w:r w:rsidRPr="00D53C4B">
              <w:rPr>
                <w:b/>
                <w:smallCaps/>
                <w:lang w:val="fr-CA"/>
              </w:rPr>
              <w:t>Motifs de jugement :</w:t>
            </w:r>
          </w:p>
          <w:p w:rsidR="00D53C4B" w:rsidRPr="00D53C4B" w:rsidRDefault="00D53C4B" w:rsidP="000D406F">
            <w:pPr>
              <w:rPr>
                <w:lang w:val="fr-CA"/>
              </w:rPr>
            </w:pPr>
            <w:r w:rsidRPr="00D53C4B">
              <w:rPr>
                <w:lang w:val="fr-CA"/>
              </w:rPr>
              <w:t>(par. 1 à 44)</w:t>
            </w:r>
          </w:p>
        </w:tc>
        <w:tc>
          <w:tcPr>
            <w:tcW w:w="5958" w:type="dxa"/>
          </w:tcPr>
          <w:p w:rsidR="00D53C4B" w:rsidRPr="00D53C4B" w:rsidRDefault="00D53C4B" w:rsidP="000D406F">
            <w:pPr>
              <w:rPr>
                <w:lang w:val="fr-CA"/>
              </w:rPr>
            </w:pPr>
            <w:r w:rsidRPr="00D53C4B">
              <w:rPr>
                <w:lang w:val="fr-CA"/>
              </w:rPr>
              <w:t>Le juge Brown (avec l’accord de la juge en chef McLachlin et des juges Moldaver, Karakatsanis, Wagner, Gascon et Côté)</w:t>
            </w:r>
          </w:p>
        </w:tc>
      </w:tr>
    </w:tbl>
    <w:p w:rsidR="00D53C4B" w:rsidRPr="00D53C4B" w:rsidRDefault="00D53C4B" w:rsidP="00D53C4B">
      <w:pPr>
        <w:rPr>
          <w:lang w:val="fr-CA"/>
        </w:rPr>
      </w:pPr>
    </w:p>
    <w:p w:rsidR="00D53C4B" w:rsidRPr="00D53C4B" w:rsidRDefault="00D53C4B" w:rsidP="00D53C4B">
      <w:pPr>
        <w:rPr>
          <w:lang w:val="fr-CA"/>
        </w:rPr>
      </w:pPr>
      <w:r>
        <w:rPr>
          <w:noProof/>
          <w:lang w:val="en-US"/>
        </w:rPr>
        <mc:AlternateContent>
          <mc:Choice Requires="wps">
            <w:drawing>
              <wp:anchor distT="0" distB="0" distL="114300" distR="114300" simplePos="0" relativeHeight="251659264" behindDoc="0" locked="0" layoutInCell="1" allowOverlap="1" wp14:anchorId="719595C2" wp14:editId="129F32A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0FB3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53C4B" w:rsidRPr="00D53C4B" w:rsidRDefault="00D53C4B" w:rsidP="00BF1D7F">
      <w:pPr>
        <w:widowControl w:val="0"/>
        <w:spacing w:after="720"/>
        <w:jc w:val="both"/>
        <w:rPr>
          <w:lang w:val="fr-CA"/>
        </w:rPr>
      </w:pPr>
    </w:p>
    <w:p w:rsidR="004D7D95" w:rsidRPr="006E5D53" w:rsidRDefault="006E5D53" w:rsidP="00BF1D7F">
      <w:pPr>
        <w:widowControl w:val="0"/>
        <w:spacing w:after="720"/>
        <w:jc w:val="both"/>
        <w:rPr>
          <w:lang w:val="en-US"/>
        </w:rPr>
      </w:pPr>
      <w:r w:rsidRPr="006E5D53">
        <w:rPr>
          <w:lang w:val="en-US"/>
        </w:rPr>
        <w:t>N</w:t>
      </w:r>
      <w:r w:rsidR="004D7D95" w:rsidRPr="006E5D53">
        <w:rPr>
          <w:lang w:val="en-US"/>
        </w:rPr>
        <w:t>elson</w:t>
      </w:r>
      <w:r w:rsidR="00207AFD" w:rsidRPr="006E5D53">
        <w:rPr>
          <w:lang w:val="en-US"/>
        </w:rPr>
        <w:t xml:space="preserve"> (</w:t>
      </w:r>
      <w:r w:rsidRPr="006E5D53">
        <w:rPr>
          <w:lang w:val="en-US"/>
        </w:rPr>
        <w:t>C</w:t>
      </w:r>
      <w:r w:rsidR="007015B2" w:rsidRPr="006E5D53">
        <w:rPr>
          <w:lang w:val="en-US"/>
        </w:rPr>
        <w:t>ity</w:t>
      </w:r>
      <w:r w:rsidR="00207AFD" w:rsidRPr="006E5D53">
        <w:rPr>
          <w:lang w:val="en-US"/>
        </w:rPr>
        <w:t>)</w:t>
      </w:r>
      <w:r w:rsidR="004D7D95" w:rsidRPr="006E5D53">
        <w:rPr>
          <w:lang w:val="en-US"/>
        </w:rPr>
        <w:t xml:space="preserve"> </w:t>
      </w:r>
      <w:r w:rsidR="00142210" w:rsidRPr="006E5D53">
        <w:rPr>
          <w:i/>
          <w:lang w:val="en-US"/>
        </w:rPr>
        <w:t>c</w:t>
      </w:r>
      <w:r w:rsidR="004D7D95" w:rsidRPr="006E5D53">
        <w:rPr>
          <w:i/>
          <w:lang w:val="en-US"/>
        </w:rPr>
        <w:t>.</w:t>
      </w:r>
      <w:r w:rsidR="004D7D95" w:rsidRPr="006E5D53">
        <w:rPr>
          <w:lang w:val="en-US"/>
        </w:rPr>
        <w:t xml:space="preserve"> </w:t>
      </w:r>
      <w:r w:rsidRPr="006E5D53">
        <w:rPr>
          <w:lang w:val="en-US"/>
        </w:rPr>
        <w:t>M</w:t>
      </w:r>
      <w:r w:rsidR="004D7D95" w:rsidRPr="006E5D53">
        <w:rPr>
          <w:lang w:val="en-US"/>
        </w:rPr>
        <w:t>owatt</w:t>
      </w:r>
      <w:r>
        <w:rPr>
          <w:lang w:val="en-US"/>
        </w:rPr>
        <w:t xml:space="preserve">, </w:t>
      </w:r>
      <w:r w:rsidRPr="00416B10">
        <w:rPr>
          <w:lang w:val="en-US"/>
        </w:rPr>
        <w:t>2017 CSC 8</w:t>
      </w:r>
      <w:r>
        <w:rPr>
          <w:lang w:val="en-US"/>
        </w:rPr>
        <w:t>, [2017] 1 R.C.S. 138</w:t>
      </w:r>
    </w:p>
    <w:p w:rsidR="005D018A" w:rsidRPr="00416B10" w:rsidRDefault="00207AFD" w:rsidP="00BF1D7F">
      <w:pPr>
        <w:pStyle w:val="SCCLsocLastPartyInRole"/>
        <w:widowControl w:val="0"/>
        <w:rPr>
          <w:lang w:val="en-US"/>
        </w:rPr>
      </w:pPr>
      <w:r w:rsidRPr="00416B10">
        <w:rPr>
          <w:lang w:val="en-US"/>
        </w:rPr>
        <w:t>Corporation of the City of Nelson</w:t>
      </w:r>
      <w:r w:rsidRPr="00416B10">
        <w:rPr>
          <w:rStyle w:val="SCCLsocPartyRole"/>
          <w:lang w:val="en-US"/>
        </w:rPr>
        <w:tab/>
        <w:t>Appelante</w:t>
      </w:r>
    </w:p>
    <w:p w:rsidR="005D018A" w:rsidRPr="00416B10" w:rsidRDefault="00207AFD" w:rsidP="00BF1D7F">
      <w:pPr>
        <w:pStyle w:val="SCCLsocVersus"/>
        <w:widowControl w:val="0"/>
        <w:rPr>
          <w:lang w:val="en-US"/>
        </w:rPr>
      </w:pPr>
      <w:r w:rsidRPr="00416B10">
        <w:rPr>
          <w:lang w:val="en-US"/>
        </w:rPr>
        <w:lastRenderedPageBreak/>
        <w:t>c.</w:t>
      </w:r>
    </w:p>
    <w:p w:rsidR="005D018A" w:rsidRPr="00416B10" w:rsidRDefault="00207AFD" w:rsidP="00BF1D7F">
      <w:pPr>
        <w:pStyle w:val="SCCLsocParty"/>
        <w:widowControl w:val="0"/>
        <w:rPr>
          <w:lang w:val="en-US"/>
        </w:rPr>
      </w:pPr>
      <w:r w:rsidRPr="00416B10">
        <w:rPr>
          <w:lang w:val="en-US"/>
        </w:rPr>
        <w:t xml:space="preserve">Mary Geraldine Mowatt et </w:t>
      </w:r>
    </w:p>
    <w:p w:rsidR="005D018A" w:rsidRPr="00416B10" w:rsidRDefault="00207AFD" w:rsidP="00BF1D7F">
      <w:pPr>
        <w:pStyle w:val="SCCLsocLastPartyInRole"/>
        <w:widowControl w:val="0"/>
        <w:rPr>
          <w:lang w:val="en-US"/>
        </w:rPr>
      </w:pPr>
      <w:r w:rsidRPr="00416B10">
        <w:rPr>
          <w:lang w:val="en-US"/>
        </w:rPr>
        <w:t>Earl Wayne Mowatt</w:t>
      </w:r>
      <w:r w:rsidRPr="00416B10">
        <w:rPr>
          <w:rStyle w:val="SCCLsocPartyRole"/>
          <w:lang w:val="en-US"/>
        </w:rPr>
        <w:tab/>
        <w:t>Intimés</w:t>
      </w:r>
    </w:p>
    <w:p w:rsidR="005D018A" w:rsidRPr="00416B10" w:rsidRDefault="00207AFD" w:rsidP="00BF1D7F">
      <w:pPr>
        <w:pStyle w:val="SCCLsocOtherPartySeparator"/>
        <w:widowControl w:val="0"/>
        <w:rPr>
          <w:lang w:val="fr-CA"/>
        </w:rPr>
      </w:pPr>
      <w:r w:rsidRPr="00416B10">
        <w:rPr>
          <w:lang w:val="fr-CA"/>
        </w:rPr>
        <w:t>et</w:t>
      </w:r>
    </w:p>
    <w:p w:rsidR="005D018A" w:rsidRPr="00416B10" w:rsidRDefault="00207AFD" w:rsidP="00BF1D7F">
      <w:pPr>
        <w:pStyle w:val="SCCLsocLastPartyInRole"/>
        <w:widowControl w:val="0"/>
        <w:rPr>
          <w:lang w:val="fr-CA"/>
        </w:rPr>
      </w:pPr>
      <w:r w:rsidRPr="00416B10">
        <w:rPr>
          <w:lang w:val="fr-CA"/>
        </w:rPr>
        <w:t>Procureur général de la Colombie</w:t>
      </w:r>
      <w:r w:rsidR="00416B10">
        <w:rPr>
          <w:lang w:val="fr-CA"/>
        </w:rPr>
        <w:noBreakHyphen/>
      </w:r>
      <w:r w:rsidRPr="00416B10">
        <w:rPr>
          <w:lang w:val="fr-CA"/>
        </w:rPr>
        <w:t>Britannique</w:t>
      </w:r>
      <w:r w:rsidRPr="00416B10">
        <w:rPr>
          <w:rStyle w:val="SCCLsocPartyRole"/>
          <w:lang w:val="fr-CA"/>
        </w:rPr>
        <w:tab/>
        <w:t>Intervenant</w:t>
      </w:r>
    </w:p>
    <w:p w:rsidR="004D7D95" w:rsidRPr="00416B10" w:rsidRDefault="004D7D95" w:rsidP="00BF1D7F">
      <w:pPr>
        <w:widowControl w:val="0"/>
        <w:spacing w:after="720"/>
        <w:jc w:val="both"/>
        <w:rPr>
          <w:b/>
          <w:lang w:val="en-US"/>
        </w:rPr>
      </w:pPr>
      <w:r w:rsidRPr="00416B10">
        <w:rPr>
          <w:b/>
          <w:lang w:val="en-US"/>
        </w:rPr>
        <w:t>Répertorié</w:t>
      </w:r>
      <w:r w:rsidR="00416B10">
        <w:rPr>
          <w:b/>
          <w:lang w:val="en-US"/>
        </w:rPr>
        <w:t> :</w:t>
      </w:r>
      <w:r w:rsidRPr="00416B10">
        <w:rPr>
          <w:b/>
          <w:lang w:val="en-US"/>
        </w:rPr>
        <w:t> Nelson</w:t>
      </w:r>
      <w:r w:rsidR="00207AFD" w:rsidRPr="00416B10">
        <w:rPr>
          <w:b/>
          <w:lang w:val="en-US"/>
        </w:rPr>
        <w:t xml:space="preserve"> (</w:t>
      </w:r>
      <w:r w:rsidR="007015B2" w:rsidRPr="00416B10">
        <w:rPr>
          <w:b/>
          <w:lang w:val="en-US"/>
        </w:rPr>
        <w:t>City</w:t>
      </w:r>
      <w:r w:rsidR="00207AFD" w:rsidRPr="00416B10">
        <w:rPr>
          <w:b/>
          <w:lang w:val="en-US"/>
        </w:rPr>
        <w:t>)</w:t>
      </w:r>
      <w:r w:rsidRPr="00416B10">
        <w:rPr>
          <w:b/>
          <w:lang w:val="en-US"/>
        </w:rPr>
        <w:t xml:space="preserve"> </w:t>
      </w:r>
      <w:r w:rsidRPr="00416B10">
        <w:rPr>
          <w:b/>
          <w:i/>
          <w:lang w:val="en-US"/>
        </w:rPr>
        <w:t>c.</w:t>
      </w:r>
      <w:r w:rsidRPr="00416B10">
        <w:rPr>
          <w:b/>
          <w:lang w:val="en-US"/>
        </w:rPr>
        <w:t xml:space="preserve"> Mowatt</w:t>
      </w:r>
    </w:p>
    <w:p w:rsidR="004D7D95" w:rsidRPr="00416B10" w:rsidRDefault="00D17B0E" w:rsidP="00BF1D7F">
      <w:pPr>
        <w:pStyle w:val="SCCSystemYear"/>
        <w:widowControl w:val="0"/>
        <w:spacing w:after="720"/>
        <w:jc w:val="both"/>
        <w:rPr>
          <w:lang w:val="en-US"/>
        </w:rPr>
      </w:pPr>
      <w:r w:rsidRPr="00416B10">
        <w:rPr>
          <w:lang w:val="en-US"/>
        </w:rPr>
        <w:t>201</w:t>
      </w:r>
      <w:r w:rsidR="00F37F5C" w:rsidRPr="00416B10">
        <w:rPr>
          <w:lang w:val="en-US"/>
        </w:rPr>
        <w:t>7</w:t>
      </w:r>
      <w:r w:rsidR="004D7D95" w:rsidRPr="00416B10">
        <w:rPr>
          <w:lang w:val="en-US"/>
        </w:rPr>
        <w:t xml:space="preserve"> CSC </w:t>
      </w:r>
      <w:r w:rsidR="00D72035" w:rsidRPr="00416B10">
        <w:rPr>
          <w:lang w:val="en-US"/>
        </w:rPr>
        <w:t>8</w:t>
      </w:r>
    </w:p>
    <w:p w:rsidR="004D7D95" w:rsidRPr="00416B10" w:rsidRDefault="004D7D95" w:rsidP="00BF1D7F">
      <w:pPr>
        <w:widowControl w:val="0"/>
        <w:spacing w:after="720"/>
        <w:jc w:val="both"/>
        <w:rPr>
          <w:lang w:val="fr-CA"/>
        </w:rPr>
      </w:pPr>
      <w:r w:rsidRPr="00416B10">
        <w:rPr>
          <w:lang w:val="fr-CA"/>
        </w:rPr>
        <w:t>N</w:t>
      </w:r>
      <w:r w:rsidRPr="00416B10">
        <w:rPr>
          <w:vertAlign w:val="superscript"/>
          <w:lang w:val="fr-CA"/>
        </w:rPr>
        <w:t>o</w:t>
      </w:r>
      <w:r w:rsidRPr="00416B10">
        <w:rPr>
          <w:lang w:val="fr-CA"/>
        </w:rPr>
        <w:t xml:space="preserve"> du greffe</w:t>
      </w:r>
      <w:r w:rsidR="00416B10">
        <w:rPr>
          <w:lang w:val="fr-CA"/>
        </w:rPr>
        <w:t> :</w:t>
      </w:r>
      <w:r w:rsidRPr="00416B10">
        <w:rPr>
          <w:lang w:val="fr-CA"/>
        </w:rPr>
        <w:t> 36999.</w:t>
      </w:r>
    </w:p>
    <w:p w:rsidR="004D7D95" w:rsidRPr="00416B10" w:rsidRDefault="00D17B0E" w:rsidP="00BF1D7F">
      <w:pPr>
        <w:widowControl w:val="0"/>
        <w:spacing w:after="720"/>
        <w:jc w:val="both"/>
        <w:rPr>
          <w:lang w:val="fr-CA"/>
        </w:rPr>
      </w:pPr>
      <w:r w:rsidRPr="00416B10">
        <w:rPr>
          <w:lang w:val="fr-CA"/>
        </w:rPr>
        <w:t>2016</w:t>
      </w:r>
      <w:r w:rsidR="00416B10">
        <w:rPr>
          <w:lang w:val="fr-CA"/>
        </w:rPr>
        <w:t> :</w:t>
      </w:r>
      <w:r w:rsidR="00207AFD" w:rsidRPr="00416B10">
        <w:rPr>
          <w:lang w:val="fr-CA"/>
        </w:rPr>
        <w:t> </w:t>
      </w:r>
      <w:r w:rsidRPr="00416B10">
        <w:rPr>
          <w:lang w:val="fr-CA"/>
        </w:rPr>
        <w:t>7</w:t>
      </w:r>
      <w:r w:rsidR="00194CE2" w:rsidRPr="00416B10">
        <w:rPr>
          <w:lang w:val="fr-CA"/>
        </w:rPr>
        <w:t> </w:t>
      </w:r>
      <w:r w:rsidRPr="00416B10">
        <w:rPr>
          <w:lang w:val="fr-CA"/>
        </w:rPr>
        <w:t>octobre</w:t>
      </w:r>
      <w:r w:rsidR="004D7D95" w:rsidRPr="00416B10">
        <w:rPr>
          <w:lang w:val="fr-CA"/>
        </w:rPr>
        <w:t xml:space="preserve">; </w:t>
      </w:r>
      <w:r w:rsidR="00F40ECB" w:rsidRPr="00416B10">
        <w:rPr>
          <w:lang w:val="fr-CA"/>
        </w:rPr>
        <w:t>2017</w:t>
      </w:r>
      <w:r w:rsidR="00416B10">
        <w:rPr>
          <w:lang w:val="fr-CA"/>
        </w:rPr>
        <w:t> :</w:t>
      </w:r>
      <w:r w:rsidR="007E5E4E">
        <w:rPr>
          <w:lang w:val="fr-CA"/>
        </w:rPr>
        <w:t> </w:t>
      </w:r>
      <w:r w:rsidR="00F40ECB" w:rsidRPr="00416B10">
        <w:rPr>
          <w:lang w:val="fr-CA"/>
        </w:rPr>
        <w:t>17</w:t>
      </w:r>
      <w:r w:rsidR="007E5E4E">
        <w:rPr>
          <w:lang w:val="fr-CA"/>
        </w:rPr>
        <w:t> </w:t>
      </w:r>
      <w:r w:rsidR="00F40ECB" w:rsidRPr="00416B10">
        <w:rPr>
          <w:lang w:val="fr-CA"/>
        </w:rPr>
        <w:t>février.</w:t>
      </w:r>
    </w:p>
    <w:p w:rsidR="004D7D95" w:rsidRPr="00416B10" w:rsidRDefault="004D7D95" w:rsidP="00BF1D7F">
      <w:pPr>
        <w:widowControl w:val="0"/>
        <w:spacing w:after="720"/>
        <w:jc w:val="both"/>
        <w:rPr>
          <w:lang w:val="fr-CA"/>
        </w:rPr>
      </w:pPr>
      <w:r w:rsidRPr="00416B10">
        <w:rPr>
          <w:lang w:val="fr-CA"/>
        </w:rPr>
        <w:t>Présents</w:t>
      </w:r>
      <w:r w:rsidR="00416B10">
        <w:rPr>
          <w:lang w:val="fr-CA"/>
        </w:rPr>
        <w:t> :</w:t>
      </w:r>
      <w:r w:rsidRPr="00416B10">
        <w:rPr>
          <w:lang w:val="fr-CA"/>
        </w:rPr>
        <w:t> La juge en chef McLachlin et les juges Moldaver, Karakatsanis, Wagner, Gascon, Côté et Brown.</w:t>
      </w:r>
    </w:p>
    <w:p w:rsidR="004D7D95" w:rsidRPr="00416B10" w:rsidRDefault="004D7D95" w:rsidP="00BF1D7F">
      <w:pPr>
        <w:widowControl w:val="0"/>
        <w:spacing w:after="720"/>
        <w:jc w:val="both"/>
        <w:rPr>
          <w:smallCaps/>
          <w:lang w:val="fr-CA"/>
        </w:rPr>
      </w:pPr>
      <w:r w:rsidRPr="00416B10">
        <w:rPr>
          <w:smallCaps/>
          <w:lang w:val="fr-CA"/>
        </w:rPr>
        <w:t>en appel de la cour d</w:t>
      </w:r>
      <w:r w:rsidR="007E5E4E">
        <w:rPr>
          <w:smallCaps/>
          <w:lang w:val="fr-CA"/>
        </w:rPr>
        <w:t>’</w:t>
      </w:r>
      <w:r w:rsidRPr="00416B10">
        <w:rPr>
          <w:smallCaps/>
          <w:lang w:val="fr-CA"/>
        </w:rPr>
        <w:t>appel de la colombie</w:t>
      </w:r>
      <w:r w:rsidR="00416B10">
        <w:rPr>
          <w:smallCaps/>
          <w:lang w:val="fr-CA"/>
        </w:rPr>
        <w:noBreakHyphen/>
      </w:r>
      <w:r w:rsidRPr="00416B10">
        <w:rPr>
          <w:smallCaps/>
          <w:lang w:val="fr-CA"/>
        </w:rPr>
        <w:t>britannique</w:t>
      </w:r>
    </w:p>
    <w:p w:rsidR="00B93FF5" w:rsidRPr="00416B10" w:rsidRDefault="004D7D95" w:rsidP="00BF1D7F">
      <w:pPr>
        <w:pStyle w:val="SCCNormalDoubleSpacing"/>
        <w:widowControl w:val="0"/>
        <w:spacing w:before="480" w:after="480"/>
        <w:rPr>
          <w:lang w:val="fr-CA"/>
        </w:rPr>
      </w:pPr>
      <w:r w:rsidRPr="00416B10">
        <w:rPr>
          <w:lang w:val="fr-CA"/>
        </w:rPr>
        <w:tab/>
      </w:r>
      <w:r w:rsidR="00B93FF5" w:rsidRPr="00416B10">
        <w:rPr>
          <w:i/>
          <w:lang w:val="fr-CA"/>
        </w:rPr>
        <w:t xml:space="preserve">Biens — </w:t>
      </w:r>
      <w:r w:rsidR="00B534F5">
        <w:rPr>
          <w:i/>
          <w:lang w:val="fr-CA"/>
        </w:rPr>
        <w:t>Biens réels</w:t>
      </w:r>
      <w:r w:rsidR="00B93FF5" w:rsidRPr="00416B10">
        <w:rPr>
          <w:i/>
          <w:lang w:val="fr-CA"/>
        </w:rPr>
        <w:t xml:space="preserve"> — Possession adversative — Éléments exigés — Occupants successifs — Allégation par les possesseurs d</w:t>
      </w:r>
      <w:r w:rsidR="007E5E4E">
        <w:rPr>
          <w:i/>
          <w:lang w:val="fr-CA"/>
        </w:rPr>
        <w:t>’</w:t>
      </w:r>
      <w:r w:rsidR="00B93FF5" w:rsidRPr="00416B10">
        <w:rPr>
          <w:i/>
          <w:lang w:val="fr-CA"/>
        </w:rPr>
        <w:t>un bien</w:t>
      </w:r>
      <w:r w:rsidR="00416B10">
        <w:rPr>
          <w:i/>
          <w:lang w:val="fr-CA"/>
        </w:rPr>
        <w:noBreakHyphen/>
      </w:r>
      <w:r w:rsidR="00B93FF5" w:rsidRPr="00416B10">
        <w:rPr>
          <w:i/>
          <w:lang w:val="fr-CA"/>
        </w:rPr>
        <w:t>fonds que leurs prédécesseurs avaient acquis le lot en litige par possession adversative</w:t>
      </w:r>
      <w:r w:rsidR="00BF0D9B" w:rsidRPr="00416B10">
        <w:rPr>
          <w:i/>
          <w:lang w:val="fr-CA"/>
        </w:rPr>
        <w:t xml:space="preserve"> et sol</w:t>
      </w:r>
      <w:r w:rsidR="004D0D80" w:rsidRPr="00416B10">
        <w:rPr>
          <w:i/>
          <w:lang w:val="fr-CA"/>
        </w:rPr>
        <w:t>l</w:t>
      </w:r>
      <w:r w:rsidR="00BF0D9B" w:rsidRPr="00416B10">
        <w:rPr>
          <w:i/>
          <w:lang w:val="fr-CA"/>
        </w:rPr>
        <w:t>icitation de leur part d</w:t>
      </w:r>
      <w:r w:rsidR="007E5E4E">
        <w:rPr>
          <w:i/>
          <w:lang w:val="fr-CA"/>
        </w:rPr>
        <w:t>’</w:t>
      </w:r>
      <w:r w:rsidR="00BF0D9B" w:rsidRPr="00416B10">
        <w:rPr>
          <w:i/>
          <w:lang w:val="fr-CA"/>
        </w:rPr>
        <w:t xml:space="preserve">une </w:t>
      </w:r>
      <w:r w:rsidR="004D0D80" w:rsidRPr="00416B10">
        <w:rPr>
          <w:i/>
          <w:lang w:val="fr-CA"/>
        </w:rPr>
        <w:t>déclaration</w:t>
      </w:r>
      <w:r w:rsidR="00BF0D9B" w:rsidRPr="00416B10">
        <w:rPr>
          <w:i/>
          <w:lang w:val="fr-CA"/>
        </w:rPr>
        <w:t xml:space="preserve"> attestant de leur statut de propriétaire du lot </w:t>
      </w:r>
      <w:r w:rsidR="00B93FF5" w:rsidRPr="00416B10">
        <w:rPr>
          <w:i/>
          <w:lang w:val="fr-CA"/>
        </w:rPr>
        <w:t xml:space="preserve">— </w:t>
      </w:r>
      <w:r w:rsidR="004D0D80" w:rsidRPr="00416B10">
        <w:rPr>
          <w:i/>
          <w:lang w:val="fr-CA"/>
        </w:rPr>
        <w:t>Lacune</w:t>
      </w:r>
      <w:r w:rsidR="00BF0D9B" w:rsidRPr="00416B10">
        <w:rPr>
          <w:i/>
          <w:lang w:val="fr-CA"/>
        </w:rPr>
        <w:t xml:space="preserve"> </w:t>
      </w:r>
      <w:r w:rsidR="00BF0D9B" w:rsidRPr="00416B10">
        <w:rPr>
          <w:i/>
          <w:lang w:val="fr-CA"/>
        </w:rPr>
        <w:lastRenderedPageBreak/>
        <w:t>dans la preuve quant à quatre années d</w:t>
      </w:r>
      <w:r w:rsidR="007E5E4E">
        <w:rPr>
          <w:i/>
          <w:lang w:val="fr-CA"/>
        </w:rPr>
        <w:t>’</w:t>
      </w:r>
      <w:r w:rsidR="00BF0D9B" w:rsidRPr="00416B10">
        <w:rPr>
          <w:i/>
          <w:lang w:val="fr-CA"/>
        </w:rPr>
        <w:t xml:space="preserve">interruption de la </w:t>
      </w:r>
      <w:r w:rsidR="0073736F" w:rsidRPr="00416B10">
        <w:rPr>
          <w:i/>
          <w:lang w:val="fr-CA"/>
        </w:rPr>
        <w:t xml:space="preserve">continuité de la </w:t>
      </w:r>
      <w:r w:rsidR="00BF0D9B" w:rsidRPr="00416B10">
        <w:rPr>
          <w:i/>
          <w:lang w:val="fr-CA"/>
        </w:rPr>
        <w:t xml:space="preserve">possession adversative selon le juge en cabinet </w:t>
      </w:r>
      <w:r w:rsidR="00B93FF5" w:rsidRPr="00416B10">
        <w:rPr>
          <w:i/>
          <w:lang w:val="fr-CA"/>
        </w:rPr>
        <w:t xml:space="preserve">— </w:t>
      </w:r>
      <w:r w:rsidR="00BF0D9B" w:rsidRPr="00416B10">
        <w:rPr>
          <w:i/>
          <w:lang w:val="fr-CA"/>
        </w:rPr>
        <w:t>La preuve présentée au juge en cabinet était</w:t>
      </w:r>
      <w:r w:rsidR="00416B10">
        <w:rPr>
          <w:i/>
          <w:lang w:val="fr-CA"/>
        </w:rPr>
        <w:noBreakHyphen/>
      </w:r>
      <w:r w:rsidR="00BF0D9B" w:rsidRPr="00416B10">
        <w:rPr>
          <w:i/>
          <w:lang w:val="fr-CA"/>
        </w:rPr>
        <w:t>elle suffisante pour pal</w:t>
      </w:r>
      <w:r w:rsidR="00E40553" w:rsidRPr="00416B10">
        <w:rPr>
          <w:i/>
          <w:lang w:val="fr-CA"/>
        </w:rPr>
        <w:t>li</w:t>
      </w:r>
      <w:r w:rsidR="00B938ED">
        <w:rPr>
          <w:i/>
          <w:lang w:val="fr-CA"/>
        </w:rPr>
        <w:t>er la lacune de la preuve</w:t>
      </w:r>
      <w:r w:rsidR="00BF0D9B" w:rsidRPr="00416B10">
        <w:rPr>
          <w:i/>
          <w:lang w:val="fr-CA"/>
        </w:rPr>
        <w:t xml:space="preserve">? </w:t>
      </w:r>
      <w:r w:rsidR="00B93FF5" w:rsidRPr="00416B10">
        <w:rPr>
          <w:i/>
          <w:lang w:val="fr-CA"/>
        </w:rPr>
        <w:t xml:space="preserve">— </w:t>
      </w:r>
      <w:r w:rsidR="00BF0D9B" w:rsidRPr="00416B10">
        <w:rPr>
          <w:i/>
          <w:lang w:val="fr-CA"/>
        </w:rPr>
        <w:t>La Cour d</w:t>
      </w:r>
      <w:r w:rsidR="007E5E4E">
        <w:rPr>
          <w:i/>
          <w:lang w:val="fr-CA"/>
        </w:rPr>
        <w:t>’</w:t>
      </w:r>
      <w:r w:rsidR="00BF0D9B" w:rsidRPr="00416B10">
        <w:rPr>
          <w:i/>
          <w:lang w:val="fr-CA"/>
        </w:rPr>
        <w:t>appel a</w:t>
      </w:r>
      <w:r w:rsidR="00416B10">
        <w:rPr>
          <w:i/>
          <w:lang w:val="fr-CA"/>
        </w:rPr>
        <w:noBreakHyphen/>
      </w:r>
      <w:r w:rsidR="00BF0D9B" w:rsidRPr="00416B10">
        <w:rPr>
          <w:i/>
          <w:lang w:val="fr-CA"/>
        </w:rPr>
        <w:t>t</w:t>
      </w:r>
      <w:r w:rsidR="00416B10">
        <w:rPr>
          <w:i/>
          <w:lang w:val="fr-CA"/>
        </w:rPr>
        <w:noBreakHyphen/>
      </w:r>
      <w:r w:rsidR="00BF0D9B" w:rsidRPr="00416B10">
        <w:rPr>
          <w:i/>
          <w:lang w:val="fr-CA"/>
        </w:rPr>
        <w:t>elle commis une erreur en substitu</w:t>
      </w:r>
      <w:r w:rsidR="00E40553" w:rsidRPr="00416B10">
        <w:rPr>
          <w:i/>
          <w:lang w:val="fr-CA"/>
        </w:rPr>
        <w:t>a</w:t>
      </w:r>
      <w:r w:rsidR="00BF0D9B" w:rsidRPr="00416B10">
        <w:rPr>
          <w:i/>
          <w:lang w:val="fr-CA"/>
        </w:rPr>
        <w:t>nt ses propres conclusions de fai</w:t>
      </w:r>
      <w:r w:rsidR="00B938ED">
        <w:rPr>
          <w:i/>
          <w:lang w:val="fr-CA"/>
        </w:rPr>
        <w:t>t</w:t>
      </w:r>
      <w:r w:rsidR="00BF0D9B" w:rsidRPr="00416B10">
        <w:rPr>
          <w:i/>
          <w:lang w:val="fr-CA"/>
        </w:rPr>
        <w:t xml:space="preserve"> à celles qu</w:t>
      </w:r>
      <w:r w:rsidR="007E5E4E">
        <w:rPr>
          <w:i/>
          <w:lang w:val="fr-CA"/>
        </w:rPr>
        <w:t>’</w:t>
      </w:r>
      <w:r w:rsidR="00BF0D9B" w:rsidRPr="00416B10">
        <w:rPr>
          <w:i/>
          <w:lang w:val="fr-CA"/>
        </w:rPr>
        <w:t xml:space="preserve">a </w:t>
      </w:r>
      <w:r w:rsidR="004D0D80" w:rsidRPr="00416B10">
        <w:rPr>
          <w:i/>
          <w:lang w:val="fr-CA"/>
        </w:rPr>
        <w:t xml:space="preserve">correctement </w:t>
      </w:r>
      <w:r w:rsidR="00BF0D9B" w:rsidRPr="00416B10">
        <w:rPr>
          <w:i/>
          <w:lang w:val="fr-CA"/>
        </w:rPr>
        <w:t>tiré</w:t>
      </w:r>
      <w:r w:rsidR="004D0D80" w:rsidRPr="00416B10">
        <w:rPr>
          <w:i/>
          <w:lang w:val="fr-CA"/>
        </w:rPr>
        <w:t>es</w:t>
      </w:r>
      <w:r w:rsidR="00B938ED">
        <w:rPr>
          <w:i/>
          <w:lang w:val="fr-CA"/>
        </w:rPr>
        <w:t xml:space="preserve"> le juge en cabinet</w:t>
      </w:r>
      <w:r w:rsidR="00BF0D9B" w:rsidRPr="00416B10">
        <w:rPr>
          <w:i/>
          <w:lang w:val="fr-CA"/>
        </w:rPr>
        <w:t xml:space="preserve">? </w:t>
      </w:r>
      <w:r w:rsidR="00B93FF5" w:rsidRPr="00416B10">
        <w:rPr>
          <w:i/>
          <w:lang w:val="fr-CA"/>
        </w:rPr>
        <w:t xml:space="preserve">— </w:t>
      </w:r>
      <w:r w:rsidR="00BF0D9B" w:rsidRPr="00416B10">
        <w:rPr>
          <w:i/>
          <w:lang w:val="fr-CA"/>
        </w:rPr>
        <w:t>L</w:t>
      </w:r>
      <w:r w:rsidR="007E5E4E">
        <w:rPr>
          <w:i/>
          <w:lang w:val="fr-CA"/>
        </w:rPr>
        <w:t>’</w:t>
      </w:r>
      <w:r w:rsidR="00BF0D9B" w:rsidRPr="00416B10">
        <w:rPr>
          <w:i/>
          <w:lang w:val="fr-CA"/>
        </w:rPr>
        <w:t>exigence de l</w:t>
      </w:r>
      <w:r w:rsidR="007E5E4E">
        <w:rPr>
          <w:i/>
          <w:lang w:val="fr-CA"/>
        </w:rPr>
        <w:t>’</w:t>
      </w:r>
      <w:r w:rsidR="00BF0D9B" w:rsidRPr="00416B10">
        <w:rPr>
          <w:i/>
          <w:lang w:val="fr-CA"/>
        </w:rPr>
        <w:t>usage incompatible fait</w:t>
      </w:r>
      <w:r w:rsidR="00416B10">
        <w:rPr>
          <w:i/>
          <w:lang w:val="fr-CA"/>
        </w:rPr>
        <w:noBreakHyphen/>
      </w:r>
      <w:r w:rsidR="00BF0D9B" w:rsidRPr="00416B10">
        <w:rPr>
          <w:i/>
          <w:lang w:val="fr-CA"/>
        </w:rPr>
        <w:t>elle partie du droit de la Colombie</w:t>
      </w:r>
      <w:r w:rsidR="00416B10">
        <w:rPr>
          <w:i/>
          <w:lang w:val="fr-CA"/>
        </w:rPr>
        <w:noBreakHyphen/>
      </w:r>
      <w:r w:rsidR="00B938ED">
        <w:rPr>
          <w:i/>
          <w:lang w:val="fr-CA"/>
        </w:rPr>
        <w:t>Britannique</w:t>
      </w:r>
      <w:r w:rsidR="00BF0D9B" w:rsidRPr="00416B10">
        <w:rPr>
          <w:i/>
          <w:lang w:val="fr-CA"/>
        </w:rPr>
        <w:t>?</w:t>
      </w:r>
    </w:p>
    <w:p w:rsidR="009A49FA" w:rsidRPr="00416B10" w:rsidRDefault="007E5E4E" w:rsidP="00BF1D7F">
      <w:pPr>
        <w:pStyle w:val="SCCNormalDoubleSpacing"/>
        <w:widowControl w:val="0"/>
        <w:spacing w:before="480" w:after="480"/>
        <w:rPr>
          <w:noProof/>
          <w:lang w:val="fr-CA"/>
        </w:rPr>
      </w:pPr>
      <w:r>
        <w:rPr>
          <w:lang w:val="fr-CA"/>
        </w:rPr>
        <w:tab/>
      </w:r>
      <w:r w:rsidR="009A49FA" w:rsidRPr="00416B10">
        <w:rPr>
          <w:lang w:val="fr-CA"/>
        </w:rPr>
        <w:t xml:space="preserve">Les </w:t>
      </w:r>
      <w:r w:rsidR="009A49FA" w:rsidRPr="00416B10">
        <w:rPr>
          <w:noProof/>
          <w:lang w:val="fr-CA"/>
        </w:rPr>
        <w:t>Mowatt revendiquent la propriété d</w:t>
      </w:r>
      <w:r>
        <w:rPr>
          <w:noProof/>
          <w:lang w:val="fr-CA"/>
        </w:rPr>
        <w:t>’</w:t>
      </w:r>
      <w:r w:rsidR="009A49FA" w:rsidRPr="00416B10">
        <w:rPr>
          <w:noProof/>
          <w:lang w:val="fr-CA"/>
        </w:rPr>
        <w:t>une parcelle de terrain située à Nelson en Colombie</w:t>
      </w:r>
      <w:r w:rsidR="00416B10">
        <w:rPr>
          <w:noProof/>
          <w:lang w:val="fr-CA"/>
        </w:rPr>
        <w:noBreakHyphen/>
      </w:r>
      <w:r w:rsidR="009A49FA" w:rsidRPr="00416B10">
        <w:rPr>
          <w:noProof/>
          <w:lang w:val="fr-CA"/>
        </w:rPr>
        <w:t>Britannique. Bien qu</w:t>
      </w:r>
      <w:r>
        <w:rPr>
          <w:noProof/>
          <w:lang w:val="fr-CA"/>
        </w:rPr>
        <w:t>’</w:t>
      </w:r>
      <w:r w:rsidR="009A49FA" w:rsidRPr="00416B10">
        <w:rPr>
          <w:noProof/>
          <w:lang w:val="fr-CA"/>
        </w:rPr>
        <w:t xml:space="preserve">ils aient pris possession de ce lot en 1992, leur revendication </w:t>
      </w:r>
      <w:r w:rsidR="004D0D80" w:rsidRPr="00416B10">
        <w:rPr>
          <w:noProof/>
          <w:lang w:val="fr-CA"/>
        </w:rPr>
        <w:t xml:space="preserve">est fondée </w:t>
      </w:r>
      <w:r w:rsidR="009A49FA" w:rsidRPr="00416B10">
        <w:rPr>
          <w:noProof/>
          <w:lang w:val="fr-CA"/>
        </w:rPr>
        <w:t>sur la possession adversative continue du bien</w:t>
      </w:r>
      <w:r w:rsidR="00416B10">
        <w:rPr>
          <w:noProof/>
          <w:lang w:val="fr-CA"/>
        </w:rPr>
        <w:noBreakHyphen/>
      </w:r>
      <w:r w:rsidR="009A49FA" w:rsidRPr="00416B10">
        <w:rPr>
          <w:noProof/>
          <w:lang w:val="fr-CA"/>
        </w:rPr>
        <w:t>fonds en question par trois familles, de façon successive, depuis le début du XX</w:t>
      </w:r>
      <w:r w:rsidR="009A49FA" w:rsidRPr="00416B10">
        <w:rPr>
          <w:noProof/>
          <w:vertAlign w:val="superscript"/>
          <w:lang w:val="fr-CA"/>
        </w:rPr>
        <w:t>e</w:t>
      </w:r>
      <w:r w:rsidR="009A49FA" w:rsidRPr="00416B10">
        <w:rPr>
          <w:noProof/>
          <w:lang w:val="fr-CA"/>
        </w:rPr>
        <w:t xml:space="preserve"> siècle. Afin de faire valoir cette revendication, les Mowatt ont intenté deux recours</w:t>
      </w:r>
      <w:r w:rsidR="00416B10">
        <w:rPr>
          <w:noProof/>
          <w:lang w:val="fr-CA"/>
        </w:rPr>
        <w:t> :</w:t>
      </w:r>
      <w:r w:rsidR="009A49FA" w:rsidRPr="00416B10">
        <w:rPr>
          <w:noProof/>
          <w:lang w:val="fr-CA"/>
        </w:rPr>
        <w:t xml:space="preserve"> une action en vue d</w:t>
      </w:r>
      <w:r>
        <w:rPr>
          <w:noProof/>
          <w:lang w:val="fr-CA"/>
        </w:rPr>
        <w:t>’</w:t>
      </w:r>
      <w:r w:rsidR="009A49FA" w:rsidRPr="00416B10">
        <w:rPr>
          <w:noProof/>
          <w:lang w:val="fr-CA"/>
        </w:rPr>
        <w:t>obtenir un jugement déclarant que la Couronne provinciale — qui détient le titre enregistré — n</w:t>
      </w:r>
      <w:r>
        <w:rPr>
          <w:noProof/>
          <w:lang w:val="fr-CA"/>
        </w:rPr>
        <w:t>’</w:t>
      </w:r>
      <w:r w:rsidR="009A49FA" w:rsidRPr="00416B10">
        <w:rPr>
          <w:noProof/>
          <w:lang w:val="fr-CA"/>
        </w:rPr>
        <w:t xml:space="preserve">est pas propriétaire du lot en litige et que, par conséquent, elle ne pouvait le transférer à la ville de Nelson, et une requête sollicitant, en vertu de la </w:t>
      </w:r>
      <w:r w:rsidR="009A49FA" w:rsidRPr="00416B10">
        <w:rPr>
          <w:i/>
          <w:noProof/>
          <w:lang w:val="fr-CA"/>
        </w:rPr>
        <w:t>Land Title Inquiry Act</w:t>
      </w:r>
      <w:r w:rsidR="009A49FA" w:rsidRPr="00416B10">
        <w:rPr>
          <w:noProof/>
          <w:lang w:val="fr-CA"/>
        </w:rPr>
        <w:t>, une enquête judiciaire au sujet de leur titre sur le lot en litige. Le juge en cabinet a accueilli la requête en procès sommaire de la ville de Nelson en vue de faire rejeter les deux recours, relevant une lacune de la preuve — c</w:t>
      </w:r>
      <w:r>
        <w:rPr>
          <w:noProof/>
          <w:lang w:val="fr-CA"/>
        </w:rPr>
        <w:t>’</w:t>
      </w:r>
      <w:r w:rsidR="009A49FA" w:rsidRPr="00416B10">
        <w:rPr>
          <w:noProof/>
          <w:lang w:val="fr-CA"/>
        </w:rPr>
        <w:t>est</w:t>
      </w:r>
      <w:r w:rsidR="00416B10">
        <w:rPr>
          <w:noProof/>
          <w:lang w:val="fr-CA"/>
        </w:rPr>
        <w:noBreakHyphen/>
      </w:r>
      <w:r w:rsidR="00E40553" w:rsidRPr="00416B10">
        <w:rPr>
          <w:noProof/>
          <w:lang w:val="fr-CA"/>
        </w:rPr>
        <w:t>à</w:t>
      </w:r>
      <w:r w:rsidR="00416B10">
        <w:rPr>
          <w:noProof/>
          <w:lang w:val="fr-CA"/>
        </w:rPr>
        <w:noBreakHyphen/>
      </w:r>
      <w:r w:rsidR="009A49FA" w:rsidRPr="00416B10">
        <w:rPr>
          <w:noProof/>
          <w:lang w:val="fr-CA"/>
        </w:rPr>
        <w:t>dire une interruption dans la continuité de la possession adversative depuis environ 1916 jusqu</w:t>
      </w:r>
      <w:r>
        <w:rPr>
          <w:noProof/>
          <w:lang w:val="fr-CA"/>
        </w:rPr>
        <w:t>’</w:t>
      </w:r>
      <w:r w:rsidR="009A49FA" w:rsidRPr="00416B10">
        <w:rPr>
          <w:noProof/>
          <w:lang w:val="fr-CA"/>
        </w:rPr>
        <w:t>en 1920.</w:t>
      </w:r>
      <w:r w:rsidR="0073736F" w:rsidRPr="00416B10">
        <w:rPr>
          <w:noProof/>
          <w:lang w:val="fr-CA"/>
        </w:rPr>
        <w:t xml:space="preserve"> La Cour d</w:t>
      </w:r>
      <w:r>
        <w:rPr>
          <w:noProof/>
          <w:lang w:val="fr-CA"/>
        </w:rPr>
        <w:t>’</w:t>
      </w:r>
      <w:r w:rsidR="0073736F" w:rsidRPr="00416B10">
        <w:rPr>
          <w:noProof/>
          <w:lang w:val="fr-CA"/>
        </w:rPr>
        <w:t>appel a infirmé cette décision, estimant que le juge en cabinet avait mal apprécié la preuve relative à l</w:t>
      </w:r>
      <w:r>
        <w:rPr>
          <w:noProof/>
          <w:lang w:val="fr-CA"/>
        </w:rPr>
        <w:t>’</w:t>
      </w:r>
      <w:r w:rsidR="0073736F" w:rsidRPr="00416B10">
        <w:rPr>
          <w:noProof/>
          <w:lang w:val="fr-CA"/>
        </w:rPr>
        <w:t>occupation continue et concluant que la possession adversative continue du lot en litige avait été établie à tout le moins pour la période allant de décembre 1909 à février 1923. La Cour d</w:t>
      </w:r>
      <w:r>
        <w:rPr>
          <w:noProof/>
          <w:lang w:val="fr-CA"/>
        </w:rPr>
        <w:t>’</w:t>
      </w:r>
      <w:r w:rsidR="0073736F" w:rsidRPr="00416B10">
        <w:rPr>
          <w:noProof/>
          <w:lang w:val="fr-CA"/>
        </w:rPr>
        <w:t xml:space="preserve">appel a également conclu </w:t>
      </w:r>
      <w:r w:rsidR="0073736F" w:rsidRPr="00416B10">
        <w:rPr>
          <w:noProof/>
          <w:lang w:val="fr-CA"/>
        </w:rPr>
        <w:lastRenderedPageBreak/>
        <w:t>que l</w:t>
      </w:r>
      <w:r>
        <w:rPr>
          <w:noProof/>
          <w:lang w:val="fr-CA"/>
        </w:rPr>
        <w:t>’</w:t>
      </w:r>
      <w:r w:rsidR="0073736F" w:rsidRPr="00416B10">
        <w:rPr>
          <w:noProof/>
          <w:lang w:val="fr-CA"/>
        </w:rPr>
        <w:t>absence d</w:t>
      </w:r>
      <w:r>
        <w:rPr>
          <w:noProof/>
          <w:lang w:val="fr-CA"/>
        </w:rPr>
        <w:t>’</w:t>
      </w:r>
      <w:r w:rsidR="0073736F" w:rsidRPr="00416B10">
        <w:rPr>
          <w:noProof/>
          <w:lang w:val="fr-CA"/>
        </w:rPr>
        <w:t>un enregistrement n</w:t>
      </w:r>
      <w:r>
        <w:rPr>
          <w:noProof/>
          <w:lang w:val="fr-CA"/>
        </w:rPr>
        <w:t>’</w:t>
      </w:r>
      <w:r w:rsidR="0073736F" w:rsidRPr="00416B10">
        <w:rPr>
          <w:noProof/>
          <w:lang w:val="fr-CA"/>
        </w:rPr>
        <w:t>empêchait pas le transfert aux Mowatt des droits que leur prédécesseur détenait quant au lot</w:t>
      </w:r>
      <w:r w:rsidR="004D0D80" w:rsidRPr="00416B10">
        <w:rPr>
          <w:noProof/>
          <w:lang w:val="fr-CA"/>
        </w:rPr>
        <w:t xml:space="preserve"> en litige</w:t>
      </w:r>
      <w:r w:rsidR="0073736F" w:rsidRPr="00416B10">
        <w:rPr>
          <w:noProof/>
          <w:lang w:val="fr-CA"/>
        </w:rPr>
        <w:t>, et que les règles de droit de la Colombie</w:t>
      </w:r>
      <w:r w:rsidR="00416B10">
        <w:rPr>
          <w:noProof/>
          <w:lang w:val="fr-CA"/>
        </w:rPr>
        <w:noBreakHyphen/>
      </w:r>
      <w:r w:rsidR="0073736F" w:rsidRPr="00416B10">
        <w:rPr>
          <w:noProof/>
          <w:lang w:val="fr-CA"/>
        </w:rPr>
        <w:t>Britannique n</w:t>
      </w:r>
      <w:r>
        <w:rPr>
          <w:noProof/>
          <w:lang w:val="fr-CA"/>
        </w:rPr>
        <w:t>’</w:t>
      </w:r>
      <w:r w:rsidR="0073736F" w:rsidRPr="00416B10">
        <w:rPr>
          <w:noProof/>
          <w:lang w:val="fr-CA"/>
        </w:rPr>
        <w:t>exigeaient pas qu</w:t>
      </w:r>
      <w:r>
        <w:rPr>
          <w:noProof/>
          <w:lang w:val="fr-CA"/>
        </w:rPr>
        <w:t>’</w:t>
      </w:r>
      <w:r w:rsidR="0073736F" w:rsidRPr="00416B10">
        <w:rPr>
          <w:noProof/>
          <w:lang w:val="fr-CA"/>
        </w:rPr>
        <w:t>ils établissent l</w:t>
      </w:r>
      <w:r>
        <w:rPr>
          <w:noProof/>
          <w:lang w:val="fr-CA"/>
        </w:rPr>
        <w:t>’</w:t>
      </w:r>
      <w:r w:rsidR="0073736F" w:rsidRPr="00416B10">
        <w:rPr>
          <w:noProof/>
          <w:lang w:val="fr-CA"/>
        </w:rPr>
        <w:t>incompatibilité de leur usage d</w:t>
      </w:r>
      <w:r w:rsidR="004D0D80" w:rsidRPr="00416B10">
        <w:rPr>
          <w:noProof/>
          <w:lang w:val="fr-CA"/>
        </w:rPr>
        <w:t>e ce</w:t>
      </w:r>
      <w:r w:rsidR="0073736F" w:rsidRPr="00416B10">
        <w:rPr>
          <w:noProof/>
          <w:lang w:val="fr-CA"/>
        </w:rPr>
        <w:t xml:space="preserve"> lot avec celui que comptait en faire son véritable propriétaire.</w:t>
      </w:r>
    </w:p>
    <w:p w:rsidR="00B93FF5" w:rsidRPr="00416B10" w:rsidRDefault="00B93FF5" w:rsidP="00BF1D7F">
      <w:pPr>
        <w:pStyle w:val="SCCNormalDoubleSpacing"/>
        <w:widowControl w:val="0"/>
        <w:spacing w:before="480" w:after="480"/>
        <w:rPr>
          <w:lang w:val="fr-CA"/>
        </w:rPr>
      </w:pPr>
      <w:r w:rsidRPr="00416B10">
        <w:rPr>
          <w:i/>
          <w:lang w:val="fr-CA"/>
        </w:rPr>
        <w:tab/>
      </w:r>
      <w:r w:rsidR="0073736F" w:rsidRPr="00416B10">
        <w:rPr>
          <w:i/>
          <w:lang w:val="fr-CA"/>
        </w:rPr>
        <w:t>Arrêt</w:t>
      </w:r>
      <w:r w:rsidR="00416B10">
        <w:rPr>
          <w:i/>
          <w:lang w:val="fr-CA"/>
        </w:rPr>
        <w:t> </w:t>
      </w:r>
      <w:r w:rsidR="00416B10" w:rsidRPr="00B938ED">
        <w:rPr>
          <w:lang w:val="fr-CA"/>
        </w:rPr>
        <w:t>:</w:t>
      </w:r>
      <w:r w:rsidRPr="00416B10">
        <w:rPr>
          <w:lang w:val="fr-CA"/>
        </w:rPr>
        <w:t xml:space="preserve"> </w:t>
      </w:r>
      <w:r w:rsidR="0073736F" w:rsidRPr="00416B10">
        <w:rPr>
          <w:lang w:val="fr-CA"/>
        </w:rPr>
        <w:t>L</w:t>
      </w:r>
      <w:r w:rsidR="007E5E4E">
        <w:rPr>
          <w:lang w:val="fr-CA"/>
        </w:rPr>
        <w:t>’</w:t>
      </w:r>
      <w:r w:rsidR="0073736F" w:rsidRPr="00416B10">
        <w:rPr>
          <w:lang w:val="fr-CA"/>
        </w:rPr>
        <w:t>appel est accueilli.</w:t>
      </w:r>
      <w:r w:rsidRPr="00416B10">
        <w:rPr>
          <w:lang w:val="fr-CA"/>
        </w:rPr>
        <w:t xml:space="preserve"> </w:t>
      </w:r>
    </w:p>
    <w:p w:rsidR="0073736F" w:rsidRPr="00416B10" w:rsidRDefault="0073736F" w:rsidP="00BF1D7F">
      <w:pPr>
        <w:pStyle w:val="SCCNormalDoubleSpacing"/>
        <w:widowControl w:val="0"/>
        <w:spacing w:before="480" w:after="480"/>
        <w:rPr>
          <w:lang w:val="fr-CA"/>
        </w:rPr>
      </w:pPr>
      <w:r w:rsidRPr="00416B10">
        <w:rPr>
          <w:lang w:val="fr-CA"/>
        </w:rPr>
        <w:tab/>
      </w:r>
      <w:r w:rsidRPr="00416B10">
        <w:rPr>
          <w:noProof/>
          <w:lang w:val="fr-CA"/>
        </w:rPr>
        <w:t>La possession adversative découle d</w:t>
      </w:r>
      <w:r w:rsidR="007E5E4E">
        <w:rPr>
          <w:noProof/>
          <w:lang w:val="fr-CA"/>
        </w:rPr>
        <w:t>’</w:t>
      </w:r>
      <w:r w:rsidRPr="00416B10">
        <w:rPr>
          <w:noProof/>
          <w:lang w:val="fr-CA"/>
        </w:rPr>
        <w:t>une règle de common law bien établie selon laquelle l</w:t>
      </w:r>
      <w:r w:rsidR="007E5E4E">
        <w:rPr>
          <w:noProof/>
          <w:lang w:val="fr-CA"/>
        </w:rPr>
        <w:t>’</w:t>
      </w:r>
      <w:r w:rsidRPr="00416B10">
        <w:rPr>
          <w:noProof/>
          <w:lang w:val="fr-CA"/>
        </w:rPr>
        <w:t>intrus qui a la possession d</w:t>
      </w:r>
      <w:r w:rsidR="007E5E4E">
        <w:rPr>
          <w:noProof/>
          <w:lang w:val="fr-CA"/>
        </w:rPr>
        <w:t>’</w:t>
      </w:r>
      <w:r w:rsidRPr="00416B10">
        <w:rPr>
          <w:noProof/>
          <w:lang w:val="fr-CA"/>
        </w:rPr>
        <w:t>un bien</w:t>
      </w:r>
      <w:r w:rsidR="00416B10">
        <w:rPr>
          <w:noProof/>
          <w:lang w:val="fr-CA"/>
        </w:rPr>
        <w:noBreakHyphen/>
      </w:r>
      <w:r w:rsidRPr="00416B10">
        <w:rPr>
          <w:noProof/>
          <w:lang w:val="fr-CA"/>
        </w:rPr>
        <w:t>fonds sans que celle</w:t>
      </w:r>
      <w:r w:rsidR="00416B10">
        <w:rPr>
          <w:noProof/>
          <w:lang w:val="fr-CA"/>
        </w:rPr>
        <w:noBreakHyphen/>
      </w:r>
      <w:r w:rsidRPr="00416B10">
        <w:rPr>
          <w:noProof/>
          <w:lang w:val="fr-CA"/>
        </w:rPr>
        <w:t>ci soit contestée pendant une période prescrite peut supplanter le possesseur précédent, habituellement le détenteur du titre enregistré. Pour satisfaire au test applicable afin d</w:t>
      </w:r>
      <w:r w:rsidR="007E5E4E">
        <w:rPr>
          <w:noProof/>
          <w:lang w:val="fr-CA"/>
        </w:rPr>
        <w:t>’</w:t>
      </w:r>
      <w:r w:rsidRPr="00416B10">
        <w:rPr>
          <w:noProof/>
          <w:lang w:val="fr-CA"/>
        </w:rPr>
        <w:t>établir la possession adversative, la possession doit être publique et notoire, adversative, exclusive, paisible, réelle et continue. Le possesseur adversatif qui a finalement gain de cause n</w:t>
      </w:r>
      <w:r w:rsidR="007E5E4E">
        <w:rPr>
          <w:noProof/>
          <w:lang w:val="fr-CA"/>
        </w:rPr>
        <w:t>’</w:t>
      </w:r>
      <w:r w:rsidRPr="00416B10">
        <w:rPr>
          <w:noProof/>
          <w:lang w:val="fr-CA"/>
        </w:rPr>
        <w:t>est pas toujours celui dont la conduite a commencé à faire courir le délai de prescription</w:t>
      </w:r>
      <w:r w:rsidR="007E5E4E">
        <w:rPr>
          <w:noProof/>
          <w:lang w:val="fr-CA"/>
        </w:rPr>
        <w:t xml:space="preserve">. </w:t>
      </w:r>
      <w:r w:rsidRPr="00416B10">
        <w:rPr>
          <w:noProof/>
          <w:lang w:val="fr-CA"/>
        </w:rPr>
        <w:t>La doctrine de l</w:t>
      </w:r>
      <w:r w:rsidR="007E5E4E">
        <w:rPr>
          <w:noProof/>
          <w:lang w:val="fr-CA"/>
        </w:rPr>
        <w:t>’</w:t>
      </w:r>
      <w:r w:rsidRPr="00416B10">
        <w:rPr>
          <w:noProof/>
          <w:lang w:val="fr-CA"/>
        </w:rPr>
        <w:t>usage incompatible, c</w:t>
      </w:r>
      <w:r w:rsidR="007E5E4E">
        <w:rPr>
          <w:noProof/>
          <w:lang w:val="fr-CA"/>
        </w:rPr>
        <w:t>’</w:t>
      </w:r>
      <w:r w:rsidRPr="00416B10">
        <w:rPr>
          <w:noProof/>
          <w:lang w:val="fr-CA"/>
        </w:rPr>
        <w:t>est</w:t>
      </w:r>
      <w:r w:rsidR="00416B10">
        <w:rPr>
          <w:noProof/>
          <w:lang w:val="fr-CA"/>
        </w:rPr>
        <w:noBreakHyphen/>
      </w:r>
      <w:r w:rsidRPr="00416B10">
        <w:rPr>
          <w:noProof/>
          <w:lang w:val="fr-CA"/>
        </w:rPr>
        <w:t>à</w:t>
      </w:r>
      <w:r w:rsidR="00416B10">
        <w:rPr>
          <w:noProof/>
          <w:lang w:val="fr-CA"/>
        </w:rPr>
        <w:noBreakHyphen/>
      </w:r>
      <w:r w:rsidRPr="00416B10">
        <w:rPr>
          <w:noProof/>
          <w:lang w:val="fr-CA"/>
        </w:rPr>
        <w:t xml:space="preserve">dire celle </w:t>
      </w:r>
      <w:r w:rsidR="00B94FC8" w:rsidRPr="00416B10">
        <w:rPr>
          <w:noProof/>
          <w:lang w:val="fr-CA"/>
        </w:rPr>
        <w:t>suivant lequel l</w:t>
      </w:r>
      <w:r w:rsidR="007E5E4E">
        <w:rPr>
          <w:noProof/>
          <w:lang w:val="fr-CA"/>
        </w:rPr>
        <w:t>’</w:t>
      </w:r>
      <w:r w:rsidR="00B94FC8" w:rsidRPr="00416B10">
        <w:rPr>
          <w:noProof/>
          <w:lang w:val="fr-CA"/>
        </w:rPr>
        <w:t>usage du lot en litige par le ou les possesseurs devrait avoir été incompatible avec la jouissance actuelle ou future du bien</w:t>
      </w:r>
      <w:r w:rsidR="00416B10">
        <w:rPr>
          <w:noProof/>
          <w:lang w:val="fr-CA"/>
        </w:rPr>
        <w:noBreakHyphen/>
      </w:r>
      <w:r w:rsidR="00B94FC8" w:rsidRPr="00416B10">
        <w:rPr>
          <w:noProof/>
          <w:lang w:val="fr-CA"/>
        </w:rPr>
        <w:t>fonds par le véritable propriétaire, n</w:t>
      </w:r>
      <w:r w:rsidR="007E5E4E">
        <w:rPr>
          <w:noProof/>
          <w:lang w:val="fr-CA"/>
        </w:rPr>
        <w:t>’</w:t>
      </w:r>
      <w:r w:rsidR="00B94FC8" w:rsidRPr="00416B10">
        <w:rPr>
          <w:noProof/>
          <w:lang w:val="fr-CA"/>
        </w:rPr>
        <w:t>est pas compatible avec la législation de la province de la Colombie</w:t>
      </w:r>
      <w:r w:rsidR="00416B10">
        <w:rPr>
          <w:noProof/>
          <w:lang w:val="fr-CA"/>
        </w:rPr>
        <w:noBreakHyphen/>
      </w:r>
      <w:r w:rsidR="00B94FC8" w:rsidRPr="00416B10">
        <w:rPr>
          <w:noProof/>
          <w:lang w:val="fr-CA"/>
        </w:rPr>
        <w:t>Britannique et, par conséquent, l</w:t>
      </w:r>
      <w:r w:rsidR="007E5E4E">
        <w:rPr>
          <w:noProof/>
          <w:lang w:val="fr-CA"/>
        </w:rPr>
        <w:t>’</w:t>
      </w:r>
      <w:r w:rsidR="00B94FC8" w:rsidRPr="00416B10">
        <w:rPr>
          <w:noProof/>
          <w:lang w:val="fr-CA"/>
        </w:rPr>
        <w:t>exigence de l</w:t>
      </w:r>
      <w:r w:rsidR="007E5E4E">
        <w:rPr>
          <w:noProof/>
          <w:lang w:val="fr-CA"/>
        </w:rPr>
        <w:t>’</w:t>
      </w:r>
      <w:r w:rsidR="00B94FC8" w:rsidRPr="00416B10">
        <w:rPr>
          <w:noProof/>
          <w:lang w:val="fr-CA"/>
        </w:rPr>
        <w:t>usage incompatible n</w:t>
      </w:r>
      <w:r w:rsidR="004D0D80" w:rsidRPr="00416B10">
        <w:rPr>
          <w:noProof/>
          <w:lang w:val="fr-CA"/>
        </w:rPr>
        <w:t>e</w:t>
      </w:r>
      <w:r w:rsidR="00B94FC8" w:rsidRPr="00416B10">
        <w:rPr>
          <w:noProof/>
          <w:lang w:val="fr-CA"/>
        </w:rPr>
        <w:t xml:space="preserve"> fait </w:t>
      </w:r>
      <w:r w:rsidR="004D0D80" w:rsidRPr="00416B10">
        <w:rPr>
          <w:noProof/>
          <w:lang w:val="fr-CA"/>
        </w:rPr>
        <w:t xml:space="preserve">pas </w:t>
      </w:r>
      <w:r w:rsidR="00B94FC8" w:rsidRPr="00416B10">
        <w:rPr>
          <w:noProof/>
          <w:lang w:val="fr-CA"/>
        </w:rPr>
        <w:t xml:space="preserve">partie du droit de </w:t>
      </w:r>
      <w:r w:rsidR="004D0D80" w:rsidRPr="00416B10">
        <w:rPr>
          <w:noProof/>
          <w:lang w:val="fr-CA"/>
        </w:rPr>
        <w:t>cette juridiction</w:t>
      </w:r>
      <w:r w:rsidR="00B94FC8" w:rsidRPr="00416B10">
        <w:rPr>
          <w:noProof/>
          <w:lang w:val="fr-CA"/>
        </w:rPr>
        <w:t xml:space="preserve"> régissant la possession adversative.</w:t>
      </w:r>
    </w:p>
    <w:p w:rsidR="00B93FF5" w:rsidRPr="00416B10" w:rsidRDefault="00B94FC8" w:rsidP="00BF1D7F">
      <w:pPr>
        <w:pStyle w:val="SCCNormalDoubleSpacing"/>
        <w:widowControl w:val="0"/>
        <w:spacing w:before="480" w:after="480"/>
        <w:rPr>
          <w:lang w:val="fr-CA"/>
        </w:rPr>
      </w:pPr>
      <w:r w:rsidRPr="00416B10">
        <w:rPr>
          <w:lang w:val="fr-CA"/>
        </w:rPr>
        <w:tab/>
      </w:r>
      <w:r w:rsidR="00E9329C" w:rsidRPr="00416B10">
        <w:rPr>
          <w:lang w:val="fr-CA"/>
        </w:rPr>
        <w:t>I</w:t>
      </w:r>
      <w:r w:rsidR="00E9329C" w:rsidRPr="00416B10">
        <w:rPr>
          <w:noProof/>
          <w:lang w:val="fr-CA"/>
        </w:rPr>
        <w:t>l incombait aux Mowatt de faire la preuve de la possession continue selon la prépondérance des probabilités, et non à la ville de démontrer qu</w:t>
      </w:r>
      <w:r w:rsidR="007E5E4E">
        <w:rPr>
          <w:noProof/>
          <w:lang w:val="fr-CA"/>
        </w:rPr>
        <w:t>’</w:t>
      </w:r>
      <w:r w:rsidR="00E9329C" w:rsidRPr="00416B10">
        <w:rPr>
          <w:noProof/>
          <w:lang w:val="fr-CA"/>
        </w:rPr>
        <w:t>il y avait eu abandon. L</w:t>
      </w:r>
      <w:r w:rsidR="007E5E4E">
        <w:rPr>
          <w:noProof/>
          <w:lang w:val="fr-CA"/>
        </w:rPr>
        <w:t>’</w:t>
      </w:r>
      <w:r w:rsidR="00E9329C" w:rsidRPr="00416B10">
        <w:rPr>
          <w:noProof/>
          <w:lang w:val="fr-CA"/>
        </w:rPr>
        <w:t>absence de conclusion explicite par le juge en cabinet d</w:t>
      </w:r>
      <w:r w:rsidR="007E5E4E">
        <w:rPr>
          <w:noProof/>
          <w:lang w:val="fr-CA"/>
        </w:rPr>
        <w:t>’</w:t>
      </w:r>
      <w:r w:rsidR="00E9329C" w:rsidRPr="00416B10">
        <w:rPr>
          <w:noProof/>
          <w:lang w:val="fr-CA"/>
        </w:rPr>
        <w:t>un abandon n</w:t>
      </w:r>
      <w:r w:rsidR="007E5E4E">
        <w:rPr>
          <w:noProof/>
          <w:lang w:val="fr-CA"/>
        </w:rPr>
        <w:t>’</w:t>
      </w:r>
      <w:r w:rsidR="00E9329C" w:rsidRPr="00416B10">
        <w:rPr>
          <w:noProof/>
          <w:lang w:val="fr-CA"/>
        </w:rPr>
        <w:t xml:space="preserve">a </w:t>
      </w:r>
      <w:r w:rsidR="00E9329C" w:rsidRPr="00416B10">
        <w:rPr>
          <w:noProof/>
          <w:lang w:val="fr-CA"/>
        </w:rPr>
        <w:lastRenderedPageBreak/>
        <w:t>donc aucune importance sur le plan juridique. Il découle du constat que la possession continue du lot en litige n</w:t>
      </w:r>
      <w:r w:rsidR="007E5E4E">
        <w:rPr>
          <w:noProof/>
          <w:lang w:val="fr-CA"/>
        </w:rPr>
        <w:t>’</w:t>
      </w:r>
      <w:r w:rsidR="00E9329C" w:rsidRPr="00416B10">
        <w:rPr>
          <w:noProof/>
          <w:lang w:val="fr-CA"/>
        </w:rPr>
        <w:t>a pas été établie pour la période postérieure à janvier 1916</w:t>
      </w:r>
      <w:r w:rsidR="005A27C9">
        <w:rPr>
          <w:noProof/>
          <w:lang w:val="fr-CA"/>
        </w:rPr>
        <w:t>,</w:t>
      </w:r>
      <w:r w:rsidR="00E9329C" w:rsidRPr="00416B10">
        <w:rPr>
          <w:noProof/>
          <w:lang w:val="fr-CA"/>
        </w:rPr>
        <w:t xml:space="preserve"> qu</w:t>
      </w:r>
      <w:r w:rsidR="007E5E4E">
        <w:rPr>
          <w:noProof/>
          <w:lang w:val="fr-CA"/>
        </w:rPr>
        <w:t>’</w:t>
      </w:r>
      <w:r w:rsidR="00E9329C" w:rsidRPr="00416B10">
        <w:rPr>
          <w:noProof/>
          <w:lang w:val="fr-CA"/>
        </w:rPr>
        <w:t>il a été abandonné. L</w:t>
      </w:r>
      <w:r w:rsidR="007E5E4E">
        <w:rPr>
          <w:noProof/>
          <w:lang w:val="fr-CA"/>
        </w:rPr>
        <w:t>’</w:t>
      </w:r>
      <w:r w:rsidR="00E9329C" w:rsidRPr="00416B10">
        <w:rPr>
          <w:noProof/>
          <w:lang w:val="fr-CA"/>
        </w:rPr>
        <w:t>occupation n</w:t>
      </w:r>
      <w:r w:rsidR="007E5E4E">
        <w:rPr>
          <w:noProof/>
          <w:lang w:val="fr-CA"/>
        </w:rPr>
        <w:t>’</w:t>
      </w:r>
      <w:r w:rsidR="00E9329C" w:rsidRPr="00416B10">
        <w:rPr>
          <w:noProof/>
          <w:lang w:val="fr-CA"/>
        </w:rPr>
        <w:t>a pas à être continue pour qu</w:t>
      </w:r>
      <w:r w:rsidR="007E5E4E">
        <w:rPr>
          <w:noProof/>
          <w:lang w:val="fr-CA"/>
        </w:rPr>
        <w:t>’</w:t>
      </w:r>
      <w:r w:rsidR="00E9329C" w:rsidRPr="00416B10">
        <w:rPr>
          <w:noProof/>
          <w:lang w:val="fr-CA"/>
        </w:rPr>
        <w:t>il y ait possession. En effet, en common law, une personne peut avoir une possession suffisante pour fonder un titre tout en utilisant la propriété en question de façon intermittente ou sporadique</w:t>
      </w:r>
      <w:r w:rsidR="005042CD" w:rsidRPr="00416B10">
        <w:rPr>
          <w:noProof/>
          <w:lang w:val="fr-CA"/>
        </w:rPr>
        <w:t>. C</w:t>
      </w:r>
      <w:r w:rsidR="007E5E4E">
        <w:rPr>
          <w:noProof/>
          <w:lang w:val="fr-CA"/>
        </w:rPr>
        <w:t>’</w:t>
      </w:r>
      <w:r w:rsidR="005042CD" w:rsidRPr="00416B10">
        <w:rPr>
          <w:noProof/>
          <w:lang w:val="fr-CA"/>
        </w:rPr>
        <w:t>est</w:t>
      </w:r>
      <w:r w:rsidR="00416B10">
        <w:rPr>
          <w:noProof/>
          <w:lang w:val="fr-CA"/>
        </w:rPr>
        <w:noBreakHyphen/>
      </w:r>
      <w:r w:rsidR="005042CD" w:rsidRPr="00416B10">
        <w:rPr>
          <w:noProof/>
          <w:lang w:val="fr-CA"/>
        </w:rPr>
        <w:t>à</w:t>
      </w:r>
      <w:r w:rsidR="00416B10">
        <w:rPr>
          <w:noProof/>
          <w:lang w:val="fr-CA"/>
        </w:rPr>
        <w:noBreakHyphen/>
      </w:r>
      <w:r w:rsidR="005042CD" w:rsidRPr="00416B10">
        <w:rPr>
          <w:noProof/>
          <w:lang w:val="fr-CA"/>
        </w:rPr>
        <w:t>dire qu</w:t>
      </w:r>
      <w:r w:rsidR="007E5E4E">
        <w:rPr>
          <w:noProof/>
          <w:lang w:val="fr-CA"/>
        </w:rPr>
        <w:t>’</w:t>
      </w:r>
      <w:r w:rsidR="005042CD" w:rsidRPr="00416B10">
        <w:rPr>
          <w:noProof/>
          <w:lang w:val="fr-CA"/>
        </w:rPr>
        <w:t>il est possible d</w:t>
      </w:r>
      <w:r w:rsidR="007E5E4E">
        <w:rPr>
          <w:noProof/>
          <w:lang w:val="fr-CA"/>
        </w:rPr>
        <w:t>’</w:t>
      </w:r>
      <w:r w:rsidR="005042CD" w:rsidRPr="00416B10">
        <w:rPr>
          <w:noProof/>
          <w:lang w:val="fr-CA"/>
        </w:rPr>
        <w:t>avoir la possession d</w:t>
      </w:r>
      <w:r w:rsidR="007E5E4E">
        <w:rPr>
          <w:noProof/>
          <w:lang w:val="fr-CA"/>
        </w:rPr>
        <w:t>’</w:t>
      </w:r>
      <w:r w:rsidR="005042CD" w:rsidRPr="00416B10">
        <w:rPr>
          <w:noProof/>
          <w:lang w:val="fr-CA"/>
        </w:rPr>
        <w:t>une propriété sans l</w:t>
      </w:r>
      <w:r w:rsidR="007E5E4E">
        <w:rPr>
          <w:noProof/>
          <w:lang w:val="fr-CA"/>
        </w:rPr>
        <w:t>’</w:t>
      </w:r>
      <w:r w:rsidR="005042CD" w:rsidRPr="00416B10">
        <w:rPr>
          <w:noProof/>
          <w:lang w:val="fr-CA"/>
        </w:rPr>
        <w:t>occuper en tout temps. Même si le juge en cabinet a fait occasionnellement référence à la possession et à l</w:t>
      </w:r>
      <w:r w:rsidR="007E5E4E">
        <w:rPr>
          <w:noProof/>
          <w:lang w:val="fr-CA"/>
        </w:rPr>
        <w:t>’</w:t>
      </w:r>
      <w:r w:rsidR="005042CD" w:rsidRPr="00416B10">
        <w:rPr>
          <w:noProof/>
          <w:lang w:val="fr-CA"/>
        </w:rPr>
        <w:t>occupation, semble</w:t>
      </w:r>
      <w:r w:rsidR="00416B10">
        <w:rPr>
          <w:noProof/>
          <w:lang w:val="fr-CA"/>
        </w:rPr>
        <w:noBreakHyphen/>
      </w:r>
      <w:r w:rsidR="005042CD" w:rsidRPr="00416B10">
        <w:rPr>
          <w:noProof/>
          <w:lang w:val="fr-CA"/>
        </w:rPr>
        <w:t>t</w:t>
      </w:r>
      <w:r w:rsidR="00416B10">
        <w:rPr>
          <w:noProof/>
          <w:lang w:val="fr-CA"/>
        </w:rPr>
        <w:noBreakHyphen/>
      </w:r>
      <w:r w:rsidR="005042CD" w:rsidRPr="00416B10">
        <w:rPr>
          <w:noProof/>
          <w:lang w:val="fr-CA"/>
        </w:rPr>
        <w:t>il de manière interchangeable, il savait manifestement que c</w:t>
      </w:r>
      <w:r w:rsidR="007E5E4E">
        <w:rPr>
          <w:noProof/>
          <w:lang w:val="fr-CA"/>
        </w:rPr>
        <w:t>’</w:t>
      </w:r>
      <w:r w:rsidR="005042CD" w:rsidRPr="00416B10">
        <w:rPr>
          <w:noProof/>
          <w:lang w:val="fr-CA"/>
        </w:rPr>
        <w:t>était de possession continue qu</w:t>
      </w:r>
      <w:r w:rsidR="007E5E4E">
        <w:rPr>
          <w:noProof/>
          <w:lang w:val="fr-CA"/>
        </w:rPr>
        <w:t>’</w:t>
      </w:r>
      <w:r w:rsidR="005042CD" w:rsidRPr="00416B10">
        <w:rPr>
          <w:noProof/>
          <w:lang w:val="fr-CA"/>
        </w:rPr>
        <w:t>il devait se préoccuper et non pas d</w:t>
      </w:r>
      <w:r w:rsidR="007E5E4E">
        <w:rPr>
          <w:noProof/>
          <w:lang w:val="fr-CA"/>
        </w:rPr>
        <w:t>’</w:t>
      </w:r>
      <w:r w:rsidR="005042CD" w:rsidRPr="00416B10">
        <w:rPr>
          <w:noProof/>
          <w:lang w:val="fr-CA"/>
        </w:rPr>
        <w:t>occupation. Il y a eu chevauchement des deux concepts en ce qui a trait aux faits mis en preuve en l</w:t>
      </w:r>
      <w:r w:rsidR="007E5E4E">
        <w:rPr>
          <w:noProof/>
          <w:lang w:val="fr-CA"/>
        </w:rPr>
        <w:t>’</w:t>
      </w:r>
      <w:r w:rsidR="005042CD" w:rsidRPr="00416B10">
        <w:rPr>
          <w:noProof/>
          <w:lang w:val="fr-CA"/>
        </w:rPr>
        <w:t>espèce et la mention occasionnelle de l</w:t>
      </w:r>
      <w:r w:rsidR="007E5E4E">
        <w:rPr>
          <w:noProof/>
          <w:lang w:val="fr-CA"/>
        </w:rPr>
        <w:t>’</w:t>
      </w:r>
      <w:r w:rsidR="005042CD" w:rsidRPr="00416B10">
        <w:rPr>
          <w:noProof/>
          <w:lang w:val="fr-CA"/>
        </w:rPr>
        <w:t>occupation par le juge en cabinet n</w:t>
      </w:r>
      <w:r w:rsidR="007E5E4E">
        <w:rPr>
          <w:noProof/>
          <w:lang w:val="fr-CA"/>
        </w:rPr>
        <w:t>’</w:t>
      </w:r>
      <w:r w:rsidR="005042CD" w:rsidRPr="00416B10">
        <w:rPr>
          <w:noProof/>
          <w:lang w:val="fr-CA"/>
        </w:rPr>
        <w:t>a pas donné lieu à une erreur de sa part dans le contexte de l</w:t>
      </w:r>
      <w:r w:rsidR="007E5E4E">
        <w:rPr>
          <w:noProof/>
          <w:lang w:val="fr-CA"/>
        </w:rPr>
        <w:t>’</w:t>
      </w:r>
      <w:r w:rsidR="005042CD" w:rsidRPr="00416B10">
        <w:rPr>
          <w:noProof/>
          <w:lang w:val="fr-CA"/>
        </w:rPr>
        <w:t>application du test relatif à la possession adversative.</w:t>
      </w:r>
    </w:p>
    <w:p w:rsidR="00B93FF5" w:rsidRPr="00416B10" w:rsidRDefault="00B93FF5" w:rsidP="00BF1D7F">
      <w:pPr>
        <w:pStyle w:val="SCCNormalDoubleSpacing"/>
        <w:widowControl w:val="0"/>
        <w:spacing w:before="480" w:after="480"/>
        <w:rPr>
          <w:lang w:val="fr-CA"/>
        </w:rPr>
      </w:pPr>
      <w:r w:rsidRPr="00416B10">
        <w:rPr>
          <w:lang w:val="fr-CA"/>
        </w:rPr>
        <w:tab/>
      </w:r>
      <w:r w:rsidR="0005191C" w:rsidRPr="00416B10">
        <w:rPr>
          <w:noProof/>
          <w:lang w:val="fr-CA"/>
        </w:rPr>
        <w:t>S</w:t>
      </w:r>
      <w:r w:rsidR="007E5E4E">
        <w:rPr>
          <w:noProof/>
          <w:lang w:val="fr-CA"/>
        </w:rPr>
        <w:t>’</w:t>
      </w:r>
      <w:r w:rsidR="0005191C" w:rsidRPr="00416B10">
        <w:rPr>
          <w:noProof/>
          <w:lang w:val="fr-CA"/>
        </w:rPr>
        <w:t>il est vrai que la conclusion de fait de la Cour d</w:t>
      </w:r>
      <w:r w:rsidR="007E5E4E">
        <w:rPr>
          <w:noProof/>
          <w:lang w:val="fr-CA"/>
        </w:rPr>
        <w:t>’</w:t>
      </w:r>
      <w:r w:rsidR="0005191C" w:rsidRPr="00416B10">
        <w:rPr>
          <w:noProof/>
          <w:lang w:val="fr-CA"/>
        </w:rPr>
        <w:t>appel selon laquelle la possession adversative du lot en li</w:t>
      </w:r>
      <w:r w:rsidR="007E5E4E">
        <w:rPr>
          <w:noProof/>
          <w:lang w:val="fr-CA"/>
        </w:rPr>
        <w:t xml:space="preserve">tige a été continue de décembre </w:t>
      </w:r>
      <w:r w:rsidR="0005191C" w:rsidRPr="00416B10">
        <w:rPr>
          <w:noProof/>
          <w:lang w:val="fr-CA"/>
        </w:rPr>
        <w:t>1909 jusqu</w:t>
      </w:r>
      <w:r w:rsidR="007E5E4E">
        <w:rPr>
          <w:noProof/>
          <w:lang w:val="fr-CA"/>
        </w:rPr>
        <w:t>’</w:t>
      </w:r>
      <w:r w:rsidR="0005191C" w:rsidRPr="00416B10">
        <w:rPr>
          <w:noProof/>
          <w:lang w:val="fr-CA"/>
        </w:rPr>
        <w:t>à au moins février 1923 n</w:t>
      </w:r>
      <w:r w:rsidR="007E5E4E">
        <w:rPr>
          <w:noProof/>
          <w:lang w:val="fr-CA"/>
        </w:rPr>
        <w:t>’</w:t>
      </w:r>
      <w:r w:rsidR="0005191C" w:rsidRPr="00416B10">
        <w:rPr>
          <w:noProof/>
          <w:lang w:val="fr-CA"/>
        </w:rPr>
        <w:t>est pas déraisonnable, la possibilité que les conclusions à tirer de la preuve puissent varier en fonction du poids attribué à l</w:t>
      </w:r>
      <w:r w:rsidR="007E5E4E">
        <w:rPr>
          <w:noProof/>
          <w:lang w:val="fr-CA"/>
        </w:rPr>
        <w:t>’</w:t>
      </w:r>
      <w:r w:rsidR="0005191C" w:rsidRPr="00416B10">
        <w:rPr>
          <w:noProof/>
          <w:lang w:val="fr-CA"/>
        </w:rPr>
        <w:t>un ou l</w:t>
      </w:r>
      <w:r w:rsidR="007E5E4E">
        <w:rPr>
          <w:noProof/>
          <w:lang w:val="fr-CA"/>
        </w:rPr>
        <w:t>’</w:t>
      </w:r>
      <w:r w:rsidR="0005191C" w:rsidRPr="00416B10">
        <w:rPr>
          <w:noProof/>
          <w:lang w:val="fr-CA"/>
        </w:rPr>
        <w:t>autre des éléments qui la constitue</w:t>
      </w:r>
      <w:r w:rsidR="00B938ED">
        <w:rPr>
          <w:noProof/>
          <w:lang w:val="fr-CA"/>
        </w:rPr>
        <w:t>nt</w:t>
      </w:r>
      <w:r w:rsidR="0005191C" w:rsidRPr="00416B10">
        <w:rPr>
          <w:noProof/>
          <w:lang w:val="fr-CA"/>
        </w:rPr>
        <w:t xml:space="preserve"> ne justifie pas d</w:t>
      </w:r>
      <w:r w:rsidR="007E5E4E">
        <w:rPr>
          <w:noProof/>
          <w:lang w:val="fr-CA"/>
        </w:rPr>
        <w:t>’</w:t>
      </w:r>
      <w:r w:rsidR="0005191C" w:rsidRPr="00416B10">
        <w:rPr>
          <w:noProof/>
          <w:lang w:val="fr-CA"/>
        </w:rPr>
        <w:t>infirmer les conclusions du juge des faits. Il n</w:t>
      </w:r>
      <w:r w:rsidR="007E5E4E">
        <w:rPr>
          <w:noProof/>
          <w:lang w:val="fr-CA"/>
        </w:rPr>
        <w:t>’</w:t>
      </w:r>
      <w:r w:rsidR="0005191C" w:rsidRPr="00416B10">
        <w:rPr>
          <w:noProof/>
          <w:lang w:val="fr-CA"/>
        </w:rPr>
        <w:t>appartient pas aux cours d</w:t>
      </w:r>
      <w:r w:rsidR="007E5E4E">
        <w:rPr>
          <w:noProof/>
          <w:lang w:val="fr-CA"/>
        </w:rPr>
        <w:t>’</w:t>
      </w:r>
      <w:r w:rsidR="0005191C" w:rsidRPr="00416B10">
        <w:rPr>
          <w:noProof/>
          <w:lang w:val="fr-CA"/>
        </w:rPr>
        <w:t>appel de remettre en question le poids attribué aux différents éléments de preuve. En l</w:t>
      </w:r>
      <w:r w:rsidR="007E5E4E">
        <w:rPr>
          <w:noProof/>
          <w:lang w:val="fr-CA"/>
        </w:rPr>
        <w:t>’</w:t>
      </w:r>
      <w:r w:rsidR="0005191C" w:rsidRPr="00416B10">
        <w:rPr>
          <w:noProof/>
          <w:lang w:val="fr-CA"/>
        </w:rPr>
        <w:t>absence d</w:t>
      </w:r>
      <w:r w:rsidR="007E5E4E">
        <w:rPr>
          <w:noProof/>
          <w:lang w:val="fr-CA"/>
        </w:rPr>
        <w:t>’</w:t>
      </w:r>
      <w:r w:rsidR="0005191C" w:rsidRPr="00416B10">
        <w:rPr>
          <w:noProof/>
          <w:lang w:val="fr-CA"/>
        </w:rPr>
        <w:t xml:space="preserve">une erreur manifeste et dominante, </w:t>
      </w:r>
      <w:r w:rsidR="00A8653F">
        <w:rPr>
          <w:noProof/>
          <w:lang w:val="fr-CA"/>
        </w:rPr>
        <w:t>c’est</w:t>
      </w:r>
      <w:r w:rsidR="00A8653F">
        <w:rPr>
          <w:noProof/>
          <w:lang w:val="fr-CA"/>
        </w:rPr>
        <w:noBreakHyphen/>
        <w:t>à</w:t>
      </w:r>
      <w:r w:rsidR="00A8653F">
        <w:rPr>
          <w:noProof/>
          <w:lang w:val="fr-CA"/>
        </w:rPr>
        <w:noBreakHyphen/>
        <w:t xml:space="preserve">dire </w:t>
      </w:r>
      <w:r w:rsidR="0005191C" w:rsidRPr="00416B10">
        <w:rPr>
          <w:noProof/>
          <w:lang w:val="fr-CA"/>
        </w:rPr>
        <w:t>une erreur qui est évidente et qui a eu une incidence sur le résultat, la cour d</w:t>
      </w:r>
      <w:r w:rsidR="007E5E4E">
        <w:rPr>
          <w:noProof/>
          <w:lang w:val="fr-CA"/>
        </w:rPr>
        <w:t>’</w:t>
      </w:r>
      <w:r w:rsidR="0005191C" w:rsidRPr="00416B10">
        <w:rPr>
          <w:noProof/>
          <w:lang w:val="fr-CA"/>
        </w:rPr>
        <w:t xml:space="preserve">appel ne peut modifier les conclusions de fait du juge des faits. </w:t>
      </w:r>
      <w:r w:rsidR="004D0D80" w:rsidRPr="00416B10">
        <w:rPr>
          <w:noProof/>
          <w:lang w:val="fr-CA"/>
        </w:rPr>
        <w:t>L</w:t>
      </w:r>
      <w:r w:rsidR="0005191C" w:rsidRPr="00416B10">
        <w:rPr>
          <w:noProof/>
          <w:lang w:val="fr-CA"/>
        </w:rPr>
        <w:t>a Cour d</w:t>
      </w:r>
      <w:r w:rsidR="007E5E4E">
        <w:rPr>
          <w:noProof/>
          <w:lang w:val="fr-CA"/>
        </w:rPr>
        <w:t>’</w:t>
      </w:r>
      <w:r w:rsidR="0005191C" w:rsidRPr="00416B10">
        <w:rPr>
          <w:noProof/>
          <w:lang w:val="fr-CA"/>
        </w:rPr>
        <w:t xml:space="preserve">appel a </w:t>
      </w:r>
      <w:r w:rsidR="0005191C" w:rsidRPr="00416B10">
        <w:rPr>
          <w:noProof/>
          <w:lang w:val="fr-CA"/>
        </w:rPr>
        <w:lastRenderedPageBreak/>
        <w:t>donc commis une erreur en modifiant une conclusion factuelle essentiellement sur la base d</w:t>
      </w:r>
      <w:r w:rsidR="007E5E4E">
        <w:rPr>
          <w:noProof/>
          <w:lang w:val="fr-CA"/>
        </w:rPr>
        <w:t>’</w:t>
      </w:r>
      <w:r w:rsidR="0005191C" w:rsidRPr="00416B10">
        <w:rPr>
          <w:noProof/>
          <w:lang w:val="fr-CA"/>
        </w:rPr>
        <w:t>une divergence d</w:t>
      </w:r>
      <w:r w:rsidR="007E5E4E">
        <w:rPr>
          <w:noProof/>
          <w:lang w:val="fr-CA"/>
        </w:rPr>
        <w:t>’</w:t>
      </w:r>
      <w:r w:rsidR="0005191C" w:rsidRPr="00416B10">
        <w:rPr>
          <w:noProof/>
          <w:lang w:val="fr-CA"/>
        </w:rPr>
        <w:t>opinions quant au poids à attribuer aux différents éléments de preuve. Dans le contexte de réclamations fondées sur la possession adversative historique d</w:t>
      </w:r>
      <w:r w:rsidR="007E5E4E">
        <w:rPr>
          <w:noProof/>
          <w:lang w:val="fr-CA"/>
        </w:rPr>
        <w:t>’</w:t>
      </w:r>
      <w:r w:rsidR="0005191C" w:rsidRPr="00416B10">
        <w:rPr>
          <w:noProof/>
          <w:lang w:val="fr-CA"/>
        </w:rPr>
        <w:t>un bien</w:t>
      </w:r>
      <w:r w:rsidR="00416B10">
        <w:rPr>
          <w:noProof/>
          <w:lang w:val="fr-CA"/>
        </w:rPr>
        <w:noBreakHyphen/>
      </w:r>
      <w:r w:rsidR="0005191C" w:rsidRPr="00416B10">
        <w:rPr>
          <w:noProof/>
          <w:lang w:val="fr-CA"/>
        </w:rPr>
        <w:t>fonds, la qualité de la preuve présentée doit simplement être aussi satisfaisante que ce à quoi il est raisonnable de s</w:t>
      </w:r>
      <w:r w:rsidR="007E5E4E">
        <w:rPr>
          <w:noProof/>
          <w:lang w:val="fr-CA"/>
        </w:rPr>
        <w:t>’</w:t>
      </w:r>
      <w:r w:rsidR="0005191C" w:rsidRPr="00416B10">
        <w:rPr>
          <w:noProof/>
          <w:lang w:val="fr-CA"/>
        </w:rPr>
        <w:t>attendre compte tenu de l</w:t>
      </w:r>
      <w:r w:rsidR="007E5E4E">
        <w:rPr>
          <w:noProof/>
          <w:lang w:val="fr-CA"/>
        </w:rPr>
        <w:t>’</w:t>
      </w:r>
      <w:r w:rsidR="0005191C" w:rsidRPr="00416B10">
        <w:rPr>
          <w:noProof/>
          <w:lang w:val="fr-CA"/>
        </w:rPr>
        <w:t>ensemble des circonstances. En l</w:t>
      </w:r>
      <w:r w:rsidR="007E5E4E">
        <w:rPr>
          <w:noProof/>
          <w:lang w:val="fr-CA"/>
        </w:rPr>
        <w:t>’</w:t>
      </w:r>
      <w:r w:rsidR="0005191C" w:rsidRPr="00416B10">
        <w:rPr>
          <w:noProof/>
          <w:lang w:val="fr-CA"/>
        </w:rPr>
        <w:t>espèce, lorsqu</w:t>
      </w:r>
      <w:r w:rsidR="007E5E4E">
        <w:rPr>
          <w:noProof/>
          <w:lang w:val="fr-CA"/>
        </w:rPr>
        <w:t>’</w:t>
      </w:r>
      <w:r w:rsidR="0005191C" w:rsidRPr="00416B10">
        <w:rPr>
          <w:noProof/>
          <w:lang w:val="fr-CA"/>
        </w:rPr>
        <w:t>il a examiné la preuve portée à son attention, le juge en cabinet était bien conscient de la nature historique de la revendication et de ses incidences sur la qualité et sur la dispon</w:t>
      </w:r>
      <w:r w:rsidR="007E5E4E">
        <w:rPr>
          <w:noProof/>
          <w:lang w:val="fr-CA"/>
        </w:rPr>
        <w:t xml:space="preserve">ibilité des éléments de preuve. </w:t>
      </w:r>
      <w:r w:rsidR="0005191C" w:rsidRPr="00416B10">
        <w:rPr>
          <w:noProof/>
          <w:lang w:val="fr-CA"/>
        </w:rPr>
        <w:t>Ayant tenu deux audiences et ayant analysé avec soin la preuve dans ses deux décisions convaincantes et détaillées, le juge en cabinet a tiré des conclusions que la preuve lui permettait de tirer. Ces conclusions n</w:t>
      </w:r>
      <w:r w:rsidR="007E5E4E">
        <w:rPr>
          <w:noProof/>
          <w:lang w:val="fr-CA"/>
        </w:rPr>
        <w:t>’</w:t>
      </w:r>
      <w:r w:rsidR="0005191C" w:rsidRPr="00416B10">
        <w:rPr>
          <w:noProof/>
          <w:lang w:val="fr-CA"/>
        </w:rPr>
        <w:t>auraient donc pas dû être modifiées</w:t>
      </w:r>
      <w:r w:rsidR="00E85CDE" w:rsidRPr="00416B10">
        <w:rPr>
          <w:noProof/>
          <w:lang w:val="fr-CA"/>
        </w:rPr>
        <w:t>. Compte tenu de la conclusion du juge en cabinet selon laquelle aucun droit n</w:t>
      </w:r>
      <w:r w:rsidR="007E5E4E">
        <w:rPr>
          <w:noProof/>
          <w:lang w:val="fr-CA"/>
        </w:rPr>
        <w:t>’</w:t>
      </w:r>
      <w:r w:rsidR="00E85CDE" w:rsidRPr="00416B10">
        <w:rPr>
          <w:noProof/>
          <w:lang w:val="fr-CA"/>
        </w:rPr>
        <w:t>a été acquis par possession adversative quant au lot en litige, il n</w:t>
      </w:r>
      <w:r w:rsidR="007E5E4E">
        <w:rPr>
          <w:noProof/>
          <w:lang w:val="fr-CA"/>
        </w:rPr>
        <w:t>’</w:t>
      </w:r>
      <w:r w:rsidR="00E85CDE" w:rsidRPr="00416B10">
        <w:rPr>
          <w:noProof/>
          <w:lang w:val="fr-CA"/>
        </w:rPr>
        <w:t>est pas nécessaire de trancher la question de savoir si l</w:t>
      </w:r>
      <w:r w:rsidR="007E5E4E">
        <w:rPr>
          <w:noProof/>
          <w:lang w:val="fr-CA"/>
        </w:rPr>
        <w:t>’</w:t>
      </w:r>
      <w:r w:rsidR="00E85CDE" w:rsidRPr="00416B10">
        <w:rPr>
          <w:noProof/>
          <w:lang w:val="fr-CA"/>
        </w:rPr>
        <w:t>absence d</w:t>
      </w:r>
      <w:r w:rsidR="007E5E4E">
        <w:rPr>
          <w:noProof/>
          <w:lang w:val="fr-CA"/>
        </w:rPr>
        <w:t>’</w:t>
      </w:r>
      <w:r w:rsidR="00E85CDE" w:rsidRPr="00416B10">
        <w:rPr>
          <w:noProof/>
          <w:lang w:val="fr-CA"/>
        </w:rPr>
        <w:t xml:space="preserve">enregistrement fait obstacle à la revendication des Mowatt. </w:t>
      </w:r>
    </w:p>
    <w:p w:rsidR="004D7D95" w:rsidRPr="00190EF2" w:rsidRDefault="004D7D95" w:rsidP="00BF1D7F">
      <w:pPr>
        <w:pStyle w:val="SCCNormalDoubleSpacing"/>
        <w:widowControl w:val="0"/>
        <w:spacing w:before="480" w:after="480"/>
        <w:rPr>
          <w:lang w:val="en-US"/>
        </w:rPr>
      </w:pPr>
      <w:r w:rsidRPr="00190EF2">
        <w:rPr>
          <w:b/>
          <w:lang w:val="en-US"/>
        </w:rPr>
        <w:t>Jurisprudence</w:t>
      </w:r>
    </w:p>
    <w:p w:rsidR="004D7D95" w:rsidRPr="00964102" w:rsidRDefault="004D7D95" w:rsidP="00BF1D7F">
      <w:pPr>
        <w:pStyle w:val="SCCNormalDoubleSpacing"/>
        <w:widowControl w:val="0"/>
        <w:spacing w:after="480"/>
        <w:rPr>
          <w:lang w:val="en-US"/>
        </w:rPr>
      </w:pPr>
      <w:r w:rsidRPr="00190EF2">
        <w:rPr>
          <w:lang w:val="en-US"/>
        </w:rPr>
        <w:tab/>
      </w:r>
      <w:r w:rsidRPr="00FC6544">
        <w:rPr>
          <w:b/>
          <w:lang w:val="en-US"/>
        </w:rPr>
        <w:t xml:space="preserve">Arrêts </w:t>
      </w:r>
      <w:r w:rsidR="00FC6544" w:rsidRPr="00FC6544">
        <w:rPr>
          <w:b/>
          <w:lang w:val="en-US"/>
        </w:rPr>
        <w:t xml:space="preserve">examinés : </w:t>
      </w:r>
      <w:r w:rsidR="00FC6544" w:rsidRPr="00FC6544">
        <w:rPr>
          <w:i/>
          <w:lang w:val="en-US"/>
        </w:rPr>
        <w:t>Dominion Atlantic Railway Co. c. Halifax and South Western Railway Co.</w:t>
      </w:r>
      <w:r w:rsidR="00FC6544" w:rsidRPr="00FC6544">
        <w:rPr>
          <w:lang w:val="en-US"/>
        </w:rPr>
        <w:t>,</w:t>
      </w:r>
      <w:r w:rsidR="00FC6544" w:rsidRPr="00FC6544">
        <w:rPr>
          <w:i/>
          <w:lang w:val="en-US"/>
        </w:rPr>
        <w:t xml:space="preserve"> </w:t>
      </w:r>
      <w:r w:rsidR="00FC6544" w:rsidRPr="00FC6544">
        <w:rPr>
          <w:lang w:val="en-US"/>
        </w:rPr>
        <w:t>[1947] R.C.S</w:t>
      </w:r>
      <w:r w:rsidR="00FC6544" w:rsidRPr="00FC6544">
        <w:rPr>
          <w:i/>
          <w:lang w:val="en-US"/>
        </w:rPr>
        <w:t>.</w:t>
      </w:r>
      <w:r w:rsidR="00FC6544" w:rsidRPr="00FC6544">
        <w:rPr>
          <w:lang w:val="en-US"/>
        </w:rPr>
        <w:t xml:space="preserve"> 107; </w:t>
      </w:r>
      <w:r w:rsidR="00FC6544" w:rsidRPr="00FC6544">
        <w:rPr>
          <w:i/>
          <w:lang w:val="en-US"/>
        </w:rPr>
        <w:t>Ocean Harvesters Ltd. c. Quinlan Brothers Ltd.</w:t>
      </w:r>
      <w:r w:rsidR="00FC6544" w:rsidRPr="00FC6544">
        <w:rPr>
          <w:lang w:val="en-US"/>
        </w:rPr>
        <w:t>,</w:t>
      </w:r>
      <w:r w:rsidR="00FC6544" w:rsidRPr="00FC6544">
        <w:rPr>
          <w:i/>
          <w:lang w:val="en-US"/>
        </w:rPr>
        <w:t xml:space="preserve"> </w:t>
      </w:r>
      <w:r w:rsidR="00FC6544" w:rsidRPr="00FC6544">
        <w:rPr>
          <w:lang w:val="en-US"/>
        </w:rPr>
        <w:t>[1975] 1 R.C.S. 684;</w:t>
      </w:r>
      <w:r w:rsidR="00FC6544">
        <w:rPr>
          <w:lang w:val="en-US"/>
        </w:rPr>
        <w:t xml:space="preserve"> </w:t>
      </w:r>
      <w:r w:rsidR="00FC6544" w:rsidRPr="00FC6544">
        <w:rPr>
          <w:b/>
          <w:lang w:val="en-US"/>
        </w:rPr>
        <w:t xml:space="preserve">arrêts </w:t>
      </w:r>
      <w:r w:rsidRPr="00FC6544">
        <w:rPr>
          <w:b/>
          <w:lang w:val="en-US"/>
        </w:rPr>
        <w:t>mentionnés</w:t>
      </w:r>
      <w:r w:rsidR="00416B10" w:rsidRPr="00FC6544">
        <w:rPr>
          <w:b/>
          <w:lang w:val="en-US"/>
        </w:rPr>
        <w:t> :</w:t>
      </w:r>
      <w:r w:rsidRPr="00FC6544">
        <w:rPr>
          <w:lang w:val="en-US"/>
        </w:rPr>
        <w:t xml:space="preserve"> </w:t>
      </w:r>
      <w:r w:rsidR="00EB3B45" w:rsidRPr="00FC6544">
        <w:rPr>
          <w:i/>
          <w:lang w:val="en-US"/>
        </w:rPr>
        <w:t>The Queen</w:t>
      </w:r>
      <w:r w:rsidR="009B6FA0" w:rsidRPr="00FC6544">
        <w:rPr>
          <w:i/>
          <w:lang w:val="en-US"/>
        </w:rPr>
        <w:t xml:space="preserve"> c. Lincoln Mining Syndicate Ltd.</w:t>
      </w:r>
      <w:r w:rsidR="00E337DA" w:rsidRPr="00FC6544">
        <w:rPr>
          <w:lang w:val="en-US"/>
        </w:rPr>
        <w:t>, [1959] R.C.S. 736</w:t>
      </w:r>
      <w:r w:rsidR="009B6FA0" w:rsidRPr="00FC6544">
        <w:rPr>
          <w:lang w:val="en-US"/>
        </w:rPr>
        <w:t>;</w:t>
      </w:r>
      <w:r w:rsidR="009B6FA0" w:rsidRPr="00FC6544">
        <w:rPr>
          <w:i/>
          <w:lang w:val="en-US"/>
        </w:rPr>
        <w:t xml:space="preserve"> Leigh c. Jack </w:t>
      </w:r>
      <w:r w:rsidR="009B6FA0" w:rsidRPr="00FC6544">
        <w:rPr>
          <w:lang w:val="en-US"/>
        </w:rPr>
        <w:t>(1879), 5 Ex. Div. 264;</w:t>
      </w:r>
      <w:r w:rsidR="009B6FA0" w:rsidRPr="00FC6544">
        <w:rPr>
          <w:i/>
          <w:lang w:val="en-US"/>
        </w:rPr>
        <w:t xml:space="preserve"> Keefer c. Arillotta</w:t>
      </w:r>
      <w:r w:rsidR="009B6FA0" w:rsidRPr="00FC6544">
        <w:rPr>
          <w:lang w:val="en-US"/>
        </w:rPr>
        <w:t xml:space="preserve"> (1976), 13 O.R. (2d) </w:t>
      </w:r>
      <w:r w:rsidR="005772D1" w:rsidRPr="00FC6544">
        <w:rPr>
          <w:lang w:val="en-US"/>
        </w:rPr>
        <w:t>680</w:t>
      </w:r>
      <w:r w:rsidR="009B6FA0" w:rsidRPr="00FC6544">
        <w:rPr>
          <w:lang w:val="en-US"/>
        </w:rPr>
        <w:t xml:space="preserve">; </w:t>
      </w:r>
      <w:r w:rsidR="009B6FA0" w:rsidRPr="00FC6544">
        <w:rPr>
          <w:i/>
          <w:lang w:val="en-US"/>
        </w:rPr>
        <w:t>Fletcher c. Storoschuk</w:t>
      </w:r>
      <w:r w:rsidR="009B6FA0" w:rsidRPr="00FC6544">
        <w:rPr>
          <w:lang w:val="en-US"/>
        </w:rPr>
        <w:t xml:space="preserve"> (1981), 35 O.R. (2d) 722; </w:t>
      </w:r>
      <w:r w:rsidR="009B6FA0" w:rsidRPr="00FC6544">
        <w:rPr>
          <w:i/>
          <w:lang w:val="en-US"/>
        </w:rPr>
        <w:t xml:space="preserve">John Austin &amp; Sons Ltd. c. Smith </w:t>
      </w:r>
      <w:r w:rsidR="009B6FA0" w:rsidRPr="00FC6544">
        <w:rPr>
          <w:lang w:val="en-US"/>
        </w:rPr>
        <w:t xml:space="preserve">(1982), 35 O.R. (2d) 272; </w:t>
      </w:r>
      <w:r w:rsidR="009B6FA0" w:rsidRPr="00FC6544">
        <w:rPr>
          <w:i/>
          <w:lang w:val="en-US"/>
        </w:rPr>
        <w:t xml:space="preserve">Masidon Investments Ltd. c. Ham </w:t>
      </w:r>
      <w:r w:rsidR="009B6FA0" w:rsidRPr="00FC6544">
        <w:rPr>
          <w:lang w:val="en-US"/>
        </w:rPr>
        <w:lastRenderedPageBreak/>
        <w:t xml:space="preserve">(1984), 45 O.R. (2d) 563; </w:t>
      </w:r>
      <w:r w:rsidR="009B6FA0" w:rsidRPr="00FC6544">
        <w:rPr>
          <w:i/>
          <w:lang w:val="en-US"/>
        </w:rPr>
        <w:t xml:space="preserve">Gorman c. Gorman </w:t>
      </w:r>
      <w:r w:rsidR="009B6FA0" w:rsidRPr="00FC6544">
        <w:rPr>
          <w:lang w:val="en-US"/>
        </w:rPr>
        <w:t xml:space="preserve">(1998), 110 O.A.C. 87; </w:t>
      </w:r>
      <w:r w:rsidR="009B6FA0" w:rsidRPr="00FC6544">
        <w:rPr>
          <w:i/>
          <w:lang w:val="en-US"/>
        </w:rPr>
        <w:t>Brisebois c. Chamberland</w:t>
      </w:r>
      <w:r w:rsidR="009B6FA0" w:rsidRPr="00FC6544">
        <w:rPr>
          <w:lang w:val="en-US"/>
        </w:rPr>
        <w:t xml:space="preserve"> (1990), 75 O.R. (2d) 332; </w:t>
      </w:r>
      <w:r w:rsidR="009B6FA0" w:rsidRPr="00FC6544">
        <w:rPr>
          <w:i/>
          <w:lang w:val="en-US"/>
        </w:rPr>
        <w:t xml:space="preserve">Hodkin c. Bigley </w:t>
      </w:r>
      <w:r w:rsidR="009B6FA0" w:rsidRPr="00FC6544">
        <w:rPr>
          <w:lang w:val="en-US"/>
        </w:rPr>
        <w:t>(1998), 20 R.P.R. (3d) 9;</w:t>
      </w:r>
      <w:r w:rsidR="009B6FA0" w:rsidRPr="00FC6544">
        <w:rPr>
          <w:i/>
          <w:lang w:val="en-US"/>
        </w:rPr>
        <w:t xml:space="preserve"> Elliott c. Woodstock Agricultural Society</w:t>
      </w:r>
      <w:r w:rsidR="009B6FA0" w:rsidRPr="00FC6544">
        <w:rPr>
          <w:lang w:val="en-US"/>
        </w:rPr>
        <w:t xml:space="preserve">, </w:t>
      </w:r>
      <w:r w:rsidR="005B4873" w:rsidRPr="00FC6544">
        <w:rPr>
          <w:lang w:val="en-US"/>
        </w:rPr>
        <w:t>2008 ONCA 648, 92 O.R. (3d) 711</w:t>
      </w:r>
      <w:r w:rsidR="009B6FA0" w:rsidRPr="00FC6544">
        <w:rPr>
          <w:lang w:val="en-US"/>
        </w:rPr>
        <w:t>;</w:t>
      </w:r>
      <w:r w:rsidR="009B6FA0" w:rsidRPr="00FC6544">
        <w:rPr>
          <w:i/>
          <w:lang w:val="en-US"/>
        </w:rPr>
        <w:t xml:space="preserve"> Spicer c. Bowater Mersey Paper Co.</w:t>
      </w:r>
      <w:r w:rsidR="009B6FA0" w:rsidRPr="00FC6544">
        <w:rPr>
          <w:lang w:val="en-US"/>
        </w:rPr>
        <w:t xml:space="preserve">, 2004 NSCA 39, 222 N.S.R. (2d) 103; </w:t>
      </w:r>
      <w:r w:rsidR="009B6FA0" w:rsidRPr="00FC6544">
        <w:rPr>
          <w:i/>
          <w:lang w:val="en-US"/>
        </w:rPr>
        <w:t>MacKinnon, Re</w:t>
      </w:r>
      <w:r w:rsidR="009B6FA0" w:rsidRPr="00FC6544">
        <w:rPr>
          <w:lang w:val="en-US"/>
        </w:rPr>
        <w:t xml:space="preserve">, 2003 PESCAD 17, 226 Nfld. </w:t>
      </w:r>
      <w:r w:rsidR="009B6FA0" w:rsidRPr="00190EF2">
        <w:rPr>
          <w:lang w:val="en-US"/>
        </w:rPr>
        <w:t xml:space="preserve">&amp; P.E.I.R. 293; </w:t>
      </w:r>
      <w:r w:rsidR="009B6FA0" w:rsidRPr="00190EF2">
        <w:rPr>
          <w:i/>
          <w:lang w:val="en-US"/>
        </w:rPr>
        <w:t>Lutz c. Kawa</w:t>
      </w:r>
      <w:r w:rsidR="009B6FA0" w:rsidRPr="00190EF2">
        <w:rPr>
          <w:lang w:val="en-US"/>
        </w:rPr>
        <w:t xml:space="preserve">, 1980 ABCA 112, 23 A.R. 9; </w:t>
      </w:r>
      <w:r w:rsidR="009B6FA0" w:rsidRPr="00190EF2">
        <w:rPr>
          <w:i/>
          <w:lang w:val="en-US"/>
        </w:rPr>
        <w:t>Maher c. Bussey</w:t>
      </w:r>
      <w:r w:rsidR="009B6FA0" w:rsidRPr="00190EF2">
        <w:rPr>
          <w:lang w:val="en-US"/>
        </w:rPr>
        <w:t xml:space="preserve">, 2006 NLCA 28, 256 Nfld. </w:t>
      </w:r>
      <w:r w:rsidR="009B6FA0" w:rsidRPr="00964102">
        <w:rPr>
          <w:lang w:val="en-US"/>
        </w:rPr>
        <w:t xml:space="preserve">&amp; P.E.I.R. 308; </w:t>
      </w:r>
      <w:r w:rsidR="00194CE2" w:rsidRPr="00964102">
        <w:rPr>
          <w:i/>
          <w:lang w:val="en-US"/>
        </w:rPr>
        <w:t>J. </w:t>
      </w:r>
      <w:r w:rsidR="009B6FA0" w:rsidRPr="00964102">
        <w:rPr>
          <w:i/>
          <w:lang w:val="en-US"/>
        </w:rPr>
        <w:t>A.</w:t>
      </w:r>
      <w:r w:rsidR="00194CE2" w:rsidRPr="00964102">
        <w:rPr>
          <w:i/>
          <w:lang w:val="en-US"/>
        </w:rPr>
        <w:t> </w:t>
      </w:r>
      <w:r w:rsidR="009B6FA0" w:rsidRPr="00964102">
        <w:rPr>
          <w:i/>
          <w:lang w:val="en-US"/>
        </w:rPr>
        <w:t>Pye (Oxford) Ltd. c. Graham</w:t>
      </w:r>
      <w:r w:rsidR="009B6FA0" w:rsidRPr="00964102">
        <w:rPr>
          <w:lang w:val="en-US"/>
        </w:rPr>
        <w:t xml:space="preserve">, [2002] UKHL 30, [2003] </w:t>
      </w:r>
      <w:r w:rsidR="00DF2D21" w:rsidRPr="00964102">
        <w:rPr>
          <w:lang w:val="en-US"/>
        </w:rPr>
        <w:t xml:space="preserve">1 </w:t>
      </w:r>
      <w:r w:rsidR="009B6FA0" w:rsidRPr="00964102">
        <w:rPr>
          <w:lang w:val="en-US"/>
        </w:rPr>
        <w:t xml:space="preserve">A.C. 419; </w:t>
      </w:r>
      <w:r w:rsidR="009B6FA0" w:rsidRPr="00964102">
        <w:rPr>
          <w:i/>
          <w:lang w:val="en-US"/>
        </w:rPr>
        <w:t>Lord Advocate c. Lord Lovat</w:t>
      </w:r>
      <w:r w:rsidR="009B6FA0" w:rsidRPr="00964102">
        <w:rPr>
          <w:lang w:val="en-US"/>
        </w:rPr>
        <w:t xml:space="preserve"> (1880), 5 A</w:t>
      </w:r>
      <w:r w:rsidR="00416B10" w:rsidRPr="00964102">
        <w:rPr>
          <w:lang w:val="en-US"/>
        </w:rPr>
        <w:t>pp. </w:t>
      </w:r>
      <w:r w:rsidR="009B6FA0" w:rsidRPr="00964102">
        <w:rPr>
          <w:lang w:val="en-US"/>
        </w:rPr>
        <w:t xml:space="preserve">Cas. 273; </w:t>
      </w:r>
      <w:r w:rsidR="009B6FA0" w:rsidRPr="00964102">
        <w:rPr>
          <w:i/>
          <w:lang w:val="en-US"/>
        </w:rPr>
        <w:t xml:space="preserve">Sherren c. Pearson </w:t>
      </w:r>
      <w:r w:rsidR="009B6FA0" w:rsidRPr="00964102">
        <w:rPr>
          <w:lang w:val="en-US"/>
        </w:rPr>
        <w:t xml:space="preserve">(1887), 14 R.C.S. 581; </w:t>
      </w:r>
      <w:r w:rsidR="009B6FA0" w:rsidRPr="00964102">
        <w:rPr>
          <w:i/>
          <w:lang w:val="en-US"/>
        </w:rPr>
        <w:t xml:space="preserve">Handley c. Archibald </w:t>
      </w:r>
      <w:r w:rsidR="009B6FA0" w:rsidRPr="00964102">
        <w:rPr>
          <w:lang w:val="en-US"/>
        </w:rPr>
        <w:t xml:space="preserve">(1899), 30 R.C.S. 130; </w:t>
      </w:r>
      <w:r w:rsidR="009B6FA0" w:rsidRPr="00964102">
        <w:rPr>
          <w:i/>
          <w:lang w:val="en-US"/>
        </w:rPr>
        <w:t xml:space="preserve">Wood c. LeBlanc </w:t>
      </w:r>
      <w:r w:rsidR="009B6FA0" w:rsidRPr="00964102">
        <w:rPr>
          <w:lang w:val="en-US"/>
        </w:rPr>
        <w:t xml:space="preserve">(1904), 34 R.C.S. 627; </w:t>
      </w:r>
      <w:r w:rsidR="009B6FA0" w:rsidRPr="00964102">
        <w:rPr>
          <w:i/>
          <w:lang w:val="en-US"/>
        </w:rPr>
        <w:t xml:space="preserve">Hamilton c. </w:t>
      </w:r>
      <w:r w:rsidR="00770030" w:rsidRPr="00964102">
        <w:rPr>
          <w:i/>
          <w:lang w:val="en-US"/>
        </w:rPr>
        <w:t>The King</w:t>
      </w:r>
      <w:r w:rsidR="009B6FA0" w:rsidRPr="00964102">
        <w:rPr>
          <w:i/>
          <w:lang w:val="en-US"/>
        </w:rPr>
        <w:t xml:space="preserve"> </w:t>
      </w:r>
      <w:r w:rsidR="009B6FA0" w:rsidRPr="00964102">
        <w:rPr>
          <w:lang w:val="en-US"/>
        </w:rPr>
        <w:t xml:space="preserve">(1917), 54 R.C.S. 331; </w:t>
      </w:r>
      <w:r w:rsidR="009B6FA0" w:rsidRPr="00964102">
        <w:rPr>
          <w:i/>
          <w:lang w:val="en-US"/>
        </w:rPr>
        <w:t>R. c. Marshall</w:t>
      </w:r>
      <w:r w:rsidR="009B6FA0" w:rsidRPr="00964102">
        <w:rPr>
          <w:lang w:val="en-US"/>
        </w:rPr>
        <w:t xml:space="preserve">, 2005 CSC 43, [2005] 2 R.C.S. 220; </w:t>
      </w:r>
      <w:r w:rsidR="009B6FA0" w:rsidRPr="00964102">
        <w:rPr>
          <w:i/>
          <w:lang w:val="en-US"/>
        </w:rPr>
        <w:t>Housen c. Nikolaisen</w:t>
      </w:r>
      <w:r w:rsidR="009B6FA0" w:rsidRPr="00964102">
        <w:rPr>
          <w:lang w:val="en-US"/>
        </w:rPr>
        <w:t xml:space="preserve">, 2002 CSC 33, [2002] 2 R.C.S. 235; </w:t>
      </w:r>
      <w:r w:rsidR="009E6FAB" w:rsidRPr="00964102">
        <w:rPr>
          <w:i/>
          <w:lang w:val="en-US"/>
        </w:rPr>
        <w:t>H.L. c. Canada (Procureur général)</w:t>
      </w:r>
      <w:r w:rsidR="009E6FAB" w:rsidRPr="00964102">
        <w:rPr>
          <w:lang w:val="en-US"/>
        </w:rPr>
        <w:t xml:space="preserve">, 2005 CSC 25, [2005] 1 R.C.S. 401; </w:t>
      </w:r>
      <w:r w:rsidR="009B6FA0" w:rsidRPr="00964102">
        <w:rPr>
          <w:i/>
          <w:lang w:val="en-US"/>
        </w:rPr>
        <w:t>F.H. c. McDougall</w:t>
      </w:r>
      <w:r w:rsidR="009B6FA0" w:rsidRPr="00964102">
        <w:rPr>
          <w:lang w:val="en-US"/>
        </w:rPr>
        <w:t xml:space="preserve">, 2008 CSC 53, [2008] 3 R.C.S. 41; </w:t>
      </w:r>
      <w:r w:rsidR="009B6FA0" w:rsidRPr="00964102">
        <w:rPr>
          <w:i/>
          <w:lang w:val="en-US"/>
        </w:rPr>
        <w:t xml:space="preserve">Delgamuukw c. </w:t>
      </w:r>
      <w:r w:rsidR="003E3276" w:rsidRPr="00964102">
        <w:rPr>
          <w:i/>
          <w:lang w:val="en-US"/>
        </w:rPr>
        <w:t>Colombie</w:t>
      </w:r>
      <w:r w:rsidR="00416B10" w:rsidRPr="00964102">
        <w:rPr>
          <w:i/>
          <w:lang w:val="en-US"/>
        </w:rPr>
        <w:noBreakHyphen/>
      </w:r>
      <w:r w:rsidR="003E3276" w:rsidRPr="00964102">
        <w:rPr>
          <w:i/>
          <w:lang w:val="en-US"/>
        </w:rPr>
        <w:t>Britannique</w:t>
      </w:r>
      <w:r w:rsidR="00F65DCA" w:rsidRPr="00964102">
        <w:rPr>
          <w:lang w:val="en-US"/>
        </w:rPr>
        <w:t>,</w:t>
      </w:r>
      <w:r w:rsidR="009B6FA0" w:rsidRPr="00964102">
        <w:rPr>
          <w:lang w:val="en-US"/>
        </w:rPr>
        <w:t xml:space="preserve"> [1997] 3 R.C.S. 1010; </w:t>
      </w:r>
      <w:r w:rsidR="009B6FA0" w:rsidRPr="00964102">
        <w:rPr>
          <w:i/>
          <w:lang w:val="en-US"/>
        </w:rPr>
        <w:t>Canada</w:t>
      </w:r>
      <w:r w:rsidR="006547F1" w:rsidRPr="00964102">
        <w:rPr>
          <w:i/>
          <w:lang w:val="en-US"/>
        </w:rPr>
        <w:t xml:space="preserve"> (Procureur général)</w:t>
      </w:r>
      <w:r w:rsidR="009B6FA0" w:rsidRPr="00964102">
        <w:rPr>
          <w:i/>
          <w:lang w:val="en-US"/>
        </w:rPr>
        <w:t xml:space="preserve"> c. </w:t>
      </w:r>
      <w:r w:rsidR="003E3276" w:rsidRPr="00964102">
        <w:rPr>
          <w:i/>
          <w:lang w:val="en-US"/>
        </w:rPr>
        <w:t>Hôtels Fairmont</w:t>
      </w:r>
      <w:r w:rsidR="009B6FA0" w:rsidRPr="00964102">
        <w:rPr>
          <w:i/>
          <w:lang w:val="en-US"/>
        </w:rPr>
        <w:t xml:space="preserve"> Inc.</w:t>
      </w:r>
      <w:r w:rsidR="009B6FA0" w:rsidRPr="00964102">
        <w:rPr>
          <w:lang w:val="en-US"/>
        </w:rPr>
        <w:t xml:space="preserve">, 2016 CSC </w:t>
      </w:r>
      <w:r w:rsidR="00673C32" w:rsidRPr="00964102">
        <w:rPr>
          <w:lang w:val="en-US"/>
        </w:rPr>
        <w:t>56</w:t>
      </w:r>
      <w:r w:rsidR="00B938ED">
        <w:rPr>
          <w:lang w:val="en-US"/>
        </w:rPr>
        <w:t>, [2016] 2 R.C.S. 720</w:t>
      </w:r>
      <w:r w:rsidR="009E6FAB" w:rsidRPr="00964102">
        <w:rPr>
          <w:lang w:val="en-US"/>
        </w:rPr>
        <w:t xml:space="preserve">; </w:t>
      </w:r>
      <w:r w:rsidR="009E6FAB" w:rsidRPr="00964102">
        <w:rPr>
          <w:i/>
          <w:lang w:val="en-US"/>
        </w:rPr>
        <w:t>Tweedie c. The King</w:t>
      </w:r>
      <w:r w:rsidR="009E6FAB" w:rsidRPr="00964102">
        <w:rPr>
          <w:lang w:val="en-US"/>
        </w:rPr>
        <w:t xml:space="preserve"> (1915), 52 R.C.S. 197; </w:t>
      </w:r>
      <w:r w:rsidR="009E6FAB" w:rsidRPr="00964102">
        <w:rPr>
          <w:i/>
          <w:lang w:val="en-US"/>
        </w:rPr>
        <w:t>Attorney</w:t>
      </w:r>
      <w:r w:rsidR="00416B10" w:rsidRPr="00964102">
        <w:rPr>
          <w:i/>
          <w:lang w:val="en-US"/>
        </w:rPr>
        <w:noBreakHyphen/>
      </w:r>
      <w:r w:rsidR="009E6FAB" w:rsidRPr="00964102">
        <w:rPr>
          <w:i/>
          <w:lang w:val="en-US"/>
        </w:rPr>
        <w:t>General for British Columbia</w:t>
      </w:r>
      <w:r w:rsidR="00BD26B5" w:rsidRPr="00964102">
        <w:rPr>
          <w:i/>
          <w:lang w:val="en-US"/>
        </w:rPr>
        <w:t xml:space="preserve"> c. Canadian Pacific Railway</w:t>
      </w:r>
      <w:r w:rsidR="009E6FAB" w:rsidRPr="00964102">
        <w:rPr>
          <w:lang w:val="en-US"/>
        </w:rPr>
        <w:t>, [1906] A.C. 204</w:t>
      </w:r>
      <w:r w:rsidR="009B6FA0" w:rsidRPr="00964102">
        <w:rPr>
          <w:lang w:val="en-US"/>
        </w:rPr>
        <w:t xml:space="preserve">. </w:t>
      </w:r>
    </w:p>
    <w:p w:rsidR="004D7D95" w:rsidRPr="00416B10" w:rsidRDefault="004D7D95" w:rsidP="00BF1D7F">
      <w:pPr>
        <w:pStyle w:val="SCCNormalDoubleSpacing"/>
        <w:widowControl w:val="0"/>
        <w:spacing w:after="720" w:line="240" w:lineRule="auto"/>
        <w:rPr>
          <w:b/>
          <w:lang w:val="en-US"/>
        </w:rPr>
      </w:pPr>
      <w:r w:rsidRPr="00416B10">
        <w:rPr>
          <w:b/>
          <w:lang w:val="en-US"/>
        </w:rPr>
        <w:t>Lois et règlements cités</w:t>
      </w:r>
    </w:p>
    <w:p w:rsidR="00AC2710" w:rsidRPr="00416B10" w:rsidRDefault="00AC2710" w:rsidP="00BF1D7F">
      <w:pPr>
        <w:pStyle w:val="SCCNormalDoubleSpacing"/>
        <w:widowControl w:val="0"/>
        <w:spacing w:after="240" w:line="240" w:lineRule="auto"/>
        <w:ind w:left="540" w:hanging="540"/>
        <w:rPr>
          <w:lang w:val="en-US"/>
        </w:rPr>
      </w:pPr>
      <w:r w:rsidRPr="00416B10">
        <w:rPr>
          <w:i/>
          <w:lang w:val="en-US"/>
        </w:rPr>
        <w:t>Escheats Act</w:t>
      </w:r>
      <w:r w:rsidRPr="00416B10">
        <w:rPr>
          <w:lang w:val="en-US"/>
        </w:rPr>
        <w:t xml:space="preserve">, R.S.B.C. 1924, </w:t>
      </w:r>
      <w:r w:rsidR="00194CE2" w:rsidRPr="00416B10">
        <w:rPr>
          <w:lang w:val="en-US"/>
        </w:rPr>
        <w:t>c. </w:t>
      </w:r>
      <w:r w:rsidRPr="00416B10">
        <w:rPr>
          <w:lang w:val="en-US"/>
        </w:rPr>
        <w:t xml:space="preserve">81, </w:t>
      </w:r>
      <w:r w:rsidR="00416B10">
        <w:rPr>
          <w:lang w:val="en-US"/>
        </w:rPr>
        <w:t>art. </w:t>
      </w:r>
      <w:r w:rsidRPr="00416B10">
        <w:rPr>
          <w:lang w:val="en-US"/>
        </w:rPr>
        <w:t>3A</w:t>
      </w:r>
      <w:r w:rsidR="00FE27F3" w:rsidRPr="00416B10">
        <w:rPr>
          <w:lang w:val="en-US"/>
        </w:rPr>
        <w:t xml:space="preserve"> [mod. 1924, c. 18, </w:t>
      </w:r>
      <w:r w:rsidR="00416B10">
        <w:rPr>
          <w:lang w:val="en-US"/>
        </w:rPr>
        <w:t>art. </w:t>
      </w:r>
      <w:r w:rsidR="00FE27F3" w:rsidRPr="00416B10">
        <w:rPr>
          <w:lang w:val="en-US"/>
        </w:rPr>
        <w:t>2]</w:t>
      </w:r>
      <w:r w:rsidRPr="00416B10">
        <w:rPr>
          <w:lang w:val="en-US"/>
        </w:rPr>
        <w:t>.</w:t>
      </w:r>
    </w:p>
    <w:p w:rsidR="000721BF" w:rsidRPr="00416B10" w:rsidRDefault="000721BF" w:rsidP="00BF1D7F">
      <w:pPr>
        <w:pStyle w:val="SCCNormalDoubleSpacing"/>
        <w:widowControl w:val="0"/>
        <w:spacing w:after="240" w:line="240" w:lineRule="auto"/>
        <w:ind w:left="540" w:hanging="540"/>
        <w:rPr>
          <w:lang w:val="en-US"/>
        </w:rPr>
      </w:pPr>
      <w:r w:rsidRPr="00416B10">
        <w:rPr>
          <w:i/>
        </w:rPr>
        <w:t>Escheats Act Amendment Act, 1924</w:t>
      </w:r>
      <w:r w:rsidR="007E5E4E">
        <w:t>, S.B.C. 1924, c. </w:t>
      </w:r>
      <w:r w:rsidRPr="00416B10">
        <w:t xml:space="preserve">18, </w:t>
      </w:r>
      <w:r w:rsidR="00416B10">
        <w:t>art. </w:t>
      </w:r>
      <w:r w:rsidRPr="00416B10">
        <w:t>2</w:t>
      </w:r>
    </w:p>
    <w:p w:rsidR="00AC2710" w:rsidRPr="00416B10" w:rsidRDefault="00AC2710" w:rsidP="00BF1D7F">
      <w:pPr>
        <w:pStyle w:val="SCCNormalDoubleSpacing"/>
        <w:widowControl w:val="0"/>
        <w:spacing w:after="240" w:line="240" w:lineRule="auto"/>
        <w:ind w:left="540" w:hanging="540"/>
      </w:pPr>
      <w:r w:rsidRPr="00416B10">
        <w:rPr>
          <w:i/>
        </w:rPr>
        <w:t>Land Act</w:t>
      </w:r>
      <w:r w:rsidRPr="00416B10">
        <w:t xml:space="preserve">, R.S.B.C. 1996, </w:t>
      </w:r>
      <w:r w:rsidR="00194CE2" w:rsidRPr="00416B10">
        <w:t>c. </w:t>
      </w:r>
      <w:r w:rsidRPr="00416B10">
        <w:t xml:space="preserve">245, </w:t>
      </w:r>
      <w:r w:rsidR="00416B10">
        <w:t>art. </w:t>
      </w:r>
      <w:r w:rsidR="000721BF" w:rsidRPr="00416B10">
        <w:t>8</w:t>
      </w:r>
      <w:r w:rsidRPr="00416B10">
        <w:t>.</w:t>
      </w:r>
    </w:p>
    <w:p w:rsidR="000721BF" w:rsidRPr="00416B10" w:rsidRDefault="00AC2710" w:rsidP="00BF1D7F">
      <w:pPr>
        <w:pStyle w:val="SCCNormalDoubleSpacing"/>
        <w:widowControl w:val="0"/>
        <w:spacing w:after="240" w:line="240" w:lineRule="auto"/>
        <w:ind w:left="540" w:hanging="540"/>
      </w:pPr>
      <w:r w:rsidRPr="00416B10">
        <w:rPr>
          <w:i/>
        </w:rPr>
        <w:t>Land Act</w:t>
      </w:r>
      <w:r w:rsidRPr="00416B10">
        <w:t xml:space="preserve">, S.B.C. 1970, </w:t>
      </w:r>
      <w:r w:rsidR="00194CE2" w:rsidRPr="00416B10">
        <w:t>c. </w:t>
      </w:r>
      <w:r w:rsidRPr="00416B10">
        <w:t xml:space="preserve">17, </w:t>
      </w:r>
      <w:r w:rsidR="00416B10">
        <w:t>art. </w:t>
      </w:r>
      <w:r w:rsidRPr="00416B10">
        <w:t>6.</w:t>
      </w:r>
    </w:p>
    <w:p w:rsidR="00AC2710" w:rsidRPr="00416B10" w:rsidRDefault="00AC2710" w:rsidP="00BF1D7F">
      <w:pPr>
        <w:pStyle w:val="SCCNormalDoubleSpacing"/>
        <w:widowControl w:val="0"/>
        <w:spacing w:after="240" w:line="240" w:lineRule="auto"/>
        <w:ind w:left="540" w:hanging="540"/>
      </w:pPr>
      <w:r w:rsidRPr="00416B10">
        <w:rPr>
          <w:i/>
        </w:rPr>
        <w:t>Land Title Act</w:t>
      </w:r>
      <w:r w:rsidRPr="00416B10">
        <w:t>,</w:t>
      </w:r>
      <w:r w:rsidRPr="00416B10">
        <w:rPr>
          <w:i/>
        </w:rPr>
        <w:t xml:space="preserve"> </w:t>
      </w:r>
      <w:r w:rsidRPr="00416B10">
        <w:t>R.</w:t>
      </w:r>
      <w:r w:rsidR="00E337DA" w:rsidRPr="00416B10">
        <w:t xml:space="preserve">S.B.C. 1996, </w:t>
      </w:r>
      <w:r w:rsidR="00194CE2" w:rsidRPr="00416B10">
        <w:t>c. </w:t>
      </w:r>
      <w:r w:rsidR="00E337DA" w:rsidRPr="00416B10">
        <w:t xml:space="preserve">250, </w:t>
      </w:r>
      <w:r w:rsidR="00416B10">
        <w:t>art. </w:t>
      </w:r>
      <w:r w:rsidR="00E337DA" w:rsidRPr="00416B10">
        <w:t>20</w:t>
      </w:r>
      <w:r w:rsidRPr="00416B10">
        <w:t xml:space="preserve">. </w:t>
      </w:r>
    </w:p>
    <w:p w:rsidR="00AC2710" w:rsidRPr="00416B10" w:rsidRDefault="00AC2710" w:rsidP="00BF1D7F">
      <w:pPr>
        <w:pStyle w:val="SCCNormalDoubleSpacing"/>
        <w:widowControl w:val="0"/>
        <w:spacing w:after="240" w:line="240" w:lineRule="auto"/>
        <w:ind w:left="540" w:hanging="540"/>
      </w:pPr>
      <w:r w:rsidRPr="00416B10">
        <w:rPr>
          <w:i/>
        </w:rPr>
        <w:lastRenderedPageBreak/>
        <w:t>Land Title Inquiry Act</w:t>
      </w:r>
      <w:r w:rsidRPr="00416B10">
        <w:t xml:space="preserve">, R.S.B.C. 1996, </w:t>
      </w:r>
      <w:r w:rsidR="00194CE2" w:rsidRPr="00416B10">
        <w:t>c. </w:t>
      </w:r>
      <w:r w:rsidRPr="00416B10">
        <w:t xml:space="preserve">251, </w:t>
      </w:r>
      <w:r w:rsidR="00416B10">
        <w:t>art. </w:t>
      </w:r>
      <w:r w:rsidRPr="00416B10">
        <w:t>8(c), 11.</w:t>
      </w:r>
    </w:p>
    <w:p w:rsidR="00AC2710" w:rsidRPr="00416B10" w:rsidRDefault="00AC2710" w:rsidP="00BF1D7F">
      <w:pPr>
        <w:pStyle w:val="SCCNormalDoubleSpacing"/>
        <w:widowControl w:val="0"/>
        <w:spacing w:after="240" w:line="240" w:lineRule="auto"/>
        <w:ind w:left="540" w:hanging="540"/>
      </w:pPr>
      <w:r w:rsidRPr="00416B10">
        <w:rPr>
          <w:i/>
        </w:rPr>
        <w:t>Law and Equity Act</w:t>
      </w:r>
      <w:r w:rsidRPr="00416B10">
        <w:t xml:space="preserve">, </w:t>
      </w:r>
      <w:r w:rsidR="00B56C7C" w:rsidRPr="00416B10">
        <w:t xml:space="preserve">R.S.B.C. 1996, </w:t>
      </w:r>
      <w:r w:rsidR="00194CE2" w:rsidRPr="00416B10">
        <w:t>c. </w:t>
      </w:r>
      <w:r w:rsidR="00B56C7C" w:rsidRPr="00416B10">
        <w:t xml:space="preserve">253, </w:t>
      </w:r>
      <w:r w:rsidR="00416B10">
        <w:t>art. </w:t>
      </w:r>
      <w:r w:rsidRPr="00416B10">
        <w:t>2.</w:t>
      </w:r>
    </w:p>
    <w:p w:rsidR="00F666A9" w:rsidRPr="00416B10" w:rsidRDefault="00F666A9" w:rsidP="00BF1D7F">
      <w:pPr>
        <w:pStyle w:val="SCCNormalDoubleSpacing"/>
        <w:widowControl w:val="0"/>
        <w:spacing w:after="240" w:line="240" w:lineRule="auto"/>
        <w:ind w:left="540" w:hanging="540"/>
      </w:pPr>
      <w:r w:rsidRPr="00416B10">
        <w:rPr>
          <w:i/>
        </w:rPr>
        <w:t>Limitation Act</w:t>
      </w:r>
      <w:r w:rsidR="007E5E4E">
        <w:t>, R.S.B.C. 1996, c. </w:t>
      </w:r>
      <w:r w:rsidRPr="00416B10">
        <w:t xml:space="preserve">266, </w:t>
      </w:r>
      <w:r w:rsidR="00416B10">
        <w:t>art. </w:t>
      </w:r>
      <w:r w:rsidRPr="00416B10">
        <w:t>14(5).</w:t>
      </w:r>
    </w:p>
    <w:p w:rsidR="00626501" w:rsidRPr="00416B10" w:rsidRDefault="00626501" w:rsidP="00BF1D7F">
      <w:pPr>
        <w:pStyle w:val="SCCNormalDoubleSpacing"/>
        <w:widowControl w:val="0"/>
        <w:spacing w:after="240" w:line="240" w:lineRule="auto"/>
        <w:ind w:left="540" w:hanging="540"/>
        <w:rPr>
          <w:lang w:val="en"/>
        </w:rPr>
      </w:pPr>
      <w:r w:rsidRPr="00416B10">
        <w:rPr>
          <w:i/>
        </w:rPr>
        <w:t>Limitation Act, 1623</w:t>
      </w:r>
      <w:r w:rsidR="00E245E6">
        <w:t xml:space="preserve"> (A</w:t>
      </w:r>
      <w:r w:rsidRPr="00416B10">
        <w:t>ng</w:t>
      </w:r>
      <w:r w:rsidR="005172B5">
        <w:t>l</w:t>
      </w:r>
      <w:r w:rsidRPr="00416B10">
        <w:t xml:space="preserve">.), </w:t>
      </w:r>
      <w:r w:rsidRPr="00416B10">
        <w:rPr>
          <w:lang w:val="en"/>
        </w:rPr>
        <w:t xml:space="preserve">21 Jas. 1, </w:t>
      </w:r>
      <w:r w:rsidR="00194CE2" w:rsidRPr="00416B10">
        <w:rPr>
          <w:lang w:val="en"/>
        </w:rPr>
        <w:t>c. </w:t>
      </w:r>
      <w:r w:rsidRPr="00416B10">
        <w:rPr>
          <w:lang w:val="en"/>
        </w:rPr>
        <w:t>16.</w:t>
      </w:r>
    </w:p>
    <w:p w:rsidR="00DD2C19" w:rsidRPr="00416B10" w:rsidRDefault="00DD2C19" w:rsidP="00BF1D7F">
      <w:pPr>
        <w:pStyle w:val="SCCNormalDoubleSpacing"/>
        <w:widowControl w:val="0"/>
        <w:spacing w:after="240" w:line="240" w:lineRule="auto"/>
        <w:ind w:left="540" w:hanging="540"/>
      </w:pPr>
      <w:r w:rsidRPr="00416B10">
        <w:rPr>
          <w:i/>
        </w:rPr>
        <w:t>Limitation of Actions (Realty) Act</w:t>
      </w:r>
      <w:r w:rsidRPr="00416B10">
        <w:t xml:space="preserve">, R.S.N. 1952, </w:t>
      </w:r>
      <w:r w:rsidR="00194CE2" w:rsidRPr="00416B10">
        <w:t>c. </w:t>
      </w:r>
      <w:r w:rsidRPr="00416B10">
        <w:t>145.</w:t>
      </w:r>
    </w:p>
    <w:p w:rsidR="00E04D82" w:rsidRPr="00416B10" w:rsidRDefault="00E04D82" w:rsidP="00BF1D7F">
      <w:pPr>
        <w:pStyle w:val="SCCNormalDoubleSpacing"/>
        <w:widowControl w:val="0"/>
        <w:spacing w:after="240" w:line="240" w:lineRule="auto"/>
        <w:ind w:left="540" w:hanging="540"/>
      </w:pPr>
      <w:r w:rsidRPr="00416B10">
        <w:rPr>
          <w:i/>
        </w:rPr>
        <w:t>Limitations Act</w:t>
      </w:r>
      <w:r w:rsidRPr="00416B10">
        <w:t xml:space="preserve">, S.B.C. 1975, </w:t>
      </w:r>
      <w:r w:rsidR="00194CE2" w:rsidRPr="00416B10">
        <w:t>c. </w:t>
      </w:r>
      <w:r w:rsidRPr="00416B10">
        <w:t xml:space="preserve">37. </w:t>
      </w:r>
    </w:p>
    <w:p w:rsidR="00AC2710" w:rsidRPr="00416B10" w:rsidRDefault="00AC2710" w:rsidP="00BF1D7F">
      <w:pPr>
        <w:pStyle w:val="SCCNormalDoubleSpacing"/>
        <w:widowControl w:val="0"/>
        <w:spacing w:after="240" w:line="240" w:lineRule="auto"/>
        <w:ind w:left="540" w:hanging="540"/>
      </w:pPr>
      <w:r w:rsidRPr="00416B10">
        <w:rPr>
          <w:i/>
        </w:rPr>
        <w:t>Real Property Limitation Act</w:t>
      </w:r>
      <w:r w:rsidRPr="00416B10">
        <w:t xml:space="preserve">, </w:t>
      </w:r>
      <w:r w:rsidRPr="00416B10">
        <w:rPr>
          <w:i/>
        </w:rPr>
        <w:t>1833</w:t>
      </w:r>
      <w:r w:rsidR="00E245E6">
        <w:t xml:space="preserve"> (R.-U</w:t>
      </w:r>
      <w:r w:rsidR="00D53DF9" w:rsidRPr="00416B10">
        <w:t>.</w:t>
      </w:r>
      <w:r w:rsidRPr="00416B10">
        <w:t xml:space="preserve">), 3 &amp; 4 Will. 4, </w:t>
      </w:r>
      <w:r w:rsidR="00194CE2" w:rsidRPr="00416B10">
        <w:t>c. </w:t>
      </w:r>
      <w:r w:rsidRPr="00416B10">
        <w:t>27.</w:t>
      </w:r>
    </w:p>
    <w:p w:rsidR="001F404C" w:rsidRPr="00416B10" w:rsidRDefault="001F404C" w:rsidP="00BF1D7F">
      <w:pPr>
        <w:pStyle w:val="SCCNormalDoubleSpacing"/>
        <w:widowControl w:val="0"/>
        <w:spacing w:after="240" w:line="240" w:lineRule="auto"/>
        <w:ind w:left="540" w:hanging="540"/>
      </w:pPr>
      <w:r w:rsidRPr="00416B10">
        <w:rPr>
          <w:i/>
        </w:rPr>
        <w:t>Statute of Limitations</w:t>
      </w:r>
      <w:r w:rsidRPr="00416B10">
        <w:t xml:space="preserve">, R.S.B.C. 1897, </w:t>
      </w:r>
      <w:r w:rsidR="00194CE2" w:rsidRPr="00416B10">
        <w:t>c. </w:t>
      </w:r>
      <w:r w:rsidR="00A06F84" w:rsidRPr="00416B10">
        <w:t>123.</w:t>
      </w:r>
    </w:p>
    <w:p w:rsidR="009E6FAB" w:rsidRPr="00416B10" w:rsidRDefault="009E6FAB" w:rsidP="00BF1D7F">
      <w:pPr>
        <w:pStyle w:val="SCCNormalDoubleSpacing"/>
        <w:widowControl w:val="0"/>
        <w:spacing w:after="240" w:line="240" w:lineRule="auto"/>
        <w:ind w:left="540" w:hanging="540"/>
      </w:pPr>
      <w:r w:rsidRPr="00416B10">
        <w:rPr>
          <w:i/>
        </w:rPr>
        <w:t>Statute of Limitations</w:t>
      </w:r>
      <w:r w:rsidRPr="00416B10">
        <w:t xml:space="preserve">, R.S.B.C. 1924, c. 145, </w:t>
      </w:r>
      <w:r w:rsidR="00416B10">
        <w:t>art. </w:t>
      </w:r>
      <w:r w:rsidRPr="00416B10">
        <w:t>16, 17.</w:t>
      </w:r>
    </w:p>
    <w:p w:rsidR="00AC2710" w:rsidRPr="00416B10" w:rsidRDefault="00AC2710" w:rsidP="00BF1D7F">
      <w:pPr>
        <w:pStyle w:val="SCCNormalDoubleSpacing"/>
        <w:widowControl w:val="0"/>
        <w:spacing w:after="720" w:line="240" w:lineRule="auto"/>
        <w:ind w:left="547" w:hanging="547"/>
      </w:pPr>
      <w:r w:rsidRPr="00416B10">
        <w:rPr>
          <w:i/>
        </w:rPr>
        <w:t>Statute of Limitations</w:t>
      </w:r>
      <w:r w:rsidR="00B56C7C" w:rsidRPr="00416B10">
        <w:t xml:space="preserve">, R.S.B.C. 1960, </w:t>
      </w:r>
      <w:r w:rsidR="00194CE2" w:rsidRPr="00416B10">
        <w:t>c. </w:t>
      </w:r>
      <w:r w:rsidR="00B56C7C" w:rsidRPr="00416B10">
        <w:t xml:space="preserve">370, </w:t>
      </w:r>
      <w:r w:rsidR="00416B10">
        <w:t>art. </w:t>
      </w:r>
      <w:r w:rsidRPr="00416B10">
        <w:t xml:space="preserve">48. </w:t>
      </w:r>
    </w:p>
    <w:p w:rsidR="004D7D95" w:rsidRPr="00416B10" w:rsidRDefault="004D7D95" w:rsidP="00BF1D7F">
      <w:pPr>
        <w:pStyle w:val="SCCNormalDoubleSpacing"/>
        <w:widowControl w:val="0"/>
        <w:spacing w:after="720" w:line="240" w:lineRule="auto"/>
        <w:rPr>
          <w:lang w:val="en-US"/>
        </w:rPr>
      </w:pPr>
      <w:r w:rsidRPr="00416B10">
        <w:rPr>
          <w:b/>
          <w:lang w:val="en-US"/>
        </w:rPr>
        <w:t>Doctrine et autres documents cités</w:t>
      </w:r>
    </w:p>
    <w:p w:rsidR="00B604AA" w:rsidRPr="00416B10" w:rsidRDefault="00B604AA" w:rsidP="00BF1D7F">
      <w:pPr>
        <w:pStyle w:val="SCCNormalDoubleSpacing"/>
        <w:widowControl w:val="0"/>
        <w:spacing w:after="240" w:line="240" w:lineRule="auto"/>
        <w:ind w:left="540" w:hanging="540"/>
      </w:pPr>
      <w:r w:rsidRPr="00416B10">
        <w:rPr>
          <w:i/>
        </w:rPr>
        <w:t xml:space="preserve">Anger </w:t>
      </w:r>
      <w:r w:rsidR="00C56888" w:rsidRPr="00416B10">
        <w:rPr>
          <w:i/>
        </w:rPr>
        <w:t>&amp;</w:t>
      </w:r>
      <w:r w:rsidRPr="00416B10">
        <w:rPr>
          <w:i/>
        </w:rPr>
        <w:t xml:space="preserve"> Honsberger</w:t>
      </w:r>
      <w:r w:rsidRPr="00416B10">
        <w:t xml:space="preserve"> </w:t>
      </w:r>
      <w:r w:rsidRPr="00416B10">
        <w:rPr>
          <w:i/>
        </w:rPr>
        <w:t>Law of Real Property</w:t>
      </w:r>
      <w:r w:rsidRPr="00416B10">
        <w:t>, 3rd ed., by Anne Warner La Forest, ed.</w:t>
      </w:r>
      <w:r w:rsidR="00FE0CA2" w:rsidRPr="00416B10">
        <w:t>,</w:t>
      </w:r>
      <w:r w:rsidRPr="00416B10">
        <w:t xml:space="preserve"> </w:t>
      </w:r>
      <w:r w:rsidR="00770030" w:rsidRPr="00416B10">
        <w:t>Toronto</w:t>
      </w:r>
      <w:r w:rsidRPr="00416B10">
        <w:t>, Canada Law Book, 20</w:t>
      </w:r>
      <w:r w:rsidR="00770030" w:rsidRPr="00416B10">
        <w:t>1</w:t>
      </w:r>
      <w:r w:rsidRPr="00416B10">
        <w:t>6 (loose</w:t>
      </w:r>
      <w:r w:rsidR="00416B10">
        <w:noBreakHyphen/>
      </w:r>
      <w:r w:rsidRPr="00416B10">
        <w:t xml:space="preserve">leaf </w:t>
      </w:r>
      <w:r w:rsidR="00834A8D" w:rsidRPr="00416B10">
        <w:t>updated September 2016, release </w:t>
      </w:r>
      <w:r w:rsidRPr="00416B10">
        <w:t xml:space="preserve">16). </w:t>
      </w:r>
    </w:p>
    <w:p w:rsidR="004564D6" w:rsidRPr="00416B10" w:rsidRDefault="004564D6" w:rsidP="00BF1D7F">
      <w:pPr>
        <w:pStyle w:val="SCCNormalDoubleSpacing"/>
        <w:widowControl w:val="0"/>
        <w:spacing w:after="240" w:line="240" w:lineRule="auto"/>
        <w:ind w:left="540" w:hanging="540"/>
      </w:pPr>
      <w:r w:rsidRPr="00416B10">
        <w:t>Lubetsky, Michael H. « Adding Epicycles</w:t>
      </w:r>
      <w:r w:rsidR="00416B10">
        <w:t> :</w:t>
      </w:r>
      <w:r w:rsidRPr="00416B10">
        <w:t xml:space="preserve"> The Inconsistent Use Test in Adverse Possession Law » (2009), 47 </w:t>
      </w:r>
      <w:r w:rsidRPr="00416B10">
        <w:rPr>
          <w:i/>
        </w:rPr>
        <w:t>Osgoode Hall L.J.</w:t>
      </w:r>
      <w:r w:rsidRPr="00416B10">
        <w:t xml:space="preserve"> 497.</w:t>
      </w:r>
    </w:p>
    <w:p w:rsidR="00770030" w:rsidRPr="00416B10" w:rsidRDefault="00770030" w:rsidP="00BF1D7F">
      <w:pPr>
        <w:pStyle w:val="SCCNormalDoubleSpacing"/>
        <w:widowControl w:val="0"/>
        <w:spacing w:after="720" w:line="240" w:lineRule="auto"/>
        <w:ind w:left="547" w:hanging="547"/>
      </w:pPr>
      <w:r w:rsidRPr="00416B10">
        <w:t xml:space="preserve">Ziff, Bruce. </w:t>
      </w:r>
      <w:r w:rsidRPr="00416B10">
        <w:rPr>
          <w:i/>
        </w:rPr>
        <w:t>Principles of Property Law</w:t>
      </w:r>
      <w:r w:rsidRPr="00416B10">
        <w:t>, 6th ed., Toronto, Carswell, 2014.</w:t>
      </w:r>
    </w:p>
    <w:p w:rsidR="004D7D95" w:rsidRPr="00B534F5" w:rsidRDefault="00A02C67" w:rsidP="00BF1D7F">
      <w:pPr>
        <w:pStyle w:val="SCCNormalDoubleSpacing"/>
        <w:widowControl w:val="0"/>
        <w:spacing w:before="480" w:after="480"/>
        <w:rPr>
          <w:lang w:val="fr-CA"/>
        </w:rPr>
      </w:pPr>
      <w:r w:rsidRPr="00416B10">
        <w:rPr>
          <w:lang w:val="en-US"/>
        </w:rPr>
        <w:tab/>
      </w:r>
      <w:r w:rsidR="004D7D95" w:rsidRPr="00416B10">
        <w:rPr>
          <w:lang w:val="en-US"/>
        </w:rPr>
        <w:t xml:space="preserve">POURVOI contre </w:t>
      </w:r>
      <w:r w:rsidR="005069E0">
        <w:rPr>
          <w:lang w:val="en-US"/>
        </w:rPr>
        <w:t>deux</w:t>
      </w:r>
      <w:r w:rsidR="004D7D95" w:rsidRPr="00416B10">
        <w:rPr>
          <w:lang w:val="en-US"/>
        </w:rPr>
        <w:t xml:space="preserve"> arrêt</w:t>
      </w:r>
      <w:r w:rsidR="005069E0">
        <w:rPr>
          <w:lang w:val="en-US"/>
        </w:rPr>
        <w:t>s</w:t>
      </w:r>
      <w:r w:rsidR="004D7D95" w:rsidRPr="00416B10">
        <w:rPr>
          <w:lang w:val="en-US"/>
        </w:rPr>
        <w:t xml:space="preserve"> de la Cour d</w:t>
      </w:r>
      <w:r w:rsidR="007E5E4E">
        <w:rPr>
          <w:lang w:val="en-US"/>
        </w:rPr>
        <w:t>’</w:t>
      </w:r>
      <w:r w:rsidR="004D7D95" w:rsidRPr="00416B10">
        <w:rPr>
          <w:lang w:val="en-US"/>
        </w:rPr>
        <w:t>a</w:t>
      </w:r>
      <w:r w:rsidRPr="00416B10">
        <w:rPr>
          <w:lang w:val="en-US"/>
        </w:rPr>
        <w:t>ppel de la Colombie</w:t>
      </w:r>
      <w:r w:rsidR="00416B10">
        <w:rPr>
          <w:lang w:val="en-US"/>
        </w:rPr>
        <w:noBreakHyphen/>
      </w:r>
      <w:r w:rsidRPr="00416B10">
        <w:rPr>
          <w:lang w:val="en-US"/>
        </w:rPr>
        <w:t xml:space="preserve">Britannique (les juges Saunders, Chiasson et Harris), 2016 BCCA 113, 83 B.C.L.R. (5th) 396, 384 B.C.A.C. 101, 663 W.A.C. 101, 395 D.L.R. (4th) 432, 46 M.P.L.R. (5th) 27, 63 R.P.R. (5th) 8, [2016] 8 W.W.R. 63, [2016] B.C.J. </w:t>
      </w:r>
      <w:r w:rsidR="00416B10">
        <w:rPr>
          <w:lang w:val="en-US"/>
        </w:rPr>
        <w:t>No. </w:t>
      </w:r>
      <w:r w:rsidRPr="00416B10">
        <w:rPr>
          <w:lang w:val="en-US"/>
        </w:rPr>
        <w:t xml:space="preserve">474 (QL), 2016 CarswellBC 611 (WL Can.), qui </w:t>
      </w:r>
      <w:r w:rsidR="003767CD">
        <w:rPr>
          <w:lang w:val="en-US"/>
        </w:rPr>
        <w:t>ont</w:t>
      </w:r>
      <w:r w:rsidRPr="00416B10">
        <w:rPr>
          <w:lang w:val="en-US"/>
        </w:rPr>
        <w:t xml:space="preserve"> infirmé deux décisions du juge Kelleher, 2014 BCSC 988, 25 M.P.L.R. (5th) 79, 46 R.P.R. (5th) 217, [2014] B.C.J. </w:t>
      </w:r>
      <w:r w:rsidR="00416B10">
        <w:rPr>
          <w:lang w:val="en-US"/>
        </w:rPr>
        <w:t>No. </w:t>
      </w:r>
      <w:r w:rsidRPr="00416B10">
        <w:rPr>
          <w:lang w:val="en-US"/>
        </w:rPr>
        <w:t xml:space="preserve">1104 </w:t>
      </w:r>
      <w:r w:rsidRPr="00416B10">
        <w:rPr>
          <w:lang w:val="en-US"/>
        </w:rPr>
        <w:lastRenderedPageBreak/>
        <w:t>(QL), 2014 CarswellBC 1580 (WL Can.)</w:t>
      </w:r>
      <w:r w:rsidR="00F327EC" w:rsidRPr="00416B10">
        <w:rPr>
          <w:lang w:val="en-US"/>
        </w:rPr>
        <w:t xml:space="preserve">, et 2014 BCSC 2219, [2014] B.C.J. </w:t>
      </w:r>
      <w:r w:rsidR="00416B10">
        <w:rPr>
          <w:lang w:val="en-US"/>
        </w:rPr>
        <w:t>No. </w:t>
      </w:r>
      <w:r w:rsidR="00F327EC" w:rsidRPr="00416B10">
        <w:rPr>
          <w:lang w:val="en-US"/>
        </w:rPr>
        <w:t>2907 (QL), 2014 CarswellBC 3538 (WL Can.)</w:t>
      </w:r>
      <w:r w:rsidRPr="00416B10">
        <w:rPr>
          <w:lang w:val="en-US"/>
        </w:rPr>
        <w:t xml:space="preserve">. </w:t>
      </w:r>
      <w:r w:rsidRPr="00B534F5">
        <w:rPr>
          <w:lang w:val="fr-CA"/>
        </w:rPr>
        <w:t xml:space="preserve">Pourvoi </w:t>
      </w:r>
      <w:r w:rsidR="005C10E8" w:rsidRPr="00B534F5">
        <w:rPr>
          <w:lang w:val="fr-CA"/>
        </w:rPr>
        <w:t>accueilli</w:t>
      </w:r>
      <w:r w:rsidRPr="00B534F5">
        <w:rPr>
          <w:lang w:val="fr-CA"/>
        </w:rPr>
        <w:t>.</w:t>
      </w:r>
    </w:p>
    <w:p w:rsidR="005D018A" w:rsidRPr="00416B10" w:rsidRDefault="00207AFD" w:rsidP="00BF1D7F">
      <w:pPr>
        <w:pStyle w:val="SCCNormalDoubleSpacing"/>
        <w:widowControl w:val="0"/>
        <w:spacing w:before="480" w:after="480"/>
        <w:rPr>
          <w:lang w:val="fr-CA"/>
        </w:rPr>
      </w:pPr>
      <w:r w:rsidRPr="00B534F5">
        <w:rPr>
          <w:i/>
          <w:lang w:val="fr-CA"/>
        </w:rPr>
        <w:tab/>
      </w:r>
      <w:r w:rsidRPr="006E5D53">
        <w:rPr>
          <w:i/>
          <w:lang w:val="fr-CA"/>
        </w:rPr>
        <w:t>Ryan D. W. Dalziel</w:t>
      </w:r>
      <w:r w:rsidRPr="006E5D53">
        <w:rPr>
          <w:lang w:val="fr-CA"/>
        </w:rPr>
        <w:t xml:space="preserve">, </w:t>
      </w:r>
      <w:r w:rsidRPr="006E5D53">
        <w:rPr>
          <w:i/>
          <w:lang w:val="fr-CA"/>
        </w:rPr>
        <w:t xml:space="preserve">A. Scott McW. </w:t>
      </w:r>
      <w:r w:rsidRPr="00416B10">
        <w:rPr>
          <w:i/>
          <w:lang w:val="fr-CA"/>
        </w:rPr>
        <w:t>Boucher</w:t>
      </w:r>
      <w:r w:rsidRPr="00416B10">
        <w:rPr>
          <w:lang w:val="fr-CA"/>
        </w:rPr>
        <w:t xml:space="preserve"> et </w:t>
      </w:r>
      <w:r w:rsidRPr="00416B10">
        <w:rPr>
          <w:i/>
          <w:lang w:val="fr-CA"/>
        </w:rPr>
        <w:t>Daniel R. Bennett</w:t>
      </w:r>
      <w:r w:rsidRPr="00416B10">
        <w:rPr>
          <w:lang w:val="fr-CA"/>
        </w:rPr>
        <w:t xml:space="preserve">, </w:t>
      </w:r>
      <w:r w:rsidRPr="00416B10">
        <w:rPr>
          <w:i/>
          <w:lang w:val="fr-CA"/>
        </w:rPr>
        <w:t>c.r.</w:t>
      </w:r>
      <w:r w:rsidRPr="00416B10">
        <w:rPr>
          <w:lang w:val="fr-CA"/>
        </w:rPr>
        <w:t>, pour l</w:t>
      </w:r>
      <w:r w:rsidR="007E5E4E">
        <w:rPr>
          <w:lang w:val="fr-CA"/>
        </w:rPr>
        <w:t>’</w:t>
      </w:r>
      <w:r w:rsidRPr="00416B10">
        <w:rPr>
          <w:lang w:val="fr-CA"/>
        </w:rPr>
        <w:t>appelante.</w:t>
      </w:r>
    </w:p>
    <w:p w:rsidR="005D018A" w:rsidRPr="00416B10" w:rsidRDefault="00207AFD" w:rsidP="00BF1D7F">
      <w:pPr>
        <w:pStyle w:val="SCCNormalDoubleSpacing"/>
        <w:widowControl w:val="0"/>
        <w:spacing w:before="480" w:after="480"/>
        <w:rPr>
          <w:lang w:val="fr-CA"/>
        </w:rPr>
      </w:pPr>
      <w:r w:rsidRPr="00416B10">
        <w:rPr>
          <w:i/>
          <w:lang w:val="fr-CA"/>
        </w:rPr>
        <w:tab/>
        <w:t>K. Michael Stephens</w:t>
      </w:r>
      <w:r w:rsidRPr="00416B10">
        <w:rPr>
          <w:lang w:val="fr-CA"/>
        </w:rPr>
        <w:t xml:space="preserve">, </w:t>
      </w:r>
      <w:r w:rsidRPr="00416B10">
        <w:rPr>
          <w:i/>
          <w:lang w:val="fr-CA"/>
        </w:rPr>
        <w:t>Stephanie McHugh</w:t>
      </w:r>
      <w:r w:rsidRPr="00416B10">
        <w:rPr>
          <w:lang w:val="fr-CA"/>
        </w:rPr>
        <w:t xml:space="preserve"> et </w:t>
      </w:r>
      <w:r w:rsidRPr="00416B10">
        <w:rPr>
          <w:i/>
          <w:lang w:val="fr-CA"/>
        </w:rPr>
        <w:t>Ryan J. M. Androsoff</w:t>
      </w:r>
      <w:r w:rsidRPr="00416B10">
        <w:rPr>
          <w:lang w:val="fr-CA"/>
        </w:rPr>
        <w:t>, pour les intimés.</w:t>
      </w:r>
    </w:p>
    <w:p w:rsidR="005D018A" w:rsidRDefault="00207AFD" w:rsidP="00BF1D7F">
      <w:pPr>
        <w:pStyle w:val="SCCNormalDoubleSpacing"/>
        <w:widowControl w:val="0"/>
        <w:spacing w:before="480" w:after="480"/>
        <w:rPr>
          <w:lang w:val="fr-CA"/>
        </w:rPr>
      </w:pPr>
      <w:r w:rsidRPr="00416B10">
        <w:rPr>
          <w:i/>
          <w:lang w:val="fr-CA"/>
        </w:rPr>
        <w:tab/>
        <w:t xml:space="preserve">Barbara Carmichael </w:t>
      </w:r>
      <w:r w:rsidRPr="00416B10">
        <w:rPr>
          <w:lang w:val="fr-CA"/>
        </w:rPr>
        <w:t>et</w:t>
      </w:r>
      <w:r w:rsidRPr="00416B10">
        <w:rPr>
          <w:i/>
          <w:lang w:val="fr-CA"/>
        </w:rPr>
        <w:t xml:space="preserve"> Cory R. Bargen</w:t>
      </w:r>
      <w:r w:rsidRPr="00416B10">
        <w:rPr>
          <w:lang w:val="fr-CA"/>
        </w:rPr>
        <w:t>, pour l</w:t>
      </w:r>
      <w:r w:rsidR="007E5E4E">
        <w:rPr>
          <w:lang w:val="fr-CA"/>
        </w:rPr>
        <w:t>’</w:t>
      </w:r>
      <w:r w:rsidRPr="00416B10">
        <w:rPr>
          <w:lang w:val="fr-CA"/>
        </w:rPr>
        <w:t>intervenant.</w:t>
      </w:r>
    </w:p>
    <w:p w:rsidR="00190EF2" w:rsidRDefault="00FC4BA7" w:rsidP="00BF1D7F">
      <w:pPr>
        <w:pStyle w:val="SCCNormalDoubleSpacing"/>
        <w:widowControl w:val="0"/>
        <w:spacing w:before="480" w:after="480"/>
        <w:rPr>
          <w:lang w:val="fr-CA"/>
        </w:rPr>
      </w:pPr>
      <w:r>
        <w:rPr>
          <w:lang w:val="fr-CA"/>
        </w:rPr>
        <w:tab/>
      </w:r>
      <w:r w:rsidR="00190EF2" w:rsidRPr="00502EF3">
        <w:rPr>
          <w:lang w:val="fr-CA"/>
        </w:rPr>
        <w:t>Version française du jugement de la Cour rendu par</w:t>
      </w:r>
    </w:p>
    <w:p w:rsidR="00190EF2" w:rsidRPr="009078C7" w:rsidRDefault="00190EF2" w:rsidP="00BF1D7F">
      <w:pPr>
        <w:pStyle w:val="JudgeJuge"/>
        <w:widowControl w:val="0"/>
        <w:spacing w:before="480"/>
        <w:rPr>
          <w:noProof/>
          <w:lang w:val="fr-CA"/>
        </w:rPr>
      </w:pPr>
      <w:r w:rsidRPr="009078C7">
        <w:rPr>
          <w:noProof/>
          <w:lang w:val="fr-CA"/>
        </w:rPr>
        <w:tab/>
        <w:t>Le juge Brown —</w:t>
      </w:r>
    </w:p>
    <w:p w:rsidR="00190EF2" w:rsidRPr="009078C7" w:rsidRDefault="00190EF2" w:rsidP="00BF1D7F">
      <w:pPr>
        <w:pStyle w:val="Title1LevelTitre1Niveau-AltL"/>
        <w:widowControl w:val="0"/>
        <w:rPr>
          <w:rFonts w:cs="Times New Roman"/>
          <w:noProof/>
          <w:lang w:val="fr-CA"/>
        </w:rPr>
      </w:pPr>
      <w:r w:rsidRPr="009078C7">
        <w:rPr>
          <w:rFonts w:cs="Times New Roman"/>
          <w:noProof/>
          <w:lang w:val="fr-CA"/>
        </w:rPr>
        <w:t>Introduction</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Le présent pourvoi porte sur les règles de droit régissant la possession adversative en Colombie</w:t>
      </w:r>
      <w:r>
        <w:rPr>
          <w:rFonts w:cs="Times New Roman"/>
          <w:noProof/>
          <w:lang w:val="fr-CA"/>
        </w:rPr>
        <w:noBreakHyphen/>
      </w:r>
      <w:r w:rsidRPr="009078C7">
        <w:rPr>
          <w:rFonts w:cs="Times New Roman"/>
          <w:noProof/>
          <w:lang w:val="fr-CA"/>
        </w:rPr>
        <w:t>Britannique. Les intimés, Mary Mowatt et Earl Mowatt, revendiquent la propriété d</w:t>
      </w:r>
      <w:r>
        <w:rPr>
          <w:rFonts w:cs="Times New Roman"/>
          <w:noProof/>
          <w:lang w:val="fr-CA"/>
        </w:rPr>
        <w:t>’</w:t>
      </w:r>
      <w:r w:rsidRPr="009078C7">
        <w:rPr>
          <w:rFonts w:cs="Times New Roman"/>
          <w:noProof/>
          <w:lang w:val="fr-CA"/>
        </w:rPr>
        <w:t>une parcelle de terrain située au 1114, avenue Beatty, à Nelson en Colombie</w:t>
      </w:r>
      <w:r>
        <w:rPr>
          <w:rFonts w:cs="Times New Roman"/>
          <w:noProof/>
          <w:lang w:val="fr-CA"/>
        </w:rPr>
        <w:noBreakHyphen/>
      </w:r>
      <w:r w:rsidRPr="009078C7">
        <w:rPr>
          <w:rFonts w:cs="Times New Roman"/>
          <w:noProof/>
          <w:lang w:val="fr-CA"/>
        </w:rPr>
        <w:t>Britannique (« lot en litige »). Bien qu</w:t>
      </w:r>
      <w:r>
        <w:rPr>
          <w:rFonts w:cs="Times New Roman"/>
          <w:noProof/>
          <w:lang w:val="fr-CA"/>
        </w:rPr>
        <w:t>’</w:t>
      </w:r>
      <w:r w:rsidRPr="009078C7">
        <w:rPr>
          <w:rFonts w:cs="Times New Roman"/>
          <w:noProof/>
          <w:lang w:val="fr-CA"/>
        </w:rPr>
        <w:t>ils aient pris possession de ce lot en 1992, les intimés fondent leur revendication sur ce qu</w:t>
      </w:r>
      <w:r>
        <w:rPr>
          <w:rFonts w:cs="Times New Roman"/>
          <w:noProof/>
          <w:lang w:val="fr-CA"/>
        </w:rPr>
        <w:t>’</w:t>
      </w:r>
      <w:r w:rsidRPr="009078C7">
        <w:rPr>
          <w:rFonts w:cs="Times New Roman"/>
          <w:noProof/>
          <w:lang w:val="fr-CA"/>
        </w:rPr>
        <w:t>ils appellent la possession adversative continue du bien</w:t>
      </w:r>
      <w:r>
        <w:rPr>
          <w:rFonts w:cs="Times New Roman"/>
          <w:noProof/>
          <w:lang w:val="fr-CA"/>
        </w:rPr>
        <w:noBreakHyphen/>
      </w:r>
      <w:r w:rsidRPr="009078C7">
        <w:rPr>
          <w:rFonts w:cs="Times New Roman"/>
          <w:noProof/>
          <w:lang w:val="fr-CA"/>
        </w:rPr>
        <w:t>fonds en question par trois familles, de façon successive, depuis le début du XX</w:t>
      </w:r>
      <w:r w:rsidRPr="009078C7">
        <w:rPr>
          <w:rFonts w:cs="Times New Roman"/>
          <w:noProof/>
          <w:vertAlign w:val="superscript"/>
          <w:lang w:val="fr-CA"/>
        </w:rPr>
        <w:t>e</w:t>
      </w:r>
      <w:r w:rsidRPr="009078C7">
        <w:rPr>
          <w:rFonts w:cs="Times New Roman"/>
          <w:noProof/>
          <w:lang w:val="fr-CA"/>
        </w:rPr>
        <w:t xml:space="preserve"> siècle. Afin de faire valoir cette revendication, les </w:t>
      </w:r>
      <w:r w:rsidRPr="009078C7">
        <w:rPr>
          <w:rFonts w:cs="Times New Roman"/>
          <w:noProof/>
          <w:lang w:val="fr-CA"/>
        </w:rPr>
        <w:lastRenderedPageBreak/>
        <w:t>Mowatt ont intenté deux recours</w:t>
      </w:r>
      <w:r>
        <w:rPr>
          <w:rFonts w:cs="Times New Roman"/>
          <w:noProof/>
          <w:lang w:val="fr-CA"/>
        </w:rPr>
        <w:t> :</w:t>
      </w:r>
      <w:r w:rsidRPr="009078C7">
        <w:rPr>
          <w:rFonts w:cs="Times New Roman"/>
          <w:noProof/>
          <w:lang w:val="fr-CA"/>
        </w:rPr>
        <w:t xml:space="preserve"> une action en vue d</w:t>
      </w:r>
      <w:r>
        <w:rPr>
          <w:rFonts w:cs="Times New Roman"/>
          <w:noProof/>
          <w:lang w:val="fr-CA"/>
        </w:rPr>
        <w:t>’</w:t>
      </w:r>
      <w:r w:rsidRPr="009078C7">
        <w:rPr>
          <w:rFonts w:cs="Times New Roman"/>
          <w:noProof/>
          <w:lang w:val="fr-CA"/>
        </w:rPr>
        <w:t>obtenir un jugement déclarant que la Couronne provinciale — qui détient le titre enregistré — n</w:t>
      </w:r>
      <w:r>
        <w:rPr>
          <w:rFonts w:cs="Times New Roman"/>
          <w:noProof/>
          <w:lang w:val="fr-CA"/>
        </w:rPr>
        <w:t>’</w:t>
      </w:r>
      <w:r w:rsidRPr="009078C7">
        <w:rPr>
          <w:rFonts w:cs="Times New Roman"/>
          <w:noProof/>
          <w:lang w:val="fr-CA"/>
        </w:rPr>
        <w:t>est pas propriétaire du lot en litige et que, par conséquent, elle ne pouvait le transférer à l</w:t>
      </w:r>
      <w:r>
        <w:rPr>
          <w:rFonts w:cs="Times New Roman"/>
          <w:noProof/>
          <w:lang w:val="fr-CA"/>
        </w:rPr>
        <w:t>’</w:t>
      </w:r>
      <w:r w:rsidRPr="009078C7">
        <w:rPr>
          <w:rFonts w:cs="Times New Roman"/>
          <w:noProof/>
          <w:lang w:val="fr-CA"/>
        </w:rPr>
        <w:t>appelante, la ville de Nelson (« </w:t>
      </w:r>
      <w:r>
        <w:rPr>
          <w:rFonts w:cs="Times New Roman"/>
          <w:noProof/>
          <w:lang w:val="fr-CA"/>
        </w:rPr>
        <w:t>v</w:t>
      </w:r>
      <w:r w:rsidRPr="009078C7">
        <w:rPr>
          <w:rFonts w:cs="Times New Roman"/>
          <w:noProof/>
          <w:lang w:val="fr-CA"/>
        </w:rPr>
        <w:t xml:space="preserve">ille »), et une requête sollicitant, en vertu de la </w:t>
      </w:r>
      <w:r w:rsidRPr="009078C7">
        <w:rPr>
          <w:rFonts w:cs="Times New Roman"/>
          <w:i/>
          <w:noProof/>
          <w:lang w:val="fr-CA"/>
        </w:rPr>
        <w:t>Land Title Inquiry Act</w:t>
      </w:r>
      <w:r w:rsidRPr="009078C7">
        <w:rPr>
          <w:rFonts w:cs="Times New Roman"/>
          <w:noProof/>
          <w:lang w:val="fr-CA"/>
        </w:rPr>
        <w:t>, R.S.B.C. 1996, c. 251, une enquête judiciaire au sujet de leur titre sur le lot en litige.</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 xml:space="preserve">Le juge en cabinet a </w:t>
      </w:r>
      <w:r w:rsidRPr="00366D0A">
        <w:rPr>
          <w:rFonts w:cs="Times New Roman"/>
          <w:lang w:val="fr-CA"/>
        </w:rPr>
        <w:t>accueilli</w:t>
      </w:r>
      <w:r w:rsidRPr="009078C7">
        <w:rPr>
          <w:rFonts w:cs="Times New Roman"/>
          <w:noProof/>
          <w:lang w:val="fr-CA"/>
        </w:rPr>
        <w:t xml:space="preserve"> la requête en procès sommaire de la ville de Nelson en vue de faire rejeter les deux recours, relevant ce qu</w:t>
      </w:r>
      <w:r>
        <w:rPr>
          <w:rFonts w:cs="Times New Roman"/>
          <w:noProof/>
          <w:lang w:val="fr-CA"/>
        </w:rPr>
        <w:t>’</w:t>
      </w:r>
      <w:r w:rsidRPr="009078C7">
        <w:rPr>
          <w:rFonts w:cs="Times New Roman"/>
          <w:noProof/>
          <w:lang w:val="fr-CA"/>
        </w:rPr>
        <w:t>il a appelé une [</w:t>
      </w:r>
      <w:r w:rsidRPr="009078C7">
        <w:rPr>
          <w:rFonts w:cs="Times New Roman"/>
          <w:smallCaps/>
          <w:noProof/>
          <w:lang w:val="fr-CA"/>
        </w:rPr>
        <w:t>traduction</w:t>
      </w:r>
      <w:r w:rsidRPr="009078C7">
        <w:rPr>
          <w:rFonts w:cs="Times New Roman"/>
          <w:noProof/>
          <w:lang w:val="fr-CA"/>
        </w:rPr>
        <w:t>] « lacune de la preuve » — c</w:t>
      </w:r>
      <w:r>
        <w:rPr>
          <w:rFonts w:cs="Times New Roman"/>
          <w:noProof/>
          <w:lang w:val="fr-CA"/>
        </w:rPr>
        <w:t>’</w:t>
      </w:r>
      <w:r w:rsidRPr="009078C7">
        <w:rPr>
          <w:rFonts w:cs="Times New Roman"/>
          <w:noProof/>
          <w:lang w:val="fr-CA"/>
        </w:rPr>
        <w:t>est</w:t>
      </w:r>
      <w:r>
        <w:rPr>
          <w:rFonts w:cs="Times New Roman"/>
          <w:noProof/>
          <w:lang w:val="fr-CA"/>
        </w:rPr>
        <w:noBreakHyphen/>
      </w:r>
      <w:r w:rsidRPr="009078C7">
        <w:rPr>
          <w:rFonts w:cs="Times New Roman"/>
          <w:noProof/>
          <w:lang w:val="fr-CA"/>
        </w:rPr>
        <w:t>à</w:t>
      </w:r>
      <w:r>
        <w:rPr>
          <w:rFonts w:cs="Times New Roman"/>
          <w:noProof/>
          <w:lang w:val="fr-CA"/>
        </w:rPr>
        <w:noBreakHyphen/>
      </w:r>
      <w:r w:rsidRPr="009078C7">
        <w:rPr>
          <w:rFonts w:cs="Times New Roman"/>
          <w:noProof/>
          <w:lang w:val="fr-CA"/>
        </w:rPr>
        <w:t>dire une interruption dans la continuité de la possession adversative depuis environ 1916 jusqu</w:t>
      </w:r>
      <w:r>
        <w:rPr>
          <w:rFonts w:cs="Times New Roman"/>
          <w:noProof/>
          <w:lang w:val="fr-CA"/>
        </w:rPr>
        <w:t>’</w:t>
      </w:r>
      <w:r w:rsidRPr="009078C7">
        <w:rPr>
          <w:rFonts w:cs="Times New Roman"/>
          <w:noProof/>
          <w:lang w:val="fr-CA"/>
        </w:rPr>
        <w:t>en 1920. La Cour d</w:t>
      </w:r>
      <w:r>
        <w:rPr>
          <w:rFonts w:cs="Times New Roman"/>
          <w:noProof/>
          <w:lang w:val="fr-CA"/>
        </w:rPr>
        <w:t>’</w:t>
      </w:r>
      <w:r w:rsidRPr="009078C7">
        <w:rPr>
          <w:rFonts w:cs="Times New Roman"/>
          <w:noProof/>
          <w:lang w:val="fr-CA"/>
        </w:rPr>
        <w:t>appel a infirmé cette décision, estimant que le juge en cabinet avait mal apprécié la preuve relative à l</w:t>
      </w:r>
      <w:r>
        <w:rPr>
          <w:rFonts w:cs="Times New Roman"/>
          <w:noProof/>
          <w:lang w:val="fr-CA"/>
        </w:rPr>
        <w:t>’</w:t>
      </w:r>
      <w:r w:rsidRPr="009078C7">
        <w:rPr>
          <w:rFonts w:cs="Times New Roman"/>
          <w:noProof/>
          <w:lang w:val="fr-CA"/>
        </w:rPr>
        <w:t>occupation continue et concluant que la possession adversative continue du lot en litige avait été établie à tout le moins pour la période allant de décembre 1909 à février 1923. En réponse aux observations de la ville, la Cour d</w:t>
      </w:r>
      <w:r>
        <w:rPr>
          <w:rFonts w:cs="Times New Roman"/>
          <w:noProof/>
          <w:lang w:val="fr-CA"/>
        </w:rPr>
        <w:t>’</w:t>
      </w:r>
      <w:r w:rsidRPr="009078C7">
        <w:rPr>
          <w:rFonts w:cs="Times New Roman"/>
          <w:noProof/>
          <w:lang w:val="fr-CA"/>
        </w:rPr>
        <w:t>appel a également conclu que l</w:t>
      </w:r>
      <w:r>
        <w:rPr>
          <w:rFonts w:cs="Times New Roman"/>
          <w:noProof/>
          <w:lang w:val="fr-CA"/>
        </w:rPr>
        <w:t>’</w:t>
      </w:r>
      <w:r w:rsidRPr="009078C7">
        <w:rPr>
          <w:rFonts w:cs="Times New Roman"/>
          <w:noProof/>
          <w:lang w:val="fr-CA"/>
        </w:rPr>
        <w:t>absence d</w:t>
      </w:r>
      <w:r>
        <w:rPr>
          <w:rFonts w:cs="Times New Roman"/>
          <w:noProof/>
          <w:lang w:val="fr-CA"/>
        </w:rPr>
        <w:t>’</w:t>
      </w:r>
      <w:r w:rsidRPr="009078C7">
        <w:rPr>
          <w:rFonts w:cs="Times New Roman"/>
          <w:noProof/>
          <w:lang w:val="fr-CA"/>
        </w:rPr>
        <w:t>un enregistrement n</w:t>
      </w:r>
      <w:r>
        <w:rPr>
          <w:rFonts w:cs="Times New Roman"/>
          <w:noProof/>
          <w:lang w:val="fr-CA"/>
        </w:rPr>
        <w:t>’</w:t>
      </w:r>
      <w:r w:rsidRPr="009078C7">
        <w:rPr>
          <w:rFonts w:cs="Times New Roman"/>
          <w:noProof/>
          <w:lang w:val="fr-CA"/>
        </w:rPr>
        <w:t>empêchait pas le transfert aux Mowatt des droits que leur prédécesseur détenait quant au lot, et que les règles de droit de la Colombie</w:t>
      </w:r>
      <w:r>
        <w:rPr>
          <w:rFonts w:cs="Times New Roman"/>
          <w:noProof/>
          <w:lang w:val="fr-CA"/>
        </w:rPr>
        <w:noBreakHyphen/>
      </w:r>
      <w:r w:rsidRPr="009078C7">
        <w:rPr>
          <w:rFonts w:cs="Times New Roman"/>
          <w:noProof/>
          <w:lang w:val="fr-CA"/>
        </w:rPr>
        <w:t>Britannique n</w:t>
      </w:r>
      <w:r>
        <w:rPr>
          <w:rFonts w:cs="Times New Roman"/>
          <w:noProof/>
          <w:lang w:val="fr-CA"/>
        </w:rPr>
        <w:t>’</w:t>
      </w:r>
      <w:r w:rsidRPr="009078C7">
        <w:rPr>
          <w:rFonts w:cs="Times New Roman"/>
          <w:noProof/>
          <w:lang w:val="fr-CA"/>
        </w:rPr>
        <w:t>exigeaient pas qu</w:t>
      </w:r>
      <w:r>
        <w:rPr>
          <w:rFonts w:cs="Times New Roman"/>
          <w:noProof/>
          <w:lang w:val="fr-CA"/>
        </w:rPr>
        <w:t>’</w:t>
      </w:r>
      <w:r w:rsidRPr="009078C7">
        <w:rPr>
          <w:rFonts w:cs="Times New Roman"/>
          <w:noProof/>
          <w:lang w:val="fr-CA"/>
        </w:rPr>
        <w:t>ils établissent l</w:t>
      </w:r>
      <w:r>
        <w:rPr>
          <w:rFonts w:cs="Times New Roman"/>
          <w:noProof/>
          <w:lang w:val="fr-CA"/>
        </w:rPr>
        <w:t>’</w:t>
      </w:r>
      <w:r w:rsidRPr="009078C7">
        <w:rPr>
          <w:rFonts w:cs="Times New Roman"/>
          <w:noProof/>
          <w:lang w:val="fr-CA"/>
        </w:rPr>
        <w:t xml:space="preserve">incompatibilité de leur usage du lot en litige avec celui que comptait en faire son « véritable propriétaire ». </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Pour les motifs qui suivent, je suis d</w:t>
      </w:r>
      <w:r>
        <w:rPr>
          <w:rFonts w:cs="Times New Roman"/>
          <w:noProof/>
          <w:lang w:val="fr-CA"/>
        </w:rPr>
        <w:t>’</w:t>
      </w:r>
      <w:r w:rsidRPr="009078C7">
        <w:rPr>
          <w:rFonts w:cs="Times New Roman"/>
          <w:noProof/>
          <w:lang w:val="fr-CA"/>
        </w:rPr>
        <w:t>avis d</w:t>
      </w:r>
      <w:r>
        <w:rPr>
          <w:rFonts w:cs="Times New Roman"/>
          <w:noProof/>
          <w:lang w:val="fr-CA"/>
        </w:rPr>
        <w:t>’</w:t>
      </w:r>
      <w:r w:rsidRPr="009078C7">
        <w:rPr>
          <w:rFonts w:cs="Times New Roman"/>
          <w:noProof/>
          <w:lang w:val="fr-CA"/>
        </w:rPr>
        <w:t>accueillir le pourvoi. La Cour d</w:t>
      </w:r>
      <w:r>
        <w:rPr>
          <w:rFonts w:cs="Times New Roman"/>
          <w:noProof/>
          <w:lang w:val="fr-CA"/>
        </w:rPr>
        <w:t>’</w:t>
      </w:r>
      <w:r w:rsidRPr="009078C7">
        <w:rPr>
          <w:rFonts w:cs="Times New Roman"/>
          <w:noProof/>
          <w:lang w:val="fr-CA"/>
        </w:rPr>
        <w:t>appel a eu raison de conclure que l</w:t>
      </w:r>
      <w:r>
        <w:rPr>
          <w:rFonts w:cs="Times New Roman"/>
          <w:noProof/>
          <w:lang w:val="fr-CA"/>
        </w:rPr>
        <w:t>’</w:t>
      </w:r>
      <w:r w:rsidRPr="009078C7">
        <w:rPr>
          <w:rFonts w:cs="Times New Roman"/>
          <w:noProof/>
          <w:lang w:val="fr-CA"/>
        </w:rPr>
        <w:t>exigence de l</w:t>
      </w:r>
      <w:r>
        <w:rPr>
          <w:rFonts w:cs="Times New Roman"/>
          <w:noProof/>
          <w:lang w:val="fr-CA"/>
        </w:rPr>
        <w:t>’</w:t>
      </w:r>
      <w:r w:rsidRPr="009078C7">
        <w:rPr>
          <w:rFonts w:cs="Times New Roman"/>
          <w:noProof/>
          <w:lang w:val="fr-CA"/>
        </w:rPr>
        <w:t>usage incompatible ne fait pas partie des règles de droit de la Colombie</w:t>
      </w:r>
      <w:r>
        <w:rPr>
          <w:rFonts w:cs="Times New Roman"/>
          <w:noProof/>
          <w:lang w:val="fr-CA"/>
        </w:rPr>
        <w:noBreakHyphen/>
      </w:r>
      <w:r w:rsidRPr="009078C7">
        <w:rPr>
          <w:rFonts w:cs="Times New Roman"/>
          <w:noProof/>
          <w:lang w:val="fr-CA"/>
        </w:rPr>
        <w:t>Britannique régissant la preuve de la possession adversative. Soit dit en tout respect, la Cour d</w:t>
      </w:r>
      <w:r>
        <w:rPr>
          <w:rFonts w:cs="Times New Roman"/>
          <w:noProof/>
          <w:lang w:val="fr-CA"/>
        </w:rPr>
        <w:t>’</w:t>
      </w:r>
      <w:r w:rsidRPr="009078C7">
        <w:rPr>
          <w:rFonts w:cs="Times New Roman"/>
          <w:noProof/>
          <w:lang w:val="fr-CA"/>
        </w:rPr>
        <w:t xml:space="preserve">appel a toutefois commis une erreur en </w:t>
      </w:r>
      <w:r w:rsidRPr="009078C7">
        <w:rPr>
          <w:rFonts w:cs="Times New Roman"/>
          <w:noProof/>
          <w:lang w:val="fr-CA"/>
        </w:rPr>
        <w:lastRenderedPageBreak/>
        <w:t>substituant ses propres conclusions de fait à celles auxquelles était parvenu à bon droit le juge en cabinet. À la lumière de cette conclusion, il n</w:t>
      </w:r>
      <w:r>
        <w:rPr>
          <w:rFonts w:cs="Times New Roman"/>
          <w:noProof/>
          <w:lang w:val="fr-CA"/>
        </w:rPr>
        <w:t>’</w:t>
      </w:r>
      <w:r w:rsidRPr="009078C7">
        <w:rPr>
          <w:rFonts w:cs="Times New Roman"/>
          <w:noProof/>
          <w:lang w:val="fr-CA"/>
        </w:rPr>
        <w:t>est pas nécessaire que je me penche sur les observations relatives à l</w:t>
      </w:r>
      <w:r>
        <w:rPr>
          <w:rFonts w:cs="Times New Roman"/>
          <w:noProof/>
          <w:lang w:val="fr-CA"/>
        </w:rPr>
        <w:t>’</w:t>
      </w:r>
      <w:r w:rsidRPr="009078C7">
        <w:rPr>
          <w:rFonts w:cs="Times New Roman"/>
          <w:noProof/>
          <w:lang w:val="fr-CA"/>
        </w:rPr>
        <w:t>importance, le cas échéant, du fait que le transfert allégué du lot en litige n</w:t>
      </w:r>
      <w:r>
        <w:rPr>
          <w:rFonts w:cs="Times New Roman"/>
          <w:noProof/>
          <w:lang w:val="fr-CA"/>
        </w:rPr>
        <w:t>’</w:t>
      </w:r>
      <w:r w:rsidRPr="009078C7">
        <w:rPr>
          <w:rFonts w:cs="Times New Roman"/>
          <w:noProof/>
          <w:lang w:val="fr-CA"/>
        </w:rPr>
        <w:t>a pas été enregistré conformément au système britanno</w:t>
      </w:r>
      <w:r>
        <w:rPr>
          <w:rFonts w:cs="Times New Roman"/>
          <w:noProof/>
          <w:lang w:val="fr-CA"/>
        </w:rPr>
        <w:noBreakHyphen/>
      </w:r>
      <w:r w:rsidRPr="009078C7">
        <w:rPr>
          <w:rFonts w:cs="Times New Roman"/>
          <w:noProof/>
          <w:lang w:val="fr-CA"/>
        </w:rPr>
        <w:t>colombien d</w:t>
      </w:r>
      <w:r>
        <w:rPr>
          <w:rFonts w:cs="Times New Roman"/>
          <w:noProof/>
          <w:lang w:val="fr-CA"/>
        </w:rPr>
        <w:t>’</w:t>
      </w:r>
      <w:r w:rsidRPr="009078C7">
        <w:rPr>
          <w:rFonts w:cs="Times New Roman"/>
          <w:noProof/>
          <w:lang w:val="fr-CA"/>
        </w:rPr>
        <w:t>enregistrement des titres fonciers.</w:t>
      </w:r>
    </w:p>
    <w:p w:rsidR="00190EF2" w:rsidRPr="009078C7" w:rsidRDefault="00190EF2" w:rsidP="00BF1D7F">
      <w:pPr>
        <w:pStyle w:val="Title1LevelTitre1Niveau-AltL"/>
        <w:widowControl w:val="0"/>
        <w:rPr>
          <w:rFonts w:cs="Times New Roman"/>
          <w:noProof/>
          <w:lang w:val="fr-CA"/>
        </w:rPr>
      </w:pPr>
      <w:r w:rsidRPr="009078C7">
        <w:rPr>
          <w:rFonts w:cs="Times New Roman"/>
          <w:noProof/>
          <w:lang w:val="fr-CA"/>
        </w:rPr>
        <w:t>Aperçu des faits et décisions des juridictions d</w:t>
      </w:r>
      <w:r>
        <w:rPr>
          <w:rFonts w:cs="Times New Roman"/>
          <w:noProof/>
          <w:lang w:val="fr-CA"/>
        </w:rPr>
        <w:t>’</w:t>
      </w:r>
      <w:r w:rsidRPr="009078C7">
        <w:rPr>
          <w:rFonts w:cs="Times New Roman"/>
          <w:noProof/>
          <w:lang w:val="fr-CA"/>
        </w:rPr>
        <w:t>instances inférieures</w:t>
      </w:r>
    </w:p>
    <w:p w:rsidR="00190EF2" w:rsidRPr="009078C7" w:rsidRDefault="00190EF2" w:rsidP="00BF1D7F">
      <w:pPr>
        <w:pStyle w:val="Title2LevelTitre2Niveau"/>
        <w:widowControl w:val="0"/>
        <w:rPr>
          <w:rFonts w:cs="Times New Roman"/>
          <w:noProof/>
          <w:lang w:val="fr-CA"/>
        </w:rPr>
      </w:pPr>
      <w:r w:rsidRPr="009078C7">
        <w:rPr>
          <w:rFonts w:cs="Times New Roman"/>
          <w:noProof/>
          <w:lang w:val="fr-CA"/>
        </w:rPr>
        <w:t>Contexte</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Les Mowatt sont les propriétaires inscrits de la propriété située au 1112 de l</w:t>
      </w:r>
      <w:r>
        <w:rPr>
          <w:rFonts w:cs="Times New Roman"/>
          <w:noProof/>
          <w:lang w:val="fr-CA"/>
        </w:rPr>
        <w:t>’</w:t>
      </w:r>
      <w:r w:rsidRPr="009078C7">
        <w:rPr>
          <w:rFonts w:cs="Times New Roman"/>
          <w:noProof/>
          <w:lang w:val="fr-CA"/>
        </w:rPr>
        <w:t>avenue</w:t>
      </w:r>
      <w:r>
        <w:rPr>
          <w:rFonts w:cs="Times New Roman"/>
          <w:noProof/>
          <w:lang w:val="fr-CA"/>
        </w:rPr>
        <w:t xml:space="preserve"> </w:t>
      </w:r>
      <w:r w:rsidRPr="009078C7">
        <w:rPr>
          <w:rFonts w:cs="Times New Roman"/>
          <w:noProof/>
          <w:lang w:val="fr-CA"/>
        </w:rPr>
        <w:t>Beatty (« lot enregistré »), qui se trouve juste à l</w:t>
      </w:r>
      <w:r>
        <w:rPr>
          <w:rFonts w:cs="Times New Roman"/>
          <w:noProof/>
          <w:lang w:val="fr-CA"/>
        </w:rPr>
        <w:t>’</w:t>
      </w:r>
      <w:r w:rsidRPr="009078C7">
        <w:rPr>
          <w:rFonts w:cs="Times New Roman"/>
          <w:noProof/>
          <w:lang w:val="fr-CA"/>
        </w:rPr>
        <w:t>ouest du lot en litige. Aucune limite visible ne sépare les lots. De fait, à l</w:t>
      </w:r>
      <w:r>
        <w:rPr>
          <w:rFonts w:cs="Times New Roman"/>
          <w:noProof/>
          <w:lang w:val="fr-CA"/>
        </w:rPr>
        <w:t>’</w:t>
      </w:r>
      <w:r w:rsidRPr="009078C7">
        <w:rPr>
          <w:rFonts w:cs="Times New Roman"/>
          <w:noProof/>
          <w:lang w:val="fr-CA"/>
        </w:rPr>
        <w:t>origine, les deux lots faisaient partie d</w:t>
      </w:r>
      <w:r>
        <w:rPr>
          <w:rFonts w:cs="Times New Roman"/>
          <w:noProof/>
          <w:lang w:val="fr-CA"/>
        </w:rPr>
        <w:t>’</w:t>
      </w:r>
      <w:r w:rsidRPr="009078C7">
        <w:rPr>
          <w:rFonts w:cs="Times New Roman"/>
          <w:noProof/>
          <w:lang w:val="fr-CA"/>
        </w:rPr>
        <w:t>un seul lot plus grand sur lequel la Nelson City Land and Improvement Company (</w:t>
      </w:r>
      <w:r w:rsidR="00BE2024" w:rsidRPr="009078C7">
        <w:rPr>
          <w:rFonts w:cs="Times New Roman"/>
          <w:noProof/>
          <w:lang w:val="fr-CA"/>
        </w:rPr>
        <w:t>« </w:t>
      </w:r>
      <w:r w:rsidRPr="009078C7">
        <w:rPr>
          <w:rFonts w:cs="Times New Roman"/>
          <w:noProof/>
          <w:lang w:val="fr-CA"/>
        </w:rPr>
        <w:t xml:space="preserve">société foncière ») avaient enregistré un titre en fief absolu en </w:t>
      </w:r>
      <w:r w:rsidRPr="009078C7">
        <w:rPr>
          <w:rFonts w:cs="Times New Roman"/>
          <w:lang w:val="fr-CA"/>
        </w:rPr>
        <w:t>1891</w:t>
      </w:r>
      <w:r w:rsidRPr="009078C7">
        <w:rPr>
          <w:rFonts w:cs="Times New Roman"/>
          <w:noProof/>
          <w:lang w:val="fr-CA"/>
        </w:rPr>
        <w:t xml:space="preserve">. Selon cet enregistrement, le lot était situé dans la municipalité de Fairview, qui a été fusionnée à la ville de Nelson en avril 1921. </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En 1920, la société foncière a transféré une parcelle de terrain, y compris le lot qui correspond aujourd</w:t>
      </w:r>
      <w:r>
        <w:rPr>
          <w:rFonts w:cs="Times New Roman"/>
          <w:noProof/>
          <w:lang w:val="fr-CA"/>
        </w:rPr>
        <w:t>’</w:t>
      </w:r>
      <w:r w:rsidRPr="009078C7">
        <w:rPr>
          <w:rFonts w:cs="Times New Roman"/>
          <w:noProof/>
          <w:lang w:val="fr-CA"/>
        </w:rPr>
        <w:t xml:space="preserve">hui au </w:t>
      </w:r>
      <w:r>
        <w:rPr>
          <w:rFonts w:cs="Times New Roman"/>
          <w:noProof/>
          <w:lang w:val="fr-CA"/>
        </w:rPr>
        <w:t xml:space="preserve">lot enregistré, à John </w:t>
      </w:r>
      <w:r w:rsidRPr="009078C7">
        <w:rPr>
          <w:rFonts w:cs="Times New Roman"/>
          <w:noProof/>
          <w:lang w:val="fr-CA"/>
        </w:rPr>
        <w:t>Annable, qui a enregistré sur celui</w:t>
      </w:r>
      <w:r>
        <w:rPr>
          <w:rFonts w:cs="Times New Roman"/>
          <w:noProof/>
          <w:lang w:val="fr-CA"/>
        </w:rPr>
        <w:noBreakHyphen/>
      </w:r>
      <w:r w:rsidRPr="009078C7">
        <w:rPr>
          <w:rFonts w:cs="Times New Roman"/>
          <w:noProof/>
          <w:lang w:val="fr-CA"/>
        </w:rPr>
        <w:t>ci un titre inattaquable. L</w:t>
      </w:r>
      <w:r>
        <w:rPr>
          <w:rFonts w:cs="Times New Roman"/>
          <w:noProof/>
          <w:lang w:val="fr-CA"/>
        </w:rPr>
        <w:t>’</w:t>
      </w:r>
      <w:r w:rsidRPr="009078C7">
        <w:rPr>
          <w:rFonts w:cs="Times New Roman"/>
          <w:noProof/>
          <w:lang w:val="fr-CA"/>
        </w:rPr>
        <w:t>acte d</w:t>
      </w:r>
      <w:r>
        <w:rPr>
          <w:rFonts w:cs="Times New Roman"/>
          <w:noProof/>
          <w:lang w:val="fr-CA"/>
        </w:rPr>
        <w:t>’</w:t>
      </w:r>
      <w:r w:rsidRPr="009078C7">
        <w:rPr>
          <w:rFonts w:cs="Times New Roman"/>
          <w:noProof/>
          <w:lang w:val="fr-CA"/>
        </w:rPr>
        <w:t>enregistrement comportait en annexe le plan de renvoi n</w:t>
      </w:r>
      <w:r w:rsidRPr="009078C7">
        <w:rPr>
          <w:rFonts w:cs="Times New Roman"/>
          <w:noProof/>
          <w:vertAlign w:val="superscript"/>
          <w:lang w:val="fr-CA"/>
        </w:rPr>
        <w:t>o</w:t>
      </w:r>
      <w:r w:rsidRPr="009078C7">
        <w:rPr>
          <w:rFonts w:cs="Times New Roman"/>
          <w:noProof/>
          <w:lang w:val="fr-CA"/>
        </w:rPr>
        <w:t> 89281, selon lequel le lot en litige devait devenir une emprise de voirie. Puisque les exigences législatives applicables n</w:t>
      </w:r>
      <w:r>
        <w:rPr>
          <w:rFonts w:cs="Times New Roman"/>
          <w:noProof/>
          <w:lang w:val="fr-CA"/>
        </w:rPr>
        <w:t>’</w:t>
      </w:r>
      <w:r w:rsidRPr="009078C7">
        <w:rPr>
          <w:rFonts w:cs="Times New Roman"/>
          <w:noProof/>
          <w:lang w:val="fr-CA"/>
        </w:rPr>
        <w:t>avaient pas été respectées, cette affectation était toutefois invalide — ce qu</w:t>
      </w:r>
      <w:r>
        <w:rPr>
          <w:rFonts w:cs="Times New Roman"/>
          <w:noProof/>
          <w:lang w:val="fr-CA"/>
        </w:rPr>
        <w:t>’</w:t>
      </w:r>
      <w:r w:rsidRPr="009078C7">
        <w:rPr>
          <w:rFonts w:cs="Times New Roman"/>
          <w:noProof/>
          <w:lang w:val="fr-CA"/>
        </w:rPr>
        <w:t xml:space="preserve">ignoraient tant M. Annable que la société </w:t>
      </w:r>
      <w:r w:rsidRPr="009078C7">
        <w:rPr>
          <w:rFonts w:cs="Times New Roman"/>
          <w:noProof/>
          <w:lang w:val="fr-CA"/>
        </w:rPr>
        <w:lastRenderedPageBreak/>
        <w:t>foncière —, de sorte que cette dernière est demeurée le détenteur inscrit d</w:t>
      </w:r>
      <w:r>
        <w:rPr>
          <w:rFonts w:cs="Times New Roman"/>
          <w:noProof/>
          <w:lang w:val="fr-CA"/>
        </w:rPr>
        <w:t>’</w:t>
      </w:r>
      <w:r w:rsidRPr="009078C7">
        <w:rPr>
          <w:rFonts w:cs="Times New Roman"/>
          <w:noProof/>
          <w:lang w:val="fr-CA"/>
        </w:rPr>
        <w:t xml:space="preserve">un titre en fief absolu sur le lot en litige. </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En 1922, M. Annable a transféré une partie de son lot à Herbert</w:t>
      </w:r>
      <w:r>
        <w:rPr>
          <w:rFonts w:cs="Times New Roman"/>
          <w:noProof/>
          <w:lang w:val="fr-CA"/>
        </w:rPr>
        <w:t xml:space="preserve"> </w:t>
      </w:r>
      <w:r w:rsidRPr="009078C7">
        <w:rPr>
          <w:rFonts w:cs="Times New Roman"/>
          <w:noProof/>
          <w:lang w:val="fr-CA"/>
        </w:rPr>
        <w:t>Thorpe. C</w:t>
      </w:r>
      <w:r>
        <w:rPr>
          <w:rFonts w:cs="Times New Roman"/>
          <w:noProof/>
          <w:lang w:val="fr-CA"/>
        </w:rPr>
        <w:t>’</w:t>
      </w:r>
      <w:r w:rsidRPr="009078C7">
        <w:rPr>
          <w:rFonts w:cs="Times New Roman"/>
          <w:noProof/>
          <w:lang w:val="fr-CA"/>
        </w:rPr>
        <w:t>est ce transfert qui est à l</w:t>
      </w:r>
      <w:r>
        <w:rPr>
          <w:rFonts w:cs="Times New Roman"/>
          <w:noProof/>
          <w:lang w:val="fr-CA"/>
        </w:rPr>
        <w:t>’</w:t>
      </w:r>
      <w:r w:rsidRPr="009078C7">
        <w:rPr>
          <w:rFonts w:cs="Times New Roman"/>
          <w:noProof/>
          <w:lang w:val="fr-CA"/>
        </w:rPr>
        <w:t xml:space="preserve">origine du lot enregistré. </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En 1929, croyant toujours qu</w:t>
      </w:r>
      <w:r>
        <w:rPr>
          <w:rFonts w:cs="Times New Roman"/>
          <w:noProof/>
          <w:lang w:val="fr-CA"/>
        </w:rPr>
        <w:t>’</w:t>
      </w:r>
      <w:r w:rsidRPr="009078C7">
        <w:rPr>
          <w:rFonts w:cs="Times New Roman"/>
          <w:noProof/>
          <w:lang w:val="fr-CA"/>
        </w:rPr>
        <w:t>elle avait valablement réservé le lot en litige à titre d</w:t>
      </w:r>
      <w:r>
        <w:rPr>
          <w:rFonts w:cs="Times New Roman"/>
          <w:noProof/>
          <w:lang w:val="fr-CA"/>
        </w:rPr>
        <w:t>’</w:t>
      </w:r>
      <w:r w:rsidRPr="009078C7">
        <w:rPr>
          <w:rFonts w:cs="Times New Roman"/>
          <w:noProof/>
          <w:lang w:val="fr-CA"/>
        </w:rPr>
        <w:t>emprise de voirie, la société foncière a avisé le directeur du registre des sociétés de la Colombie</w:t>
      </w:r>
      <w:r>
        <w:rPr>
          <w:rFonts w:cs="Times New Roman"/>
          <w:noProof/>
          <w:lang w:val="fr-CA"/>
        </w:rPr>
        <w:noBreakHyphen/>
      </w:r>
      <w:r w:rsidRPr="009078C7">
        <w:rPr>
          <w:rFonts w:cs="Times New Roman"/>
          <w:noProof/>
          <w:lang w:val="fr-CA"/>
        </w:rPr>
        <w:t>Britannique qu</w:t>
      </w:r>
      <w:r>
        <w:rPr>
          <w:rFonts w:cs="Times New Roman"/>
          <w:noProof/>
          <w:lang w:val="fr-CA"/>
        </w:rPr>
        <w:t>’</w:t>
      </w:r>
      <w:r w:rsidRPr="009078C7">
        <w:rPr>
          <w:rFonts w:cs="Times New Roman"/>
          <w:noProof/>
          <w:lang w:val="fr-CA"/>
        </w:rPr>
        <w:t>elle avait [</w:t>
      </w:r>
      <w:r w:rsidRPr="009078C7">
        <w:rPr>
          <w:rFonts w:cs="Times New Roman"/>
          <w:smallCaps/>
          <w:noProof/>
          <w:lang w:val="fr-CA"/>
        </w:rPr>
        <w:t>traduction</w:t>
      </w:r>
      <w:r w:rsidRPr="009078C7">
        <w:rPr>
          <w:rFonts w:cs="Times New Roman"/>
          <w:noProof/>
          <w:lang w:val="fr-CA"/>
        </w:rPr>
        <w:t>] « vendu ses éléments d</w:t>
      </w:r>
      <w:r>
        <w:rPr>
          <w:rFonts w:cs="Times New Roman"/>
          <w:noProof/>
          <w:lang w:val="fr-CA"/>
        </w:rPr>
        <w:t>’</w:t>
      </w:r>
      <w:r w:rsidRPr="009078C7">
        <w:rPr>
          <w:rFonts w:cs="Times New Roman"/>
          <w:noProof/>
          <w:lang w:val="fr-CA"/>
        </w:rPr>
        <w:t>actif voilà plusieurs années à [M. Annable] ». La société foncière a été dissoute en 1930 et le lot en litige a échu par déshérence à la Couronne en 1930 ou en 1931</w:t>
      </w:r>
      <w:r w:rsidRPr="00190EF2">
        <w:rPr>
          <w:rStyle w:val="Hyperlink"/>
          <w:vertAlign w:val="superscript"/>
        </w:rPr>
        <w:footnoteReference w:id="1"/>
      </w:r>
      <w:r w:rsidRPr="009078C7">
        <w:rPr>
          <w:rFonts w:cs="Times New Roman"/>
          <w:noProof/>
          <w:lang w:val="fr-CA"/>
        </w:rPr>
        <w:t>.</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La revendication du titre des Mowatt sur le lot en litige repose essentiellement sur ce qu</w:t>
      </w:r>
      <w:r>
        <w:rPr>
          <w:rFonts w:cs="Times New Roman"/>
          <w:noProof/>
          <w:lang w:val="fr-CA"/>
        </w:rPr>
        <w:t>’</w:t>
      </w:r>
      <w:r w:rsidRPr="009078C7">
        <w:rPr>
          <w:rFonts w:cs="Times New Roman"/>
          <w:noProof/>
          <w:lang w:val="fr-CA"/>
        </w:rPr>
        <w:t>ils disent avoir été la possession adversative continue du lot par trois familles successivement</w:t>
      </w:r>
      <w:r>
        <w:rPr>
          <w:rFonts w:cs="Times New Roman"/>
          <w:noProof/>
          <w:lang w:val="fr-CA"/>
        </w:rPr>
        <w:t> :</w:t>
      </w:r>
      <w:r w:rsidRPr="009078C7">
        <w:rPr>
          <w:rFonts w:cs="Times New Roman"/>
          <w:noProof/>
          <w:lang w:val="fr-CA"/>
        </w:rPr>
        <w:t xml:space="preserve"> les Cooper, les Goucher et les Thorpe. Il est indéniable que chacune de ces familles a demeuré sur le lot en litige, mais la durée de </w:t>
      </w:r>
      <w:r w:rsidRPr="009078C7">
        <w:rPr>
          <w:rFonts w:cs="Times New Roman"/>
          <w:noProof/>
          <w:lang w:val="fr-CA"/>
        </w:rPr>
        <w:lastRenderedPageBreak/>
        <w:t>leur présence est contestée dans le cas des Cooper et des Goucher. Certaines conclusions du juge en cabinet permettent toutefois d</w:t>
      </w:r>
      <w:r>
        <w:rPr>
          <w:rFonts w:cs="Times New Roman"/>
          <w:noProof/>
          <w:lang w:val="fr-CA"/>
        </w:rPr>
        <w:t>’</w:t>
      </w:r>
      <w:r w:rsidRPr="009078C7">
        <w:rPr>
          <w:rFonts w:cs="Times New Roman"/>
          <w:noProof/>
          <w:lang w:val="fr-CA"/>
        </w:rPr>
        <w:t xml:space="preserve">établir </w:t>
      </w:r>
      <w:r w:rsidR="00BE2024">
        <w:rPr>
          <w:rFonts w:cs="Times New Roman"/>
          <w:noProof/>
          <w:lang w:val="fr-CA"/>
        </w:rPr>
        <w:t>une chronologie générale des évé</w:t>
      </w:r>
      <w:r w:rsidRPr="009078C7">
        <w:rPr>
          <w:rFonts w:cs="Times New Roman"/>
          <w:noProof/>
          <w:lang w:val="fr-CA"/>
        </w:rPr>
        <w:t>nements</w:t>
      </w:r>
      <w:r>
        <w:rPr>
          <w:rFonts w:cs="Times New Roman"/>
          <w:noProof/>
          <w:lang w:val="fr-CA"/>
        </w:rPr>
        <w:t> :</w:t>
      </w:r>
    </w:p>
    <w:p w:rsidR="00190EF2" w:rsidRPr="009078C7" w:rsidRDefault="00190EF2" w:rsidP="00BF1D7F">
      <w:pPr>
        <w:pStyle w:val="ParaNoNdepar-AltN"/>
        <w:widowControl w:val="0"/>
        <w:numPr>
          <w:ilvl w:val="0"/>
          <w:numId w:val="9"/>
        </w:numPr>
        <w:ind w:left="720" w:hanging="720"/>
        <w:rPr>
          <w:noProof/>
          <w:lang w:val="fr-CA"/>
        </w:rPr>
      </w:pPr>
      <w:r w:rsidRPr="009078C7">
        <w:rPr>
          <w:noProof/>
          <w:lang w:val="fr-CA"/>
        </w:rPr>
        <w:t>Depuis aussi tôt que 1909 jusqu</w:t>
      </w:r>
      <w:r>
        <w:rPr>
          <w:noProof/>
          <w:lang w:val="fr-CA"/>
        </w:rPr>
        <w:t xml:space="preserve">’en janvier </w:t>
      </w:r>
      <w:r w:rsidRPr="009078C7">
        <w:rPr>
          <w:noProof/>
          <w:lang w:val="fr-CA"/>
        </w:rPr>
        <w:t>1916 (lorsqu</w:t>
      </w:r>
      <w:r>
        <w:rPr>
          <w:noProof/>
          <w:lang w:val="fr-CA"/>
        </w:rPr>
        <w:t>’</w:t>
      </w:r>
      <w:r w:rsidRPr="009078C7">
        <w:rPr>
          <w:noProof/>
          <w:lang w:val="fr-CA"/>
        </w:rPr>
        <w:t>il a déménagé en Australie), George W. Cooper (« </w:t>
      </w:r>
      <w:r>
        <w:rPr>
          <w:noProof/>
          <w:lang w:val="fr-CA"/>
        </w:rPr>
        <w:t>George </w:t>
      </w:r>
      <w:r w:rsidRPr="009078C7">
        <w:rPr>
          <w:noProof/>
          <w:lang w:val="fr-CA"/>
        </w:rPr>
        <w:t>W. ») a vécu avec sa famille dans une résidence située sur le lot en litige.</w:t>
      </w:r>
    </w:p>
    <w:p w:rsidR="00190EF2" w:rsidRPr="009078C7" w:rsidRDefault="00190EF2" w:rsidP="00BF1D7F">
      <w:pPr>
        <w:pStyle w:val="ParaNoNdepar-AltN"/>
        <w:widowControl w:val="0"/>
        <w:numPr>
          <w:ilvl w:val="0"/>
          <w:numId w:val="9"/>
        </w:numPr>
        <w:ind w:left="720" w:hanging="720"/>
        <w:rPr>
          <w:noProof/>
          <w:lang w:val="fr-CA"/>
        </w:rPr>
      </w:pPr>
      <w:r w:rsidRPr="009078C7">
        <w:rPr>
          <w:noProof/>
          <w:lang w:val="fr-CA"/>
        </w:rPr>
        <w:t xml:space="preserve">Après le départ de </w:t>
      </w:r>
      <w:r>
        <w:rPr>
          <w:noProof/>
          <w:lang w:val="fr-CA"/>
        </w:rPr>
        <w:t>George </w:t>
      </w:r>
      <w:r w:rsidRPr="009078C7">
        <w:rPr>
          <w:noProof/>
          <w:lang w:val="fr-CA"/>
        </w:rPr>
        <w:t>W. pour l</w:t>
      </w:r>
      <w:r>
        <w:rPr>
          <w:noProof/>
          <w:lang w:val="fr-CA"/>
        </w:rPr>
        <w:t>’</w:t>
      </w:r>
      <w:r w:rsidRPr="009078C7">
        <w:rPr>
          <w:noProof/>
          <w:lang w:val="fr-CA"/>
        </w:rPr>
        <w:t>Australie, son fils George R. Cooper (« </w:t>
      </w:r>
      <w:r>
        <w:rPr>
          <w:noProof/>
          <w:lang w:val="fr-CA"/>
        </w:rPr>
        <w:t>George </w:t>
      </w:r>
      <w:r w:rsidRPr="009078C7">
        <w:rPr>
          <w:noProof/>
          <w:lang w:val="fr-CA"/>
        </w:rPr>
        <w:t>R. ») est resté dans la région de Kootenay, en Colombie</w:t>
      </w:r>
      <w:r>
        <w:rPr>
          <w:noProof/>
          <w:lang w:val="fr-CA"/>
        </w:rPr>
        <w:noBreakHyphen/>
      </w:r>
      <w:r w:rsidRPr="009078C7">
        <w:rPr>
          <w:noProof/>
          <w:lang w:val="fr-CA"/>
        </w:rPr>
        <w:t>Britannique, avec son épouse Carrie et leurs enfants. George R. a travaillé à la fonderie de Trail, en Colombie</w:t>
      </w:r>
      <w:r>
        <w:rPr>
          <w:noProof/>
          <w:lang w:val="fr-CA"/>
        </w:rPr>
        <w:noBreakHyphen/>
      </w:r>
      <w:r w:rsidRPr="009078C7">
        <w:rPr>
          <w:noProof/>
          <w:lang w:val="fr-CA"/>
        </w:rPr>
        <w:t>Britannique</w:t>
      </w:r>
      <w:r>
        <w:rPr>
          <w:noProof/>
          <w:lang w:val="fr-CA"/>
        </w:rPr>
        <w:t xml:space="preserve">, de février </w:t>
      </w:r>
      <w:r w:rsidRPr="009078C7">
        <w:rPr>
          <w:noProof/>
          <w:lang w:val="fr-CA"/>
        </w:rPr>
        <w:t>1917 jusqu</w:t>
      </w:r>
      <w:r>
        <w:rPr>
          <w:noProof/>
          <w:lang w:val="fr-CA"/>
        </w:rPr>
        <w:t>’</w:t>
      </w:r>
      <w:r w:rsidRPr="009078C7">
        <w:rPr>
          <w:noProof/>
          <w:lang w:val="fr-CA"/>
        </w:rPr>
        <w:t>à son décès en février</w:t>
      </w:r>
      <w:r>
        <w:rPr>
          <w:noProof/>
          <w:lang w:val="fr-CA"/>
        </w:rPr>
        <w:t xml:space="preserve"> </w:t>
      </w:r>
      <w:r w:rsidRPr="009078C7">
        <w:rPr>
          <w:noProof/>
          <w:lang w:val="fr-CA"/>
        </w:rPr>
        <w:t>1918.</w:t>
      </w:r>
    </w:p>
    <w:p w:rsidR="00190EF2" w:rsidRPr="009078C7" w:rsidRDefault="00190EF2" w:rsidP="00BF1D7F">
      <w:pPr>
        <w:pStyle w:val="ParaNoNdepar-AltN"/>
        <w:widowControl w:val="0"/>
        <w:numPr>
          <w:ilvl w:val="0"/>
          <w:numId w:val="9"/>
        </w:numPr>
        <w:ind w:left="720" w:hanging="720"/>
        <w:rPr>
          <w:noProof/>
          <w:lang w:val="fr-CA"/>
        </w:rPr>
      </w:pPr>
      <w:r w:rsidRPr="009078C7">
        <w:rPr>
          <w:noProof/>
          <w:lang w:val="fr-CA"/>
        </w:rPr>
        <w:t>Après le départ des Cooper et avant l</w:t>
      </w:r>
      <w:r>
        <w:rPr>
          <w:noProof/>
          <w:lang w:val="fr-CA"/>
        </w:rPr>
        <w:t>’</w:t>
      </w:r>
      <w:r w:rsidRPr="009078C7">
        <w:rPr>
          <w:noProof/>
          <w:lang w:val="fr-CA"/>
        </w:rPr>
        <w:t xml:space="preserve">arrivée des Thorpe, en 1922, Frank et Mary Goucher ont vécu quelque temps dans la résidence située sur le lot en litige. Selon la preuve présentée devant le juge en cabinet (soit la liste électorale de Fairview), ils auraient habité à Fairview en </w:t>
      </w:r>
      <w:r>
        <w:rPr>
          <w:noProof/>
          <w:lang w:val="fr-CA"/>
        </w:rPr>
        <w:t xml:space="preserve">novembre </w:t>
      </w:r>
      <w:r w:rsidRPr="009078C7">
        <w:rPr>
          <w:noProof/>
          <w:lang w:val="fr-CA"/>
        </w:rPr>
        <w:t>1920, tandis qu</w:t>
      </w:r>
      <w:r>
        <w:rPr>
          <w:noProof/>
          <w:lang w:val="fr-CA"/>
        </w:rPr>
        <w:t>’</w:t>
      </w:r>
      <w:r w:rsidRPr="009078C7">
        <w:rPr>
          <w:noProof/>
          <w:lang w:val="fr-CA"/>
        </w:rPr>
        <w:t>une attestation de la fréquentation d</w:t>
      </w:r>
      <w:r>
        <w:rPr>
          <w:noProof/>
          <w:lang w:val="fr-CA"/>
        </w:rPr>
        <w:t>’</w:t>
      </w:r>
      <w:r w:rsidRPr="009078C7">
        <w:rPr>
          <w:noProof/>
          <w:lang w:val="fr-CA"/>
        </w:rPr>
        <w:t>une école de Fairview par leur fils ainsi que le fait que leur nom ne figure par sur la liste électorale de Nelson donnent à penser qu</w:t>
      </w:r>
      <w:r>
        <w:rPr>
          <w:noProof/>
          <w:lang w:val="fr-CA"/>
        </w:rPr>
        <w:t>’</w:t>
      </w:r>
      <w:r w:rsidRPr="009078C7">
        <w:rPr>
          <w:noProof/>
          <w:lang w:val="fr-CA"/>
        </w:rPr>
        <w:t>ils se trouvaient à Fairview en 1919.</w:t>
      </w:r>
    </w:p>
    <w:p w:rsidR="00190EF2" w:rsidRPr="009078C7" w:rsidRDefault="00190EF2" w:rsidP="00BF1D7F">
      <w:pPr>
        <w:pStyle w:val="ParaNoNdepar-AltN"/>
        <w:widowControl w:val="0"/>
        <w:numPr>
          <w:ilvl w:val="0"/>
          <w:numId w:val="9"/>
        </w:numPr>
        <w:ind w:left="720" w:hanging="720"/>
        <w:rPr>
          <w:noProof/>
          <w:lang w:val="fr-CA"/>
        </w:rPr>
      </w:pPr>
      <w:r w:rsidRPr="009078C7">
        <w:rPr>
          <w:noProof/>
          <w:lang w:val="fr-CA"/>
        </w:rPr>
        <w:t xml:space="preserve">En 1922, </w:t>
      </w:r>
      <w:r w:rsidRPr="00366D0A">
        <w:rPr>
          <w:rFonts w:cs="Times New Roman"/>
          <w:lang w:val="fr-CA"/>
        </w:rPr>
        <w:t>Herbert</w:t>
      </w:r>
      <w:r>
        <w:rPr>
          <w:noProof/>
          <w:lang w:val="fr-CA"/>
        </w:rPr>
        <w:t xml:space="preserve"> </w:t>
      </w:r>
      <w:r w:rsidRPr="009078C7">
        <w:rPr>
          <w:noProof/>
          <w:lang w:val="fr-CA"/>
        </w:rPr>
        <w:t>Thorpe s</w:t>
      </w:r>
      <w:r>
        <w:rPr>
          <w:noProof/>
          <w:lang w:val="fr-CA"/>
        </w:rPr>
        <w:t>’</w:t>
      </w:r>
      <w:r w:rsidRPr="009078C7">
        <w:rPr>
          <w:noProof/>
          <w:lang w:val="fr-CA"/>
        </w:rPr>
        <w:t>est porté acquéreur du lot enregistré. Pendant la construction de la maison en pierre qui s</w:t>
      </w:r>
      <w:r>
        <w:rPr>
          <w:noProof/>
          <w:lang w:val="fr-CA"/>
        </w:rPr>
        <w:t>’</w:t>
      </w:r>
      <w:r w:rsidRPr="009078C7">
        <w:rPr>
          <w:noProof/>
          <w:lang w:val="fr-CA"/>
        </w:rPr>
        <w:t>y trouve aujourd</w:t>
      </w:r>
      <w:r>
        <w:rPr>
          <w:noProof/>
          <w:lang w:val="fr-CA"/>
        </w:rPr>
        <w:t>’</w:t>
      </w:r>
      <w:r w:rsidRPr="009078C7">
        <w:rPr>
          <w:noProof/>
          <w:lang w:val="fr-CA"/>
        </w:rPr>
        <w:t xml:space="preserve">hui, il a loué de </w:t>
      </w:r>
      <w:r w:rsidRPr="009078C7">
        <w:rPr>
          <w:noProof/>
          <w:lang w:val="fr-CA"/>
        </w:rPr>
        <w:lastRenderedPageBreak/>
        <w:t>M. Goucher la résidence située sur le lot en litige et y est resté jusqu</w:t>
      </w:r>
      <w:r>
        <w:rPr>
          <w:noProof/>
          <w:lang w:val="fr-CA"/>
        </w:rPr>
        <w:t>’</w:t>
      </w:r>
      <w:r w:rsidRPr="009078C7">
        <w:rPr>
          <w:noProof/>
          <w:lang w:val="fr-CA"/>
        </w:rPr>
        <w:t>à ce qu</w:t>
      </w:r>
      <w:r>
        <w:rPr>
          <w:noProof/>
          <w:lang w:val="fr-CA"/>
        </w:rPr>
        <w:t>’</w:t>
      </w:r>
      <w:r w:rsidRPr="009078C7">
        <w:rPr>
          <w:noProof/>
          <w:lang w:val="fr-CA"/>
        </w:rPr>
        <w:t xml:space="preserve">elle soit rasée par les flammes en 1923. </w:t>
      </w:r>
    </w:p>
    <w:p w:rsidR="00190EF2" w:rsidRPr="009078C7" w:rsidRDefault="00190EF2" w:rsidP="00BF1D7F">
      <w:pPr>
        <w:pStyle w:val="ParaNoNdepar-AltN"/>
        <w:widowControl w:val="0"/>
        <w:numPr>
          <w:ilvl w:val="0"/>
          <w:numId w:val="9"/>
        </w:numPr>
        <w:ind w:left="720" w:hanging="720"/>
        <w:rPr>
          <w:noProof/>
          <w:lang w:val="fr-CA"/>
        </w:rPr>
      </w:pPr>
      <w:r w:rsidRPr="009078C7">
        <w:rPr>
          <w:noProof/>
          <w:lang w:val="fr-CA"/>
        </w:rPr>
        <w:t>En 1959, M. Thorpe a transféré le lot enregistré à ses enfants. Par la suite, sa fille, Gwen</w:t>
      </w:r>
      <w:r>
        <w:rPr>
          <w:noProof/>
          <w:lang w:val="fr-CA"/>
        </w:rPr>
        <w:t xml:space="preserve"> </w:t>
      </w:r>
      <w:r w:rsidRPr="009078C7">
        <w:rPr>
          <w:noProof/>
          <w:lang w:val="fr-CA"/>
        </w:rPr>
        <w:t>Marquis, l</w:t>
      </w:r>
      <w:r>
        <w:rPr>
          <w:noProof/>
          <w:lang w:val="fr-CA"/>
        </w:rPr>
        <w:t>’</w:t>
      </w:r>
      <w:r w:rsidRPr="009078C7">
        <w:rPr>
          <w:noProof/>
          <w:lang w:val="fr-CA"/>
        </w:rPr>
        <w:t>a transféré aux Mowatt en 1992.</w:t>
      </w:r>
    </w:p>
    <w:p w:rsidR="00190EF2" w:rsidRPr="009078C7" w:rsidRDefault="00190EF2" w:rsidP="00BF1D7F">
      <w:pPr>
        <w:pStyle w:val="Title2LevelTitre2Niveau"/>
        <w:widowControl w:val="0"/>
        <w:rPr>
          <w:rFonts w:cs="Times New Roman"/>
          <w:noProof/>
          <w:lang w:val="fr-CA"/>
        </w:rPr>
      </w:pPr>
      <w:r w:rsidRPr="009078C7">
        <w:rPr>
          <w:rFonts w:cs="Times New Roman"/>
          <w:noProof/>
          <w:lang w:val="fr-CA"/>
        </w:rPr>
        <w:t>Décisions des juridictions d</w:t>
      </w:r>
      <w:r>
        <w:rPr>
          <w:rFonts w:cs="Times New Roman"/>
          <w:noProof/>
          <w:lang w:val="fr-CA"/>
        </w:rPr>
        <w:t>’</w:t>
      </w:r>
      <w:r w:rsidRPr="009078C7">
        <w:rPr>
          <w:rFonts w:cs="Times New Roman"/>
          <w:noProof/>
          <w:lang w:val="fr-CA"/>
        </w:rPr>
        <w:t>instances inférieures</w:t>
      </w:r>
    </w:p>
    <w:p w:rsidR="00190EF2" w:rsidRPr="009078C7" w:rsidRDefault="00190EF2" w:rsidP="00BF1D7F">
      <w:pPr>
        <w:pStyle w:val="Title3LevelTitre3Niveau"/>
        <w:widowControl w:val="0"/>
        <w:rPr>
          <w:rFonts w:cs="Times New Roman"/>
          <w:noProof/>
          <w:lang w:val="fr-CA"/>
        </w:rPr>
      </w:pPr>
      <w:r w:rsidRPr="009078C7">
        <w:rPr>
          <w:rFonts w:cs="Times New Roman"/>
          <w:noProof/>
          <w:lang w:val="fr-CA"/>
        </w:rPr>
        <w:t>Cour suprême de la Colombie</w:t>
      </w:r>
      <w:r>
        <w:rPr>
          <w:rFonts w:cs="Times New Roman"/>
          <w:noProof/>
          <w:lang w:val="fr-CA"/>
        </w:rPr>
        <w:noBreakHyphen/>
      </w:r>
      <w:r w:rsidRPr="009078C7">
        <w:rPr>
          <w:rFonts w:cs="Times New Roman"/>
          <w:noProof/>
          <w:lang w:val="fr-CA"/>
        </w:rPr>
        <w:t>Britannique — 2014 BCSC 988, 25 M.P.L.R. (5th) 79 et 2014 BCSC 2219</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L</w:t>
      </w:r>
      <w:r>
        <w:rPr>
          <w:rFonts w:cs="Times New Roman"/>
          <w:noProof/>
          <w:lang w:val="fr-CA"/>
        </w:rPr>
        <w:t>’</w:t>
      </w:r>
      <w:r w:rsidRPr="009078C7">
        <w:rPr>
          <w:rFonts w:cs="Times New Roman"/>
          <w:noProof/>
          <w:lang w:val="fr-CA"/>
        </w:rPr>
        <w:t>acquisition de titres fonciers par possession adversative a été abolie en Colombie</w:t>
      </w:r>
      <w:r>
        <w:rPr>
          <w:rFonts w:cs="Times New Roman"/>
          <w:noProof/>
          <w:lang w:val="fr-CA"/>
        </w:rPr>
        <w:noBreakHyphen/>
      </w:r>
      <w:r w:rsidRPr="009078C7">
        <w:rPr>
          <w:rFonts w:cs="Times New Roman"/>
          <w:noProof/>
          <w:lang w:val="fr-CA"/>
        </w:rPr>
        <w:t>Britannique le 1</w:t>
      </w:r>
      <w:r w:rsidRPr="009078C7">
        <w:rPr>
          <w:rFonts w:cs="Times New Roman"/>
          <w:noProof/>
          <w:vertAlign w:val="superscript"/>
          <w:lang w:val="fr-CA"/>
        </w:rPr>
        <w:t>er</w:t>
      </w:r>
      <w:r w:rsidRPr="009078C7">
        <w:rPr>
          <w:rFonts w:cs="Times New Roman"/>
          <w:noProof/>
          <w:lang w:val="fr-CA"/>
        </w:rPr>
        <w:t> juillet 1975, lors de l</w:t>
      </w:r>
      <w:r>
        <w:rPr>
          <w:rFonts w:cs="Times New Roman"/>
          <w:noProof/>
          <w:lang w:val="fr-CA"/>
        </w:rPr>
        <w:t>’</w:t>
      </w:r>
      <w:r w:rsidRPr="009078C7">
        <w:rPr>
          <w:rFonts w:cs="Times New Roman"/>
          <w:noProof/>
          <w:lang w:val="fr-CA"/>
        </w:rPr>
        <w:t xml:space="preserve">entrée en vigueur de la </w:t>
      </w:r>
      <w:r w:rsidRPr="009078C7">
        <w:rPr>
          <w:rFonts w:cs="Times New Roman"/>
          <w:i/>
          <w:noProof/>
          <w:lang w:val="fr-CA"/>
        </w:rPr>
        <w:t>Limitations Act</w:t>
      </w:r>
      <w:r w:rsidRPr="009078C7">
        <w:rPr>
          <w:rFonts w:cs="Times New Roman"/>
          <w:noProof/>
          <w:lang w:val="fr-CA"/>
        </w:rPr>
        <w:t xml:space="preserve">, S.B.C. 1975, c. 37. Les titres fonciers acquis par possession adversative </w:t>
      </w:r>
      <w:r w:rsidRPr="009078C7">
        <w:rPr>
          <w:rFonts w:cs="Times New Roman"/>
          <w:i/>
          <w:noProof/>
          <w:lang w:val="fr-CA"/>
        </w:rPr>
        <w:t>avant</w:t>
      </w:r>
      <w:r w:rsidRPr="009078C7">
        <w:rPr>
          <w:rFonts w:cs="Times New Roman"/>
          <w:noProof/>
          <w:lang w:val="fr-CA"/>
        </w:rPr>
        <w:t xml:space="preserve"> cette date ont cependant été préservés et peuvent encore être revendiqués, à moins que le détenteur du titre enregistré puisse intenter un recours visant à faire valoir ses droits avant l</w:t>
      </w:r>
      <w:r>
        <w:rPr>
          <w:rFonts w:cs="Times New Roman"/>
          <w:noProof/>
          <w:lang w:val="fr-CA"/>
        </w:rPr>
        <w:t>’</w:t>
      </w:r>
      <w:r w:rsidRPr="009078C7">
        <w:rPr>
          <w:rFonts w:cs="Times New Roman"/>
          <w:noProof/>
          <w:lang w:val="fr-CA"/>
        </w:rPr>
        <w:t>expiration du délai de prescription applicable</w:t>
      </w:r>
      <w:r>
        <w:rPr>
          <w:rFonts w:cs="Times New Roman"/>
          <w:noProof/>
          <w:lang w:val="fr-CA"/>
        </w:rPr>
        <w:t> :</w:t>
      </w:r>
      <w:r w:rsidRPr="009078C7">
        <w:rPr>
          <w:rFonts w:cs="Times New Roman"/>
          <w:noProof/>
          <w:lang w:val="fr-CA"/>
        </w:rPr>
        <w:t xml:space="preserve"> </w:t>
      </w:r>
      <w:r w:rsidRPr="009078C7">
        <w:rPr>
          <w:rFonts w:cs="Times New Roman"/>
          <w:i/>
          <w:noProof/>
          <w:lang w:val="fr-CA"/>
        </w:rPr>
        <w:t>Limitation Act</w:t>
      </w:r>
      <w:r w:rsidRPr="009078C7">
        <w:rPr>
          <w:rFonts w:cs="Times New Roman"/>
          <w:noProof/>
          <w:lang w:val="fr-CA"/>
        </w:rPr>
        <w:t xml:space="preserve">, R.S.B.C. 1996, c. 266, </w:t>
      </w:r>
      <w:r>
        <w:rPr>
          <w:rFonts w:cs="Times New Roman"/>
          <w:noProof/>
          <w:lang w:val="fr-CA"/>
        </w:rPr>
        <w:t>par. </w:t>
      </w:r>
      <w:r w:rsidRPr="009078C7">
        <w:rPr>
          <w:rFonts w:cs="Times New Roman"/>
          <w:noProof/>
          <w:lang w:val="fr-CA"/>
        </w:rPr>
        <w:t xml:space="preserve">14(5). </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Deux délais de prescription applicables ont été relevés en première instance</w:t>
      </w:r>
      <w:r w:rsidRPr="00190EF2">
        <w:rPr>
          <w:rStyle w:val="Hyperlink"/>
          <w:vertAlign w:val="superscript"/>
        </w:rPr>
        <w:footnoteReference w:id="2"/>
      </w:r>
      <w:r w:rsidRPr="009078C7">
        <w:rPr>
          <w:rFonts w:cs="Times New Roman"/>
          <w:noProof/>
          <w:lang w:val="fr-CA"/>
        </w:rPr>
        <w:t>. Le délai de prescription qui pouvait s</w:t>
      </w:r>
      <w:r>
        <w:rPr>
          <w:rFonts w:cs="Times New Roman"/>
          <w:noProof/>
          <w:lang w:val="fr-CA"/>
        </w:rPr>
        <w:t>’</w:t>
      </w:r>
      <w:r w:rsidRPr="009078C7">
        <w:rPr>
          <w:rFonts w:cs="Times New Roman"/>
          <w:noProof/>
          <w:lang w:val="fr-CA"/>
        </w:rPr>
        <w:t>appliquer, de l</w:t>
      </w:r>
      <w:r>
        <w:rPr>
          <w:rFonts w:cs="Times New Roman"/>
          <w:noProof/>
          <w:lang w:val="fr-CA"/>
        </w:rPr>
        <w:t>’</w:t>
      </w:r>
      <w:r w:rsidRPr="009078C7">
        <w:rPr>
          <w:rFonts w:cs="Times New Roman"/>
          <w:noProof/>
          <w:lang w:val="fr-CA"/>
        </w:rPr>
        <w:t>avis de toutes les parties, est celui que prévoit l</w:t>
      </w:r>
      <w:r>
        <w:rPr>
          <w:rFonts w:cs="Times New Roman"/>
          <w:noProof/>
          <w:lang w:val="fr-CA"/>
        </w:rPr>
        <w:t>’art. </w:t>
      </w:r>
      <w:r w:rsidRPr="009078C7">
        <w:rPr>
          <w:rFonts w:cs="Times New Roman"/>
          <w:noProof/>
          <w:lang w:val="fr-CA"/>
        </w:rPr>
        <w:t xml:space="preserve">16 de la </w:t>
      </w:r>
      <w:r w:rsidRPr="009078C7">
        <w:rPr>
          <w:rFonts w:cs="Times New Roman"/>
          <w:i/>
          <w:noProof/>
          <w:lang w:val="fr-CA"/>
        </w:rPr>
        <w:t>Statute of Limitations</w:t>
      </w:r>
      <w:r w:rsidRPr="009078C7">
        <w:rPr>
          <w:rFonts w:cs="Times New Roman"/>
          <w:noProof/>
          <w:lang w:val="fr-CA"/>
        </w:rPr>
        <w:t xml:space="preserve">, R.S.B.C. 1924, c. 145, </w:t>
      </w:r>
      <w:r w:rsidRPr="009078C7">
        <w:rPr>
          <w:rFonts w:cs="Times New Roman"/>
          <w:noProof/>
          <w:lang w:val="fr-CA"/>
        </w:rPr>
        <w:lastRenderedPageBreak/>
        <w:t>suivant lequel l</w:t>
      </w:r>
      <w:r>
        <w:rPr>
          <w:rFonts w:cs="Times New Roman"/>
          <w:noProof/>
          <w:lang w:val="fr-CA"/>
        </w:rPr>
        <w:t>’</w:t>
      </w:r>
      <w:r w:rsidRPr="009078C7">
        <w:rPr>
          <w:rFonts w:cs="Times New Roman"/>
          <w:noProof/>
          <w:lang w:val="fr-CA"/>
        </w:rPr>
        <w:t>action en recouvrement d</w:t>
      </w:r>
      <w:r>
        <w:rPr>
          <w:rFonts w:cs="Times New Roman"/>
          <w:noProof/>
          <w:lang w:val="fr-CA"/>
        </w:rPr>
        <w:t>’</w:t>
      </w:r>
      <w:r w:rsidRPr="009078C7">
        <w:rPr>
          <w:rFonts w:cs="Times New Roman"/>
          <w:noProof/>
          <w:lang w:val="fr-CA"/>
        </w:rPr>
        <w:t>un bien</w:t>
      </w:r>
      <w:r>
        <w:rPr>
          <w:rFonts w:cs="Times New Roman"/>
          <w:noProof/>
          <w:lang w:val="fr-CA"/>
        </w:rPr>
        <w:noBreakHyphen/>
      </w:r>
      <w:r w:rsidRPr="009078C7">
        <w:rPr>
          <w:rFonts w:cs="Times New Roman"/>
          <w:noProof/>
          <w:lang w:val="fr-CA"/>
        </w:rPr>
        <w:t>fonds se prescrivai</w:t>
      </w:r>
      <w:r>
        <w:rPr>
          <w:rFonts w:cs="Times New Roman"/>
          <w:noProof/>
          <w:lang w:val="fr-CA"/>
        </w:rPr>
        <w:t xml:space="preserve">t par </w:t>
      </w:r>
      <w:r w:rsidR="00DB2809">
        <w:rPr>
          <w:rFonts w:cs="Times New Roman"/>
          <w:noProof/>
          <w:lang w:val="fr-CA"/>
        </w:rPr>
        <w:t>20</w:t>
      </w:r>
      <w:r>
        <w:rPr>
          <w:rFonts w:cs="Times New Roman"/>
          <w:noProof/>
          <w:lang w:val="fr-CA"/>
        </w:rPr>
        <w:t xml:space="preserve"> </w:t>
      </w:r>
      <w:r w:rsidRPr="009078C7">
        <w:rPr>
          <w:rFonts w:cs="Times New Roman"/>
          <w:noProof/>
          <w:lang w:val="fr-CA"/>
        </w:rPr>
        <w:t>ans. Cette disposition permettrait aux Mowatt d</w:t>
      </w:r>
      <w:r>
        <w:rPr>
          <w:rFonts w:cs="Times New Roman"/>
          <w:noProof/>
          <w:lang w:val="fr-CA"/>
        </w:rPr>
        <w:t>’</w:t>
      </w:r>
      <w:r w:rsidRPr="009078C7">
        <w:rPr>
          <w:rFonts w:cs="Times New Roman"/>
          <w:noProof/>
          <w:lang w:val="fr-CA"/>
        </w:rPr>
        <w:t>avoir gain de cause en démontrant la possession adversative continue du lot en litige pendant une période de 20 ans avant qu</w:t>
      </w:r>
      <w:r>
        <w:rPr>
          <w:rFonts w:cs="Times New Roman"/>
          <w:noProof/>
          <w:lang w:val="fr-CA"/>
        </w:rPr>
        <w:t>’</w:t>
      </w:r>
      <w:r w:rsidRPr="009078C7">
        <w:rPr>
          <w:rFonts w:cs="Times New Roman"/>
          <w:noProof/>
          <w:lang w:val="fr-CA"/>
        </w:rPr>
        <w:t xml:space="preserve">il ne tombe en déshérence en 1930 ou en 1931. </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Les Mowatt ont aussi invoqué l</w:t>
      </w:r>
      <w:r>
        <w:rPr>
          <w:rFonts w:cs="Times New Roman"/>
          <w:noProof/>
          <w:lang w:val="fr-CA"/>
        </w:rPr>
        <w:t>’art. </w:t>
      </w:r>
      <w:r w:rsidRPr="009078C7">
        <w:rPr>
          <w:rFonts w:cs="Times New Roman"/>
          <w:noProof/>
          <w:lang w:val="fr-CA"/>
        </w:rPr>
        <w:t xml:space="preserve">48 de la </w:t>
      </w:r>
      <w:r w:rsidRPr="009078C7">
        <w:rPr>
          <w:rFonts w:cs="Times New Roman"/>
          <w:i/>
          <w:noProof/>
          <w:lang w:val="fr-CA"/>
        </w:rPr>
        <w:t>Statute</w:t>
      </w:r>
      <w:r w:rsidRPr="009078C7">
        <w:rPr>
          <w:rFonts w:cs="Times New Roman"/>
          <w:noProof/>
          <w:lang w:val="fr-CA"/>
        </w:rPr>
        <w:t xml:space="preserve"> </w:t>
      </w:r>
      <w:r w:rsidRPr="009078C7">
        <w:rPr>
          <w:rFonts w:cs="Times New Roman"/>
          <w:i/>
          <w:noProof/>
          <w:lang w:val="fr-CA"/>
        </w:rPr>
        <w:t>of Limitations</w:t>
      </w:r>
      <w:r w:rsidRPr="009078C7">
        <w:rPr>
          <w:rFonts w:cs="Times New Roman"/>
          <w:noProof/>
          <w:lang w:val="fr-CA"/>
        </w:rPr>
        <w:t>, R.S.B.C. 1960, c. 370, qui empêchait le ministère public d</w:t>
      </w:r>
      <w:r>
        <w:rPr>
          <w:rFonts w:cs="Times New Roman"/>
          <w:noProof/>
          <w:lang w:val="fr-CA"/>
        </w:rPr>
        <w:t>’</w:t>
      </w:r>
      <w:r w:rsidRPr="009078C7">
        <w:rPr>
          <w:rFonts w:cs="Times New Roman"/>
          <w:noProof/>
          <w:lang w:val="fr-CA"/>
        </w:rPr>
        <w:t>intenter toute action en recouvrement d</w:t>
      </w:r>
      <w:r>
        <w:rPr>
          <w:rFonts w:cs="Times New Roman"/>
          <w:noProof/>
          <w:lang w:val="fr-CA"/>
        </w:rPr>
        <w:t>’</w:t>
      </w:r>
      <w:r w:rsidRPr="009078C7">
        <w:rPr>
          <w:rFonts w:cs="Times New Roman"/>
          <w:noProof/>
          <w:lang w:val="fr-CA"/>
        </w:rPr>
        <w:t>un bien</w:t>
      </w:r>
      <w:r>
        <w:rPr>
          <w:rFonts w:cs="Times New Roman"/>
          <w:noProof/>
          <w:lang w:val="fr-CA"/>
        </w:rPr>
        <w:noBreakHyphen/>
      </w:r>
      <w:r w:rsidRPr="009078C7">
        <w:rPr>
          <w:rFonts w:cs="Times New Roman"/>
          <w:noProof/>
          <w:lang w:val="fr-CA"/>
        </w:rPr>
        <w:t>fonds après l</w:t>
      </w:r>
      <w:r>
        <w:rPr>
          <w:rFonts w:cs="Times New Roman"/>
          <w:noProof/>
          <w:lang w:val="fr-CA"/>
        </w:rPr>
        <w:t>’</w:t>
      </w:r>
      <w:r w:rsidRPr="009078C7">
        <w:rPr>
          <w:rFonts w:cs="Times New Roman"/>
          <w:noProof/>
          <w:lang w:val="fr-CA"/>
        </w:rPr>
        <w:t>expiration d</w:t>
      </w:r>
      <w:r>
        <w:rPr>
          <w:rFonts w:cs="Times New Roman"/>
          <w:noProof/>
          <w:lang w:val="fr-CA"/>
        </w:rPr>
        <w:t>’</w:t>
      </w:r>
      <w:r w:rsidRPr="009078C7">
        <w:rPr>
          <w:rFonts w:cs="Times New Roman"/>
          <w:noProof/>
          <w:lang w:val="fr-CA"/>
        </w:rPr>
        <w:t>une période de 60 ans. Puisque les règles permettant l</w:t>
      </w:r>
      <w:r>
        <w:rPr>
          <w:rFonts w:cs="Times New Roman"/>
          <w:noProof/>
          <w:lang w:val="fr-CA"/>
        </w:rPr>
        <w:t>’</w:t>
      </w:r>
      <w:r w:rsidRPr="009078C7">
        <w:rPr>
          <w:rFonts w:cs="Times New Roman"/>
          <w:noProof/>
          <w:lang w:val="fr-CA"/>
        </w:rPr>
        <w:t>acquisition d</w:t>
      </w:r>
      <w:r>
        <w:rPr>
          <w:rFonts w:cs="Times New Roman"/>
          <w:noProof/>
          <w:lang w:val="fr-CA"/>
        </w:rPr>
        <w:t>’</w:t>
      </w:r>
      <w:r w:rsidRPr="009078C7">
        <w:rPr>
          <w:rFonts w:cs="Times New Roman"/>
          <w:noProof/>
          <w:lang w:val="fr-CA"/>
        </w:rPr>
        <w:t>un titre par possession adversative ont été abolies le 1</w:t>
      </w:r>
      <w:r w:rsidRPr="009078C7">
        <w:rPr>
          <w:rFonts w:cs="Times New Roman"/>
          <w:noProof/>
          <w:vertAlign w:val="superscript"/>
          <w:lang w:val="fr-CA"/>
        </w:rPr>
        <w:t>er</w:t>
      </w:r>
      <w:r w:rsidRPr="009078C7">
        <w:rPr>
          <w:rFonts w:cs="Times New Roman"/>
          <w:noProof/>
          <w:lang w:val="fr-CA"/>
        </w:rPr>
        <w:t> juillet 1975, cette disposition relative à ce type de possession, si elle s</w:t>
      </w:r>
      <w:r>
        <w:rPr>
          <w:rFonts w:cs="Times New Roman"/>
          <w:noProof/>
          <w:lang w:val="fr-CA"/>
        </w:rPr>
        <w:t>’</w:t>
      </w:r>
      <w:r w:rsidRPr="009078C7">
        <w:rPr>
          <w:rFonts w:cs="Times New Roman"/>
          <w:noProof/>
          <w:lang w:val="fr-CA"/>
        </w:rPr>
        <w:t>appliquait, permettrait aux Mowatt d</w:t>
      </w:r>
      <w:r>
        <w:rPr>
          <w:rFonts w:cs="Times New Roman"/>
          <w:noProof/>
          <w:lang w:val="fr-CA"/>
        </w:rPr>
        <w:t>’</w:t>
      </w:r>
      <w:r w:rsidRPr="009078C7">
        <w:rPr>
          <w:rFonts w:cs="Times New Roman"/>
          <w:noProof/>
          <w:lang w:val="fr-CA"/>
        </w:rPr>
        <w:t xml:space="preserve">obtenir gain de cause en établissant la possession adversative continue du lot en litige pendant une période de 60 ans précédant cette date. La ville et le ministère public ont cependant fait valoir que la possession adversative </w:t>
      </w:r>
      <w:r w:rsidRPr="009078C7">
        <w:rPr>
          <w:rFonts w:cs="Times New Roman"/>
          <w:i/>
          <w:noProof/>
          <w:lang w:val="fr-CA"/>
        </w:rPr>
        <w:t>ne peut plus être opposée à</w:t>
      </w:r>
      <w:r w:rsidRPr="009078C7">
        <w:rPr>
          <w:rFonts w:cs="Times New Roman"/>
          <w:noProof/>
          <w:lang w:val="fr-CA"/>
        </w:rPr>
        <w:t xml:space="preserve"> </w:t>
      </w:r>
      <w:r w:rsidRPr="009078C7">
        <w:rPr>
          <w:rFonts w:cs="Times New Roman"/>
          <w:i/>
          <w:noProof/>
          <w:lang w:val="fr-CA"/>
        </w:rPr>
        <w:t>l</w:t>
      </w:r>
      <w:r>
        <w:rPr>
          <w:rFonts w:cs="Times New Roman"/>
          <w:i/>
          <w:noProof/>
          <w:lang w:val="fr-CA"/>
        </w:rPr>
        <w:t>’</w:t>
      </w:r>
      <w:r w:rsidRPr="009078C7">
        <w:rPr>
          <w:rFonts w:cs="Times New Roman"/>
          <w:i/>
          <w:noProof/>
          <w:lang w:val="fr-CA"/>
        </w:rPr>
        <w:t xml:space="preserve">État </w:t>
      </w:r>
      <w:r w:rsidRPr="009078C7">
        <w:rPr>
          <w:rFonts w:cs="Times New Roman"/>
          <w:noProof/>
          <w:lang w:val="fr-CA"/>
        </w:rPr>
        <w:t>depuis le 1</w:t>
      </w:r>
      <w:r w:rsidRPr="009078C7">
        <w:rPr>
          <w:rFonts w:cs="Times New Roman"/>
          <w:noProof/>
          <w:vertAlign w:val="superscript"/>
          <w:lang w:val="fr-CA"/>
        </w:rPr>
        <w:t>er</w:t>
      </w:r>
      <w:r w:rsidRPr="009078C7">
        <w:rPr>
          <w:rFonts w:cs="Times New Roman"/>
          <w:noProof/>
          <w:lang w:val="fr-CA"/>
        </w:rPr>
        <w:t> mai 1970 par l</w:t>
      </w:r>
      <w:r>
        <w:rPr>
          <w:rFonts w:cs="Times New Roman"/>
          <w:noProof/>
          <w:lang w:val="fr-CA"/>
        </w:rPr>
        <w:t>’</w:t>
      </w:r>
      <w:r w:rsidRPr="009078C7">
        <w:rPr>
          <w:rFonts w:cs="Times New Roman"/>
          <w:noProof/>
          <w:lang w:val="fr-CA"/>
        </w:rPr>
        <w:t>effet de l</w:t>
      </w:r>
      <w:r>
        <w:rPr>
          <w:rFonts w:cs="Times New Roman"/>
          <w:noProof/>
          <w:lang w:val="fr-CA"/>
        </w:rPr>
        <w:t>’art. </w:t>
      </w:r>
      <w:r w:rsidRPr="009078C7">
        <w:rPr>
          <w:rFonts w:cs="Times New Roman"/>
          <w:noProof/>
          <w:lang w:val="fr-CA"/>
        </w:rPr>
        <w:t xml:space="preserve">6 de la </w:t>
      </w:r>
      <w:r w:rsidRPr="009078C7">
        <w:rPr>
          <w:rFonts w:cs="Times New Roman"/>
          <w:i/>
          <w:noProof/>
          <w:lang w:val="fr-CA"/>
        </w:rPr>
        <w:t>Land Act</w:t>
      </w:r>
      <w:r w:rsidRPr="009078C7">
        <w:rPr>
          <w:rFonts w:cs="Times New Roman"/>
          <w:noProof/>
          <w:lang w:val="fr-CA"/>
        </w:rPr>
        <w:t>, S.B.C. 1970, c. 17 (maintenant l</w:t>
      </w:r>
      <w:r>
        <w:rPr>
          <w:rFonts w:cs="Times New Roman"/>
          <w:noProof/>
          <w:lang w:val="fr-CA"/>
        </w:rPr>
        <w:t>’art. </w:t>
      </w:r>
      <w:r w:rsidRPr="009078C7">
        <w:rPr>
          <w:rFonts w:cs="Times New Roman"/>
          <w:noProof/>
          <w:lang w:val="fr-CA"/>
        </w:rPr>
        <w:t xml:space="preserve">8 de la </w:t>
      </w:r>
      <w:r w:rsidRPr="009078C7">
        <w:rPr>
          <w:rFonts w:cs="Times New Roman"/>
          <w:i/>
          <w:noProof/>
          <w:lang w:val="fr-CA"/>
        </w:rPr>
        <w:t>Land Act</w:t>
      </w:r>
      <w:r w:rsidRPr="009078C7">
        <w:rPr>
          <w:rFonts w:cs="Times New Roman"/>
          <w:noProof/>
          <w:lang w:val="fr-CA"/>
        </w:rPr>
        <w:t>, R.S.B.C. 1996, c. 245), qui empêchait l</w:t>
      </w:r>
      <w:r>
        <w:rPr>
          <w:rFonts w:cs="Times New Roman"/>
          <w:noProof/>
          <w:lang w:val="fr-CA"/>
        </w:rPr>
        <w:t>’</w:t>
      </w:r>
      <w:r w:rsidRPr="009078C7">
        <w:rPr>
          <w:rFonts w:cs="Times New Roman"/>
          <w:noProof/>
          <w:lang w:val="fr-CA"/>
        </w:rPr>
        <w:t>acquisition d</w:t>
      </w:r>
      <w:r>
        <w:rPr>
          <w:rFonts w:cs="Times New Roman"/>
          <w:noProof/>
          <w:lang w:val="fr-CA"/>
        </w:rPr>
        <w:t>’</w:t>
      </w:r>
      <w:r w:rsidRPr="009078C7">
        <w:rPr>
          <w:rFonts w:cs="Times New Roman"/>
          <w:noProof/>
          <w:lang w:val="fr-CA"/>
        </w:rPr>
        <w:t>un droit sur un bien</w:t>
      </w:r>
      <w:r>
        <w:rPr>
          <w:rFonts w:cs="Times New Roman"/>
          <w:noProof/>
          <w:lang w:val="fr-CA"/>
        </w:rPr>
        <w:noBreakHyphen/>
      </w:r>
      <w:r w:rsidRPr="009078C7">
        <w:rPr>
          <w:rFonts w:cs="Times New Roman"/>
          <w:noProof/>
          <w:lang w:val="fr-CA"/>
        </w:rPr>
        <w:t>fonds de l</w:t>
      </w:r>
      <w:r>
        <w:rPr>
          <w:rFonts w:cs="Times New Roman"/>
          <w:noProof/>
          <w:lang w:val="fr-CA"/>
        </w:rPr>
        <w:t>’</w:t>
      </w:r>
      <w:r w:rsidRPr="009078C7">
        <w:rPr>
          <w:rFonts w:cs="Times New Roman"/>
          <w:noProof/>
          <w:lang w:val="fr-CA"/>
        </w:rPr>
        <w:t>État [</w:t>
      </w:r>
      <w:r w:rsidRPr="009078C7">
        <w:rPr>
          <w:rFonts w:cs="Times New Roman"/>
          <w:smallCaps/>
          <w:noProof/>
          <w:lang w:val="fr-CA"/>
        </w:rPr>
        <w:t>traduction</w:t>
      </w:r>
      <w:r w:rsidRPr="009078C7">
        <w:rPr>
          <w:rFonts w:cs="Times New Roman"/>
          <w:noProof/>
          <w:lang w:val="fr-CA"/>
        </w:rPr>
        <w:t>] « par prescription, ou par occupation non légalement autorisée ou par quelque apparence de droit ». Si elle s</w:t>
      </w:r>
      <w:r>
        <w:rPr>
          <w:rFonts w:cs="Times New Roman"/>
          <w:noProof/>
          <w:lang w:val="fr-CA"/>
        </w:rPr>
        <w:t>’</w:t>
      </w:r>
      <w:r w:rsidRPr="009078C7">
        <w:rPr>
          <w:rFonts w:cs="Times New Roman"/>
          <w:noProof/>
          <w:lang w:val="fr-CA"/>
        </w:rPr>
        <w:t>appliquait, cette disposition obligerait les Mowatt à établir la possession adversative pendant une période de 60 ans précédant le 1</w:t>
      </w:r>
      <w:r w:rsidRPr="009078C7">
        <w:rPr>
          <w:rFonts w:cs="Times New Roman"/>
          <w:noProof/>
          <w:vertAlign w:val="superscript"/>
          <w:lang w:val="fr-CA"/>
        </w:rPr>
        <w:t>er</w:t>
      </w:r>
      <w:r w:rsidRPr="009078C7">
        <w:rPr>
          <w:rFonts w:cs="Times New Roman"/>
          <w:noProof/>
          <w:lang w:val="fr-CA"/>
        </w:rPr>
        <w:t xml:space="preserve"> mai 1970. </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En fin de compte, le juge en cabinet n</w:t>
      </w:r>
      <w:r>
        <w:rPr>
          <w:rFonts w:cs="Times New Roman"/>
          <w:noProof/>
          <w:lang w:val="fr-CA"/>
        </w:rPr>
        <w:t>’</w:t>
      </w:r>
      <w:r w:rsidRPr="009078C7">
        <w:rPr>
          <w:rFonts w:cs="Times New Roman"/>
          <w:noProof/>
          <w:lang w:val="fr-CA"/>
        </w:rPr>
        <w:t>a pas eu à décider si la possession adversative ne pouvait plus être opposée à la Couronne depuis 1970 ou 1975. En effet, dans deux décisions distinctes, il a conclu que les Mowatt n</w:t>
      </w:r>
      <w:r>
        <w:rPr>
          <w:rFonts w:cs="Times New Roman"/>
          <w:noProof/>
          <w:lang w:val="fr-CA"/>
        </w:rPr>
        <w:t>’</w:t>
      </w:r>
      <w:r w:rsidRPr="009078C7">
        <w:rPr>
          <w:rFonts w:cs="Times New Roman"/>
          <w:noProof/>
          <w:lang w:val="fr-CA"/>
        </w:rPr>
        <w:t xml:space="preserve">avaient pas établi la </w:t>
      </w:r>
      <w:r w:rsidRPr="009078C7">
        <w:rPr>
          <w:rFonts w:cs="Times New Roman"/>
          <w:noProof/>
          <w:lang w:val="fr-CA"/>
        </w:rPr>
        <w:lastRenderedPageBreak/>
        <w:t>possession adversative continue du lot en litige durant 20 ans avant 1930 ou 1931, ou durant 60 ans avant 1970 ou 1975. Dans sa première décision, il a expliqué que les Mowatt n</w:t>
      </w:r>
      <w:r>
        <w:rPr>
          <w:rFonts w:cs="Times New Roman"/>
          <w:noProof/>
          <w:lang w:val="fr-CA"/>
        </w:rPr>
        <w:t>’</w:t>
      </w:r>
      <w:r w:rsidRPr="009078C7">
        <w:rPr>
          <w:rFonts w:cs="Times New Roman"/>
          <w:noProof/>
          <w:lang w:val="fr-CA"/>
        </w:rPr>
        <w:t>avaient pu combler ce qu</w:t>
      </w:r>
      <w:r>
        <w:rPr>
          <w:rFonts w:cs="Times New Roman"/>
          <w:noProof/>
          <w:lang w:val="fr-CA"/>
        </w:rPr>
        <w:t>’</w:t>
      </w:r>
      <w:r w:rsidRPr="009078C7">
        <w:rPr>
          <w:rFonts w:cs="Times New Roman"/>
          <w:noProof/>
          <w:lang w:val="fr-CA"/>
        </w:rPr>
        <w:t>il a appelé une [</w:t>
      </w:r>
      <w:r w:rsidRPr="009078C7">
        <w:rPr>
          <w:rFonts w:cs="Times New Roman"/>
          <w:smallCaps/>
          <w:noProof/>
          <w:lang w:val="fr-CA"/>
        </w:rPr>
        <w:t>traduction</w:t>
      </w:r>
      <w:r w:rsidRPr="009078C7">
        <w:rPr>
          <w:rFonts w:cs="Times New Roman"/>
          <w:noProof/>
          <w:lang w:val="fr-CA"/>
        </w:rPr>
        <w:t xml:space="preserve">] « lacune de la preuve » concernant la continuité de la possession entre le moment visé par la dernière preuve que George W. vivait sur le lot </w:t>
      </w:r>
      <w:r>
        <w:rPr>
          <w:rFonts w:cs="Times New Roman"/>
          <w:noProof/>
          <w:lang w:val="fr-CA"/>
        </w:rPr>
        <w:t xml:space="preserve">en 1916 </w:t>
      </w:r>
      <w:r w:rsidRPr="009078C7">
        <w:rPr>
          <w:rFonts w:cs="Times New Roman"/>
          <w:noProof/>
          <w:lang w:val="fr-CA"/>
        </w:rPr>
        <w:t>et l</w:t>
      </w:r>
      <w:r>
        <w:rPr>
          <w:rFonts w:cs="Times New Roman"/>
          <w:noProof/>
          <w:lang w:val="fr-CA"/>
        </w:rPr>
        <w:t>’</w:t>
      </w:r>
      <w:r w:rsidRPr="009078C7">
        <w:rPr>
          <w:rFonts w:cs="Times New Roman"/>
          <w:noProof/>
          <w:lang w:val="fr-CA"/>
        </w:rPr>
        <w:t>arrivée des Goucher à Fairview en 1920</w:t>
      </w:r>
      <w:r>
        <w:rPr>
          <w:rFonts w:cs="Times New Roman"/>
          <w:noProof/>
          <w:lang w:val="fr-CA"/>
        </w:rPr>
        <w:t> :</w:t>
      </w:r>
      <w:r w:rsidRPr="009078C7">
        <w:rPr>
          <w:rFonts w:cs="Times New Roman"/>
          <w:noProof/>
          <w:lang w:val="fr-CA"/>
        </w:rPr>
        <w:t xml:space="preserve"> 2014 BCSC 988 (« première décision »), </w:t>
      </w:r>
      <w:r>
        <w:rPr>
          <w:rFonts w:cs="Times New Roman"/>
          <w:noProof/>
          <w:lang w:val="fr-CA"/>
        </w:rPr>
        <w:t>par. </w:t>
      </w:r>
      <w:r w:rsidRPr="009078C7">
        <w:rPr>
          <w:rFonts w:cs="Times New Roman"/>
          <w:noProof/>
          <w:lang w:val="fr-CA"/>
        </w:rPr>
        <w:t>107. Il n</w:t>
      </w:r>
      <w:r>
        <w:rPr>
          <w:rFonts w:cs="Times New Roman"/>
          <w:noProof/>
          <w:lang w:val="fr-CA"/>
        </w:rPr>
        <w:t>’</w:t>
      </w:r>
      <w:r w:rsidRPr="009078C7">
        <w:rPr>
          <w:rFonts w:cs="Times New Roman"/>
          <w:noProof/>
          <w:lang w:val="fr-CA"/>
        </w:rPr>
        <w:t>était pas convaincu non plus que les Goucher avaient même habité sur le lot en litige. La seconde décision (2014 BCSC 2219 (« seconde décision »)) a découlé de la conclusion tirée dans la première, par laquelle le juge en cabinet avait accordé aux Mowatt — conformément à l</w:t>
      </w:r>
      <w:r>
        <w:rPr>
          <w:rFonts w:cs="Times New Roman"/>
          <w:noProof/>
          <w:lang w:val="fr-CA"/>
        </w:rPr>
        <w:t>’art. </w:t>
      </w:r>
      <w:r w:rsidRPr="009078C7">
        <w:rPr>
          <w:rFonts w:cs="Times New Roman"/>
          <w:noProof/>
          <w:lang w:val="fr-CA"/>
        </w:rPr>
        <w:t xml:space="preserve">11 de la </w:t>
      </w:r>
      <w:r w:rsidRPr="009078C7">
        <w:rPr>
          <w:rFonts w:cs="Times New Roman"/>
          <w:i/>
          <w:noProof/>
          <w:lang w:val="fr-CA"/>
        </w:rPr>
        <w:t>Land Title Inquiry Act</w:t>
      </w:r>
      <w:r w:rsidRPr="00190EF2">
        <w:rPr>
          <w:rStyle w:val="Hyperlink"/>
          <w:vertAlign w:val="superscript"/>
        </w:rPr>
        <w:footnoteReference w:id="3"/>
      </w:r>
      <w:r w:rsidRPr="009078C7">
        <w:rPr>
          <w:rFonts w:cs="Times New Roman"/>
          <w:i/>
          <w:noProof/>
          <w:lang w:val="fr-CA"/>
        </w:rPr>
        <w:t xml:space="preserve"> </w:t>
      </w:r>
      <w:r w:rsidRPr="009078C7">
        <w:rPr>
          <w:rFonts w:cs="Times New Roman"/>
          <w:noProof/>
          <w:lang w:val="fr-CA"/>
        </w:rPr>
        <w:t>— un délai de 30 jours pour lui soumettre des éléments de preuve supplémentaires. Les Mowatt ont effectivement présenté au juge en cabinet des éléments de preuve supplémentaires au sujet de la relation des</w:t>
      </w:r>
      <w:r w:rsidRPr="009078C7">
        <w:rPr>
          <w:rFonts w:cs="Times New Roman"/>
          <w:lang w:val="fr-CA"/>
        </w:rPr>
        <w:t xml:space="preserve"> Cooper et des Goucher avec le lot en litige, preuve qui comblait, selon eux, toute « lacune » concernant la continuité de la </w:t>
      </w:r>
      <w:r w:rsidRPr="009078C7">
        <w:rPr>
          <w:rFonts w:cs="Times New Roman"/>
          <w:noProof/>
          <w:lang w:val="fr-CA"/>
        </w:rPr>
        <w:t>possession adversative</w:t>
      </w:r>
      <w:r w:rsidRPr="009078C7">
        <w:rPr>
          <w:rFonts w:cs="Times New Roman"/>
          <w:lang w:val="fr-CA"/>
        </w:rPr>
        <w:t xml:space="preserve"> entre 1916 et 1920. Bien que cette preuve l</w:t>
      </w:r>
      <w:r>
        <w:rPr>
          <w:rFonts w:cs="Times New Roman"/>
          <w:lang w:val="fr-CA"/>
        </w:rPr>
        <w:t>’</w:t>
      </w:r>
      <w:r w:rsidRPr="009078C7">
        <w:rPr>
          <w:rFonts w:cs="Times New Roman"/>
          <w:lang w:val="fr-CA"/>
        </w:rPr>
        <w:t>ait convaincu que les Goucher avaient effectivement résidé sur le lot en litige, le juge en cabinet était encore d</w:t>
      </w:r>
      <w:r>
        <w:rPr>
          <w:rFonts w:cs="Times New Roman"/>
          <w:lang w:val="fr-CA"/>
        </w:rPr>
        <w:t>’</w:t>
      </w:r>
      <w:r w:rsidRPr="009078C7">
        <w:rPr>
          <w:rFonts w:cs="Times New Roman"/>
          <w:lang w:val="fr-CA"/>
        </w:rPr>
        <w:t>avis que la continuité de la possession n</w:t>
      </w:r>
      <w:r>
        <w:rPr>
          <w:rFonts w:cs="Times New Roman"/>
          <w:lang w:val="fr-CA"/>
        </w:rPr>
        <w:t>’</w:t>
      </w:r>
      <w:r w:rsidRPr="009078C7">
        <w:rPr>
          <w:rFonts w:cs="Times New Roman"/>
          <w:lang w:val="fr-CA"/>
        </w:rPr>
        <w:t>avait pas été établie pour la période allant de 1916 à 1920, et il a rejeté tant l</w:t>
      </w:r>
      <w:r>
        <w:rPr>
          <w:rFonts w:cs="Times New Roman"/>
          <w:lang w:val="fr-CA"/>
        </w:rPr>
        <w:t>’</w:t>
      </w:r>
      <w:r w:rsidRPr="009078C7">
        <w:rPr>
          <w:rFonts w:cs="Times New Roman"/>
          <w:lang w:val="fr-CA"/>
        </w:rPr>
        <w:t>action que la requête des Mowatt.</w:t>
      </w:r>
    </w:p>
    <w:p w:rsidR="00190EF2" w:rsidRPr="009078C7" w:rsidRDefault="00190EF2" w:rsidP="00BF1D7F">
      <w:pPr>
        <w:pStyle w:val="Title3LevelTitre3Niveau"/>
        <w:widowControl w:val="0"/>
        <w:rPr>
          <w:rFonts w:cs="Times New Roman"/>
          <w:noProof/>
          <w:lang w:val="fr-CA"/>
        </w:rPr>
      </w:pPr>
      <w:r w:rsidRPr="009078C7">
        <w:rPr>
          <w:rFonts w:cs="Times New Roman"/>
          <w:noProof/>
          <w:lang w:val="fr-CA"/>
        </w:rPr>
        <w:t>Cour d</w:t>
      </w:r>
      <w:r>
        <w:rPr>
          <w:rFonts w:cs="Times New Roman"/>
          <w:noProof/>
          <w:lang w:val="fr-CA"/>
        </w:rPr>
        <w:t>’</w:t>
      </w:r>
      <w:r w:rsidRPr="009078C7">
        <w:rPr>
          <w:rFonts w:cs="Times New Roman"/>
          <w:noProof/>
          <w:lang w:val="fr-CA"/>
        </w:rPr>
        <w:t>appel de la Colombie</w:t>
      </w:r>
      <w:r>
        <w:rPr>
          <w:rFonts w:cs="Times New Roman"/>
          <w:noProof/>
          <w:lang w:val="fr-CA"/>
        </w:rPr>
        <w:noBreakHyphen/>
      </w:r>
      <w:r w:rsidRPr="009078C7">
        <w:rPr>
          <w:rFonts w:cs="Times New Roman"/>
          <w:noProof/>
          <w:lang w:val="fr-CA"/>
        </w:rPr>
        <w:t xml:space="preserve">Britannique — 2016 BCCA 113, 83 B.C.L.R. </w:t>
      </w:r>
      <w:r w:rsidRPr="009078C7">
        <w:rPr>
          <w:rFonts w:cs="Times New Roman"/>
          <w:noProof/>
          <w:lang w:val="fr-CA"/>
        </w:rPr>
        <w:lastRenderedPageBreak/>
        <w:t>(5th) 396</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Les Mowatt ont interjeté appel de la décision du juge en cabinet. Ils lui ont reproché d</w:t>
      </w:r>
      <w:r>
        <w:rPr>
          <w:rFonts w:cs="Times New Roman"/>
          <w:noProof/>
          <w:lang w:val="fr-CA"/>
        </w:rPr>
        <w:t>’</w:t>
      </w:r>
      <w:r w:rsidRPr="009078C7">
        <w:rPr>
          <w:rFonts w:cs="Times New Roman"/>
          <w:noProof/>
          <w:lang w:val="fr-CA"/>
        </w:rPr>
        <w:t xml:space="preserve">avoir commis une erreur de droit en confondant la </w:t>
      </w:r>
      <w:r w:rsidRPr="009078C7">
        <w:rPr>
          <w:rFonts w:cs="Times New Roman"/>
          <w:i/>
          <w:noProof/>
          <w:lang w:val="fr-CA"/>
        </w:rPr>
        <w:t>possession</w:t>
      </w:r>
      <w:r w:rsidRPr="009078C7">
        <w:rPr>
          <w:rFonts w:cs="Times New Roman"/>
          <w:noProof/>
          <w:lang w:val="fr-CA"/>
        </w:rPr>
        <w:t xml:space="preserve"> continue avec l</w:t>
      </w:r>
      <w:r>
        <w:rPr>
          <w:rFonts w:cs="Times New Roman"/>
          <w:noProof/>
          <w:lang w:val="fr-CA"/>
        </w:rPr>
        <w:t>’</w:t>
      </w:r>
      <w:r w:rsidRPr="009078C7">
        <w:rPr>
          <w:rFonts w:cs="Times New Roman"/>
          <w:i/>
          <w:noProof/>
          <w:lang w:val="fr-CA"/>
        </w:rPr>
        <w:t>occupation</w:t>
      </w:r>
      <w:r w:rsidRPr="009078C7">
        <w:rPr>
          <w:rFonts w:cs="Times New Roman"/>
          <w:noProof/>
          <w:lang w:val="fr-CA"/>
        </w:rPr>
        <w:t xml:space="preserve"> continue, ainsi qu</w:t>
      </w:r>
      <w:r>
        <w:rPr>
          <w:rFonts w:cs="Times New Roman"/>
          <w:noProof/>
          <w:lang w:val="fr-CA"/>
        </w:rPr>
        <w:t>’</w:t>
      </w:r>
      <w:r w:rsidRPr="009078C7">
        <w:rPr>
          <w:rFonts w:cs="Times New Roman"/>
          <w:noProof/>
          <w:lang w:val="fr-CA"/>
        </w:rPr>
        <w:t>une erreur de fait en concluant à un hiatus dans la possession entre 1916 et 1920, et ce, en l</w:t>
      </w:r>
      <w:r>
        <w:rPr>
          <w:rFonts w:cs="Times New Roman"/>
          <w:noProof/>
          <w:lang w:val="fr-CA"/>
        </w:rPr>
        <w:t>’</w:t>
      </w:r>
      <w:r w:rsidRPr="009078C7">
        <w:rPr>
          <w:rFonts w:cs="Times New Roman"/>
          <w:noProof/>
          <w:lang w:val="fr-CA"/>
        </w:rPr>
        <w:t>absence d</w:t>
      </w:r>
      <w:r>
        <w:rPr>
          <w:rFonts w:cs="Times New Roman"/>
          <w:noProof/>
          <w:lang w:val="fr-CA"/>
        </w:rPr>
        <w:t>’</w:t>
      </w:r>
      <w:r w:rsidRPr="009078C7">
        <w:rPr>
          <w:rFonts w:cs="Times New Roman"/>
          <w:noProof/>
          <w:lang w:val="fr-CA"/>
        </w:rPr>
        <w:t>éléments de preuve établissant la reprise de possession du lot en litige par la société foncière ou son abandon par les Cooper. Tout en contestant ces moyens, la ville en a fait valoir deux autres qu</w:t>
      </w:r>
      <w:r>
        <w:rPr>
          <w:rFonts w:cs="Times New Roman"/>
          <w:noProof/>
          <w:lang w:val="fr-CA"/>
        </w:rPr>
        <w:t>’</w:t>
      </w:r>
      <w:r w:rsidRPr="009078C7">
        <w:rPr>
          <w:rFonts w:cs="Times New Roman"/>
          <w:noProof/>
          <w:lang w:val="fr-CA"/>
        </w:rPr>
        <w:t>elle a repris devant la Cour pour faire confirmer les décisions du juge en cabinet. Selon elle, d</w:t>
      </w:r>
      <w:r>
        <w:rPr>
          <w:rFonts w:cs="Times New Roman"/>
          <w:noProof/>
          <w:lang w:val="fr-CA"/>
        </w:rPr>
        <w:t>’</w:t>
      </w:r>
      <w:r w:rsidRPr="009078C7">
        <w:rPr>
          <w:rFonts w:cs="Times New Roman"/>
          <w:noProof/>
          <w:lang w:val="fr-CA"/>
        </w:rPr>
        <w:t>une part, les Mowatt n</w:t>
      </w:r>
      <w:r>
        <w:rPr>
          <w:rFonts w:cs="Times New Roman"/>
          <w:noProof/>
          <w:lang w:val="fr-CA"/>
        </w:rPr>
        <w:t>’</w:t>
      </w:r>
      <w:r w:rsidRPr="009078C7">
        <w:rPr>
          <w:rFonts w:cs="Times New Roman"/>
          <w:noProof/>
          <w:lang w:val="fr-CA"/>
        </w:rPr>
        <w:t>ont pas pu acquérir de droit relativement au lot en litige et n</w:t>
      </w:r>
      <w:r>
        <w:rPr>
          <w:rFonts w:cs="Times New Roman"/>
          <w:noProof/>
          <w:lang w:val="fr-CA"/>
        </w:rPr>
        <w:t>’</w:t>
      </w:r>
      <w:r w:rsidRPr="009078C7">
        <w:rPr>
          <w:rFonts w:cs="Times New Roman"/>
          <w:noProof/>
          <w:lang w:val="fr-CA"/>
        </w:rPr>
        <w:t>avaient donc pas qualité pour faire valoir leur revendication. D</w:t>
      </w:r>
      <w:r>
        <w:rPr>
          <w:rFonts w:cs="Times New Roman"/>
          <w:noProof/>
          <w:lang w:val="fr-CA"/>
        </w:rPr>
        <w:t>’</w:t>
      </w:r>
      <w:r w:rsidRPr="009078C7">
        <w:rPr>
          <w:rFonts w:cs="Times New Roman"/>
          <w:noProof/>
          <w:lang w:val="fr-CA"/>
        </w:rPr>
        <w:t>autre part, la revendication de possession adversative devait être rejetée, parce qu</w:t>
      </w:r>
      <w:r>
        <w:rPr>
          <w:rFonts w:cs="Times New Roman"/>
          <w:noProof/>
          <w:lang w:val="fr-CA"/>
        </w:rPr>
        <w:t>’</w:t>
      </w:r>
      <w:r w:rsidRPr="009078C7">
        <w:rPr>
          <w:rFonts w:cs="Times New Roman"/>
          <w:noProof/>
          <w:lang w:val="fr-CA"/>
        </w:rPr>
        <w:t>elle ne satisfaisait pas à l</w:t>
      </w:r>
      <w:r>
        <w:rPr>
          <w:rFonts w:cs="Times New Roman"/>
          <w:noProof/>
          <w:lang w:val="fr-CA"/>
        </w:rPr>
        <w:t>’</w:t>
      </w:r>
      <w:r w:rsidRPr="009078C7">
        <w:rPr>
          <w:rFonts w:cs="Times New Roman"/>
          <w:noProof/>
          <w:lang w:val="fr-CA"/>
        </w:rPr>
        <w:t>exigence de l</w:t>
      </w:r>
      <w:r>
        <w:rPr>
          <w:rFonts w:cs="Times New Roman"/>
          <w:noProof/>
          <w:lang w:val="fr-CA"/>
        </w:rPr>
        <w:t>’</w:t>
      </w:r>
      <w:r w:rsidRPr="009078C7">
        <w:rPr>
          <w:rFonts w:cs="Times New Roman"/>
          <w:noProof/>
          <w:lang w:val="fr-CA"/>
        </w:rPr>
        <w:t>usage incompatible, c</w:t>
      </w:r>
      <w:r>
        <w:rPr>
          <w:rFonts w:cs="Times New Roman"/>
          <w:noProof/>
          <w:lang w:val="fr-CA"/>
        </w:rPr>
        <w:t>’</w:t>
      </w:r>
      <w:r w:rsidRPr="009078C7">
        <w:rPr>
          <w:rFonts w:cs="Times New Roman"/>
          <w:noProof/>
          <w:lang w:val="fr-CA"/>
        </w:rPr>
        <w:t>est</w:t>
      </w:r>
      <w:r>
        <w:rPr>
          <w:rFonts w:cs="Times New Roman"/>
          <w:noProof/>
          <w:lang w:val="fr-CA"/>
        </w:rPr>
        <w:noBreakHyphen/>
      </w:r>
      <w:r w:rsidRPr="009078C7">
        <w:rPr>
          <w:rFonts w:cs="Times New Roman"/>
          <w:noProof/>
          <w:lang w:val="fr-CA"/>
        </w:rPr>
        <w:t>à</w:t>
      </w:r>
      <w:r>
        <w:rPr>
          <w:rFonts w:cs="Times New Roman"/>
          <w:noProof/>
          <w:lang w:val="fr-CA"/>
        </w:rPr>
        <w:noBreakHyphen/>
      </w:r>
      <w:r w:rsidRPr="009078C7">
        <w:rPr>
          <w:rFonts w:cs="Times New Roman"/>
          <w:noProof/>
          <w:lang w:val="fr-CA"/>
        </w:rPr>
        <w:t>dire que les Mowatt n</w:t>
      </w:r>
      <w:r>
        <w:rPr>
          <w:rFonts w:cs="Times New Roman"/>
          <w:noProof/>
          <w:lang w:val="fr-CA"/>
        </w:rPr>
        <w:t>’</w:t>
      </w:r>
      <w:r w:rsidRPr="009078C7">
        <w:rPr>
          <w:rFonts w:cs="Times New Roman"/>
          <w:noProof/>
          <w:lang w:val="fr-CA"/>
        </w:rPr>
        <w:t>avaient pas établi l</w:t>
      </w:r>
      <w:r>
        <w:rPr>
          <w:rFonts w:cs="Times New Roman"/>
          <w:noProof/>
          <w:lang w:val="fr-CA"/>
        </w:rPr>
        <w:t>’</w:t>
      </w:r>
      <w:r w:rsidRPr="009078C7">
        <w:rPr>
          <w:rFonts w:cs="Times New Roman"/>
          <w:noProof/>
          <w:lang w:val="fr-CA"/>
        </w:rPr>
        <w:t>utilisation incompatible du lot en litige par ses possesseurs adversatifs successifs avec la jouissance du bien</w:t>
      </w:r>
      <w:r>
        <w:rPr>
          <w:rFonts w:cs="Times New Roman"/>
          <w:noProof/>
          <w:lang w:val="fr-CA"/>
        </w:rPr>
        <w:noBreakHyphen/>
      </w:r>
      <w:r w:rsidRPr="009078C7">
        <w:rPr>
          <w:rFonts w:cs="Times New Roman"/>
          <w:noProof/>
          <w:lang w:val="fr-CA"/>
        </w:rPr>
        <w:t>fonds par la société foncière ou par la Couronne.</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La Cour d</w:t>
      </w:r>
      <w:r>
        <w:rPr>
          <w:rFonts w:cs="Times New Roman"/>
          <w:noProof/>
          <w:lang w:val="fr-CA"/>
        </w:rPr>
        <w:t>’</w:t>
      </w:r>
      <w:r w:rsidRPr="009078C7">
        <w:rPr>
          <w:rFonts w:cs="Times New Roman"/>
          <w:noProof/>
          <w:lang w:val="fr-CA"/>
        </w:rPr>
        <w:t>appel a d</w:t>
      </w:r>
      <w:r>
        <w:rPr>
          <w:rFonts w:cs="Times New Roman"/>
          <w:noProof/>
          <w:lang w:val="fr-CA"/>
        </w:rPr>
        <w:t>’</w:t>
      </w:r>
      <w:r w:rsidRPr="009078C7">
        <w:rPr>
          <w:rFonts w:cs="Times New Roman"/>
          <w:noProof/>
          <w:lang w:val="fr-CA"/>
        </w:rPr>
        <w:t>abord examiné la question de savoir si M</w:t>
      </w:r>
      <w:r w:rsidRPr="009078C7">
        <w:rPr>
          <w:rFonts w:cs="Times New Roman"/>
          <w:noProof/>
          <w:vertAlign w:val="superscript"/>
          <w:lang w:val="fr-CA"/>
        </w:rPr>
        <w:t>me</w:t>
      </w:r>
      <w:r w:rsidRPr="009078C7">
        <w:rPr>
          <w:rFonts w:cs="Times New Roman"/>
          <w:noProof/>
          <w:lang w:val="fr-CA"/>
        </w:rPr>
        <w:t> Marquis a transféré son droit de possession aux Mowatt. Cela a été présenté comme une question portant sur la qualité pour agir parce que la ville ne l</w:t>
      </w:r>
      <w:r>
        <w:rPr>
          <w:rFonts w:cs="Times New Roman"/>
          <w:noProof/>
          <w:lang w:val="fr-CA"/>
        </w:rPr>
        <w:t>’</w:t>
      </w:r>
      <w:r w:rsidRPr="009078C7">
        <w:rPr>
          <w:rFonts w:cs="Times New Roman"/>
          <w:noProof/>
          <w:lang w:val="fr-CA"/>
        </w:rPr>
        <w:t>avait pas soulevée devant le juge en cabinet. Selon la Cour d</w:t>
      </w:r>
      <w:r>
        <w:rPr>
          <w:rFonts w:cs="Times New Roman"/>
          <w:noProof/>
          <w:lang w:val="fr-CA"/>
        </w:rPr>
        <w:t>’</w:t>
      </w:r>
      <w:r w:rsidRPr="009078C7">
        <w:rPr>
          <w:rFonts w:cs="Times New Roman"/>
          <w:noProof/>
          <w:lang w:val="fr-CA"/>
        </w:rPr>
        <w:t>appel, la preuve était suffisante pour démontrer que les Mowatt avaient acquis un droit de possession de M</w:t>
      </w:r>
      <w:r w:rsidRPr="009078C7">
        <w:rPr>
          <w:rFonts w:cs="Times New Roman"/>
          <w:noProof/>
          <w:vertAlign w:val="superscript"/>
          <w:lang w:val="fr-CA"/>
        </w:rPr>
        <w:t>me</w:t>
      </w:r>
      <w:r w:rsidRPr="009078C7">
        <w:rPr>
          <w:rFonts w:cs="Times New Roman"/>
          <w:noProof/>
          <w:lang w:val="fr-CA"/>
        </w:rPr>
        <w:t> Marquis sur le lot en litige et aucune formalité ne devait être respectée pour qu</w:t>
      </w:r>
      <w:r>
        <w:rPr>
          <w:rFonts w:cs="Times New Roman"/>
          <w:noProof/>
          <w:lang w:val="fr-CA"/>
        </w:rPr>
        <w:t>’</w:t>
      </w:r>
      <w:r w:rsidRPr="009078C7">
        <w:rPr>
          <w:rFonts w:cs="Times New Roman"/>
          <w:noProof/>
          <w:lang w:val="fr-CA"/>
        </w:rPr>
        <w:t>un tel transfert s</w:t>
      </w:r>
      <w:r>
        <w:rPr>
          <w:rFonts w:cs="Times New Roman"/>
          <w:noProof/>
          <w:lang w:val="fr-CA"/>
        </w:rPr>
        <w:t>’</w:t>
      </w:r>
      <w:r w:rsidRPr="009078C7">
        <w:rPr>
          <w:rFonts w:cs="Times New Roman"/>
          <w:noProof/>
          <w:lang w:val="fr-CA"/>
        </w:rPr>
        <w:t>opère. La Cour d</w:t>
      </w:r>
      <w:r>
        <w:rPr>
          <w:rFonts w:cs="Times New Roman"/>
          <w:noProof/>
          <w:lang w:val="fr-CA"/>
        </w:rPr>
        <w:t>’</w:t>
      </w:r>
      <w:r w:rsidRPr="009078C7">
        <w:rPr>
          <w:rFonts w:cs="Times New Roman"/>
          <w:noProof/>
          <w:lang w:val="fr-CA"/>
        </w:rPr>
        <w:t>appel a aussi précisé que le transfert d</w:t>
      </w:r>
      <w:r>
        <w:rPr>
          <w:rFonts w:cs="Times New Roman"/>
          <w:noProof/>
          <w:lang w:val="fr-CA"/>
        </w:rPr>
        <w:t>’</w:t>
      </w:r>
      <w:r w:rsidRPr="009078C7">
        <w:rPr>
          <w:rFonts w:cs="Times New Roman"/>
          <w:noProof/>
          <w:lang w:val="fr-CA"/>
        </w:rPr>
        <w:t>un droit sur un « titre possessoire » n</w:t>
      </w:r>
      <w:r>
        <w:rPr>
          <w:rFonts w:cs="Times New Roman"/>
          <w:noProof/>
          <w:lang w:val="fr-CA"/>
        </w:rPr>
        <w:t>’</w:t>
      </w:r>
      <w:r w:rsidRPr="009078C7">
        <w:rPr>
          <w:rFonts w:cs="Times New Roman"/>
          <w:noProof/>
          <w:lang w:val="fr-CA"/>
        </w:rPr>
        <w:t xml:space="preserve">était pas </w:t>
      </w:r>
      <w:r w:rsidRPr="009078C7">
        <w:rPr>
          <w:rFonts w:cs="Times New Roman"/>
          <w:noProof/>
          <w:lang w:val="fr-CA"/>
        </w:rPr>
        <w:lastRenderedPageBreak/>
        <w:t xml:space="preserve">assujetti aux dispositions du </w:t>
      </w:r>
      <w:r>
        <w:rPr>
          <w:rFonts w:cs="Times New Roman"/>
          <w:noProof/>
          <w:lang w:val="fr-CA"/>
        </w:rPr>
        <w:t>par. </w:t>
      </w:r>
      <w:r w:rsidRPr="009078C7">
        <w:rPr>
          <w:rFonts w:cs="Times New Roman"/>
          <w:noProof/>
          <w:lang w:val="fr-CA"/>
        </w:rPr>
        <w:t xml:space="preserve">20(1) de la </w:t>
      </w:r>
      <w:r w:rsidRPr="009078C7">
        <w:rPr>
          <w:rFonts w:cs="Times New Roman"/>
          <w:i/>
          <w:noProof/>
          <w:lang w:val="fr-CA"/>
        </w:rPr>
        <w:t>Land Title Act</w:t>
      </w:r>
      <w:r w:rsidRPr="009078C7">
        <w:rPr>
          <w:rFonts w:cs="Times New Roman"/>
          <w:noProof/>
          <w:lang w:val="fr-CA"/>
        </w:rPr>
        <w:t>,</w:t>
      </w:r>
      <w:r w:rsidRPr="009078C7">
        <w:rPr>
          <w:rFonts w:cs="Times New Roman"/>
          <w:i/>
          <w:noProof/>
          <w:lang w:val="fr-CA"/>
        </w:rPr>
        <w:t xml:space="preserve"> </w:t>
      </w:r>
      <w:r w:rsidRPr="009078C7">
        <w:rPr>
          <w:rFonts w:cs="Times New Roman"/>
          <w:noProof/>
          <w:lang w:val="fr-CA"/>
        </w:rPr>
        <w:t>R.S.B.C. 1996, c. 250 (qui concerne l</w:t>
      </w:r>
      <w:r>
        <w:rPr>
          <w:rFonts w:cs="Times New Roman"/>
          <w:noProof/>
          <w:lang w:val="fr-CA"/>
        </w:rPr>
        <w:t>’</w:t>
      </w:r>
      <w:r w:rsidRPr="009078C7">
        <w:rPr>
          <w:rFonts w:cs="Times New Roman"/>
          <w:noProof/>
          <w:lang w:val="fr-CA"/>
        </w:rPr>
        <w:t>enregistrement d</w:t>
      </w:r>
      <w:r>
        <w:rPr>
          <w:rFonts w:cs="Times New Roman"/>
          <w:noProof/>
          <w:lang w:val="fr-CA"/>
        </w:rPr>
        <w:t>’</w:t>
      </w:r>
      <w:r w:rsidRPr="009078C7">
        <w:rPr>
          <w:rFonts w:cs="Times New Roman"/>
          <w:noProof/>
          <w:lang w:val="fr-CA"/>
        </w:rPr>
        <w:t>actes relatifs à des opérations visant des biens</w:t>
      </w:r>
      <w:r>
        <w:rPr>
          <w:rFonts w:cs="Times New Roman"/>
          <w:noProof/>
          <w:lang w:val="fr-CA"/>
        </w:rPr>
        <w:noBreakHyphen/>
      </w:r>
      <w:r w:rsidRPr="009078C7">
        <w:rPr>
          <w:rFonts w:cs="Times New Roman"/>
          <w:noProof/>
          <w:lang w:val="fr-CA"/>
        </w:rPr>
        <w:t>fonds). Elle a conclu que l</w:t>
      </w:r>
      <w:r>
        <w:rPr>
          <w:rFonts w:cs="Times New Roman"/>
          <w:noProof/>
          <w:lang w:val="fr-CA"/>
        </w:rPr>
        <w:t>’art. </w:t>
      </w:r>
      <w:r w:rsidRPr="009078C7">
        <w:rPr>
          <w:rFonts w:cs="Times New Roman"/>
          <w:noProof/>
          <w:lang w:val="fr-CA"/>
        </w:rPr>
        <w:t>20 s</w:t>
      </w:r>
      <w:r>
        <w:rPr>
          <w:rFonts w:cs="Times New Roman"/>
          <w:noProof/>
          <w:lang w:val="fr-CA"/>
        </w:rPr>
        <w:t>’</w:t>
      </w:r>
      <w:r w:rsidRPr="009078C7">
        <w:rPr>
          <w:rFonts w:cs="Times New Roman"/>
          <w:noProof/>
          <w:lang w:val="fr-CA"/>
        </w:rPr>
        <w:t>applique uniquement aux biens</w:t>
      </w:r>
      <w:r>
        <w:rPr>
          <w:rFonts w:cs="Times New Roman"/>
          <w:noProof/>
          <w:lang w:val="fr-CA"/>
        </w:rPr>
        <w:noBreakHyphen/>
      </w:r>
      <w:r w:rsidRPr="009078C7">
        <w:rPr>
          <w:rFonts w:cs="Times New Roman"/>
          <w:noProof/>
          <w:lang w:val="fr-CA"/>
        </w:rPr>
        <w:t>fonds détenus en fief simple inattaquable, et non aux biens</w:t>
      </w:r>
      <w:r>
        <w:rPr>
          <w:rFonts w:cs="Times New Roman"/>
          <w:noProof/>
          <w:lang w:val="fr-CA"/>
        </w:rPr>
        <w:noBreakHyphen/>
      </w:r>
      <w:r w:rsidRPr="009078C7">
        <w:rPr>
          <w:rFonts w:cs="Times New Roman"/>
          <w:noProof/>
          <w:lang w:val="fr-CA"/>
        </w:rPr>
        <w:t>fonds semblables au lot en litige, qui sont détenus en fief absolu. En se fondant sur des décisions anglaises et canadiennes, la Cour d</w:t>
      </w:r>
      <w:r>
        <w:rPr>
          <w:rFonts w:cs="Times New Roman"/>
          <w:noProof/>
          <w:lang w:val="fr-CA"/>
        </w:rPr>
        <w:t>’</w:t>
      </w:r>
      <w:r w:rsidRPr="009078C7">
        <w:rPr>
          <w:rFonts w:cs="Times New Roman"/>
          <w:noProof/>
          <w:lang w:val="fr-CA"/>
        </w:rPr>
        <w:t>appel a également conclu que l</w:t>
      </w:r>
      <w:r>
        <w:rPr>
          <w:rFonts w:cs="Times New Roman"/>
          <w:noProof/>
          <w:lang w:val="fr-CA"/>
        </w:rPr>
        <w:t>’</w:t>
      </w:r>
      <w:r w:rsidRPr="009078C7">
        <w:rPr>
          <w:rFonts w:cs="Times New Roman"/>
          <w:noProof/>
          <w:lang w:val="fr-CA"/>
        </w:rPr>
        <w:t>exigence de l</w:t>
      </w:r>
      <w:r>
        <w:rPr>
          <w:rFonts w:cs="Times New Roman"/>
          <w:noProof/>
          <w:lang w:val="fr-CA"/>
        </w:rPr>
        <w:t>’</w:t>
      </w:r>
      <w:r w:rsidRPr="009078C7">
        <w:rPr>
          <w:rFonts w:cs="Times New Roman"/>
          <w:noProof/>
          <w:lang w:val="fr-CA"/>
        </w:rPr>
        <w:t>usage incompatible ne fait pas partie des règles de droit de la Colombie</w:t>
      </w:r>
      <w:r>
        <w:rPr>
          <w:rFonts w:cs="Times New Roman"/>
          <w:noProof/>
          <w:lang w:val="fr-CA"/>
        </w:rPr>
        <w:noBreakHyphen/>
      </w:r>
      <w:r w:rsidRPr="009078C7">
        <w:rPr>
          <w:rFonts w:cs="Times New Roman"/>
          <w:noProof/>
          <w:lang w:val="fr-CA"/>
        </w:rPr>
        <w:t>Britannique régissant la possession adversative.</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Enfin, la Cour d</w:t>
      </w:r>
      <w:r>
        <w:rPr>
          <w:rFonts w:cs="Times New Roman"/>
          <w:noProof/>
          <w:lang w:val="fr-CA"/>
        </w:rPr>
        <w:t>’</w:t>
      </w:r>
      <w:r w:rsidRPr="009078C7">
        <w:rPr>
          <w:rFonts w:cs="Times New Roman"/>
          <w:noProof/>
          <w:lang w:val="fr-CA"/>
        </w:rPr>
        <w:t>appel a conclu que le juge en cabinet avait commis plusieurs erreurs en tranchant la revendication des Mowatt. Plus précisément, il s</w:t>
      </w:r>
      <w:r>
        <w:rPr>
          <w:rFonts w:cs="Times New Roman"/>
          <w:noProof/>
          <w:lang w:val="fr-CA"/>
        </w:rPr>
        <w:t>’</w:t>
      </w:r>
      <w:r w:rsidRPr="009078C7">
        <w:rPr>
          <w:rFonts w:cs="Times New Roman"/>
          <w:noProof/>
          <w:lang w:val="fr-CA"/>
        </w:rPr>
        <w:t>était mépris en exigeant apparemment l</w:t>
      </w:r>
      <w:r>
        <w:rPr>
          <w:rFonts w:cs="Times New Roman"/>
          <w:noProof/>
          <w:lang w:val="fr-CA"/>
        </w:rPr>
        <w:t>’</w:t>
      </w:r>
      <w:r w:rsidRPr="009078C7">
        <w:rPr>
          <w:rFonts w:cs="Times New Roman"/>
          <w:noProof/>
          <w:lang w:val="fr-CA"/>
        </w:rPr>
        <w:t>occupation continue, alors que l</w:t>
      </w:r>
      <w:r>
        <w:rPr>
          <w:rFonts w:cs="Times New Roman"/>
          <w:noProof/>
          <w:lang w:val="fr-CA"/>
        </w:rPr>
        <w:t>’</w:t>
      </w:r>
      <w:r w:rsidRPr="009078C7">
        <w:rPr>
          <w:rFonts w:cs="Times New Roman"/>
          <w:noProof/>
          <w:lang w:val="fr-CA"/>
        </w:rPr>
        <w:t>occupation sporadique pouvait suffire pour fonder la possession. De plus, en concluant à l</w:t>
      </w:r>
      <w:r>
        <w:rPr>
          <w:rFonts w:cs="Times New Roman"/>
          <w:noProof/>
          <w:lang w:val="fr-CA"/>
        </w:rPr>
        <w:t>’</w:t>
      </w:r>
      <w:r w:rsidRPr="009078C7">
        <w:rPr>
          <w:rFonts w:cs="Times New Roman"/>
          <w:noProof/>
          <w:lang w:val="fr-CA"/>
        </w:rPr>
        <w:t>existence d</w:t>
      </w:r>
      <w:r>
        <w:rPr>
          <w:rFonts w:cs="Times New Roman"/>
          <w:noProof/>
          <w:lang w:val="fr-CA"/>
        </w:rPr>
        <w:t>’</w:t>
      </w:r>
      <w:r w:rsidR="005A27C9">
        <w:rPr>
          <w:rFonts w:cs="Times New Roman"/>
          <w:noProof/>
          <w:lang w:val="fr-CA"/>
        </w:rPr>
        <w:t>une</w:t>
      </w:r>
      <w:r w:rsidRPr="009078C7">
        <w:rPr>
          <w:rFonts w:cs="Times New Roman"/>
          <w:noProof/>
          <w:lang w:val="fr-CA"/>
        </w:rPr>
        <w:t xml:space="preserve"> « lacune de la preuve », le juge en cabinet </w:t>
      </w:r>
      <w:r w:rsidR="005A27C9" w:rsidRPr="009078C7">
        <w:rPr>
          <w:rFonts w:cs="Times New Roman"/>
          <w:noProof/>
          <w:lang w:val="fr-CA"/>
        </w:rPr>
        <w:t>[</w:t>
      </w:r>
      <w:r w:rsidR="005A27C9" w:rsidRPr="009078C7">
        <w:rPr>
          <w:rFonts w:cs="Times New Roman"/>
          <w:smallCaps/>
          <w:noProof/>
          <w:lang w:val="fr-CA"/>
        </w:rPr>
        <w:t>traduction</w:t>
      </w:r>
      <w:r w:rsidR="005A27C9" w:rsidRPr="009078C7">
        <w:rPr>
          <w:rFonts w:cs="Times New Roman"/>
          <w:noProof/>
          <w:lang w:val="fr-CA"/>
        </w:rPr>
        <w:t xml:space="preserve">] </w:t>
      </w:r>
      <w:r w:rsidRPr="009078C7">
        <w:rPr>
          <w:rFonts w:cs="Times New Roman"/>
          <w:noProof/>
          <w:lang w:val="fr-CA"/>
        </w:rPr>
        <w:t>« a[vait] dénaturé l</w:t>
      </w:r>
      <w:r>
        <w:rPr>
          <w:rFonts w:cs="Times New Roman"/>
          <w:noProof/>
          <w:lang w:val="fr-CA"/>
        </w:rPr>
        <w:t>’</w:t>
      </w:r>
      <w:r w:rsidRPr="009078C7">
        <w:rPr>
          <w:rFonts w:cs="Times New Roman"/>
          <w:noProof/>
          <w:lang w:val="fr-CA"/>
        </w:rPr>
        <w:t>application de la norme de preuve applicable » en « omettant d</w:t>
      </w:r>
      <w:r>
        <w:rPr>
          <w:rFonts w:cs="Times New Roman"/>
          <w:noProof/>
          <w:lang w:val="fr-CA"/>
        </w:rPr>
        <w:t>’</w:t>
      </w:r>
      <w:r w:rsidRPr="009078C7">
        <w:rPr>
          <w:rFonts w:cs="Times New Roman"/>
          <w:noProof/>
          <w:lang w:val="fr-CA"/>
        </w:rPr>
        <w:t>examiner à fond les inférences raisonnables qu</w:t>
      </w:r>
      <w:r>
        <w:rPr>
          <w:rFonts w:cs="Times New Roman"/>
          <w:noProof/>
          <w:lang w:val="fr-CA"/>
        </w:rPr>
        <w:t>’</w:t>
      </w:r>
      <w:r w:rsidRPr="009078C7">
        <w:rPr>
          <w:rFonts w:cs="Times New Roman"/>
          <w:noProof/>
          <w:lang w:val="fr-CA"/>
        </w:rPr>
        <w:t>il pouvait tirer de la preuve portée à son attention » en ce qui concerne la période allant de 1916 à 1920</w:t>
      </w:r>
      <w:r>
        <w:rPr>
          <w:rFonts w:cs="Times New Roman"/>
          <w:noProof/>
          <w:lang w:val="fr-CA"/>
        </w:rPr>
        <w:t> :</w:t>
      </w:r>
      <w:r w:rsidRPr="009078C7">
        <w:rPr>
          <w:rFonts w:cs="Times New Roman"/>
          <w:noProof/>
          <w:lang w:val="fr-CA"/>
        </w:rPr>
        <w:t xml:space="preserve"> </w:t>
      </w:r>
      <w:r>
        <w:rPr>
          <w:rFonts w:cs="Times New Roman"/>
          <w:noProof/>
          <w:lang w:val="fr-CA"/>
        </w:rPr>
        <w:t>par. </w:t>
      </w:r>
      <w:r w:rsidRPr="009078C7">
        <w:rPr>
          <w:rFonts w:cs="Times New Roman"/>
          <w:noProof/>
          <w:lang w:val="fr-CA"/>
        </w:rPr>
        <w:t>87. En outre, selon la Cour d</w:t>
      </w:r>
      <w:r>
        <w:rPr>
          <w:rFonts w:cs="Times New Roman"/>
          <w:noProof/>
          <w:lang w:val="fr-CA"/>
        </w:rPr>
        <w:t>’</w:t>
      </w:r>
      <w:r w:rsidRPr="009078C7">
        <w:rPr>
          <w:rFonts w:cs="Times New Roman"/>
          <w:noProof/>
          <w:lang w:val="fr-CA"/>
        </w:rPr>
        <w:t>appel, eu égard à la nature historique de la revendication des Mowatt, le juge en cabinet aurait dû procéder à « une vaste appréciation elliptique des éléments de preuve disponibles qui s</w:t>
      </w:r>
      <w:r>
        <w:rPr>
          <w:rFonts w:cs="Times New Roman"/>
          <w:noProof/>
          <w:lang w:val="fr-CA"/>
        </w:rPr>
        <w:t>’</w:t>
      </w:r>
      <w:r w:rsidRPr="009078C7">
        <w:rPr>
          <w:rFonts w:cs="Times New Roman"/>
          <w:noProof/>
          <w:lang w:val="fr-CA"/>
        </w:rPr>
        <w:t>accordaient tant avec les processus de déduction établis utilisés dans les études historiques et scientifiques qu</w:t>
      </w:r>
      <w:r>
        <w:rPr>
          <w:rFonts w:cs="Times New Roman"/>
          <w:noProof/>
          <w:lang w:val="fr-CA"/>
        </w:rPr>
        <w:t>’</w:t>
      </w:r>
      <w:r w:rsidRPr="009078C7">
        <w:rPr>
          <w:rFonts w:cs="Times New Roman"/>
          <w:noProof/>
          <w:lang w:val="fr-CA"/>
        </w:rPr>
        <w:t>avec l</w:t>
      </w:r>
      <w:r>
        <w:rPr>
          <w:rFonts w:cs="Times New Roman"/>
          <w:noProof/>
          <w:lang w:val="fr-CA"/>
        </w:rPr>
        <w:t>’</w:t>
      </w:r>
      <w:r w:rsidRPr="009078C7">
        <w:rPr>
          <w:rFonts w:cs="Times New Roman"/>
          <w:noProof/>
          <w:lang w:val="fr-CA"/>
        </w:rPr>
        <w:t>ouverture d</w:t>
      </w:r>
      <w:r>
        <w:rPr>
          <w:rFonts w:cs="Times New Roman"/>
          <w:noProof/>
          <w:lang w:val="fr-CA"/>
        </w:rPr>
        <w:t>’</w:t>
      </w:r>
      <w:r w:rsidRPr="009078C7">
        <w:rPr>
          <w:rFonts w:cs="Times New Roman"/>
          <w:noProof/>
          <w:lang w:val="fr-CA"/>
        </w:rPr>
        <w:t>esprit qui ressort de la jurisprudence relative aux revendications portant sur des événements lointains »</w:t>
      </w:r>
      <w:r>
        <w:rPr>
          <w:rFonts w:cs="Times New Roman"/>
          <w:noProof/>
          <w:lang w:val="fr-CA"/>
        </w:rPr>
        <w:t> :</w:t>
      </w:r>
      <w:r w:rsidRPr="009078C7">
        <w:rPr>
          <w:rFonts w:cs="Times New Roman"/>
          <w:noProof/>
          <w:lang w:val="fr-CA"/>
        </w:rPr>
        <w:t xml:space="preserve"> </w:t>
      </w:r>
      <w:r>
        <w:rPr>
          <w:rFonts w:cs="Times New Roman"/>
          <w:noProof/>
          <w:lang w:val="fr-CA"/>
        </w:rPr>
        <w:t>par. </w:t>
      </w:r>
      <w:r w:rsidRPr="009078C7">
        <w:rPr>
          <w:rFonts w:cs="Times New Roman"/>
          <w:noProof/>
          <w:lang w:val="fr-CA"/>
        </w:rPr>
        <w:t xml:space="preserve">89. </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lastRenderedPageBreak/>
        <w:t>En conséquence, la Cour d</w:t>
      </w:r>
      <w:r>
        <w:rPr>
          <w:rFonts w:cs="Times New Roman"/>
          <w:noProof/>
          <w:lang w:val="fr-CA"/>
        </w:rPr>
        <w:t>’</w:t>
      </w:r>
      <w:r w:rsidRPr="009078C7">
        <w:rPr>
          <w:rFonts w:cs="Times New Roman"/>
          <w:noProof/>
          <w:lang w:val="fr-CA"/>
        </w:rPr>
        <w:t>appel a accueilli l</w:t>
      </w:r>
      <w:r>
        <w:rPr>
          <w:rFonts w:cs="Times New Roman"/>
          <w:noProof/>
          <w:lang w:val="fr-CA"/>
        </w:rPr>
        <w:t>’</w:t>
      </w:r>
      <w:r w:rsidRPr="009078C7">
        <w:rPr>
          <w:rFonts w:cs="Times New Roman"/>
          <w:noProof/>
          <w:lang w:val="fr-CA"/>
        </w:rPr>
        <w:t>appel, annulé les ordonnances du juge en cabinet, déclaré que la possession du lot en litige avait débuté au plus tard en décembre 1909 et s</w:t>
      </w:r>
      <w:r>
        <w:rPr>
          <w:rFonts w:cs="Times New Roman"/>
          <w:noProof/>
          <w:lang w:val="fr-CA"/>
        </w:rPr>
        <w:t>’</w:t>
      </w:r>
      <w:r w:rsidRPr="009078C7">
        <w:rPr>
          <w:rFonts w:cs="Times New Roman"/>
          <w:noProof/>
          <w:lang w:val="fr-CA"/>
        </w:rPr>
        <w:t>était poursuivie au moins jusqu</w:t>
      </w:r>
      <w:r>
        <w:rPr>
          <w:rFonts w:cs="Times New Roman"/>
          <w:noProof/>
          <w:lang w:val="fr-CA"/>
        </w:rPr>
        <w:t>’</w:t>
      </w:r>
      <w:r w:rsidRPr="009078C7">
        <w:rPr>
          <w:rFonts w:cs="Times New Roman"/>
          <w:noProof/>
          <w:lang w:val="fr-CA"/>
        </w:rPr>
        <w:t>en février 1923 (lorsque la résidence située sur le lot en litige avait été rasée par les flammes), et renvoyé l</w:t>
      </w:r>
      <w:r>
        <w:rPr>
          <w:rFonts w:cs="Times New Roman"/>
          <w:noProof/>
          <w:lang w:val="fr-CA"/>
        </w:rPr>
        <w:t>’</w:t>
      </w:r>
      <w:r w:rsidRPr="009078C7">
        <w:rPr>
          <w:rFonts w:cs="Times New Roman"/>
          <w:noProof/>
          <w:lang w:val="fr-CA"/>
        </w:rPr>
        <w:t xml:space="preserve">instance des Mowatt introduite sous le régime de la </w:t>
      </w:r>
      <w:r w:rsidRPr="009078C7">
        <w:rPr>
          <w:rFonts w:cs="Times New Roman"/>
          <w:i/>
          <w:noProof/>
          <w:lang w:val="fr-CA"/>
        </w:rPr>
        <w:t>Land Title Inquiry Act</w:t>
      </w:r>
      <w:r w:rsidRPr="009078C7">
        <w:rPr>
          <w:rFonts w:cs="Times New Roman"/>
          <w:noProof/>
          <w:lang w:val="fr-CA"/>
        </w:rPr>
        <w:t xml:space="preserve"> devant la Cour suprême de la Colombie</w:t>
      </w:r>
      <w:r>
        <w:rPr>
          <w:rFonts w:cs="Times New Roman"/>
          <w:noProof/>
          <w:lang w:val="fr-CA"/>
        </w:rPr>
        <w:noBreakHyphen/>
      </w:r>
      <w:r w:rsidRPr="009078C7">
        <w:rPr>
          <w:rFonts w:cs="Times New Roman"/>
          <w:noProof/>
          <w:lang w:val="fr-CA"/>
        </w:rPr>
        <w:t>Britannique pour qu</w:t>
      </w:r>
      <w:r>
        <w:rPr>
          <w:rFonts w:cs="Times New Roman"/>
          <w:noProof/>
          <w:lang w:val="fr-CA"/>
        </w:rPr>
        <w:t>’</w:t>
      </w:r>
      <w:r w:rsidRPr="009078C7">
        <w:rPr>
          <w:rFonts w:cs="Times New Roman"/>
          <w:noProof/>
          <w:lang w:val="fr-CA"/>
        </w:rPr>
        <w:t>une décision définitive soit rendue dans le dossier.</w:t>
      </w:r>
    </w:p>
    <w:p w:rsidR="00190EF2" w:rsidRPr="009078C7" w:rsidRDefault="00190EF2" w:rsidP="00BF1D7F">
      <w:pPr>
        <w:pStyle w:val="Title1LevelTitre1Niveau-AltL"/>
        <w:widowControl w:val="0"/>
        <w:ind w:left="578" w:hanging="578"/>
        <w:rPr>
          <w:rFonts w:cs="Times New Roman"/>
          <w:noProof/>
          <w:lang w:val="fr-CA"/>
        </w:rPr>
      </w:pPr>
      <w:r w:rsidRPr="009078C7">
        <w:rPr>
          <w:rFonts w:cs="Times New Roman"/>
          <w:noProof/>
          <w:lang w:val="fr-CA"/>
        </w:rPr>
        <w:t>Analyse</w:t>
      </w:r>
    </w:p>
    <w:p w:rsidR="00190EF2" w:rsidRPr="009078C7" w:rsidRDefault="00190EF2" w:rsidP="00BF1D7F">
      <w:pPr>
        <w:pStyle w:val="Title2LevelTitre2Niveau"/>
        <w:widowControl w:val="0"/>
        <w:rPr>
          <w:rFonts w:cs="Times New Roman"/>
          <w:noProof/>
          <w:lang w:val="fr-CA"/>
        </w:rPr>
      </w:pPr>
      <w:r w:rsidRPr="009078C7">
        <w:rPr>
          <w:rFonts w:cs="Times New Roman"/>
          <w:noProof/>
          <w:lang w:val="fr-CA"/>
        </w:rPr>
        <w:t>Usage incompatible</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La possession adversative découle d</w:t>
      </w:r>
      <w:r>
        <w:rPr>
          <w:rFonts w:cs="Times New Roman"/>
          <w:noProof/>
          <w:lang w:val="fr-CA"/>
        </w:rPr>
        <w:t>’</w:t>
      </w:r>
      <w:r w:rsidRPr="009078C7">
        <w:rPr>
          <w:rFonts w:cs="Times New Roman"/>
          <w:noProof/>
          <w:lang w:val="fr-CA"/>
        </w:rPr>
        <w:t>une règle de common law bien établie selon laquelle l</w:t>
      </w:r>
      <w:r>
        <w:rPr>
          <w:rFonts w:cs="Times New Roman"/>
          <w:noProof/>
          <w:lang w:val="fr-CA"/>
        </w:rPr>
        <w:t>’</w:t>
      </w:r>
      <w:r w:rsidRPr="009078C7">
        <w:rPr>
          <w:rFonts w:cs="Times New Roman"/>
          <w:noProof/>
          <w:lang w:val="fr-CA"/>
        </w:rPr>
        <w:t>intrus qui a la possession d</w:t>
      </w:r>
      <w:r>
        <w:rPr>
          <w:rFonts w:cs="Times New Roman"/>
          <w:noProof/>
          <w:lang w:val="fr-CA"/>
        </w:rPr>
        <w:t>’</w:t>
      </w:r>
      <w:r w:rsidRPr="009078C7">
        <w:rPr>
          <w:rFonts w:cs="Times New Roman"/>
          <w:noProof/>
          <w:lang w:val="fr-CA"/>
        </w:rPr>
        <w:t>un bien</w:t>
      </w:r>
      <w:r>
        <w:rPr>
          <w:rFonts w:cs="Times New Roman"/>
          <w:noProof/>
          <w:lang w:val="fr-CA"/>
        </w:rPr>
        <w:noBreakHyphen/>
      </w:r>
      <w:r w:rsidRPr="009078C7">
        <w:rPr>
          <w:rFonts w:cs="Times New Roman"/>
          <w:noProof/>
          <w:lang w:val="fr-CA"/>
        </w:rPr>
        <w:t>fonds sans que celle</w:t>
      </w:r>
      <w:r>
        <w:rPr>
          <w:rFonts w:cs="Times New Roman"/>
          <w:noProof/>
          <w:lang w:val="fr-CA"/>
        </w:rPr>
        <w:noBreakHyphen/>
      </w:r>
      <w:r w:rsidRPr="009078C7">
        <w:rPr>
          <w:rFonts w:cs="Times New Roman"/>
          <w:noProof/>
          <w:lang w:val="fr-CA"/>
        </w:rPr>
        <w:t>ci soit contestée pendant une période prescrite peut supplanter le possesseur précédent, habituellement le détenteur du titre enregistré et parfois appelé, de ce fait, le « véritable propriétaire ». Dès l</w:t>
      </w:r>
      <w:r>
        <w:rPr>
          <w:rFonts w:cs="Times New Roman"/>
          <w:noProof/>
          <w:lang w:val="fr-CA"/>
        </w:rPr>
        <w:t>’</w:t>
      </w:r>
      <w:r w:rsidRPr="009078C7">
        <w:rPr>
          <w:rFonts w:cs="Times New Roman"/>
          <w:noProof/>
          <w:lang w:val="fr-CA"/>
        </w:rPr>
        <w:t xml:space="preserve">adoption de la </w:t>
      </w:r>
      <w:r w:rsidRPr="009078C7">
        <w:rPr>
          <w:rFonts w:cs="Times New Roman"/>
          <w:i/>
          <w:noProof/>
          <w:lang w:val="fr-CA"/>
        </w:rPr>
        <w:t>The Limitation Act, 1623</w:t>
      </w:r>
      <w:r w:rsidR="00CB4D7A">
        <w:rPr>
          <w:rFonts w:cs="Times New Roman"/>
          <w:noProof/>
          <w:lang w:val="fr-CA"/>
        </w:rPr>
        <w:t xml:space="preserve"> (A</w:t>
      </w:r>
      <w:r w:rsidRPr="009078C7">
        <w:rPr>
          <w:rFonts w:cs="Times New Roman"/>
          <w:noProof/>
          <w:lang w:val="fr-CA"/>
        </w:rPr>
        <w:t>ng</w:t>
      </w:r>
      <w:r w:rsidR="005172B5">
        <w:rPr>
          <w:rFonts w:cs="Times New Roman"/>
          <w:noProof/>
          <w:lang w:val="fr-CA"/>
        </w:rPr>
        <w:t>l</w:t>
      </w:r>
      <w:r w:rsidRPr="009078C7">
        <w:rPr>
          <w:rFonts w:cs="Times New Roman"/>
          <w:noProof/>
          <w:lang w:val="fr-CA"/>
        </w:rPr>
        <w:t>.), 21 Jas. 1, c. 16, le droit du possesseur précédent de reprendre possession du bien</w:t>
      </w:r>
      <w:r>
        <w:rPr>
          <w:rFonts w:cs="Times New Roman"/>
          <w:noProof/>
          <w:lang w:val="fr-CA"/>
        </w:rPr>
        <w:noBreakHyphen/>
      </w:r>
      <w:r w:rsidRPr="009078C7">
        <w:rPr>
          <w:rFonts w:cs="Times New Roman"/>
          <w:noProof/>
          <w:lang w:val="fr-CA"/>
        </w:rPr>
        <w:t>fonds a été restreint par des délais de prescription. Cette règle qui permet à l</w:t>
      </w:r>
      <w:r>
        <w:rPr>
          <w:rFonts w:cs="Times New Roman"/>
          <w:noProof/>
          <w:lang w:val="fr-CA"/>
        </w:rPr>
        <w:t>’</w:t>
      </w:r>
      <w:r w:rsidRPr="009078C7">
        <w:rPr>
          <w:rFonts w:cs="Times New Roman"/>
          <w:noProof/>
          <w:lang w:val="fr-CA"/>
        </w:rPr>
        <w:t>occupant subséquent d</w:t>
      </w:r>
      <w:r>
        <w:rPr>
          <w:rFonts w:cs="Times New Roman"/>
          <w:noProof/>
          <w:lang w:val="fr-CA"/>
        </w:rPr>
        <w:t>’</w:t>
      </w:r>
      <w:r w:rsidRPr="009078C7">
        <w:rPr>
          <w:rFonts w:cs="Times New Roman"/>
          <w:noProof/>
          <w:lang w:val="fr-CA"/>
        </w:rPr>
        <w:t>obtenir la propriété d</w:t>
      </w:r>
      <w:r>
        <w:rPr>
          <w:rFonts w:cs="Times New Roman"/>
          <w:noProof/>
          <w:lang w:val="fr-CA"/>
        </w:rPr>
        <w:t>’</w:t>
      </w:r>
      <w:r w:rsidRPr="009078C7">
        <w:rPr>
          <w:rFonts w:cs="Times New Roman"/>
          <w:noProof/>
          <w:lang w:val="fr-CA"/>
        </w:rPr>
        <w:t>un bien</w:t>
      </w:r>
      <w:r>
        <w:rPr>
          <w:rFonts w:cs="Times New Roman"/>
          <w:noProof/>
          <w:lang w:val="fr-CA"/>
        </w:rPr>
        <w:noBreakHyphen/>
      </w:r>
      <w:r w:rsidRPr="009078C7">
        <w:rPr>
          <w:rFonts w:cs="Times New Roman"/>
          <w:noProof/>
          <w:lang w:val="fr-CA"/>
        </w:rPr>
        <w:t>fonds après l</w:t>
      </w:r>
      <w:r>
        <w:rPr>
          <w:rFonts w:cs="Times New Roman"/>
          <w:noProof/>
          <w:lang w:val="fr-CA"/>
        </w:rPr>
        <w:t>’</w:t>
      </w:r>
      <w:r w:rsidRPr="009078C7">
        <w:rPr>
          <w:rFonts w:cs="Times New Roman"/>
          <w:noProof/>
          <w:lang w:val="fr-CA"/>
        </w:rPr>
        <w:t>expiration d</w:t>
      </w:r>
      <w:r>
        <w:rPr>
          <w:rFonts w:cs="Times New Roman"/>
          <w:noProof/>
          <w:lang w:val="fr-CA"/>
        </w:rPr>
        <w:t>’</w:t>
      </w:r>
      <w:r w:rsidRPr="009078C7">
        <w:rPr>
          <w:rFonts w:cs="Times New Roman"/>
          <w:noProof/>
          <w:lang w:val="fr-CA"/>
        </w:rPr>
        <w:t xml:space="preserve">un certain délai a été codifiée en droit anglais par la </w:t>
      </w:r>
      <w:r w:rsidRPr="009078C7">
        <w:rPr>
          <w:rFonts w:cs="Times New Roman"/>
          <w:i/>
          <w:noProof/>
          <w:lang w:val="fr-CA"/>
        </w:rPr>
        <w:t>Real Property Limitation Act, 1833</w:t>
      </w:r>
      <w:r w:rsidRPr="009078C7">
        <w:rPr>
          <w:rFonts w:cs="Times New Roman"/>
          <w:noProof/>
          <w:lang w:val="fr-CA"/>
        </w:rPr>
        <w:t xml:space="preserve"> (</w:t>
      </w:r>
      <w:r w:rsidR="00CB4D7A">
        <w:rPr>
          <w:rFonts w:cs="Times New Roman"/>
          <w:noProof/>
          <w:lang w:val="fr-CA"/>
        </w:rPr>
        <w:t>R.-U</w:t>
      </w:r>
      <w:r w:rsidRPr="009078C7">
        <w:rPr>
          <w:rFonts w:cs="Times New Roman"/>
          <w:noProof/>
          <w:lang w:val="fr-CA"/>
        </w:rPr>
        <w:t>.), 3 &amp; 4 Will. 4, c. 27, qui a été reçue dans le droit de la Colombie</w:t>
      </w:r>
      <w:r>
        <w:rPr>
          <w:rFonts w:cs="Times New Roman"/>
          <w:noProof/>
          <w:lang w:val="fr-CA"/>
        </w:rPr>
        <w:noBreakHyphen/>
      </w:r>
      <w:r w:rsidRPr="009078C7">
        <w:rPr>
          <w:rFonts w:cs="Times New Roman"/>
          <w:noProof/>
          <w:lang w:val="fr-CA"/>
        </w:rPr>
        <w:t>Britannique le 19 novembre 1858 par l</w:t>
      </w:r>
      <w:r>
        <w:rPr>
          <w:rFonts w:cs="Times New Roman"/>
          <w:noProof/>
          <w:lang w:val="fr-CA"/>
        </w:rPr>
        <w:t>’</w:t>
      </w:r>
      <w:r w:rsidRPr="009078C7">
        <w:rPr>
          <w:rFonts w:cs="Times New Roman"/>
          <w:noProof/>
          <w:lang w:val="fr-CA"/>
        </w:rPr>
        <w:t>effet de ce qui est aujourd</w:t>
      </w:r>
      <w:r>
        <w:rPr>
          <w:rFonts w:cs="Times New Roman"/>
          <w:noProof/>
          <w:lang w:val="fr-CA"/>
        </w:rPr>
        <w:t>’</w:t>
      </w:r>
      <w:r w:rsidRPr="009078C7">
        <w:rPr>
          <w:rFonts w:cs="Times New Roman"/>
          <w:noProof/>
          <w:lang w:val="fr-CA"/>
        </w:rPr>
        <w:t>hui l</w:t>
      </w:r>
      <w:r>
        <w:rPr>
          <w:rFonts w:cs="Times New Roman"/>
          <w:noProof/>
          <w:lang w:val="fr-CA"/>
        </w:rPr>
        <w:t>’art. </w:t>
      </w:r>
      <w:r w:rsidRPr="009078C7">
        <w:rPr>
          <w:rFonts w:cs="Times New Roman"/>
          <w:noProof/>
          <w:lang w:val="fr-CA"/>
        </w:rPr>
        <w:t xml:space="preserve">2 de la </w:t>
      </w:r>
      <w:r w:rsidRPr="009078C7">
        <w:rPr>
          <w:rFonts w:cs="Times New Roman"/>
          <w:i/>
          <w:noProof/>
          <w:lang w:val="fr-CA"/>
        </w:rPr>
        <w:t>Law and Equity Act</w:t>
      </w:r>
      <w:r w:rsidRPr="009078C7">
        <w:rPr>
          <w:rFonts w:cs="Times New Roman"/>
          <w:noProof/>
          <w:lang w:val="fr-CA"/>
        </w:rPr>
        <w:t>, R.S.B.C. 1996, c. 253. Depuis ce temps, les lois successives de la Colombie</w:t>
      </w:r>
      <w:r>
        <w:rPr>
          <w:rFonts w:cs="Times New Roman"/>
          <w:noProof/>
          <w:lang w:val="fr-CA"/>
        </w:rPr>
        <w:noBreakHyphen/>
      </w:r>
      <w:r w:rsidRPr="009078C7">
        <w:rPr>
          <w:rFonts w:cs="Times New Roman"/>
          <w:noProof/>
          <w:lang w:val="fr-CA"/>
        </w:rPr>
        <w:t xml:space="preserve">Britannique sur la prescription — y compris </w:t>
      </w:r>
      <w:r w:rsidRPr="009078C7">
        <w:rPr>
          <w:rFonts w:cs="Times New Roman"/>
          <w:noProof/>
          <w:lang w:val="fr-CA"/>
        </w:rPr>
        <w:lastRenderedPageBreak/>
        <w:t>les dispositions que j</w:t>
      </w:r>
      <w:r>
        <w:rPr>
          <w:rFonts w:cs="Times New Roman"/>
          <w:noProof/>
          <w:lang w:val="fr-CA"/>
        </w:rPr>
        <w:t>’</w:t>
      </w:r>
      <w:r w:rsidRPr="009078C7">
        <w:rPr>
          <w:rFonts w:cs="Times New Roman"/>
          <w:noProof/>
          <w:lang w:val="fr-CA"/>
        </w:rPr>
        <w:t>ai déjà passées en revue et qui s</w:t>
      </w:r>
      <w:r>
        <w:rPr>
          <w:rFonts w:cs="Times New Roman"/>
          <w:noProof/>
          <w:lang w:val="fr-CA"/>
        </w:rPr>
        <w:t>’</w:t>
      </w:r>
      <w:r w:rsidRPr="009078C7">
        <w:rPr>
          <w:rFonts w:cs="Times New Roman"/>
          <w:noProof/>
          <w:lang w:val="fr-CA"/>
        </w:rPr>
        <w:t>appliquent à la revendication des Mowatt — ont, dans les faits, reproduit la codification de 1833 des règles anglaises régissant la possession adversative. Suivant ces textes législatifs, le délai de prescription a commencé à courir au moment où le droit du véritable propriétaire de recouvrer la possession du bien</w:t>
      </w:r>
      <w:r>
        <w:rPr>
          <w:rFonts w:cs="Times New Roman"/>
          <w:noProof/>
          <w:lang w:val="fr-CA"/>
        </w:rPr>
        <w:noBreakHyphen/>
      </w:r>
      <w:r w:rsidRPr="009078C7">
        <w:rPr>
          <w:rFonts w:cs="Times New Roman"/>
          <w:noProof/>
          <w:lang w:val="fr-CA"/>
        </w:rPr>
        <w:t>fonds est né</w:t>
      </w:r>
      <w:r>
        <w:rPr>
          <w:rFonts w:cs="Times New Roman"/>
          <w:noProof/>
          <w:lang w:val="fr-CA"/>
        </w:rPr>
        <w:t> :</w:t>
      </w:r>
      <w:r w:rsidRPr="009078C7">
        <w:rPr>
          <w:rFonts w:cs="Times New Roman"/>
          <w:noProof/>
          <w:lang w:val="fr-CA"/>
        </w:rPr>
        <w:t xml:space="preserve"> soit la date de dépossession ou de l</w:t>
      </w:r>
      <w:r>
        <w:rPr>
          <w:rFonts w:cs="Times New Roman"/>
          <w:noProof/>
          <w:lang w:val="fr-CA"/>
        </w:rPr>
        <w:t>’</w:t>
      </w:r>
      <w:r w:rsidRPr="009078C7">
        <w:rPr>
          <w:rFonts w:cs="Times New Roman"/>
          <w:noProof/>
          <w:lang w:val="fr-CA"/>
        </w:rPr>
        <w:t>interruption de possession (voir à titre d</w:t>
      </w:r>
      <w:r>
        <w:rPr>
          <w:rFonts w:cs="Times New Roman"/>
          <w:noProof/>
          <w:lang w:val="fr-CA"/>
        </w:rPr>
        <w:t>’</w:t>
      </w:r>
      <w:r w:rsidRPr="009078C7">
        <w:rPr>
          <w:rFonts w:cs="Times New Roman"/>
          <w:noProof/>
          <w:lang w:val="fr-CA"/>
        </w:rPr>
        <w:t>exemple l</w:t>
      </w:r>
      <w:r>
        <w:rPr>
          <w:rFonts w:cs="Times New Roman"/>
          <w:noProof/>
          <w:lang w:val="fr-CA"/>
        </w:rPr>
        <w:t>’art. </w:t>
      </w:r>
      <w:r w:rsidRPr="009078C7">
        <w:rPr>
          <w:rFonts w:cs="Times New Roman"/>
          <w:noProof/>
          <w:lang w:val="fr-CA"/>
        </w:rPr>
        <w:t xml:space="preserve">17 de la </w:t>
      </w:r>
      <w:r w:rsidRPr="009078C7">
        <w:rPr>
          <w:rFonts w:cs="Times New Roman"/>
          <w:i/>
          <w:noProof/>
          <w:lang w:val="fr-CA"/>
        </w:rPr>
        <w:t>Statute of Limitations</w:t>
      </w:r>
      <w:r w:rsidRPr="009078C7">
        <w:rPr>
          <w:rFonts w:cs="Times New Roman"/>
          <w:noProof/>
          <w:lang w:val="fr-CA"/>
        </w:rPr>
        <w:t xml:space="preserve"> (1924)), telle</w:t>
      </w:r>
      <w:r w:rsidR="005172B5">
        <w:rPr>
          <w:rFonts w:cs="Times New Roman"/>
          <w:noProof/>
          <w:lang w:val="fr-CA"/>
        </w:rPr>
        <w:t>s</w:t>
      </w:r>
      <w:r w:rsidRPr="009078C7">
        <w:rPr>
          <w:rFonts w:cs="Times New Roman"/>
          <w:noProof/>
          <w:lang w:val="fr-CA"/>
        </w:rPr>
        <w:t xml:space="preserve"> qu</w:t>
      </w:r>
      <w:r>
        <w:rPr>
          <w:rFonts w:cs="Times New Roman"/>
          <w:noProof/>
          <w:lang w:val="fr-CA"/>
        </w:rPr>
        <w:t>’</w:t>
      </w:r>
      <w:r w:rsidRPr="009078C7">
        <w:rPr>
          <w:rFonts w:cs="Times New Roman"/>
          <w:noProof/>
          <w:lang w:val="fr-CA"/>
        </w:rPr>
        <w:t>elles sont définies par le test relatif à la possession adversative.</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 xml:space="preserve">En ce qui a trait à ce test, à la </w:t>
      </w:r>
      <w:r>
        <w:rPr>
          <w:rFonts w:cs="Times New Roman"/>
          <w:noProof/>
          <w:lang w:val="fr-CA"/>
        </w:rPr>
        <w:t>p. </w:t>
      </w:r>
      <w:r w:rsidRPr="009078C7">
        <w:rPr>
          <w:rFonts w:cs="Times New Roman"/>
          <w:noProof/>
          <w:lang w:val="fr-CA"/>
        </w:rPr>
        <w:t xml:space="preserve">146 de son ouvrage </w:t>
      </w:r>
      <w:r w:rsidRPr="009078C7">
        <w:rPr>
          <w:rFonts w:cs="Times New Roman"/>
          <w:i/>
          <w:noProof/>
          <w:lang w:val="fr-CA"/>
        </w:rPr>
        <w:t>Principles of Property Law</w:t>
      </w:r>
      <w:r w:rsidRPr="009078C7">
        <w:rPr>
          <w:rFonts w:cs="Times New Roman"/>
          <w:noProof/>
          <w:lang w:val="fr-CA"/>
        </w:rPr>
        <w:t xml:space="preserve"> (6</w:t>
      </w:r>
      <w:r w:rsidRPr="009078C7">
        <w:rPr>
          <w:rFonts w:cs="Times New Roman"/>
          <w:noProof/>
          <w:vertAlign w:val="superscript"/>
          <w:lang w:val="fr-CA"/>
        </w:rPr>
        <w:t>e </w:t>
      </w:r>
      <w:r w:rsidRPr="009078C7">
        <w:rPr>
          <w:rFonts w:cs="Times New Roman"/>
          <w:noProof/>
          <w:lang w:val="fr-CA"/>
        </w:rPr>
        <w:t>éd. 2014), le professeur Ziff explique les éléments de la possession adversative qui doivent être réunis pour que le délai de prescription commence à courir contre le « véritable propriétaire ». En résumé, la possession doit être [</w:t>
      </w:r>
      <w:r w:rsidRPr="009078C7">
        <w:rPr>
          <w:rFonts w:cs="Times New Roman"/>
          <w:smallCaps/>
          <w:noProof/>
          <w:lang w:val="fr-CA"/>
        </w:rPr>
        <w:t>traduction</w:t>
      </w:r>
      <w:r w:rsidRPr="009078C7">
        <w:rPr>
          <w:rFonts w:cs="Times New Roman"/>
          <w:noProof/>
          <w:lang w:val="fr-CA"/>
        </w:rPr>
        <w:t>] « publique et notoire, adversative, exclusive, paisible (non exercée par la force), réelle (de façon générale) et continue »</w:t>
      </w:r>
      <w:r>
        <w:rPr>
          <w:rFonts w:cs="Times New Roman"/>
          <w:noProof/>
          <w:lang w:val="fr-CA"/>
        </w:rPr>
        <w:t> :</w:t>
      </w:r>
      <w:r w:rsidRPr="009078C7">
        <w:rPr>
          <w:rFonts w:cs="Times New Roman"/>
          <w:noProof/>
          <w:lang w:val="fr-CA"/>
        </w:rPr>
        <w:t> </w:t>
      </w:r>
      <w:r w:rsidRPr="009078C7">
        <w:rPr>
          <w:rFonts w:cs="Times New Roman"/>
          <w:i/>
          <w:noProof/>
          <w:lang w:val="fr-CA"/>
        </w:rPr>
        <w:t>ibid.</w:t>
      </w:r>
      <w:r w:rsidRPr="009078C7">
        <w:rPr>
          <w:rFonts w:cs="Times New Roman"/>
          <w:noProof/>
          <w:lang w:val="fr-CA"/>
        </w:rPr>
        <w:t xml:space="preserve"> (note </w:t>
      </w:r>
      <w:r w:rsidR="00141CD6">
        <w:rPr>
          <w:rFonts w:cs="Times New Roman"/>
          <w:noProof/>
          <w:lang w:val="fr-CA"/>
        </w:rPr>
        <w:t>en</w:t>
      </w:r>
      <w:r w:rsidRPr="009078C7">
        <w:rPr>
          <w:rFonts w:cs="Times New Roman"/>
          <w:noProof/>
          <w:lang w:val="fr-CA"/>
        </w:rPr>
        <w:t xml:space="preserve"> bas de page omise). Fait important en l</w:t>
      </w:r>
      <w:r>
        <w:rPr>
          <w:rFonts w:cs="Times New Roman"/>
          <w:noProof/>
          <w:lang w:val="fr-CA"/>
        </w:rPr>
        <w:t>’</w:t>
      </w:r>
      <w:r w:rsidRPr="009078C7">
        <w:rPr>
          <w:rFonts w:cs="Times New Roman"/>
          <w:noProof/>
          <w:lang w:val="fr-CA"/>
        </w:rPr>
        <w:t>espèce, le possesseur adversatif qui a finalement gain de cause n</w:t>
      </w:r>
      <w:r>
        <w:rPr>
          <w:rFonts w:cs="Times New Roman"/>
          <w:noProof/>
          <w:lang w:val="fr-CA"/>
        </w:rPr>
        <w:t>’</w:t>
      </w:r>
      <w:r w:rsidRPr="009078C7">
        <w:rPr>
          <w:rFonts w:cs="Times New Roman"/>
          <w:noProof/>
          <w:lang w:val="fr-CA"/>
        </w:rPr>
        <w:t>est pas toujours celui dont la conduite a commencé à faire courir le délai de prescription</w:t>
      </w:r>
      <w:r>
        <w:rPr>
          <w:rFonts w:cs="Times New Roman"/>
          <w:noProof/>
          <w:lang w:val="fr-CA"/>
        </w:rPr>
        <w:t> :</w:t>
      </w:r>
      <w:r w:rsidRPr="009078C7">
        <w:rPr>
          <w:rFonts w:cs="Times New Roman"/>
          <w:noProof/>
          <w:lang w:val="fr-CA"/>
        </w:rPr>
        <w:t xml:space="preserve"> des possesseurs adversatifs successifs peuvent [</w:t>
      </w:r>
      <w:r w:rsidRPr="009078C7">
        <w:rPr>
          <w:rFonts w:cs="Times New Roman"/>
          <w:smallCaps/>
          <w:noProof/>
          <w:lang w:val="fr-CA"/>
        </w:rPr>
        <w:t>traduction</w:t>
      </w:r>
      <w:r w:rsidRPr="009078C7">
        <w:rPr>
          <w:rFonts w:cs="Times New Roman"/>
          <w:noProof/>
          <w:lang w:val="fr-CA"/>
        </w:rPr>
        <w:t>] « se greffer » à la possession adversative initiale, pourvu que la possession soit continue au sens où il y a toujours une personne que le véritable propriétaire peut poursuivre</w:t>
      </w:r>
      <w:r>
        <w:rPr>
          <w:rFonts w:cs="Times New Roman"/>
          <w:noProof/>
          <w:lang w:val="fr-CA"/>
        </w:rPr>
        <w:t> :</w:t>
      </w:r>
      <w:r w:rsidRPr="009078C7">
        <w:rPr>
          <w:rFonts w:cs="Times New Roman"/>
          <w:noProof/>
          <w:lang w:val="fr-CA"/>
        </w:rPr>
        <w:t xml:space="preserve"> </w:t>
      </w:r>
      <w:r w:rsidRPr="009078C7">
        <w:rPr>
          <w:rFonts w:cs="Times New Roman"/>
          <w:i/>
          <w:noProof/>
          <w:lang w:val="fr-CA"/>
        </w:rPr>
        <w:t>Anger &amp; Honsberger</w:t>
      </w:r>
      <w:r w:rsidRPr="009078C7">
        <w:rPr>
          <w:rFonts w:cs="Times New Roman"/>
          <w:noProof/>
          <w:lang w:val="fr-CA"/>
        </w:rPr>
        <w:t xml:space="preserve"> </w:t>
      </w:r>
      <w:r w:rsidRPr="009078C7">
        <w:rPr>
          <w:rFonts w:cs="Times New Roman"/>
          <w:i/>
          <w:noProof/>
          <w:lang w:val="fr-CA"/>
        </w:rPr>
        <w:t>Law of Real Property</w:t>
      </w:r>
      <w:r w:rsidRPr="009078C7">
        <w:rPr>
          <w:rFonts w:cs="Times New Roman"/>
          <w:noProof/>
          <w:lang w:val="fr-CA"/>
        </w:rPr>
        <w:t xml:space="preserve"> (3</w:t>
      </w:r>
      <w:r w:rsidRPr="009078C7">
        <w:rPr>
          <w:rFonts w:cs="Times New Roman"/>
          <w:noProof/>
          <w:vertAlign w:val="superscript"/>
          <w:lang w:val="fr-CA"/>
        </w:rPr>
        <w:t>e </w:t>
      </w:r>
      <w:r w:rsidRPr="009078C7">
        <w:rPr>
          <w:rFonts w:cs="Times New Roman"/>
          <w:noProof/>
          <w:lang w:val="fr-CA"/>
        </w:rPr>
        <w:t xml:space="preserve">éd. (feuilles mobiles)), par A. W. La Forest, </w:t>
      </w:r>
      <w:r w:rsidR="00006B60">
        <w:rPr>
          <w:rFonts w:cs="Times New Roman"/>
          <w:noProof/>
          <w:lang w:val="fr-CA"/>
        </w:rPr>
        <w:t>dir</w:t>
      </w:r>
      <w:r w:rsidRPr="009078C7">
        <w:rPr>
          <w:rFonts w:cs="Times New Roman"/>
          <w:noProof/>
          <w:lang w:val="fr-CA"/>
        </w:rPr>
        <w:t>., §28:50.</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La ville ajouterait à ces éléments de la possession adversative un facteur supplémentaire suivant lequel l</w:t>
      </w:r>
      <w:r>
        <w:rPr>
          <w:rFonts w:cs="Times New Roman"/>
          <w:noProof/>
          <w:lang w:val="fr-CA"/>
        </w:rPr>
        <w:t>’</w:t>
      </w:r>
      <w:r w:rsidRPr="009078C7">
        <w:rPr>
          <w:rFonts w:cs="Times New Roman"/>
          <w:noProof/>
          <w:lang w:val="fr-CA"/>
        </w:rPr>
        <w:t xml:space="preserve">usage du lot en litige par le ou les possesseurs devrait </w:t>
      </w:r>
      <w:r w:rsidRPr="009078C7">
        <w:rPr>
          <w:rFonts w:cs="Times New Roman"/>
          <w:noProof/>
          <w:lang w:val="fr-CA"/>
        </w:rPr>
        <w:lastRenderedPageBreak/>
        <w:t>avoir été incompatible avec la jouissance actuelle ou future du bien</w:t>
      </w:r>
      <w:r>
        <w:rPr>
          <w:rFonts w:cs="Times New Roman"/>
          <w:noProof/>
          <w:lang w:val="fr-CA"/>
        </w:rPr>
        <w:noBreakHyphen/>
      </w:r>
      <w:r w:rsidRPr="009078C7">
        <w:rPr>
          <w:rFonts w:cs="Times New Roman"/>
          <w:noProof/>
          <w:lang w:val="fr-CA"/>
        </w:rPr>
        <w:t>fonds par le « véritable propriétaire ». Autrement dit, pour être véritablement adversative, la possession devrait être caractérisée par un usage de la propriété qui est incompatible avec celui que le véritable propriétaire comptait en faire. Cette exigence de l</w:t>
      </w:r>
      <w:r>
        <w:rPr>
          <w:rFonts w:cs="Times New Roman"/>
          <w:noProof/>
          <w:lang w:val="fr-CA"/>
        </w:rPr>
        <w:t>’</w:t>
      </w:r>
      <w:r w:rsidRPr="009078C7">
        <w:rPr>
          <w:rFonts w:cs="Times New Roman"/>
          <w:noProof/>
          <w:lang w:val="fr-CA"/>
        </w:rPr>
        <w:t xml:space="preserve">« usage incompatible » a été formulée par </w:t>
      </w:r>
      <w:r w:rsidR="007A4705">
        <w:rPr>
          <w:rFonts w:cs="Times New Roman"/>
          <w:noProof/>
          <w:lang w:val="fr-CA"/>
        </w:rPr>
        <w:t xml:space="preserve">le </w:t>
      </w:r>
      <w:r w:rsidRPr="009078C7">
        <w:rPr>
          <w:rFonts w:cs="Times New Roman"/>
          <w:noProof/>
          <w:lang w:val="fr-CA"/>
        </w:rPr>
        <w:t>lord Bramwell dans l</w:t>
      </w:r>
      <w:r>
        <w:rPr>
          <w:rFonts w:cs="Times New Roman"/>
          <w:noProof/>
          <w:lang w:val="fr-CA"/>
        </w:rPr>
        <w:t>’</w:t>
      </w:r>
      <w:r w:rsidRPr="009078C7">
        <w:rPr>
          <w:rFonts w:cs="Times New Roman"/>
          <w:noProof/>
          <w:lang w:val="fr-CA"/>
        </w:rPr>
        <w:t xml:space="preserve">arrêt </w:t>
      </w:r>
      <w:r w:rsidRPr="009078C7">
        <w:rPr>
          <w:rFonts w:cs="Times New Roman"/>
          <w:i/>
          <w:noProof/>
          <w:lang w:val="fr-CA"/>
        </w:rPr>
        <w:t xml:space="preserve">Leigh c. Jack </w:t>
      </w:r>
      <w:r w:rsidRPr="009078C7">
        <w:rPr>
          <w:rFonts w:cs="Times New Roman"/>
          <w:noProof/>
          <w:lang w:val="fr-CA"/>
        </w:rPr>
        <w:t xml:space="preserve">(1879), 5 Ex. Div. 264 (C.A.), </w:t>
      </w:r>
      <w:r>
        <w:rPr>
          <w:rFonts w:cs="Times New Roman"/>
          <w:noProof/>
          <w:lang w:val="fr-CA"/>
        </w:rPr>
        <w:t>p. </w:t>
      </w:r>
      <w:r w:rsidRPr="009078C7">
        <w:rPr>
          <w:rFonts w:cs="Times New Roman"/>
          <w:noProof/>
          <w:lang w:val="fr-CA"/>
        </w:rPr>
        <w:t>273</w:t>
      </w:r>
      <w:r>
        <w:rPr>
          <w:rFonts w:cs="Times New Roman"/>
          <w:noProof/>
          <w:lang w:val="fr-CA"/>
        </w:rPr>
        <w:t> :</w:t>
      </w:r>
    </w:p>
    <w:p w:rsidR="00190EF2" w:rsidRPr="009078C7" w:rsidRDefault="00190EF2" w:rsidP="00BF1D7F">
      <w:pPr>
        <w:pStyle w:val="Citation-AltC"/>
        <w:widowControl w:val="0"/>
        <w:ind w:hanging="1166"/>
        <w:contextualSpacing w:val="0"/>
        <w:rPr>
          <w:noProof/>
          <w:lang w:val="fr-CA"/>
        </w:rPr>
      </w:pPr>
      <w:r w:rsidRPr="009078C7">
        <w:rPr>
          <w:noProof/>
          <w:lang w:val="fr-CA"/>
        </w:rPr>
        <w:tab/>
      </w:r>
      <w:r w:rsidR="007A4705" w:rsidRPr="009078C7">
        <w:rPr>
          <w:noProof/>
          <w:lang w:val="fr-CA"/>
        </w:rPr>
        <w:t>[</w:t>
      </w:r>
      <w:r w:rsidR="007A4705" w:rsidRPr="009078C7">
        <w:rPr>
          <w:smallCaps/>
          <w:noProof/>
          <w:lang w:val="fr-CA"/>
        </w:rPr>
        <w:t>traduction</w:t>
      </w:r>
      <w:r w:rsidR="007A4705" w:rsidRPr="009078C7">
        <w:rPr>
          <w:noProof/>
          <w:lang w:val="fr-CA"/>
        </w:rPr>
        <w:t>]</w:t>
      </w:r>
      <w:r w:rsidR="00E80B6B">
        <w:rPr>
          <w:noProof/>
          <w:lang w:val="fr-CA"/>
        </w:rPr>
        <w:t xml:space="preserve"> </w:t>
      </w:r>
      <w:r w:rsidRPr="009078C7">
        <w:rPr>
          <w:noProof/>
          <w:lang w:val="fr-CA"/>
        </w:rPr>
        <w:t>Je ne crois pas que la conduite du défendeur a eu pour effet de déposséder la demanderesse du terrain</w:t>
      </w:r>
      <w:r>
        <w:rPr>
          <w:noProof/>
          <w:lang w:val="fr-CA"/>
        </w:rPr>
        <w:t> :</w:t>
      </w:r>
      <w:r w:rsidRPr="009078C7">
        <w:rPr>
          <w:noProof/>
          <w:lang w:val="fr-CA"/>
        </w:rPr>
        <w:t xml:space="preserve"> les gestes de l</w:t>
      </w:r>
      <w:r>
        <w:rPr>
          <w:noProof/>
          <w:lang w:val="fr-CA"/>
        </w:rPr>
        <w:t>’</w:t>
      </w:r>
      <w:r w:rsidRPr="009078C7">
        <w:rPr>
          <w:noProof/>
          <w:lang w:val="fr-CA"/>
        </w:rPr>
        <w:t>utilisateur ne suffisent pas pour retirer le terrain des mains de la demanderesse et de ses prédécesseurs et l</w:t>
      </w:r>
      <w:r>
        <w:rPr>
          <w:noProof/>
          <w:lang w:val="fr-CA"/>
        </w:rPr>
        <w:t>’</w:t>
      </w:r>
      <w:r w:rsidRPr="009078C7">
        <w:rPr>
          <w:noProof/>
          <w:lang w:val="fr-CA"/>
        </w:rPr>
        <w:t>attribuer à la partie défenderesse; pour qu</w:t>
      </w:r>
      <w:r>
        <w:rPr>
          <w:noProof/>
          <w:lang w:val="fr-CA"/>
        </w:rPr>
        <w:t>’</w:t>
      </w:r>
      <w:r w:rsidRPr="009078C7">
        <w:rPr>
          <w:noProof/>
          <w:lang w:val="fr-CA"/>
        </w:rPr>
        <w:t>un titre soit écarté par la dépossession de l</w:t>
      </w:r>
      <w:r>
        <w:rPr>
          <w:noProof/>
          <w:lang w:val="fr-CA"/>
        </w:rPr>
        <w:t>’</w:t>
      </w:r>
      <w:r w:rsidRPr="009078C7">
        <w:rPr>
          <w:noProof/>
          <w:lang w:val="fr-CA"/>
        </w:rPr>
        <w:t xml:space="preserve">ancien propriétaire, </w:t>
      </w:r>
      <w:r w:rsidRPr="009078C7">
        <w:rPr>
          <w:noProof/>
          <w:u w:val="single"/>
          <w:lang w:val="fr-CA"/>
        </w:rPr>
        <w:t>des gestes incompatibles avec l</w:t>
      </w:r>
      <w:r>
        <w:rPr>
          <w:noProof/>
          <w:u w:val="single"/>
          <w:lang w:val="fr-CA"/>
        </w:rPr>
        <w:t>’</w:t>
      </w:r>
      <w:r w:rsidRPr="009078C7">
        <w:rPr>
          <w:noProof/>
          <w:u w:val="single"/>
          <w:lang w:val="fr-CA"/>
        </w:rPr>
        <w:t>usage que comptait faire ce dernier du terrain doivent avoir été posés</w:t>
      </w:r>
      <w:r w:rsidRPr="009078C7">
        <w:rPr>
          <w:noProof/>
          <w:lang w:val="fr-CA"/>
        </w:rPr>
        <w:t>. Ce n</w:t>
      </w:r>
      <w:r>
        <w:rPr>
          <w:noProof/>
          <w:lang w:val="fr-CA"/>
        </w:rPr>
        <w:t>’</w:t>
      </w:r>
      <w:r w:rsidRPr="009078C7">
        <w:rPr>
          <w:noProof/>
          <w:lang w:val="fr-CA"/>
        </w:rPr>
        <w:t>est pas le cas en l</w:t>
      </w:r>
      <w:r>
        <w:rPr>
          <w:noProof/>
          <w:lang w:val="fr-CA"/>
        </w:rPr>
        <w:t>’</w:t>
      </w:r>
      <w:r w:rsidRPr="009078C7">
        <w:rPr>
          <w:noProof/>
          <w:lang w:val="fr-CA"/>
        </w:rPr>
        <w:t>espèce, car la demanderesse et ses prédécesseurs n</w:t>
      </w:r>
      <w:r>
        <w:rPr>
          <w:noProof/>
          <w:lang w:val="fr-CA"/>
        </w:rPr>
        <w:t>’</w:t>
      </w:r>
      <w:r w:rsidRPr="009078C7">
        <w:rPr>
          <w:noProof/>
          <w:lang w:val="fr-CA"/>
        </w:rPr>
        <w:t>avaient pas l</w:t>
      </w:r>
      <w:r>
        <w:rPr>
          <w:noProof/>
          <w:lang w:val="fr-CA"/>
        </w:rPr>
        <w:t>’</w:t>
      </w:r>
      <w:r w:rsidRPr="009078C7">
        <w:rPr>
          <w:noProof/>
          <w:lang w:val="fr-CA"/>
        </w:rPr>
        <w:t>intention de cultiver la terre ou de construire une propriété sur elle, mais bien de l</w:t>
      </w:r>
      <w:r>
        <w:rPr>
          <w:noProof/>
          <w:lang w:val="fr-CA"/>
        </w:rPr>
        <w:t>’</w:t>
      </w:r>
      <w:r w:rsidRPr="009078C7">
        <w:rPr>
          <w:noProof/>
          <w:lang w:val="fr-CA"/>
        </w:rPr>
        <w:t>affecter plus tard à un usage public. La demanderesse n</w:t>
      </w:r>
      <w:r>
        <w:rPr>
          <w:noProof/>
          <w:lang w:val="fr-CA"/>
        </w:rPr>
        <w:t>’</w:t>
      </w:r>
      <w:r w:rsidRPr="009078C7">
        <w:rPr>
          <w:noProof/>
          <w:lang w:val="fr-CA"/>
        </w:rPr>
        <w:t>a pas été dépossédée, elle n</w:t>
      </w:r>
      <w:r>
        <w:rPr>
          <w:noProof/>
          <w:lang w:val="fr-CA"/>
        </w:rPr>
        <w:t>’</w:t>
      </w:r>
      <w:r w:rsidRPr="009078C7">
        <w:rPr>
          <w:noProof/>
          <w:lang w:val="fr-CA"/>
        </w:rPr>
        <w:t>a pas cessé d</w:t>
      </w:r>
      <w:r>
        <w:rPr>
          <w:noProof/>
          <w:lang w:val="fr-CA"/>
        </w:rPr>
        <w:t>’</w:t>
      </w:r>
      <w:r w:rsidRPr="009078C7">
        <w:rPr>
          <w:noProof/>
          <w:lang w:val="fr-CA"/>
        </w:rPr>
        <w:t>avoir la possession du bien</w:t>
      </w:r>
      <w:r>
        <w:rPr>
          <w:noProof/>
          <w:lang w:val="fr-CA"/>
        </w:rPr>
        <w:noBreakHyphen/>
      </w:r>
      <w:r w:rsidRPr="009078C7">
        <w:rPr>
          <w:noProof/>
          <w:lang w:val="fr-CA"/>
        </w:rPr>
        <w:t>fonds, son titre ne lui a pas été retiré et elle a droit à un jugement de la Cour en sa faveur. [Je souligne.]</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L</w:t>
      </w:r>
      <w:r>
        <w:rPr>
          <w:rFonts w:cs="Times New Roman"/>
          <w:noProof/>
          <w:lang w:val="fr-CA"/>
        </w:rPr>
        <w:t>’</w:t>
      </w:r>
      <w:r w:rsidRPr="009078C7">
        <w:rPr>
          <w:rFonts w:cs="Times New Roman"/>
          <w:noProof/>
          <w:lang w:val="fr-CA"/>
        </w:rPr>
        <w:t>exigence de l</w:t>
      </w:r>
      <w:r>
        <w:rPr>
          <w:rFonts w:cs="Times New Roman"/>
          <w:noProof/>
          <w:lang w:val="fr-CA"/>
        </w:rPr>
        <w:t>’</w:t>
      </w:r>
      <w:r w:rsidRPr="009078C7">
        <w:rPr>
          <w:rFonts w:cs="Times New Roman"/>
          <w:noProof/>
          <w:lang w:val="fr-CA"/>
        </w:rPr>
        <w:t>usage incompatible est reconnue dans la jurisprudence de l</w:t>
      </w:r>
      <w:r>
        <w:rPr>
          <w:rFonts w:cs="Times New Roman"/>
          <w:noProof/>
          <w:lang w:val="fr-CA"/>
        </w:rPr>
        <w:t>’</w:t>
      </w:r>
      <w:r w:rsidRPr="009078C7">
        <w:rPr>
          <w:rFonts w:cs="Times New Roman"/>
          <w:noProof/>
          <w:lang w:val="fr-CA"/>
        </w:rPr>
        <w:t>Ontario (</w:t>
      </w:r>
      <w:r w:rsidR="005172B5">
        <w:rPr>
          <w:rFonts w:cs="Times New Roman"/>
          <w:noProof/>
          <w:lang w:val="fr-CA"/>
        </w:rPr>
        <w:t xml:space="preserve">voir </w:t>
      </w:r>
      <w:r w:rsidRPr="009078C7">
        <w:rPr>
          <w:rFonts w:cs="Times New Roman"/>
          <w:i/>
          <w:noProof/>
          <w:lang w:val="fr-CA"/>
        </w:rPr>
        <w:t>Keefer c. Arillotta</w:t>
      </w:r>
      <w:r w:rsidRPr="009078C7">
        <w:rPr>
          <w:rFonts w:cs="Times New Roman"/>
          <w:noProof/>
          <w:lang w:val="fr-CA"/>
        </w:rPr>
        <w:t xml:space="preserve"> (1976), 13 O.R. (2d) 680 (C.A.); </w:t>
      </w:r>
      <w:r w:rsidRPr="009078C7">
        <w:rPr>
          <w:rFonts w:cs="Times New Roman"/>
          <w:i/>
          <w:noProof/>
          <w:lang w:val="fr-CA"/>
        </w:rPr>
        <w:t>Fletcher c. Storoschuk</w:t>
      </w:r>
      <w:r w:rsidRPr="009078C7">
        <w:rPr>
          <w:rFonts w:cs="Times New Roman"/>
          <w:noProof/>
          <w:lang w:val="fr-CA"/>
        </w:rPr>
        <w:t xml:space="preserve"> (1981), 35 O.R. (2d) 722 (C.A.); </w:t>
      </w:r>
      <w:r w:rsidRPr="009078C7">
        <w:rPr>
          <w:rFonts w:cs="Times New Roman"/>
          <w:i/>
          <w:noProof/>
          <w:lang w:val="fr-CA"/>
        </w:rPr>
        <w:t xml:space="preserve">John Austin &amp; Sons Ltd. c. Smith </w:t>
      </w:r>
      <w:r w:rsidRPr="009078C7">
        <w:rPr>
          <w:rFonts w:cs="Times New Roman"/>
          <w:noProof/>
          <w:lang w:val="fr-CA"/>
        </w:rPr>
        <w:t xml:space="preserve">(1982), 35 O.R. (2d) 272 (C.A.); </w:t>
      </w:r>
      <w:r w:rsidRPr="009078C7">
        <w:rPr>
          <w:rFonts w:cs="Times New Roman"/>
          <w:i/>
          <w:noProof/>
          <w:lang w:val="fr-CA"/>
        </w:rPr>
        <w:t xml:space="preserve">Masidon Investments Ltd. c. Ham </w:t>
      </w:r>
      <w:r w:rsidRPr="009078C7">
        <w:rPr>
          <w:rFonts w:cs="Times New Roman"/>
          <w:noProof/>
          <w:lang w:val="fr-CA"/>
        </w:rPr>
        <w:t xml:space="preserve">(1984), 45 O.R. (2d) 563 (C.A.); </w:t>
      </w:r>
      <w:r w:rsidRPr="009078C7">
        <w:rPr>
          <w:rFonts w:cs="Times New Roman"/>
          <w:i/>
          <w:noProof/>
          <w:lang w:val="fr-CA"/>
        </w:rPr>
        <w:t xml:space="preserve">Gorman c. Gorman </w:t>
      </w:r>
      <w:r w:rsidRPr="009078C7">
        <w:rPr>
          <w:rFonts w:cs="Times New Roman"/>
          <w:noProof/>
          <w:lang w:val="fr-CA"/>
        </w:rPr>
        <w:t xml:space="preserve">(1998), 110 O.A.C. 87; </w:t>
      </w:r>
      <w:r w:rsidRPr="009078C7">
        <w:rPr>
          <w:rFonts w:cs="Times New Roman"/>
          <w:i/>
          <w:noProof/>
          <w:lang w:val="fr-CA"/>
        </w:rPr>
        <w:t>Brisebois c. Chamberland</w:t>
      </w:r>
      <w:r w:rsidRPr="009078C7">
        <w:rPr>
          <w:rFonts w:cs="Times New Roman"/>
          <w:noProof/>
          <w:lang w:val="fr-CA"/>
        </w:rPr>
        <w:t xml:space="preserve"> (1990), </w:t>
      </w:r>
      <w:r>
        <w:rPr>
          <w:rFonts w:cs="Times New Roman"/>
          <w:noProof/>
          <w:lang w:val="fr-CA"/>
        </w:rPr>
        <w:t>75</w:t>
      </w:r>
      <w:r w:rsidRPr="009078C7">
        <w:rPr>
          <w:rFonts w:cs="Times New Roman"/>
          <w:noProof/>
          <w:lang w:val="fr-CA"/>
        </w:rPr>
        <w:t xml:space="preserve"> O.R. (</w:t>
      </w:r>
      <w:r>
        <w:rPr>
          <w:rFonts w:cs="Times New Roman"/>
          <w:noProof/>
          <w:lang w:val="fr-CA"/>
        </w:rPr>
        <w:t>2</w:t>
      </w:r>
      <w:r w:rsidRPr="009078C7">
        <w:rPr>
          <w:rFonts w:cs="Times New Roman"/>
          <w:noProof/>
          <w:lang w:val="fr-CA"/>
        </w:rPr>
        <w:t xml:space="preserve">d) </w:t>
      </w:r>
      <w:r>
        <w:rPr>
          <w:rFonts w:cs="Times New Roman"/>
          <w:noProof/>
          <w:lang w:val="fr-CA"/>
        </w:rPr>
        <w:t xml:space="preserve">332 </w:t>
      </w:r>
      <w:r w:rsidRPr="009078C7">
        <w:rPr>
          <w:rFonts w:cs="Times New Roman"/>
          <w:noProof/>
          <w:lang w:val="fr-CA"/>
        </w:rPr>
        <w:t xml:space="preserve">(C.A.); </w:t>
      </w:r>
      <w:r w:rsidRPr="009078C7">
        <w:rPr>
          <w:rFonts w:cs="Times New Roman"/>
          <w:i/>
          <w:noProof/>
          <w:lang w:val="fr-CA"/>
        </w:rPr>
        <w:t xml:space="preserve">Hodkin c. Bigley </w:t>
      </w:r>
      <w:r w:rsidRPr="009078C7">
        <w:rPr>
          <w:rFonts w:cs="Times New Roman"/>
          <w:noProof/>
          <w:lang w:val="fr-CA"/>
        </w:rPr>
        <w:t xml:space="preserve">(1998), 20 R.P.R. (3d) 9 (C.A. Ont.); </w:t>
      </w:r>
      <w:r w:rsidRPr="009078C7">
        <w:rPr>
          <w:rFonts w:cs="Times New Roman"/>
          <w:i/>
          <w:noProof/>
          <w:lang w:val="fr-CA"/>
        </w:rPr>
        <w:t>Elliott c. Woodstock Agricultural Society</w:t>
      </w:r>
      <w:r w:rsidRPr="009078C7">
        <w:rPr>
          <w:rFonts w:cs="Times New Roman"/>
          <w:noProof/>
          <w:lang w:val="fr-CA"/>
        </w:rPr>
        <w:t>, 2008 ONCA 648, 92 O.R. (3d) 711); elle a également été appliquée dans les décisions des cours d</w:t>
      </w:r>
      <w:r>
        <w:rPr>
          <w:rFonts w:cs="Times New Roman"/>
          <w:noProof/>
          <w:lang w:val="fr-CA"/>
        </w:rPr>
        <w:t>’</w:t>
      </w:r>
      <w:r w:rsidRPr="009078C7">
        <w:rPr>
          <w:rFonts w:cs="Times New Roman"/>
          <w:noProof/>
          <w:lang w:val="fr-CA"/>
        </w:rPr>
        <w:t>appel de la Nouvelle</w:t>
      </w:r>
      <w:r>
        <w:rPr>
          <w:rFonts w:cs="Times New Roman"/>
          <w:noProof/>
          <w:lang w:val="fr-CA"/>
        </w:rPr>
        <w:noBreakHyphen/>
      </w:r>
      <w:r w:rsidRPr="009078C7">
        <w:rPr>
          <w:rFonts w:cs="Times New Roman"/>
          <w:noProof/>
          <w:lang w:val="fr-CA"/>
        </w:rPr>
        <w:t>Écosse (</w:t>
      </w:r>
      <w:r w:rsidRPr="009078C7">
        <w:rPr>
          <w:rFonts w:cs="Times New Roman"/>
          <w:i/>
          <w:noProof/>
          <w:lang w:val="fr-CA"/>
        </w:rPr>
        <w:t>Spicer c. Bowater Mersey Paper Co.</w:t>
      </w:r>
      <w:r w:rsidRPr="009078C7">
        <w:rPr>
          <w:rFonts w:cs="Times New Roman"/>
          <w:noProof/>
          <w:lang w:val="fr-CA"/>
        </w:rPr>
        <w:t xml:space="preserve">, 2004 NSCA 39, 222 N.S.R. (2d) 103) et de </w:t>
      </w:r>
      <w:r w:rsidRPr="009078C7">
        <w:rPr>
          <w:rFonts w:cs="Times New Roman"/>
          <w:noProof/>
          <w:lang w:val="fr-CA"/>
        </w:rPr>
        <w:lastRenderedPageBreak/>
        <w:t>l</w:t>
      </w:r>
      <w:r>
        <w:rPr>
          <w:rFonts w:cs="Times New Roman"/>
          <w:noProof/>
          <w:lang w:val="fr-CA"/>
        </w:rPr>
        <w:t>’</w:t>
      </w:r>
      <w:r w:rsidRPr="009078C7">
        <w:rPr>
          <w:rFonts w:cs="Times New Roman"/>
          <w:noProof/>
          <w:lang w:val="fr-CA"/>
        </w:rPr>
        <w:t>Île</w:t>
      </w:r>
      <w:r>
        <w:rPr>
          <w:rFonts w:cs="Times New Roman"/>
          <w:noProof/>
          <w:lang w:val="fr-CA"/>
        </w:rPr>
        <w:noBreakHyphen/>
      </w:r>
      <w:r w:rsidRPr="009078C7">
        <w:rPr>
          <w:rFonts w:cs="Times New Roman"/>
          <w:noProof/>
          <w:lang w:val="fr-CA"/>
        </w:rPr>
        <w:t>du</w:t>
      </w:r>
      <w:r>
        <w:rPr>
          <w:rFonts w:cs="Times New Roman"/>
          <w:noProof/>
          <w:lang w:val="fr-CA"/>
        </w:rPr>
        <w:noBreakHyphen/>
      </w:r>
      <w:r w:rsidRPr="009078C7">
        <w:rPr>
          <w:rFonts w:cs="Times New Roman"/>
          <w:noProof/>
          <w:lang w:val="fr-CA"/>
        </w:rPr>
        <w:t>Prince</w:t>
      </w:r>
      <w:r>
        <w:rPr>
          <w:rFonts w:cs="Times New Roman"/>
          <w:noProof/>
          <w:lang w:val="fr-CA"/>
        </w:rPr>
        <w:noBreakHyphen/>
      </w:r>
      <w:r w:rsidRPr="009078C7">
        <w:rPr>
          <w:rFonts w:cs="Times New Roman"/>
          <w:noProof/>
          <w:lang w:val="fr-CA"/>
        </w:rPr>
        <w:t>Édouard</w:t>
      </w:r>
      <w:r w:rsidR="007A4705">
        <w:rPr>
          <w:rFonts w:cs="Times New Roman"/>
          <w:noProof/>
          <w:lang w:val="fr-CA"/>
        </w:rPr>
        <w:t> (</w:t>
      </w:r>
      <w:r w:rsidRPr="009078C7">
        <w:rPr>
          <w:rFonts w:cs="Times New Roman"/>
          <w:i/>
          <w:noProof/>
          <w:lang w:val="fr-CA"/>
        </w:rPr>
        <w:t>MacKinnon, Re</w:t>
      </w:r>
      <w:r w:rsidRPr="009078C7">
        <w:rPr>
          <w:rFonts w:cs="Times New Roman"/>
          <w:noProof/>
          <w:lang w:val="fr-CA"/>
        </w:rPr>
        <w:t>, 2003 PESCAD 17, 226 Nfld. &amp; P.E.I.R. 293</w:t>
      </w:r>
      <w:r w:rsidR="007A4705">
        <w:rPr>
          <w:rFonts w:cs="Times New Roman"/>
          <w:noProof/>
          <w:lang w:val="fr-CA"/>
        </w:rPr>
        <w:t>)</w:t>
      </w:r>
      <w:r w:rsidRPr="009078C7">
        <w:rPr>
          <w:rFonts w:cs="Times New Roman"/>
          <w:noProof/>
          <w:lang w:val="fr-CA"/>
        </w:rPr>
        <w:t>. Cependant, son application a été rejetée en Alberta (</w:t>
      </w:r>
      <w:r w:rsidRPr="009078C7">
        <w:rPr>
          <w:rFonts w:cs="Times New Roman"/>
          <w:i/>
          <w:noProof/>
          <w:lang w:val="fr-CA"/>
        </w:rPr>
        <w:t>Lutz c. Kawa</w:t>
      </w:r>
      <w:r w:rsidRPr="009078C7">
        <w:rPr>
          <w:rFonts w:cs="Times New Roman"/>
          <w:noProof/>
          <w:lang w:val="fr-CA"/>
        </w:rPr>
        <w:t>, 1980 ABCA 112, 23 A.R. 9) et a été restreinte à Terre</w:t>
      </w:r>
      <w:r>
        <w:rPr>
          <w:rFonts w:cs="Times New Roman"/>
          <w:noProof/>
          <w:lang w:val="fr-CA"/>
        </w:rPr>
        <w:noBreakHyphen/>
      </w:r>
      <w:r w:rsidRPr="009078C7">
        <w:rPr>
          <w:rFonts w:cs="Times New Roman"/>
          <w:noProof/>
          <w:lang w:val="fr-CA"/>
        </w:rPr>
        <w:t>Neuve</w:t>
      </w:r>
      <w:r>
        <w:rPr>
          <w:rFonts w:cs="Times New Roman"/>
          <w:noProof/>
          <w:lang w:val="fr-CA"/>
        </w:rPr>
        <w:noBreakHyphen/>
      </w:r>
      <w:r w:rsidRPr="009078C7">
        <w:rPr>
          <w:rFonts w:cs="Times New Roman"/>
          <w:noProof/>
          <w:lang w:val="fr-CA"/>
        </w:rPr>
        <w:t>et</w:t>
      </w:r>
      <w:r>
        <w:rPr>
          <w:rFonts w:cs="Times New Roman"/>
          <w:noProof/>
          <w:lang w:val="fr-CA"/>
        </w:rPr>
        <w:noBreakHyphen/>
      </w:r>
      <w:r w:rsidRPr="009078C7">
        <w:rPr>
          <w:rFonts w:cs="Times New Roman"/>
          <w:noProof/>
          <w:lang w:val="fr-CA"/>
        </w:rPr>
        <w:t>Labrador, où elle est considérée comme un facteur pertinent, mais non nécessaire, à prendre en compte pour déterminer si la possession adversative a été établie</w:t>
      </w:r>
      <w:r>
        <w:rPr>
          <w:rFonts w:cs="Times New Roman"/>
          <w:noProof/>
          <w:lang w:val="fr-CA"/>
        </w:rPr>
        <w:t> :</w:t>
      </w:r>
      <w:r w:rsidRPr="009078C7">
        <w:rPr>
          <w:rFonts w:cs="Times New Roman"/>
          <w:noProof/>
          <w:lang w:val="fr-CA"/>
        </w:rPr>
        <w:t xml:space="preserve"> </w:t>
      </w:r>
      <w:r w:rsidRPr="009078C7">
        <w:rPr>
          <w:rFonts w:cs="Times New Roman"/>
          <w:i/>
          <w:noProof/>
          <w:lang w:val="fr-CA"/>
        </w:rPr>
        <w:t>Maher c. Bussey</w:t>
      </w:r>
      <w:r w:rsidRPr="009078C7">
        <w:rPr>
          <w:rFonts w:cs="Times New Roman"/>
          <w:noProof/>
          <w:lang w:val="fr-CA"/>
        </w:rPr>
        <w:t>, 2006 NLCA</w:t>
      </w:r>
      <w:r>
        <w:rPr>
          <w:rFonts w:cs="Times New Roman"/>
          <w:noProof/>
          <w:lang w:val="fr-CA"/>
        </w:rPr>
        <w:t xml:space="preserve"> </w:t>
      </w:r>
      <w:r w:rsidRPr="009078C7">
        <w:rPr>
          <w:rFonts w:cs="Times New Roman"/>
          <w:noProof/>
          <w:lang w:val="fr-CA"/>
        </w:rPr>
        <w:t>28, 256 Nfld. &amp; P.E.I.R.</w:t>
      </w:r>
      <w:r>
        <w:rPr>
          <w:rFonts w:cs="Times New Roman"/>
          <w:noProof/>
          <w:lang w:val="fr-CA"/>
        </w:rPr>
        <w:t xml:space="preserve"> </w:t>
      </w:r>
      <w:r w:rsidRPr="009078C7">
        <w:rPr>
          <w:rFonts w:cs="Times New Roman"/>
          <w:noProof/>
          <w:lang w:val="fr-CA"/>
        </w:rPr>
        <w:t xml:space="preserve">308, </w:t>
      </w:r>
      <w:r>
        <w:rPr>
          <w:rFonts w:cs="Times New Roman"/>
          <w:noProof/>
          <w:lang w:val="fr-CA"/>
        </w:rPr>
        <w:t>par. </w:t>
      </w:r>
      <w:r w:rsidRPr="009078C7">
        <w:rPr>
          <w:rFonts w:cs="Times New Roman"/>
          <w:noProof/>
          <w:lang w:val="fr-CA"/>
        </w:rPr>
        <w:t>50</w:t>
      </w:r>
      <w:r>
        <w:rPr>
          <w:rFonts w:cs="Times New Roman"/>
          <w:noProof/>
          <w:lang w:val="fr-CA"/>
        </w:rPr>
        <w:noBreakHyphen/>
      </w:r>
      <w:r w:rsidRPr="009078C7">
        <w:rPr>
          <w:rFonts w:cs="Times New Roman"/>
          <w:noProof/>
          <w:lang w:val="fr-CA"/>
        </w:rPr>
        <w:t>52. Devant nous, la ville a soutenu qu</w:t>
      </w:r>
      <w:r>
        <w:rPr>
          <w:rFonts w:cs="Times New Roman"/>
          <w:noProof/>
          <w:lang w:val="fr-CA"/>
        </w:rPr>
        <w:t>’</w:t>
      </w:r>
      <w:r w:rsidRPr="009078C7">
        <w:rPr>
          <w:rFonts w:cs="Times New Roman"/>
          <w:noProof/>
          <w:lang w:val="fr-CA"/>
        </w:rPr>
        <w:t>il y avait lieu d</w:t>
      </w:r>
      <w:r>
        <w:rPr>
          <w:rFonts w:cs="Times New Roman"/>
          <w:noProof/>
          <w:lang w:val="fr-CA"/>
        </w:rPr>
        <w:t>’</w:t>
      </w:r>
      <w:r w:rsidRPr="009078C7">
        <w:rPr>
          <w:rFonts w:cs="Times New Roman"/>
          <w:noProof/>
          <w:lang w:val="fr-CA"/>
        </w:rPr>
        <w:t>examiner la compatibilité (ou l</w:t>
      </w:r>
      <w:r>
        <w:rPr>
          <w:rFonts w:cs="Times New Roman"/>
          <w:noProof/>
          <w:lang w:val="fr-CA"/>
        </w:rPr>
        <w:t>’</w:t>
      </w:r>
      <w:r w:rsidRPr="009078C7">
        <w:rPr>
          <w:rFonts w:cs="Times New Roman"/>
          <w:noProof/>
          <w:lang w:val="fr-CA"/>
        </w:rPr>
        <w:t>incompatibilité) entre l</w:t>
      </w:r>
      <w:r>
        <w:rPr>
          <w:rFonts w:cs="Times New Roman"/>
          <w:noProof/>
          <w:lang w:val="fr-CA"/>
        </w:rPr>
        <w:t>’</w:t>
      </w:r>
      <w:r w:rsidRPr="009078C7">
        <w:rPr>
          <w:rFonts w:cs="Times New Roman"/>
          <w:noProof/>
          <w:lang w:val="fr-CA"/>
        </w:rPr>
        <w:t>intention du présumé possesseur adversatif et celle du véritable propriétaire quant à l</w:t>
      </w:r>
      <w:r>
        <w:rPr>
          <w:rFonts w:cs="Times New Roman"/>
          <w:noProof/>
          <w:lang w:val="fr-CA"/>
        </w:rPr>
        <w:t>’</w:t>
      </w:r>
      <w:r w:rsidRPr="009078C7">
        <w:rPr>
          <w:rFonts w:cs="Times New Roman"/>
          <w:noProof/>
          <w:lang w:val="fr-CA"/>
        </w:rPr>
        <w:t>usage du bien</w:t>
      </w:r>
      <w:r>
        <w:rPr>
          <w:rFonts w:cs="Times New Roman"/>
          <w:noProof/>
          <w:lang w:val="fr-CA"/>
        </w:rPr>
        <w:noBreakHyphen/>
      </w:r>
      <w:r w:rsidRPr="009078C7">
        <w:rPr>
          <w:rFonts w:cs="Times New Roman"/>
          <w:noProof/>
          <w:lang w:val="fr-CA"/>
        </w:rPr>
        <w:t>fonds. Je souligne que certains auteurs sont d</w:t>
      </w:r>
      <w:r>
        <w:rPr>
          <w:rFonts w:cs="Times New Roman"/>
          <w:noProof/>
          <w:lang w:val="fr-CA"/>
        </w:rPr>
        <w:t>’</w:t>
      </w:r>
      <w:r w:rsidRPr="009078C7">
        <w:rPr>
          <w:rFonts w:cs="Times New Roman"/>
          <w:noProof/>
          <w:lang w:val="fr-CA"/>
        </w:rPr>
        <w:t>avis contraire et affirment que l</w:t>
      </w:r>
      <w:r>
        <w:rPr>
          <w:rFonts w:cs="Times New Roman"/>
          <w:noProof/>
          <w:lang w:val="fr-CA"/>
        </w:rPr>
        <w:t>’</w:t>
      </w:r>
      <w:r w:rsidRPr="009078C7">
        <w:rPr>
          <w:rFonts w:cs="Times New Roman"/>
          <w:noProof/>
          <w:lang w:val="fr-CA"/>
        </w:rPr>
        <w:t>exigence de l</w:t>
      </w:r>
      <w:r>
        <w:rPr>
          <w:rFonts w:cs="Times New Roman"/>
          <w:noProof/>
          <w:lang w:val="fr-CA"/>
        </w:rPr>
        <w:t>’</w:t>
      </w:r>
      <w:r w:rsidRPr="009078C7">
        <w:rPr>
          <w:rFonts w:cs="Times New Roman"/>
          <w:noProof/>
          <w:lang w:val="fr-CA"/>
        </w:rPr>
        <w:t>usage incompatible n</w:t>
      </w:r>
      <w:r>
        <w:rPr>
          <w:rFonts w:cs="Times New Roman"/>
          <w:noProof/>
          <w:lang w:val="fr-CA"/>
        </w:rPr>
        <w:t>’</w:t>
      </w:r>
      <w:r w:rsidRPr="009078C7">
        <w:rPr>
          <w:rFonts w:cs="Times New Roman"/>
          <w:noProof/>
          <w:lang w:val="fr-CA"/>
        </w:rPr>
        <w:t>est ni nécessaire ni souhaitable</w:t>
      </w:r>
      <w:r>
        <w:rPr>
          <w:rFonts w:cs="Times New Roman"/>
          <w:noProof/>
          <w:lang w:val="fr-CA"/>
        </w:rPr>
        <w:t> :</w:t>
      </w:r>
      <w:r w:rsidRPr="009078C7">
        <w:rPr>
          <w:rFonts w:cs="Times New Roman"/>
          <w:noProof/>
          <w:lang w:val="fr-CA"/>
        </w:rPr>
        <w:t xml:space="preserve"> M. H. Lubetsky, « Adding Epicycles</w:t>
      </w:r>
      <w:r w:rsidR="007A4705">
        <w:rPr>
          <w:rFonts w:cs="Times New Roman"/>
          <w:noProof/>
          <w:lang w:val="fr-CA"/>
        </w:rPr>
        <w:t xml:space="preserve"> </w:t>
      </w:r>
      <w:r w:rsidRPr="009078C7">
        <w:rPr>
          <w:rFonts w:cs="Times New Roman"/>
          <w:noProof/>
          <w:lang w:val="fr-CA"/>
        </w:rPr>
        <w:t>: The Inconsistent Use Test in Adverse Possession Law » (2009), 47 </w:t>
      </w:r>
      <w:r w:rsidRPr="009078C7">
        <w:rPr>
          <w:rFonts w:cs="Times New Roman"/>
          <w:i/>
          <w:noProof/>
          <w:lang w:val="fr-CA"/>
        </w:rPr>
        <w:t>Osgoode Hall L.J.</w:t>
      </w:r>
      <w:r w:rsidRPr="009078C7">
        <w:rPr>
          <w:rFonts w:cs="Times New Roman"/>
          <w:noProof/>
          <w:lang w:val="fr-CA"/>
        </w:rPr>
        <w:t xml:space="preserve"> 497, </w:t>
      </w:r>
      <w:r>
        <w:rPr>
          <w:rFonts w:cs="Times New Roman"/>
          <w:noProof/>
          <w:lang w:val="fr-CA"/>
        </w:rPr>
        <w:t>p. </w:t>
      </w:r>
      <w:r w:rsidR="007A4705">
        <w:rPr>
          <w:rFonts w:cs="Times New Roman"/>
          <w:noProof/>
          <w:lang w:val="fr-CA"/>
        </w:rPr>
        <w:t>523-</w:t>
      </w:r>
      <w:r w:rsidRPr="009078C7">
        <w:rPr>
          <w:rFonts w:cs="Times New Roman"/>
          <w:noProof/>
          <w:lang w:val="fr-CA"/>
        </w:rPr>
        <w:t>525. Effectivement, l</w:t>
      </w:r>
      <w:r>
        <w:rPr>
          <w:rFonts w:cs="Times New Roman"/>
          <w:noProof/>
          <w:lang w:val="fr-CA"/>
        </w:rPr>
        <w:t>’</w:t>
      </w:r>
      <w:r w:rsidRPr="009078C7">
        <w:rPr>
          <w:rFonts w:cs="Times New Roman"/>
          <w:noProof/>
          <w:lang w:val="fr-CA"/>
        </w:rPr>
        <w:t>existence d</w:t>
      </w:r>
      <w:r>
        <w:rPr>
          <w:rFonts w:cs="Times New Roman"/>
          <w:noProof/>
          <w:lang w:val="fr-CA"/>
        </w:rPr>
        <w:t>’</w:t>
      </w:r>
      <w:r w:rsidRPr="009078C7">
        <w:rPr>
          <w:rFonts w:cs="Times New Roman"/>
          <w:noProof/>
          <w:lang w:val="fr-CA"/>
        </w:rPr>
        <w:t>un usage incompatible n</w:t>
      </w:r>
      <w:r>
        <w:rPr>
          <w:rFonts w:cs="Times New Roman"/>
          <w:noProof/>
          <w:lang w:val="fr-CA"/>
        </w:rPr>
        <w:t>’</w:t>
      </w:r>
      <w:r w:rsidRPr="009078C7">
        <w:rPr>
          <w:rFonts w:cs="Times New Roman"/>
          <w:noProof/>
          <w:lang w:val="fr-CA"/>
        </w:rPr>
        <w:t xml:space="preserve">est plus exigée en Angleterre, </w:t>
      </w:r>
      <w:r w:rsidR="007A4705">
        <w:rPr>
          <w:rFonts w:cs="Times New Roman"/>
          <w:noProof/>
          <w:lang w:val="fr-CA"/>
        </w:rPr>
        <w:t xml:space="preserve">le </w:t>
      </w:r>
      <w:r w:rsidRPr="009078C7">
        <w:rPr>
          <w:rFonts w:cs="Times New Roman"/>
          <w:noProof/>
          <w:lang w:val="fr-CA"/>
        </w:rPr>
        <w:t>lord Browne</w:t>
      </w:r>
      <w:r>
        <w:rPr>
          <w:rFonts w:cs="Times New Roman"/>
          <w:noProof/>
          <w:lang w:val="fr-CA"/>
        </w:rPr>
        <w:noBreakHyphen/>
      </w:r>
      <w:r w:rsidRPr="009078C7">
        <w:rPr>
          <w:rFonts w:cs="Times New Roman"/>
          <w:noProof/>
          <w:lang w:val="fr-CA"/>
        </w:rPr>
        <w:t>Wilkinson l</w:t>
      </w:r>
      <w:r>
        <w:rPr>
          <w:rFonts w:cs="Times New Roman"/>
          <w:noProof/>
          <w:lang w:val="fr-CA"/>
        </w:rPr>
        <w:t>’</w:t>
      </w:r>
      <w:r w:rsidRPr="009078C7">
        <w:rPr>
          <w:rFonts w:cs="Times New Roman"/>
          <w:noProof/>
          <w:lang w:val="fr-CA"/>
        </w:rPr>
        <w:t>ayant qualifié d</w:t>
      </w:r>
      <w:r>
        <w:rPr>
          <w:rFonts w:cs="Times New Roman"/>
          <w:noProof/>
          <w:lang w:val="fr-CA"/>
        </w:rPr>
        <w:t>’</w:t>
      </w:r>
      <w:r w:rsidRPr="009078C7">
        <w:rPr>
          <w:rFonts w:cs="Times New Roman"/>
          <w:noProof/>
          <w:lang w:val="fr-CA"/>
        </w:rPr>
        <w:t>exigence [</w:t>
      </w:r>
      <w:r w:rsidRPr="009078C7">
        <w:rPr>
          <w:rFonts w:cs="Times New Roman"/>
          <w:smallCaps/>
          <w:noProof/>
          <w:lang w:val="fr-CA"/>
        </w:rPr>
        <w:t>traduction</w:t>
      </w:r>
      <w:r w:rsidRPr="009078C7">
        <w:rPr>
          <w:rFonts w:cs="Times New Roman"/>
          <w:noProof/>
          <w:lang w:val="fr-CA"/>
        </w:rPr>
        <w:t xml:space="preserve">] « hérétique et erronée » dans sa décision </w:t>
      </w:r>
      <w:r w:rsidRPr="009078C7">
        <w:rPr>
          <w:rFonts w:cs="Times New Roman"/>
          <w:i/>
          <w:noProof/>
          <w:lang w:val="fr-CA"/>
        </w:rPr>
        <w:t>J. A. Pye (Oxford) Ltd. c. Graham</w:t>
      </w:r>
      <w:r w:rsidRPr="009078C7">
        <w:rPr>
          <w:rFonts w:cs="Times New Roman"/>
          <w:noProof/>
          <w:lang w:val="fr-CA"/>
        </w:rPr>
        <w:t xml:space="preserve">, [2002] UKHL 30, [2003] 1 A.C. 419, </w:t>
      </w:r>
      <w:r>
        <w:rPr>
          <w:rFonts w:cs="Times New Roman"/>
          <w:noProof/>
          <w:lang w:val="fr-CA"/>
        </w:rPr>
        <w:t>par. </w:t>
      </w:r>
      <w:r w:rsidRPr="009078C7">
        <w:rPr>
          <w:rFonts w:cs="Times New Roman"/>
          <w:noProof/>
          <w:lang w:val="fr-CA"/>
        </w:rPr>
        <w:t>45.</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À mon avis, la question que la Cour doit trancher n</w:t>
      </w:r>
      <w:r>
        <w:rPr>
          <w:rFonts w:cs="Times New Roman"/>
          <w:noProof/>
          <w:lang w:val="fr-CA"/>
        </w:rPr>
        <w:t>’</w:t>
      </w:r>
      <w:r w:rsidRPr="009078C7">
        <w:rPr>
          <w:rFonts w:cs="Times New Roman"/>
          <w:noProof/>
          <w:lang w:val="fr-CA"/>
        </w:rPr>
        <w:t>est pas celle de savoir si l</w:t>
      </w:r>
      <w:r>
        <w:rPr>
          <w:rFonts w:cs="Times New Roman"/>
          <w:noProof/>
          <w:lang w:val="fr-CA"/>
        </w:rPr>
        <w:t>’</w:t>
      </w:r>
      <w:r w:rsidRPr="009078C7">
        <w:rPr>
          <w:rFonts w:cs="Times New Roman"/>
          <w:noProof/>
          <w:lang w:val="fr-CA"/>
        </w:rPr>
        <w:t>exigence de l</w:t>
      </w:r>
      <w:r>
        <w:rPr>
          <w:rFonts w:cs="Times New Roman"/>
          <w:noProof/>
          <w:lang w:val="fr-CA"/>
        </w:rPr>
        <w:t>’</w:t>
      </w:r>
      <w:r w:rsidRPr="009078C7">
        <w:rPr>
          <w:rFonts w:cs="Times New Roman"/>
          <w:noProof/>
          <w:lang w:val="fr-CA"/>
        </w:rPr>
        <w:t>usage incompatible est nécessaire ou souhaitable; nous n</w:t>
      </w:r>
      <w:r>
        <w:rPr>
          <w:rFonts w:cs="Times New Roman"/>
          <w:noProof/>
          <w:lang w:val="fr-CA"/>
        </w:rPr>
        <w:t>’</w:t>
      </w:r>
      <w:r w:rsidRPr="009078C7">
        <w:rPr>
          <w:rFonts w:cs="Times New Roman"/>
          <w:noProof/>
          <w:lang w:val="fr-CA"/>
        </w:rPr>
        <w:t>avons été saisis d</w:t>
      </w:r>
      <w:r>
        <w:rPr>
          <w:rFonts w:cs="Times New Roman"/>
          <w:noProof/>
          <w:lang w:val="fr-CA"/>
        </w:rPr>
        <w:t>’</w:t>
      </w:r>
      <w:r w:rsidRPr="009078C7">
        <w:rPr>
          <w:rFonts w:cs="Times New Roman"/>
          <w:noProof/>
          <w:lang w:val="fr-CA"/>
        </w:rPr>
        <w:t>aucune observation portant, par exemple, sur la question de savoir si cette exigence devrait continuer à s</w:t>
      </w:r>
      <w:r>
        <w:rPr>
          <w:rFonts w:cs="Times New Roman"/>
          <w:noProof/>
          <w:lang w:val="fr-CA"/>
        </w:rPr>
        <w:t>’</w:t>
      </w:r>
      <w:r w:rsidRPr="009078C7">
        <w:rPr>
          <w:rFonts w:cs="Times New Roman"/>
          <w:noProof/>
          <w:lang w:val="fr-CA"/>
        </w:rPr>
        <w:t>appliquer aux revendications fondées sur la possession adversative en Ontario. La question que nous devons trancher est plutôt celle de savoir si cette exigence fait partie du droit de la Colombie</w:t>
      </w:r>
      <w:r>
        <w:rPr>
          <w:rFonts w:cs="Times New Roman"/>
          <w:noProof/>
          <w:lang w:val="fr-CA"/>
        </w:rPr>
        <w:noBreakHyphen/>
      </w:r>
      <w:r w:rsidRPr="009078C7">
        <w:rPr>
          <w:rFonts w:cs="Times New Roman"/>
          <w:noProof/>
          <w:lang w:val="fr-CA"/>
        </w:rPr>
        <w:t>Britannique et aurait donc dû être appliquée par les tribunaux d</w:t>
      </w:r>
      <w:r>
        <w:rPr>
          <w:rFonts w:cs="Times New Roman"/>
          <w:noProof/>
          <w:lang w:val="fr-CA"/>
        </w:rPr>
        <w:t>’</w:t>
      </w:r>
      <w:r w:rsidRPr="009078C7">
        <w:rPr>
          <w:rFonts w:cs="Times New Roman"/>
          <w:noProof/>
          <w:lang w:val="fr-CA"/>
        </w:rPr>
        <w:t>instances inférieures. J</w:t>
      </w:r>
      <w:r>
        <w:rPr>
          <w:rFonts w:cs="Times New Roman"/>
          <w:noProof/>
          <w:lang w:val="fr-CA"/>
        </w:rPr>
        <w:t>’</w:t>
      </w:r>
      <w:r w:rsidRPr="009078C7">
        <w:rPr>
          <w:rFonts w:cs="Times New Roman"/>
          <w:noProof/>
          <w:lang w:val="fr-CA"/>
        </w:rPr>
        <w:t xml:space="preserve">estime que la ville ne peut pas en </w:t>
      </w:r>
      <w:r w:rsidRPr="009078C7">
        <w:rPr>
          <w:rFonts w:cs="Times New Roman"/>
          <w:noProof/>
          <w:lang w:val="fr-CA"/>
        </w:rPr>
        <w:lastRenderedPageBreak/>
        <w:t>faire la démonstration.</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Comme</w:t>
      </w:r>
      <w:r w:rsidR="007A4705">
        <w:rPr>
          <w:rFonts w:cs="Times New Roman"/>
          <w:noProof/>
          <w:lang w:val="fr-CA"/>
        </w:rPr>
        <w:t xml:space="preserve"> le</w:t>
      </w:r>
      <w:r w:rsidRPr="009078C7">
        <w:rPr>
          <w:rFonts w:cs="Times New Roman"/>
          <w:noProof/>
          <w:lang w:val="fr-CA"/>
        </w:rPr>
        <w:t xml:space="preserve"> lord Browne</w:t>
      </w:r>
      <w:r>
        <w:rPr>
          <w:rFonts w:cs="Times New Roman"/>
          <w:noProof/>
          <w:lang w:val="fr-CA"/>
        </w:rPr>
        <w:noBreakHyphen/>
      </w:r>
      <w:r w:rsidRPr="009078C7">
        <w:rPr>
          <w:rFonts w:cs="Times New Roman"/>
          <w:noProof/>
          <w:lang w:val="fr-CA"/>
        </w:rPr>
        <w:t>Wilkinson l</w:t>
      </w:r>
      <w:r>
        <w:rPr>
          <w:rFonts w:cs="Times New Roman"/>
          <w:noProof/>
          <w:lang w:val="fr-CA"/>
        </w:rPr>
        <w:t>’</w:t>
      </w:r>
      <w:r w:rsidRPr="009078C7">
        <w:rPr>
          <w:rFonts w:cs="Times New Roman"/>
          <w:noProof/>
          <w:lang w:val="fr-CA"/>
        </w:rPr>
        <w:t xml:space="preserve">a fait remarquer dans </w:t>
      </w:r>
      <w:r w:rsidRPr="009078C7">
        <w:rPr>
          <w:rFonts w:cs="Times New Roman"/>
          <w:i/>
          <w:noProof/>
          <w:lang w:val="fr-CA"/>
        </w:rPr>
        <w:t>J. A. Pye</w:t>
      </w:r>
      <w:r w:rsidRPr="009078C7">
        <w:rPr>
          <w:rFonts w:cs="Times New Roman"/>
          <w:noProof/>
          <w:lang w:val="fr-CA"/>
        </w:rPr>
        <w:t>, l</w:t>
      </w:r>
      <w:r>
        <w:rPr>
          <w:rFonts w:cs="Times New Roman"/>
          <w:noProof/>
          <w:lang w:val="fr-CA"/>
        </w:rPr>
        <w:t>’</w:t>
      </w:r>
      <w:r w:rsidRPr="009078C7">
        <w:rPr>
          <w:rFonts w:cs="Times New Roman"/>
          <w:noProof/>
          <w:lang w:val="fr-CA"/>
        </w:rPr>
        <w:t>exigence de l</w:t>
      </w:r>
      <w:r>
        <w:rPr>
          <w:rFonts w:cs="Times New Roman"/>
          <w:noProof/>
          <w:lang w:val="fr-CA"/>
        </w:rPr>
        <w:t>’</w:t>
      </w:r>
      <w:r w:rsidRPr="009078C7">
        <w:rPr>
          <w:rFonts w:cs="Times New Roman"/>
          <w:noProof/>
          <w:lang w:val="fr-CA"/>
        </w:rPr>
        <w:t xml:space="preserve">usage incompatible énoncée dans </w:t>
      </w:r>
      <w:r w:rsidRPr="009078C7">
        <w:rPr>
          <w:rFonts w:cs="Times New Roman"/>
          <w:i/>
          <w:noProof/>
          <w:lang w:val="fr-CA"/>
        </w:rPr>
        <w:t>Leigh</w:t>
      </w:r>
      <w:r w:rsidRPr="009078C7">
        <w:rPr>
          <w:rFonts w:cs="Times New Roman"/>
          <w:noProof/>
          <w:lang w:val="fr-CA"/>
        </w:rPr>
        <w:t xml:space="preserve"> a semblé redonner vie à la doctrine de la possession adversative applicable avant 1833 selon laquelle [</w:t>
      </w:r>
      <w:r w:rsidRPr="009078C7">
        <w:rPr>
          <w:rFonts w:cs="Times New Roman"/>
          <w:smallCaps/>
          <w:noProof/>
          <w:lang w:val="fr-CA"/>
        </w:rPr>
        <w:t>traduction</w:t>
      </w:r>
      <w:r w:rsidRPr="009078C7">
        <w:rPr>
          <w:rFonts w:cs="Times New Roman"/>
          <w:noProof/>
          <w:lang w:val="fr-CA"/>
        </w:rPr>
        <w:t>] « les droits du propriétaire inscrit ne lui étaient pas retirés à moins d</w:t>
      </w:r>
      <w:r>
        <w:rPr>
          <w:rFonts w:cs="Times New Roman"/>
          <w:noProof/>
          <w:lang w:val="fr-CA"/>
        </w:rPr>
        <w:t>’</w:t>
      </w:r>
      <w:r w:rsidRPr="009078C7">
        <w:rPr>
          <w:rFonts w:cs="Times New Roman"/>
          <w:noProof/>
          <w:lang w:val="fr-CA"/>
        </w:rPr>
        <w:t xml:space="preserve">une </w:t>
      </w:r>
      <w:r w:rsidR="007A4705">
        <w:rPr>
          <w:rFonts w:cs="Times New Roman"/>
          <w:noProof/>
          <w:lang w:val="fr-CA"/>
        </w:rPr>
        <w:t>“</w:t>
      </w:r>
      <w:r w:rsidRPr="009078C7">
        <w:rPr>
          <w:rFonts w:cs="Times New Roman"/>
          <w:noProof/>
          <w:lang w:val="fr-CA"/>
        </w:rPr>
        <w:t>déssaisine</w:t>
      </w:r>
      <w:r w:rsidR="007A4705">
        <w:rPr>
          <w:rFonts w:cs="Times New Roman"/>
          <w:noProof/>
          <w:lang w:val="fr-CA"/>
        </w:rPr>
        <w:t>”</w:t>
      </w:r>
      <w:r w:rsidRPr="009078C7">
        <w:rPr>
          <w:rFonts w:cs="Times New Roman"/>
          <w:noProof/>
          <w:lang w:val="fr-CA"/>
        </w:rPr>
        <w:t xml:space="preserve"> ou d</w:t>
      </w:r>
      <w:r>
        <w:rPr>
          <w:rFonts w:cs="Times New Roman"/>
          <w:noProof/>
          <w:lang w:val="fr-CA"/>
        </w:rPr>
        <w:t>’</w:t>
      </w:r>
      <w:r w:rsidRPr="009078C7">
        <w:rPr>
          <w:rFonts w:cs="Times New Roman"/>
          <w:noProof/>
          <w:lang w:val="fr-CA"/>
        </w:rPr>
        <w:t>une privation de possession et d</w:t>
      </w:r>
      <w:r>
        <w:rPr>
          <w:rFonts w:cs="Times New Roman"/>
          <w:noProof/>
          <w:lang w:val="fr-CA"/>
        </w:rPr>
        <w:t>’</w:t>
      </w:r>
      <w:r w:rsidRPr="009078C7">
        <w:rPr>
          <w:rFonts w:cs="Times New Roman"/>
          <w:noProof/>
          <w:lang w:val="fr-CA"/>
        </w:rPr>
        <w:t>un usage du bien</w:t>
      </w:r>
      <w:r>
        <w:rPr>
          <w:rFonts w:cs="Times New Roman"/>
          <w:noProof/>
          <w:lang w:val="fr-CA"/>
        </w:rPr>
        <w:noBreakHyphen/>
      </w:r>
      <w:r w:rsidRPr="009078C7">
        <w:rPr>
          <w:rFonts w:cs="Times New Roman"/>
          <w:noProof/>
          <w:lang w:val="fr-CA"/>
        </w:rPr>
        <w:t>fonds par l</w:t>
      </w:r>
      <w:r>
        <w:rPr>
          <w:rFonts w:cs="Times New Roman"/>
          <w:noProof/>
          <w:lang w:val="fr-CA"/>
        </w:rPr>
        <w:t>’</w:t>
      </w:r>
      <w:r w:rsidRPr="009078C7">
        <w:rPr>
          <w:rFonts w:cs="Times New Roman"/>
          <w:noProof/>
          <w:lang w:val="fr-CA"/>
        </w:rPr>
        <w:t>usurpateur qui soit manifestement incompatible avec le titre foncier »</w:t>
      </w:r>
      <w:r>
        <w:rPr>
          <w:rFonts w:cs="Times New Roman"/>
          <w:noProof/>
          <w:lang w:val="fr-CA"/>
        </w:rPr>
        <w:t> :</w:t>
      </w:r>
      <w:r w:rsidRPr="009078C7">
        <w:rPr>
          <w:rFonts w:cs="Times New Roman"/>
          <w:noProof/>
          <w:lang w:val="fr-CA"/>
        </w:rPr>
        <w:t xml:space="preserve"> </w:t>
      </w:r>
      <w:r>
        <w:rPr>
          <w:rFonts w:cs="Times New Roman"/>
          <w:noProof/>
          <w:lang w:val="fr-CA"/>
        </w:rPr>
        <w:t>par. </w:t>
      </w:r>
      <w:r w:rsidRPr="009078C7">
        <w:rPr>
          <w:rFonts w:cs="Times New Roman"/>
          <w:noProof/>
          <w:lang w:val="fr-CA"/>
        </w:rPr>
        <w:t xml:space="preserve">33. Or, cet ancien concept de possession adversative avait été écarté en Angleterre par la </w:t>
      </w:r>
      <w:r w:rsidRPr="009078C7">
        <w:rPr>
          <w:rFonts w:cs="Times New Roman"/>
          <w:i/>
          <w:noProof/>
          <w:lang w:val="fr-CA"/>
        </w:rPr>
        <w:t>Real Property Limitation Act, 1833</w:t>
      </w:r>
      <w:r w:rsidRPr="009078C7">
        <w:rPr>
          <w:rFonts w:cs="Times New Roman"/>
          <w:noProof/>
          <w:lang w:val="fr-CA"/>
        </w:rPr>
        <w:t>, selon laquelle [</w:t>
      </w:r>
      <w:r w:rsidRPr="009078C7">
        <w:rPr>
          <w:rFonts w:cs="Times New Roman"/>
          <w:smallCaps/>
          <w:noProof/>
          <w:lang w:val="fr-CA"/>
        </w:rPr>
        <w:t>traduction</w:t>
      </w:r>
      <w:r w:rsidRPr="009078C7">
        <w:rPr>
          <w:rFonts w:cs="Times New Roman"/>
          <w:noProof/>
          <w:lang w:val="fr-CA"/>
        </w:rPr>
        <w:t>] « la seule question est celle de savoir si l</w:t>
      </w:r>
      <w:r>
        <w:rPr>
          <w:rFonts w:cs="Times New Roman"/>
          <w:noProof/>
          <w:lang w:val="fr-CA"/>
        </w:rPr>
        <w:t>’</w:t>
      </w:r>
      <w:r w:rsidRPr="009078C7">
        <w:rPr>
          <w:rFonts w:cs="Times New Roman"/>
          <w:noProof/>
          <w:lang w:val="fr-CA"/>
        </w:rPr>
        <w:t>occupant a été en possession du bien</w:t>
      </w:r>
      <w:r>
        <w:rPr>
          <w:rFonts w:cs="Times New Roman"/>
          <w:noProof/>
          <w:lang w:val="fr-CA"/>
        </w:rPr>
        <w:noBreakHyphen/>
      </w:r>
      <w:r w:rsidRPr="009078C7">
        <w:rPr>
          <w:rFonts w:cs="Times New Roman"/>
          <w:noProof/>
          <w:lang w:val="fr-CA"/>
        </w:rPr>
        <w:t>fonds au sens ordinaire du terme [durant la période de prescription] »</w:t>
      </w:r>
      <w:r>
        <w:rPr>
          <w:rFonts w:cs="Times New Roman"/>
          <w:noProof/>
          <w:lang w:val="fr-CA"/>
        </w:rPr>
        <w:t> :</w:t>
      </w:r>
      <w:r w:rsidRPr="009078C7">
        <w:rPr>
          <w:rFonts w:cs="Times New Roman"/>
          <w:noProof/>
          <w:lang w:val="fr-CA"/>
        </w:rPr>
        <w:t xml:space="preserve"> </w:t>
      </w:r>
      <w:r>
        <w:rPr>
          <w:rFonts w:cs="Times New Roman"/>
          <w:noProof/>
          <w:lang w:val="fr-CA"/>
        </w:rPr>
        <w:t>par. </w:t>
      </w:r>
      <w:r w:rsidRPr="009078C7">
        <w:rPr>
          <w:rFonts w:cs="Times New Roman"/>
          <w:noProof/>
          <w:lang w:val="fr-CA"/>
        </w:rPr>
        <w:t>35. Ainsi, l</w:t>
      </w:r>
      <w:r>
        <w:rPr>
          <w:rFonts w:cs="Times New Roman"/>
          <w:noProof/>
          <w:lang w:val="fr-CA"/>
        </w:rPr>
        <w:t>’</w:t>
      </w:r>
      <w:r w:rsidRPr="009078C7">
        <w:rPr>
          <w:rFonts w:cs="Times New Roman"/>
          <w:noProof/>
          <w:lang w:val="fr-CA"/>
        </w:rPr>
        <w:t>exigence de la preuve d</w:t>
      </w:r>
      <w:r>
        <w:rPr>
          <w:rFonts w:cs="Times New Roman"/>
          <w:noProof/>
          <w:lang w:val="fr-CA"/>
        </w:rPr>
        <w:t>’</w:t>
      </w:r>
      <w:r w:rsidRPr="009078C7">
        <w:rPr>
          <w:rFonts w:cs="Times New Roman"/>
          <w:noProof/>
          <w:lang w:val="fr-CA"/>
        </w:rPr>
        <w:t>un usage incompatible — que ne comprenait pas le droit anglais à la date de sa réception en Colombie</w:t>
      </w:r>
      <w:r>
        <w:rPr>
          <w:rFonts w:cs="Times New Roman"/>
          <w:noProof/>
          <w:lang w:val="fr-CA"/>
        </w:rPr>
        <w:noBreakHyphen/>
      </w:r>
      <w:r w:rsidRPr="009078C7">
        <w:rPr>
          <w:rFonts w:cs="Times New Roman"/>
          <w:noProof/>
          <w:lang w:val="fr-CA"/>
        </w:rPr>
        <w:t>Britannique — n</w:t>
      </w:r>
      <w:r>
        <w:rPr>
          <w:rFonts w:cs="Times New Roman"/>
          <w:noProof/>
          <w:lang w:val="fr-CA"/>
        </w:rPr>
        <w:t>’</w:t>
      </w:r>
      <w:r w:rsidRPr="009078C7">
        <w:rPr>
          <w:rFonts w:cs="Times New Roman"/>
          <w:noProof/>
          <w:lang w:val="fr-CA"/>
        </w:rPr>
        <w:t>a jamais eu à être satisfaite pour prouver la dépossession sous le régime des lois subséquentes de la Colombie</w:t>
      </w:r>
      <w:r>
        <w:rPr>
          <w:rFonts w:cs="Times New Roman"/>
          <w:noProof/>
          <w:lang w:val="fr-CA"/>
        </w:rPr>
        <w:noBreakHyphen/>
      </w:r>
      <w:r w:rsidRPr="009078C7">
        <w:rPr>
          <w:rFonts w:cs="Times New Roman"/>
          <w:noProof/>
          <w:lang w:val="fr-CA"/>
        </w:rPr>
        <w:t>Britannique relatives à la prescription qui reprenaient, pour l</w:t>
      </w:r>
      <w:r>
        <w:rPr>
          <w:rFonts w:cs="Times New Roman"/>
          <w:noProof/>
          <w:lang w:val="fr-CA"/>
        </w:rPr>
        <w:t>’</w:t>
      </w:r>
      <w:r w:rsidRPr="009078C7">
        <w:rPr>
          <w:rFonts w:cs="Times New Roman"/>
          <w:noProof/>
          <w:lang w:val="fr-CA"/>
        </w:rPr>
        <w:t>essentiel, les règles du droit anglais de 1833.</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L</w:t>
      </w:r>
      <w:r>
        <w:rPr>
          <w:rFonts w:cs="Times New Roman"/>
          <w:noProof/>
          <w:lang w:val="fr-CA"/>
        </w:rPr>
        <w:t>’</w:t>
      </w:r>
      <w:r w:rsidRPr="009078C7">
        <w:rPr>
          <w:rFonts w:cs="Times New Roman"/>
          <w:noProof/>
          <w:lang w:val="fr-CA"/>
        </w:rPr>
        <w:t>exigence d</w:t>
      </w:r>
      <w:r>
        <w:rPr>
          <w:rFonts w:cs="Times New Roman"/>
          <w:noProof/>
          <w:lang w:val="fr-CA"/>
        </w:rPr>
        <w:t>’</w:t>
      </w:r>
      <w:r w:rsidRPr="009078C7">
        <w:rPr>
          <w:rFonts w:cs="Times New Roman"/>
          <w:noProof/>
          <w:lang w:val="fr-CA"/>
        </w:rPr>
        <w:t>un usage incompatible n</w:t>
      </w:r>
      <w:r>
        <w:rPr>
          <w:rFonts w:cs="Times New Roman"/>
          <w:noProof/>
          <w:lang w:val="fr-CA"/>
        </w:rPr>
        <w:t>’</w:t>
      </w:r>
      <w:r w:rsidRPr="009078C7">
        <w:rPr>
          <w:rFonts w:cs="Times New Roman"/>
          <w:noProof/>
          <w:lang w:val="fr-CA"/>
        </w:rPr>
        <w:t>a pas non plus été importée en Colombie</w:t>
      </w:r>
      <w:r>
        <w:rPr>
          <w:rFonts w:cs="Times New Roman"/>
          <w:noProof/>
          <w:lang w:val="fr-CA"/>
        </w:rPr>
        <w:noBreakHyphen/>
      </w:r>
      <w:r w:rsidRPr="009078C7">
        <w:rPr>
          <w:rFonts w:cs="Times New Roman"/>
          <w:noProof/>
          <w:lang w:val="fr-CA"/>
        </w:rPr>
        <w:t>Britannique par les tribunaux. Dans son analyse approfondie de cette question, la Cour d</w:t>
      </w:r>
      <w:r>
        <w:rPr>
          <w:rFonts w:cs="Times New Roman"/>
          <w:noProof/>
          <w:lang w:val="fr-CA"/>
        </w:rPr>
        <w:t>’</w:t>
      </w:r>
      <w:r w:rsidRPr="009078C7">
        <w:rPr>
          <w:rFonts w:cs="Times New Roman"/>
          <w:noProof/>
          <w:lang w:val="fr-CA"/>
        </w:rPr>
        <w:t>appel n</w:t>
      </w:r>
      <w:r>
        <w:rPr>
          <w:rFonts w:cs="Times New Roman"/>
          <w:noProof/>
          <w:lang w:val="fr-CA"/>
        </w:rPr>
        <w:t>’</w:t>
      </w:r>
      <w:r w:rsidRPr="009078C7">
        <w:rPr>
          <w:rFonts w:cs="Times New Roman"/>
          <w:noProof/>
          <w:lang w:val="fr-CA"/>
        </w:rPr>
        <w:t>a nullement donné à entendre que les tribunaux de cette juridiction avaient adopté cette exigence, et la ville ne prétend pas le contraire. Cependant, cette dernière invoque deux décisions de la Cour dans lesquelles [</w:t>
      </w:r>
      <w:r w:rsidRPr="009078C7">
        <w:rPr>
          <w:rFonts w:cs="Times New Roman"/>
          <w:smallCaps/>
          <w:noProof/>
          <w:lang w:val="fr-CA"/>
        </w:rPr>
        <w:t>traduction</w:t>
      </w:r>
      <w:r w:rsidRPr="009078C7">
        <w:rPr>
          <w:rFonts w:cs="Times New Roman"/>
          <w:noProof/>
          <w:lang w:val="fr-CA"/>
        </w:rPr>
        <w:t>] « transparaît » l</w:t>
      </w:r>
      <w:r>
        <w:rPr>
          <w:rFonts w:cs="Times New Roman"/>
          <w:noProof/>
          <w:lang w:val="fr-CA"/>
        </w:rPr>
        <w:t>’</w:t>
      </w:r>
      <w:r w:rsidRPr="009078C7">
        <w:rPr>
          <w:rFonts w:cs="Times New Roman"/>
          <w:noProof/>
          <w:lang w:val="fr-CA"/>
        </w:rPr>
        <w:t>exigence de l</w:t>
      </w:r>
      <w:r>
        <w:rPr>
          <w:rFonts w:cs="Times New Roman"/>
          <w:noProof/>
          <w:lang w:val="fr-CA"/>
        </w:rPr>
        <w:t>’</w:t>
      </w:r>
      <w:r w:rsidRPr="009078C7">
        <w:rPr>
          <w:rFonts w:cs="Times New Roman"/>
          <w:noProof/>
          <w:lang w:val="fr-CA"/>
        </w:rPr>
        <w:t>usage incompatible</w:t>
      </w:r>
      <w:r>
        <w:rPr>
          <w:rFonts w:cs="Times New Roman"/>
          <w:noProof/>
          <w:lang w:val="fr-CA"/>
        </w:rPr>
        <w:t> :</w:t>
      </w:r>
      <w:r w:rsidRPr="009078C7">
        <w:rPr>
          <w:rFonts w:cs="Times New Roman"/>
          <w:noProof/>
          <w:lang w:val="fr-CA"/>
        </w:rPr>
        <w:t xml:space="preserve"> </w:t>
      </w:r>
      <w:r w:rsidRPr="009078C7">
        <w:rPr>
          <w:rFonts w:cs="Times New Roman"/>
          <w:i/>
          <w:noProof/>
          <w:lang w:val="fr-CA"/>
        </w:rPr>
        <w:t xml:space="preserve">Dominion Atlantic </w:t>
      </w:r>
      <w:r w:rsidRPr="009078C7">
        <w:rPr>
          <w:rFonts w:cs="Times New Roman"/>
          <w:i/>
          <w:noProof/>
          <w:lang w:val="fr-CA"/>
        </w:rPr>
        <w:lastRenderedPageBreak/>
        <w:t>Railway Co. c. Halifax and South Western Railway Co.</w:t>
      </w:r>
      <w:r w:rsidRPr="009078C7">
        <w:rPr>
          <w:rFonts w:cs="Times New Roman"/>
          <w:noProof/>
          <w:lang w:val="fr-CA"/>
        </w:rPr>
        <w:t>,</w:t>
      </w:r>
      <w:r w:rsidRPr="009078C7">
        <w:rPr>
          <w:rFonts w:cs="Times New Roman"/>
          <w:i/>
          <w:noProof/>
          <w:lang w:val="fr-CA"/>
        </w:rPr>
        <w:t xml:space="preserve"> </w:t>
      </w:r>
      <w:r w:rsidRPr="009078C7">
        <w:rPr>
          <w:rFonts w:cs="Times New Roman"/>
          <w:noProof/>
          <w:lang w:val="fr-CA"/>
        </w:rPr>
        <w:t>[1947] R.C.S</w:t>
      </w:r>
      <w:r w:rsidRPr="009078C7">
        <w:rPr>
          <w:rFonts w:cs="Times New Roman"/>
          <w:i/>
          <w:noProof/>
          <w:lang w:val="fr-CA"/>
        </w:rPr>
        <w:t>.</w:t>
      </w:r>
      <w:r w:rsidRPr="009078C7">
        <w:rPr>
          <w:rFonts w:cs="Times New Roman"/>
          <w:noProof/>
          <w:lang w:val="fr-CA"/>
        </w:rPr>
        <w:t xml:space="preserve"> 107, et </w:t>
      </w:r>
      <w:r w:rsidRPr="009078C7">
        <w:rPr>
          <w:rFonts w:cs="Times New Roman"/>
          <w:i/>
          <w:noProof/>
          <w:lang w:val="fr-CA"/>
        </w:rPr>
        <w:t>Ocean Harvesters Ltd. c. Quinlan Brothers Ltd.</w:t>
      </w:r>
      <w:r w:rsidRPr="009078C7">
        <w:rPr>
          <w:rFonts w:cs="Times New Roman"/>
          <w:noProof/>
          <w:lang w:val="fr-CA"/>
        </w:rPr>
        <w:t>,</w:t>
      </w:r>
      <w:r w:rsidRPr="009078C7">
        <w:rPr>
          <w:rFonts w:cs="Times New Roman"/>
          <w:i/>
          <w:noProof/>
          <w:lang w:val="fr-CA"/>
        </w:rPr>
        <w:t xml:space="preserve"> </w:t>
      </w:r>
      <w:r w:rsidRPr="009078C7">
        <w:rPr>
          <w:rFonts w:cs="Times New Roman"/>
          <w:noProof/>
          <w:lang w:val="fr-CA"/>
        </w:rPr>
        <w:t xml:space="preserve">[1975] 1 R.C.S. 684. </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L</w:t>
      </w:r>
      <w:r>
        <w:rPr>
          <w:rFonts w:cs="Times New Roman"/>
          <w:noProof/>
          <w:lang w:val="fr-CA"/>
        </w:rPr>
        <w:t>’</w:t>
      </w:r>
      <w:r w:rsidRPr="009078C7">
        <w:rPr>
          <w:rFonts w:cs="Times New Roman"/>
          <w:noProof/>
          <w:lang w:val="fr-CA"/>
        </w:rPr>
        <w:t xml:space="preserve">arrêt </w:t>
      </w:r>
      <w:r w:rsidRPr="009078C7">
        <w:rPr>
          <w:rFonts w:cs="Times New Roman"/>
          <w:i/>
          <w:noProof/>
          <w:lang w:val="fr-CA"/>
        </w:rPr>
        <w:t xml:space="preserve">Dominion Atlantic </w:t>
      </w:r>
      <w:r w:rsidRPr="009078C7">
        <w:rPr>
          <w:rFonts w:cs="Times New Roman"/>
          <w:noProof/>
          <w:lang w:val="fr-CA"/>
        </w:rPr>
        <w:t>concernait un différend opposant le « véritable propriétaire » de certains biens</w:t>
      </w:r>
      <w:r>
        <w:rPr>
          <w:rFonts w:cs="Times New Roman"/>
          <w:noProof/>
          <w:lang w:val="fr-CA"/>
        </w:rPr>
        <w:noBreakHyphen/>
      </w:r>
      <w:r w:rsidRPr="009078C7">
        <w:rPr>
          <w:rFonts w:cs="Times New Roman"/>
          <w:noProof/>
          <w:lang w:val="fr-CA"/>
        </w:rPr>
        <w:t>fonds et un locataire qui avait continué à en faire usage après l</w:t>
      </w:r>
      <w:r>
        <w:rPr>
          <w:rFonts w:cs="Times New Roman"/>
          <w:noProof/>
          <w:lang w:val="fr-CA"/>
        </w:rPr>
        <w:t>’</w:t>
      </w:r>
      <w:r w:rsidRPr="009078C7">
        <w:rPr>
          <w:rFonts w:cs="Times New Roman"/>
          <w:noProof/>
          <w:lang w:val="fr-CA"/>
        </w:rPr>
        <w:t>expiration du bail. Dans un bref jugement qu</w:t>
      </w:r>
      <w:r>
        <w:rPr>
          <w:rFonts w:cs="Times New Roman"/>
          <w:noProof/>
          <w:lang w:val="fr-CA"/>
        </w:rPr>
        <w:t>’</w:t>
      </w:r>
      <w:r w:rsidRPr="009078C7">
        <w:rPr>
          <w:rFonts w:cs="Times New Roman"/>
          <w:noProof/>
          <w:lang w:val="fr-CA"/>
        </w:rPr>
        <w:t>il a rédigé au nom de la Cour, le juge Kellock a certes mentionné deux tests différents pouvant s</w:t>
      </w:r>
      <w:r>
        <w:rPr>
          <w:rFonts w:cs="Times New Roman"/>
          <w:noProof/>
          <w:lang w:val="fr-CA"/>
        </w:rPr>
        <w:t>’</w:t>
      </w:r>
      <w:r w:rsidRPr="009078C7">
        <w:rPr>
          <w:rFonts w:cs="Times New Roman"/>
          <w:noProof/>
          <w:lang w:val="fr-CA"/>
        </w:rPr>
        <w:t>appliquer à la possession (</w:t>
      </w:r>
      <w:r>
        <w:rPr>
          <w:rFonts w:cs="Times New Roman"/>
          <w:noProof/>
          <w:lang w:val="fr-CA"/>
        </w:rPr>
        <w:t>p. </w:t>
      </w:r>
      <w:r w:rsidR="007A4705">
        <w:rPr>
          <w:rFonts w:cs="Times New Roman"/>
          <w:noProof/>
          <w:lang w:val="fr-CA"/>
        </w:rPr>
        <w:t>109-</w:t>
      </w:r>
      <w:r w:rsidRPr="009078C7">
        <w:rPr>
          <w:rFonts w:cs="Times New Roman"/>
          <w:noProof/>
          <w:lang w:val="fr-CA"/>
        </w:rPr>
        <w:t>110)</w:t>
      </w:r>
      <w:r>
        <w:rPr>
          <w:rFonts w:cs="Times New Roman"/>
          <w:noProof/>
          <w:lang w:val="fr-CA"/>
        </w:rPr>
        <w:t> :</w:t>
      </w:r>
      <w:r w:rsidRPr="009078C7">
        <w:rPr>
          <w:rFonts w:cs="Times New Roman"/>
          <w:noProof/>
          <w:lang w:val="fr-CA"/>
        </w:rPr>
        <w:t xml:space="preserve"> celui que</w:t>
      </w:r>
      <w:r w:rsidR="007A4705">
        <w:rPr>
          <w:rFonts w:cs="Times New Roman"/>
          <w:noProof/>
          <w:lang w:val="fr-CA"/>
        </w:rPr>
        <w:t xml:space="preserve"> le</w:t>
      </w:r>
      <w:r w:rsidRPr="009078C7">
        <w:rPr>
          <w:rFonts w:cs="Times New Roman"/>
          <w:noProof/>
          <w:lang w:val="fr-CA"/>
        </w:rPr>
        <w:t xml:space="preserve"> lord O</w:t>
      </w:r>
      <w:r>
        <w:rPr>
          <w:rFonts w:cs="Times New Roman"/>
          <w:noProof/>
          <w:lang w:val="fr-CA"/>
        </w:rPr>
        <w:t>’</w:t>
      </w:r>
      <w:r w:rsidRPr="009078C7">
        <w:rPr>
          <w:rFonts w:cs="Times New Roman"/>
          <w:noProof/>
          <w:lang w:val="fr-CA"/>
        </w:rPr>
        <w:t>Hagan a énoncé dans l</w:t>
      </w:r>
      <w:r>
        <w:rPr>
          <w:rFonts w:cs="Times New Roman"/>
          <w:noProof/>
          <w:lang w:val="fr-CA"/>
        </w:rPr>
        <w:t>’</w:t>
      </w:r>
      <w:r w:rsidRPr="009078C7">
        <w:rPr>
          <w:rFonts w:cs="Times New Roman"/>
          <w:noProof/>
          <w:lang w:val="fr-CA"/>
        </w:rPr>
        <w:t xml:space="preserve">arrêt </w:t>
      </w:r>
      <w:r w:rsidRPr="009078C7">
        <w:rPr>
          <w:rFonts w:cs="Times New Roman"/>
          <w:i/>
          <w:noProof/>
          <w:lang w:val="fr-CA"/>
        </w:rPr>
        <w:t>Lord Advocate c. Lord Lovat</w:t>
      </w:r>
      <w:r w:rsidRPr="009078C7">
        <w:rPr>
          <w:rFonts w:cs="Times New Roman"/>
          <w:noProof/>
          <w:lang w:val="fr-CA"/>
        </w:rPr>
        <w:t xml:space="preserve"> (1880), 5 A</w:t>
      </w:r>
      <w:r>
        <w:rPr>
          <w:rFonts w:cs="Times New Roman"/>
          <w:noProof/>
          <w:lang w:val="fr-CA"/>
        </w:rPr>
        <w:t>pp. </w:t>
      </w:r>
      <w:r w:rsidRPr="009078C7">
        <w:rPr>
          <w:rFonts w:cs="Times New Roman"/>
          <w:noProof/>
          <w:lang w:val="fr-CA"/>
        </w:rPr>
        <w:t xml:space="preserve">Cas. 273, </w:t>
      </w:r>
      <w:r>
        <w:rPr>
          <w:rFonts w:cs="Times New Roman"/>
          <w:noProof/>
          <w:lang w:val="fr-CA"/>
        </w:rPr>
        <w:t>p. </w:t>
      </w:r>
      <w:r w:rsidRPr="009078C7">
        <w:rPr>
          <w:rFonts w:cs="Times New Roman"/>
          <w:noProof/>
          <w:lang w:val="fr-CA"/>
        </w:rPr>
        <w:t>288, selon lequel la possession doit être examinée en fonction des circonstances particulières de chaque cas, et celui relatif à l</w:t>
      </w:r>
      <w:r>
        <w:rPr>
          <w:rFonts w:cs="Times New Roman"/>
          <w:noProof/>
          <w:lang w:val="fr-CA"/>
        </w:rPr>
        <w:t>’</w:t>
      </w:r>
      <w:r w:rsidRPr="009078C7">
        <w:rPr>
          <w:rFonts w:cs="Times New Roman"/>
          <w:noProof/>
          <w:lang w:val="fr-CA"/>
        </w:rPr>
        <w:t>exigence de l</w:t>
      </w:r>
      <w:r>
        <w:rPr>
          <w:rFonts w:cs="Times New Roman"/>
          <w:noProof/>
          <w:lang w:val="fr-CA"/>
        </w:rPr>
        <w:t>’</w:t>
      </w:r>
      <w:r w:rsidRPr="009078C7">
        <w:rPr>
          <w:rFonts w:cs="Times New Roman"/>
          <w:noProof/>
          <w:lang w:val="fr-CA"/>
        </w:rPr>
        <w:t xml:space="preserve">usage incompatible que </w:t>
      </w:r>
      <w:r w:rsidR="007A4705">
        <w:rPr>
          <w:rFonts w:cs="Times New Roman"/>
          <w:noProof/>
          <w:lang w:val="fr-CA"/>
        </w:rPr>
        <w:t xml:space="preserve">le </w:t>
      </w:r>
      <w:r w:rsidRPr="009078C7">
        <w:rPr>
          <w:rFonts w:cs="Times New Roman"/>
          <w:noProof/>
          <w:lang w:val="fr-CA"/>
        </w:rPr>
        <w:t>lord Bramwell a formulé dans l</w:t>
      </w:r>
      <w:r>
        <w:rPr>
          <w:rFonts w:cs="Times New Roman"/>
          <w:noProof/>
          <w:lang w:val="fr-CA"/>
        </w:rPr>
        <w:t>’</w:t>
      </w:r>
      <w:r w:rsidRPr="009078C7">
        <w:rPr>
          <w:rFonts w:cs="Times New Roman"/>
          <w:noProof/>
          <w:lang w:val="fr-CA"/>
        </w:rPr>
        <w:t xml:space="preserve">arrêt </w:t>
      </w:r>
      <w:r w:rsidRPr="009078C7">
        <w:rPr>
          <w:rFonts w:cs="Times New Roman"/>
          <w:i/>
          <w:noProof/>
          <w:lang w:val="fr-CA"/>
        </w:rPr>
        <w:t>Leigh</w:t>
      </w:r>
      <w:r w:rsidRPr="009078C7">
        <w:rPr>
          <w:rFonts w:cs="Times New Roman"/>
          <w:noProof/>
          <w:lang w:val="fr-CA"/>
        </w:rPr>
        <w:t>. Or, aucun des deux tests en question n</w:t>
      </w:r>
      <w:r>
        <w:rPr>
          <w:rFonts w:cs="Times New Roman"/>
          <w:noProof/>
          <w:lang w:val="fr-CA"/>
        </w:rPr>
        <w:t>’</w:t>
      </w:r>
      <w:r w:rsidRPr="009078C7">
        <w:rPr>
          <w:rFonts w:cs="Times New Roman"/>
          <w:noProof/>
          <w:lang w:val="fr-CA"/>
        </w:rPr>
        <w:t>a été approuvé ou appliqué, puisque la décision du juge Kellock a reposé sur la conclusion selon laquelle le locataire n</w:t>
      </w:r>
      <w:r>
        <w:rPr>
          <w:rFonts w:cs="Times New Roman"/>
          <w:noProof/>
          <w:lang w:val="fr-CA"/>
        </w:rPr>
        <w:t>’</w:t>
      </w:r>
      <w:r w:rsidRPr="009078C7">
        <w:rPr>
          <w:rFonts w:cs="Times New Roman"/>
          <w:noProof/>
          <w:lang w:val="fr-CA"/>
        </w:rPr>
        <w:t>avait pas conservé la possession exclusive (</w:t>
      </w:r>
      <w:r>
        <w:rPr>
          <w:rFonts w:cs="Times New Roman"/>
          <w:noProof/>
          <w:lang w:val="fr-CA"/>
        </w:rPr>
        <w:t>p. </w:t>
      </w:r>
      <w:r w:rsidRPr="009078C7">
        <w:rPr>
          <w:rFonts w:cs="Times New Roman"/>
          <w:noProof/>
          <w:lang w:val="fr-CA"/>
        </w:rPr>
        <w:t>110), ce qui devait entraîner le rejet de la revendication de possession adversative, quel qu</w:t>
      </w:r>
      <w:r>
        <w:rPr>
          <w:rFonts w:cs="Times New Roman"/>
          <w:noProof/>
          <w:lang w:val="fr-CA"/>
        </w:rPr>
        <w:t>’</w:t>
      </w:r>
      <w:r w:rsidRPr="009078C7">
        <w:rPr>
          <w:rFonts w:cs="Times New Roman"/>
          <w:noProof/>
          <w:lang w:val="fr-CA"/>
        </w:rPr>
        <w:t>ait été le test retenu.</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Dans l</w:t>
      </w:r>
      <w:r>
        <w:rPr>
          <w:rFonts w:cs="Times New Roman"/>
          <w:noProof/>
          <w:lang w:val="fr-CA"/>
        </w:rPr>
        <w:t>’</w:t>
      </w:r>
      <w:r w:rsidRPr="009078C7">
        <w:rPr>
          <w:rFonts w:cs="Times New Roman"/>
          <w:noProof/>
          <w:lang w:val="fr-CA"/>
        </w:rPr>
        <w:t xml:space="preserve">arrêt </w:t>
      </w:r>
      <w:r w:rsidRPr="009078C7">
        <w:rPr>
          <w:rFonts w:cs="Times New Roman"/>
          <w:i/>
          <w:noProof/>
          <w:lang w:val="fr-CA"/>
        </w:rPr>
        <w:t>Ocean Harvesters</w:t>
      </w:r>
      <w:r w:rsidRPr="009078C7">
        <w:rPr>
          <w:rFonts w:cs="Times New Roman"/>
          <w:noProof/>
          <w:lang w:val="fr-CA"/>
        </w:rPr>
        <w:t>, le véritable propriétaire d</w:t>
      </w:r>
      <w:r>
        <w:rPr>
          <w:rFonts w:cs="Times New Roman"/>
          <w:noProof/>
          <w:lang w:val="fr-CA"/>
        </w:rPr>
        <w:t>’</w:t>
      </w:r>
      <w:r w:rsidRPr="009078C7">
        <w:rPr>
          <w:rFonts w:cs="Times New Roman"/>
          <w:noProof/>
          <w:lang w:val="fr-CA"/>
        </w:rPr>
        <w:t>un bien</w:t>
      </w:r>
      <w:r>
        <w:rPr>
          <w:rFonts w:cs="Times New Roman"/>
          <w:noProof/>
          <w:lang w:val="fr-CA"/>
        </w:rPr>
        <w:noBreakHyphen/>
      </w:r>
      <w:r w:rsidRPr="009078C7">
        <w:rPr>
          <w:rFonts w:cs="Times New Roman"/>
          <w:noProof/>
          <w:lang w:val="fr-CA"/>
        </w:rPr>
        <w:t>fonds situé en bordure de l</w:t>
      </w:r>
      <w:r>
        <w:rPr>
          <w:rFonts w:cs="Times New Roman"/>
          <w:noProof/>
          <w:lang w:val="fr-CA"/>
        </w:rPr>
        <w:t>’</w:t>
      </w:r>
      <w:r w:rsidRPr="009078C7">
        <w:rPr>
          <w:rFonts w:cs="Times New Roman"/>
          <w:noProof/>
          <w:lang w:val="fr-CA"/>
        </w:rPr>
        <w:t>océan se servait de celui</w:t>
      </w:r>
      <w:r>
        <w:rPr>
          <w:rFonts w:cs="Times New Roman"/>
          <w:noProof/>
          <w:lang w:val="fr-CA"/>
        </w:rPr>
        <w:noBreakHyphen/>
      </w:r>
      <w:r w:rsidRPr="009078C7">
        <w:rPr>
          <w:rFonts w:cs="Times New Roman"/>
          <w:noProof/>
          <w:lang w:val="fr-CA"/>
        </w:rPr>
        <w:t>ci pour recevoir du poisson frais. Il avait autorisé son entreprise — dont il était président et actionnaire majoritaire — à occuper la propriété chaque année pendant la saison de la pêche. Il s</w:t>
      </w:r>
      <w:r>
        <w:rPr>
          <w:rFonts w:cs="Times New Roman"/>
          <w:noProof/>
          <w:lang w:val="fr-CA"/>
        </w:rPr>
        <w:t>’</w:t>
      </w:r>
      <w:r w:rsidRPr="009078C7">
        <w:rPr>
          <w:rFonts w:cs="Times New Roman"/>
          <w:noProof/>
          <w:lang w:val="fr-CA"/>
        </w:rPr>
        <w:t>agissait de savoir s</w:t>
      </w:r>
      <w:r>
        <w:rPr>
          <w:rFonts w:cs="Times New Roman"/>
          <w:noProof/>
          <w:lang w:val="fr-CA"/>
        </w:rPr>
        <w:t>’</w:t>
      </w:r>
      <w:r w:rsidRPr="009078C7">
        <w:rPr>
          <w:rFonts w:cs="Times New Roman"/>
          <w:noProof/>
          <w:lang w:val="fr-CA"/>
        </w:rPr>
        <w:t>il pouvait faire valoir ou non le titre sur le bien</w:t>
      </w:r>
      <w:r>
        <w:rPr>
          <w:rFonts w:cs="Times New Roman"/>
          <w:noProof/>
          <w:lang w:val="fr-CA"/>
        </w:rPr>
        <w:noBreakHyphen/>
      </w:r>
      <w:r w:rsidRPr="009078C7">
        <w:rPr>
          <w:rFonts w:cs="Times New Roman"/>
          <w:noProof/>
          <w:lang w:val="fr-CA"/>
        </w:rPr>
        <w:t>fonds par l</w:t>
      </w:r>
      <w:r>
        <w:rPr>
          <w:rFonts w:cs="Times New Roman"/>
          <w:noProof/>
          <w:lang w:val="fr-CA"/>
        </w:rPr>
        <w:t>’</w:t>
      </w:r>
      <w:r w:rsidRPr="009078C7">
        <w:rPr>
          <w:rFonts w:cs="Times New Roman"/>
          <w:noProof/>
          <w:lang w:val="fr-CA"/>
        </w:rPr>
        <w:t xml:space="preserve">effet de la loi intitulée </w:t>
      </w:r>
      <w:r w:rsidRPr="009078C7">
        <w:rPr>
          <w:rFonts w:cs="Times New Roman"/>
          <w:i/>
          <w:noProof/>
          <w:lang w:val="fr-CA"/>
        </w:rPr>
        <w:t>The Limitation of Actions (Realty) Act</w:t>
      </w:r>
      <w:r w:rsidRPr="009078C7">
        <w:rPr>
          <w:rFonts w:cs="Times New Roman"/>
          <w:noProof/>
          <w:lang w:val="fr-CA"/>
        </w:rPr>
        <w:t>, R.S.N. 1952, c. 145, après que l</w:t>
      </w:r>
      <w:r>
        <w:rPr>
          <w:rFonts w:cs="Times New Roman"/>
          <w:noProof/>
          <w:lang w:val="fr-CA"/>
        </w:rPr>
        <w:t>’</w:t>
      </w:r>
      <w:r w:rsidRPr="009078C7">
        <w:rPr>
          <w:rFonts w:cs="Times New Roman"/>
          <w:noProof/>
          <w:lang w:val="fr-CA"/>
        </w:rPr>
        <w:t>entreprise en eut conservé la possession pendant plus de 21 ans. Bien que la Cour ait examiné l</w:t>
      </w:r>
      <w:r>
        <w:rPr>
          <w:rFonts w:cs="Times New Roman"/>
          <w:noProof/>
          <w:lang w:val="fr-CA"/>
        </w:rPr>
        <w:t>’</w:t>
      </w:r>
      <w:r w:rsidRPr="009078C7">
        <w:rPr>
          <w:rFonts w:cs="Times New Roman"/>
          <w:noProof/>
          <w:lang w:val="fr-CA"/>
        </w:rPr>
        <w:t xml:space="preserve">intention </w:t>
      </w:r>
      <w:r w:rsidRPr="009078C7">
        <w:rPr>
          <w:rFonts w:cs="Times New Roman"/>
          <w:noProof/>
          <w:lang w:val="fr-CA"/>
        </w:rPr>
        <w:lastRenderedPageBreak/>
        <w:t>du véritable propriétaire quant à l</w:t>
      </w:r>
      <w:r>
        <w:rPr>
          <w:rFonts w:cs="Times New Roman"/>
          <w:noProof/>
          <w:lang w:val="fr-CA"/>
        </w:rPr>
        <w:t>’</w:t>
      </w:r>
      <w:r w:rsidRPr="009078C7">
        <w:rPr>
          <w:rFonts w:cs="Times New Roman"/>
          <w:noProof/>
          <w:lang w:val="fr-CA"/>
        </w:rPr>
        <w:t>usage du bien</w:t>
      </w:r>
      <w:r>
        <w:rPr>
          <w:rFonts w:cs="Times New Roman"/>
          <w:noProof/>
          <w:lang w:val="fr-CA"/>
        </w:rPr>
        <w:noBreakHyphen/>
      </w:r>
      <w:r w:rsidRPr="009078C7">
        <w:rPr>
          <w:rFonts w:cs="Times New Roman"/>
          <w:noProof/>
          <w:lang w:val="fr-CA"/>
        </w:rPr>
        <w:t>fonds, elle l</w:t>
      </w:r>
      <w:r>
        <w:rPr>
          <w:rFonts w:cs="Times New Roman"/>
          <w:noProof/>
          <w:lang w:val="fr-CA"/>
        </w:rPr>
        <w:t>’</w:t>
      </w:r>
      <w:r w:rsidRPr="009078C7">
        <w:rPr>
          <w:rFonts w:cs="Times New Roman"/>
          <w:noProof/>
          <w:lang w:val="fr-CA"/>
        </w:rPr>
        <w:t>a fait parce que, selon les circonstances particulières de l</w:t>
      </w:r>
      <w:r>
        <w:rPr>
          <w:rFonts w:cs="Times New Roman"/>
          <w:noProof/>
          <w:lang w:val="fr-CA"/>
        </w:rPr>
        <w:t>’</w:t>
      </w:r>
      <w:r w:rsidRPr="009078C7">
        <w:rPr>
          <w:rFonts w:cs="Times New Roman"/>
          <w:noProof/>
          <w:lang w:val="fr-CA"/>
        </w:rPr>
        <w:t xml:space="preserve">affaire, </w:t>
      </w:r>
      <w:r w:rsidRPr="009078C7">
        <w:rPr>
          <w:rFonts w:cs="Times New Roman"/>
          <w:i/>
          <w:noProof/>
          <w:lang w:val="fr-CA"/>
        </w:rPr>
        <w:t>son</w:t>
      </w:r>
      <w:r w:rsidRPr="009078C7">
        <w:rPr>
          <w:rFonts w:cs="Times New Roman"/>
          <w:noProof/>
          <w:lang w:val="fr-CA"/>
        </w:rPr>
        <w:t xml:space="preserve"> intention était aussi celle du </w:t>
      </w:r>
      <w:r w:rsidRPr="009078C7">
        <w:rPr>
          <w:rFonts w:cs="Times New Roman"/>
          <w:i/>
          <w:noProof/>
          <w:lang w:val="fr-CA"/>
        </w:rPr>
        <w:t>possesseur subséquent</w:t>
      </w:r>
      <w:r w:rsidRPr="009078C7">
        <w:rPr>
          <w:rFonts w:cs="Times New Roman"/>
          <w:noProof/>
          <w:lang w:val="fr-CA"/>
        </w:rPr>
        <w:t>, qu</w:t>
      </w:r>
      <w:r>
        <w:rPr>
          <w:rFonts w:cs="Times New Roman"/>
          <w:noProof/>
          <w:lang w:val="fr-CA"/>
        </w:rPr>
        <w:t>’</w:t>
      </w:r>
      <w:r w:rsidRPr="009078C7">
        <w:rPr>
          <w:rFonts w:cs="Times New Roman"/>
          <w:noProof/>
          <w:lang w:val="fr-CA"/>
        </w:rPr>
        <w:t>il contrôlait. Pour déterminer l</w:t>
      </w:r>
      <w:r>
        <w:rPr>
          <w:rFonts w:cs="Times New Roman"/>
          <w:noProof/>
          <w:lang w:val="fr-CA"/>
        </w:rPr>
        <w:t>’</w:t>
      </w:r>
      <w:r w:rsidRPr="009078C7">
        <w:rPr>
          <w:rFonts w:cs="Times New Roman"/>
          <w:noProof/>
          <w:lang w:val="fr-CA"/>
        </w:rPr>
        <w:t>intention de l</w:t>
      </w:r>
      <w:r>
        <w:rPr>
          <w:rFonts w:cs="Times New Roman"/>
          <w:noProof/>
          <w:lang w:val="fr-CA"/>
        </w:rPr>
        <w:t>’</w:t>
      </w:r>
      <w:r w:rsidRPr="009078C7">
        <w:rPr>
          <w:rFonts w:cs="Times New Roman"/>
          <w:noProof/>
          <w:lang w:val="fr-CA"/>
        </w:rPr>
        <w:t>entreprise dans cette affaire, la Cour devait donc examiner l</w:t>
      </w:r>
      <w:r>
        <w:rPr>
          <w:rFonts w:cs="Times New Roman"/>
          <w:noProof/>
          <w:lang w:val="fr-CA"/>
        </w:rPr>
        <w:t>’</w:t>
      </w:r>
      <w:r w:rsidRPr="009078C7">
        <w:rPr>
          <w:rFonts w:cs="Times New Roman"/>
          <w:noProof/>
          <w:lang w:val="fr-CA"/>
        </w:rPr>
        <w:t>intention du véritable propriétaire afin de pouvoir l</w:t>
      </w:r>
      <w:r>
        <w:rPr>
          <w:rFonts w:cs="Times New Roman"/>
          <w:noProof/>
          <w:lang w:val="fr-CA"/>
        </w:rPr>
        <w:t>’</w:t>
      </w:r>
      <w:r w:rsidRPr="009078C7">
        <w:rPr>
          <w:rFonts w:cs="Times New Roman"/>
          <w:noProof/>
          <w:lang w:val="fr-CA"/>
        </w:rPr>
        <w:t>imputer à l</w:t>
      </w:r>
      <w:r>
        <w:rPr>
          <w:rFonts w:cs="Times New Roman"/>
          <w:noProof/>
          <w:lang w:val="fr-CA"/>
        </w:rPr>
        <w:t>’</w:t>
      </w:r>
      <w:r w:rsidRPr="009078C7">
        <w:rPr>
          <w:rFonts w:cs="Times New Roman"/>
          <w:noProof/>
          <w:lang w:val="fr-CA"/>
        </w:rPr>
        <w:t>entreprise. Ce n</w:t>
      </w:r>
      <w:r>
        <w:rPr>
          <w:rFonts w:cs="Times New Roman"/>
          <w:noProof/>
          <w:lang w:val="fr-CA"/>
        </w:rPr>
        <w:t>’</w:t>
      </w:r>
      <w:r w:rsidRPr="009078C7">
        <w:rPr>
          <w:rFonts w:cs="Times New Roman"/>
          <w:noProof/>
          <w:lang w:val="fr-CA"/>
        </w:rPr>
        <w:t>est pas la même chose que le fait d</w:t>
      </w:r>
      <w:r>
        <w:rPr>
          <w:rFonts w:cs="Times New Roman"/>
          <w:noProof/>
          <w:lang w:val="fr-CA"/>
        </w:rPr>
        <w:t>’</w:t>
      </w:r>
      <w:r w:rsidRPr="009078C7">
        <w:rPr>
          <w:rFonts w:cs="Times New Roman"/>
          <w:noProof/>
          <w:lang w:val="fr-CA"/>
        </w:rPr>
        <w:t>analyser l</w:t>
      </w:r>
      <w:r>
        <w:rPr>
          <w:rFonts w:cs="Times New Roman"/>
          <w:noProof/>
          <w:lang w:val="fr-CA"/>
        </w:rPr>
        <w:t>’</w:t>
      </w:r>
      <w:r w:rsidRPr="009078C7">
        <w:rPr>
          <w:rFonts w:cs="Times New Roman"/>
          <w:noProof/>
          <w:lang w:val="fr-CA"/>
        </w:rPr>
        <w:t xml:space="preserve">intention du véritable propriétaire afin de pouvoir la comparer à celle du </w:t>
      </w:r>
      <w:r w:rsidRPr="007A0F94">
        <w:rPr>
          <w:rFonts w:cs="Times New Roman"/>
          <w:noProof/>
          <w:lang w:val="fr-CA"/>
        </w:rPr>
        <w:t>possesseur subséquent</w:t>
      </w:r>
      <w:r w:rsidRPr="009078C7">
        <w:rPr>
          <w:rFonts w:cs="Times New Roman"/>
          <w:noProof/>
          <w:lang w:val="fr-CA"/>
        </w:rPr>
        <w:t xml:space="preserve"> pour déterminer s</w:t>
      </w:r>
      <w:r>
        <w:rPr>
          <w:rFonts w:cs="Times New Roman"/>
          <w:noProof/>
          <w:lang w:val="fr-CA"/>
        </w:rPr>
        <w:t>’</w:t>
      </w:r>
      <w:r w:rsidRPr="009078C7">
        <w:rPr>
          <w:rFonts w:cs="Times New Roman"/>
          <w:noProof/>
          <w:lang w:val="fr-CA"/>
        </w:rPr>
        <w:t>il y a incompatibilité. En tout état de cause, la revendication de possession adversative examinée dans l</w:t>
      </w:r>
      <w:r>
        <w:rPr>
          <w:rFonts w:cs="Times New Roman"/>
          <w:noProof/>
          <w:lang w:val="fr-CA"/>
        </w:rPr>
        <w:t>’</w:t>
      </w:r>
      <w:r w:rsidRPr="009078C7">
        <w:rPr>
          <w:rFonts w:cs="Times New Roman"/>
          <w:noProof/>
          <w:lang w:val="fr-CA"/>
        </w:rPr>
        <w:t xml:space="preserve">arrêt </w:t>
      </w:r>
      <w:r w:rsidRPr="009078C7">
        <w:rPr>
          <w:rFonts w:cs="Times New Roman"/>
          <w:i/>
          <w:noProof/>
          <w:lang w:val="fr-CA"/>
        </w:rPr>
        <w:t>Ocean Harvesters</w:t>
      </w:r>
      <w:r w:rsidRPr="009078C7">
        <w:rPr>
          <w:rFonts w:cs="Times New Roman"/>
          <w:noProof/>
          <w:lang w:val="fr-CA"/>
        </w:rPr>
        <w:t xml:space="preserve"> a été rejetée (</w:t>
      </w:r>
      <w:r>
        <w:rPr>
          <w:rFonts w:cs="Times New Roman"/>
          <w:noProof/>
          <w:lang w:val="fr-CA"/>
        </w:rPr>
        <w:t>p. </w:t>
      </w:r>
      <w:r w:rsidRPr="009078C7">
        <w:rPr>
          <w:rFonts w:cs="Times New Roman"/>
          <w:noProof/>
          <w:lang w:val="fr-CA"/>
        </w:rPr>
        <w:t>691), comme elle l</w:t>
      </w:r>
      <w:r>
        <w:rPr>
          <w:rFonts w:cs="Times New Roman"/>
          <w:noProof/>
          <w:lang w:val="fr-CA"/>
        </w:rPr>
        <w:t>’</w:t>
      </w:r>
      <w:r w:rsidRPr="009078C7">
        <w:rPr>
          <w:rFonts w:cs="Times New Roman"/>
          <w:noProof/>
          <w:lang w:val="fr-CA"/>
        </w:rPr>
        <w:t>avait été dans l</w:t>
      </w:r>
      <w:r>
        <w:rPr>
          <w:rFonts w:cs="Times New Roman"/>
          <w:noProof/>
          <w:lang w:val="fr-CA"/>
        </w:rPr>
        <w:t>’</w:t>
      </w:r>
      <w:r w:rsidRPr="009078C7">
        <w:rPr>
          <w:rFonts w:cs="Times New Roman"/>
          <w:noProof/>
          <w:lang w:val="fr-CA"/>
        </w:rPr>
        <w:t xml:space="preserve">arrêt </w:t>
      </w:r>
      <w:r w:rsidRPr="009078C7">
        <w:rPr>
          <w:rFonts w:cs="Times New Roman"/>
          <w:i/>
          <w:noProof/>
          <w:lang w:val="fr-CA"/>
        </w:rPr>
        <w:t>Dominion Atlantic</w:t>
      </w:r>
      <w:r w:rsidRPr="009078C7">
        <w:rPr>
          <w:rFonts w:cs="Times New Roman"/>
          <w:noProof/>
          <w:lang w:val="fr-CA"/>
        </w:rPr>
        <w:t xml:space="preserve"> (</w:t>
      </w:r>
      <w:r>
        <w:rPr>
          <w:rFonts w:cs="Times New Roman"/>
          <w:noProof/>
          <w:lang w:val="fr-CA"/>
        </w:rPr>
        <w:t>p. </w:t>
      </w:r>
      <w:r w:rsidRPr="009078C7">
        <w:rPr>
          <w:rFonts w:cs="Times New Roman"/>
          <w:noProof/>
          <w:lang w:val="fr-CA"/>
        </w:rPr>
        <w:t>110), non pas parce qu</w:t>
      </w:r>
      <w:r>
        <w:rPr>
          <w:rFonts w:cs="Times New Roman"/>
          <w:noProof/>
          <w:lang w:val="fr-CA"/>
        </w:rPr>
        <w:t>’</w:t>
      </w:r>
      <w:r w:rsidRPr="009078C7">
        <w:rPr>
          <w:rFonts w:cs="Times New Roman"/>
          <w:noProof/>
          <w:lang w:val="fr-CA"/>
        </w:rPr>
        <w:t>aucun usage incompatible n</w:t>
      </w:r>
      <w:r>
        <w:rPr>
          <w:rFonts w:cs="Times New Roman"/>
          <w:noProof/>
          <w:lang w:val="fr-CA"/>
        </w:rPr>
        <w:t>’</w:t>
      </w:r>
      <w:r w:rsidRPr="009078C7">
        <w:rPr>
          <w:rFonts w:cs="Times New Roman"/>
          <w:noProof/>
          <w:lang w:val="fr-CA"/>
        </w:rPr>
        <w:t>avait été établi, mais plutôt parce que la possession exclusive n</w:t>
      </w:r>
      <w:r>
        <w:rPr>
          <w:rFonts w:cs="Times New Roman"/>
          <w:noProof/>
          <w:lang w:val="fr-CA"/>
        </w:rPr>
        <w:t>’</w:t>
      </w:r>
      <w:r w:rsidRPr="009078C7">
        <w:rPr>
          <w:rFonts w:cs="Times New Roman"/>
          <w:noProof/>
          <w:lang w:val="fr-CA"/>
        </w:rPr>
        <w:t>avait pas été prouvée.</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Il n</w:t>
      </w:r>
      <w:r>
        <w:rPr>
          <w:rFonts w:cs="Times New Roman"/>
          <w:noProof/>
          <w:lang w:val="fr-CA"/>
        </w:rPr>
        <w:t>’</w:t>
      </w:r>
      <w:r w:rsidRPr="009078C7">
        <w:rPr>
          <w:rFonts w:cs="Times New Roman"/>
          <w:noProof/>
          <w:lang w:val="fr-CA"/>
        </w:rPr>
        <w:t>y a donc pas lieu d</w:t>
      </w:r>
      <w:r>
        <w:rPr>
          <w:rFonts w:cs="Times New Roman"/>
          <w:noProof/>
          <w:lang w:val="fr-CA"/>
        </w:rPr>
        <w:t>’</w:t>
      </w:r>
      <w:r w:rsidRPr="009078C7">
        <w:rPr>
          <w:rFonts w:cs="Times New Roman"/>
          <w:noProof/>
          <w:lang w:val="fr-CA"/>
        </w:rPr>
        <w:t>affirmer que la Cour a adopté l</w:t>
      </w:r>
      <w:r>
        <w:rPr>
          <w:rFonts w:cs="Times New Roman"/>
          <w:noProof/>
          <w:lang w:val="fr-CA"/>
        </w:rPr>
        <w:t>’</w:t>
      </w:r>
      <w:r w:rsidRPr="009078C7">
        <w:rPr>
          <w:rFonts w:cs="Times New Roman"/>
          <w:noProof/>
          <w:lang w:val="fr-CA"/>
        </w:rPr>
        <w:t>exigence de l</w:t>
      </w:r>
      <w:r>
        <w:rPr>
          <w:rFonts w:cs="Times New Roman"/>
          <w:noProof/>
          <w:lang w:val="fr-CA"/>
        </w:rPr>
        <w:t>’</w:t>
      </w:r>
      <w:r w:rsidRPr="009078C7">
        <w:rPr>
          <w:rFonts w:cs="Times New Roman"/>
          <w:noProof/>
          <w:lang w:val="fr-CA"/>
        </w:rPr>
        <w:t>usage incompatible dans l</w:t>
      </w:r>
      <w:r>
        <w:rPr>
          <w:rFonts w:cs="Times New Roman"/>
          <w:noProof/>
          <w:lang w:val="fr-CA"/>
        </w:rPr>
        <w:t>’</w:t>
      </w:r>
      <w:r w:rsidRPr="009078C7">
        <w:rPr>
          <w:rFonts w:cs="Times New Roman"/>
          <w:noProof/>
          <w:lang w:val="fr-CA"/>
        </w:rPr>
        <w:t>une ou l</w:t>
      </w:r>
      <w:r>
        <w:rPr>
          <w:rFonts w:cs="Times New Roman"/>
          <w:noProof/>
          <w:lang w:val="fr-CA"/>
        </w:rPr>
        <w:t>’</w:t>
      </w:r>
      <w:r w:rsidRPr="009078C7">
        <w:rPr>
          <w:rFonts w:cs="Times New Roman"/>
          <w:noProof/>
          <w:lang w:val="fr-CA"/>
        </w:rPr>
        <w:t>autre de ces décisions, que ce soit explicitement ou tacitement. En outre, il importe de souligner que la Cour s</w:t>
      </w:r>
      <w:r>
        <w:rPr>
          <w:rFonts w:cs="Times New Roman"/>
          <w:noProof/>
          <w:lang w:val="fr-CA"/>
        </w:rPr>
        <w:t>’</w:t>
      </w:r>
      <w:r w:rsidRPr="009078C7">
        <w:rPr>
          <w:rFonts w:cs="Times New Roman"/>
          <w:noProof/>
          <w:lang w:val="fr-CA"/>
        </w:rPr>
        <w:t>est penchée sur des revendications de possession adversative à plusieurs occasions depuis l</w:t>
      </w:r>
      <w:r>
        <w:rPr>
          <w:rFonts w:cs="Times New Roman"/>
          <w:noProof/>
          <w:lang w:val="fr-CA"/>
        </w:rPr>
        <w:t>’</w:t>
      </w:r>
      <w:r w:rsidRPr="009078C7">
        <w:rPr>
          <w:rFonts w:cs="Times New Roman"/>
          <w:noProof/>
          <w:lang w:val="fr-CA"/>
        </w:rPr>
        <w:t xml:space="preserve">arrêt </w:t>
      </w:r>
      <w:r w:rsidRPr="009078C7">
        <w:rPr>
          <w:rFonts w:cs="Times New Roman"/>
          <w:i/>
          <w:noProof/>
          <w:lang w:val="fr-CA"/>
        </w:rPr>
        <w:t>Leigh</w:t>
      </w:r>
      <w:r w:rsidRPr="009078C7">
        <w:rPr>
          <w:rFonts w:cs="Times New Roman"/>
          <w:noProof/>
          <w:lang w:val="fr-CA"/>
        </w:rPr>
        <w:t xml:space="preserve"> (soit dans les arrêts </w:t>
      </w:r>
      <w:r w:rsidRPr="009078C7">
        <w:rPr>
          <w:rFonts w:cs="Times New Roman"/>
          <w:i/>
          <w:noProof/>
          <w:lang w:val="fr-CA"/>
        </w:rPr>
        <w:t xml:space="preserve">Sherren c. Pearson </w:t>
      </w:r>
      <w:r w:rsidRPr="009078C7">
        <w:rPr>
          <w:rFonts w:cs="Times New Roman"/>
          <w:noProof/>
          <w:lang w:val="fr-CA"/>
        </w:rPr>
        <w:t xml:space="preserve">(1887), 14 R.C.S. 581; </w:t>
      </w:r>
      <w:r w:rsidRPr="009078C7">
        <w:rPr>
          <w:rFonts w:cs="Times New Roman"/>
          <w:i/>
          <w:noProof/>
          <w:lang w:val="fr-CA"/>
        </w:rPr>
        <w:t xml:space="preserve">Handley c. Archibald </w:t>
      </w:r>
      <w:r w:rsidRPr="009078C7">
        <w:rPr>
          <w:rFonts w:cs="Times New Roman"/>
          <w:noProof/>
          <w:lang w:val="fr-CA"/>
        </w:rPr>
        <w:t xml:space="preserve">(1899), 30 R.C.S. 130; </w:t>
      </w:r>
      <w:r w:rsidRPr="009078C7">
        <w:rPr>
          <w:rFonts w:cs="Times New Roman"/>
          <w:i/>
          <w:noProof/>
          <w:lang w:val="fr-CA"/>
        </w:rPr>
        <w:t xml:space="preserve">Wood c. LeBlanc </w:t>
      </w:r>
      <w:r w:rsidRPr="009078C7">
        <w:rPr>
          <w:rFonts w:cs="Times New Roman"/>
          <w:noProof/>
          <w:lang w:val="fr-CA"/>
        </w:rPr>
        <w:t xml:space="preserve">(1904), 34 R.C.S. 627, et </w:t>
      </w:r>
      <w:r w:rsidRPr="009078C7">
        <w:rPr>
          <w:rFonts w:cs="Times New Roman"/>
          <w:i/>
          <w:noProof/>
          <w:lang w:val="fr-CA"/>
        </w:rPr>
        <w:t xml:space="preserve">Hamilton c. The King </w:t>
      </w:r>
      <w:r w:rsidRPr="009078C7">
        <w:rPr>
          <w:rFonts w:cs="Times New Roman"/>
          <w:noProof/>
          <w:lang w:val="fr-CA"/>
        </w:rPr>
        <w:t>(1917), 54 R.C.S. 331), sans faire la moindre allusion à une exigence d</w:t>
      </w:r>
      <w:r>
        <w:rPr>
          <w:rFonts w:cs="Times New Roman"/>
          <w:noProof/>
          <w:lang w:val="fr-CA"/>
        </w:rPr>
        <w:t>’</w:t>
      </w:r>
      <w:r w:rsidRPr="009078C7">
        <w:rPr>
          <w:rFonts w:cs="Times New Roman"/>
          <w:noProof/>
          <w:lang w:val="fr-CA"/>
        </w:rPr>
        <w:t xml:space="preserve">usage incompatible. </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En outre, introduire l</w:t>
      </w:r>
      <w:r>
        <w:rPr>
          <w:rFonts w:cs="Times New Roman"/>
          <w:noProof/>
          <w:lang w:val="fr-CA"/>
        </w:rPr>
        <w:t>’</w:t>
      </w:r>
      <w:r w:rsidRPr="009078C7">
        <w:rPr>
          <w:rFonts w:cs="Times New Roman"/>
          <w:noProof/>
          <w:lang w:val="fr-CA"/>
        </w:rPr>
        <w:t>exigence de l</w:t>
      </w:r>
      <w:r>
        <w:rPr>
          <w:rFonts w:cs="Times New Roman"/>
          <w:noProof/>
          <w:lang w:val="fr-CA"/>
        </w:rPr>
        <w:t>’</w:t>
      </w:r>
      <w:r w:rsidRPr="009078C7">
        <w:rPr>
          <w:rFonts w:cs="Times New Roman"/>
          <w:noProof/>
          <w:lang w:val="fr-CA"/>
        </w:rPr>
        <w:t>usage incompatible dans le test relatif à la possession adversative redonnerait vie à l</w:t>
      </w:r>
      <w:r>
        <w:rPr>
          <w:rFonts w:cs="Times New Roman"/>
          <w:noProof/>
          <w:lang w:val="fr-CA"/>
        </w:rPr>
        <w:t>’</w:t>
      </w:r>
      <w:r w:rsidRPr="009078C7">
        <w:rPr>
          <w:rFonts w:cs="Times New Roman"/>
          <w:noProof/>
          <w:lang w:val="fr-CA"/>
        </w:rPr>
        <w:t xml:space="preserve">obligation qui existait avant 1833 de </w:t>
      </w:r>
      <w:r w:rsidRPr="009078C7">
        <w:rPr>
          <w:rFonts w:cs="Times New Roman"/>
          <w:noProof/>
          <w:lang w:val="fr-CA"/>
        </w:rPr>
        <w:lastRenderedPageBreak/>
        <w:t>faire la preuve d</w:t>
      </w:r>
      <w:r>
        <w:rPr>
          <w:rFonts w:cs="Times New Roman"/>
          <w:noProof/>
          <w:lang w:val="fr-CA"/>
        </w:rPr>
        <w:t>’</w:t>
      </w:r>
      <w:r w:rsidRPr="009078C7">
        <w:rPr>
          <w:rFonts w:cs="Times New Roman"/>
          <w:noProof/>
          <w:lang w:val="fr-CA"/>
        </w:rPr>
        <w:t>une dépossession ou d</w:t>
      </w:r>
      <w:r>
        <w:rPr>
          <w:rFonts w:cs="Times New Roman"/>
          <w:noProof/>
          <w:lang w:val="fr-CA"/>
        </w:rPr>
        <w:t>’</w:t>
      </w:r>
      <w:r w:rsidRPr="009078C7">
        <w:rPr>
          <w:rFonts w:cs="Times New Roman"/>
          <w:noProof/>
          <w:lang w:val="fr-CA"/>
        </w:rPr>
        <w:t>une éviction</w:t>
      </w:r>
      <w:r w:rsidRPr="009078C7">
        <w:rPr>
          <w:rFonts w:cs="Times New Roman"/>
          <w:lang w:val="fr-CA"/>
        </w:rPr>
        <w:t>, une obligation</w:t>
      </w:r>
      <w:r w:rsidRPr="009078C7">
        <w:rPr>
          <w:rFonts w:cs="Times New Roman"/>
          <w:noProof/>
          <w:lang w:val="fr-CA"/>
        </w:rPr>
        <w:t xml:space="preserve"> expressément révoquée. Les tribunaux ont certes un rôle à jouer lorsqu</w:t>
      </w:r>
      <w:r>
        <w:rPr>
          <w:rFonts w:cs="Times New Roman"/>
          <w:noProof/>
          <w:lang w:val="fr-CA"/>
        </w:rPr>
        <w:t>’</w:t>
      </w:r>
      <w:r w:rsidRPr="009078C7">
        <w:rPr>
          <w:rFonts w:cs="Times New Roman"/>
          <w:noProof/>
          <w:lang w:val="fr-CA"/>
        </w:rPr>
        <w:t>il s</w:t>
      </w:r>
      <w:r>
        <w:rPr>
          <w:rFonts w:cs="Times New Roman"/>
          <w:noProof/>
          <w:lang w:val="fr-CA"/>
        </w:rPr>
        <w:t>’</w:t>
      </w:r>
      <w:r w:rsidRPr="009078C7">
        <w:rPr>
          <w:rFonts w:cs="Times New Roman"/>
          <w:noProof/>
          <w:lang w:val="fr-CA"/>
        </w:rPr>
        <w:t>agit de définir ce que constitue une dépossession sous le régime de la législation de la Colombie</w:t>
      </w:r>
      <w:r>
        <w:rPr>
          <w:rFonts w:cs="Times New Roman"/>
          <w:noProof/>
          <w:lang w:val="fr-CA"/>
        </w:rPr>
        <w:noBreakHyphen/>
      </w:r>
      <w:r w:rsidRPr="009078C7">
        <w:rPr>
          <w:rFonts w:cs="Times New Roman"/>
          <w:noProof/>
          <w:lang w:val="fr-CA"/>
        </w:rPr>
        <w:t>Britannique sur la prescription. L</w:t>
      </w:r>
      <w:r>
        <w:rPr>
          <w:rFonts w:cs="Times New Roman"/>
          <w:noProof/>
          <w:lang w:val="fr-CA"/>
        </w:rPr>
        <w:t>’</w:t>
      </w:r>
      <w:r w:rsidRPr="009078C7">
        <w:rPr>
          <w:rFonts w:cs="Times New Roman"/>
          <w:noProof/>
          <w:lang w:val="fr-CA"/>
        </w:rPr>
        <w:t>intention du législateur doit néanmoins être respectée. La Cour d</w:t>
      </w:r>
      <w:r>
        <w:rPr>
          <w:rFonts w:cs="Times New Roman"/>
          <w:noProof/>
          <w:lang w:val="fr-CA"/>
        </w:rPr>
        <w:t>’</w:t>
      </w:r>
      <w:r w:rsidRPr="009078C7">
        <w:rPr>
          <w:rFonts w:cs="Times New Roman"/>
          <w:noProof/>
          <w:lang w:val="fr-CA"/>
        </w:rPr>
        <w:t xml:space="preserve">appel a donc eu raison de conclure, au </w:t>
      </w:r>
      <w:r>
        <w:rPr>
          <w:rFonts w:cs="Times New Roman"/>
          <w:noProof/>
          <w:lang w:val="fr-CA"/>
        </w:rPr>
        <w:t>par. </w:t>
      </w:r>
      <w:r w:rsidRPr="009078C7">
        <w:rPr>
          <w:rFonts w:cs="Times New Roman"/>
          <w:noProof/>
          <w:lang w:val="fr-CA"/>
        </w:rPr>
        <w:t>68 de ses motifs, que [</w:t>
      </w:r>
      <w:r w:rsidRPr="009078C7">
        <w:rPr>
          <w:rFonts w:cs="Times New Roman"/>
          <w:smallCaps/>
          <w:noProof/>
          <w:lang w:val="fr-CA"/>
        </w:rPr>
        <w:t>traduction</w:t>
      </w:r>
      <w:r w:rsidRPr="009078C7">
        <w:rPr>
          <w:rFonts w:cs="Times New Roman"/>
          <w:noProof/>
          <w:lang w:val="fr-CA"/>
        </w:rPr>
        <w:t>] « la doctrine de l</w:t>
      </w:r>
      <w:r>
        <w:rPr>
          <w:rFonts w:cs="Times New Roman"/>
          <w:noProof/>
          <w:lang w:val="fr-CA"/>
        </w:rPr>
        <w:t>’</w:t>
      </w:r>
      <w:r w:rsidRPr="009078C7">
        <w:rPr>
          <w:rFonts w:cs="Times New Roman"/>
          <w:noProof/>
          <w:lang w:val="fr-CA"/>
        </w:rPr>
        <w:t>[usage incompatible] n</w:t>
      </w:r>
      <w:r>
        <w:rPr>
          <w:rFonts w:cs="Times New Roman"/>
          <w:noProof/>
          <w:lang w:val="fr-CA"/>
        </w:rPr>
        <w:t>’</w:t>
      </w:r>
      <w:r w:rsidRPr="009078C7">
        <w:rPr>
          <w:rFonts w:cs="Times New Roman"/>
          <w:noProof/>
          <w:lang w:val="fr-CA"/>
        </w:rPr>
        <w:t>est pas compatible avec la législation de cette province, laquelle est restée compatible avec le droit anglais sur les prescriptions de 1833 ». Ainsi, la Cour d</w:t>
      </w:r>
      <w:r>
        <w:rPr>
          <w:rFonts w:cs="Times New Roman"/>
          <w:noProof/>
          <w:lang w:val="fr-CA"/>
        </w:rPr>
        <w:t>’</w:t>
      </w:r>
      <w:r w:rsidRPr="009078C7">
        <w:rPr>
          <w:rFonts w:cs="Times New Roman"/>
          <w:noProof/>
          <w:lang w:val="fr-CA"/>
        </w:rPr>
        <w:t>appel a eu raison de conclure que l</w:t>
      </w:r>
      <w:r>
        <w:rPr>
          <w:rFonts w:cs="Times New Roman"/>
          <w:noProof/>
          <w:lang w:val="fr-CA"/>
        </w:rPr>
        <w:t>’</w:t>
      </w:r>
      <w:r w:rsidRPr="009078C7">
        <w:rPr>
          <w:rFonts w:cs="Times New Roman"/>
          <w:noProof/>
          <w:lang w:val="fr-CA"/>
        </w:rPr>
        <w:t>exigence de l</w:t>
      </w:r>
      <w:r>
        <w:rPr>
          <w:rFonts w:cs="Times New Roman"/>
          <w:noProof/>
          <w:lang w:val="fr-CA"/>
        </w:rPr>
        <w:t>’</w:t>
      </w:r>
      <w:r w:rsidRPr="009078C7">
        <w:rPr>
          <w:rFonts w:cs="Times New Roman"/>
          <w:noProof/>
          <w:lang w:val="fr-CA"/>
        </w:rPr>
        <w:t>usage incompatible n</w:t>
      </w:r>
      <w:r>
        <w:rPr>
          <w:rFonts w:cs="Times New Roman"/>
          <w:noProof/>
          <w:lang w:val="fr-CA"/>
        </w:rPr>
        <w:t>’</w:t>
      </w:r>
      <w:r w:rsidRPr="009078C7">
        <w:rPr>
          <w:rFonts w:cs="Times New Roman"/>
          <w:noProof/>
          <w:lang w:val="fr-CA"/>
        </w:rPr>
        <w:t>a jamais fait partie du droit de la Colombie</w:t>
      </w:r>
      <w:r>
        <w:rPr>
          <w:rFonts w:cs="Times New Roman"/>
          <w:noProof/>
          <w:lang w:val="fr-CA"/>
        </w:rPr>
        <w:noBreakHyphen/>
      </w:r>
      <w:r w:rsidRPr="009078C7">
        <w:rPr>
          <w:rFonts w:cs="Times New Roman"/>
          <w:noProof/>
          <w:lang w:val="fr-CA"/>
        </w:rPr>
        <w:t>Britannique régissant la possession adversative. Que cette exigence soit valablement applicable dans d</w:t>
      </w:r>
      <w:r>
        <w:rPr>
          <w:rFonts w:cs="Times New Roman"/>
          <w:noProof/>
          <w:lang w:val="fr-CA"/>
        </w:rPr>
        <w:t>’</w:t>
      </w:r>
      <w:r w:rsidRPr="009078C7">
        <w:rPr>
          <w:rFonts w:cs="Times New Roman"/>
          <w:noProof/>
          <w:lang w:val="fr-CA"/>
        </w:rPr>
        <w:t>autres provinces est une question qui reste en suspens et qui ne trouverait réponse qu</w:t>
      </w:r>
      <w:r>
        <w:rPr>
          <w:rFonts w:cs="Times New Roman"/>
          <w:noProof/>
          <w:lang w:val="fr-CA"/>
        </w:rPr>
        <w:t>’</w:t>
      </w:r>
      <w:r w:rsidRPr="009078C7">
        <w:rPr>
          <w:rFonts w:cs="Times New Roman"/>
          <w:noProof/>
          <w:lang w:val="fr-CA"/>
        </w:rPr>
        <w:t>au terme d</w:t>
      </w:r>
      <w:r>
        <w:rPr>
          <w:rFonts w:cs="Times New Roman"/>
          <w:noProof/>
          <w:lang w:val="fr-CA"/>
        </w:rPr>
        <w:t>’</w:t>
      </w:r>
      <w:r w:rsidRPr="009078C7">
        <w:rPr>
          <w:rFonts w:cs="Times New Roman"/>
          <w:noProof/>
          <w:lang w:val="fr-CA"/>
        </w:rPr>
        <w:t xml:space="preserve">un examen de leur historique législatif respectif, du libellé de leurs lois particulières sur la prescription et du traitement de ce sujet par leurs tribunaux. </w:t>
      </w:r>
    </w:p>
    <w:p w:rsidR="00190EF2" w:rsidRPr="009078C7" w:rsidRDefault="00190EF2" w:rsidP="00BF1D7F">
      <w:pPr>
        <w:pStyle w:val="Title2LevelTitre2Niveau"/>
        <w:widowControl w:val="0"/>
        <w:rPr>
          <w:rFonts w:cs="Times New Roman"/>
          <w:noProof/>
          <w:lang w:val="fr-CA"/>
        </w:rPr>
      </w:pPr>
      <w:r w:rsidRPr="009078C7">
        <w:rPr>
          <w:rFonts w:cs="Times New Roman"/>
          <w:noProof/>
          <w:lang w:val="fr-CA"/>
        </w:rPr>
        <w:t xml:space="preserve">La preuve concernant la continuité de la possession adversative </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Il ne reste donc qu</w:t>
      </w:r>
      <w:r>
        <w:rPr>
          <w:rFonts w:cs="Times New Roman"/>
          <w:noProof/>
          <w:lang w:val="fr-CA"/>
        </w:rPr>
        <w:t>’</w:t>
      </w:r>
      <w:r w:rsidRPr="009078C7">
        <w:rPr>
          <w:rFonts w:cs="Times New Roman"/>
          <w:noProof/>
          <w:lang w:val="fr-CA"/>
        </w:rPr>
        <w:t>à déterminer si la preuve que les Mowatt ont présentée au procès était suffisante pour combler toute « lacune de la preuve » pour la période allant de 1916 à 1920, laquelle, de l</w:t>
      </w:r>
      <w:r>
        <w:rPr>
          <w:rFonts w:cs="Times New Roman"/>
          <w:noProof/>
          <w:lang w:val="fr-CA"/>
        </w:rPr>
        <w:t>’</w:t>
      </w:r>
      <w:r w:rsidRPr="009078C7">
        <w:rPr>
          <w:rFonts w:cs="Times New Roman"/>
          <w:noProof/>
          <w:lang w:val="fr-CA"/>
        </w:rPr>
        <w:t>avis du juge, avait interrompu la continuité de la possession adversative du lot en litige. À cet égard, les Mowatt affirment que le juge en cabinet a commis plusieurs erreurs qui justifiaient que sa décision soit infirmée par la Cour d</w:t>
      </w:r>
      <w:r>
        <w:rPr>
          <w:rFonts w:cs="Times New Roman"/>
          <w:noProof/>
          <w:lang w:val="fr-CA"/>
        </w:rPr>
        <w:t>’</w:t>
      </w:r>
      <w:r w:rsidRPr="009078C7">
        <w:rPr>
          <w:rFonts w:cs="Times New Roman"/>
          <w:noProof/>
          <w:lang w:val="fr-CA"/>
        </w:rPr>
        <w:t>appel. Plus précisément, ils affirment que le juge en cabinet (1) a fait erreur en confondant la possession continue avec l</w:t>
      </w:r>
      <w:r>
        <w:rPr>
          <w:rFonts w:cs="Times New Roman"/>
          <w:noProof/>
          <w:lang w:val="fr-CA"/>
        </w:rPr>
        <w:t>’</w:t>
      </w:r>
      <w:r w:rsidRPr="009078C7">
        <w:rPr>
          <w:rFonts w:cs="Times New Roman"/>
          <w:noProof/>
          <w:lang w:val="fr-CA"/>
        </w:rPr>
        <w:t>occupation continue et (2) n</w:t>
      </w:r>
      <w:r>
        <w:rPr>
          <w:rFonts w:cs="Times New Roman"/>
          <w:noProof/>
          <w:lang w:val="fr-CA"/>
        </w:rPr>
        <w:t>’</w:t>
      </w:r>
      <w:r w:rsidRPr="009078C7">
        <w:rPr>
          <w:rFonts w:cs="Times New Roman"/>
          <w:noProof/>
          <w:lang w:val="fr-CA"/>
        </w:rPr>
        <w:t xml:space="preserve">a pas tenu </w:t>
      </w:r>
      <w:r w:rsidRPr="009078C7">
        <w:rPr>
          <w:rFonts w:cs="Times New Roman"/>
          <w:noProof/>
          <w:lang w:val="fr-CA"/>
        </w:rPr>
        <w:lastRenderedPageBreak/>
        <w:t>compte d</w:t>
      </w:r>
      <w:r>
        <w:rPr>
          <w:rFonts w:cs="Times New Roman"/>
          <w:noProof/>
          <w:lang w:val="fr-CA"/>
        </w:rPr>
        <w:t>’</w:t>
      </w:r>
      <w:r w:rsidRPr="009078C7">
        <w:rPr>
          <w:rFonts w:cs="Times New Roman"/>
          <w:noProof/>
          <w:lang w:val="fr-CA"/>
        </w:rPr>
        <w:t>éléments de preuve importants, eu égard au contexte historique de la revendication.</w:t>
      </w:r>
    </w:p>
    <w:p w:rsidR="00190EF2" w:rsidRPr="009078C7" w:rsidRDefault="00190EF2" w:rsidP="00BF1D7F">
      <w:pPr>
        <w:pStyle w:val="Title3LevelTitre3Niveau"/>
        <w:widowControl w:val="0"/>
        <w:rPr>
          <w:rFonts w:cs="Times New Roman"/>
          <w:noProof/>
          <w:lang w:val="fr-CA"/>
        </w:rPr>
      </w:pPr>
      <w:r w:rsidRPr="009078C7">
        <w:rPr>
          <w:rFonts w:cs="Times New Roman"/>
          <w:noProof/>
          <w:lang w:val="fr-CA"/>
        </w:rPr>
        <w:t>Possession continue par opposition à occupation continue</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Les Mowatt affirment tout d</w:t>
      </w:r>
      <w:r>
        <w:rPr>
          <w:rFonts w:cs="Times New Roman"/>
          <w:noProof/>
          <w:lang w:val="fr-CA"/>
        </w:rPr>
        <w:t>’</w:t>
      </w:r>
      <w:r w:rsidRPr="009078C7">
        <w:rPr>
          <w:rFonts w:cs="Times New Roman"/>
          <w:noProof/>
          <w:lang w:val="fr-CA"/>
        </w:rPr>
        <w:t xml:space="preserve">abord que le juge en cabinet a mal évalué la revendication de possession adversative continue en confondant la </w:t>
      </w:r>
      <w:r w:rsidRPr="009078C7">
        <w:rPr>
          <w:rFonts w:cs="Times New Roman"/>
          <w:i/>
          <w:noProof/>
          <w:lang w:val="fr-CA"/>
        </w:rPr>
        <w:t>possession</w:t>
      </w:r>
      <w:r w:rsidRPr="009078C7">
        <w:rPr>
          <w:rFonts w:cs="Times New Roman"/>
          <w:noProof/>
          <w:lang w:val="fr-CA"/>
        </w:rPr>
        <w:t xml:space="preserve"> avec l</w:t>
      </w:r>
      <w:r>
        <w:rPr>
          <w:rFonts w:cs="Times New Roman"/>
          <w:noProof/>
          <w:lang w:val="fr-CA"/>
        </w:rPr>
        <w:t>’</w:t>
      </w:r>
      <w:r w:rsidRPr="009078C7">
        <w:rPr>
          <w:rFonts w:cs="Times New Roman"/>
          <w:i/>
          <w:noProof/>
          <w:lang w:val="fr-CA"/>
        </w:rPr>
        <w:t>occupation</w:t>
      </w:r>
      <w:r w:rsidRPr="009078C7">
        <w:rPr>
          <w:rFonts w:cs="Times New Roman"/>
          <w:noProof/>
          <w:lang w:val="fr-CA"/>
        </w:rPr>
        <w:t>, les obligeant ainsi à faire la preuve d</w:t>
      </w:r>
      <w:r>
        <w:rPr>
          <w:rFonts w:cs="Times New Roman"/>
          <w:noProof/>
          <w:lang w:val="fr-CA"/>
        </w:rPr>
        <w:t>’</w:t>
      </w:r>
      <w:r w:rsidRPr="009078C7">
        <w:rPr>
          <w:rFonts w:cs="Times New Roman"/>
          <w:noProof/>
          <w:lang w:val="fr-CA"/>
        </w:rPr>
        <w:t>une occupation continue alors que la question centrale à trancher concernait la continuité de la possession. À cet égard, ils estiment que comme la possession d</w:t>
      </w:r>
      <w:r>
        <w:rPr>
          <w:rFonts w:cs="Times New Roman"/>
          <w:noProof/>
          <w:lang w:val="fr-CA"/>
        </w:rPr>
        <w:t>’</w:t>
      </w:r>
      <w:r w:rsidRPr="009078C7">
        <w:rPr>
          <w:rFonts w:cs="Times New Roman"/>
          <w:noProof/>
          <w:lang w:val="fr-CA"/>
        </w:rPr>
        <w:t>une propriété est possible même en l</w:t>
      </w:r>
      <w:r>
        <w:rPr>
          <w:rFonts w:cs="Times New Roman"/>
          <w:noProof/>
          <w:lang w:val="fr-CA"/>
        </w:rPr>
        <w:t>’</w:t>
      </w:r>
      <w:r w:rsidRPr="009078C7">
        <w:rPr>
          <w:rFonts w:cs="Times New Roman"/>
          <w:noProof/>
          <w:lang w:val="fr-CA"/>
        </w:rPr>
        <w:t>absence d</w:t>
      </w:r>
      <w:r>
        <w:rPr>
          <w:rFonts w:cs="Times New Roman"/>
          <w:noProof/>
          <w:lang w:val="fr-CA"/>
        </w:rPr>
        <w:t>’</w:t>
      </w:r>
      <w:r w:rsidRPr="009078C7">
        <w:rPr>
          <w:rFonts w:cs="Times New Roman"/>
          <w:noProof/>
          <w:lang w:val="fr-CA"/>
        </w:rPr>
        <w:t>une occupation à temps plein, le juge en cabinet devait conclure que les Cooper avaient abandonné le lot en litige en 1916 avant de décider que la possession avait été interrompue de 1916 à 1920, ce qu</w:t>
      </w:r>
      <w:r>
        <w:rPr>
          <w:rFonts w:cs="Times New Roman"/>
          <w:noProof/>
          <w:lang w:val="fr-CA"/>
        </w:rPr>
        <w:t>’</w:t>
      </w:r>
      <w:r w:rsidRPr="009078C7">
        <w:rPr>
          <w:rFonts w:cs="Times New Roman"/>
          <w:noProof/>
          <w:lang w:val="fr-CA"/>
        </w:rPr>
        <w:t>il n</w:t>
      </w:r>
      <w:r>
        <w:rPr>
          <w:rFonts w:cs="Times New Roman"/>
          <w:noProof/>
          <w:lang w:val="fr-CA"/>
        </w:rPr>
        <w:t>’</w:t>
      </w:r>
      <w:r w:rsidRPr="009078C7">
        <w:rPr>
          <w:rFonts w:cs="Times New Roman"/>
          <w:noProof/>
          <w:lang w:val="fr-CA"/>
        </w:rPr>
        <w:t xml:space="preserve">a pas fait. </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Je vais d</w:t>
      </w:r>
      <w:r>
        <w:rPr>
          <w:rFonts w:cs="Times New Roman"/>
          <w:noProof/>
          <w:lang w:val="fr-CA"/>
        </w:rPr>
        <w:t>’</w:t>
      </w:r>
      <w:r w:rsidRPr="009078C7">
        <w:rPr>
          <w:rFonts w:cs="Times New Roman"/>
          <w:noProof/>
          <w:lang w:val="fr-CA"/>
        </w:rPr>
        <w:t>abord trancher l</w:t>
      </w:r>
      <w:r>
        <w:rPr>
          <w:rFonts w:cs="Times New Roman"/>
          <w:noProof/>
          <w:lang w:val="fr-CA"/>
        </w:rPr>
        <w:t>’</w:t>
      </w:r>
      <w:r w:rsidRPr="009078C7">
        <w:rPr>
          <w:rFonts w:cs="Times New Roman"/>
          <w:noProof/>
          <w:lang w:val="fr-CA"/>
        </w:rPr>
        <w:t>argument concernant l</w:t>
      </w:r>
      <w:r>
        <w:rPr>
          <w:rFonts w:cs="Times New Roman"/>
          <w:noProof/>
          <w:lang w:val="fr-CA"/>
        </w:rPr>
        <w:t>’</w:t>
      </w:r>
      <w:r w:rsidRPr="009078C7">
        <w:rPr>
          <w:rFonts w:cs="Times New Roman"/>
          <w:noProof/>
          <w:lang w:val="fr-CA"/>
        </w:rPr>
        <w:t>abandon. Il n</w:t>
      </w:r>
      <w:r>
        <w:rPr>
          <w:rFonts w:cs="Times New Roman"/>
          <w:noProof/>
          <w:lang w:val="fr-CA"/>
        </w:rPr>
        <w:t>’</w:t>
      </w:r>
      <w:r w:rsidRPr="009078C7">
        <w:rPr>
          <w:rFonts w:cs="Times New Roman"/>
          <w:noProof/>
          <w:lang w:val="fr-CA"/>
        </w:rPr>
        <w:t>était pas nécessaire que le juge en cabinet conclue explicitement à l</w:t>
      </w:r>
      <w:r>
        <w:rPr>
          <w:rFonts w:cs="Times New Roman"/>
          <w:noProof/>
          <w:lang w:val="fr-CA"/>
        </w:rPr>
        <w:t>’</w:t>
      </w:r>
      <w:r w:rsidRPr="009078C7">
        <w:rPr>
          <w:rFonts w:cs="Times New Roman"/>
          <w:noProof/>
          <w:lang w:val="fr-CA"/>
        </w:rPr>
        <w:t>abandon par les Cooper du lot en litige pour décider que la possession avait été interrompue. En effet, il incombait aux Mowatt de faire la preuve de la possession continue selon la prépondérance des probabilités, et non à la ville de démontrer qu</w:t>
      </w:r>
      <w:r>
        <w:rPr>
          <w:rFonts w:cs="Times New Roman"/>
          <w:noProof/>
          <w:lang w:val="fr-CA"/>
        </w:rPr>
        <w:t>’</w:t>
      </w:r>
      <w:r w:rsidRPr="009078C7">
        <w:rPr>
          <w:rFonts w:cs="Times New Roman"/>
          <w:noProof/>
          <w:lang w:val="fr-CA"/>
        </w:rPr>
        <w:t>il y avait eu abandon. De plus, la fin de la possession et l</w:t>
      </w:r>
      <w:r>
        <w:rPr>
          <w:rFonts w:cs="Times New Roman"/>
          <w:noProof/>
          <w:lang w:val="fr-CA"/>
        </w:rPr>
        <w:t>’</w:t>
      </w:r>
      <w:r w:rsidRPr="009078C7">
        <w:rPr>
          <w:rFonts w:cs="Times New Roman"/>
          <w:noProof/>
          <w:lang w:val="fr-CA"/>
        </w:rPr>
        <w:t>abandon sont en fait tout simplement les deux côtés de la même médaille. Lorsque la possession se termine, l</w:t>
      </w:r>
      <w:r>
        <w:rPr>
          <w:rFonts w:cs="Times New Roman"/>
          <w:noProof/>
          <w:lang w:val="fr-CA"/>
        </w:rPr>
        <w:t>’</w:t>
      </w:r>
      <w:r w:rsidRPr="009078C7">
        <w:rPr>
          <w:rFonts w:cs="Times New Roman"/>
          <w:noProof/>
          <w:lang w:val="fr-CA"/>
        </w:rPr>
        <w:t>abandon commence. L</w:t>
      </w:r>
      <w:r>
        <w:rPr>
          <w:rFonts w:cs="Times New Roman"/>
          <w:noProof/>
          <w:lang w:val="fr-CA"/>
        </w:rPr>
        <w:t>’</w:t>
      </w:r>
      <w:r w:rsidRPr="009078C7">
        <w:rPr>
          <w:rFonts w:cs="Times New Roman"/>
          <w:noProof/>
          <w:lang w:val="fr-CA"/>
        </w:rPr>
        <w:t>absence de conclusion explicite d</w:t>
      </w:r>
      <w:r>
        <w:rPr>
          <w:rFonts w:cs="Times New Roman"/>
          <w:noProof/>
          <w:lang w:val="fr-CA"/>
        </w:rPr>
        <w:t>’</w:t>
      </w:r>
      <w:r w:rsidRPr="009078C7">
        <w:rPr>
          <w:rFonts w:cs="Times New Roman"/>
          <w:noProof/>
          <w:lang w:val="fr-CA"/>
        </w:rPr>
        <w:t>abandon n</w:t>
      </w:r>
      <w:r>
        <w:rPr>
          <w:rFonts w:cs="Times New Roman"/>
          <w:noProof/>
          <w:lang w:val="fr-CA"/>
        </w:rPr>
        <w:t>’</w:t>
      </w:r>
      <w:r w:rsidRPr="009078C7">
        <w:rPr>
          <w:rFonts w:cs="Times New Roman"/>
          <w:noProof/>
          <w:lang w:val="fr-CA"/>
        </w:rPr>
        <w:t>a donc aucune importance sur le plan juridique; de fait, il découle du constat que la possession continue du lot en litige n</w:t>
      </w:r>
      <w:r>
        <w:rPr>
          <w:rFonts w:cs="Times New Roman"/>
          <w:noProof/>
          <w:lang w:val="fr-CA"/>
        </w:rPr>
        <w:t>’</w:t>
      </w:r>
      <w:r w:rsidRPr="009078C7">
        <w:rPr>
          <w:rFonts w:cs="Times New Roman"/>
          <w:noProof/>
          <w:lang w:val="fr-CA"/>
        </w:rPr>
        <w:t>a pas été établie pour la période postérieure à janvier 1916</w:t>
      </w:r>
      <w:r w:rsidR="000F602F">
        <w:rPr>
          <w:rFonts w:cs="Times New Roman"/>
          <w:noProof/>
          <w:lang w:val="fr-CA"/>
        </w:rPr>
        <w:t>,</w:t>
      </w:r>
      <w:r w:rsidRPr="009078C7">
        <w:rPr>
          <w:rFonts w:cs="Times New Roman"/>
          <w:noProof/>
          <w:lang w:val="fr-CA"/>
        </w:rPr>
        <w:t xml:space="preserve"> qu</w:t>
      </w:r>
      <w:r>
        <w:rPr>
          <w:rFonts w:cs="Times New Roman"/>
          <w:noProof/>
          <w:lang w:val="fr-CA"/>
        </w:rPr>
        <w:t>’</w:t>
      </w:r>
      <w:r w:rsidRPr="009078C7">
        <w:rPr>
          <w:rFonts w:cs="Times New Roman"/>
          <w:noProof/>
          <w:lang w:val="fr-CA"/>
        </w:rPr>
        <w:t>il a été abandonné.</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lastRenderedPageBreak/>
        <w:t>Quant à la question de savoir si le juge en cabinet a confondu la possession avec l</w:t>
      </w:r>
      <w:r>
        <w:rPr>
          <w:rFonts w:cs="Times New Roman"/>
          <w:noProof/>
          <w:lang w:val="fr-CA"/>
        </w:rPr>
        <w:t>’</w:t>
      </w:r>
      <w:r w:rsidRPr="009078C7">
        <w:rPr>
          <w:rFonts w:cs="Times New Roman"/>
          <w:noProof/>
          <w:lang w:val="fr-CA"/>
        </w:rPr>
        <w:t>occupation, je reconnais que cette dernière n</w:t>
      </w:r>
      <w:r>
        <w:rPr>
          <w:rFonts w:cs="Times New Roman"/>
          <w:noProof/>
          <w:lang w:val="fr-CA"/>
        </w:rPr>
        <w:t>’</w:t>
      </w:r>
      <w:r w:rsidRPr="009078C7">
        <w:rPr>
          <w:rFonts w:cs="Times New Roman"/>
          <w:noProof/>
          <w:lang w:val="fr-CA"/>
        </w:rPr>
        <w:t>a pas à être continue pour qu</w:t>
      </w:r>
      <w:r>
        <w:rPr>
          <w:rFonts w:cs="Times New Roman"/>
          <w:noProof/>
          <w:lang w:val="fr-CA"/>
        </w:rPr>
        <w:t>’</w:t>
      </w:r>
      <w:r w:rsidRPr="009078C7">
        <w:rPr>
          <w:rFonts w:cs="Times New Roman"/>
          <w:noProof/>
          <w:lang w:val="fr-CA"/>
        </w:rPr>
        <w:t>il y ait « possession ». En effet, en common law, une personne peut avoir une possession suffisante pour fonder un titre tout en utilisant la propriété en question de façon intermittente ou sporadique</w:t>
      </w:r>
      <w:r>
        <w:rPr>
          <w:rFonts w:cs="Times New Roman"/>
          <w:noProof/>
          <w:lang w:val="fr-CA"/>
        </w:rPr>
        <w:t> :</w:t>
      </w:r>
      <w:r w:rsidRPr="009078C7">
        <w:rPr>
          <w:rFonts w:cs="Times New Roman"/>
          <w:noProof/>
          <w:lang w:val="fr-CA"/>
        </w:rPr>
        <w:t xml:space="preserve"> </w:t>
      </w:r>
      <w:r w:rsidRPr="009078C7">
        <w:rPr>
          <w:rFonts w:cs="Times New Roman"/>
          <w:i/>
          <w:noProof/>
          <w:lang w:val="fr-CA"/>
        </w:rPr>
        <w:t>R. c. Marshall</w:t>
      </w:r>
      <w:r w:rsidRPr="009078C7">
        <w:rPr>
          <w:rFonts w:cs="Times New Roman"/>
          <w:noProof/>
          <w:lang w:val="fr-CA"/>
        </w:rPr>
        <w:t xml:space="preserve">, 2005 CSC 43, [2005] 2 R.C.S. 220, </w:t>
      </w:r>
      <w:r>
        <w:rPr>
          <w:rFonts w:cs="Times New Roman"/>
          <w:noProof/>
          <w:lang w:val="fr-CA"/>
        </w:rPr>
        <w:t>par. </w:t>
      </w:r>
      <w:r w:rsidRPr="009078C7">
        <w:rPr>
          <w:rFonts w:cs="Times New Roman"/>
          <w:noProof/>
          <w:lang w:val="fr-CA"/>
        </w:rPr>
        <w:t>54. Bref, il est possible d</w:t>
      </w:r>
      <w:r>
        <w:rPr>
          <w:rFonts w:cs="Times New Roman"/>
          <w:noProof/>
          <w:lang w:val="fr-CA"/>
        </w:rPr>
        <w:t>’</w:t>
      </w:r>
      <w:r w:rsidRPr="009078C7">
        <w:rPr>
          <w:rFonts w:cs="Times New Roman"/>
          <w:noProof/>
          <w:lang w:val="fr-CA"/>
        </w:rPr>
        <w:t>avoir la possession d</w:t>
      </w:r>
      <w:r>
        <w:rPr>
          <w:rFonts w:cs="Times New Roman"/>
          <w:noProof/>
          <w:lang w:val="fr-CA"/>
        </w:rPr>
        <w:t>’</w:t>
      </w:r>
      <w:r w:rsidRPr="009078C7">
        <w:rPr>
          <w:rFonts w:cs="Times New Roman"/>
          <w:noProof/>
          <w:lang w:val="fr-CA"/>
        </w:rPr>
        <w:t>une propriété sans l</w:t>
      </w:r>
      <w:r>
        <w:rPr>
          <w:rFonts w:cs="Times New Roman"/>
          <w:noProof/>
          <w:lang w:val="fr-CA"/>
        </w:rPr>
        <w:t>’</w:t>
      </w:r>
      <w:r w:rsidRPr="009078C7">
        <w:rPr>
          <w:rFonts w:cs="Times New Roman"/>
          <w:noProof/>
          <w:lang w:val="fr-CA"/>
        </w:rPr>
        <w:t>occuper en tout temps. Je reconnais aussi que l</w:t>
      </w:r>
      <w:r>
        <w:rPr>
          <w:rFonts w:cs="Times New Roman"/>
          <w:noProof/>
          <w:lang w:val="fr-CA"/>
        </w:rPr>
        <w:t>’</w:t>
      </w:r>
      <w:r w:rsidRPr="009078C7">
        <w:rPr>
          <w:rFonts w:cs="Times New Roman"/>
          <w:noProof/>
          <w:lang w:val="fr-CA"/>
        </w:rPr>
        <w:t xml:space="preserve">utilisation répétée du mot « occupation » par le juge en cabinet (plutôt que du mot « possession », voir, </w:t>
      </w:r>
      <w:r>
        <w:rPr>
          <w:rFonts w:cs="Times New Roman"/>
          <w:noProof/>
          <w:lang w:val="fr-CA"/>
        </w:rPr>
        <w:t>p. </w:t>
      </w:r>
      <w:r w:rsidRPr="009078C7">
        <w:rPr>
          <w:rFonts w:cs="Times New Roman"/>
          <w:noProof/>
          <w:lang w:val="fr-CA"/>
        </w:rPr>
        <w:t xml:space="preserve">ex., la première décision, </w:t>
      </w:r>
      <w:r>
        <w:rPr>
          <w:rFonts w:cs="Times New Roman"/>
          <w:noProof/>
          <w:lang w:val="fr-CA"/>
        </w:rPr>
        <w:t>par. </w:t>
      </w:r>
      <w:r w:rsidRPr="009078C7">
        <w:rPr>
          <w:rFonts w:cs="Times New Roman"/>
          <w:noProof/>
          <w:lang w:val="fr-CA"/>
        </w:rPr>
        <w:t>109 et 112</w:t>
      </w:r>
      <w:r w:rsidR="00C74844">
        <w:rPr>
          <w:rFonts w:cs="Times New Roman"/>
          <w:noProof/>
          <w:lang w:val="fr-CA"/>
        </w:rPr>
        <w:t>,</w:t>
      </w:r>
      <w:r w:rsidRPr="009078C7">
        <w:rPr>
          <w:rFonts w:cs="Times New Roman"/>
          <w:noProof/>
          <w:lang w:val="fr-CA"/>
        </w:rPr>
        <w:t xml:space="preserve"> et la seconde décision, </w:t>
      </w:r>
      <w:r>
        <w:rPr>
          <w:rFonts w:cs="Times New Roman"/>
          <w:noProof/>
          <w:lang w:val="fr-CA"/>
        </w:rPr>
        <w:t>par. </w:t>
      </w:r>
      <w:r w:rsidRPr="009078C7">
        <w:rPr>
          <w:rFonts w:cs="Times New Roman"/>
          <w:noProof/>
          <w:lang w:val="fr-CA"/>
        </w:rPr>
        <w:t>3, 46 et 52 (CanLII)) tend à appuyer l</w:t>
      </w:r>
      <w:r>
        <w:rPr>
          <w:rFonts w:cs="Times New Roman"/>
          <w:noProof/>
          <w:lang w:val="fr-CA"/>
        </w:rPr>
        <w:t>’</w:t>
      </w:r>
      <w:r w:rsidRPr="009078C7">
        <w:rPr>
          <w:rFonts w:cs="Times New Roman"/>
          <w:noProof/>
          <w:lang w:val="fr-CA"/>
        </w:rPr>
        <w:t xml:space="preserve">argument des Mowatt selon lequel il a confondu ces deux concepts différents. </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Je ne suis toutefois pas convaincu qu</w:t>
      </w:r>
      <w:r>
        <w:rPr>
          <w:rFonts w:cs="Times New Roman"/>
          <w:noProof/>
          <w:lang w:val="fr-CA"/>
        </w:rPr>
        <w:t>’</w:t>
      </w:r>
      <w:r w:rsidRPr="009078C7">
        <w:rPr>
          <w:rFonts w:cs="Times New Roman"/>
          <w:noProof/>
          <w:lang w:val="fr-CA"/>
        </w:rPr>
        <w:t>il y a lieu pour autant d</w:t>
      </w:r>
      <w:r>
        <w:rPr>
          <w:rFonts w:cs="Times New Roman"/>
          <w:noProof/>
          <w:lang w:val="fr-CA"/>
        </w:rPr>
        <w:t>’</w:t>
      </w:r>
      <w:r w:rsidRPr="009078C7">
        <w:rPr>
          <w:rFonts w:cs="Times New Roman"/>
          <w:noProof/>
          <w:lang w:val="fr-CA"/>
        </w:rPr>
        <w:t>infirmer la décision du juge en cabinet. Même si ce dernier a fait occasionnellement référence à la « possession » et à l</w:t>
      </w:r>
      <w:r>
        <w:rPr>
          <w:rFonts w:cs="Times New Roman"/>
          <w:noProof/>
          <w:lang w:val="fr-CA"/>
        </w:rPr>
        <w:t>’</w:t>
      </w:r>
      <w:r w:rsidRPr="009078C7">
        <w:rPr>
          <w:rFonts w:cs="Times New Roman"/>
          <w:noProof/>
          <w:lang w:val="fr-CA"/>
        </w:rPr>
        <w:t>« occupation », semble</w:t>
      </w:r>
      <w:r>
        <w:rPr>
          <w:rFonts w:cs="Times New Roman"/>
          <w:noProof/>
          <w:lang w:val="fr-CA"/>
        </w:rPr>
        <w:noBreakHyphen/>
      </w:r>
      <w:r w:rsidRPr="009078C7">
        <w:rPr>
          <w:rFonts w:cs="Times New Roman"/>
          <w:noProof/>
          <w:lang w:val="fr-CA"/>
        </w:rPr>
        <w:t>t</w:t>
      </w:r>
      <w:r>
        <w:rPr>
          <w:rFonts w:cs="Times New Roman"/>
          <w:noProof/>
          <w:lang w:val="fr-CA"/>
        </w:rPr>
        <w:noBreakHyphen/>
      </w:r>
      <w:r w:rsidRPr="009078C7">
        <w:rPr>
          <w:rFonts w:cs="Times New Roman"/>
          <w:noProof/>
          <w:lang w:val="fr-CA"/>
        </w:rPr>
        <w:t>il de manière interchangeable, il savait manifestement que c</w:t>
      </w:r>
      <w:r>
        <w:rPr>
          <w:rFonts w:cs="Times New Roman"/>
          <w:noProof/>
          <w:lang w:val="fr-CA"/>
        </w:rPr>
        <w:t>’</w:t>
      </w:r>
      <w:r w:rsidRPr="009078C7">
        <w:rPr>
          <w:rFonts w:cs="Times New Roman"/>
          <w:noProof/>
          <w:lang w:val="fr-CA"/>
        </w:rPr>
        <w:t>était de possession continue qu</w:t>
      </w:r>
      <w:r>
        <w:rPr>
          <w:rFonts w:cs="Times New Roman"/>
          <w:noProof/>
          <w:lang w:val="fr-CA"/>
        </w:rPr>
        <w:t>’</w:t>
      </w:r>
      <w:r w:rsidRPr="009078C7">
        <w:rPr>
          <w:rFonts w:cs="Times New Roman"/>
          <w:noProof/>
          <w:lang w:val="fr-CA"/>
        </w:rPr>
        <w:t>il devait se préoccuper et non pas d</w:t>
      </w:r>
      <w:r>
        <w:rPr>
          <w:rFonts w:cs="Times New Roman"/>
          <w:noProof/>
          <w:lang w:val="fr-CA"/>
        </w:rPr>
        <w:t>’</w:t>
      </w:r>
      <w:r w:rsidRPr="009078C7">
        <w:rPr>
          <w:rFonts w:cs="Times New Roman"/>
          <w:noProof/>
          <w:lang w:val="fr-CA"/>
        </w:rPr>
        <w:t>occupation. D</w:t>
      </w:r>
      <w:r>
        <w:rPr>
          <w:rFonts w:cs="Times New Roman"/>
          <w:noProof/>
          <w:lang w:val="fr-CA"/>
        </w:rPr>
        <w:t>’</w:t>
      </w:r>
      <w:r w:rsidRPr="009078C7">
        <w:rPr>
          <w:rFonts w:cs="Times New Roman"/>
          <w:noProof/>
          <w:lang w:val="fr-CA"/>
        </w:rPr>
        <w:t>ailleurs, il a fait référence au bon test juridique</w:t>
      </w:r>
      <w:r>
        <w:rPr>
          <w:rFonts w:cs="Times New Roman"/>
          <w:noProof/>
          <w:lang w:val="fr-CA"/>
        </w:rPr>
        <w:t> :</w:t>
      </w:r>
      <w:r w:rsidRPr="009078C7">
        <w:rPr>
          <w:rFonts w:cs="Times New Roman"/>
          <w:noProof/>
          <w:lang w:val="fr-CA"/>
        </w:rPr>
        <w:t xml:space="preserve"> première décision, </w:t>
      </w:r>
      <w:r>
        <w:rPr>
          <w:rFonts w:cs="Times New Roman"/>
          <w:noProof/>
          <w:lang w:val="fr-CA"/>
        </w:rPr>
        <w:t>par. </w:t>
      </w:r>
      <w:r w:rsidR="00C74844">
        <w:rPr>
          <w:rFonts w:cs="Times New Roman"/>
          <w:noProof/>
          <w:lang w:val="fr-CA"/>
        </w:rPr>
        <w:t>22-</w:t>
      </w:r>
      <w:r w:rsidRPr="009078C7">
        <w:rPr>
          <w:rFonts w:cs="Times New Roman"/>
          <w:noProof/>
          <w:lang w:val="fr-CA"/>
        </w:rPr>
        <w:t>23. De plus, en l</w:t>
      </w:r>
      <w:r>
        <w:rPr>
          <w:rFonts w:cs="Times New Roman"/>
          <w:noProof/>
          <w:lang w:val="fr-CA"/>
        </w:rPr>
        <w:t>’</w:t>
      </w:r>
      <w:r w:rsidRPr="009078C7">
        <w:rPr>
          <w:rFonts w:cs="Times New Roman"/>
          <w:noProof/>
          <w:lang w:val="fr-CA"/>
        </w:rPr>
        <w:t xml:space="preserve">espèce, la distinction entre ces deux concepts était insignifiante. En effet, les éléments de preuve que les Mowatt ont présentés quant </w:t>
      </w:r>
      <w:r w:rsidR="00C74844">
        <w:rPr>
          <w:rFonts w:cs="Times New Roman"/>
          <w:noProof/>
          <w:lang w:val="fr-CA"/>
        </w:rPr>
        <w:t>aux Cooper, aux Goucher et aux Thorpe</w:t>
      </w:r>
      <w:r w:rsidRPr="009078C7">
        <w:rPr>
          <w:rFonts w:cs="Times New Roman"/>
          <w:noProof/>
          <w:lang w:val="fr-CA"/>
        </w:rPr>
        <w:t xml:space="preserve"> concernaient, règle générale, leur </w:t>
      </w:r>
      <w:r w:rsidRPr="009078C7">
        <w:rPr>
          <w:rFonts w:cs="Times New Roman"/>
          <w:i/>
          <w:noProof/>
          <w:lang w:val="fr-CA"/>
        </w:rPr>
        <w:t>occupation</w:t>
      </w:r>
      <w:r w:rsidRPr="009078C7">
        <w:rPr>
          <w:rFonts w:cs="Times New Roman"/>
          <w:noProof/>
          <w:lang w:val="fr-CA"/>
        </w:rPr>
        <w:t xml:space="preserve"> du lot en litige. Aucune forme de possession par l</w:t>
      </w:r>
      <w:r>
        <w:rPr>
          <w:rFonts w:cs="Times New Roman"/>
          <w:noProof/>
          <w:lang w:val="fr-CA"/>
        </w:rPr>
        <w:t>’</w:t>
      </w:r>
      <w:r w:rsidRPr="009078C7">
        <w:rPr>
          <w:rFonts w:cs="Times New Roman"/>
          <w:noProof/>
          <w:lang w:val="fr-CA"/>
        </w:rPr>
        <w:t>un ou l</w:t>
      </w:r>
      <w:r>
        <w:rPr>
          <w:rFonts w:cs="Times New Roman"/>
          <w:noProof/>
          <w:lang w:val="fr-CA"/>
        </w:rPr>
        <w:t>’</w:t>
      </w:r>
      <w:r w:rsidRPr="009078C7">
        <w:rPr>
          <w:rFonts w:cs="Times New Roman"/>
          <w:noProof/>
          <w:lang w:val="fr-CA"/>
        </w:rPr>
        <w:t>autre d</w:t>
      </w:r>
      <w:r>
        <w:rPr>
          <w:rFonts w:cs="Times New Roman"/>
          <w:noProof/>
          <w:lang w:val="fr-CA"/>
        </w:rPr>
        <w:t>’</w:t>
      </w:r>
      <w:r w:rsidRPr="009078C7">
        <w:rPr>
          <w:rFonts w:cs="Times New Roman"/>
          <w:noProof/>
          <w:lang w:val="fr-CA"/>
        </w:rPr>
        <w:t>entre eux autre que l</w:t>
      </w:r>
      <w:r>
        <w:rPr>
          <w:rFonts w:cs="Times New Roman"/>
          <w:noProof/>
          <w:lang w:val="fr-CA"/>
        </w:rPr>
        <w:t>’</w:t>
      </w:r>
      <w:r w:rsidRPr="009078C7">
        <w:rPr>
          <w:rFonts w:cs="Times New Roman"/>
          <w:noProof/>
          <w:lang w:val="fr-CA"/>
        </w:rPr>
        <w:t>occupation durant la période visée par la « lacune de la preuve » n</w:t>
      </w:r>
      <w:r>
        <w:rPr>
          <w:rFonts w:cs="Times New Roman"/>
          <w:noProof/>
          <w:lang w:val="fr-CA"/>
        </w:rPr>
        <w:t>’</w:t>
      </w:r>
      <w:r w:rsidRPr="009078C7">
        <w:rPr>
          <w:rFonts w:cs="Times New Roman"/>
          <w:noProof/>
          <w:lang w:val="fr-CA"/>
        </w:rPr>
        <w:t>a été plaidée devant le juge en cabinet à titre de forme de possession appuyée par la preuve. Bref, il y a eu chevauchement des deux concepts en ce qui a trait aux faits mis en preuve en l</w:t>
      </w:r>
      <w:r>
        <w:rPr>
          <w:rFonts w:cs="Times New Roman"/>
          <w:noProof/>
          <w:lang w:val="fr-CA"/>
        </w:rPr>
        <w:t>’</w:t>
      </w:r>
      <w:r w:rsidRPr="009078C7">
        <w:rPr>
          <w:rFonts w:cs="Times New Roman"/>
          <w:noProof/>
          <w:lang w:val="fr-CA"/>
        </w:rPr>
        <w:t xml:space="preserve">espèce </w:t>
      </w:r>
      <w:r w:rsidRPr="009078C7">
        <w:rPr>
          <w:rFonts w:cs="Times New Roman"/>
          <w:noProof/>
          <w:lang w:val="fr-CA"/>
        </w:rPr>
        <w:lastRenderedPageBreak/>
        <w:t>et j</w:t>
      </w:r>
      <w:r>
        <w:rPr>
          <w:rFonts w:cs="Times New Roman"/>
          <w:noProof/>
          <w:lang w:val="fr-CA"/>
        </w:rPr>
        <w:t>’</w:t>
      </w:r>
      <w:r w:rsidRPr="009078C7">
        <w:rPr>
          <w:rFonts w:cs="Times New Roman"/>
          <w:noProof/>
          <w:lang w:val="fr-CA"/>
        </w:rPr>
        <w:t>estime que la mention occasionnelle de l</w:t>
      </w:r>
      <w:r>
        <w:rPr>
          <w:rFonts w:cs="Times New Roman"/>
          <w:noProof/>
          <w:lang w:val="fr-CA"/>
        </w:rPr>
        <w:t>’</w:t>
      </w:r>
      <w:r w:rsidRPr="009078C7">
        <w:rPr>
          <w:rFonts w:cs="Times New Roman"/>
          <w:noProof/>
          <w:lang w:val="fr-CA"/>
        </w:rPr>
        <w:t>occupation par le juge en cabinet n</w:t>
      </w:r>
      <w:r>
        <w:rPr>
          <w:rFonts w:cs="Times New Roman"/>
          <w:noProof/>
          <w:lang w:val="fr-CA"/>
        </w:rPr>
        <w:t>’</w:t>
      </w:r>
      <w:r w:rsidRPr="009078C7">
        <w:rPr>
          <w:rFonts w:cs="Times New Roman"/>
          <w:noProof/>
          <w:lang w:val="fr-CA"/>
        </w:rPr>
        <w:t>a pas donné lieu à une erreur de sa part dans le contexte de l</w:t>
      </w:r>
      <w:r>
        <w:rPr>
          <w:rFonts w:cs="Times New Roman"/>
          <w:noProof/>
          <w:lang w:val="fr-CA"/>
        </w:rPr>
        <w:t>’</w:t>
      </w:r>
      <w:r w:rsidRPr="009078C7">
        <w:rPr>
          <w:rFonts w:cs="Times New Roman"/>
          <w:noProof/>
          <w:lang w:val="fr-CA"/>
        </w:rPr>
        <w:t>application du test relatif à la possession adversative.</w:t>
      </w:r>
    </w:p>
    <w:p w:rsidR="00190EF2" w:rsidRPr="009078C7" w:rsidRDefault="00190EF2" w:rsidP="00BF1D7F">
      <w:pPr>
        <w:pStyle w:val="Title3LevelTitre3Niveau"/>
        <w:widowControl w:val="0"/>
        <w:rPr>
          <w:rFonts w:cs="Times New Roman"/>
          <w:noProof/>
          <w:lang w:val="fr-CA"/>
        </w:rPr>
      </w:pPr>
      <w:r w:rsidRPr="009078C7">
        <w:rPr>
          <w:rFonts w:cs="Times New Roman"/>
          <w:noProof/>
          <w:lang w:val="fr-CA"/>
        </w:rPr>
        <w:t>Examen de la preuve</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Le principal facteur contribuant à la « lacune de la preuve » réside dans les éléments de preuve concernant les activités des Cooper et des Goucher de 1916 à 1920 inclusivement. Plus précisément, tant les parties que le juge en cabinet se sont attardés à la preuve relative à la question de savoir si un membre de la famille Cooper avait conservé la possession du lot en litige après le départ de George W. en janvier 1916, et à celle relative à la question de savoir pendant combien de temps les Goucher avaient eu la possession du lot en litige, le cas échéant, avant que leur nom figure sur la liste électorale de Fairview en novembre 1920.</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Dans le cas des Cooper, nous savons que George W. a déménagé en Australie en janvier 1916. Son fils George R. a épousé Carrie en mai 1915 et une fille, Delores, est née le même mois. Un fils, George S., a suivi en octobre</w:t>
      </w:r>
      <w:r>
        <w:rPr>
          <w:rFonts w:cs="Times New Roman"/>
          <w:noProof/>
          <w:lang w:val="fr-CA"/>
        </w:rPr>
        <w:t xml:space="preserve"> </w:t>
      </w:r>
      <w:r w:rsidRPr="009078C7">
        <w:rPr>
          <w:rFonts w:cs="Times New Roman"/>
          <w:noProof/>
          <w:lang w:val="fr-CA"/>
        </w:rPr>
        <w:t xml:space="preserve">1916. </w:t>
      </w:r>
      <w:r>
        <w:rPr>
          <w:rFonts w:cs="Times New Roman"/>
          <w:noProof/>
          <w:lang w:val="fr-CA"/>
        </w:rPr>
        <w:t xml:space="preserve">De février </w:t>
      </w:r>
      <w:r w:rsidRPr="009078C7">
        <w:rPr>
          <w:rFonts w:cs="Times New Roman"/>
          <w:noProof/>
          <w:lang w:val="fr-CA"/>
        </w:rPr>
        <w:t>1917 jusqu</w:t>
      </w:r>
      <w:r>
        <w:rPr>
          <w:rFonts w:cs="Times New Roman"/>
          <w:noProof/>
          <w:lang w:val="fr-CA"/>
        </w:rPr>
        <w:t>’</w:t>
      </w:r>
      <w:r w:rsidRPr="009078C7">
        <w:rPr>
          <w:rFonts w:cs="Times New Roman"/>
          <w:noProof/>
          <w:lang w:val="fr-CA"/>
        </w:rPr>
        <w:t>à son décès survenu en février 1918 lors d</w:t>
      </w:r>
      <w:r>
        <w:rPr>
          <w:rFonts w:cs="Times New Roman"/>
          <w:noProof/>
          <w:lang w:val="fr-CA"/>
        </w:rPr>
        <w:t>’</w:t>
      </w:r>
      <w:r w:rsidRPr="009078C7">
        <w:rPr>
          <w:rFonts w:cs="Times New Roman"/>
          <w:noProof/>
          <w:lang w:val="fr-CA"/>
        </w:rPr>
        <w:t>un accident du travail, George R. a travaillé pour une fonderie située à Trail, en Colombie</w:t>
      </w:r>
      <w:r>
        <w:rPr>
          <w:rFonts w:cs="Times New Roman"/>
          <w:noProof/>
          <w:lang w:val="fr-CA"/>
        </w:rPr>
        <w:noBreakHyphen/>
      </w:r>
      <w:r w:rsidRPr="009078C7">
        <w:rPr>
          <w:rFonts w:cs="Times New Roman"/>
          <w:noProof/>
          <w:lang w:val="fr-CA"/>
        </w:rPr>
        <w:t>Britannique. Il est probable qu</w:t>
      </w:r>
      <w:r>
        <w:rPr>
          <w:rFonts w:cs="Times New Roman"/>
          <w:noProof/>
          <w:lang w:val="fr-CA"/>
        </w:rPr>
        <w:t>’</w:t>
      </w:r>
      <w:r w:rsidRPr="009078C7">
        <w:rPr>
          <w:rFonts w:cs="Times New Roman"/>
          <w:noProof/>
          <w:lang w:val="fr-CA"/>
        </w:rPr>
        <w:t>en décembre 1917 au plus tard, Carrie et les enfants l</w:t>
      </w:r>
      <w:r>
        <w:rPr>
          <w:rFonts w:cs="Times New Roman"/>
          <w:noProof/>
          <w:lang w:val="fr-CA"/>
        </w:rPr>
        <w:t>’</w:t>
      </w:r>
      <w:r w:rsidRPr="009078C7">
        <w:rPr>
          <w:rFonts w:cs="Times New Roman"/>
          <w:noProof/>
          <w:lang w:val="fr-CA"/>
        </w:rPr>
        <w:t xml:space="preserve">avaient rejoint à Trail. </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 xml:space="preserve">Pour le juge en cabinet, à la lumière de cette preuve, il était certes possible de conclure que des membres de la famille de George R. avaient conservé la possession </w:t>
      </w:r>
      <w:r w:rsidRPr="009078C7">
        <w:rPr>
          <w:rFonts w:cs="Times New Roman"/>
          <w:noProof/>
          <w:lang w:val="fr-CA"/>
        </w:rPr>
        <w:lastRenderedPageBreak/>
        <w:t>du lot en litige après janvier 1916. Il a toutefois refusé de tirer cette conclusion puisque, selon lui, il était tout aussi probable que George R. ait abandonné le lot en litige pour s</w:t>
      </w:r>
      <w:r>
        <w:rPr>
          <w:rFonts w:cs="Times New Roman"/>
          <w:noProof/>
          <w:lang w:val="fr-CA"/>
        </w:rPr>
        <w:t>’</w:t>
      </w:r>
      <w:r w:rsidRPr="009078C7">
        <w:rPr>
          <w:rFonts w:cs="Times New Roman"/>
          <w:noProof/>
          <w:lang w:val="fr-CA"/>
        </w:rPr>
        <w:t>établir ailleurs à compter de son mariage. Les Mowatt et la Cour d</w:t>
      </w:r>
      <w:r>
        <w:rPr>
          <w:rFonts w:cs="Times New Roman"/>
          <w:noProof/>
          <w:lang w:val="fr-CA"/>
        </w:rPr>
        <w:t>’</w:t>
      </w:r>
      <w:r w:rsidRPr="009078C7">
        <w:rPr>
          <w:rFonts w:cs="Times New Roman"/>
          <w:noProof/>
          <w:lang w:val="fr-CA"/>
        </w:rPr>
        <w:t>appel affirment que, pour en arriver à cette conclusion, le juge en cabinet n</w:t>
      </w:r>
      <w:r>
        <w:rPr>
          <w:rFonts w:cs="Times New Roman"/>
          <w:noProof/>
          <w:lang w:val="fr-CA"/>
        </w:rPr>
        <w:t>’</w:t>
      </w:r>
      <w:r w:rsidRPr="009078C7">
        <w:rPr>
          <w:rFonts w:cs="Times New Roman"/>
          <w:noProof/>
          <w:lang w:val="fr-CA"/>
        </w:rPr>
        <w:t>a pas tenu compte de l</w:t>
      </w:r>
      <w:r>
        <w:rPr>
          <w:rFonts w:cs="Times New Roman"/>
          <w:noProof/>
          <w:lang w:val="fr-CA"/>
        </w:rPr>
        <w:t>’</w:t>
      </w:r>
      <w:r w:rsidRPr="009078C7">
        <w:rPr>
          <w:rFonts w:cs="Times New Roman"/>
          <w:noProof/>
          <w:lang w:val="fr-CA"/>
        </w:rPr>
        <w:t>incidence de la déclaration de la fille de George S. (c.</w:t>
      </w:r>
      <w:r>
        <w:rPr>
          <w:rFonts w:cs="Times New Roman"/>
          <w:noProof/>
          <w:lang w:val="fr-CA"/>
        </w:rPr>
        <w:noBreakHyphen/>
      </w:r>
      <w:r w:rsidRPr="009078C7">
        <w:rPr>
          <w:rFonts w:cs="Times New Roman"/>
          <w:noProof/>
          <w:lang w:val="fr-CA"/>
        </w:rPr>
        <w:t>à</w:t>
      </w:r>
      <w:r>
        <w:rPr>
          <w:rFonts w:cs="Times New Roman"/>
          <w:noProof/>
          <w:lang w:val="fr-CA"/>
        </w:rPr>
        <w:noBreakHyphen/>
      </w:r>
      <w:r w:rsidRPr="009078C7">
        <w:rPr>
          <w:rFonts w:cs="Times New Roman"/>
          <w:noProof/>
          <w:lang w:val="fr-CA"/>
        </w:rPr>
        <w:t>d. la petite</w:t>
      </w:r>
      <w:r>
        <w:rPr>
          <w:rFonts w:cs="Times New Roman"/>
          <w:noProof/>
          <w:lang w:val="fr-CA"/>
        </w:rPr>
        <w:noBreakHyphen/>
      </w:r>
      <w:r w:rsidRPr="009078C7">
        <w:rPr>
          <w:rFonts w:cs="Times New Roman"/>
          <w:noProof/>
          <w:lang w:val="fr-CA"/>
        </w:rPr>
        <w:t>fille de George R.) selon laquelle elle [</w:t>
      </w:r>
      <w:r w:rsidRPr="009078C7">
        <w:rPr>
          <w:rFonts w:cs="Times New Roman"/>
          <w:smallCaps/>
          <w:noProof/>
          <w:lang w:val="fr-CA"/>
        </w:rPr>
        <w:t>traduction</w:t>
      </w:r>
      <w:r w:rsidRPr="009078C7">
        <w:rPr>
          <w:rFonts w:cs="Times New Roman"/>
          <w:noProof/>
          <w:lang w:val="fr-CA"/>
        </w:rPr>
        <w:t>] « avait compris » que sa mère (l</w:t>
      </w:r>
      <w:r>
        <w:rPr>
          <w:rFonts w:cs="Times New Roman"/>
          <w:noProof/>
          <w:lang w:val="fr-CA"/>
        </w:rPr>
        <w:t>’</w:t>
      </w:r>
      <w:r w:rsidRPr="009078C7">
        <w:rPr>
          <w:rFonts w:cs="Times New Roman"/>
          <w:noProof/>
          <w:lang w:val="fr-CA"/>
        </w:rPr>
        <w:t>épouse de George S.) « croyait » que George S. était né « au bas de la troisième ou de la quatrième rue », ce qui concorde avec l</w:t>
      </w:r>
      <w:r>
        <w:rPr>
          <w:rFonts w:cs="Times New Roman"/>
          <w:noProof/>
          <w:lang w:val="fr-CA"/>
        </w:rPr>
        <w:t>’</w:t>
      </w:r>
      <w:r w:rsidRPr="009078C7">
        <w:rPr>
          <w:rFonts w:cs="Times New Roman"/>
          <w:noProof/>
          <w:lang w:val="fr-CA"/>
        </w:rPr>
        <w:t>emplacement du lot en litige</w:t>
      </w:r>
      <w:r w:rsidRPr="00190EF2">
        <w:rPr>
          <w:rStyle w:val="Hyperlink"/>
          <w:vertAlign w:val="superscript"/>
        </w:rPr>
        <w:footnoteReference w:id="4"/>
      </w:r>
      <w:r w:rsidRPr="009078C7">
        <w:rPr>
          <w:rFonts w:cs="Times New Roman"/>
          <w:noProof/>
          <w:lang w:val="fr-CA"/>
        </w:rPr>
        <w:t>. Puisque George S. est né neuf mois après le départ de George W. pour l</w:t>
      </w:r>
      <w:r>
        <w:rPr>
          <w:rFonts w:cs="Times New Roman"/>
          <w:noProof/>
          <w:lang w:val="fr-CA"/>
        </w:rPr>
        <w:t>’</w:t>
      </w:r>
      <w:r w:rsidRPr="009078C7">
        <w:rPr>
          <w:rFonts w:cs="Times New Roman"/>
          <w:noProof/>
          <w:lang w:val="fr-CA"/>
        </w:rPr>
        <w:t xml:space="preserve">Australie, cela supposerait évidemment que George R. et sa famille devaient avoir conservé la possession du lot en litige. </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 xml:space="preserve">Or, le juge en cabinet </w:t>
      </w:r>
      <w:r w:rsidRPr="009078C7">
        <w:rPr>
          <w:rFonts w:cs="Times New Roman"/>
          <w:i/>
          <w:noProof/>
          <w:lang w:val="fr-CA"/>
        </w:rPr>
        <w:t>a bel et bien</w:t>
      </w:r>
      <w:r w:rsidRPr="009078C7">
        <w:rPr>
          <w:rFonts w:cs="Times New Roman"/>
          <w:noProof/>
          <w:lang w:val="fr-CA"/>
        </w:rPr>
        <w:t xml:space="preserve"> tenu compte de cette déclaration</w:t>
      </w:r>
      <w:r>
        <w:rPr>
          <w:rFonts w:cs="Times New Roman"/>
          <w:noProof/>
          <w:lang w:val="fr-CA"/>
        </w:rPr>
        <w:t> :</w:t>
      </w:r>
      <w:r w:rsidRPr="009078C7">
        <w:rPr>
          <w:rFonts w:cs="Times New Roman"/>
          <w:noProof/>
          <w:lang w:val="fr-CA"/>
        </w:rPr>
        <w:t xml:space="preserve"> après l</w:t>
      </w:r>
      <w:r>
        <w:rPr>
          <w:rFonts w:cs="Times New Roman"/>
          <w:noProof/>
          <w:lang w:val="fr-CA"/>
        </w:rPr>
        <w:t>’</w:t>
      </w:r>
      <w:r w:rsidRPr="009078C7">
        <w:rPr>
          <w:rFonts w:cs="Times New Roman"/>
          <w:noProof/>
          <w:lang w:val="fr-CA"/>
        </w:rPr>
        <w:t xml:space="preserve">avoir évoquée (seconde décision, </w:t>
      </w:r>
      <w:r>
        <w:rPr>
          <w:rFonts w:cs="Times New Roman"/>
          <w:noProof/>
          <w:lang w:val="fr-CA"/>
        </w:rPr>
        <w:t>par. </w:t>
      </w:r>
      <w:r w:rsidRPr="009078C7">
        <w:rPr>
          <w:rFonts w:cs="Times New Roman"/>
          <w:noProof/>
          <w:lang w:val="fr-CA"/>
        </w:rPr>
        <w:t xml:space="preserve">38), il a conclu (seconde décision, </w:t>
      </w:r>
      <w:r>
        <w:rPr>
          <w:rFonts w:cs="Times New Roman"/>
          <w:noProof/>
          <w:lang w:val="fr-CA"/>
        </w:rPr>
        <w:t>par. </w:t>
      </w:r>
      <w:r w:rsidRPr="009078C7">
        <w:rPr>
          <w:rFonts w:cs="Times New Roman"/>
          <w:noProof/>
          <w:lang w:val="fr-CA"/>
        </w:rPr>
        <w:t>40) qu</w:t>
      </w:r>
      <w:r>
        <w:rPr>
          <w:rFonts w:cs="Times New Roman"/>
          <w:noProof/>
          <w:lang w:val="fr-CA"/>
        </w:rPr>
        <w:t>’</w:t>
      </w:r>
      <w:r w:rsidRPr="009078C7">
        <w:rPr>
          <w:rFonts w:cs="Times New Roman"/>
          <w:noProof/>
          <w:lang w:val="fr-CA"/>
        </w:rPr>
        <w:t>il n</w:t>
      </w:r>
      <w:r>
        <w:rPr>
          <w:rFonts w:cs="Times New Roman"/>
          <w:noProof/>
          <w:lang w:val="fr-CA"/>
        </w:rPr>
        <w:t>’</w:t>
      </w:r>
      <w:r w:rsidRPr="009078C7">
        <w:rPr>
          <w:rFonts w:cs="Times New Roman"/>
          <w:noProof/>
          <w:lang w:val="fr-CA"/>
        </w:rPr>
        <w:t>était pas convaincu, à la lumière de l</w:t>
      </w:r>
      <w:r>
        <w:rPr>
          <w:rFonts w:cs="Times New Roman"/>
          <w:noProof/>
          <w:lang w:val="fr-CA"/>
        </w:rPr>
        <w:t>’</w:t>
      </w:r>
      <w:r w:rsidRPr="009078C7">
        <w:rPr>
          <w:rFonts w:cs="Times New Roman"/>
          <w:noProof/>
          <w:lang w:val="fr-CA"/>
        </w:rPr>
        <w:t>ensemble de la preuve, que la possession avait été continue. Compte tenu de la qualité douteuse de la déclaration et des nombreux degrés de ouï</w:t>
      </w:r>
      <w:r>
        <w:rPr>
          <w:rFonts w:cs="Times New Roman"/>
          <w:noProof/>
          <w:lang w:val="fr-CA"/>
        </w:rPr>
        <w:noBreakHyphen/>
      </w:r>
      <w:r w:rsidRPr="009078C7">
        <w:rPr>
          <w:rFonts w:cs="Times New Roman"/>
          <w:noProof/>
          <w:lang w:val="fr-CA"/>
        </w:rPr>
        <w:t>dire qu</w:t>
      </w:r>
      <w:r>
        <w:rPr>
          <w:rFonts w:cs="Times New Roman"/>
          <w:noProof/>
          <w:lang w:val="fr-CA"/>
        </w:rPr>
        <w:t>’</w:t>
      </w:r>
      <w:r w:rsidRPr="009078C7">
        <w:rPr>
          <w:rFonts w:cs="Times New Roman"/>
          <w:noProof/>
          <w:lang w:val="fr-CA"/>
        </w:rPr>
        <w:t>elle renferme, il avait manifestement le droit d</w:t>
      </w:r>
      <w:r>
        <w:rPr>
          <w:rFonts w:cs="Times New Roman"/>
          <w:noProof/>
          <w:lang w:val="fr-CA"/>
        </w:rPr>
        <w:t>’</w:t>
      </w:r>
      <w:r w:rsidRPr="009078C7">
        <w:rPr>
          <w:rFonts w:cs="Times New Roman"/>
          <w:noProof/>
          <w:lang w:val="fr-CA"/>
        </w:rPr>
        <w:t xml:space="preserve">en arriver à cette conclusion. </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Les Mowatt affirment par ailleurs quant aux Goucher que le juge en cabinet n</w:t>
      </w:r>
      <w:r>
        <w:rPr>
          <w:rFonts w:cs="Times New Roman"/>
          <w:noProof/>
          <w:lang w:val="fr-CA"/>
        </w:rPr>
        <w:t>’</w:t>
      </w:r>
      <w:r w:rsidRPr="009078C7">
        <w:rPr>
          <w:rFonts w:cs="Times New Roman"/>
          <w:noProof/>
          <w:lang w:val="fr-CA"/>
        </w:rPr>
        <w:t>a pas tenu compte de l</w:t>
      </w:r>
      <w:r>
        <w:rPr>
          <w:rFonts w:cs="Times New Roman"/>
          <w:noProof/>
          <w:lang w:val="fr-CA"/>
        </w:rPr>
        <w:t>’</w:t>
      </w:r>
      <w:r w:rsidRPr="009078C7">
        <w:rPr>
          <w:rFonts w:cs="Times New Roman"/>
          <w:noProof/>
          <w:lang w:val="fr-CA"/>
        </w:rPr>
        <w:t>importance de la preuve selon laquelle leur fils avait passé des examens scolaires à Fairview en décembre</w:t>
      </w:r>
      <w:r>
        <w:rPr>
          <w:rFonts w:cs="Times New Roman"/>
          <w:noProof/>
          <w:lang w:val="fr-CA"/>
        </w:rPr>
        <w:t xml:space="preserve"> </w:t>
      </w:r>
      <w:r w:rsidRPr="009078C7">
        <w:rPr>
          <w:rFonts w:cs="Times New Roman"/>
          <w:noProof/>
          <w:lang w:val="fr-CA"/>
        </w:rPr>
        <w:t>1919 ni du fait qu</w:t>
      </w:r>
      <w:r>
        <w:rPr>
          <w:rFonts w:cs="Times New Roman"/>
          <w:noProof/>
          <w:lang w:val="fr-CA"/>
        </w:rPr>
        <w:t>’</w:t>
      </w:r>
      <w:r w:rsidRPr="009078C7">
        <w:rPr>
          <w:rFonts w:cs="Times New Roman"/>
          <w:noProof/>
          <w:lang w:val="fr-CA"/>
        </w:rPr>
        <w:t xml:space="preserve">ils ne figuraient pas sur </w:t>
      </w:r>
      <w:r w:rsidRPr="009078C7">
        <w:rPr>
          <w:rFonts w:cs="Times New Roman"/>
          <w:noProof/>
          <w:lang w:val="fr-CA"/>
        </w:rPr>
        <w:lastRenderedPageBreak/>
        <w:t>la liste électorale de Nelson en 1919. Or, le juge en cabinet a pris spécifiquement acte de ces faits ainsi que de la preuve montrant que les Cooper étaient connus des Goucher. Cependant, même si cette preuve tendant à montrer que ces derniers avaient habité à Fairview dès 1919, elle n</w:t>
      </w:r>
      <w:r>
        <w:rPr>
          <w:rFonts w:cs="Times New Roman"/>
          <w:noProof/>
          <w:lang w:val="fr-CA"/>
        </w:rPr>
        <w:t>’</w:t>
      </w:r>
      <w:r w:rsidRPr="009078C7">
        <w:rPr>
          <w:rFonts w:cs="Times New Roman"/>
          <w:noProof/>
          <w:lang w:val="fr-CA"/>
        </w:rPr>
        <w:t>a pas établi à la satisfaction du juge en cabinet qu</w:t>
      </w:r>
      <w:r>
        <w:rPr>
          <w:rFonts w:cs="Times New Roman"/>
          <w:noProof/>
          <w:lang w:val="fr-CA"/>
        </w:rPr>
        <w:t>’</w:t>
      </w:r>
      <w:r w:rsidRPr="009078C7">
        <w:rPr>
          <w:rFonts w:cs="Times New Roman"/>
          <w:noProof/>
          <w:lang w:val="fr-CA"/>
        </w:rPr>
        <w:t>ils avaient alors la possession du lot en litige. En tout état de cause, et comme l</w:t>
      </w:r>
      <w:r>
        <w:rPr>
          <w:rFonts w:cs="Times New Roman"/>
          <w:noProof/>
          <w:lang w:val="fr-CA"/>
        </w:rPr>
        <w:t>’</w:t>
      </w:r>
      <w:r w:rsidRPr="009078C7">
        <w:rPr>
          <w:rFonts w:cs="Times New Roman"/>
          <w:noProof/>
          <w:lang w:val="fr-CA"/>
        </w:rPr>
        <w:t>a fait remarquer le juge en cabinet, même si les Mowatt avaient pu le convaincre que le lot en litige se trouvait en la possession des Goucher avant 1920, d</w:t>
      </w:r>
      <w:r>
        <w:rPr>
          <w:rFonts w:cs="Times New Roman"/>
          <w:noProof/>
          <w:lang w:val="fr-CA"/>
        </w:rPr>
        <w:t>’</w:t>
      </w:r>
      <w:r w:rsidRPr="009078C7">
        <w:rPr>
          <w:rFonts w:cs="Times New Roman"/>
          <w:noProof/>
          <w:lang w:val="fr-CA"/>
        </w:rPr>
        <w:t>autres éléments de preuve donnaient à penser que ces derniers vivaient à Nelson en 1916, et non à Fairview. En d</w:t>
      </w:r>
      <w:r>
        <w:rPr>
          <w:rFonts w:cs="Times New Roman"/>
          <w:noProof/>
          <w:lang w:val="fr-CA"/>
        </w:rPr>
        <w:t>’</w:t>
      </w:r>
      <w:r w:rsidRPr="009078C7">
        <w:rPr>
          <w:rFonts w:cs="Times New Roman"/>
          <w:noProof/>
          <w:lang w:val="fr-CA"/>
        </w:rPr>
        <w:t>autres termes, même s</w:t>
      </w:r>
      <w:r>
        <w:rPr>
          <w:rFonts w:cs="Times New Roman"/>
          <w:noProof/>
          <w:lang w:val="fr-CA"/>
        </w:rPr>
        <w:t>’</w:t>
      </w:r>
      <w:r w:rsidRPr="009078C7">
        <w:rPr>
          <w:rFonts w:cs="Times New Roman"/>
          <w:noProof/>
          <w:lang w:val="fr-CA"/>
        </w:rPr>
        <w:t xml:space="preserve">il était admis que les Goucher avaient la possession du lot en litige dès 1919, il y aurait tout de même eu interruption de la possession, pour une période certes plus courte, mais suffisante pour entraîner le rejet de la revendication des Mowatt. </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La conclusion de fait de la Cour d</w:t>
      </w:r>
      <w:r>
        <w:rPr>
          <w:rFonts w:cs="Times New Roman"/>
          <w:noProof/>
          <w:lang w:val="fr-CA"/>
        </w:rPr>
        <w:t>’</w:t>
      </w:r>
      <w:r w:rsidRPr="009078C7">
        <w:rPr>
          <w:rFonts w:cs="Times New Roman"/>
          <w:noProof/>
          <w:lang w:val="fr-CA"/>
        </w:rPr>
        <w:t>appel selon laquelle la possession adversative du lot en litige</w:t>
      </w:r>
      <w:r>
        <w:rPr>
          <w:rFonts w:cs="Times New Roman"/>
          <w:noProof/>
          <w:lang w:val="fr-CA"/>
        </w:rPr>
        <w:t xml:space="preserve"> a été continue de décembre </w:t>
      </w:r>
      <w:r w:rsidRPr="009078C7">
        <w:rPr>
          <w:rFonts w:cs="Times New Roman"/>
          <w:noProof/>
          <w:lang w:val="fr-CA"/>
        </w:rPr>
        <w:t>1909 jusqu</w:t>
      </w:r>
      <w:r>
        <w:rPr>
          <w:rFonts w:cs="Times New Roman"/>
          <w:noProof/>
          <w:lang w:val="fr-CA"/>
        </w:rPr>
        <w:t>’</w:t>
      </w:r>
      <w:r w:rsidRPr="009078C7">
        <w:rPr>
          <w:rFonts w:cs="Times New Roman"/>
          <w:noProof/>
          <w:lang w:val="fr-CA"/>
        </w:rPr>
        <w:t>à au moins février 1923 n</w:t>
      </w:r>
      <w:r>
        <w:rPr>
          <w:rFonts w:cs="Times New Roman"/>
          <w:noProof/>
          <w:lang w:val="fr-CA"/>
        </w:rPr>
        <w:t>’</w:t>
      </w:r>
      <w:r w:rsidRPr="009078C7">
        <w:rPr>
          <w:rFonts w:cs="Times New Roman"/>
          <w:noProof/>
          <w:lang w:val="fr-CA"/>
        </w:rPr>
        <w:t>est pas déraisonnable, j</w:t>
      </w:r>
      <w:r>
        <w:rPr>
          <w:rFonts w:cs="Times New Roman"/>
          <w:noProof/>
          <w:lang w:val="fr-CA"/>
        </w:rPr>
        <w:t>’</w:t>
      </w:r>
      <w:r w:rsidRPr="009078C7">
        <w:rPr>
          <w:rFonts w:cs="Times New Roman"/>
          <w:noProof/>
          <w:lang w:val="fr-CA"/>
        </w:rPr>
        <w:t>en conviens. Il est certainement possible, en effet, d</w:t>
      </w:r>
      <w:r>
        <w:rPr>
          <w:rFonts w:cs="Times New Roman"/>
          <w:noProof/>
          <w:lang w:val="fr-CA"/>
        </w:rPr>
        <w:t>’</w:t>
      </w:r>
      <w:r w:rsidRPr="009078C7">
        <w:rPr>
          <w:rFonts w:cs="Times New Roman"/>
          <w:noProof/>
          <w:lang w:val="fr-CA"/>
        </w:rPr>
        <w:t>apprécier certains éléments de la preuve autrement que ne l</w:t>
      </w:r>
      <w:r>
        <w:rPr>
          <w:rFonts w:cs="Times New Roman"/>
          <w:noProof/>
          <w:lang w:val="fr-CA"/>
        </w:rPr>
        <w:t>’</w:t>
      </w:r>
      <w:r w:rsidRPr="009078C7">
        <w:rPr>
          <w:rFonts w:cs="Times New Roman"/>
          <w:noProof/>
          <w:lang w:val="fr-CA"/>
        </w:rPr>
        <w:t>a fait le juge en cabinet. Cela dit, il n</w:t>
      </w:r>
      <w:r>
        <w:rPr>
          <w:rFonts w:cs="Times New Roman"/>
          <w:noProof/>
          <w:lang w:val="fr-CA"/>
        </w:rPr>
        <w:t>’</w:t>
      </w:r>
      <w:r w:rsidRPr="009078C7">
        <w:rPr>
          <w:rFonts w:cs="Times New Roman"/>
          <w:noProof/>
          <w:lang w:val="fr-CA"/>
        </w:rPr>
        <w:t>est pas rare que les conclusions à tirer de la preuve puissent varier en fonction du poids attribué à l</w:t>
      </w:r>
      <w:r>
        <w:rPr>
          <w:rFonts w:cs="Times New Roman"/>
          <w:noProof/>
          <w:lang w:val="fr-CA"/>
        </w:rPr>
        <w:t>’</w:t>
      </w:r>
      <w:r w:rsidRPr="009078C7">
        <w:rPr>
          <w:rFonts w:cs="Times New Roman"/>
          <w:noProof/>
          <w:lang w:val="fr-CA"/>
        </w:rPr>
        <w:t>un ou l</w:t>
      </w:r>
      <w:r>
        <w:rPr>
          <w:rFonts w:cs="Times New Roman"/>
          <w:noProof/>
          <w:lang w:val="fr-CA"/>
        </w:rPr>
        <w:t>’</w:t>
      </w:r>
      <w:r w:rsidRPr="009078C7">
        <w:rPr>
          <w:rFonts w:cs="Times New Roman"/>
          <w:noProof/>
          <w:lang w:val="fr-CA"/>
        </w:rPr>
        <w:t>autre des éléments qui la constitue</w:t>
      </w:r>
      <w:r w:rsidR="009F2BFF">
        <w:rPr>
          <w:rFonts w:cs="Times New Roman"/>
          <w:noProof/>
          <w:lang w:val="fr-CA"/>
        </w:rPr>
        <w:t>nt</w:t>
      </w:r>
      <w:r w:rsidRPr="009078C7">
        <w:rPr>
          <w:rFonts w:cs="Times New Roman"/>
          <w:noProof/>
          <w:lang w:val="fr-CA"/>
        </w:rPr>
        <w:t xml:space="preserve"> et cette possibilité ne justifie pas d</w:t>
      </w:r>
      <w:r>
        <w:rPr>
          <w:rFonts w:cs="Times New Roman"/>
          <w:noProof/>
          <w:lang w:val="fr-CA"/>
        </w:rPr>
        <w:t>’</w:t>
      </w:r>
      <w:r w:rsidRPr="009078C7">
        <w:rPr>
          <w:rFonts w:cs="Times New Roman"/>
          <w:noProof/>
          <w:lang w:val="fr-CA"/>
        </w:rPr>
        <w:t>infirmer les conclusions du juge des faits. Effectivement, il n</w:t>
      </w:r>
      <w:r>
        <w:rPr>
          <w:rFonts w:cs="Times New Roman"/>
          <w:noProof/>
          <w:lang w:val="fr-CA"/>
        </w:rPr>
        <w:t>’</w:t>
      </w:r>
      <w:r w:rsidRPr="009078C7">
        <w:rPr>
          <w:rFonts w:cs="Times New Roman"/>
          <w:noProof/>
          <w:lang w:val="fr-CA"/>
        </w:rPr>
        <w:t>appartient pas aux cours d</w:t>
      </w:r>
      <w:r>
        <w:rPr>
          <w:rFonts w:cs="Times New Roman"/>
          <w:noProof/>
          <w:lang w:val="fr-CA"/>
        </w:rPr>
        <w:t>’</w:t>
      </w:r>
      <w:r w:rsidRPr="009078C7">
        <w:rPr>
          <w:rFonts w:cs="Times New Roman"/>
          <w:noProof/>
          <w:lang w:val="fr-CA"/>
        </w:rPr>
        <w:t>appel de remettre en question le poids attribué aux différents éléments de preuve. En l</w:t>
      </w:r>
      <w:r>
        <w:rPr>
          <w:rFonts w:cs="Times New Roman"/>
          <w:noProof/>
          <w:lang w:val="fr-CA"/>
        </w:rPr>
        <w:t>’</w:t>
      </w:r>
      <w:r w:rsidRPr="009078C7">
        <w:rPr>
          <w:rFonts w:cs="Times New Roman"/>
          <w:noProof/>
          <w:lang w:val="fr-CA"/>
        </w:rPr>
        <w:t>absence d</w:t>
      </w:r>
      <w:r>
        <w:rPr>
          <w:rFonts w:cs="Times New Roman"/>
          <w:noProof/>
          <w:lang w:val="fr-CA"/>
        </w:rPr>
        <w:t>’</w:t>
      </w:r>
      <w:r w:rsidRPr="009078C7">
        <w:rPr>
          <w:rFonts w:cs="Times New Roman"/>
          <w:noProof/>
          <w:lang w:val="fr-CA"/>
        </w:rPr>
        <w:t>une erreur manifeste et dominante, c.</w:t>
      </w:r>
      <w:r>
        <w:rPr>
          <w:rFonts w:cs="Times New Roman"/>
          <w:noProof/>
          <w:lang w:val="fr-CA"/>
        </w:rPr>
        <w:noBreakHyphen/>
      </w:r>
      <w:r w:rsidRPr="009078C7">
        <w:rPr>
          <w:rFonts w:cs="Times New Roman"/>
          <w:noProof/>
          <w:lang w:val="fr-CA"/>
        </w:rPr>
        <w:t>à</w:t>
      </w:r>
      <w:r>
        <w:rPr>
          <w:rFonts w:cs="Times New Roman"/>
          <w:noProof/>
          <w:lang w:val="fr-CA"/>
        </w:rPr>
        <w:noBreakHyphen/>
      </w:r>
      <w:r w:rsidRPr="009078C7">
        <w:rPr>
          <w:rFonts w:cs="Times New Roman"/>
          <w:noProof/>
          <w:lang w:val="fr-CA"/>
        </w:rPr>
        <w:t xml:space="preserve">d. une erreur qui est « évidente » et qui a eu une incidence sur le résultat, la cour </w:t>
      </w:r>
      <w:r w:rsidRPr="009078C7">
        <w:rPr>
          <w:rFonts w:cs="Times New Roman"/>
          <w:noProof/>
          <w:lang w:val="fr-CA"/>
        </w:rPr>
        <w:lastRenderedPageBreak/>
        <w:t>d</w:t>
      </w:r>
      <w:r>
        <w:rPr>
          <w:rFonts w:cs="Times New Roman"/>
          <w:noProof/>
          <w:lang w:val="fr-CA"/>
        </w:rPr>
        <w:t>’</w:t>
      </w:r>
      <w:r w:rsidRPr="009078C7">
        <w:rPr>
          <w:rFonts w:cs="Times New Roman"/>
          <w:noProof/>
          <w:lang w:val="fr-CA"/>
        </w:rPr>
        <w:t>appel ne peut modifier les conclusions de fait du juge des faits</w:t>
      </w:r>
      <w:r>
        <w:rPr>
          <w:rFonts w:cs="Times New Roman"/>
          <w:noProof/>
          <w:lang w:val="fr-CA"/>
        </w:rPr>
        <w:t> :</w:t>
      </w:r>
      <w:r w:rsidRPr="009078C7">
        <w:rPr>
          <w:rFonts w:cs="Times New Roman"/>
          <w:noProof/>
          <w:lang w:val="fr-CA"/>
        </w:rPr>
        <w:t xml:space="preserve"> </w:t>
      </w:r>
      <w:r w:rsidRPr="009078C7">
        <w:rPr>
          <w:rFonts w:cs="Times New Roman"/>
          <w:i/>
          <w:noProof/>
          <w:lang w:val="fr-CA"/>
        </w:rPr>
        <w:t>Housen c. Nikolaisen</w:t>
      </w:r>
      <w:r w:rsidRPr="009078C7">
        <w:rPr>
          <w:rFonts w:cs="Times New Roman"/>
          <w:noProof/>
          <w:lang w:val="fr-CA"/>
        </w:rPr>
        <w:t xml:space="preserve">, 2002 CSC 33, [2002] 2 R.C.S. 235, </w:t>
      </w:r>
      <w:r>
        <w:rPr>
          <w:rFonts w:cs="Times New Roman"/>
          <w:noProof/>
          <w:lang w:val="fr-CA"/>
        </w:rPr>
        <w:t>par. </w:t>
      </w:r>
      <w:r w:rsidRPr="009078C7">
        <w:rPr>
          <w:rFonts w:cs="Times New Roman"/>
          <w:noProof/>
          <w:lang w:val="fr-CA"/>
        </w:rPr>
        <w:t xml:space="preserve">6 et 10; voir également </w:t>
      </w:r>
      <w:r w:rsidR="009F2BFF">
        <w:rPr>
          <w:rFonts w:cs="Times New Roman"/>
          <w:i/>
          <w:noProof/>
          <w:lang w:val="fr-CA"/>
        </w:rPr>
        <w:t>H.</w:t>
      </w:r>
      <w:r w:rsidRPr="009078C7">
        <w:rPr>
          <w:rFonts w:cs="Times New Roman"/>
          <w:i/>
          <w:noProof/>
          <w:lang w:val="fr-CA"/>
        </w:rPr>
        <w:t>L. c. Canada (Procureur général)</w:t>
      </w:r>
      <w:r w:rsidRPr="009078C7">
        <w:rPr>
          <w:rFonts w:cs="Times New Roman"/>
          <w:noProof/>
          <w:lang w:val="fr-CA"/>
        </w:rPr>
        <w:t>, 2005 CSC 25, [2005] 1 R.C.S.</w:t>
      </w:r>
      <w:r>
        <w:rPr>
          <w:rFonts w:cs="Times New Roman"/>
          <w:noProof/>
          <w:lang w:val="fr-CA"/>
        </w:rPr>
        <w:t xml:space="preserve"> </w:t>
      </w:r>
      <w:r w:rsidRPr="009078C7">
        <w:rPr>
          <w:rFonts w:cs="Times New Roman"/>
          <w:noProof/>
          <w:lang w:val="fr-CA"/>
        </w:rPr>
        <w:t xml:space="preserve">401, </w:t>
      </w:r>
      <w:r>
        <w:rPr>
          <w:rFonts w:cs="Times New Roman"/>
          <w:noProof/>
          <w:lang w:val="fr-CA"/>
        </w:rPr>
        <w:t>par. </w:t>
      </w:r>
      <w:r w:rsidRPr="009078C7">
        <w:rPr>
          <w:rFonts w:cs="Times New Roman"/>
          <w:noProof/>
          <w:lang w:val="fr-CA"/>
        </w:rPr>
        <w:t>55. La norme de l</w:t>
      </w:r>
      <w:r>
        <w:rPr>
          <w:rFonts w:cs="Times New Roman"/>
          <w:noProof/>
          <w:lang w:val="fr-CA"/>
        </w:rPr>
        <w:t>’</w:t>
      </w:r>
      <w:r w:rsidRPr="009078C7">
        <w:rPr>
          <w:rFonts w:cs="Times New Roman"/>
          <w:noProof/>
          <w:lang w:val="fr-CA"/>
        </w:rPr>
        <w:t>erreur manifeste et dominante s</w:t>
      </w:r>
      <w:r>
        <w:rPr>
          <w:rFonts w:cs="Times New Roman"/>
          <w:noProof/>
          <w:lang w:val="fr-CA"/>
        </w:rPr>
        <w:t>’</w:t>
      </w:r>
      <w:r w:rsidRPr="009078C7">
        <w:rPr>
          <w:rFonts w:cs="Times New Roman"/>
          <w:noProof/>
          <w:lang w:val="fr-CA"/>
        </w:rPr>
        <w:t>applique en ce qui concerne les faits sur lesquels repose l</w:t>
      </w:r>
      <w:r>
        <w:rPr>
          <w:rFonts w:cs="Times New Roman"/>
          <w:noProof/>
          <w:lang w:val="fr-CA"/>
        </w:rPr>
        <w:t>’</w:t>
      </w:r>
      <w:r w:rsidRPr="009078C7">
        <w:rPr>
          <w:rFonts w:cs="Times New Roman"/>
          <w:noProof/>
          <w:lang w:val="fr-CA"/>
        </w:rPr>
        <w:t>inférence du juge en cabinet ou en ce qui concerne le processus inférentiel lui</w:t>
      </w:r>
      <w:r>
        <w:rPr>
          <w:rFonts w:cs="Times New Roman"/>
          <w:noProof/>
          <w:lang w:val="fr-CA"/>
        </w:rPr>
        <w:noBreakHyphen/>
      </w:r>
      <w:r w:rsidRPr="009078C7">
        <w:rPr>
          <w:rFonts w:cs="Times New Roman"/>
          <w:noProof/>
          <w:lang w:val="fr-CA"/>
        </w:rPr>
        <w:t>même</w:t>
      </w:r>
      <w:r>
        <w:rPr>
          <w:rFonts w:cs="Times New Roman"/>
          <w:noProof/>
          <w:lang w:val="fr-CA"/>
        </w:rPr>
        <w:t> :</w:t>
      </w:r>
      <w:r w:rsidRPr="009078C7">
        <w:rPr>
          <w:rFonts w:cs="Times New Roman"/>
          <w:noProof/>
          <w:lang w:val="fr-CA"/>
        </w:rPr>
        <w:t xml:space="preserve"> </w:t>
      </w:r>
      <w:r w:rsidRPr="009078C7">
        <w:rPr>
          <w:rFonts w:cs="Times New Roman"/>
          <w:i/>
          <w:noProof/>
          <w:lang w:val="fr-CA"/>
        </w:rPr>
        <w:t>Housen</w:t>
      </w:r>
      <w:r w:rsidRPr="009078C7">
        <w:rPr>
          <w:rFonts w:cs="Times New Roman"/>
          <w:noProof/>
          <w:lang w:val="fr-CA"/>
        </w:rPr>
        <w:t xml:space="preserve">, </w:t>
      </w:r>
      <w:r>
        <w:rPr>
          <w:rFonts w:cs="Times New Roman"/>
          <w:noProof/>
          <w:lang w:val="fr-CA"/>
        </w:rPr>
        <w:t>par. </w:t>
      </w:r>
      <w:r w:rsidRPr="009078C7">
        <w:rPr>
          <w:rFonts w:cs="Times New Roman"/>
          <w:noProof/>
          <w:lang w:val="fr-CA"/>
        </w:rPr>
        <w:t>23. À mon avis, la Cour d</w:t>
      </w:r>
      <w:r>
        <w:rPr>
          <w:rFonts w:cs="Times New Roman"/>
          <w:noProof/>
          <w:lang w:val="fr-CA"/>
        </w:rPr>
        <w:t>’</w:t>
      </w:r>
      <w:r w:rsidRPr="009078C7">
        <w:rPr>
          <w:rFonts w:cs="Times New Roman"/>
          <w:noProof/>
          <w:lang w:val="fr-CA"/>
        </w:rPr>
        <w:t>appel a donc commis une erreur en modifiant une conclusion factuelle essentiellement sur la base d</w:t>
      </w:r>
      <w:r>
        <w:rPr>
          <w:rFonts w:cs="Times New Roman"/>
          <w:noProof/>
          <w:lang w:val="fr-CA"/>
        </w:rPr>
        <w:t>’</w:t>
      </w:r>
      <w:r w:rsidRPr="009078C7">
        <w:rPr>
          <w:rFonts w:cs="Times New Roman"/>
          <w:noProof/>
          <w:lang w:val="fr-CA"/>
        </w:rPr>
        <w:t>une divergence d</w:t>
      </w:r>
      <w:r>
        <w:rPr>
          <w:rFonts w:cs="Times New Roman"/>
          <w:noProof/>
          <w:lang w:val="fr-CA"/>
        </w:rPr>
        <w:t>’</w:t>
      </w:r>
      <w:r w:rsidRPr="009078C7">
        <w:rPr>
          <w:rFonts w:cs="Times New Roman"/>
          <w:noProof/>
          <w:lang w:val="fr-CA"/>
        </w:rPr>
        <w:t>opinions quant au poids à attribuer aux différents éléments de preuve. Ayant tenu deux audiences, dont la seconde a eu lieu parce qu</w:t>
      </w:r>
      <w:r>
        <w:rPr>
          <w:rFonts w:cs="Times New Roman"/>
          <w:noProof/>
          <w:lang w:val="fr-CA"/>
        </w:rPr>
        <w:t>’</w:t>
      </w:r>
      <w:r w:rsidRPr="009078C7">
        <w:rPr>
          <w:rFonts w:cs="Times New Roman"/>
          <w:noProof/>
          <w:lang w:val="fr-CA"/>
        </w:rPr>
        <w:t>il a permis aux Mowatt de présenter des éléments de preuve supplémentaires, et ayant analysé avec soin la preuve dans ses deux décisions convaincantes et détaillées, le juge en cabinet a tiré des conclusions que la preuve lui permettait de tirer. Ces conclusions n</w:t>
      </w:r>
      <w:r>
        <w:rPr>
          <w:rFonts w:cs="Times New Roman"/>
          <w:noProof/>
          <w:lang w:val="fr-CA"/>
        </w:rPr>
        <w:t>’</w:t>
      </w:r>
      <w:r w:rsidRPr="009078C7">
        <w:rPr>
          <w:rFonts w:cs="Times New Roman"/>
          <w:noProof/>
          <w:lang w:val="fr-CA"/>
        </w:rPr>
        <w:t>auraient donc pas dû être modifiées.</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La nature historique de la revendication qui, de l</w:t>
      </w:r>
      <w:r>
        <w:rPr>
          <w:rFonts w:cs="Times New Roman"/>
          <w:noProof/>
          <w:lang w:val="fr-CA"/>
        </w:rPr>
        <w:t>’</w:t>
      </w:r>
      <w:r w:rsidRPr="009078C7">
        <w:rPr>
          <w:rFonts w:cs="Times New Roman"/>
          <w:noProof/>
          <w:lang w:val="fr-CA"/>
        </w:rPr>
        <w:t>avis de la Cour d</w:t>
      </w:r>
      <w:r>
        <w:rPr>
          <w:rFonts w:cs="Times New Roman"/>
          <w:noProof/>
          <w:lang w:val="fr-CA"/>
        </w:rPr>
        <w:t>’</w:t>
      </w:r>
      <w:r w:rsidRPr="009078C7">
        <w:rPr>
          <w:rFonts w:cs="Times New Roman"/>
          <w:noProof/>
          <w:lang w:val="fr-CA"/>
        </w:rPr>
        <w:t>appel, méritait une évaluation [</w:t>
      </w:r>
      <w:r w:rsidRPr="009078C7">
        <w:rPr>
          <w:rFonts w:cs="Times New Roman"/>
          <w:smallCaps/>
          <w:noProof/>
          <w:lang w:val="fr-CA"/>
        </w:rPr>
        <w:t>traduction</w:t>
      </w:r>
      <w:r w:rsidRPr="009078C7">
        <w:rPr>
          <w:rFonts w:cs="Times New Roman"/>
          <w:noProof/>
          <w:lang w:val="fr-CA"/>
        </w:rPr>
        <w:t>] « globale » de la preuve qui témoigne d</w:t>
      </w:r>
      <w:r>
        <w:rPr>
          <w:rFonts w:cs="Times New Roman"/>
          <w:noProof/>
          <w:lang w:val="fr-CA"/>
        </w:rPr>
        <w:t>’</w:t>
      </w:r>
      <w:r w:rsidRPr="009078C7">
        <w:rPr>
          <w:rFonts w:cs="Times New Roman"/>
          <w:noProof/>
          <w:lang w:val="fr-CA"/>
        </w:rPr>
        <w:t>un « esprit ouvert », n</w:t>
      </w:r>
      <w:r>
        <w:rPr>
          <w:rFonts w:cs="Times New Roman"/>
          <w:noProof/>
          <w:lang w:val="fr-CA"/>
        </w:rPr>
        <w:t>’</w:t>
      </w:r>
      <w:r w:rsidRPr="009078C7">
        <w:rPr>
          <w:rFonts w:cs="Times New Roman"/>
          <w:noProof/>
          <w:lang w:val="fr-CA"/>
        </w:rPr>
        <w:t>a pas d</w:t>
      </w:r>
      <w:r>
        <w:rPr>
          <w:rFonts w:cs="Times New Roman"/>
          <w:noProof/>
          <w:lang w:val="fr-CA"/>
        </w:rPr>
        <w:t>’</w:t>
      </w:r>
      <w:r w:rsidRPr="009078C7">
        <w:rPr>
          <w:rFonts w:cs="Times New Roman"/>
          <w:noProof/>
          <w:lang w:val="fr-CA"/>
        </w:rPr>
        <w:t>incidence sur ma conclusion. La ville critique cet aspect des motifs du jugement de la Cour d</w:t>
      </w:r>
      <w:r>
        <w:rPr>
          <w:rFonts w:cs="Times New Roman"/>
          <w:noProof/>
          <w:lang w:val="fr-CA"/>
        </w:rPr>
        <w:t>’</w:t>
      </w:r>
      <w:r w:rsidRPr="009078C7">
        <w:rPr>
          <w:rFonts w:cs="Times New Roman"/>
          <w:noProof/>
          <w:lang w:val="fr-CA"/>
        </w:rPr>
        <w:t xml:space="preserve">appel. Selon elle, en affirmant (au </w:t>
      </w:r>
      <w:r>
        <w:rPr>
          <w:rFonts w:cs="Times New Roman"/>
          <w:noProof/>
          <w:lang w:val="fr-CA"/>
        </w:rPr>
        <w:t>par. </w:t>
      </w:r>
      <w:r w:rsidRPr="009078C7">
        <w:rPr>
          <w:rFonts w:cs="Times New Roman"/>
          <w:noProof/>
          <w:lang w:val="fr-CA"/>
        </w:rPr>
        <w:t>74) que « </w:t>
      </w:r>
      <w:r w:rsidR="009F2BFF">
        <w:rPr>
          <w:rFonts w:cs="Times New Roman"/>
          <w:noProof/>
          <w:lang w:val="fr-CA"/>
        </w:rPr>
        <w:t>[</w:t>
      </w:r>
      <w:r w:rsidRPr="009078C7">
        <w:rPr>
          <w:rFonts w:cs="Times New Roman"/>
          <w:noProof/>
          <w:lang w:val="fr-CA"/>
        </w:rPr>
        <w:t>l</w:t>
      </w:r>
      <w:r w:rsidR="009F2BFF">
        <w:rPr>
          <w:rFonts w:cs="Times New Roman"/>
          <w:noProof/>
          <w:lang w:val="fr-CA"/>
        </w:rPr>
        <w:t>]</w:t>
      </w:r>
      <w:r w:rsidRPr="009078C7">
        <w:rPr>
          <w:rFonts w:cs="Times New Roman"/>
          <w:noProof/>
          <w:lang w:val="fr-CA"/>
        </w:rPr>
        <w:t>a mesure dans laquelle il est possible de satisfaire à [la norme de la prépondérance des probabilités] dépend de la preuve qui peut être présentée », la Cour d</w:t>
      </w:r>
      <w:r>
        <w:rPr>
          <w:rFonts w:cs="Times New Roman"/>
          <w:noProof/>
          <w:lang w:val="fr-CA"/>
        </w:rPr>
        <w:t>’</w:t>
      </w:r>
      <w:r w:rsidRPr="009078C7">
        <w:rPr>
          <w:rFonts w:cs="Times New Roman"/>
          <w:noProof/>
          <w:lang w:val="fr-CA"/>
        </w:rPr>
        <w:t>appel a appliqué à toutes fins utiles une nouvelle norme de preuve. En outre, de l</w:t>
      </w:r>
      <w:r>
        <w:rPr>
          <w:rFonts w:cs="Times New Roman"/>
          <w:noProof/>
          <w:lang w:val="fr-CA"/>
        </w:rPr>
        <w:t>’</w:t>
      </w:r>
      <w:r w:rsidRPr="009078C7">
        <w:rPr>
          <w:rFonts w:cs="Times New Roman"/>
          <w:noProof/>
          <w:lang w:val="fr-CA"/>
        </w:rPr>
        <w:t>avis de la ville, cette approche va à l</w:t>
      </w:r>
      <w:r>
        <w:rPr>
          <w:rFonts w:cs="Times New Roman"/>
          <w:noProof/>
          <w:lang w:val="fr-CA"/>
        </w:rPr>
        <w:t>’</w:t>
      </w:r>
      <w:r w:rsidRPr="009078C7">
        <w:rPr>
          <w:rFonts w:cs="Times New Roman"/>
          <w:noProof/>
          <w:lang w:val="fr-CA"/>
        </w:rPr>
        <w:t>encontre de la directive formulée par la Cour dans l</w:t>
      </w:r>
      <w:r>
        <w:rPr>
          <w:rFonts w:cs="Times New Roman"/>
          <w:noProof/>
          <w:lang w:val="fr-CA"/>
        </w:rPr>
        <w:t>’</w:t>
      </w:r>
      <w:r w:rsidRPr="009078C7">
        <w:rPr>
          <w:rFonts w:cs="Times New Roman"/>
          <w:noProof/>
          <w:lang w:val="fr-CA"/>
        </w:rPr>
        <w:t xml:space="preserve">arrêt </w:t>
      </w:r>
      <w:r w:rsidR="009F2BFF">
        <w:rPr>
          <w:rFonts w:cs="Times New Roman"/>
          <w:i/>
          <w:noProof/>
          <w:lang w:val="fr-CA"/>
        </w:rPr>
        <w:t>F.</w:t>
      </w:r>
      <w:r w:rsidRPr="009078C7">
        <w:rPr>
          <w:rFonts w:cs="Times New Roman"/>
          <w:i/>
          <w:noProof/>
          <w:lang w:val="fr-CA"/>
        </w:rPr>
        <w:t>H. c. McDougall</w:t>
      </w:r>
      <w:r w:rsidRPr="009078C7">
        <w:rPr>
          <w:rFonts w:cs="Times New Roman"/>
          <w:noProof/>
          <w:lang w:val="fr-CA"/>
        </w:rPr>
        <w:t>, 2008 CSC 53, [2008] 3 R</w:t>
      </w:r>
      <w:r w:rsidR="009F2BFF">
        <w:rPr>
          <w:rFonts w:cs="Times New Roman"/>
          <w:noProof/>
          <w:lang w:val="fr-CA"/>
        </w:rPr>
        <w:t>.</w:t>
      </w:r>
      <w:r w:rsidRPr="009078C7">
        <w:rPr>
          <w:rFonts w:cs="Times New Roman"/>
          <w:noProof/>
          <w:lang w:val="fr-CA"/>
        </w:rPr>
        <w:t>C</w:t>
      </w:r>
      <w:r w:rsidR="009F2BFF">
        <w:rPr>
          <w:rFonts w:cs="Times New Roman"/>
          <w:noProof/>
          <w:lang w:val="fr-CA"/>
        </w:rPr>
        <w:t>.</w:t>
      </w:r>
      <w:r w:rsidRPr="009078C7">
        <w:rPr>
          <w:rFonts w:cs="Times New Roman"/>
          <w:noProof/>
          <w:lang w:val="fr-CA"/>
        </w:rPr>
        <w:t>S</w:t>
      </w:r>
      <w:r w:rsidR="009F2BFF">
        <w:rPr>
          <w:rFonts w:cs="Times New Roman"/>
          <w:noProof/>
          <w:lang w:val="fr-CA"/>
        </w:rPr>
        <w:t xml:space="preserve">. 41, </w:t>
      </w:r>
      <w:r>
        <w:rPr>
          <w:rFonts w:cs="Times New Roman"/>
          <w:noProof/>
          <w:lang w:val="fr-CA"/>
        </w:rPr>
        <w:t>par. </w:t>
      </w:r>
      <w:r w:rsidRPr="009078C7">
        <w:rPr>
          <w:rFonts w:cs="Times New Roman"/>
          <w:noProof/>
          <w:lang w:val="fr-CA"/>
        </w:rPr>
        <w:t>40, selon laquelle « il n</w:t>
      </w:r>
      <w:r>
        <w:rPr>
          <w:rFonts w:cs="Times New Roman"/>
          <w:noProof/>
          <w:lang w:val="fr-CA"/>
        </w:rPr>
        <w:t>’</w:t>
      </w:r>
      <w:r w:rsidRPr="009078C7">
        <w:rPr>
          <w:rFonts w:cs="Times New Roman"/>
          <w:noProof/>
          <w:lang w:val="fr-CA"/>
        </w:rPr>
        <w:t>existe [. . .], en common law, qu</w:t>
      </w:r>
      <w:r>
        <w:rPr>
          <w:rFonts w:cs="Times New Roman"/>
          <w:noProof/>
          <w:lang w:val="fr-CA"/>
        </w:rPr>
        <w:t>’</w:t>
      </w:r>
      <w:r w:rsidRPr="009078C7">
        <w:rPr>
          <w:rFonts w:cs="Times New Roman"/>
          <w:noProof/>
          <w:lang w:val="fr-CA"/>
        </w:rPr>
        <w:t xml:space="preserve">une seule norme de preuve en matière civile, celle de la </w:t>
      </w:r>
      <w:r w:rsidRPr="009078C7">
        <w:rPr>
          <w:rFonts w:cs="Times New Roman"/>
          <w:noProof/>
          <w:lang w:val="fr-CA"/>
        </w:rPr>
        <w:lastRenderedPageBreak/>
        <w:t xml:space="preserve">prépondérance des probabilités ». </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Je ne crois pas que la Cour d</w:t>
      </w:r>
      <w:r>
        <w:rPr>
          <w:rFonts w:cs="Times New Roman"/>
          <w:noProof/>
          <w:lang w:val="fr-CA"/>
        </w:rPr>
        <w:t>’</w:t>
      </w:r>
      <w:r w:rsidRPr="009078C7">
        <w:rPr>
          <w:rFonts w:cs="Times New Roman"/>
          <w:noProof/>
          <w:lang w:val="fr-CA"/>
        </w:rPr>
        <w:t>appel ait adopté ou appliqué une norme de preuve autre que celle de la prépondérance des probabilités. Les propos attaqués concernent non pas la norme de preuve, mais plutôt la qualité de la preuve au regard de laquelle la norme doit être respectée. Dans l</w:t>
      </w:r>
      <w:r>
        <w:rPr>
          <w:rFonts w:cs="Times New Roman"/>
          <w:noProof/>
          <w:lang w:val="fr-CA"/>
        </w:rPr>
        <w:t>’</w:t>
      </w:r>
      <w:r w:rsidRPr="009078C7">
        <w:rPr>
          <w:rFonts w:cs="Times New Roman"/>
          <w:noProof/>
          <w:lang w:val="fr-CA"/>
        </w:rPr>
        <w:t xml:space="preserve">arrêt </w:t>
      </w:r>
      <w:r w:rsidRPr="009078C7">
        <w:rPr>
          <w:rFonts w:cs="Times New Roman"/>
          <w:i/>
          <w:noProof/>
          <w:lang w:val="fr-CA"/>
        </w:rPr>
        <w:t>McDougall</w:t>
      </w:r>
      <w:r w:rsidRPr="009078C7">
        <w:rPr>
          <w:rFonts w:cs="Times New Roman"/>
          <w:noProof/>
          <w:lang w:val="fr-CA"/>
        </w:rPr>
        <w:t xml:space="preserve"> (</w:t>
      </w:r>
      <w:r>
        <w:rPr>
          <w:rFonts w:cs="Times New Roman"/>
          <w:noProof/>
          <w:lang w:val="fr-CA"/>
        </w:rPr>
        <w:t>par. </w:t>
      </w:r>
      <w:r w:rsidRPr="009078C7">
        <w:rPr>
          <w:rFonts w:cs="Times New Roman"/>
          <w:noProof/>
          <w:lang w:val="fr-CA"/>
        </w:rPr>
        <w:t>46), la Cour a affirmé que « la preuve doit toujours êtr</w:t>
      </w:r>
      <w:r w:rsidR="009F2BFF">
        <w:rPr>
          <w:rFonts w:cs="Times New Roman"/>
          <w:noProof/>
          <w:lang w:val="fr-CA"/>
        </w:rPr>
        <w:t>e claire et convaincante . . .</w:t>
      </w:r>
      <w:r w:rsidRPr="009078C7">
        <w:rPr>
          <w:rFonts w:cs="Times New Roman"/>
          <w:noProof/>
          <w:lang w:val="fr-CA"/>
        </w:rPr>
        <w:t> ». Il s</w:t>
      </w:r>
      <w:r>
        <w:rPr>
          <w:rFonts w:cs="Times New Roman"/>
          <w:noProof/>
          <w:lang w:val="fr-CA"/>
        </w:rPr>
        <w:t>’</w:t>
      </w:r>
      <w:r w:rsidRPr="009078C7">
        <w:rPr>
          <w:rFonts w:cs="Times New Roman"/>
          <w:noProof/>
          <w:lang w:val="fr-CA"/>
        </w:rPr>
        <w:t>agit là de qualités relatives et non absolues. Il s</w:t>
      </w:r>
      <w:r>
        <w:rPr>
          <w:rFonts w:cs="Times New Roman"/>
          <w:noProof/>
          <w:lang w:val="fr-CA"/>
        </w:rPr>
        <w:t>’</w:t>
      </w:r>
      <w:r w:rsidRPr="009078C7">
        <w:rPr>
          <w:rFonts w:cs="Times New Roman"/>
          <w:noProof/>
          <w:lang w:val="fr-CA"/>
        </w:rPr>
        <w:t>ensuit que la qualité de la preuve nécessaire pour atteindre ce seuil de façon à convaincre le juge des faits que cette preuve satisfait à la norme de la prépondérance des probabilités dépend de la nature de la revendication et de la preuve qui peut être présentée</w:t>
      </w:r>
      <w:r>
        <w:rPr>
          <w:rFonts w:cs="Times New Roman"/>
          <w:noProof/>
          <w:lang w:val="fr-CA"/>
        </w:rPr>
        <w:t> :</w:t>
      </w:r>
      <w:r w:rsidRPr="009078C7">
        <w:rPr>
          <w:rFonts w:cs="Times New Roman"/>
          <w:noProof/>
          <w:lang w:val="fr-CA"/>
        </w:rPr>
        <w:t xml:space="preserve"> </w:t>
      </w:r>
      <w:r w:rsidRPr="009078C7">
        <w:rPr>
          <w:rFonts w:cs="Times New Roman"/>
          <w:i/>
          <w:noProof/>
          <w:lang w:val="fr-CA"/>
        </w:rPr>
        <w:t>Delgamuukw c. Colombie</w:t>
      </w:r>
      <w:r>
        <w:rPr>
          <w:rFonts w:cs="Times New Roman"/>
          <w:i/>
          <w:noProof/>
          <w:lang w:val="fr-CA"/>
        </w:rPr>
        <w:noBreakHyphen/>
      </w:r>
      <w:r w:rsidRPr="009078C7">
        <w:rPr>
          <w:rFonts w:cs="Times New Roman"/>
          <w:i/>
          <w:noProof/>
          <w:lang w:val="fr-CA"/>
        </w:rPr>
        <w:t>Britannique</w:t>
      </w:r>
      <w:r w:rsidR="00366D0A" w:rsidRPr="00366D0A">
        <w:rPr>
          <w:rFonts w:cs="Times New Roman"/>
          <w:noProof/>
          <w:lang w:val="fr-CA"/>
        </w:rPr>
        <w:t>,</w:t>
      </w:r>
      <w:r w:rsidRPr="009078C7">
        <w:rPr>
          <w:rFonts w:cs="Times New Roman"/>
          <w:noProof/>
          <w:lang w:val="fr-CA"/>
        </w:rPr>
        <w:t xml:space="preserve"> [1997] 3 R.C.S. 1010, </w:t>
      </w:r>
      <w:r>
        <w:rPr>
          <w:rFonts w:cs="Times New Roman"/>
          <w:noProof/>
          <w:lang w:val="fr-CA"/>
        </w:rPr>
        <w:t>par. </w:t>
      </w:r>
      <w:r w:rsidRPr="009078C7">
        <w:rPr>
          <w:rFonts w:cs="Times New Roman"/>
          <w:noProof/>
          <w:lang w:val="fr-CA"/>
        </w:rPr>
        <w:t xml:space="preserve">82; </w:t>
      </w:r>
      <w:r w:rsidRPr="009078C7">
        <w:rPr>
          <w:rFonts w:cs="Times New Roman"/>
          <w:i/>
          <w:noProof/>
          <w:lang w:val="fr-CA"/>
        </w:rPr>
        <w:t xml:space="preserve">Canada </w:t>
      </w:r>
      <w:r w:rsidRPr="009078C7">
        <w:rPr>
          <w:rFonts w:cs="Times New Roman"/>
          <w:noProof/>
          <w:lang w:val="fr-CA"/>
        </w:rPr>
        <w:t>(</w:t>
      </w:r>
      <w:r w:rsidRPr="009078C7">
        <w:rPr>
          <w:rFonts w:cs="Times New Roman"/>
          <w:i/>
          <w:noProof/>
          <w:lang w:val="fr-CA"/>
        </w:rPr>
        <w:t>Procureur général) c. Fairmont Hotels Inc.</w:t>
      </w:r>
      <w:r w:rsidRPr="009078C7">
        <w:rPr>
          <w:rFonts w:cs="Times New Roman"/>
          <w:noProof/>
          <w:lang w:val="fr-CA"/>
        </w:rPr>
        <w:t>, 2016 CSC 56,</w:t>
      </w:r>
      <w:r w:rsidR="009F2BFF">
        <w:rPr>
          <w:rFonts w:cs="Times New Roman"/>
          <w:noProof/>
          <w:lang w:val="fr-CA"/>
        </w:rPr>
        <w:t xml:space="preserve"> [2016] 2 R.C.S. 720,</w:t>
      </w:r>
      <w:r w:rsidRPr="009078C7">
        <w:rPr>
          <w:rFonts w:cs="Times New Roman"/>
          <w:noProof/>
          <w:lang w:val="fr-CA"/>
        </w:rPr>
        <w:t xml:space="preserve"> </w:t>
      </w:r>
      <w:r>
        <w:rPr>
          <w:rFonts w:cs="Times New Roman"/>
          <w:noProof/>
          <w:lang w:val="fr-CA"/>
        </w:rPr>
        <w:t>par. </w:t>
      </w:r>
      <w:r w:rsidRPr="009078C7">
        <w:rPr>
          <w:rFonts w:cs="Times New Roman"/>
          <w:noProof/>
          <w:lang w:val="fr-CA"/>
        </w:rPr>
        <w:t>36. Dans le contexte de réclamations fondées sur la possession adversative historique d</w:t>
      </w:r>
      <w:r>
        <w:rPr>
          <w:rFonts w:cs="Times New Roman"/>
          <w:noProof/>
          <w:lang w:val="fr-CA"/>
        </w:rPr>
        <w:t>’</w:t>
      </w:r>
      <w:r w:rsidRPr="009078C7">
        <w:rPr>
          <w:rFonts w:cs="Times New Roman"/>
          <w:noProof/>
          <w:lang w:val="fr-CA"/>
        </w:rPr>
        <w:t>un bien</w:t>
      </w:r>
      <w:r>
        <w:rPr>
          <w:rFonts w:cs="Times New Roman"/>
          <w:noProof/>
          <w:lang w:val="fr-CA"/>
        </w:rPr>
        <w:noBreakHyphen/>
      </w:r>
      <w:r w:rsidRPr="009078C7">
        <w:rPr>
          <w:rFonts w:cs="Times New Roman"/>
          <w:noProof/>
          <w:lang w:val="fr-CA"/>
        </w:rPr>
        <w:t>fonds, la qualité de la preuve présentée doit simplement être [</w:t>
      </w:r>
      <w:r w:rsidRPr="009078C7">
        <w:rPr>
          <w:rFonts w:cs="Times New Roman"/>
          <w:smallCaps/>
          <w:noProof/>
          <w:lang w:val="fr-CA"/>
        </w:rPr>
        <w:t>traduction</w:t>
      </w:r>
      <w:r w:rsidRPr="009078C7">
        <w:rPr>
          <w:rFonts w:cs="Times New Roman"/>
          <w:noProof/>
          <w:lang w:val="fr-CA"/>
        </w:rPr>
        <w:t>] « aussi satisfaisante que ce à quoi il est raisonnable de s</w:t>
      </w:r>
      <w:r>
        <w:rPr>
          <w:rFonts w:cs="Times New Roman"/>
          <w:noProof/>
          <w:lang w:val="fr-CA"/>
        </w:rPr>
        <w:t>’</w:t>
      </w:r>
      <w:r w:rsidRPr="009078C7">
        <w:rPr>
          <w:rFonts w:cs="Times New Roman"/>
          <w:noProof/>
          <w:lang w:val="fr-CA"/>
        </w:rPr>
        <w:t>attendre compte tenu de l</w:t>
      </w:r>
      <w:r>
        <w:rPr>
          <w:rFonts w:cs="Times New Roman"/>
          <w:noProof/>
          <w:lang w:val="fr-CA"/>
        </w:rPr>
        <w:t>’</w:t>
      </w:r>
      <w:r w:rsidRPr="009078C7">
        <w:rPr>
          <w:rFonts w:cs="Times New Roman"/>
          <w:noProof/>
          <w:lang w:val="fr-CA"/>
        </w:rPr>
        <w:t>ensemble des circonstances »</w:t>
      </w:r>
      <w:r>
        <w:rPr>
          <w:rFonts w:cs="Times New Roman"/>
          <w:noProof/>
          <w:lang w:val="fr-CA"/>
        </w:rPr>
        <w:t> :</w:t>
      </w:r>
      <w:r w:rsidR="009F2BFF">
        <w:rPr>
          <w:rFonts w:cs="Times New Roman"/>
          <w:noProof/>
          <w:lang w:val="fr-CA"/>
        </w:rPr>
        <w:t xml:space="preserve"> le juge Anglin, plus tard J</w:t>
      </w:r>
      <w:r w:rsidRPr="009078C7">
        <w:rPr>
          <w:rFonts w:cs="Times New Roman"/>
          <w:noProof/>
          <w:lang w:val="fr-CA"/>
        </w:rPr>
        <w:t xml:space="preserve">uge en chef, dans </w:t>
      </w:r>
      <w:r w:rsidRPr="009078C7">
        <w:rPr>
          <w:rFonts w:cs="Times New Roman"/>
          <w:i/>
          <w:noProof/>
          <w:lang w:val="fr-CA"/>
        </w:rPr>
        <w:t>Tweedie c. The King</w:t>
      </w:r>
      <w:r w:rsidRPr="009078C7">
        <w:rPr>
          <w:rFonts w:cs="Times New Roman"/>
          <w:noProof/>
          <w:lang w:val="fr-CA"/>
        </w:rPr>
        <w:t xml:space="preserve"> (1915), 52 R.C.S. 197, </w:t>
      </w:r>
      <w:r>
        <w:rPr>
          <w:rFonts w:cs="Times New Roman"/>
          <w:noProof/>
          <w:lang w:val="fr-CA"/>
        </w:rPr>
        <w:t>p. </w:t>
      </w:r>
      <w:r w:rsidRPr="009078C7">
        <w:rPr>
          <w:rFonts w:cs="Times New Roman"/>
          <w:noProof/>
          <w:lang w:val="fr-CA"/>
        </w:rPr>
        <w:t xml:space="preserve">220; voir également Sir Arthur Wilson dans </w:t>
      </w:r>
      <w:r w:rsidR="009F2BFF">
        <w:rPr>
          <w:rFonts w:cs="Times New Roman"/>
          <w:i/>
          <w:noProof/>
          <w:lang w:val="fr-CA"/>
        </w:rPr>
        <w:t>Attorney-</w:t>
      </w:r>
      <w:r w:rsidRPr="009078C7">
        <w:rPr>
          <w:rFonts w:cs="Times New Roman"/>
          <w:i/>
          <w:noProof/>
          <w:lang w:val="fr-CA"/>
        </w:rPr>
        <w:t>General for British Columbia c. Canadian Pacific Railway</w:t>
      </w:r>
      <w:r w:rsidRPr="009078C7">
        <w:rPr>
          <w:rFonts w:cs="Times New Roman"/>
          <w:noProof/>
          <w:lang w:val="fr-CA"/>
        </w:rPr>
        <w:t xml:space="preserve">, [1906] A.C. 204 (P.C.), </w:t>
      </w:r>
      <w:r>
        <w:rPr>
          <w:rFonts w:cs="Times New Roman"/>
          <w:noProof/>
          <w:lang w:val="fr-CA"/>
        </w:rPr>
        <w:t>p. </w:t>
      </w:r>
      <w:r w:rsidR="009F2BFF">
        <w:rPr>
          <w:rFonts w:cs="Times New Roman"/>
          <w:noProof/>
          <w:lang w:val="fr-CA"/>
        </w:rPr>
        <w:t>209-</w:t>
      </w:r>
      <w:r w:rsidRPr="009078C7">
        <w:rPr>
          <w:rFonts w:cs="Times New Roman"/>
          <w:noProof/>
          <w:lang w:val="fr-CA"/>
        </w:rPr>
        <w:t xml:space="preserve">210. </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Cela étant dit, et en tout respect, je n</w:t>
      </w:r>
      <w:r>
        <w:rPr>
          <w:rFonts w:cs="Times New Roman"/>
          <w:noProof/>
          <w:lang w:val="fr-CA"/>
        </w:rPr>
        <w:t>’</w:t>
      </w:r>
      <w:r w:rsidRPr="009078C7">
        <w:rPr>
          <w:rFonts w:cs="Times New Roman"/>
          <w:noProof/>
          <w:lang w:val="fr-CA"/>
        </w:rPr>
        <w:t>adhère pas aux reproches que la Cour d</w:t>
      </w:r>
      <w:r>
        <w:rPr>
          <w:rFonts w:cs="Times New Roman"/>
          <w:noProof/>
          <w:lang w:val="fr-CA"/>
        </w:rPr>
        <w:t>’</w:t>
      </w:r>
      <w:r w:rsidRPr="009078C7">
        <w:rPr>
          <w:rFonts w:cs="Times New Roman"/>
          <w:noProof/>
          <w:lang w:val="fr-CA"/>
        </w:rPr>
        <w:t>appel a formulés à l</w:t>
      </w:r>
      <w:r>
        <w:rPr>
          <w:rFonts w:cs="Times New Roman"/>
          <w:noProof/>
          <w:lang w:val="fr-CA"/>
        </w:rPr>
        <w:t>’</w:t>
      </w:r>
      <w:r w:rsidRPr="009078C7">
        <w:rPr>
          <w:rFonts w:cs="Times New Roman"/>
          <w:noProof/>
          <w:lang w:val="fr-CA"/>
        </w:rPr>
        <w:t>égard de la façon dont le juge en cabinet a évalué la preuve. À mon avis, lorsqu</w:t>
      </w:r>
      <w:r>
        <w:rPr>
          <w:rFonts w:cs="Times New Roman"/>
          <w:noProof/>
          <w:lang w:val="fr-CA"/>
        </w:rPr>
        <w:t>’</w:t>
      </w:r>
      <w:r w:rsidRPr="009078C7">
        <w:rPr>
          <w:rFonts w:cs="Times New Roman"/>
          <w:noProof/>
          <w:lang w:val="fr-CA"/>
        </w:rPr>
        <w:t xml:space="preserve">il a examiné la preuve portée à son attention, le juge en cabinet était </w:t>
      </w:r>
      <w:r w:rsidRPr="009078C7">
        <w:rPr>
          <w:rFonts w:cs="Times New Roman"/>
          <w:noProof/>
          <w:lang w:val="fr-CA"/>
        </w:rPr>
        <w:lastRenderedPageBreak/>
        <w:t>bien conscient de la nature historique de la revendication des Mowatt et de ses incidences sur la qualité et sur la disponibilité des éléments de preuve. Parce qu</w:t>
      </w:r>
      <w:r>
        <w:rPr>
          <w:rFonts w:cs="Times New Roman"/>
          <w:noProof/>
          <w:lang w:val="fr-CA"/>
        </w:rPr>
        <w:t>’</w:t>
      </w:r>
      <w:r w:rsidRPr="009078C7">
        <w:rPr>
          <w:rFonts w:cs="Times New Roman"/>
          <w:noProof/>
          <w:lang w:val="fr-CA"/>
        </w:rPr>
        <w:t>ils démontrent que le juge en cabinet était sensible à ces aspects du dossier, il convient ici de reproduire certains passages de ses motifs qui s</w:t>
      </w:r>
      <w:r>
        <w:rPr>
          <w:rFonts w:cs="Times New Roman"/>
          <w:noProof/>
          <w:lang w:val="fr-CA"/>
        </w:rPr>
        <w:t>’</w:t>
      </w:r>
      <w:r w:rsidRPr="009078C7">
        <w:rPr>
          <w:rFonts w:cs="Times New Roman"/>
          <w:noProof/>
          <w:lang w:val="fr-CA"/>
        </w:rPr>
        <w:t xml:space="preserve">y rapportent (première décision, </w:t>
      </w:r>
      <w:r>
        <w:rPr>
          <w:rFonts w:cs="Times New Roman"/>
          <w:noProof/>
          <w:lang w:val="fr-CA"/>
        </w:rPr>
        <w:t>par. </w:t>
      </w:r>
      <w:r w:rsidRPr="009078C7">
        <w:rPr>
          <w:rFonts w:cs="Times New Roman"/>
          <w:noProof/>
          <w:lang w:val="fr-CA"/>
        </w:rPr>
        <w:t>105 et 108)</w:t>
      </w:r>
      <w:r>
        <w:rPr>
          <w:rFonts w:cs="Times New Roman"/>
          <w:noProof/>
          <w:lang w:val="fr-CA"/>
        </w:rPr>
        <w:t> :</w:t>
      </w:r>
      <w:r w:rsidRPr="009078C7">
        <w:rPr>
          <w:rFonts w:cs="Times New Roman"/>
          <w:noProof/>
          <w:lang w:val="fr-CA"/>
        </w:rPr>
        <w:t xml:space="preserve"> </w:t>
      </w:r>
    </w:p>
    <w:p w:rsidR="00190EF2" w:rsidRPr="009078C7" w:rsidRDefault="00190EF2" w:rsidP="00BF1D7F">
      <w:pPr>
        <w:pStyle w:val="Citation-AltC"/>
        <w:widowControl w:val="0"/>
        <w:spacing w:after="240"/>
        <w:ind w:left="1168" w:hanging="1168"/>
        <w:contextualSpacing w:val="0"/>
        <w:rPr>
          <w:noProof/>
          <w:lang w:val="fr-CA"/>
        </w:rPr>
      </w:pPr>
      <w:r w:rsidRPr="009078C7">
        <w:rPr>
          <w:noProof/>
          <w:lang w:val="fr-CA"/>
        </w:rPr>
        <w:tab/>
      </w:r>
      <w:r w:rsidRPr="009078C7">
        <w:rPr>
          <w:noProof/>
          <w:lang w:val="fr-CA"/>
        </w:rPr>
        <w:tab/>
      </w:r>
      <w:r w:rsidR="009F2BFF" w:rsidRPr="009078C7">
        <w:rPr>
          <w:noProof/>
          <w:lang w:val="fr-CA"/>
        </w:rPr>
        <w:t>[</w:t>
      </w:r>
      <w:r w:rsidR="009F2BFF" w:rsidRPr="009078C7">
        <w:rPr>
          <w:smallCaps/>
          <w:noProof/>
          <w:lang w:val="fr-CA"/>
        </w:rPr>
        <w:t>traduction</w:t>
      </w:r>
      <w:r w:rsidR="009F2BFF" w:rsidRPr="009078C7">
        <w:rPr>
          <w:noProof/>
          <w:lang w:val="fr-CA"/>
        </w:rPr>
        <w:t>]</w:t>
      </w:r>
      <w:r w:rsidR="009F2BFF">
        <w:rPr>
          <w:noProof/>
          <w:lang w:val="fr-CA"/>
        </w:rPr>
        <w:t xml:space="preserve"> </w:t>
      </w:r>
      <w:r w:rsidRPr="009078C7">
        <w:rPr>
          <w:noProof/>
          <w:lang w:val="fr-CA"/>
        </w:rPr>
        <w:t>Je conviens avec les requérants qu</w:t>
      </w:r>
      <w:r>
        <w:rPr>
          <w:noProof/>
          <w:lang w:val="fr-CA"/>
        </w:rPr>
        <w:t>’</w:t>
      </w:r>
      <w:r w:rsidRPr="009078C7">
        <w:rPr>
          <w:noProof/>
          <w:lang w:val="fr-CA"/>
        </w:rPr>
        <w:t>il n</w:t>
      </w:r>
      <w:r>
        <w:rPr>
          <w:noProof/>
          <w:lang w:val="fr-CA"/>
        </w:rPr>
        <w:t>’</w:t>
      </w:r>
      <w:r w:rsidRPr="009078C7">
        <w:rPr>
          <w:noProof/>
          <w:lang w:val="fr-CA"/>
        </w:rPr>
        <w:t>est pas nécessaire de présenter une preuve de possession pour chaque année civile de la période visée par la revendication. Ainsi, s</w:t>
      </w:r>
      <w:r>
        <w:rPr>
          <w:noProof/>
          <w:lang w:val="fr-CA"/>
        </w:rPr>
        <w:t>’</w:t>
      </w:r>
      <w:r w:rsidRPr="009078C7">
        <w:rPr>
          <w:noProof/>
          <w:lang w:val="fr-CA"/>
        </w:rPr>
        <w:t>il y avait des éléments de preuve établissant de façon convaincante que la partie A a pris possession de la propriété en 1912 et en a transféré la possession à la partie B en 1914, il serait juste et raisonnable d</w:t>
      </w:r>
      <w:r>
        <w:rPr>
          <w:noProof/>
          <w:lang w:val="fr-CA"/>
        </w:rPr>
        <w:t>’</w:t>
      </w:r>
      <w:r w:rsidRPr="009078C7">
        <w:rPr>
          <w:noProof/>
          <w:lang w:val="fr-CA"/>
        </w:rPr>
        <w:t xml:space="preserve">inférer de cette preuve que la partie A avait la possession de la propriété en 1913. Pour citer </w:t>
      </w:r>
      <w:r w:rsidRPr="009078C7">
        <w:rPr>
          <w:i/>
          <w:noProof/>
          <w:lang w:val="fr-CA"/>
        </w:rPr>
        <w:t>Tweedie</w:t>
      </w:r>
      <w:r w:rsidRPr="009078C7">
        <w:rPr>
          <w:noProof/>
          <w:lang w:val="fr-CA"/>
        </w:rPr>
        <w:t>, il n</w:t>
      </w:r>
      <w:r>
        <w:rPr>
          <w:noProof/>
          <w:lang w:val="fr-CA"/>
        </w:rPr>
        <w:t>’</w:t>
      </w:r>
      <w:r w:rsidRPr="009078C7">
        <w:rPr>
          <w:noProof/>
          <w:lang w:val="fr-CA"/>
        </w:rPr>
        <w:t>y a « aucune raison de supposer » que la partie A a abandonné les biens</w:t>
      </w:r>
      <w:r>
        <w:rPr>
          <w:noProof/>
          <w:lang w:val="fr-CA"/>
        </w:rPr>
        <w:noBreakHyphen/>
      </w:r>
      <w:r w:rsidRPr="009078C7">
        <w:rPr>
          <w:noProof/>
          <w:lang w:val="fr-CA"/>
        </w:rPr>
        <w:t>fonds pendant un certain temps.</w:t>
      </w:r>
    </w:p>
    <w:p w:rsidR="00190EF2" w:rsidRPr="009078C7" w:rsidRDefault="009F2BFF" w:rsidP="00BF1D7F">
      <w:pPr>
        <w:pStyle w:val="Citation-AltC"/>
        <w:widowControl w:val="0"/>
        <w:spacing w:after="240"/>
        <w:ind w:left="1168" w:hanging="1168"/>
        <w:contextualSpacing w:val="0"/>
        <w:jc w:val="center"/>
        <w:rPr>
          <w:noProof/>
          <w:lang w:val="fr-CA"/>
        </w:rPr>
      </w:pPr>
      <w:r>
        <w:rPr>
          <w:noProof/>
          <w:lang w:val="fr-CA"/>
        </w:rPr>
        <w:t>. . .</w:t>
      </w:r>
    </w:p>
    <w:p w:rsidR="00190EF2" w:rsidRPr="009078C7" w:rsidRDefault="00190EF2" w:rsidP="00BF1D7F">
      <w:pPr>
        <w:pStyle w:val="Citation-AltC"/>
        <w:widowControl w:val="0"/>
        <w:ind w:left="1168" w:hanging="1168"/>
        <w:contextualSpacing w:val="0"/>
        <w:rPr>
          <w:noProof/>
          <w:lang w:val="fr-CA"/>
        </w:rPr>
      </w:pPr>
      <w:r w:rsidRPr="009078C7">
        <w:rPr>
          <w:noProof/>
          <w:lang w:val="fr-CA"/>
        </w:rPr>
        <w:tab/>
      </w:r>
      <w:r w:rsidRPr="009078C7">
        <w:rPr>
          <w:noProof/>
          <w:lang w:val="fr-CA"/>
        </w:rPr>
        <w:tab/>
        <w:t>Même si j</w:t>
      </w:r>
      <w:r>
        <w:rPr>
          <w:noProof/>
          <w:lang w:val="fr-CA"/>
        </w:rPr>
        <w:t>’</w:t>
      </w:r>
      <w:r w:rsidRPr="009078C7">
        <w:rPr>
          <w:noProof/>
          <w:lang w:val="fr-CA"/>
        </w:rPr>
        <w:t>examinais à nouveau la thèse des requérants sous son meilleur angle et que je concluais que les Cooper et les Goucher ont habité la même résidence sur le lot en litige, il n</w:t>
      </w:r>
      <w:r>
        <w:rPr>
          <w:noProof/>
          <w:lang w:val="fr-CA"/>
        </w:rPr>
        <w:t>’</w:t>
      </w:r>
      <w:r w:rsidRPr="009078C7">
        <w:rPr>
          <w:noProof/>
          <w:lang w:val="fr-CA"/>
        </w:rPr>
        <w:t xml:space="preserve">y a aucun élément de preuve établissant la continuité de la possession adversative des Cooper avec celle des Goucher. </w:t>
      </w:r>
      <w:r w:rsidRPr="009078C7">
        <w:rPr>
          <w:noProof/>
          <w:u w:val="single"/>
          <w:lang w:val="fr-CA"/>
        </w:rPr>
        <w:t>Pour en arriver à mes conclusions, je suis conscient des normes qui avaient cours en matière de publicité des actes il y a près d</w:t>
      </w:r>
      <w:r>
        <w:rPr>
          <w:noProof/>
          <w:u w:val="single"/>
          <w:lang w:val="fr-CA"/>
        </w:rPr>
        <w:t>’</w:t>
      </w:r>
      <w:r w:rsidRPr="009078C7">
        <w:rPr>
          <w:noProof/>
          <w:u w:val="single"/>
          <w:lang w:val="fr-CA"/>
        </w:rPr>
        <w:t>un siècle; cependant, je ne suis pas convaincu que la preuve est « aussi satisfaisante qu</w:t>
      </w:r>
      <w:r>
        <w:rPr>
          <w:noProof/>
          <w:u w:val="single"/>
          <w:lang w:val="fr-CA"/>
        </w:rPr>
        <w:t>’</w:t>
      </w:r>
      <w:r w:rsidRPr="009078C7">
        <w:rPr>
          <w:noProof/>
          <w:u w:val="single"/>
          <w:lang w:val="fr-CA"/>
        </w:rPr>
        <w:t>on pourrait raisonnablement s</w:t>
      </w:r>
      <w:r>
        <w:rPr>
          <w:noProof/>
          <w:u w:val="single"/>
          <w:lang w:val="fr-CA"/>
        </w:rPr>
        <w:t>’</w:t>
      </w:r>
      <w:r w:rsidRPr="009078C7">
        <w:rPr>
          <w:noProof/>
          <w:u w:val="single"/>
          <w:lang w:val="fr-CA"/>
        </w:rPr>
        <w:t>attendre qu</w:t>
      </w:r>
      <w:r>
        <w:rPr>
          <w:noProof/>
          <w:u w:val="single"/>
          <w:lang w:val="fr-CA"/>
        </w:rPr>
        <w:t>’</w:t>
      </w:r>
      <w:r w:rsidRPr="009078C7">
        <w:rPr>
          <w:noProof/>
          <w:u w:val="single"/>
          <w:lang w:val="fr-CA"/>
        </w:rPr>
        <w:t>elle le soit, eu égard à l</w:t>
      </w:r>
      <w:r>
        <w:rPr>
          <w:noProof/>
          <w:u w:val="single"/>
          <w:lang w:val="fr-CA"/>
        </w:rPr>
        <w:t>’</w:t>
      </w:r>
      <w:r w:rsidRPr="009078C7">
        <w:rPr>
          <w:noProof/>
          <w:u w:val="single"/>
          <w:lang w:val="fr-CA"/>
        </w:rPr>
        <w:t>ensemble des circonstances »</w:t>
      </w:r>
      <w:r>
        <w:rPr>
          <w:noProof/>
          <w:lang w:val="fr-CA"/>
        </w:rPr>
        <w:t> :</w:t>
      </w:r>
      <w:r w:rsidRPr="009078C7">
        <w:rPr>
          <w:noProof/>
          <w:lang w:val="fr-CA"/>
        </w:rPr>
        <w:t xml:space="preserve"> </w:t>
      </w:r>
      <w:r w:rsidRPr="009078C7">
        <w:rPr>
          <w:i/>
          <w:noProof/>
          <w:lang w:val="fr-CA"/>
        </w:rPr>
        <w:t>Tweedie</w:t>
      </w:r>
      <w:r w:rsidRPr="009078C7">
        <w:rPr>
          <w:noProof/>
          <w:lang w:val="fr-CA"/>
        </w:rPr>
        <w:t xml:space="preserve">, </w:t>
      </w:r>
      <w:r>
        <w:rPr>
          <w:noProof/>
          <w:lang w:val="fr-CA"/>
        </w:rPr>
        <w:t>p. </w:t>
      </w:r>
      <w:r w:rsidRPr="009078C7">
        <w:rPr>
          <w:noProof/>
          <w:lang w:val="fr-CA"/>
        </w:rPr>
        <w:t>220. Le fait que, d</w:t>
      </w:r>
      <w:r>
        <w:rPr>
          <w:noProof/>
          <w:lang w:val="fr-CA"/>
        </w:rPr>
        <w:t>’</w:t>
      </w:r>
      <w:r w:rsidRPr="009078C7">
        <w:rPr>
          <w:noProof/>
          <w:lang w:val="fr-CA"/>
        </w:rPr>
        <w:t>après les registres, les Goucher</w:t>
      </w:r>
      <w:r>
        <w:rPr>
          <w:noProof/>
          <w:lang w:val="fr-CA"/>
        </w:rPr>
        <w:t xml:space="preserve"> vivaient sur la rue </w:t>
      </w:r>
      <w:r w:rsidRPr="009078C7">
        <w:rPr>
          <w:noProof/>
          <w:lang w:val="fr-CA"/>
        </w:rPr>
        <w:t>Baker, à Nelson, en 1916 n</w:t>
      </w:r>
      <w:r>
        <w:rPr>
          <w:noProof/>
          <w:lang w:val="fr-CA"/>
        </w:rPr>
        <w:t>’</w:t>
      </w:r>
      <w:r w:rsidRPr="009078C7">
        <w:rPr>
          <w:noProof/>
          <w:lang w:val="fr-CA"/>
        </w:rPr>
        <w:t>est pas un élément que je peux ignorer. De plus, selon le premier affidavit de M</w:t>
      </w:r>
      <w:r w:rsidRPr="009078C7">
        <w:rPr>
          <w:noProof/>
          <w:vertAlign w:val="superscript"/>
          <w:lang w:val="fr-CA"/>
        </w:rPr>
        <w:t>me</w:t>
      </w:r>
      <w:r w:rsidRPr="009078C7">
        <w:rPr>
          <w:noProof/>
          <w:lang w:val="fr-CA"/>
        </w:rPr>
        <w:t> Mowatt, ni les Cooper ni les Goucher ne figurent dans le registre de 1918. Les requérants n</w:t>
      </w:r>
      <w:r>
        <w:rPr>
          <w:noProof/>
          <w:lang w:val="fr-CA"/>
        </w:rPr>
        <w:t>’</w:t>
      </w:r>
      <w:r w:rsidRPr="009078C7">
        <w:rPr>
          <w:noProof/>
          <w:lang w:val="fr-CA"/>
        </w:rPr>
        <w:t>ont présenté aucun élément de preuve établissant la possession adversative du terrain litigieux de 1917 à 1919. [Je souligne.]</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Compte tenu de la conclusion du juge en cabinet — qui n</w:t>
      </w:r>
      <w:r>
        <w:rPr>
          <w:rFonts w:cs="Times New Roman"/>
          <w:noProof/>
          <w:lang w:val="fr-CA"/>
        </w:rPr>
        <w:t>’</w:t>
      </w:r>
      <w:r w:rsidRPr="009078C7">
        <w:rPr>
          <w:rFonts w:cs="Times New Roman"/>
          <w:noProof/>
          <w:lang w:val="fr-CA"/>
        </w:rPr>
        <w:t>est viciée par aucune erreur manifeste et dominante — selon laquelle les Mowatt n</w:t>
      </w:r>
      <w:r>
        <w:rPr>
          <w:rFonts w:cs="Times New Roman"/>
          <w:noProof/>
          <w:lang w:val="fr-CA"/>
        </w:rPr>
        <w:t>’</w:t>
      </w:r>
      <w:r w:rsidRPr="009078C7">
        <w:rPr>
          <w:rFonts w:cs="Times New Roman"/>
          <w:noProof/>
          <w:lang w:val="fr-CA"/>
        </w:rPr>
        <w:t>ont pas fait la preuve d</w:t>
      </w:r>
      <w:r>
        <w:rPr>
          <w:rFonts w:cs="Times New Roman"/>
          <w:noProof/>
          <w:lang w:val="fr-CA"/>
        </w:rPr>
        <w:t>’</w:t>
      </w:r>
      <w:r w:rsidRPr="009078C7">
        <w:rPr>
          <w:rFonts w:cs="Times New Roman"/>
          <w:noProof/>
          <w:lang w:val="fr-CA"/>
        </w:rPr>
        <w:t xml:space="preserve">une possession adversative ininterrompue du lot en litige de 1916 à 1920, il </w:t>
      </w:r>
      <w:r w:rsidRPr="009078C7">
        <w:rPr>
          <w:rFonts w:cs="Times New Roman"/>
          <w:noProof/>
          <w:lang w:val="fr-CA"/>
        </w:rPr>
        <w:lastRenderedPageBreak/>
        <w:t>n</w:t>
      </w:r>
      <w:r>
        <w:rPr>
          <w:rFonts w:cs="Times New Roman"/>
          <w:noProof/>
          <w:lang w:val="fr-CA"/>
        </w:rPr>
        <w:t>’</w:t>
      </w:r>
      <w:r w:rsidRPr="009078C7">
        <w:rPr>
          <w:rFonts w:cs="Times New Roman"/>
          <w:noProof/>
          <w:lang w:val="fr-CA"/>
        </w:rPr>
        <w:t>est pas nécessaire que nous nous penchions sur les observations de la ville et du procureur de la Colombie</w:t>
      </w:r>
      <w:r>
        <w:rPr>
          <w:rFonts w:cs="Times New Roman"/>
          <w:noProof/>
          <w:lang w:val="fr-CA"/>
        </w:rPr>
        <w:noBreakHyphen/>
      </w:r>
      <w:r w:rsidRPr="009078C7">
        <w:rPr>
          <w:rFonts w:cs="Times New Roman"/>
          <w:noProof/>
          <w:lang w:val="fr-CA"/>
        </w:rPr>
        <w:t>Britannique quant à la question de savoir si l</w:t>
      </w:r>
      <w:r>
        <w:rPr>
          <w:rFonts w:cs="Times New Roman"/>
          <w:noProof/>
          <w:lang w:val="fr-CA"/>
        </w:rPr>
        <w:t>’</w:t>
      </w:r>
      <w:r w:rsidRPr="009078C7">
        <w:rPr>
          <w:rFonts w:cs="Times New Roman"/>
          <w:noProof/>
          <w:lang w:val="fr-CA"/>
        </w:rPr>
        <w:t>absence d</w:t>
      </w:r>
      <w:r>
        <w:rPr>
          <w:rFonts w:cs="Times New Roman"/>
          <w:noProof/>
          <w:lang w:val="fr-CA"/>
        </w:rPr>
        <w:t>’</w:t>
      </w:r>
      <w:r w:rsidRPr="009078C7">
        <w:rPr>
          <w:rFonts w:cs="Times New Roman"/>
          <w:noProof/>
          <w:lang w:val="fr-CA"/>
        </w:rPr>
        <w:t>enregistrement fait obstacle à la revendication des Mowatt. M</w:t>
      </w:r>
      <w:r w:rsidRPr="009078C7">
        <w:rPr>
          <w:rFonts w:cs="Times New Roman"/>
          <w:noProof/>
          <w:vertAlign w:val="superscript"/>
          <w:lang w:val="fr-CA"/>
        </w:rPr>
        <w:t>me</w:t>
      </w:r>
      <w:r w:rsidRPr="009078C7">
        <w:rPr>
          <w:rFonts w:cs="Times New Roman"/>
          <w:noProof/>
          <w:lang w:val="fr-CA"/>
        </w:rPr>
        <w:t> Marquis n</w:t>
      </w:r>
      <w:r>
        <w:rPr>
          <w:rFonts w:cs="Times New Roman"/>
          <w:noProof/>
          <w:lang w:val="fr-CA"/>
        </w:rPr>
        <w:t>’</w:t>
      </w:r>
      <w:r w:rsidRPr="009078C7">
        <w:rPr>
          <w:rFonts w:cs="Times New Roman"/>
          <w:noProof/>
          <w:lang w:val="fr-CA"/>
        </w:rPr>
        <w:t>avait aucun droit sur le lot en litige, donc aucun droit n</w:t>
      </w:r>
      <w:r>
        <w:rPr>
          <w:rFonts w:cs="Times New Roman"/>
          <w:noProof/>
          <w:lang w:val="fr-CA"/>
        </w:rPr>
        <w:t>’</w:t>
      </w:r>
      <w:r w:rsidRPr="009078C7">
        <w:rPr>
          <w:rFonts w:cs="Times New Roman"/>
          <w:noProof/>
          <w:lang w:val="fr-CA"/>
        </w:rPr>
        <w:t>a pu être cédé aux Mowatt.</w:t>
      </w:r>
    </w:p>
    <w:p w:rsidR="00190EF2" w:rsidRPr="009078C7" w:rsidRDefault="00190EF2" w:rsidP="00BF1D7F">
      <w:pPr>
        <w:pStyle w:val="Title1LevelTitre1Niveau-AltL"/>
        <w:widowControl w:val="0"/>
        <w:rPr>
          <w:rFonts w:cs="Times New Roman"/>
          <w:noProof/>
          <w:lang w:val="fr-CA"/>
        </w:rPr>
      </w:pPr>
      <w:r w:rsidRPr="009078C7">
        <w:rPr>
          <w:rFonts w:cs="Times New Roman"/>
          <w:noProof/>
          <w:lang w:val="fr-CA"/>
        </w:rPr>
        <w:t>Conclusion et dispositif</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Je suis d</w:t>
      </w:r>
      <w:r>
        <w:rPr>
          <w:rFonts w:cs="Times New Roman"/>
          <w:noProof/>
          <w:lang w:val="fr-CA"/>
        </w:rPr>
        <w:t>’</w:t>
      </w:r>
      <w:r w:rsidRPr="009078C7">
        <w:rPr>
          <w:rFonts w:cs="Times New Roman"/>
          <w:noProof/>
          <w:lang w:val="fr-CA"/>
        </w:rPr>
        <w:t>avis d</w:t>
      </w:r>
      <w:r>
        <w:rPr>
          <w:rFonts w:cs="Times New Roman"/>
          <w:noProof/>
          <w:lang w:val="fr-CA"/>
        </w:rPr>
        <w:t>’</w:t>
      </w:r>
      <w:r w:rsidRPr="009078C7">
        <w:rPr>
          <w:rFonts w:cs="Times New Roman"/>
          <w:noProof/>
          <w:lang w:val="fr-CA"/>
        </w:rPr>
        <w:t>accueillir le pourvoi, et de rétablir les décisions du juge en cabinet.</w:t>
      </w:r>
    </w:p>
    <w:p w:rsidR="00190EF2" w:rsidRPr="009078C7" w:rsidRDefault="00190EF2" w:rsidP="00BF1D7F">
      <w:pPr>
        <w:pStyle w:val="ParaNoNdepar-AltN"/>
        <w:widowControl w:val="0"/>
        <w:numPr>
          <w:ilvl w:val="0"/>
          <w:numId w:val="12"/>
        </w:numPr>
        <w:tabs>
          <w:tab w:val="num" w:pos="1152"/>
        </w:tabs>
        <w:ind w:left="0" w:firstLine="0"/>
        <w:rPr>
          <w:rFonts w:cs="Times New Roman"/>
          <w:noProof/>
          <w:lang w:val="fr-CA"/>
        </w:rPr>
      </w:pPr>
      <w:r w:rsidRPr="009078C7">
        <w:rPr>
          <w:rFonts w:cs="Times New Roman"/>
          <w:noProof/>
          <w:lang w:val="fr-CA"/>
        </w:rPr>
        <w:t>Le juge en cabinet n</w:t>
      </w:r>
      <w:r>
        <w:rPr>
          <w:rFonts w:cs="Times New Roman"/>
          <w:noProof/>
          <w:lang w:val="fr-CA"/>
        </w:rPr>
        <w:t>’</w:t>
      </w:r>
      <w:r w:rsidRPr="009078C7">
        <w:rPr>
          <w:rFonts w:cs="Times New Roman"/>
          <w:noProof/>
          <w:lang w:val="fr-CA"/>
        </w:rPr>
        <w:t>a rendu aucune ordonnance quant aux dépens compte tenu des circonstances particulières du litige, y compris sa longue durée, de la connaissance qu</w:t>
      </w:r>
      <w:r>
        <w:rPr>
          <w:rFonts w:cs="Times New Roman"/>
          <w:noProof/>
          <w:lang w:val="fr-CA"/>
        </w:rPr>
        <w:t>’</w:t>
      </w:r>
      <w:r w:rsidRPr="009078C7">
        <w:rPr>
          <w:rFonts w:cs="Times New Roman"/>
          <w:noProof/>
          <w:lang w:val="fr-CA"/>
        </w:rPr>
        <w:t>en avaient les Mowatt au moment où ils ont acheté le bien</w:t>
      </w:r>
      <w:r>
        <w:rPr>
          <w:rFonts w:cs="Times New Roman"/>
          <w:noProof/>
          <w:lang w:val="fr-CA"/>
        </w:rPr>
        <w:noBreakHyphen/>
      </w:r>
      <w:r w:rsidRPr="009078C7">
        <w:rPr>
          <w:rFonts w:cs="Times New Roman"/>
          <w:noProof/>
          <w:lang w:val="fr-CA"/>
        </w:rPr>
        <w:t xml:space="preserve">fonds, et des positions </w:t>
      </w:r>
      <w:r w:rsidR="003428A9">
        <w:rPr>
          <w:rFonts w:cs="Times New Roman"/>
          <w:noProof/>
          <w:lang w:val="fr-CA"/>
        </w:rPr>
        <w:t>[</w:t>
      </w:r>
      <w:r w:rsidR="003428A9" w:rsidRPr="003428A9">
        <w:rPr>
          <w:rFonts w:cs="Times New Roman"/>
          <w:smallCaps/>
          <w:noProof/>
          <w:lang w:val="fr-CA"/>
        </w:rPr>
        <w:t>traduction</w:t>
      </w:r>
      <w:r w:rsidR="003428A9">
        <w:rPr>
          <w:rFonts w:cs="Times New Roman"/>
          <w:noProof/>
          <w:lang w:val="fr-CA"/>
        </w:rPr>
        <w:t xml:space="preserve">] </w:t>
      </w:r>
      <w:r w:rsidRPr="009078C7">
        <w:rPr>
          <w:rFonts w:cs="Times New Roman"/>
          <w:noProof/>
          <w:lang w:val="fr-CA"/>
        </w:rPr>
        <w:t>« inconsistantes et contradictoires » adoptées par la ville et la province au fils des ans quant au lot en litige</w:t>
      </w:r>
      <w:r w:rsidR="003428A9">
        <w:rPr>
          <w:rFonts w:cs="Times New Roman"/>
          <w:noProof/>
          <w:lang w:val="fr-CA"/>
        </w:rPr>
        <w:t xml:space="preserve"> : </w:t>
      </w:r>
      <w:r w:rsidRPr="009078C7">
        <w:rPr>
          <w:rFonts w:cs="Times New Roman"/>
          <w:noProof/>
          <w:lang w:val="fr-CA"/>
        </w:rPr>
        <w:t xml:space="preserve">seconde décision, </w:t>
      </w:r>
      <w:r>
        <w:rPr>
          <w:rFonts w:cs="Times New Roman"/>
          <w:noProof/>
          <w:lang w:val="fr-CA"/>
        </w:rPr>
        <w:t>par. </w:t>
      </w:r>
      <w:r w:rsidR="003428A9">
        <w:rPr>
          <w:rFonts w:cs="Times New Roman"/>
          <w:noProof/>
          <w:lang w:val="fr-CA"/>
        </w:rPr>
        <w:t>57</w:t>
      </w:r>
      <w:r w:rsidRPr="009078C7">
        <w:rPr>
          <w:rFonts w:cs="Times New Roman"/>
          <w:noProof/>
          <w:lang w:val="fr-CA"/>
        </w:rPr>
        <w:t>. Compte tenu de ces circonstances et du succès mitigé des parties relativement aux questions soulevées dans le présent appel, je serais également d</w:t>
      </w:r>
      <w:r>
        <w:rPr>
          <w:rFonts w:cs="Times New Roman"/>
          <w:noProof/>
          <w:lang w:val="fr-CA"/>
        </w:rPr>
        <w:t>’</w:t>
      </w:r>
      <w:r w:rsidRPr="009078C7">
        <w:rPr>
          <w:rFonts w:cs="Times New Roman"/>
          <w:noProof/>
          <w:lang w:val="fr-CA"/>
        </w:rPr>
        <w:t>avis d</w:t>
      </w:r>
      <w:r>
        <w:rPr>
          <w:rFonts w:cs="Times New Roman"/>
          <w:noProof/>
          <w:lang w:val="fr-CA"/>
        </w:rPr>
        <w:t>’</w:t>
      </w:r>
      <w:r w:rsidRPr="009078C7">
        <w:rPr>
          <w:rFonts w:cs="Times New Roman"/>
          <w:noProof/>
          <w:lang w:val="fr-CA"/>
        </w:rPr>
        <w:t>ordonner que chaque partie assume ses propres dépens devant la Cour et devant les cours d</w:t>
      </w:r>
      <w:r>
        <w:rPr>
          <w:rFonts w:cs="Times New Roman"/>
          <w:noProof/>
          <w:lang w:val="fr-CA"/>
        </w:rPr>
        <w:t>’</w:t>
      </w:r>
      <w:r w:rsidRPr="009078C7">
        <w:rPr>
          <w:rFonts w:cs="Times New Roman"/>
          <w:noProof/>
          <w:lang w:val="fr-CA"/>
        </w:rPr>
        <w:t>instances inférieures.</w:t>
      </w:r>
    </w:p>
    <w:p w:rsidR="004D7D95" w:rsidRPr="00416B10" w:rsidRDefault="004D7D95" w:rsidP="00BF1D7F">
      <w:pPr>
        <w:pStyle w:val="SCCNormalDoubleSpacing"/>
        <w:widowControl w:val="0"/>
        <w:spacing w:before="480" w:after="480"/>
        <w:rPr>
          <w:lang w:val="fr-CA"/>
        </w:rPr>
      </w:pPr>
      <w:r w:rsidRPr="00416B10">
        <w:rPr>
          <w:lang w:val="fr-CA"/>
        </w:rPr>
        <w:tab/>
      </w:r>
      <w:r w:rsidR="00207AFD" w:rsidRPr="00416B10">
        <w:rPr>
          <w:i/>
          <w:lang w:val="fr-CA"/>
        </w:rPr>
        <w:t xml:space="preserve">Pourvoi </w:t>
      </w:r>
      <w:r w:rsidR="007151C0" w:rsidRPr="00416B10">
        <w:rPr>
          <w:i/>
          <w:lang w:val="fr-CA"/>
        </w:rPr>
        <w:t>accueilli</w:t>
      </w:r>
      <w:r w:rsidR="00207AFD" w:rsidRPr="00416B10">
        <w:rPr>
          <w:i/>
          <w:lang w:val="fr-CA"/>
        </w:rPr>
        <w:t>.</w:t>
      </w:r>
    </w:p>
    <w:p w:rsidR="00BE6C6D" w:rsidRPr="00416B10" w:rsidRDefault="00207AFD" w:rsidP="00BF1D7F">
      <w:pPr>
        <w:pStyle w:val="SCCLawFirm"/>
        <w:widowControl w:val="0"/>
        <w:spacing w:before="480" w:after="480"/>
        <w:rPr>
          <w:lang w:val="fr-CA"/>
        </w:rPr>
      </w:pPr>
      <w:r w:rsidRPr="00416B10">
        <w:rPr>
          <w:lang w:val="fr-CA"/>
        </w:rPr>
        <w:tab/>
        <w:t>Procureurs de l</w:t>
      </w:r>
      <w:r w:rsidR="007E5E4E">
        <w:rPr>
          <w:lang w:val="fr-CA"/>
        </w:rPr>
        <w:t>’</w:t>
      </w:r>
      <w:r w:rsidRPr="00416B10">
        <w:rPr>
          <w:lang w:val="fr-CA"/>
        </w:rPr>
        <w:t>appelante</w:t>
      </w:r>
      <w:r w:rsidR="00416B10">
        <w:rPr>
          <w:lang w:val="fr-CA"/>
        </w:rPr>
        <w:t> :</w:t>
      </w:r>
      <w:r w:rsidR="00834A8D" w:rsidRPr="00416B10">
        <w:rPr>
          <w:lang w:val="fr-CA"/>
        </w:rPr>
        <w:t> </w:t>
      </w:r>
      <w:r w:rsidR="00BE6C6D" w:rsidRPr="00416B10">
        <w:rPr>
          <w:lang w:val="fr-CA"/>
        </w:rPr>
        <w:t>Norton Rose Fulbright Canada, Vancouver.</w:t>
      </w:r>
    </w:p>
    <w:p w:rsidR="00207AFD" w:rsidRPr="00416B10" w:rsidRDefault="00207AFD" w:rsidP="00BF1D7F">
      <w:pPr>
        <w:pStyle w:val="SCCLawFirm"/>
        <w:widowControl w:val="0"/>
        <w:spacing w:before="480" w:after="480"/>
        <w:rPr>
          <w:lang w:val="fr-CA"/>
        </w:rPr>
      </w:pPr>
      <w:r w:rsidRPr="00416B10">
        <w:rPr>
          <w:lang w:val="fr-CA"/>
        </w:rPr>
        <w:lastRenderedPageBreak/>
        <w:tab/>
        <w:t>Procureurs des intimés</w:t>
      </w:r>
      <w:r w:rsidR="00416B10">
        <w:rPr>
          <w:lang w:val="fr-CA"/>
        </w:rPr>
        <w:t> :</w:t>
      </w:r>
      <w:r w:rsidR="00834A8D" w:rsidRPr="00416B10">
        <w:rPr>
          <w:lang w:val="fr-CA"/>
        </w:rPr>
        <w:t> </w:t>
      </w:r>
      <w:r w:rsidRPr="00416B10">
        <w:rPr>
          <w:lang w:val="fr-CA"/>
        </w:rPr>
        <w:t>Hunter Litigation Chambers, Vancouver.</w:t>
      </w:r>
    </w:p>
    <w:p w:rsidR="009B57B3" w:rsidRPr="00416B10" w:rsidRDefault="00207AFD" w:rsidP="00BF1D7F">
      <w:pPr>
        <w:pStyle w:val="SCCLawFirm"/>
        <w:widowControl w:val="0"/>
        <w:rPr>
          <w:lang w:val="fr-CA"/>
        </w:rPr>
      </w:pPr>
      <w:r w:rsidRPr="00416B10">
        <w:rPr>
          <w:lang w:val="fr-CA"/>
        </w:rPr>
        <w:tab/>
        <w:t>Procureur de l</w:t>
      </w:r>
      <w:r w:rsidR="007E5E4E">
        <w:rPr>
          <w:lang w:val="fr-CA"/>
        </w:rPr>
        <w:t>’</w:t>
      </w:r>
      <w:r w:rsidRPr="00416B10">
        <w:rPr>
          <w:lang w:val="fr-CA"/>
        </w:rPr>
        <w:t>intervenant</w:t>
      </w:r>
      <w:r w:rsidR="00416B10">
        <w:rPr>
          <w:lang w:val="fr-CA"/>
        </w:rPr>
        <w:t> :</w:t>
      </w:r>
      <w:r w:rsidR="00834A8D" w:rsidRPr="00416B10">
        <w:rPr>
          <w:lang w:val="fr-CA"/>
        </w:rPr>
        <w:t> </w:t>
      </w:r>
      <w:r w:rsidRPr="00416B10">
        <w:rPr>
          <w:lang w:val="fr-CA"/>
        </w:rPr>
        <w:t>Procureur général de la Colombie</w:t>
      </w:r>
      <w:r w:rsidR="00416B10">
        <w:rPr>
          <w:lang w:val="fr-CA"/>
        </w:rPr>
        <w:noBreakHyphen/>
      </w:r>
      <w:r w:rsidRPr="00416B10">
        <w:rPr>
          <w:lang w:val="fr-CA"/>
        </w:rPr>
        <w:t>Britannique, Victoria.</w:t>
      </w:r>
      <w:r w:rsidR="00DF7A74">
        <w:rPr>
          <w:lang w:val="fr-CA"/>
        </w:rPr>
        <w:t xml:space="preserve"> </w:t>
      </w:r>
    </w:p>
    <w:sectPr w:rsidR="009B57B3" w:rsidRPr="00416B10"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39" w:rsidRDefault="003249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39" w:rsidRDefault="003249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39" w:rsidRDefault="00324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190EF2" w:rsidRDefault="00190EF2" w:rsidP="00190EF2">
      <w:pPr>
        <w:pStyle w:val="FootnoteText"/>
      </w:pPr>
      <w:r>
        <w:rPr>
          <w:rStyle w:val="FootnoteReference"/>
        </w:rPr>
        <w:footnoteRef/>
      </w:r>
      <w:r>
        <w:tab/>
        <w:t xml:space="preserve">Devant le juge en cabinet, les parties ne s’entendaient pas sur la question de savoir si la </w:t>
      </w:r>
      <w:r w:rsidRPr="00C52835">
        <w:t>dévolution par déshérence</w:t>
      </w:r>
      <w:r>
        <w:t xml:space="preserve"> était survenue dès la dissolution de la société foncière ou un an plus tard. Cette question se posait en raison de l’art. 3A de l’</w:t>
      </w:r>
      <w:r>
        <w:rPr>
          <w:i/>
        </w:rPr>
        <w:t xml:space="preserve">Escheats </w:t>
      </w:r>
      <w:r w:rsidRPr="007617FF">
        <w:rPr>
          <w:i/>
        </w:rPr>
        <w:t>Act</w:t>
      </w:r>
      <w:r>
        <w:t xml:space="preserve">, </w:t>
      </w:r>
      <w:r w:rsidRPr="007617FF">
        <w:t>R.S.B.C.</w:t>
      </w:r>
      <w:r>
        <w:t> </w:t>
      </w:r>
      <w:r w:rsidRPr="007617FF">
        <w:t>1924, c</w:t>
      </w:r>
      <w:r>
        <w:t>. </w:t>
      </w:r>
      <w:r w:rsidRPr="007617FF">
        <w:t>81</w:t>
      </w:r>
      <w:r>
        <w:t xml:space="preserve"> (telle qu’elle a été modifiée par </w:t>
      </w:r>
      <w:r w:rsidRPr="00BE2024">
        <w:t>l’</w:t>
      </w:r>
      <w:r w:rsidRPr="009905C5">
        <w:rPr>
          <w:i/>
        </w:rPr>
        <w:t>Escheat</w:t>
      </w:r>
      <w:r>
        <w:rPr>
          <w:i/>
        </w:rPr>
        <w:t>s</w:t>
      </w:r>
      <w:r w:rsidRPr="009905C5">
        <w:rPr>
          <w:i/>
        </w:rPr>
        <w:t xml:space="preserve"> Act Amendment Act, 1924</w:t>
      </w:r>
      <w:r>
        <w:t>, S.B.C. 1924, c. 18, art. 2)</w:t>
      </w:r>
      <w:r w:rsidRPr="007617FF">
        <w:t>,</w:t>
      </w:r>
      <w:r>
        <w:t xml:space="preserve"> qui (1) interdisait au </w:t>
      </w:r>
      <w:r w:rsidRPr="009905C5">
        <w:t>lieutenant</w:t>
      </w:r>
      <w:r>
        <w:noBreakHyphen/>
        <w:t>g</w:t>
      </w:r>
      <w:r w:rsidRPr="009905C5">
        <w:t>ouverneur en conseil</w:t>
      </w:r>
      <w:r>
        <w:t xml:space="preserve">, pendant une période d’un an suivant la date de dissolution d’une société, </w:t>
      </w:r>
      <w:r w:rsidRPr="0066304A">
        <w:t>d</w:t>
      </w:r>
      <w:r>
        <w:t>’</w:t>
      </w:r>
      <w:r w:rsidRPr="0066304A">
        <w:t>effectuer des transactions relatives aux biens</w:t>
      </w:r>
      <w:r>
        <w:t xml:space="preserve">-fonds de cette dernière qui lui avaient été dévolus par déshérence, et (2) prévoyait que, si la société était reconstituée au cours de la même année, les biens-fonds lui seraient rétrocédés de plein droit. Invoquant l’arrêt </w:t>
      </w:r>
      <w:r w:rsidRPr="009905C5">
        <w:rPr>
          <w:i/>
        </w:rPr>
        <w:t>The Queen c. Lincoln Mining Syndicate Ltd.</w:t>
      </w:r>
      <w:r w:rsidRPr="009905C5">
        <w:t>,</w:t>
      </w:r>
      <w:r w:rsidRPr="009905C5">
        <w:rPr>
          <w:i/>
        </w:rPr>
        <w:t xml:space="preserve"> </w:t>
      </w:r>
      <w:r w:rsidRPr="009905C5">
        <w:t>[1959] R.C.S. 736, les Mowatt ont soutenu que la dévolution par déshérence serait probablement survenue uniquement lorsque le droit de la Couronne devenait « absolu » (soit après l</w:t>
      </w:r>
      <w:r>
        <w:t>’</w:t>
      </w:r>
      <w:r w:rsidRPr="009905C5">
        <w:t>expiration de la période d</w:t>
      </w:r>
      <w:r>
        <w:t>’</w:t>
      </w:r>
      <w:r w:rsidRPr="009905C5">
        <w:t>un an fixée pour la rétrocession par suite de la reconstitution</w:t>
      </w:r>
      <w:r>
        <w:t xml:space="preserve"> de la société). La Couronne provinciale, qui (même si elle n’était pas appelante devant la Cour) était défenderesse dans l’action et intimée dans la requête, affirme que le lot en litige a été acquis par déshérence en 1930, malgré le fait que la transmission du titre aurait été retardée d’un an. Il suffit ici de souligner, comme l’a fait le juge en cabinet (au par. 51), que le lot en litige est devenu un bien-fonds de la Couronne en 1930 ou en 1931.</w:t>
      </w:r>
    </w:p>
  </w:footnote>
  <w:footnote w:id="2">
    <w:p w:rsidR="00190EF2" w:rsidRDefault="00190EF2" w:rsidP="00190EF2">
      <w:pPr>
        <w:pStyle w:val="FootnoteText"/>
      </w:pPr>
      <w:r>
        <w:rPr>
          <w:rStyle w:val="FootnoteReference"/>
        </w:rPr>
        <w:footnoteRef/>
      </w:r>
      <w:r>
        <w:tab/>
        <w:t xml:space="preserve">Les dispositions prescriptives applicables sont restées inchangées de la date d’entrée en vigueur de la </w:t>
      </w:r>
      <w:r w:rsidRPr="00580069">
        <w:rPr>
          <w:i/>
        </w:rPr>
        <w:t>Statute of Limitations</w:t>
      </w:r>
      <w:r>
        <w:t xml:space="preserve">, R.S.B.C. 1897, c. 123, jusqu’à ce qu’elles soient abrogées par la </w:t>
      </w:r>
      <w:r w:rsidRPr="00580069">
        <w:rPr>
          <w:i/>
        </w:rPr>
        <w:t>Limitations Act</w:t>
      </w:r>
      <w:r>
        <w:t xml:space="preserve"> (1975).</w:t>
      </w:r>
    </w:p>
  </w:footnote>
  <w:footnote w:id="3">
    <w:p w:rsidR="00190EF2" w:rsidRDefault="00190EF2" w:rsidP="00190EF2">
      <w:pPr>
        <w:pStyle w:val="FootnoteText"/>
      </w:pPr>
      <w:r>
        <w:rPr>
          <w:rStyle w:val="FootnoteReference"/>
        </w:rPr>
        <w:footnoteRef/>
      </w:r>
      <w:r>
        <w:tab/>
        <w:t>L’article 11 est ainsi libellé : [</w:t>
      </w:r>
      <w:r w:rsidRPr="00E30D22">
        <w:rPr>
          <w:smallCaps/>
        </w:rPr>
        <w:t>traduction</w:t>
      </w:r>
      <w:r>
        <w:t>] « Si la cour n’est pas convaincue par la preuve présentée en première instance au sujet du titre, elle doit accorder à la partie concernée une possibilité raisonnable de produire des éléments de preuve supplémentaires ou de corriger les f</w:t>
      </w:r>
      <w:r w:rsidR="00940CF2">
        <w:t>ailles de la preuve présentée. »</w:t>
      </w:r>
    </w:p>
  </w:footnote>
  <w:footnote w:id="4">
    <w:p w:rsidR="00190EF2" w:rsidRPr="00D96845" w:rsidRDefault="00190EF2" w:rsidP="00190EF2">
      <w:pPr>
        <w:pStyle w:val="FootnoteText"/>
        <w:rPr>
          <w:i/>
        </w:rPr>
      </w:pPr>
      <w:r>
        <w:rPr>
          <w:rStyle w:val="FootnoteReference"/>
        </w:rPr>
        <w:footnoteRef/>
      </w:r>
      <w:r>
        <w:t xml:space="preserve"> Malgré le fait que cette déclaration constituerait autrement une preuve par ouï-dire inadmissible, l’al. 8</w:t>
      </w:r>
      <w:r w:rsidR="000C635B">
        <w:t>(</w:t>
      </w:r>
      <w:r>
        <w:t xml:space="preserve">c) de la </w:t>
      </w:r>
      <w:r>
        <w:rPr>
          <w:i/>
        </w:rPr>
        <w:t>Land Title Inquiry Act</w:t>
      </w:r>
      <w:r>
        <w:t xml:space="preserve"> dispose que, dans son analyse du titre, le tribunal peut se fonder sur [</w:t>
      </w:r>
      <w:r w:rsidRPr="00D87A7A">
        <w:rPr>
          <w:smallCaps/>
        </w:rPr>
        <w:t>traduction</w:t>
      </w:r>
      <w:r>
        <w:t>] « la preuve portée à son attention, qu’elle soit ou non recevable ou suffisante en droit</w:t>
      </w:r>
      <w:r w:rsidR="009F2BFF">
        <w:t>, [. . .]</w:t>
      </w:r>
      <w:r>
        <w:t xml:space="preserve"> pourvu qu’il soit convaincu par cette preuve de la véracité des faits qu’elle vise à établir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39" w:rsidRDefault="003249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39" w:rsidRDefault="00324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461CEFC6"/>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BB01DD9"/>
    <w:multiLevelType w:val="hybridMultilevel"/>
    <w:tmpl w:val="AE4E6F8C"/>
    <w:lvl w:ilvl="0" w:tplc="BD56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C7A8B"/>
    <w:multiLevelType w:val="hybridMultilevel"/>
    <w:tmpl w:val="D88E5E20"/>
    <w:lvl w:ilvl="0" w:tplc="62ACF13C">
      <w:start w:val="1"/>
      <w:numFmt w:val="decimal"/>
      <w:lvlText w:val="(%1)"/>
      <w:lvlJc w:val="left"/>
      <w:pPr>
        <w:ind w:left="1886" w:hanging="360"/>
      </w:pPr>
      <w:rPr>
        <w:rFonts w:ascii="Times New Roman" w:eastAsia="Times New Roman" w:hAnsi="Times New Roman" w:cs="Times New Roman"/>
      </w:r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6B60"/>
    <w:rsid w:val="00023FC7"/>
    <w:rsid w:val="00025198"/>
    <w:rsid w:val="0005191C"/>
    <w:rsid w:val="000578A3"/>
    <w:rsid w:val="000648CC"/>
    <w:rsid w:val="000721BF"/>
    <w:rsid w:val="00085B23"/>
    <w:rsid w:val="000C59B8"/>
    <w:rsid w:val="000C635B"/>
    <w:rsid w:val="000C6AF0"/>
    <w:rsid w:val="000D0A77"/>
    <w:rsid w:val="000F602F"/>
    <w:rsid w:val="000F7993"/>
    <w:rsid w:val="00104F33"/>
    <w:rsid w:val="00111DE2"/>
    <w:rsid w:val="00116B38"/>
    <w:rsid w:val="00135406"/>
    <w:rsid w:val="00135972"/>
    <w:rsid w:val="00141CD6"/>
    <w:rsid w:val="00142210"/>
    <w:rsid w:val="001426A9"/>
    <w:rsid w:val="00154D7C"/>
    <w:rsid w:val="001570B0"/>
    <w:rsid w:val="0015752C"/>
    <w:rsid w:val="00157737"/>
    <w:rsid w:val="00165277"/>
    <w:rsid w:val="00166C95"/>
    <w:rsid w:val="00170592"/>
    <w:rsid w:val="001720F7"/>
    <w:rsid w:val="00190EF2"/>
    <w:rsid w:val="00194CE2"/>
    <w:rsid w:val="00195D83"/>
    <w:rsid w:val="001A00C1"/>
    <w:rsid w:val="001B33E0"/>
    <w:rsid w:val="001B4573"/>
    <w:rsid w:val="001C779F"/>
    <w:rsid w:val="001D2AC1"/>
    <w:rsid w:val="001D4E88"/>
    <w:rsid w:val="001F404C"/>
    <w:rsid w:val="00207AFD"/>
    <w:rsid w:val="00220FC2"/>
    <w:rsid w:val="002222F4"/>
    <w:rsid w:val="00224FC0"/>
    <w:rsid w:val="00225EA4"/>
    <w:rsid w:val="00226EAF"/>
    <w:rsid w:val="00231F3A"/>
    <w:rsid w:val="0023406B"/>
    <w:rsid w:val="002406EE"/>
    <w:rsid w:val="00243EC8"/>
    <w:rsid w:val="00270D93"/>
    <w:rsid w:val="002745CC"/>
    <w:rsid w:val="002B6FBE"/>
    <w:rsid w:val="002B7924"/>
    <w:rsid w:val="002C10A6"/>
    <w:rsid w:val="002D28C3"/>
    <w:rsid w:val="002D39A4"/>
    <w:rsid w:val="002E526E"/>
    <w:rsid w:val="002E6705"/>
    <w:rsid w:val="0030329A"/>
    <w:rsid w:val="0031086F"/>
    <w:rsid w:val="0031414C"/>
    <w:rsid w:val="00314E01"/>
    <w:rsid w:val="0032089D"/>
    <w:rsid w:val="00324939"/>
    <w:rsid w:val="00326645"/>
    <w:rsid w:val="003310DE"/>
    <w:rsid w:val="003323B0"/>
    <w:rsid w:val="00340A49"/>
    <w:rsid w:val="003428A9"/>
    <w:rsid w:val="0035169A"/>
    <w:rsid w:val="0035259D"/>
    <w:rsid w:val="00363095"/>
    <w:rsid w:val="00364B18"/>
    <w:rsid w:val="00366D0A"/>
    <w:rsid w:val="003767CD"/>
    <w:rsid w:val="003857EC"/>
    <w:rsid w:val="003A125D"/>
    <w:rsid w:val="003A4C70"/>
    <w:rsid w:val="003B215F"/>
    <w:rsid w:val="003C799C"/>
    <w:rsid w:val="003D0399"/>
    <w:rsid w:val="003D25AE"/>
    <w:rsid w:val="003E1C71"/>
    <w:rsid w:val="003E3276"/>
    <w:rsid w:val="003F327B"/>
    <w:rsid w:val="00406166"/>
    <w:rsid w:val="0040704B"/>
    <w:rsid w:val="00410A55"/>
    <w:rsid w:val="00411300"/>
    <w:rsid w:val="00413F17"/>
    <w:rsid w:val="00415417"/>
    <w:rsid w:val="00416B10"/>
    <w:rsid w:val="00426659"/>
    <w:rsid w:val="00450352"/>
    <w:rsid w:val="00454BDB"/>
    <w:rsid w:val="004564D6"/>
    <w:rsid w:val="00465132"/>
    <w:rsid w:val="00480C90"/>
    <w:rsid w:val="0048396F"/>
    <w:rsid w:val="00493C18"/>
    <w:rsid w:val="004A600C"/>
    <w:rsid w:val="004A6118"/>
    <w:rsid w:val="004C478D"/>
    <w:rsid w:val="004D0D80"/>
    <w:rsid w:val="004D7D95"/>
    <w:rsid w:val="004E2C26"/>
    <w:rsid w:val="005042CD"/>
    <w:rsid w:val="005069E0"/>
    <w:rsid w:val="005125A8"/>
    <w:rsid w:val="005172B5"/>
    <w:rsid w:val="00517549"/>
    <w:rsid w:val="00520ABC"/>
    <w:rsid w:val="00521AE8"/>
    <w:rsid w:val="00527180"/>
    <w:rsid w:val="00555291"/>
    <w:rsid w:val="00566AD1"/>
    <w:rsid w:val="005772D1"/>
    <w:rsid w:val="00583EDE"/>
    <w:rsid w:val="005A27C9"/>
    <w:rsid w:val="005A6079"/>
    <w:rsid w:val="005B4873"/>
    <w:rsid w:val="005C10E8"/>
    <w:rsid w:val="005D018A"/>
    <w:rsid w:val="005D65E0"/>
    <w:rsid w:val="005E4272"/>
    <w:rsid w:val="005E4698"/>
    <w:rsid w:val="00603924"/>
    <w:rsid w:val="00606935"/>
    <w:rsid w:val="00610539"/>
    <w:rsid w:val="00613431"/>
    <w:rsid w:val="00613969"/>
    <w:rsid w:val="00625920"/>
    <w:rsid w:val="00625C35"/>
    <w:rsid w:val="00626501"/>
    <w:rsid w:val="00647E49"/>
    <w:rsid w:val="006547F1"/>
    <w:rsid w:val="00656313"/>
    <w:rsid w:val="006565F4"/>
    <w:rsid w:val="006725B8"/>
    <w:rsid w:val="00673C32"/>
    <w:rsid w:val="00684EEA"/>
    <w:rsid w:val="0069689B"/>
    <w:rsid w:val="006B5FF5"/>
    <w:rsid w:val="006E5D53"/>
    <w:rsid w:val="006F30AF"/>
    <w:rsid w:val="007015B2"/>
    <w:rsid w:val="00701759"/>
    <w:rsid w:val="00705C15"/>
    <w:rsid w:val="007110F6"/>
    <w:rsid w:val="007151C0"/>
    <w:rsid w:val="007208D1"/>
    <w:rsid w:val="0073736F"/>
    <w:rsid w:val="00744518"/>
    <w:rsid w:val="00747288"/>
    <w:rsid w:val="00747DD3"/>
    <w:rsid w:val="007549C8"/>
    <w:rsid w:val="00766D14"/>
    <w:rsid w:val="00767A0F"/>
    <w:rsid w:val="00770030"/>
    <w:rsid w:val="00791272"/>
    <w:rsid w:val="007A05F6"/>
    <w:rsid w:val="007A4705"/>
    <w:rsid w:val="007B6F4A"/>
    <w:rsid w:val="007E1C47"/>
    <w:rsid w:val="007E337A"/>
    <w:rsid w:val="007E5C70"/>
    <w:rsid w:val="007E5E4E"/>
    <w:rsid w:val="007F2FF5"/>
    <w:rsid w:val="007F3F08"/>
    <w:rsid w:val="007F4097"/>
    <w:rsid w:val="00804CC6"/>
    <w:rsid w:val="00817190"/>
    <w:rsid w:val="008260E2"/>
    <w:rsid w:val="008322BD"/>
    <w:rsid w:val="00834A8D"/>
    <w:rsid w:val="00834F73"/>
    <w:rsid w:val="00864C8A"/>
    <w:rsid w:val="00864CF8"/>
    <w:rsid w:val="00874914"/>
    <w:rsid w:val="00891422"/>
    <w:rsid w:val="00892E1A"/>
    <w:rsid w:val="008B660A"/>
    <w:rsid w:val="008C01DA"/>
    <w:rsid w:val="008E0E68"/>
    <w:rsid w:val="008F2674"/>
    <w:rsid w:val="008F78E9"/>
    <w:rsid w:val="009179F9"/>
    <w:rsid w:val="00917C7A"/>
    <w:rsid w:val="00933E5E"/>
    <w:rsid w:val="00935218"/>
    <w:rsid w:val="00937C52"/>
    <w:rsid w:val="009403F3"/>
    <w:rsid w:val="00940CF2"/>
    <w:rsid w:val="009555B7"/>
    <w:rsid w:val="009567AA"/>
    <w:rsid w:val="009602C9"/>
    <w:rsid w:val="00964102"/>
    <w:rsid w:val="00965BEF"/>
    <w:rsid w:val="00967374"/>
    <w:rsid w:val="00977157"/>
    <w:rsid w:val="009A343A"/>
    <w:rsid w:val="009A49FA"/>
    <w:rsid w:val="009B2F23"/>
    <w:rsid w:val="009B57B3"/>
    <w:rsid w:val="009B6FA0"/>
    <w:rsid w:val="009D2920"/>
    <w:rsid w:val="009D5AEB"/>
    <w:rsid w:val="009E6FAB"/>
    <w:rsid w:val="009F0E33"/>
    <w:rsid w:val="009F2BFF"/>
    <w:rsid w:val="009F3BCE"/>
    <w:rsid w:val="00A02C67"/>
    <w:rsid w:val="00A06F84"/>
    <w:rsid w:val="00A149DF"/>
    <w:rsid w:val="00A1755C"/>
    <w:rsid w:val="00A21B90"/>
    <w:rsid w:val="00A22AAC"/>
    <w:rsid w:val="00A41805"/>
    <w:rsid w:val="00A51882"/>
    <w:rsid w:val="00A52AFB"/>
    <w:rsid w:val="00A548CB"/>
    <w:rsid w:val="00A5521C"/>
    <w:rsid w:val="00A56946"/>
    <w:rsid w:val="00A643E7"/>
    <w:rsid w:val="00A73C38"/>
    <w:rsid w:val="00A8653F"/>
    <w:rsid w:val="00A921A7"/>
    <w:rsid w:val="00AB670D"/>
    <w:rsid w:val="00AC2710"/>
    <w:rsid w:val="00AF03C5"/>
    <w:rsid w:val="00AF37D5"/>
    <w:rsid w:val="00B000D8"/>
    <w:rsid w:val="00B00F75"/>
    <w:rsid w:val="00B145B6"/>
    <w:rsid w:val="00B279EB"/>
    <w:rsid w:val="00B50C81"/>
    <w:rsid w:val="00B534F5"/>
    <w:rsid w:val="00B557F8"/>
    <w:rsid w:val="00B56C7C"/>
    <w:rsid w:val="00B604AA"/>
    <w:rsid w:val="00B815FC"/>
    <w:rsid w:val="00B938ED"/>
    <w:rsid w:val="00B93FBC"/>
    <w:rsid w:val="00B93FF5"/>
    <w:rsid w:val="00B94FC8"/>
    <w:rsid w:val="00BA7DA0"/>
    <w:rsid w:val="00BB2EE4"/>
    <w:rsid w:val="00BB4C92"/>
    <w:rsid w:val="00BC2108"/>
    <w:rsid w:val="00BD0E9E"/>
    <w:rsid w:val="00BD1BEC"/>
    <w:rsid w:val="00BD26B5"/>
    <w:rsid w:val="00BD32FF"/>
    <w:rsid w:val="00BD5DC5"/>
    <w:rsid w:val="00BE2024"/>
    <w:rsid w:val="00BE6C6D"/>
    <w:rsid w:val="00BF0D9B"/>
    <w:rsid w:val="00BF1D7F"/>
    <w:rsid w:val="00BF6FE9"/>
    <w:rsid w:val="00C02092"/>
    <w:rsid w:val="00C24D91"/>
    <w:rsid w:val="00C26DB2"/>
    <w:rsid w:val="00C428C0"/>
    <w:rsid w:val="00C53F14"/>
    <w:rsid w:val="00C56888"/>
    <w:rsid w:val="00C600CF"/>
    <w:rsid w:val="00C6084F"/>
    <w:rsid w:val="00C62A66"/>
    <w:rsid w:val="00C66359"/>
    <w:rsid w:val="00C71458"/>
    <w:rsid w:val="00C74844"/>
    <w:rsid w:val="00C77613"/>
    <w:rsid w:val="00C828E7"/>
    <w:rsid w:val="00C86719"/>
    <w:rsid w:val="00C921DD"/>
    <w:rsid w:val="00CA6391"/>
    <w:rsid w:val="00CB4D7A"/>
    <w:rsid w:val="00CC7233"/>
    <w:rsid w:val="00CE036E"/>
    <w:rsid w:val="00CE3171"/>
    <w:rsid w:val="00CF1601"/>
    <w:rsid w:val="00D0172F"/>
    <w:rsid w:val="00D01E33"/>
    <w:rsid w:val="00D068A7"/>
    <w:rsid w:val="00D17476"/>
    <w:rsid w:val="00D17B0E"/>
    <w:rsid w:val="00D32086"/>
    <w:rsid w:val="00D37A3F"/>
    <w:rsid w:val="00D4431D"/>
    <w:rsid w:val="00D4667A"/>
    <w:rsid w:val="00D53C4B"/>
    <w:rsid w:val="00D53DF9"/>
    <w:rsid w:val="00D63A1C"/>
    <w:rsid w:val="00D72035"/>
    <w:rsid w:val="00D72CFC"/>
    <w:rsid w:val="00D7516F"/>
    <w:rsid w:val="00D91CAD"/>
    <w:rsid w:val="00D95F8E"/>
    <w:rsid w:val="00DA0590"/>
    <w:rsid w:val="00DB2809"/>
    <w:rsid w:val="00DC1739"/>
    <w:rsid w:val="00DC1788"/>
    <w:rsid w:val="00DD2C19"/>
    <w:rsid w:val="00DE319C"/>
    <w:rsid w:val="00DF0CA8"/>
    <w:rsid w:val="00DF2B48"/>
    <w:rsid w:val="00DF2D21"/>
    <w:rsid w:val="00DF49A7"/>
    <w:rsid w:val="00DF7A74"/>
    <w:rsid w:val="00E04D82"/>
    <w:rsid w:val="00E068BC"/>
    <w:rsid w:val="00E07EE2"/>
    <w:rsid w:val="00E07FD1"/>
    <w:rsid w:val="00E24573"/>
    <w:rsid w:val="00E245E6"/>
    <w:rsid w:val="00E25E1E"/>
    <w:rsid w:val="00E27EE7"/>
    <w:rsid w:val="00E337DA"/>
    <w:rsid w:val="00E35404"/>
    <w:rsid w:val="00E40553"/>
    <w:rsid w:val="00E45109"/>
    <w:rsid w:val="00E47B7A"/>
    <w:rsid w:val="00E52642"/>
    <w:rsid w:val="00E56A44"/>
    <w:rsid w:val="00E60269"/>
    <w:rsid w:val="00E80B6B"/>
    <w:rsid w:val="00E85CDE"/>
    <w:rsid w:val="00E9329C"/>
    <w:rsid w:val="00E97830"/>
    <w:rsid w:val="00EB3B45"/>
    <w:rsid w:val="00EE0830"/>
    <w:rsid w:val="00EE6CB8"/>
    <w:rsid w:val="00EF0683"/>
    <w:rsid w:val="00EF6501"/>
    <w:rsid w:val="00F0070C"/>
    <w:rsid w:val="00F00EB7"/>
    <w:rsid w:val="00F25C41"/>
    <w:rsid w:val="00F327EC"/>
    <w:rsid w:val="00F36AB6"/>
    <w:rsid w:val="00F37A09"/>
    <w:rsid w:val="00F37F5C"/>
    <w:rsid w:val="00F409CE"/>
    <w:rsid w:val="00F40ECB"/>
    <w:rsid w:val="00F4379D"/>
    <w:rsid w:val="00F50D2D"/>
    <w:rsid w:val="00F50E38"/>
    <w:rsid w:val="00F56C8B"/>
    <w:rsid w:val="00F62639"/>
    <w:rsid w:val="00F65DCA"/>
    <w:rsid w:val="00F666A9"/>
    <w:rsid w:val="00F66810"/>
    <w:rsid w:val="00F84DF4"/>
    <w:rsid w:val="00F85C97"/>
    <w:rsid w:val="00FA6B47"/>
    <w:rsid w:val="00FB37D2"/>
    <w:rsid w:val="00FB6A2D"/>
    <w:rsid w:val="00FC248C"/>
    <w:rsid w:val="00FC4BA7"/>
    <w:rsid w:val="00FC4EFB"/>
    <w:rsid w:val="00FC6544"/>
    <w:rsid w:val="00FD068D"/>
    <w:rsid w:val="00FD4F28"/>
    <w:rsid w:val="00FE0CA2"/>
    <w:rsid w:val="00FE27F3"/>
    <w:rsid w:val="00FE3835"/>
    <w:rsid w:val="00FE6784"/>
    <w:rsid w:val="00FE7A8B"/>
    <w:rsid w:val="00FF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EF2"/>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9A49FA"/>
    <w:p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190EF2"/>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190EF2"/>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190EF2"/>
    <w:rPr>
      <w:b/>
      <w:sz w:val="24"/>
    </w:rPr>
  </w:style>
  <w:style w:type="table" w:styleId="TableGrid">
    <w:name w:val="Table Grid"/>
    <w:basedOn w:val="TableNormal"/>
    <w:uiPriority w:val="59"/>
    <w:rsid w:val="00190EF2"/>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90EF2"/>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190EF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90EF2"/>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190EF2"/>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90EF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90EF2"/>
    <w:pPr>
      <w:numPr>
        <w:ilvl w:val="2"/>
      </w:numPr>
      <w:outlineLvl w:val="2"/>
    </w:pPr>
  </w:style>
  <w:style w:type="paragraph" w:customStyle="1" w:styleId="Title4LevelTitre4Niveau">
    <w:name w:val="Title 4 Level / Titre 4 Niveau"/>
    <w:basedOn w:val="Title3LevelTitre3Niveau"/>
    <w:next w:val="ParaNoNdepar-AltN"/>
    <w:uiPriority w:val="4"/>
    <w:qFormat/>
    <w:rsid w:val="00190EF2"/>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90EF2"/>
    <w:pPr>
      <w:numPr>
        <w:ilvl w:val="4"/>
      </w:numPr>
      <w:outlineLvl w:val="4"/>
    </w:pPr>
  </w:style>
  <w:style w:type="paragraph" w:styleId="TOC1">
    <w:name w:val="toc 1"/>
    <w:basedOn w:val="Normal"/>
    <w:next w:val="Normal"/>
    <w:autoRedefine/>
    <w:uiPriority w:val="39"/>
    <w:unhideWhenUsed/>
    <w:rsid w:val="00190EF2"/>
    <w:pPr>
      <w:tabs>
        <w:tab w:val="left" w:pos="360"/>
        <w:tab w:val="right" w:leader="dot" w:pos="8270"/>
      </w:tabs>
      <w:spacing w:before="120" w:after="120"/>
    </w:pPr>
    <w:rPr>
      <w:noProof/>
      <w:u w:val="single"/>
      <w:lang w:val="fr-CA"/>
    </w:rPr>
  </w:style>
  <w:style w:type="paragraph" w:styleId="TOC2">
    <w:name w:val="toc 2"/>
    <w:basedOn w:val="Normal"/>
    <w:next w:val="Normal"/>
    <w:autoRedefine/>
    <w:uiPriority w:val="39"/>
    <w:unhideWhenUsed/>
    <w:rsid w:val="00190EF2"/>
    <w:pPr>
      <w:tabs>
        <w:tab w:val="left" w:pos="720"/>
        <w:tab w:val="right" w:leader="dot" w:pos="8270"/>
      </w:tabs>
      <w:spacing w:before="120" w:after="120"/>
      <w:ind w:left="432" w:hanging="432"/>
    </w:pPr>
    <w:rPr>
      <w:i/>
      <w:szCs w:val="24"/>
      <w:lang w:val="fr-CA"/>
    </w:rPr>
  </w:style>
  <w:style w:type="paragraph" w:styleId="TOC3">
    <w:name w:val="toc 3"/>
    <w:basedOn w:val="Normal"/>
    <w:next w:val="Normal"/>
    <w:autoRedefine/>
    <w:uiPriority w:val="39"/>
    <w:unhideWhenUsed/>
    <w:rsid w:val="00190EF2"/>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190EF2"/>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190EF2"/>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190EF2"/>
    <w:pPr>
      <w:tabs>
        <w:tab w:val="left" w:pos="2160"/>
        <w:tab w:val="right" w:leader="dot" w:pos="8270"/>
      </w:tabs>
      <w:spacing w:after="100"/>
      <w:ind w:left="1800"/>
    </w:pPr>
    <w:rPr>
      <w:noProof/>
      <w:lang w:val="fr-CA"/>
    </w:rPr>
  </w:style>
  <w:style w:type="table" w:customStyle="1" w:styleId="TableGrid1">
    <w:name w:val="Table Grid1"/>
    <w:basedOn w:val="TableNormal"/>
    <w:uiPriority w:val="59"/>
    <w:rsid w:val="00190EF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90EF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90EF2"/>
    <w:pPr>
      <w:numPr>
        <w:ilvl w:val="5"/>
      </w:numPr>
      <w:outlineLvl w:val="5"/>
    </w:pPr>
    <w:rPr>
      <w:i/>
      <w:u w:val="none"/>
    </w:rPr>
  </w:style>
  <w:style w:type="paragraph" w:styleId="FootnoteText">
    <w:name w:val="footnote text"/>
    <w:basedOn w:val="Normal"/>
    <w:link w:val="FootnoteTextChar"/>
    <w:uiPriority w:val="99"/>
    <w:unhideWhenUsed/>
    <w:rsid w:val="00190EF2"/>
    <w:pPr>
      <w:tabs>
        <w:tab w:val="left" w:pos="180"/>
      </w:tabs>
      <w:ind w:left="187" w:hanging="187"/>
      <w:jc w:val="both"/>
    </w:pPr>
    <w:rPr>
      <w:sz w:val="20"/>
      <w:lang w:val="fr-CA"/>
    </w:rPr>
  </w:style>
  <w:style w:type="character" w:customStyle="1" w:styleId="FootnoteTextChar">
    <w:name w:val="Footnote Text Char"/>
    <w:basedOn w:val="DefaultParagraphFont"/>
    <w:link w:val="FootnoteText"/>
    <w:uiPriority w:val="99"/>
    <w:rsid w:val="00190EF2"/>
    <w:rPr>
      <w:lang w:val="fr-CA"/>
    </w:rPr>
  </w:style>
  <w:style w:type="character" w:styleId="FootnoteReference">
    <w:name w:val="footnote reference"/>
    <w:basedOn w:val="DefaultParagraphFont"/>
    <w:uiPriority w:val="99"/>
    <w:semiHidden/>
    <w:unhideWhenUsed/>
    <w:rsid w:val="00190EF2"/>
    <w:rPr>
      <w:vertAlign w:val="superscript"/>
    </w:rPr>
  </w:style>
  <w:style w:type="character" w:customStyle="1" w:styleId="bold1">
    <w:name w:val="bold1"/>
    <w:basedOn w:val="DefaultParagraphFont"/>
    <w:rsid w:val="00190EF2"/>
    <w:rPr>
      <w:b/>
      <w:bCs/>
    </w:rPr>
  </w:style>
  <w:style w:type="character" w:customStyle="1" w:styleId="insert">
    <w:name w:val="insert"/>
    <w:basedOn w:val="DefaultParagraphFont"/>
    <w:rsid w:val="00190EF2"/>
  </w:style>
  <w:style w:type="table" w:customStyle="1" w:styleId="TableGrid2">
    <w:name w:val="Table Grid2"/>
    <w:basedOn w:val="TableNormal"/>
    <w:next w:val="TableGrid"/>
    <w:uiPriority w:val="59"/>
    <w:rsid w:val="00190EF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90EF2"/>
    <w:rPr>
      <w:color w:val="0000FF" w:themeColor="hyperlink"/>
      <w:u w:val="single"/>
    </w:rPr>
  </w:style>
  <w:style w:type="character" w:customStyle="1" w:styleId="SCCLsocPartyRoleChar">
    <w:name w:val="SCC.Lsoc.PartyRole Char"/>
    <w:basedOn w:val="DefaultParagraphFont"/>
    <w:rsid w:val="00D53C4B"/>
    <w:rPr>
      <w:lang w:val="fr-CA"/>
    </w:rPr>
  </w:style>
  <w:style w:type="paragraph" w:customStyle="1" w:styleId="SCCLsocPrefix">
    <w:name w:val="SCC.Lsoc.Prefix"/>
    <w:basedOn w:val="Normal"/>
    <w:next w:val="Normal"/>
    <w:link w:val="SCCLsocPrefixChar"/>
    <w:rsid w:val="00D53C4B"/>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D53C4B"/>
    <w:rPr>
      <w:rFonts w:eastAsiaTheme="minorHAnsi" w:cstheme="minorBidi"/>
      <w:b/>
      <w:smallCaps/>
      <w:sz w:val="24"/>
      <w:szCs w:val="24"/>
      <w:lang w:val="fr-CA" w:eastAsia="en-US"/>
    </w:rPr>
  </w:style>
  <w:style w:type="paragraph" w:customStyle="1" w:styleId="SCCAppellantForIndex">
    <w:name w:val="SCC.AppellantForIndex"/>
    <w:basedOn w:val="Normal"/>
    <w:next w:val="Normal"/>
    <w:link w:val="SCCAppellantForIndexChar"/>
    <w:rsid w:val="00D53C4B"/>
    <w:rPr>
      <w:b/>
    </w:rPr>
  </w:style>
  <w:style w:type="character" w:customStyle="1" w:styleId="SCCAppellantForIndexChar">
    <w:name w:val="SCC.AppellantForIndex Char"/>
    <w:basedOn w:val="DefaultParagraphFont"/>
    <w:link w:val="SCCAppellantForIndex"/>
    <w:rsid w:val="00D53C4B"/>
    <w:rPr>
      <w:b/>
      <w:sz w:val="24"/>
    </w:rPr>
  </w:style>
  <w:style w:type="paragraph" w:customStyle="1" w:styleId="SCCRespondentForIndex">
    <w:name w:val="SCC.RespondentForIndex"/>
    <w:basedOn w:val="Normal"/>
    <w:next w:val="Normal"/>
    <w:link w:val="SCCRespondentForIndexChar"/>
    <w:rsid w:val="00D53C4B"/>
    <w:rPr>
      <w:b/>
    </w:rPr>
  </w:style>
  <w:style w:type="character" w:customStyle="1" w:styleId="SCCRespondentForIndexChar">
    <w:name w:val="SCC.RespondentForIndex Char"/>
    <w:basedOn w:val="DefaultParagraphFont"/>
    <w:link w:val="SCCRespondentForIndex"/>
    <w:rsid w:val="00D53C4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BEC88-A689-4259-B9C2-556A553F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9240</Words>
  <Characters>46480</Characters>
  <Application>Microsoft Office Word</Application>
  <DocSecurity>0</DocSecurity>
  <Lines>387</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2017-02-23T19:44:00Z</dcterms:created>
  <dcterms:modified xsi:type="dcterms:W3CDTF">2017-10-18T13:45:00Z</dcterms:modified>
</cp:coreProperties>
</file>