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DC" w:rsidRDefault="00A12BDC" w:rsidP="00A12BDC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65pt" o:ole="">
            <v:imagedata r:id="rId7" o:title=""/>
          </v:shape>
          <o:OLEObject Type="Embed" ProgID="Presentations.Drawing.13" ShapeID="_x0000_i1025" DrawAspect="Content" ObjectID="_1569845870" r:id="rId8"/>
        </w:object>
      </w:r>
      <w:r>
        <w:t xml:space="preserve"> </w:t>
      </w:r>
      <w:r>
        <w:ptab w:relativeTo="margin" w:alignment="right" w:leader="none"/>
      </w:r>
    </w:p>
    <w:p w:rsidR="00A12BDC" w:rsidRDefault="00A12BDC" w:rsidP="00A12BDC">
      <w:pPr>
        <w:pStyle w:val="Header"/>
      </w:pPr>
    </w:p>
    <w:p w:rsidR="00A12BDC" w:rsidRPr="001E12E2" w:rsidRDefault="00A12BDC" w:rsidP="00A12BDC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A12BDC" w:rsidRDefault="00A12BDC" w:rsidP="00A12BDC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A12BDC" w:rsidRPr="001E12E2" w:rsidTr="008C0C53">
        <w:trPr>
          <w:cantSplit/>
        </w:trPr>
        <w:tc>
          <w:tcPr>
            <w:tcW w:w="5310" w:type="dxa"/>
          </w:tcPr>
          <w:p w:rsidR="00A12BDC" w:rsidRPr="00A12BDC" w:rsidRDefault="00A12BDC" w:rsidP="008C0C53">
            <w:pPr>
              <w:rPr>
                <w:lang w:val="fr-CA"/>
              </w:rPr>
            </w:pPr>
            <w:r w:rsidRPr="00A12BDC">
              <w:rPr>
                <w:b/>
                <w:smallCaps/>
                <w:lang w:val="fr-CA"/>
              </w:rPr>
              <w:t>Référence :</w:t>
            </w:r>
            <w:r w:rsidRPr="00A12BDC">
              <w:rPr>
                <w:lang w:val="fr-CA"/>
              </w:rPr>
              <w:t xml:space="preserve"> </w:t>
            </w:r>
            <w:r w:rsidRPr="006A4755">
              <w:rPr>
                <w:rStyle w:val="SCCAppellantForRunningHeadChar"/>
                <w:lang w:val="fr-CA"/>
              </w:rPr>
              <w:t xml:space="preserve">R. </w:t>
            </w:r>
            <w:r w:rsidRPr="000A04F3">
              <w:rPr>
                <w:rStyle w:val="SCCAppellantForRunningHeadChar"/>
                <w:i/>
                <w:smallCaps w:val="0"/>
                <w:lang w:val="fr-CA"/>
              </w:rPr>
              <w:t>c.</w:t>
            </w:r>
            <w:r w:rsidRPr="006A4755">
              <w:rPr>
                <w:rStyle w:val="SCCAppellantForRunningHeadChar"/>
                <w:lang w:val="fr-CA"/>
              </w:rPr>
              <w:t xml:space="preserve"> </w:t>
            </w:r>
            <w:r>
              <w:rPr>
                <w:rStyle w:val="SCCAppellantForRunningHeadChar"/>
                <w:smallCaps w:val="0"/>
                <w:lang w:val="fr-CA"/>
              </w:rPr>
              <w:t>Brown</w:t>
            </w:r>
            <w:r w:rsidRPr="006A4755">
              <w:rPr>
                <w:rStyle w:val="SCCAppellantForRunningHeadChar"/>
                <w:lang w:val="fr-CA"/>
              </w:rPr>
              <w:t xml:space="preserve">, </w:t>
            </w:r>
            <w:r w:rsidRPr="00A12BDC">
              <w:rPr>
                <w:lang w:val="fr-CA"/>
              </w:rPr>
              <w:t>2017 CSC 10, [2017] 1 R.C.S. 166</w:t>
            </w:r>
          </w:p>
        </w:tc>
        <w:tc>
          <w:tcPr>
            <w:tcW w:w="4266" w:type="dxa"/>
          </w:tcPr>
          <w:p w:rsidR="00A12BDC" w:rsidRPr="00A12BDC" w:rsidRDefault="00A12BDC" w:rsidP="008C0C53">
            <w:pPr>
              <w:rPr>
                <w:lang w:val="fr-CA"/>
              </w:rPr>
            </w:pPr>
            <w:r w:rsidRPr="00A12BDC">
              <w:rPr>
                <w:b/>
                <w:smallCaps/>
                <w:lang w:val="fr-CA"/>
              </w:rPr>
              <w:t>Appel entendu:</w:t>
            </w:r>
            <w:r w:rsidRPr="00A12BDC">
              <w:rPr>
                <w:lang w:val="fr-CA"/>
              </w:rPr>
              <w:t xml:space="preserve"> </w:t>
            </w:r>
            <w:r w:rsidR="0064547D">
              <w:rPr>
                <w:lang w:val="fr-CA"/>
              </w:rPr>
              <w:t xml:space="preserve">20 février </w:t>
            </w:r>
            <w:bookmarkStart w:id="0" w:name="_GoBack"/>
            <w:bookmarkEnd w:id="0"/>
            <w:r w:rsidRPr="00A12BDC">
              <w:rPr>
                <w:lang w:val="fr-CA"/>
              </w:rPr>
              <w:t>2017</w:t>
            </w:r>
          </w:p>
          <w:p w:rsidR="00A12BDC" w:rsidRPr="00A12BDC" w:rsidRDefault="00A12BDC" w:rsidP="008C0C53">
            <w:pPr>
              <w:rPr>
                <w:b/>
                <w:smallCaps/>
                <w:lang w:val="fr-CA"/>
              </w:rPr>
            </w:pPr>
            <w:r w:rsidRPr="00A12BDC">
              <w:rPr>
                <w:b/>
                <w:smallCaps/>
                <w:lang w:val="fr-CA"/>
              </w:rPr>
              <w:t>Jugement rendu :</w:t>
            </w:r>
            <w:r w:rsidRPr="00A12BDC">
              <w:rPr>
                <w:lang w:val="fr-CA"/>
              </w:rPr>
              <w:t xml:space="preserve"> 20 février 2017</w:t>
            </w:r>
          </w:p>
          <w:p w:rsidR="00A12BDC" w:rsidRPr="001E12E2" w:rsidRDefault="00A12BDC" w:rsidP="008C0C53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ssiers :</w:t>
            </w:r>
            <w:r w:rsidRPr="001E12E2">
              <w:t xml:space="preserve"> </w:t>
            </w:r>
            <w:r>
              <w:t>37153</w:t>
            </w:r>
          </w:p>
        </w:tc>
      </w:tr>
    </w:tbl>
    <w:p w:rsidR="00A12BDC" w:rsidRDefault="00A12BDC" w:rsidP="00A12BDC">
      <w:pPr>
        <w:pStyle w:val="SCCLsocPrefix"/>
      </w:pPr>
    </w:p>
    <w:p w:rsidR="00A12BDC" w:rsidRDefault="00A12BDC" w:rsidP="00A12BDC">
      <w:pPr>
        <w:pStyle w:val="SCCLsocPrefix"/>
      </w:pPr>
    </w:p>
    <w:p w:rsidR="00A12BDC" w:rsidRDefault="00A12BDC" w:rsidP="00A12BDC">
      <w:pPr>
        <w:pStyle w:val="SCCLsocPrefix"/>
      </w:pPr>
      <w:r>
        <w:t>Entre :</w:t>
      </w:r>
    </w:p>
    <w:p w:rsidR="00A12BDC" w:rsidRPr="00D85283" w:rsidRDefault="00A12BDC" w:rsidP="00A12BDC">
      <w:pPr>
        <w:pStyle w:val="SCCLsocParty"/>
        <w:jc w:val="center"/>
      </w:pPr>
      <w:r w:rsidRPr="00BA5B8E">
        <w:rPr>
          <w:lang w:val="fr-CA"/>
        </w:rPr>
        <w:t>Sa Majesté la Reine</w:t>
      </w:r>
    </w:p>
    <w:p w:rsidR="00A12BDC" w:rsidRPr="00D85283" w:rsidRDefault="00A12BDC" w:rsidP="00A12BDC">
      <w:pPr>
        <w:jc w:val="center"/>
      </w:pPr>
      <w:proofErr w:type="spellStart"/>
      <w:r w:rsidRPr="00D85283">
        <w:t>Appelant</w:t>
      </w:r>
      <w:r>
        <w:t>e</w:t>
      </w:r>
      <w:proofErr w:type="spellEnd"/>
    </w:p>
    <w:p w:rsidR="00A12BDC" w:rsidRPr="00D85283" w:rsidRDefault="00A12BDC" w:rsidP="00A12BDC">
      <w:pPr>
        <w:jc w:val="center"/>
      </w:pPr>
    </w:p>
    <w:p w:rsidR="00A12BDC" w:rsidRPr="00A12BDC" w:rsidRDefault="00A12BDC" w:rsidP="00A12BDC">
      <w:pPr>
        <w:pStyle w:val="SCCLsocVersus"/>
        <w:spacing w:after="0"/>
        <w:jc w:val="center"/>
        <w:rPr>
          <w:i w:val="0"/>
          <w:lang w:val="fr-CA"/>
        </w:rPr>
      </w:pPr>
      <w:proofErr w:type="gramStart"/>
      <w:r w:rsidRPr="00A12BDC">
        <w:rPr>
          <w:i w:val="0"/>
          <w:lang w:val="fr-CA"/>
        </w:rPr>
        <w:t>et</w:t>
      </w:r>
      <w:proofErr w:type="gramEnd"/>
    </w:p>
    <w:p w:rsidR="00A12BDC" w:rsidRPr="00A12BDC" w:rsidRDefault="00A12BDC" w:rsidP="00A12BDC">
      <w:pPr>
        <w:jc w:val="center"/>
        <w:rPr>
          <w:lang w:val="fr-CA"/>
        </w:rPr>
      </w:pPr>
    </w:p>
    <w:p w:rsidR="00A12BDC" w:rsidRPr="00A12BDC" w:rsidRDefault="00A12BDC" w:rsidP="00A12BDC">
      <w:pPr>
        <w:pStyle w:val="SCCLsocParty"/>
        <w:jc w:val="center"/>
        <w:rPr>
          <w:lang w:val="fr-CA"/>
        </w:rPr>
      </w:pPr>
      <w:r w:rsidRPr="00BA5B8E">
        <w:rPr>
          <w:lang w:val="fr-CA"/>
        </w:rPr>
        <w:t>Adam Michael Brown</w:t>
      </w:r>
    </w:p>
    <w:p w:rsidR="00A12BDC" w:rsidRPr="00A12BDC" w:rsidRDefault="00A12BDC" w:rsidP="00A12BDC">
      <w:pPr>
        <w:jc w:val="center"/>
        <w:rPr>
          <w:lang w:val="fr-CA"/>
        </w:rPr>
      </w:pPr>
      <w:r w:rsidRPr="00A12BDC">
        <w:rPr>
          <w:lang w:val="fr-CA"/>
        </w:rPr>
        <w:t>Intimé</w:t>
      </w:r>
    </w:p>
    <w:p w:rsidR="00A12BDC" w:rsidRPr="00A12BDC" w:rsidRDefault="00A12BDC" w:rsidP="00A12BDC">
      <w:pPr>
        <w:jc w:val="center"/>
        <w:rPr>
          <w:lang w:val="fr-CA"/>
        </w:rPr>
      </w:pPr>
    </w:p>
    <w:p w:rsidR="00A12BDC" w:rsidRPr="00A12BDC" w:rsidRDefault="00A12BDC" w:rsidP="00A12BDC">
      <w:pPr>
        <w:rPr>
          <w:lang w:val="fr-CA"/>
        </w:rPr>
      </w:pPr>
    </w:p>
    <w:p w:rsidR="00A12BDC" w:rsidRPr="00A12BDC" w:rsidRDefault="00A12BDC" w:rsidP="00A12BDC">
      <w:pPr>
        <w:rPr>
          <w:lang w:val="fr-CA"/>
        </w:rPr>
      </w:pPr>
    </w:p>
    <w:p w:rsidR="00A12BDC" w:rsidRPr="00A12BDC" w:rsidRDefault="00A12BDC" w:rsidP="00A12BDC">
      <w:pPr>
        <w:jc w:val="center"/>
        <w:rPr>
          <w:b/>
          <w:smallCaps/>
          <w:lang w:val="fr-CA"/>
        </w:rPr>
      </w:pPr>
      <w:r w:rsidRPr="00A12BDC">
        <w:rPr>
          <w:b/>
          <w:smallCaps/>
          <w:lang w:val="fr-CA"/>
        </w:rPr>
        <w:t>Traduction française officielle</w:t>
      </w:r>
    </w:p>
    <w:p w:rsidR="00A12BDC" w:rsidRPr="00A12BDC" w:rsidRDefault="00A12BDC" w:rsidP="00A12BDC">
      <w:pPr>
        <w:rPr>
          <w:lang w:val="fr-CA"/>
        </w:rPr>
      </w:pPr>
    </w:p>
    <w:p w:rsidR="00A12BDC" w:rsidRPr="00A12BDC" w:rsidRDefault="00A12BDC" w:rsidP="00A12BDC">
      <w:pPr>
        <w:rPr>
          <w:lang w:val="fr-CA"/>
        </w:rPr>
      </w:pPr>
      <w:r w:rsidRPr="00A12BDC">
        <w:rPr>
          <w:b/>
          <w:smallCaps/>
          <w:lang w:val="fr-CA"/>
        </w:rPr>
        <w:t>Coram :</w:t>
      </w:r>
      <w:r w:rsidRPr="00A12BDC">
        <w:rPr>
          <w:lang w:val="fr-CA"/>
        </w:rPr>
        <w:t xml:space="preserve"> </w:t>
      </w:r>
      <w:r w:rsidRPr="00BA5B8E">
        <w:rPr>
          <w:lang w:val="fr-CA"/>
        </w:rPr>
        <w:t xml:space="preserve">Les juges Abella, </w:t>
      </w:r>
      <w:proofErr w:type="spellStart"/>
      <w:r w:rsidRPr="00BA5B8E">
        <w:rPr>
          <w:lang w:val="fr-CA"/>
        </w:rPr>
        <w:t>Moldaver</w:t>
      </w:r>
      <w:proofErr w:type="spellEnd"/>
      <w:r w:rsidRPr="00BA5B8E">
        <w:rPr>
          <w:lang w:val="fr-CA"/>
        </w:rPr>
        <w:t xml:space="preserve">, </w:t>
      </w:r>
      <w:proofErr w:type="spellStart"/>
      <w:r w:rsidRPr="00BA5B8E">
        <w:rPr>
          <w:lang w:val="fr-CA"/>
        </w:rPr>
        <w:t>Karakatsanis</w:t>
      </w:r>
      <w:proofErr w:type="spellEnd"/>
      <w:r w:rsidRPr="00BA5B8E">
        <w:rPr>
          <w:lang w:val="fr-CA"/>
        </w:rPr>
        <w:t>, Gascon et Rowe</w:t>
      </w:r>
    </w:p>
    <w:p w:rsidR="00A12BDC" w:rsidRPr="00A12BDC" w:rsidRDefault="00A12BDC" w:rsidP="00A12BDC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A12BDC" w:rsidRPr="0064547D" w:rsidTr="008C0C53">
        <w:trPr>
          <w:cantSplit/>
        </w:trPr>
        <w:tc>
          <w:tcPr>
            <w:tcW w:w="3618" w:type="dxa"/>
          </w:tcPr>
          <w:p w:rsidR="00A12BDC" w:rsidRPr="00A12BDC" w:rsidRDefault="00A12BDC" w:rsidP="008C0C53">
            <w:pPr>
              <w:rPr>
                <w:b/>
                <w:smallCaps/>
                <w:lang w:val="fr-CA"/>
              </w:rPr>
            </w:pPr>
            <w:r w:rsidRPr="00A12BDC">
              <w:rPr>
                <w:b/>
                <w:smallCaps/>
                <w:lang w:val="fr-CA"/>
              </w:rPr>
              <w:t>Motifs de jugement :</w:t>
            </w:r>
          </w:p>
          <w:p w:rsidR="00A12BDC" w:rsidRPr="00A12BDC" w:rsidRDefault="00A12BDC" w:rsidP="008C0C53">
            <w:pPr>
              <w:rPr>
                <w:lang w:val="fr-CA"/>
              </w:rPr>
            </w:pPr>
            <w:r w:rsidRPr="00A12BDC">
              <w:rPr>
                <w:lang w:val="fr-CA"/>
              </w:rPr>
              <w:t>(par. 1 à 2)</w:t>
            </w:r>
          </w:p>
        </w:tc>
        <w:tc>
          <w:tcPr>
            <w:tcW w:w="5958" w:type="dxa"/>
          </w:tcPr>
          <w:p w:rsidR="00A12BDC" w:rsidRPr="00A12BDC" w:rsidRDefault="00A12BDC" w:rsidP="008C0C53">
            <w:pPr>
              <w:rPr>
                <w:lang w:val="fr-CA"/>
              </w:rPr>
            </w:pPr>
            <w:r w:rsidRPr="00A12BDC">
              <w:rPr>
                <w:lang w:val="fr-CA"/>
              </w:rPr>
              <w:t xml:space="preserve">La juge Abella (avec l’accord des juges Abella, </w:t>
            </w:r>
            <w:proofErr w:type="spellStart"/>
            <w:r w:rsidRPr="00A12BDC">
              <w:rPr>
                <w:lang w:val="fr-CA"/>
              </w:rPr>
              <w:t>Moldaver</w:t>
            </w:r>
            <w:proofErr w:type="spellEnd"/>
            <w:r w:rsidRPr="00A12BDC">
              <w:rPr>
                <w:lang w:val="fr-CA"/>
              </w:rPr>
              <w:t xml:space="preserve">, </w:t>
            </w:r>
            <w:proofErr w:type="spellStart"/>
            <w:r w:rsidRPr="00A12BDC">
              <w:rPr>
                <w:lang w:val="fr-CA"/>
              </w:rPr>
              <w:t>Karakatsanis</w:t>
            </w:r>
            <w:proofErr w:type="spellEnd"/>
            <w:r w:rsidRPr="00A12BDC">
              <w:rPr>
                <w:lang w:val="fr-CA"/>
              </w:rPr>
              <w:t>, Gascon et Rowe)</w:t>
            </w:r>
          </w:p>
        </w:tc>
      </w:tr>
    </w:tbl>
    <w:p w:rsidR="00A12BDC" w:rsidRPr="00A12BDC" w:rsidRDefault="00A12BDC" w:rsidP="00A12BDC">
      <w:pPr>
        <w:rPr>
          <w:lang w:val="fr-CA"/>
        </w:rPr>
      </w:pPr>
    </w:p>
    <w:p w:rsidR="00A12BDC" w:rsidRPr="00A12BDC" w:rsidRDefault="00A12BDC" w:rsidP="00A12BDC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4DF22" wp14:editId="4210EC33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24F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A12BDC" w:rsidRPr="00A12BDC" w:rsidRDefault="00A12BDC" w:rsidP="00A12BDC">
      <w:pPr>
        <w:rPr>
          <w:lang w:val="fr-CA"/>
        </w:rPr>
      </w:pPr>
    </w:p>
    <w:p w:rsidR="00A12BDC" w:rsidRPr="00A12BDC" w:rsidRDefault="00A12BDC" w:rsidP="00A12BDC">
      <w:pPr>
        <w:rPr>
          <w:lang w:val="fr-CA"/>
        </w:rPr>
      </w:pPr>
    </w:p>
    <w:p w:rsidR="00A12BDC" w:rsidRPr="00A12BDC" w:rsidRDefault="00A12BDC" w:rsidP="00A12BDC">
      <w:pPr>
        <w:rPr>
          <w:lang w:val="fr-CA"/>
        </w:rPr>
      </w:pPr>
    </w:p>
    <w:p w:rsidR="00A12BDC" w:rsidRPr="00A12BDC" w:rsidRDefault="00A12BDC" w:rsidP="00A12BDC">
      <w:pPr>
        <w:rPr>
          <w:lang w:val="fr-CA"/>
        </w:rPr>
      </w:pPr>
    </w:p>
    <w:p w:rsidR="004D7D95" w:rsidRPr="00F75720" w:rsidRDefault="00F75720" w:rsidP="000372DB">
      <w:pPr>
        <w:widowControl w:val="0"/>
        <w:spacing w:line="480" w:lineRule="auto"/>
        <w:jc w:val="both"/>
        <w:rPr>
          <w:smallCaps/>
          <w:lang w:val="en-US"/>
        </w:rPr>
      </w:pPr>
      <w:r w:rsidRPr="00F75720">
        <w:rPr>
          <w:rStyle w:val="SCCAppellantForRunningHeadChar"/>
          <w:smallCaps w:val="0"/>
          <w:lang w:val="en-US"/>
        </w:rPr>
        <w:t>R</w:t>
      </w:r>
      <w:r w:rsidR="004D7D95" w:rsidRPr="00F75720">
        <w:rPr>
          <w:rStyle w:val="SCCAppellantForRunningHeadChar"/>
          <w:smallCaps w:val="0"/>
          <w:lang w:val="en-US"/>
        </w:rPr>
        <w:t>.</w:t>
      </w:r>
      <w:r w:rsidR="004D7D95" w:rsidRPr="00F75720">
        <w:rPr>
          <w:smallCaps/>
          <w:lang w:val="en-US"/>
        </w:rPr>
        <w:t xml:space="preserve"> </w:t>
      </w:r>
      <w:r w:rsidR="004D7D95" w:rsidRPr="00F75720">
        <w:rPr>
          <w:i/>
          <w:lang w:val="en-US"/>
        </w:rPr>
        <w:t>c.</w:t>
      </w:r>
      <w:r w:rsidR="004D7D95" w:rsidRPr="00F75720">
        <w:rPr>
          <w:smallCaps/>
          <w:lang w:val="en-US"/>
        </w:rPr>
        <w:t xml:space="preserve"> </w:t>
      </w:r>
      <w:r w:rsidRPr="00F75720">
        <w:rPr>
          <w:rStyle w:val="SCCRespondentForRunningHeadChar"/>
          <w:smallCaps w:val="0"/>
          <w:lang w:val="en-US"/>
        </w:rPr>
        <w:t>B</w:t>
      </w:r>
      <w:r w:rsidR="004D7D95" w:rsidRPr="00F75720">
        <w:rPr>
          <w:rStyle w:val="SCCRespondentForRunningHeadChar"/>
          <w:smallCaps w:val="0"/>
          <w:lang w:val="en-US"/>
        </w:rPr>
        <w:t>rown</w:t>
      </w:r>
      <w:r w:rsidRPr="00F75720">
        <w:rPr>
          <w:rStyle w:val="SCCRespondentForRunningHeadChar"/>
          <w:smallCaps w:val="0"/>
          <w:lang w:val="en-US"/>
        </w:rPr>
        <w:t xml:space="preserve">, </w:t>
      </w:r>
      <w:r w:rsidRPr="00F75720">
        <w:rPr>
          <w:lang w:val="en-US"/>
        </w:rPr>
        <w:t>2017 CSC 10, [2017] 1 R.C.S. 166</w:t>
      </w:r>
    </w:p>
    <w:p w:rsidR="004D7D95" w:rsidRPr="00F75720" w:rsidRDefault="004D7D95" w:rsidP="000372DB">
      <w:pPr>
        <w:widowControl w:val="0"/>
        <w:jc w:val="both"/>
        <w:rPr>
          <w:lang w:val="en-US"/>
        </w:rPr>
      </w:pPr>
    </w:p>
    <w:p w:rsidR="004D7D95" w:rsidRPr="00F75720" w:rsidRDefault="004D7D95" w:rsidP="000372DB">
      <w:pPr>
        <w:widowControl w:val="0"/>
        <w:jc w:val="both"/>
        <w:rPr>
          <w:lang w:val="en-US"/>
        </w:rPr>
      </w:pPr>
    </w:p>
    <w:p w:rsidR="004D7D95" w:rsidRPr="00F75720" w:rsidRDefault="004D7D95" w:rsidP="000372DB">
      <w:pPr>
        <w:widowControl w:val="0"/>
        <w:jc w:val="both"/>
        <w:rPr>
          <w:lang w:val="en-US"/>
        </w:rPr>
      </w:pPr>
    </w:p>
    <w:p w:rsidR="00E50514" w:rsidRPr="00BA5B8E" w:rsidRDefault="00B44F9C" w:rsidP="000372DB">
      <w:pPr>
        <w:pStyle w:val="SCCLsocLastPartyInRole"/>
        <w:widowControl w:val="0"/>
        <w:rPr>
          <w:lang w:val="fr-CA"/>
        </w:rPr>
      </w:pPr>
      <w:r w:rsidRPr="00BA5B8E">
        <w:rPr>
          <w:lang w:val="fr-CA"/>
        </w:rPr>
        <w:t>Sa Majesté la Reine</w:t>
      </w:r>
      <w:r w:rsidR="00483049">
        <w:rPr>
          <w:rStyle w:val="SCCLsocPartyRole"/>
          <w:lang w:val="fr-CA"/>
        </w:rPr>
        <w:tab/>
        <w:t>Appelante</w:t>
      </w:r>
    </w:p>
    <w:p w:rsidR="00E50514" w:rsidRPr="00BA5B8E" w:rsidRDefault="00B44F9C" w:rsidP="000372DB">
      <w:pPr>
        <w:pStyle w:val="SCCLsocVersus"/>
        <w:widowControl w:val="0"/>
        <w:rPr>
          <w:lang w:val="fr-CA"/>
        </w:rPr>
      </w:pPr>
      <w:proofErr w:type="gramStart"/>
      <w:r w:rsidRPr="00BA5B8E">
        <w:rPr>
          <w:lang w:val="fr-CA"/>
        </w:rPr>
        <w:t>c</w:t>
      </w:r>
      <w:proofErr w:type="gramEnd"/>
      <w:r w:rsidRPr="00BA5B8E">
        <w:rPr>
          <w:lang w:val="fr-CA"/>
        </w:rPr>
        <w:t>.</w:t>
      </w:r>
    </w:p>
    <w:p w:rsidR="00E50514" w:rsidRPr="00BA5B8E" w:rsidRDefault="00B44F9C" w:rsidP="000372DB">
      <w:pPr>
        <w:pStyle w:val="SCCLsocLastPartyInRole"/>
        <w:widowControl w:val="0"/>
        <w:rPr>
          <w:lang w:val="fr-CA"/>
        </w:rPr>
      </w:pPr>
      <w:r w:rsidRPr="00BA5B8E">
        <w:rPr>
          <w:lang w:val="fr-CA"/>
        </w:rPr>
        <w:lastRenderedPageBreak/>
        <w:t>Adam Michael Brown</w:t>
      </w:r>
      <w:r w:rsidR="00483049">
        <w:rPr>
          <w:rStyle w:val="SCCLsocPartyRole"/>
          <w:lang w:val="fr-CA"/>
        </w:rPr>
        <w:tab/>
        <w:t>Intimé</w:t>
      </w:r>
    </w:p>
    <w:p w:rsidR="004D7D95" w:rsidRPr="00BA5B8E" w:rsidRDefault="004D7D95" w:rsidP="000372DB">
      <w:pPr>
        <w:widowControl w:val="0"/>
        <w:jc w:val="both"/>
        <w:rPr>
          <w:lang w:val="fr-CA"/>
        </w:rPr>
      </w:pPr>
    </w:p>
    <w:p w:rsidR="004D7D95" w:rsidRPr="00BA5B8E" w:rsidRDefault="004D7D95" w:rsidP="000372DB">
      <w:pPr>
        <w:widowControl w:val="0"/>
        <w:jc w:val="both"/>
        <w:rPr>
          <w:lang w:val="fr-CA"/>
        </w:rPr>
      </w:pPr>
    </w:p>
    <w:p w:rsidR="004D7D95" w:rsidRPr="00BA5B8E" w:rsidRDefault="00483049" w:rsidP="000372DB">
      <w:pPr>
        <w:widowControl w:val="0"/>
        <w:jc w:val="both"/>
        <w:rPr>
          <w:b/>
          <w:lang w:val="fr-CA"/>
        </w:rPr>
      </w:pPr>
      <w:r>
        <w:rPr>
          <w:b/>
          <w:lang w:val="fr-CA"/>
        </w:rPr>
        <w:t>Répertorié : </w:t>
      </w:r>
      <w:r w:rsidR="004D7D95" w:rsidRPr="00BA5B8E">
        <w:rPr>
          <w:rStyle w:val="SCCAppellantForIndexChar"/>
          <w:lang w:val="fr-CA"/>
        </w:rPr>
        <w:t>R.</w:t>
      </w:r>
      <w:r w:rsidR="004D7D95" w:rsidRPr="00BB4C92">
        <w:rPr>
          <w:b/>
          <w:lang w:val="fr-CA"/>
        </w:rPr>
        <w:t xml:space="preserve"> </w:t>
      </w:r>
      <w:r w:rsidR="004D7D95" w:rsidRPr="00BB4C92">
        <w:rPr>
          <w:b/>
          <w:i/>
          <w:lang w:val="fr-CA"/>
        </w:rPr>
        <w:t>c.</w:t>
      </w:r>
      <w:r w:rsidR="004D7D95" w:rsidRPr="00BB4C92">
        <w:rPr>
          <w:b/>
          <w:lang w:val="fr-CA"/>
        </w:rPr>
        <w:t xml:space="preserve"> </w:t>
      </w:r>
      <w:r w:rsidR="004D7D95" w:rsidRPr="00BA5B8E">
        <w:rPr>
          <w:rStyle w:val="SCCRespondentForIndexChar"/>
          <w:lang w:val="fr-CA"/>
        </w:rPr>
        <w:t>Brown</w:t>
      </w:r>
    </w:p>
    <w:p w:rsidR="004D7D95" w:rsidRPr="00BA5B8E" w:rsidRDefault="004D7D95" w:rsidP="000372DB">
      <w:pPr>
        <w:widowControl w:val="0"/>
        <w:jc w:val="both"/>
        <w:rPr>
          <w:lang w:val="fr-CA"/>
        </w:rPr>
      </w:pPr>
    </w:p>
    <w:p w:rsidR="004D7D95" w:rsidRPr="00BA5B8E" w:rsidRDefault="004D7D95" w:rsidP="000372DB">
      <w:pPr>
        <w:widowControl w:val="0"/>
        <w:jc w:val="both"/>
        <w:rPr>
          <w:lang w:val="fr-CA"/>
        </w:rPr>
      </w:pPr>
    </w:p>
    <w:p w:rsidR="004D7D95" w:rsidRPr="00BA5B8E" w:rsidRDefault="004D7D95" w:rsidP="000372DB">
      <w:pPr>
        <w:widowControl w:val="0"/>
        <w:jc w:val="both"/>
        <w:rPr>
          <w:lang w:val="fr-CA"/>
        </w:rPr>
      </w:pPr>
    </w:p>
    <w:p w:rsidR="004D7D95" w:rsidRPr="00BA5B8E" w:rsidRDefault="00D17B0E" w:rsidP="000372DB">
      <w:pPr>
        <w:pStyle w:val="SCCSystemYear"/>
        <w:widowControl w:val="0"/>
        <w:jc w:val="both"/>
        <w:rPr>
          <w:lang w:val="fr-CA"/>
        </w:rPr>
      </w:pPr>
      <w:r w:rsidRPr="00BA5B8E">
        <w:rPr>
          <w:lang w:val="fr-CA"/>
        </w:rPr>
        <w:t>2017</w:t>
      </w:r>
      <w:r w:rsidR="00483049">
        <w:rPr>
          <w:lang w:val="fr-CA"/>
        </w:rPr>
        <w:t xml:space="preserve"> CSC 10</w:t>
      </w:r>
    </w:p>
    <w:p w:rsidR="004D7D95" w:rsidRPr="00BA5B8E" w:rsidRDefault="004D7D95" w:rsidP="000372DB">
      <w:pPr>
        <w:widowControl w:val="0"/>
        <w:jc w:val="both"/>
        <w:rPr>
          <w:lang w:val="fr-CA"/>
        </w:rPr>
      </w:pPr>
    </w:p>
    <w:p w:rsidR="004D7D95" w:rsidRPr="00BA5B8E" w:rsidRDefault="004D7D95" w:rsidP="000372DB">
      <w:pPr>
        <w:widowControl w:val="0"/>
        <w:jc w:val="both"/>
        <w:rPr>
          <w:lang w:val="fr-CA"/>
        </w:rPr>
      </w:pPr>
    </w:p>
    <w:p w:rsidR="004D7D95" w:rsidRPr="00BA5B8E" w:rsidRDefault="004D7D95" w:rsidP="000372DB">
      <w:pPr>
        <w:widowControl w:val="0"/>
        <w:jc w:val="both"/>
        <w:rPr>
          <w:lang w:val="fr-CA"/>
        </w:rPr>
      </w:pPr>
    </w:p>
    <w:p w:rsidR="004D7D95" w:rsidRPr="00BA5B8E" w:rsidRDefault="004D7D95" w:rsidP="000372DB">
      <w:pPr>
        <w:widowControl w:val="0"/>
        <w:jc w:val="both"/>
        <w:rPr>
          <w:lang w:val="fr-CA"/>
        </w:rPr>
      </w:pPr>
      <w:r w:rsidRPr="00BA5B8E">
        <w:rPr>
          <w:lang w:val="fr-CA"/>
        </w:rPr>
        <w:t>N</w:t>
      </w:r>
      <w:r w:rsidRPr="00BA5B8E">
        <w:rPr>
          <w:vertAlign w:val="superscript"/>
          <w:lang w:val="fr-CA"/>
        </w:rPr>
        <w:t>o</w:t>
      </w:r>
      <w:r w:rsidRPr="00BA5B8E">
        <w:rPr>
          <w:lang w:val="fr-CA"/>
        </w:rPr>
        <w:t xml:space="preserve"> du greffe : 37153.</w:t>
      </w:r>
    </w:p>
    <w:p w:rsidR="004D7D95" w:rsidRPr="00BA5B8E" w:rsidRDefault="004D7D95" w:rsidP="000372DB">
      <w:pPr>
        <w:widowControl w:val="0"/>
        <w:jc w:val="both"/>
        <w:rPr>
          <w:lang w:val="fr-CA"/>
        </w:rPr>
      </w:pPr>
    </w:p>
    <w:p w:rsidR="004D7D95" w:rsidRPr="00BA5B8E" w:rsidRDefault="004D7D95" w:rsidP="000372DB">
      <w:pPr>
        <w:widowControl w:val="0"/>
        <w:jc w:val="both"/>
        <w:rPr>
          <w:lang w:val="fr-CA"/>
        </w:rPr>
      </w:pPr>
    </w:p>
    <w:p w:rsidR="004D7D95" w:rsidRPr="00BA5B8E" w:rsidRDefault="004D7D95" w:rsidP="000372DB">
      <w:pPr>
        <w:widowControl w:val="0"/>
        <w:jc w:val="both"/>
        <w:rPr>
          <w:lang w:val="fr-CA"/>
        </w:rPr>
      </w:pPr>
    </w:p>
    <w:p w:rsidR="004D7D95" w:rsidRPr="00BA5B8E" w:rsidRDefault="00D17B0E" w:rsidP="000372DB">
      <w:pPr>
        <w:widowControl w:val="0"/>
        <w:jc w:val="both"/>
        <w:rPr>
          <w:lang w:val="fr-CA"/>
        </w:rPr>
      </w:pPr>
      <w:r w:rsidRPr="00BA5B8E">
        <w:rPr>
          <w:lang w:val="fr-CA"/>
        </w:rPr>
        <w:t>2017 : 20 février</w:t>
      </w:r>
      <w:r w:rsidR="00483049">
        <w:rPr>
          <w:lang w:val="fr-CA"/>
        </w:rPr>
        <w:t>.</w:t>
      </w:r>
    </w:p>
    <w:p w:rsidR="004D7D95" w:rsidRPr="00BA5B8E" w:rsidRDefault="004D7D95" w:rsidP="000372DB">
      <w:pPr>
        <w:widowControl w:val="0"/>
        <w:jc w:val="both"/>
        <w:rPr>
          <w:lang w:val="fr-CA"/>
        </w:rPr>
      </w:pPr>
    </w:p>
    <w:p w:rsidR="004D7D95" w:rsidRPr="00BA5B8E" w:rsidRDefault="004D7D95" w:rsidP="000372DB">
      <w:pPr>
        <w:widowControl w:val="0"/>
        <w:jc w:val="both"/>
        <w:rPr>
          <w:lang w:val="fr-CA"/>
        </w:rPr>
      </w:pPr>
    </w:p>
    <w:p w:rsidR="004D7D95" w:rsidRPr="00BA5B8E" w:rsidRDefault="004D7D95" w:rsidP="000372DB">
      <w:pPr>
        <w:widowControl w:val="0"/>
        <w:jc w:val="both"/>
        <w:rPr>
          <w:lang w:val="fr-CA"/>
        </w:rPr>
      </w:pPr>
    </w:p>
    <w:p w:rsidR="004D7D95" w:rsidRPr="00BA5B8E" w:rsidRDefault="004D7D95" w:rsidP="000372DB">
      <w:pPr>
        <w:widowControl w:val="0"/>
        <w:jc w:val="both"/>
        <w:rPr>
          <w:lang w:val="fr-CA"/>
        </w:rPr>
      </w:pPr>
      <w:r w:rsidRPr="00BA5B8E">
        <w:rPr>
          <w:lang w:val="fr-CA"/>
        </w:rPr>
        <w:t xml:space="preserve">Présents : Les juges Abella, </w:t>
      </w:r>
      <w:proofErr w:type="spellStart"/>
      <w:r w:rsidRPr="00BA5B8E">
        <w:rPr>
          <w:lang w:val="fr-CA"/>
        </w:rPr>
        <w:t>Moldaver</w:t>
      </w:r>
      <w:proofErr w:type="spellEnd"/>
      <w:r w:rsidRPr="00BA5B8E">
        <w:rPr>
          <w:lang w:val="fr-CA"/>
        </w:rPr>
        <w:t xml:space="preserve">, </w:t>
      </w:r>
      <w:proofErr w:type="spellStart"/>
      <w:r w:rsidRPr="00BA5B8E">
        <w:rPr>
          <w:lang w:val="fr-CA"/>
        </w:rPr>
        <w:t>Karakatsanis</w:t>
      </w:r>
      <w:proofErr w:type="spellEnd"/>
      <w:r w:rsidRPr="00BA5B8E">
        <w:rPr>
          <w:lang w:val="fr-CA"/>
        </w:rPr>
        <w:t>, Gascon et Rowe.</w:t>
      </w:r>
    </w:p>
    <w:p w:rsidR="004D7D95" w:rsidRPr="00BA5B8E" w:rsidRDefault="004D7D95" w:rsidP="000372DB">
      <w:pPr>
        <w:widowControl w:val="0"/>
        <w:jc w:val="both"/>
        <w:rPr>
          <w:lang w:val="fr-CA"/>
        </w:rPr>
      </w:pPr>
    </w:p>
    <w:p w:rsidR="00EE0830" w:rsidRPr="00BA5B8E" w:rsidRDefault="00EE0830" w:rsidP="000372DB">
      <w:pPr>
        <w:widowControl w:val="0"/>
        <w:jc w:val="both"/>
        <w:rPr>
          <w:lang w:val="fr-CA"/>
        </w:rPr>
      </w:pPr>
    </w:p>
    <w:p w:rsidR="00BF6FE9" w:rsidRPr="00BA5B8E" w:rsidRDefault="00BF6FE9" w:rsidP="000372DB">
      <w:pPr>
        <w:widowControl w:val="0"/>
        <w:jc w:val="both"/>
        <w:rPr>
          <w:lang w:val="fr-CA"/>
        </w:rPr>
      </w:pPr>
    </w:p>
    <w:p w:rsidR="00E50514" w:rsidRPr="00BA5B8E" w:rsidRDefault="00E50514" w:rsidP="000372DB">
      <w:pPr>
        <w:widowControl w:val="0"/>
        <w:rPr>
          <w:lang w:val="fr-CA"/>
        </w:rPr>
      </w:pPr>
    </w:p>
    <w:p w:rsidR="004D7D95" w:rsidRPr="002C517B" w:rsidRDefault="004D7D95" w:rsidP="000372DB">
      <w:pPr>
        <w:widowControl w:val="0"/>
        <w:jc w:val="both"/>
        <w:rPr>
          <w:smallCaps/>
          <w:lang w:val="fr-CA"/>
        </w:rPr>
      </w:pPr>
      <w:r w:rsidRPr="002C517B">
        <w:rPr>
          <w:smallCaps/>
          <w:lang w:val="fr-CA"/>
        </w:rPr>
        <w:t>en appel de la cour</w:t>
      </w:r>
      <w:r w:rsidR="002C517B" w:rsidRPr="002C517B">
        <w:rPr>
          <w:smallCaps/>
          <w:lang w:val="fr-CA"/>
        </w:rPr>
        <w:t xml:space="preserve"> d’appel de </w:t>
      </w:r>
      <w:proofErr w:type="spellStart"/>
      <w:r w:rsidR="002C517B" w:rsidRPr="002C517B">
        <w:rPr>
          <w:smallCaps/>
          <w:lang w:val="fr-CA"/>
        </w:rPr>
        <w:t>l’alberta</w:t>
      </w:r>
      <w:proofErr w:type="spellEnd"/>
    </w:p>
    <w:p w:rsidR="004D7D95" w:rsidRPr="002C517B" w:rsidRDefault="004D7D95" w:rsidP="000372DB">
      <w:pPr>
        <w:pStyle w:val="SCCNormalDoubleSpacing"/>
        <w:widowControl w:val="0"/>
        <w:rPr>
          <w:smallCaps/>
          <w:lang w:val="fr-CA"/>
        </w:rPr>
      </w:pPr>
    </w:p>
    <w:p w:rsidR="004D7D95" w:rsidRPr="004D7D95" w:rsidRDefault="004D7D95" w:rsidP="000372DB">
      <w:pPr>
        <w:pStyle w:val="SCCNormalDoubleSpacing"/>
        <w:widowControl w:val="0"/>
        <w:spacing w:line="240" w:lineRule="auto"/>
        <w:ind w:left="540" w:hanging="540"/>
        <w:rPr>
          <w:lang w:val="fr-CA"/>
        </w:rPr>
      </w:pPr>
    </w:p>
    <w:p w:rsidR="00B65D9B" w:rsidRPr="00040CF3" w:rsidRDefault="00B65D9B" w:rsidP="000372DB">
      <w:pPr>
        <w:pStyle w:val="SCCNormalDoubleSpacing"/>
        <w:widowControl w:val="0"/>
        <w:rPr>
          <w:i/>
          <w:lang w:val="fr-FR"/>
        </w:rPr>
      </w:pPr>
      <w:r w:rsidRPr="00273DFB">
        <w:rPr>
          <w:lang w:val="fr-FR"/>
        </w:rPr>
        <w:tab/>
      </w:r>
      <w:r w:rsidR="00DB551D">
        <w:rPr>
          <w:i/>
          <w:lang w:val="fr-FR"/>
        </w:rPr>
        <w:t>Droit criminel — Preuve — Admissibilité —</w:t>
      </w:r>
      <w:r w:rsidRPr="00040CF3">
        <w:rPr>
          <w:i/>
          <w:lang w:val="fr-FR"/>
        </w:rPr>
        <w:t xml:space="preserve"> Nouve</w:t>
      </w:r>
      <w:r w:rsidR="00C569BB" w:rsidRPr="00040CF3">
        <w:rPr>
          <w:i/>
          <w:lang w:val="fr-FR"/>
        </w:rPr>
        <w:t>aux</w:t>
      </w:r>
      <w:r w:rsidRPr="00040CF3">
        <w:rPr>
          <w:i/>
          <w:lang w:val="fr-FR"/>
        </w:rPr>
        <w:t xml:space="preserve"> élément</w:t>
      </w:r>
      <w:r w:rsidR="00C569BB" w:rsidRPr="00040CF3">
        <w:rPr>
          <w:i/>
          <w:lang w:val="fr-FR"/>
        </w:rPr>
        <w:t>s</w:t>
      </w:r>
      <w:r w:rsidR="00DB551D">
        <w:rPr>
          <w:i/>
          <w:lang w:val="fr-FR"/>
        </w:rPr>
        <w:t xml:space="preserve"> de preuve —</w:t>
      </w:r>
      <w:r w:rsidRPr="00040CF3">
        <w:rPr>
          <w:i/>
          <w:lang w:val="fr-FR"/>
        </w:rPr>
        <w:t xml:space="preserve"> Accus</w:t>
      </w:r>
      <w:r w:rsidR="00C569BB" w:rsidRPr="00040CF3">
        <w:rPr>
          <w:i/>
          <w:lang w:val="fr-FR"/>
        </w:rPr>
        <w:t>é inculpé de meurtre au deuxième degré et d’agression armée</w:t>
      </w:r>
      <w:r w:rsidR="00273DFB" w:rsidRPr="00040CF3">
        <w:rPr>
          <w:i/>
          <w:lang w:val="fr-FR"/>
        </w:rPr>
        <w:t xml:space="preserve"> à </w:t>
      </w:r>
      <w:r w:rsidR="00DB551D">
        <w:rPr>
          <w:i/>
          <w:lang w:val="fr-FR"/>
        </w:rPr>
        <w:t>la suite d’une fusillade —</w:t>
      </w:r>
      <w:r w:rsidR="00273DFB" w:rsidRPr="00040CF3">
        <w:rPr>
          <w:i/>
          <w:lang w:val="fr-FR"/>
        </w:rPr>
        <w:t xml:space="preserve"> Demande présentée par l’accusé </w:t>
      </w:r>
      <w:r w:rsidR="00040CF3">
        <w:rPr>
          <w:i/>
          <w:lang w:val="fr-FR"/>
        </w:rPr>
        <w:t>afin</w:t>
      </w:r>
      <w:r w:rsidR="00273DFB" w:rsidRPr="00040CF3">
        <w:rPr>
          <w:i/>
          <w:lang w:val="fr-FR"/>
        </w:rPr>
        <w:t xml:space="preserve"> d’être autorisé à produire</w:t>
      </w:r>
      <w:r w:rsidR="009258C3">
        <w:rPr>
          <w:i/>
          <w:lang w:val="fr-FR"/>
        </w:rPr>
        <w:t xml:space="preserve"> lors de l</w:t>
      </w:r>
      <w:r w:rsidR="009258C3">
        <w:rPr>
          <w:i/>
          <w:lang w:val="fr-CA"/>
        </w:rPr>
        <w:t>’appel</w:t>
      </w:r>
      <w:r w:rsidR="00273DFB" w:rsidRPr="00040CF3">
        <w:rPr>
          <w:i/>
          <w:lang w:val="fr-FR"/>
        </w:rPr>
        <w:t xml:space="preserve"> de nouveaux éléments de preuve </w:t>
      </w:r>
      <w:r w:rsidR="00040CF3">
        <w:rPr>
          <w:i/>
          <w:lang w:val="fr-FR"/>
        </w:rPr>
        <w:t xml:space="preserve">constitués </w:t>
      </w:r>
      <w:r w:rsidR="00273DFB" w:rsidRPr="00040CF3">
        <w:rPr>
          <w:i/>
          <w:lang w:val="fr-FR"/>
        </w:rPr>
        <w:t>de déclarations faites par un témoin au procès d’un coaccusé et aux policiers après le procès de l’accusé</w:t>
      </w:r>
      <w:r w:rsidR="00040CF3" w:rsidRPr="00040CF3">
        <w:rPr>
          <w:i/>
          <w:lang w:val="fr-FR"/>
        </w:rPr>
        <w:t xml:space="preserve"> et tendant à indiquer qu’il n’était pas une des personne</w:t>
      </w:r>
      <w:r w:rsidR="00040CF3">
        <w:rPr>
          <w:i/>
          <w:lang w:val="fr-FR"/>
        </w:rPr>
        <w:t>s</w:t>
      </w:r>
      <w:r w:rsidR="00040CF3" w:rsidRPr="00040CF3">
        <w:rPr>
          <w:i/>
          <w:lang w:val="fr-FR"/>
        </w:rPr>
        <w:t xml:space="preserve"> ayant tiré des coups de feu</w:t>
      </w:r>
      <w:r w:rsidR="00DB551D">
        <w:rPr>
          <w:i/>
          <w:lang w:val="fr-FR"/>
        </w:rPr>
        <w:t xml:space="preserve"> —</w:t>
      </w:r>
      <w:r w:rsidRPr="00040CF3">
        <w:rPr>
          <w:i/>
          <w:lang w:val="fr-FR"/>
        </w:rPr>
        <w:t xml:space="preserve"> Co</w:t>
      </w:r>
      <w:r w:rsidR="00040CF3" w:rsidRPr="00040CF3">
        <w:rPr>
          <w:i/>
          <w:lang w:val="fr-FR"/>
        </w:rPr>
        <w:t>nclusion de la Cour d’appel portant que les critères d’admissibilité de nouveaux éléments de preuve étaient respectés et que les nouveaux éléments proposés devaient être admis</w:t>
      </w:r>
      <w:r w:rsidR="00DB551D">
        <w:rPr>
          <w:i/>
          <w:lang w:val="fr-FR"/>
        </w:rPr>
        <w:t xml:space="preserve"> —</w:t>
      </w:r>
      <w:r w:rsidRPr="00040CF3">
        <w:rPr>
          <w:i/>
          <w:lang w:val="fr-FR"/>
        </w:rPr>
        <w:t xml:space="preserve"> </w:t>
      </w:r>
      <w:r w:rsidRPr="00040CF3">
        <w:rPr>
          <w:i/>
          <w:lang w:val="fr-FR"/>
        </w:rPr>
        <w:lastRenderedPageBreak/>
        <w:t xml:space="preserve">Admission </w:t>
      </w:r>
      <w:r w:rsidR="00C569BB" w:rsidRPr="00040CF3">
        <w:rPr>
          <w:i/>
          <w:lang w:val="fr-FR"/>
        </w:rPr>
        <w:t>de nouveaux éléments de preuve</w:t>
      </w:r>
      <w:r w:rsidRPr="00040CF3">
        <w:rPr>
          <w:i/>
          <w:lang w:val="fr-FR"/>
        </w:rPr>
        <w:t xml:space="preserve">, </w:t>
      </w:r>
      <w:r w:rsidR="00C569BB" w:rsidRPr="00040CF3">
        <w:rPr>
          <w:i/>
          <w:lang w:val="fr-FR"/>
        </w:rPr>
        <w:t>annulation des déclarations de culpabilité et ordonnance intimant la tenue d’un nouveau proc</w:t>
      </w:r>
      <w:r w:rsidR="00040CF3" w:rsidRPr="00040CF3">
        <w:rPr>
          <w:i/>
          <w:lang w:val="fr-FR"/>
        </w:rPr>
        <w:t>ès</w:t>
      </w:r>
      <w:r w:rsidR="00C569BB" w:rsidRPr="00040CF3">
        <w:rPr>
          <w:i/>
          <w:lang w:val="fr-FR"/>
        </w:rPr>
        <w:t xml:space="preserve"> confirmées</w:t>
      </w:r>
      <w:r w:rsidRPr="00040CF3">
        <w:rPr>
          <w:i/>
          <w:lang w:val="fr-FR"/>
        </w:rPr>
        <w:t>.</w:t>
      </w:r>
    </w:p>
    <w:p w:rsidR="004D7D95" w:rsidRPr="00273DFB" w:rsidRDefault="004D7D95" w:rsidP="000372DB">
      <w:pPr>
        <w:pStyle w:val="SCCNormalDoubleSpacing"/>
        <w:widowControl w:val="0"/>
        <w:spacing w:line="240" w:lineRule="auto"/>
        <w:ind w:left="540" w:hanging="540"/>
        <w:rPr>
          <w:lang w:val="fr-FR"/>
        </w:rPr>
      </w:pPr>
    </w:p>
    <w:p w:rsidR="007D52B0" w:rsidRDefault="004D7D95" w:rsidP="000372DB">
      <w:pPr>
        <w:pStyle w:val="SCCNormalDoubleSpacing"/>
        <w:widowControl w:val="0"/>
        <w:rPr>
          <w:lang w:val="fr-FR"/>
        </w:rPr>
      </w:pPr>
      <w:r w:rsidRPr="00273DFB">
        <w:rPr>
          <w:lang w:val="fr-FR"/>
        </w:rPr>
        <w:tab/>
      </w:r>
      <w:r w:rsidRPr="004D7D95">
        <w:rPr>
          <w:lang w:val="fr-CA"/>
        </w:rPr>
        <w:t xml:space="preserve">POURVOI contre un arrêt de la </w:t>
      </w:r>
      <w:r w:rsidR="00483049">
        <w:rPr>
          <w:lang w:val="fr-CA"/>
        </w:rPr>
        <w:t>Cour d’</w:t>
      </w:r>
      <w:r w:rsidRPr="00BA5B8E">
        <w:rPr>
          <w:lang w:val="fr-CA"/>
        </w:rPr>
        <w:t>appel de l’Alberta</w:t>
      </w:r>
      <w:r w:rsidR="002C517B">
        <w:rPr>
          <w:lang w:val="fr-CA"/>
        </w:rPr>
        <w:t xml:space="preserve"> (les juges </w:t>
      </w:r>
      <w:r w:rsidR="00207D6C">
        <w:rPr>
          <w:lang w:val="fr-CA"/>
        </w:rPr>
        <w:t xml:space="preserve">Berger, McDonald et </w:t>
      </w:r>
      <w:proofErr w:type="spellStart"/>
      <w:r w:rsidR="00207D6C">
        <w:rPr>
          <w:lang w:val="fr-CA"/>
        </w:rPr>
        <w:t>Bielby</w:t>
      </w:r>
      <w:proofErr w:type="spellEnd"/>
      <w:r w:rsidR="002C517B">
        <w:rPr>
          <w:lang w:val="fr-CA"/>
        </w:rPr>
        <w:t>), 2016 ABCA 192, 338 C.C.C. (3d) 123, [2016] A.J. No. 640 (QL), 2</w:t>
      </w:r>
      <w:r w:rsidR="003E014E">
        <w:rPr>
          <w:lang w:val="fr-CA"/>
        </w:rPr>
        <w:t xml:space="preserve">016 </w:t>
      </w:r>
      <w:proofErr w:type="spellStart"/>
      <w:r w:rsidR="003E014E">
        <w:rPr>
          <w:lang w:val="fr-CA"/>
        </w:rPr>
        <w:t>CarswellAlta</w:t>
      </w:r>
      <w:proofErr w:type="spellEnd"/>
      <w:r w:rsidR="003E014E">
        <w:rPr>
          <w:lang w:val="fr-CA"/>
        </w:rPr>
        <w:t xml:space="preserve"> 1190 (WL Can.)</w:t>
      </w:r>
      <w:r w:rsidR="003E014E" w:rsidRPr="004037B3">
        <w:rPr>
          <w:lang w:val="fr-CA"/>
        </w:rPr>
        <w:t>,</w:t>
      </w:r>
      <w:r w:rsidR="003E014E">
        <w:rPr>
          <w:lang w:val="fr-CA"/>
        </w:rPr>
        <w:t xml:space="preserve"> </w:t>
      </w:r>
      <w:r w:rsidR="00207D6C">
        <w:rPr>
          <w:lang w:val="fr-CA"/>
        </w:rPr>
        <w:t xml:space="preserve">qui a accueilli la </w:t>
      </w:r>
      <w:r w:rsidR="001731F1">
        <w:rPr>
          <w:lang w:val="fr-CA"/>
        </w:rPr>
        <w:t xml:space="preserve">requête de l’accusé pour déposer de nouveaux éléments de preuve, </w:t>
      </w:r>
      <w:r w:rsidR="001731F1" w:rsidRPr="00C569BB">
        <w:rPr>
          <w:lang w:val="fr-CA"/>
        </w:rPr>
        <w:t>annulé</w:t>
      </w:r>
      <w:r w:rsidR="001731F1">
        <w:rPr>
          <w:lang w:val="fr-CA"/>
        </w:rPr>
        <w:t xml:space="preserve"> les</w:t>
      </w:r>
      <w:r w:rsidR="00207D6C">
        <w:rPr>
          <w:lang w:val="fr-CA"/>
        </w:rPr>
        <w:t xml:space="preserve"> </w:t>
      </w:r>
      <w:r w:rsidR="003E014E">
        <w:rPr>
          <w:lang w:val="fr-FR"/>
        </w:rPr>
        <w:t>déclaration</w:t>
      </w:r>
      <w:r w:rsidR="001731F1">
        <w:rPr>
          <w:lang w:val="fr-FR"/>
        </w:rPr>
        <w:t>s</w:t>
      </w:r>
      <w:r w:rsidR="003E014E">
        <w:rPr>
          <w:lang w:val="fr-FR"/>
        </w:rPr>
        <w:t xml:space="preserve"> de culpabilité </w:t>
      </w:r>
      <w:r w:rsidR="001731F1">
        <w:rPr>
          <w:lang w:val="fr-FR"/>
        </w:rPr>
        <w:t>pour</w:t>
      </w:r>
      <w:r w:rsidR="003E014E">
        <w:rPr>
          <w:lang w:val="fr-FR"/>
        </w:rPr>
        <w:t xml:space="preserve"> meurtre au deuxième degré et agression armée </w:t>
      </w:r>
      <w:r w:rsidR="00C569BB" w:rsidRPr="00FB4D53">
        <w:rPr>
          <w:lang w:val="fr-FR"/>
        </w:rPr>
        <w:t>consignées</w:t>
      </w:r>
      <w:r w:rsidR="003E014E">
        <w:rPr>
          <w:lang w:val="fr-FR"/>
        </w:rPr>
        <w:t xml:space="preserve"> par le juge </w:t>
      </w:r>
      <w:proofErr w:type="spellStart"/>
      <w:r w:rsidR="003E014E">
        <w:rPr>
          <w:lang w:val="fr-FR"/>
        </w:rPr>
        <w:t>Belzil</w:t>
      </w:r>
      <w:proofErr w:type="spellEnd"/>
      <w:r w:rsidR="001731F1">
        <w:rPr>
          <w:lang w:val="fr-FR"/>
        </w:rPr>
        <w:t xml:space="preserve">, </w:t>
      </w:r>
      <w:r w:rsidR="001731F1" w:rsidRPr="001731F1">
        <w:rPr>
          <w:lang w:val="fr-CA"/>
        </w:rPr>
        <w:t xml:space="preserve">2010 ABQB 720, [2016] A.J. No. 1370 (QL), 2010 </w:t>
      </w:r>
      <w:proofErr w:type="spellStart"/>
      <w:r w:rsidR="001731F1" w:rsidRPr="001731F1">
        <w:rPr>
          <w:lang w:val="fr-CA"/>
        </w:rPr>
        <w:t>CarswellAlta</w:t>
      </w:r>
      <w:proofErr w:type="spellEnd"/>
      <w:r w:rsidR="001731F1" w:rsidRPr="001731F1">
        <w:rPr>
          <w:lang w:val="fr-CA"/>
        </w:rPr>
        <w:t xml:space="preserve"> 2334 (WL Can.)</w:t>
      </w:r>
      <w:r w:rsidR="001731F1">
        <w:rPr>
          <w:lang w:val="fr-CA"/>
        </w:rPr>
        <w:t>,</w:t>
      </w:r>
      <w:r w:rsidR="00B44F9C">
        <w:rPr>
          <w:lang w:val="fr-FR"/>
        </w:rPr>
        <w:t xml:space="preserve"> et ordonné la tenue d’un nouveau procès</w:t>
      </w:r>
      <w:r w:rsidR="007D52B0">
        <w:rPr>
          <w:lang w:val="fr-FR"/>
        </w:rPr>
        <w:t>.  Pourvoi rejeté.</w:t>
      </w:r>
    </w:p>
    <w:p w:rsidR="004D7D95" w:rsidRPr="004D7D95" w:rsidRDefault="007D52B0" w:rsidP="000372DB">
      <w:pPr>
        <w:pStyle w:val="SCCNormalDoubleSpacing"/>
        <w:widowControl w:val="0"/>
        <w:rPr>
          <w:lang w:val="fr-CA"/>
        </w:rPr>
      </w:pPr>
      <w:r w:rsidRPr="004D7D95">
        <w:rPr>
          <w:lang w:val="fr-CA"/>
        </w:rPr>
        <w:t xml:space="preserve"> </w:t>
      </w:r>
    </w:p>
    <w:p w:rsidR="00E50514" w:rsidRPr="00BA5B8E" w:rsidRDefault="00B44F9C" w:rsidP="000372DB">
      <w:pPr>
        <w:pStyle w:val="SCCNormalDoubleSpacing"/>
        <w:widowControl w:val="0"/>
        <w:rPr>
          <w:lang w:val="fr-CA"/>
        </w:rPr>
      </w:pPr>
      <w:r w:rsidRPr="00BA5B8E">
        <w:rPr>
          <w:rStyle w:val="SCCCounselNameChar"/>
          <w:lang w:val="fr-CA"/>
        </w:rPr>
        <w:tab/>
        <w:t>Troy Couillard</w:t>
      </w:r>
      <w:r>
        <w:rPr>
          <w:rStyle w:val="SCCCounselPartyRoleChar"/>
          <w:lang w:val="fr-CA"/>
        </w:rPr>
        <w:t>, pour l’appelante</w:t>
      </w:r>
      <w:r w:rsidRPr="00BA5B8E">
        <w:rPr>
          <w:rStyle w:val="SCCCounselPartyRoleChar"/>
          <w:lang w:val="fr-CA"/>
        </w:rPr>
        <w:t>.</w:t>
      </w:r>
    </w:p>
    <w:p w:rsidR="00E50514" w:rsidRPr="00BA5B8E" w:rsidRDefault="00E50514" w:rsidP="000372DB">
      <w:pPr>
        <w:pStyle w:val="SCCNormalDoubleSpacing"/>
        <w:widowControl w:val="0"/>
        <w:rPr>
          <w:lang w:val="fr-CA"/>
        </w:rPr>
      </w:pPr>
    </w:p>
    <w:p w:rsidR="00E50514" w:rsidRPr="00BA5B8E" w:rsidRDefault="00B44F9C" w:rsidP="000372DB">
      <w:pPr>
        <w:pStyle w:val="SCCNormalDoubleSpacing"/>
        <w:widowControl w:val="0"/>
        <w:rPr>
          <w:lang w:val="fr-CA"/>
        </w:rPr>
      </w:pPr>
      <w:r w:rsidRPr="00BA5B8E">
        <w:rPr>
          <w:rStyle w:val="SCCCounselNameChar"/>
          <w:lang w:val="fr-CA"/>
        </w:rPr>
        <w:tab/>
        <w:t>Daniel J. Song</w:t>
      </w:r>
      <w:r w:rsidRPr="00BA5B8E">
        <w:rPr>
          <w:rStyle w:val="SCCCounselSeparatorChar"/>
          <w:lang w:val="fr-CA"/>
        </w:rPr>
        <w:t xml:space="preserve"> et </w:t>
      </w:r>
      <w:r w:rsidRPr="00BA5B8E">
        <w:rPr>
          <w:rStyle w:val="SCCCounselNameChar"/>
          <w:lang w:val="fr-CA"/>
        </w:rPr>
        <w:t xml:space="preserve">Vincent </w:t>
      </w:r>
      <w:proofErr w:type="spellStart"/>
      <w:r w:rsidRPr="00BA5B8E">
        <w:rPr>
          <w:rStyle w:val="SCCCounselNameChar"/>
          <w:lang w:val="fr-CA"/>
        </w:rPr>
        <w:t>Rizzuto</w:t>
      </w:r>
      <w:proofErr w:type="spellEnd"/>
      <w:r>
        <w:rPr>
          <w:rStyle w:val="SCCCounselPartyRoleChar"/>
          <w:lang w:val="fr-CA"/>
        </w:rPr>
        <w:t>, pour l’intimé</w:t>
      </w:r>
      <w:r w:rsidRPr="00BA5B8E">
        <w:rPr>
          <w:rStyle w:val="SCCCounselPartyRoleChar"/>
          <w:lang w:val="fr-CA"/>
        </w:rPr>
        <w:t>.</w:t>
      </w:r>
    </w:p>
    <w:p w:rsidR="00E50514" w:rsidRDefault="00E50514" w:rsidP="000372DB">
      <w:pPr>
        <w:pStyle w:val="SCCNormalDoubleSpacing"/>
        <w:widowControl w:val="0"/>
        <w:rPr>
          <w:lang w:val="fr-CA"/>
        </w:rPr>
      </w:pPr>
    </w:p>
    <w:p w:rsidR="001A7467" w:rsidRDefault="001A7467" w:rsidP="000372DB">
      <w:pPr>
        <w:pStyle w:val="SCCNormalDoubleSpacing"/>
        <w:widowControl w:val="0"/>
        <w:rPr>
          <w:lang w:val="fr-CA"/>
        </w:rPr>
      </w:pPr>
      <w:r>
        <w:rPr>
          <w:lang w:val="fr-CA"/>
        </w:rPr>
        <w:tab/>
      </w:r>
      <w:r w:rsidRPr="00B76038">
        <w:rPr>
          <w:lang w:val="fr-CA"/>
        </w:rPr>
        <w:t>Version française du jugement de la Cour rendu oralement par</w:t>
      </w:r>
    </w:p>
    <w:p w:rsidR="001A7467" w:rsidRPr="00C90126" w:rsidRDefault="001A7467" w:rsidP="000372DB">
      <w:pPr>
        <w:widowControl w:val="0"/>
        <w:spacing w:line="480" w:lineRule="auto"/>
        <w:jc w:val="both"/>
        <w:rPr>
          <w:lang w:val="fr-CA"/>
        </w:rPr>
      </w:pPr>
    </w:p>
    <w:p w:rsidR="001A7467" w:rsidRPr="00C90126" w:rsidRDefault="001A7467" w:rsidP="000372DB">
      <w:pPr>
        <w:pStyle w:val="SCCNormalDoubleSpacing"/>
        <w:widowControl w:val="0"/>
        <w:numPr>
          <w:ilvl w:val="0"/>
          <w:numId w:val="1"/>
        </w:numPr>
        <w:ind w:left="0" w:firstLine="0"/>
        <w:rPr>
          <w:lang w:val="fr-CA"/>
        </w:rPr>
      </w:pPr>
      <w:r w:rsidRPr="00C90126">
        <w:rPr>
          <w:smallCaps/>
          <w:lang w:val="fr-CA"/>
        </w:rPr>
        <w:t xml:space="preserve">La juge Abella </w:t>
      </w:r>
      <w:r w:rsidRPr="00C90126">
        <w:rPr>
          <w:lang w:val="fr-CA"/>
        </w:rPr>
        <w:t>—</w:t>
      </w:r>
      <w:r>
        <w:rPr>
          <w:lang w:val="fr-CA"/>
        </w:rPr>
        <w:t xml:space="preserve"> </w:t>
      </w:r>
      <w:r w:rsidRPr="00C90126">
        <w:rPr>
          <w:lang w:val="fr-CA"/>
        </w:rPr>
        <w:t xml:space="preserve">Eu égard à l’ensemble des circonstances de l’espèce, nous sommes convaincus que la déclaration de type </w:t>
      </w:r>
      <w:r w:rsidRPr="00C90126">
        <w:rPr>
          <w:i/>
          <w:lang w:val="fr-CA"/>
        </w:rPr>
        <w:t>K.G.B.</w:t>
      </w:r>
      <w:r w:rsidRPr="00C90126">
        <w:rPr>
          <w:lang w:val="fr-CA"/>
        </w:rPr>
        <w:t xml:space="preserve"> de monsieur </w:t>
      </w:r>
      <w:proofErr w:type="spellStart"/>
      <w:r w:rsidRPr="00C90126">
        <w:rPr>
          <w:lang w:val="fr-CA"/>
        </w:rPr>
        <w:t>Sahal</w:t>
      </w:r>
      <w:proofErr w:type="spellEnd"/>
      <w:r w:rsidRPr="00C90126">
        <w:rPr>
          <w:lang w:val="fr-CA"/>
        </w:rPr>
        <w:t xml:space="preserve"> était admissible, que l’on pouvait raisonnablement y ajouter foi et qu’il est raisonnable de penser qu’elle aurait pu influer sur l’issue de l’affaire.</w:t>
      </w:r>
    </w:p>
    <w:p w:rsidR="001A7467" w:rsidRPr="00C90126" w:rsidRDefault="001A7467" w:rsidP="000372DB">
      <w:pPr>
        <w:widowControl w:val="0"/>
        <w:spacing w:line="480" w:lineRule="auto"/>
        <w:jc w:val="both"/>
        <w:rPr>
          <w:lang w:val="fr-CA"/>
        </w:rPr>
      </w:pPr>
    </w:p>
    <w:p w:rsidR="001A7467" w:rsidRDefault="001A7467" w:rsidP="000372DB">
      <w:pPr>
        <w:pStyle w:val="SCCNormalDoubleSpacing"/>
        <w:widowControl w:val="0"/>
        <w:numPr>
          <w:ilvl w:val="0"/>
          <w:numId w:val="1"/>
        </w:numPr>
        <w:ind w:left="0" w:firstLine="0"/>
        <w:rPr>
          <w:lang w:val="fr-CA"/>
        </w:rPr>
      </w:pPr>
      <w:r w:rsidRPr="00C90126">
        <w:rPr>
          <w:lang w:val="fr-CA"/>
        </w:rPr>
        <w:t xml:space="preserve">Le pourvoi est en </w:t>
      </w:r>
      <w:r w:rsidRPr="00736B83">
        <w:rPr>
          <w:lang w:val="fr-CA"/>
        </w:rPr>
        <w:t>conséquence</w:t>
      </w:r>
      <w:r w:rsidRPr="00C90126">
        <w:rPr>
          <w:lang w:val="fr-CA"/>
        </w:rPr>
        <w:t xml:space="preserve"> rejeté.  </w:t>
      </w:r>
    </w:p>
    <w:p w:rsidR="001A7467" w:rsidRDefault="001A7467" w:rsidP="000372DB">
      <w:pPr>
        <w:pStyle w:val="SCCNormalDoubleSpacing"/>
        <w:widowControl w:val="0"/>
        <w:rPr>
          <w:lang w:val="fr-CA"/>
        </w:rPr>
      </w:pPr>
    </w:p>
    <w:p w:rsidR="004D7D95" w:rsidRPr="001A7467" w:rsidRDefault="004D7D95" w:rsidP="000372DB">
      <w:pPr>
        <w:pStyle w:val="SCCNormalDoubleSpacing"/>
        <w:widowControl w:val="0"/>
        <w:rPr>
          <w:i/>
          <w:lang w:val="fr-CA"/>
        </w:rPr>
      </w:pPr>
      <w:r w:rsidRPr="00BA5B8E">
        <w:rPr>
          <w:lang w:val="fr-CA"/>
        </w:rPr>
        <w:lastRenderedPageBreak/>
        <w:tab/>
      </w:r>
      <w:r w:rsidR="001A7467" w:rsidRPr="001A7467">
        <w:rPr>
          <w:i/>
          <w:lang w:val="fr-CA"/>
        </w:rPr>
        <w:t>Jugement en conséquence.</w:t>
      </w:r>
    </w:p>
    <w:p w:rsidR="004D7D95" w:rsidRPr="00BA5B8E" w:rsidRDefault="004D7D95" w:rsidP="000372DB">
      <w:pPr>
        <w:pStyle w:val="SCCNormalDoubleSpacing"/>
        <w:widowControl w:val="0"/>
        <w:rPr>
          <w:lang w:val="fr-CA"/>
        </w:rPr>
      </w:pPr>
    </w:p>
    <w:p w:rsidR="00E50514" w:rsidRPr="00BA5B8E" w:rsidRDefault="001A7467" w:rsidP="000372DB">
      <w:pPr>
        <w:pStyle w:val="SCCLawFirm"/>
        <w:widowControl w:val="0"/>
        <w:rPr>
          <w:lang w:val="fr-CA"/>
        </w:rPr>
      </w:pPr>
      <w:r>
        <w:rPr>
          <w:lang w:val="fr-CA"/>
        </w:rPr>
        <w:tab/>
        <w:t>Procureur de l’appelante</w:t>
      </w:r>
      <w:r w:rsidR="00B44F9C" w:rsidRPr="00BA5B8E">
        <w:rPr>
          <w:lang w:val="fr-CA"/>
        </w:rPr>
        <w:t xml:space="preserve"> : </w:t>
      </w:r>
      <w:r>
        <w:rPr>
          <w:lang w:val="fr-CA"/>
        </w:rPr>
        <w:t>Procureur général de l’</w:t>
      </w:r>
      <w:r w:rsidR="00B44F9C" w:rsidRPr="00BA5B8E">
        <w:rPr>
          <w:lang w:val="fr-CA"/>
        </w:rPr>
        <w:t>Alberta, Edmonton.</w:t>
      </w:r>
    </w:p>
    <w:p w:rsidR="00E50514" w:rsidRPr="00BA5B8E" w:rsidRDefault="00E50514" w:rsidP="000372DB">
      <w:pPr>
        <w:pStyle w:val="SCCLawFirm"/>
        <w:widowControl w:val="0"/>
        <w:rPr>
          <w:lang w:val="fr-CA"/>
        </w:rPr>
      </w:pPr>
    </w:p>
    <w:p w:rsidR="00E50514" w:rsidRPr="00BA5B8E" w:rsidRDefault="001A7467" w:rsidP="000372DB">
      <w:pPr>
        <w:pStyle w:val="SCCLawFirm"/>
        <w:widowControl w:val="0"/>
        <w:rPr>
          <w:lang w:val="fr-CA"/>
        </w:rPr>
      </w:pPr>
      <w:r>
        <w:rPr>
          <w:lang w:val="fr-CA"/>
        </w:rPr>
        <w:tab/>
        <w:t>Procureurs de l’intimé</w:t>
      </w:r>
      <w:r w:rsidR="00B44F9C" w:rsidRPr="00BA5B8E">
        <w:rPr>
          <w:lang w:val="fr-CA"/>
        </w:rPr>
        <w:t xml:space="preserve"> : </w:t>
      </w:r>
      <w:proofErr w:type="spellStart"/>
      <w:r w:rsidR="00B44F9C" w:rsidRPr="00BA5B8E">
        <w:rPr>
          <w:lang w:val="fr-CA"/>
        </w:rPr>
        <w:t>Sprake</w:t>
      </w:r>
      <w:proofErr w:type="spellEnd"/>
      <w:r w:rsidR="00B44F9C" w:rsidRPr="00BA5B8E">
        <w:rPr>
          <w:lang w:val="fr-CA"/>
        </w:rPr>
        <w:t xml:space="preserve"> Song &amp; </w:t>
      </w:r>
      <w:proofErr w:type="spellStart"/>
      <w:r w:rsidR="00B44F9C" w:rsidRPr="00BA5B8E">
        <w:rPr>
          <w:lang w:val="fr-CA"/>
        </w:rPr>
        <w:t>Konye</w:t>
      </w:r>
      <w:proofErr w:type="spellEnd"/>
      <w:r w:rsidR="00B44F9C" w:rsidRPr="00BA5B8E">
        <w:rPr>
          <w:lang w:val="fr-CA"/>
        </w:rPr>
        <w:t>, Vancouver.</w:t>
      </w:r>
    </w:p>
    <w:p w:rsidR="009B57B3" w:rsidRPr="00736B83" w:rsidRDefault="009B57B3" w:rsidP="000372DB">
      <w:pPr>
        <w:widowControl w:val="0"/>
        <w:rPr>
          <w:lang w:val="fr-CA"/>
        </w:rPr>
      </w:pPr>
    </w:p>
    <w:sectPr w:rsidR="009B57B3" w:rsidRPr="00736B83" w:rsidSect="00064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1D" w:rsidRDefault="00DB55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1D" w:rsidRDefault="00DB55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1D" w:rsidRDefault="00DB5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1D" w:rsidRDefault="00DB55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1D" w:rsidRDefault="00DB55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08C0"/>
    <w:multiLevelType w:val="hybridMultilevel"/>
    <w:tmpl w:val="394CA3FA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372DB"/>
    <w:rsid w:val="00040CF3"/>
    <w:rsid w:val="000578A3"/>
    <w:rsid w:val="000648CC"/>
    <w:rsid w:val="000A04F3"/>
    <w:rsid w:val="000C59B8"/>
    <w:rsid w:val="000C6AF0"/>
    <w:rsid w:val="000D0A77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731F1"/>
    <w:rsid w:val="00195D83"/>
    <w:rsid w:val="001A00C1"/>
    <w:rsid w:val="001A7467"/>
    <w:rsid w:val="001B33E0"/>
    <w:rsid w:val="001B4573"/>
    <w:rsid w:val="001C779F"/>
    <w:rsid w:val="001D2AC1"/>
    <w:rsid w:val="001D4E88"/>
    <w:rsid w:val="00207D6C"/>
    <w:rsid w:val="00220FC2"/>
    <w:rsid w:val="002222F4"/>
    <w:rsid w:val="00224FC0"/>
    <w:rsid w:val="00225EA4"/>
    <w:rsid w:val="00226EAF"/>
    <w:rsid w:val="00231F3A"/>
    <w:rsid w:val="002406EE"/>
    <w:rsid w:val="00241E12"/>
    <w:rsid w:val="00243EC8"/>
    <w:rsid w:val="00246DD1"/>
    <w:rsid w:val="00270D93"/>
    <w:rsid w:val="00273DFB"/>
    <w:rsid w:val="002745CC"/>
    <w:rsid w:val="002B6FBE"/>
    <w:rsid w:val="002B7924"/>
    <w:rsid w:val="002C10A6"/>
    <w:rsid w:val="002C517B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A125D"/>
    <w:rsid w:val="003A4C70"/>
    <w:rsid w:val="003B215F"/>
    <w:rsid w:val="003C799C"/>
    <w:rsid w:val="003D0399"/>
    <w:rsid w:val="003E014E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5132"/>
    <w:rsid w:val="00480C90"/>
    <w:rsid w:val="00483049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55291"/>
    <w:rsid w:val="00566AD1"/>
    <w:rsid w:val="00570AA3"/>
    <w:rsid w:val="00583EDE"/>
    <w:rsid w:val="005A6079"/>
    <w:rsid w:val="005E4698"/>
    <w:rsid w:val="00603924"/>
    <w:rsid w:val="00610539"/>
    <w:rsid w:val="00613969"/>
    <w:rsid w:val="00625C35"/>
    <w:rsid w:val="0064547D"/>
    <w:rsid w:val="00647E49"/>
    <w:rsid w:val="00656313"/>
    <w:rsid w:val="006565F4"/>
    <w:rsid w:val="00684EEA"/>
    <w:rsid w:val="0069689B"/>
    <w:rsid w:val="006B5FF5"/>
    <w:rsid w:val="006F30AF"/>
    <w:rsid w:val="00701759"/>
    <w:rsid w:val="00705C15"/>
    <w:rsid w:val="007110F6"/>
    <w:rsid w:val="007208D1"/>
    <w:rsid w:val="00736B83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D52B0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64C8A"/>
    <w:rsid w:val="00864CF8"/>
    <w:rsid w:val="00874914"/>
    <w:rsid w:val="00891422"/>
    <w:rsid w:val="00892E1A"/>
    <w:rsid w:val="008B660A"/>
    <w:rsid w:val="008C01DA"/>
    <w:rsid w:val="008F2674"/>
    <w:rsid w:val="008F78E9"/>
    <w:rsid w:val="009179F9"/>
    <w:rsid w:val="00917C7A"/>
    <w:rsid w:val="009258C3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F0E33"/>
    <w:rsid w:val="00A12BDC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921A7"/>
    <w:rsid w:val="00A94FC5"/>
    <w:rsid w:val="00AB670D"/>
    <w:rsid w:val="00AF03C5"/>
    <w:rsid w:val="00B000D8"/>
    <w:rsid w:val="00B00F75"/>
    <w:rsid w:val="00B145B6"/>
    <w:rsid w:val="00B279EB"/>
    <w:rsid w:val="00B44F9C"/>
    <w:rsid w:val="00B50C81"/>
    <w:rsid w:val="00B557F8"/>
    <w:rsid w:val="00B65D9B"/>
    <w:rsid w:val="00B815FC"/>
    <w:rsid w:val="00B93FBC"/>
    <w:rsid w:val="00BA5B8E"/>
    <w:rsid w:val="00BA7DA0"/>
    <w:rsid w:val="00BB2EE4"/>
    <w:rsid w:val="00BB4C92"/>
    <w:rsid w:val="00BC2108"/>
    <w:rsid w:val="00BD0E9E"/>
    <w:rsid w:val="00BD1BEC"/>
    <w:rsid w:val="00BD32FF"/>
    <w:rsid w:val="00BF6FE9"/>
    <w:rsid w:val="00C02092"/>
    <w:rsid w:val="00C24D91"/>
    <w:rsid w:val="00C26DB2"/>
    <w:rsid w:val="00C53F14"/>
    <w:rsid w:val="00C569BB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E036E"/>
    <w:rsid w:val="00CE3171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667A"/>
    <w:rsid w:val="00D63A1C"/>
    <w:rsid w:val="00D7516F"/>
    <w:rsid w:val="00D95F8E"/>
    <w:rsid w:val="00DA0590"/>
    <w:rsid w:val="00DB551D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0514"/>
    <w:rsid w:val="00E56A44"/>
    <w:rsid w:val="00E60269"/>
    <w:rsid w:val="00E97830"/>
    <w:rsid w:val="00EE0830"/>
    <w:rsid w:val="00EE6CB8"/>
    <w:rsid w:val="00EF0683"/>
    <w:rsid w:val="00F0070C"/>
    <w:rsid w:val="00F00EB7"/>
    <w:rsid w:val="00F01F8E"/>
    <w:rsid w:val="00F36AB6"/>
    <w:rsid w:val="00F37A09"/>
    <w:rsid w:val="00F409CE"/>
    <w:rsid w:val="00F4379D"/>
    <w:rsid w:val="00F50D2D"/>
    <w:rsid w:val="00F56C8B"/>
    <w:rsid w:val="00F62639"/>
    <w:rsid w:val="00F66810"/>
    <w:rsid w:val="00F75720"/>
    <w:rsid w:val="00F84DF4"/>
    <w:rsid w:val="00F85C97"/>
    <w:rsid w:val="00FA30B1"/>
    <w:rsid w:val="00FB37D2"/>
    <w:rsid w:val="00FB4D53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table" w:styleId="TableGrid">
    <w:name w:val="Table Grid"/>
    <w:basedOn w:val="TableNormal"/>
    <w:uiPriority w:val="59"/>
    <w:rsid w:val="00A12BDC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A12BDC"/>
    <w:rPr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A12BDC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A12BDC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2017-02-21T19:58:00Z</dcterms:created>
  <dcterms:modified xsi:type="dcterms:W3CDTF">2017-10-18T19:31:00Z</dcterms:modified>
</cp:coreProperties>
</file>